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9"/>
        <w:gridCol w:w="647"/>
        <w:gridCol w:w="603"/>
        <w:gridCol w:w="287"/>
        <w:gridCol w:w="414"/>
        <w:gridCol w:w="155"/>
        <w:gridCol w:w="187"/>
        <w:gridCol w:w="383"/>
        <w:gridCol w:w="554"/>
        <w:gridCol w:w="16"/>
        <w:gridCol w:w="269"/>
        <w:gridCol w:w="29"/>
        <w:gridCol w:w="271"/>
        <w:gridCol w:w="353"/>
        <w:gridCol w:w="217"/>
        <w:gridCol w:w="570"/>
        <w:gridCol w:w="80"/>
        <w:gridCol w:w="71"/>
        <w:gridCol w:w="419"/>
        <w:gridCol w:w="113"/>
        <w:gridCol w:w="405"/>
        <w:gridCol w:w="51"/>
        <w:gridCol w:w="449"/>
        <w:gridCol w:w="121"/>
        <w:gridCol w:w="317"/>
        <w:gridCol w:w="253"/>
        <w:gridCol w:w="570"/>
        <w:gridCol w:w="115"/>
        <w:gridCol w:w="1422"/>
        <w:gridCol w:w="10"/>
      </w:tblGrid>
      <w:tr w:rsidR="006A701A" w:rsidRPr="008B4FE6" w14:paraId="15C1C05B" w14:textId="77777777" w:rsidTr="00B236F6">
        <w:trPr>
          <w:gridAfter w:val="1"/>
          <w:wAfter w:w="10" w:type="dxa"/>
          <w:trHeight w:val="1611"/>
        </w:trPr>
        <w:tc>
          <w:tcPr>
            <w:tcW w:w="6744" w:type="dxa"/>
            <w:gridSpan w:val="17"/>
          </w:tcPr>
          <w:p w14:paraId="6CC250FB" w14:textId="77777777" w:rsidR="006A701A" w:rsidRPr="008B4FE6" w:rsidRDefault="006A701A" w:rsidP="00616511">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75A98FC9" w14:textId="77777777" w:rsidR="006A701A" w:rsidRPr="008B4FE6" w:rsidRDefault="00232C59" w:rsidP="00A52ADB">
            <w:pPr>
              <w:spacing w:line="240" w:lineRule="auto"/>
              <w:ind w:hanging="34"/>
              <w:rPr>
                <w:rFonts w:ascii="Times New Roman" w:hAnsi="Times New Roman"/>
                <w:color w:val="000000"/>
              </w:rPr>
            </w:pPr>
            <w:r>
              <w:rPr>
                <w:rFonts w:ascii="Times New Roman" w:hAnsi="Times New Roman"/>
                <w:color w:val="000000"/>
              </w:rPr>
              <w:t>Projekt u</w:t>
            </w:r>
            <w:r w:rsidR="005D7017">
              <w:rPr>
                <w:rFonts w:ascii="Times New Roman" w:hAnsi="Times New Roman"/>
                <w:color w:val="000000"/>
              </w:rPr>
              <w:t>staw</w:t>
            </w:r>
            <w:r>
              <w:rPr>
                <w:rFonts w:ascii="Times New Roman" w:hAnsi="Times New Roman"/>
                <w:color w:val="000000"/>
              </w:rPr>
              <w:t>y</w:t>
            </w:r>
            <w:r w:rsidR="005D7017">
              <w:rPr>
                <w:rFonts w:ascii="Times New Roman" w:hAnsi="Times New Roman"/>
                <w:color w:val="000000"/>
              </w:rPr>
              <w:t xml:space="preserve"> </w:t>
            </w:r>
            <w:r w:rsidR="00AF20A2">
              <w:rPr>
                <w:rFonts w:ascii="Times New Roman" w:hAnsi="Times New Roman"/>
                <w:color w:val="000000"/>
              </w:rPr>
              <w:t>o</w:t>
            </w:r>
            <w:r w:rsidR="005D7017">
              <w:rPr>
                <w:rFonts w:ascii="Times New Roman" w:hAnsi="Times New Roman"/>
                <w:color w:val="000000"/>
              </w:rPr>
              <w:t xml:space="preserve"> ochron</w:t>
            </w:r>
            <w:r w:rsidR="008A74A3">
              <w:rPr>
                <w:rFonts w:ascii="Times New Roman" w:hAnsi="Times New Roman"/>
                <w:color w:val="000000"/>
              </w:rPr>
              <w:t>ie</w:t>
            </w:r>
            <w:r w:rsidR="005D7017">
              <w:rPr>
                <w:rFonts w:ascii="Times New Roman" w:hAnsi="Times New Roman"/>
                <w:color w:val="000000"/>
              </w:rPr>
              <w:t xml:space="preserve"> osób zgłaszających naruszenia prawa </w:t>
            </w:r>
          </w:p>
          <w:p w14:paraId="04FE13B9"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224763DF" w14:textId="77777777" w:rsidR="007415D0" w:rsidRDefault="000E34BD" w:rsidP="00A52ADB">
            <w:pPr>
              <w:spacing w:line="240" w:lineRule="auto"/>
              <w:ind w:hanging="34"/>
              <w:rPr>
                <w:rFonts w:ascii="Times New Roman" w:hAnsi="Times New Roman"/>
                <w:color w:val="000000"/>
              </w:rPr>
            </w:pPr>
            <w:r>
              <w:rPr>
                <w:rFonts w:ascii="Times New Roman" w:hAnsi="Times New Roman"/>
                <w:color w:val="000000"/>
              </w:rPr>
              <w:t>Minist</w:t>
            </w:r>
            <w:r w:rsidR="00DF3428">
              <w:rPr>
                <w:rFonts w:ascii="Times New Roman" w:hAnsi="Times New Roman"/>
                <w:color w:val="000000"/>
              </w:rPr>
              <w:t>erst</w:t>
            </w:r>
            <w:r>
              <w:rPr>
                <w:rFonts w:ascii="Times New Roman" w:hAnsi="Times New Roman"/>
                <w:color w:val="000000"/>
              </w:rPr>
              <w:t>wo</w:t>
            </w:r>
            <w:r w:rsidR="005D7017">
              <w:rPr>
                <w:rFonts w:ascii="Times New Roman" w:hAnsi="Times New Roman"/>
                <w:color w:val="000000"/>
              </w:rPr>
              <w:t xml:space="preserve"> </w:t>
            </w:r>
            <w:r w:rsidR="0082376B">
              <w:rPr>
                <w:rFonts w:ascii="Times New Roman" w:hAnsi="Times New Roman"/>
                <w:color w:val="000000"/>
              </w:rPr>
              <w:t xml:space="preserve">Rodziny i Polityki Społecznej </w:t>
            </w:r>
            <w:r w:rsidR="005D7017">
              <w:rPr>
                <w:rFonts w:ascii="Times New Roman" w:hAnsi="Times New Roman"/>
                <w:color w:val="000000"/>
              </w:rPr>
              <w:t xml:space="preserve"> </w:t>
            </w:r>
          </w:p>
          <w:p w14:paraId="27CF1650" w14:textId="77777777" w:rsidR="00937C94" w:rsidRPr="005A33EA" w:rsidRDefault="00937C94" w:rsidP="00A52ADB">
            <w:pPr>
              <w:spacing w:line="240" w:lineRule="auto"/>
              <w:ind w:hanging="34"/>
              <w:rPr>
                <w:rFonts w:ascii="Times New Roman" w:hAnsi="Times New Roman"/>
                <w:b/>
                <w:color w:val="000000"/>
              </w:rPr>
            </w:pPr>
            <w:r w:rsidRPr="005A33EA">
              <w:rPr>
                <w:rFonts w:ascii="Times New Roman" w:hAnsi="Times New Roman"/>
                <w:b/>
                <w:color w:val="000000"/>
              </w:rPr>
              <w:t>Ministerstwa współpracujące</w:t>
            </w:r>
          </w:p>
          <w:p w14:paraId="4E97CCA9" w14:textId="77777777" w:rsidR="00937C94" w:rsidRDefault="00937C94" w:rsidP="00A52ADB">
            <w:pPr>
              <w:spacing w:line="240" w:lineRule="auto"/>
              <w:ind w:hanging="34"/>
              <w:rPr>
                <w:rFonts w:ascii="Times New Roman" w:hAnsi="Times New Roman"/>
                <w:color w:val="000000"/>
              </w:rPr>
            </w:pPr>
            <w:r>
              <w:rPr>
                <w:rFonts w:ascii="Times New Roman" w:hAnsi="Times New Roman"/>
                <w:color w:val="000000"/>
              </w:rPr>
              <w:t xml:space="preserve">Ministerstwo Rozwoju i Technologii, </w:t>
            </w:r>
            <w:r w:rsidR="00F35515">
              <w:rPr>
                <w:rFonts w:ascii="Times New Roman" w:hAnsi="Times New Roman"/>
                <w:color w:val="000000"/>
              </w:rPr>
              <w:t xml:space="preserve">Kancelaria Prezesa Rady Ministrów - </w:t>
            </w:r>
            <w:r>
              <w:rPr>
                <w:rFonts w:ascii="Times New Roman" w:hAnsi="Times New Roman"/>
                <w:color w:val="000000"/>
              </w:rPr>
              <w:t xml:space="preserve">Minister – </w:t>
            </w:r>
            <w:r w:rsidR="0021061C">
              <w:rPr>
                <w:rFonts w:ascii="Times New Roman" w:hAnsi="Times New Roman"/>
                <w:color w:val="000000"/>
              </w:rPr>
              <w:t xml:space="preserve">Członek Rady Ministrów </w:t>
            </w:r>
            <w:r>
              <w:rPr>
                <w:rFonts w:ascii="Times New Roman" w:hAnsi="Times New Roman"/>
                <w:color w:val="000000"/>
              </w:rPr>
              <w:t xml:space="preserve">Koordynator </w:t>
            </w:r>
            <w:r w:rsidR="0021061C">
              <w:rPr>
                <w:rFonts w:ascii="Times New Roman" w:hAnsi="Times New Roman"/>
                <w:color w:val="000000"/>
              </w:rPr>
              <w:t>S</w:t>
            </w:r>
            <w:r>
              <w:rPr>
                <w:rFonts w:ascii="Times New Roman" w:hAnsi="Times New Roman"/>
                <w:color w:val="000000"/>
              </w:rPr>
              <w:t xml:space="preserve">łużb </w:t>
            </w:r>
            <w:r w:rsidR="0021061C">
              <w:rPr>
                <w:rFonts w:ascii="Times New Roman" w:hAnsi="Times New Roman"/>
                <w:color w:val="000000"/>
              </w:rPr>
              <w:t>S</w:t>
            </w:r>
            <w:r>
              <w:rPr>
                <w:rFonts w:ascii="Times New Roman" w:hAnsi="Times New Roman"/>
                <w:color w:val="000000"/>
              </w:rPr>
              <w:t>pecjalnych, Ministerstwo Sprawiedliwości, Ministerstwo Finansów</w:t>
            </w:r>
          </w:p>
          <w:p w14:paraId="309341D1" w14:textId="77777777" w:rsidR="005D7017" w:rsidRDefault="005D7017" w:rsidP="00A52ADB">
            <w:pPr>
              <w:spacing w:line="240" w:lineRule="auto"/>
              <w:ind w:hanging="34"/>
              <w:rPr>
                <w:rFonts w:ascii="Times New Roman" w:hAnsi="Times New Roman"/>
                <w:color w:val="000000"/>
              </w:rPr>
            </w:pPr>
          </w:p>
          <w:p w14:paraId="1C50C146" w14:textId="77777777" w:rsidR="001B3460" w:rsidRPr="00124623" w:rsidRDefault="001B3460" w:rsidP="001B3460">
            <w:pPr>
              <w:spacing w:line="240" w:lineRule="auto"/>
              <w:rPr>
                <w:rFonts w:ascii="Times New Roman" w:hAnsi="Times New Roman"/>
                <w:b/>
              </w:rPr>
            </w:pPr>
            <w:r w:rsidRPr="00124623">
              <w:rPr>
                <w:rFonts w:ascii="Times New Roman" w:hAnsi="Times New Roman"/>
                <w:b/>
              </w:rPr>
              <w:t xml:space="preserve">Osoba odpowiedzialna za projekt w randze Ministra, Sekretarza Stanu lub Podsekretarza Stanu </w:t>
            </w:r>
          </w:p>
          <w:p w14:paraId="611365CE" w14:textId="77777777" w:rsidR="001B3460" w:rsidRPr="00124623" w:rsidRDefault="0082376B" w:rsidP="001B3460">
            <w:pPr>
              <w:spacing w:line="240" w:lineRule="auto"/>
              <w:rPr>
                <w:rFonts w:ascii="Times New Roman" w:hAnsi="Times New Roman"/>
              </w:rPr>
            </w:pPr>
            <w:r w:rsidRPr="00124623">
              <w:rPr>
                <w:rFonts w:ascii="Times New Roman" w:hAnsi="Times New Roman"/>
                <w:color w:val="000000"/>
              </w:rPr>
              <w:t>Marlena Maląg, Minister Rodziny i Polityki Społecznej</w:t>
            </w:r>
          </w:p>
          <w:p w14:paraId="403585B3"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6056F326" w14:textId="77777777" w:rsidR="005D7017" w:rsidRDefault="00124623" w:rsidP="00A17CB2">
            <w:pPr>
              <w:spacing w:line="240" w:lineRule="auto"/>
              <w:ind w:hanging="34"/>
              <w:rPr>
                <w:rFonts w:ascii="Times New Roman" w:hAnsi="Times New Roman"/>
                <w:color w:val="000000"/>
              </w:rPr>
            </w:pPr>
            <w:r>
              <w:rPr>
                <w:rFonts w:ascii="Times New Roman" w:hAnsi="Times New Roman"/>
              </w:rPr>
              <w:t>Marcin Stanecki</w:t>
            </w:r>
            <w:r w:rsidR="005D7017" w:rsidRPr="005D7017">
              <w:rPr>
                <w:rFonts w:ascii="Times New Roman" w:hAnsi="Times New Roman"/>
              </w:rPr>
              <w:t xml:space="preserve"> </w:t>
            </w:r>
            <w:r w:rsidR="005D7017" w:rsidRPr="005D7017">
              <w:rPr>
                <w:rFonts w:ascii="Times New Roman" w:hAnsi="Times New Roman"/>
                <w:color w:val="000000"/>
              </w:rPr>
              <w:t xml:space="preserve">Dyrektor Departamentu </w:t>
            </w:r>
            <w:r w:rsidR="0082376B">
              <w:rPr>
                <w:rFonts w:ascii="Times New Roman" w:hAnsi="Times New Roman"/>
                <w:color w:val="000000"/>
              </w:rPr>
              <w:t>Prawa Pracy</w:t>
            </w:r>
            <w:r w:rsidR="007D696E">
              <w:rPr>
                <w:rFonts w:ascii="Times New Roman" w:hAnsi="Times New Roman"/>
                <w:color w:val="000000"/>
              </w:rPr>
              <w:t xml:space="preserve"> w </w:t>
            </w:r>
            <w:r w:rsidR="005D7017" w:rsidRPr="005D7017">
              <w:rPr>
                <w:rFonts w:ascii="Times New Roman" w:hAnsi="Times New Roman"/>
                <w:color w:val="000000"/>
              </w:rPr>
              <w:t xml:space="preserve">Ministerstwie </w:t>
            </w:r>
            <w:r w:rsidR="0082376B">
              <w:rPr>
                <w:rFonts w:ascii="Times New Roman" w:hAnsi="Times New Roman"/>
                <w:color w:val="000000"/>
              </w:rPr>
              <w:t xml:space="preserve">Rodziny i Polityki Społecznej </w:t>
            </w:r>
          </w:p>
          <w:p w14:paraId="02BAF1D1" w14:textId="77777777" w:rsidR="00124623" w:rsidRPr="00124623" w:rsidRDefault="00124623" w:rsidP="00124623">
            <w:pPr>
              <w:spacing w:line="240" w:lineRule="auto"/>
              <w:ind w:hanging="34"/>
              <w:rPr>
                <w:rFonts w:ascii="Times New Roman" w:hAnsi="Times New Roman"/>
                <w:bCs/>
                <w:color w:val="000000"/>
                <w:lang w:val="en-US"/>
              </w:rPr>
            </w:pPr>
            <w:r w:rsidRPr="00124623">
              <w:rPr>
                <w:rFonts w:ascii="Times New Roman" w:hAnsi="Times New Roman"/>
                <w:bCs/>
                <w:color w:val="000000"/>
                <w:lang w:val="en-US"/>
              </w:rPr>
              <w:t xml:space="preserve">tel. </w:t>
            </w:r>
            <w:r w:rsidR="00B236F6">
              <w:rPr>
                <w:rFonts w:ascii="Times New Roman" w:hAnsi="Times New Roman"/>
                <w:bCs/>
                <w:color w:val="000000"/>
                <w:lang w:val="en-US"/>
              </w:rPr>
              <w:t>538 117 320</w:t>
            </w:r>
            <w:r w:rsidRPr="00124623">
              <w:rPr>
                <w:rFonts w:ascii="Times New Roman" w:hAnsi="Times New Roman"/>
                <w:bCs/>
                <w:color w:val="000000"/>
                <w:lang w:val="en-US"/>
              </w:rPr>
              <w:t xml:space="preserve">, e-mail: </w:t>
            </w:r>
            <w:hyperlink r:id="rId8" w:history="1">
              <w:r w:rsidRPr="00124623">
                <w:rPr>
                  <w:rStyle w:val="Hipercze"/>
                  <w:rFonts w:ascii="Times New Roman" w:hAnsi="Times New Roman"/>
                  <w:bCs/>
                  <w:lang w:val="en-US"/>
                </w:rPr>
                <w:t>marcin.stanecki@mrips.gov.pl</w:t>
              </w:r>
            </w:hyperlink>
            <w:r w:rsidRPr="00124623">
              <w:rPr>
                <w:rFonts w:ascii="Times New Roman" w:hAnsi="Times New Roman"/>
                <w:bCs/>
                <w:color w:val="000000"/>
                <w:lang w:val="en-US"/>
              </w:rPr>
              <w:t xml:space="preserve">. </w:t>
            </w:r>
          </w:p>
          <w:p w14:paraId="58DB9FD0" w14:textId="77777777" w:rsidR="005D7017" w:rsidRPr="005A33EA" w:rsidRDefault="005D7017" w:rsidP="00124623">
            <w:pPr>
              <w:spacing w:line="240" w:lineRule="auto"/>
              <w:ind w:hanging="34"/>
              <w:rPr>
                <w:rFonts w:ascii="Times New Roman" w:hAnsi="Times New Roman"/>
                <w:color w:val="000000"/>
                <w:lang w:val="en-US"/>
              </w:rPr>
            </w:pPr>
          </w:p>
        </w:tc>
        <w:tc>
          <w:tcPr>
            <w:tcW w:w="4306" w:type="dxa"/>
            <w:gridSpan w:val="12"/>
            <w:shd w:val="clear" w:color="auto" w:fill="FFFFFF"/>
          </w:tcPr>
          <w:p w14:paraId="7C8ED3F0" w14:textId="4CDB798F"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EE1ED9">
              <w:rPr>
                <w:rFonts w:ascii="Times New Roman" w:hAnsi="Times New Roman"/>
                <w:sz w:val="21"/>
                <w:szCs w:val="21"/>
              </w:rPr>
              <w:t>4 lipca</w:t>
            </w:r>
            <w:r w:rsidR="00367BB9">
              <w:rPr>
                <w:rFonts w:ascii="Times New Roman" w:hAnsi="Times New Roman"/>
                <w:sz w:val="21"/>
                <w:szCs w:val="21"/>
              </w:rPr>
              <w:t xml:space="preserve"> </w:t>
            </w:r>
            <w:r w:rsidR="000E34BD" w:rsidRPr="000E34BD">
              <w:rPr>
                <w:rFonts w:ascii="Times New Roman" w:hAnsi="Times New Roman"/>
                <w:sz w:val="21"/>
                <w:szCs w:val="21"/>
              </w:rPr>
              <w:t>202</w:t>
            </w:r>
            <w:r w:rsidR="00124623">
              <w:rPr>
                <w:rFonts w:ascii="Times New Roman" w:hAnsi="Times New Roman"/>
                <w:sz w:val="21"/>
                <w:szCs w:val="21"/>
              </w:rPr>
              <w:t>2</w:t>
            </w:r>
            <w:r w:rsidR="000E34BD" w:rsidRPr="000E34BD">
              <w:rPr>
                <w:rFonts w:ascii="Times New Roman" w:hAnsi="Times New Roman"/>
                <w:sz w:val="21"/>
                <w:szCs w:val="21"/>
              </w:rPr>
              <w:t xml:space="preserve"> r.</w:t>
            </w:r>
          </w:p>
          <w:p w14:paraId="0E65AC2E" w14:textId="77777777" w:rsidR="00F76884" w:rsidRDefault="00F76884" w:rsidP="00F76884">
            <w:pPr>
              <w:spacing w:line="240" w:lineRule="auto"/>
              <w:rPr>
                <w:rFonts w:ascii="Times New Roman" w:hAnsi="Times New Roman"/>
                <w:b/>
              </w:rPr>
            </w:pPr>
          </w:p>
          <w:p w14:paraId="6D8B1C47" w14:textId="77777777" w:rsidR="00F76884" w:rsidRPr="001B156D" w:rsidRDefault="001C22EB" w:rsidP="00F76884">
            <w:pPr>
              <w:spacing w:line="240" w:lineRule="auto"/>
              <w:rPr>
                <w:rFonts w:ascii="Times New Roman" w:hAnsi="Times New Roman"/>
                <w:b/>
              </w:rPr>
            </w:pPr>
            <w:r>
              <w:rPr>
                <w:rFonts w:ascii="Times New Roman" w:hAnsi="Times New Roman"/>
                <w:b/>
              </w:rPr>
              <w:t>Źródło:</w:t>
            </w:r>
          </w:p>
          <w:p w14:paraId="0CC8B925" w14:textId="77777777" w:rsidR="00BA2BB7" w:rsidRPr="0065019F" w:rsidRDefault="001B156D" w:rsidP="00622010">
            <w:pPr>
              <w:spacing w:line="240" w:lineRule="auto"/>
              <w:jc w:val="both"/>
              <w:rPr>
                <w:rFonts w:ascii="Times New Roman" w:hAnsi="Times New Roman"/>
              </w:rPr>
            </w:pPr>
            <w:r w:rsidRPr="007C0A94">
              <w:rPr>
                <w:rFonts w:ascii="Times New Roman" w:hAnsi="Times New Roman"/>
              </w:rPr>
              <w:t xml:space="preserve">Dyrektywa Parlamentu Europejskiego i Rady </w:t>
            </w:r>
            <w:r>
              <w:rPr>
                <w:rFonts w:ascii="Times New Roman" w:hAnsi="Times New Roman"/>
              </w:rPr>
              <w:t>(UE) 2019/1937</w:t>
            </w:r>
            <w:r w:rsidR="007D696E">
              <w:rPr>
                <w:rFonts w:ascii="Times New Roman" w:hAnsi="Times New Roman"/>
              </w:rPr>
              <w:t xml:space="preserve"> z dnia 23 października 2019 </w:t>
            </w:r>
            <w:r w:rsidRPr="007C0A94">
              <w:rPr>
                <w:rFonts w:ascii="Times New Roman" w:hAnsi="Times New Roman"/>
              </w:rPr>
              <w:t xml:space="preserve">r. w sprawie ochrony osób zgłaszających naruszenia </w:t>
            </w:r>
            <w:r w:rsidR="00D126A6">
              <w:rPr>
                <w:rFonts w:ascii="Times New Roman" w:hAnsi="Times New Roman"/>
              </w:rPr>
              <w:t xml:space="preserve">prawa </w:t>
            </w:r>
            <w:r w:rsidR="007D696E">
              <w:rPr>
                <w:rFonts w:ascii="Times New Roman" w:hAnsi="Times New Roman"/>
              </w:rPr>
              <w:t>Unii (Dz. </w:t>
            </w:r>
            <w:r w:rsidRPr="007C0A94">
              <w:rPr>
                <w:rFonts w:ascii="Times New Roman" w:hAnsi="Times New Roman"/>
              </w:rPr>
              <w:t>Urz. UE L 305 z 26.11.2019, str. 17)</w:t>
            </w:r>
          </w:p>
          <w:p w14:paraId="0B7382E8" w14:textId="77777777" w:rsidR="00F76884" w:rsidRPr="0065019F" w:rsidRDefault="00F76884" w:rsidP="00F76884">
            <w:pPr>
              <w:spacing w:line="240" w:lineRule="auto"/>
              <w:rPr>
                <w:rFonts w:ascii="Times New Roman" w:hAnsi="Times New Roman"/>
              </w:rPr>
            </w:pPr>
          </w:p>
          <w:p w14:paraId="6971B62D" w14:textId="77777777"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p>
          <w:p w14:paraId="4A66C985" w14:textId="77777777" w:rsidR="006A701A" w:rsidRPr="008B4FE6" w:rsidRDefault="005A33EA" w:rsidP="007943E2">
            <w:pPr>
              <w:spacing w:line="240" w:lineRule="auto"/>
              <w:rPr>
                <w:rFonts w:ascii="Times New Roman" w:hAnsi="Times New Roman"/>
                <w:color w:val="000000"/>
              </w:rPr>
            </w:pPr>
            <w:r>
              <w:rPr>
                <w:rFonts w:ascii="Times New Roman" w:hAnsi="Times New Roman"/>
                <w:b/>
                <w:color w:val="000000"/>
              </w:rPr>
              <w:t>UC 101</w:t>
            </w:r>
          </w:p>
          <w:p w14:paraId="644DBFBE"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3D956916" w14:textId="77777777" w:rsidTr="00B236F6">
        <w:trPr>
          <w:gridAfter w:val="1"/>
          <w:wAfter w:w="10" w:type="dxa"/>
          <w:trHeight w:val="142"/>
        </w:trPr>
        <w:tc>
          <w:tcPr>
            <w:tcW w:w="11050" w:type="dxa"/>
            <w:gridSpan w:val="29"/>
            <w:shd w:val="clear" w:color="auto" w:fill="99CCFF"/>
          </w:tcPr>
          <w:p w14:paraId="44FD1EDA"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55BB7AC8" w14:textId="77777777" w:rsidTr="00B236F6">
        <w:trPr>
          <w:gridAfter w:val="1"/>
          <w:wAfter w:w="10" w:type="dxa"/>
          <w:trHeight w:val="333"/>
        </w:trPr>
        <w:tc>
          <w:tcPr>
            <w:tcW w:w="11050" w:type="dxa"/>
            <w:gridSpan w:val="29"/>
            <w:shd w:val="clear" w:color="auto" w:fill="99CCFF"/>
            <w:vAlign w:val="center"/>
          </w:tcPr>
          <w:p w14:paraId="27ED4D4E"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C017C1" w:rsidRPr="008B4FE6" w14:paraId="45C0C46F" w14:textId="77777777" w:rsidTr="00B236F6">
        <w:trPr>
          <w:gridAfter w:val="1"/>
          <w:wAfter w:w="10" w:type="dxa"/>
          <w:trHeight w:val="142"/>
        </w:trPr>
        <w:tc>
          <w:tcPr>
            <w:tcW w:w="11050" w:type="dxa"/>
            <w:gridSpan w:val="29"/>
            <w:shd w:val="clear" w:color="auto" w:fill="FFFFFF"/>
          </w:tcPr>
          <w:p w14:paraId="14623582" w14:textId="77777777" w:rsidR="00C017C1" w:rsidRPr="00C33B2F" w:rsidRDefault="00C017C1" w:rsidP="00C017C1">
            <w:pPr>
              <w:pStyle w:val="Bezodstpw"/>
              <w:jc w:val="both"/>
              <w:rPr>
                <w:rFonts w:ascii="Times New Roman" w:hAnsi="Times New Roman"/>
              </w:rPr>
            </w:pPr>
            <w:r w:rsidRPr="00C33B2F">
              <w:rPr>
                <w:rFonts w:ascii="Times New Roman" w:hAnsi="Times New Roman"/>
              </w:rPr>
              <w:t xml:space="preserve">Projektowana ustawa ma na celu wdrożenie dyrektywy Parlamentu Europejskiego i Rady (UE) 2019/1937 z dnia 23 października 2019 r. w sprawie ochrony osób zgłaszających naruszenia prawa Unii, zwanej dalej „dyrektywą 2019/1937”. </w:t>
            </w:r>
          </w:p>
          <w:p w14:paraId="16AB7074" w14:textId="77777777" w:rsidR="00C017C1" w:rsidRPr="00C33B2F" w:rsidRDefault="00C017C1" w:rsidP="00C017C1">
            <w:pPr>
              <w:pStyle w:val="Bezodstpw"/>
              <w:jc w:val="both"/>
              <w:rPr>
                <w:rFonts w:ascii="Times New Roman" w:hAnsi="Times New Roman"/>
              </w:rPr>
            </w:pPr>
            <w:r w:rsidRPr="00C33B2F">
              <w:rPr>
                <w:rFonts w:ascii="Times New Roman" w:hAnsi="Times New Roman"/>
              </w:rPr>
              <w:t>Celem dyrektywy 2019/1937 jest poprawa egzekwowania prawa i polityk UE w określonych dziedzinach poprzez ustanowienie wspólnych minimalnych norm zapewniających odpowiedni poziom ochrony osób zgłaszających naruszenia prawa UE. W dyrektywie 2019/1937 ustanawia się zasady i procedury dotyczące ochrony „</w:t>
            </w:r>
            <w:r w:rsidRPr="00C33B2F">
              <w:rPr>
                <w:rStyle w:val="bold"/>
                <w:rFonts w:ascii="Times New Roman" w:hAnsi="Times New Roman"/>
              </w:rPr>
              <w:t>sygnalistów</w:t>
            </w:r>
            <w:r w:rsidRPr="00C33B2F">
              <w:rPr>
                <w:rFonts w:ascii="Times New Roman" w:hAnsi="Times New Roman"/>
              </w:rPr>
              <w:t xml:space="preserve">”, czyli osób, które zgłaszają informacje uzyskane w kontekście związanym z pracą na temat </w:t>
            </w:r>
            <w:r w:rsidRPr="00C33B2F">
              <w:rPr>
                <w:rStyle w:val="bold"/>
                <w:rFonts w:ascii="Times New Roman" w:hAnsi="Times New Roman"/>
              </w:rPr>
              <w:t>naruszeń</w:t>
            </w:r>
            <w:r w:rsidRPr="00C33B2F">
              <w:rPr>
                <w:rFonts w:ascii="Times New Roman" w:hAnsi="Times New Roman"/>
              </w:rPr>
              <w:t xml:space="preserve"> prawa UE. Zakresem dyrektywy objęte są zgłoszenia dotyczące:</w:t>
            </w:r>
          </w:p>
          <w:p w14:paraId="4A05DCC5" w14:textId="77777777" w:rsidR="00C017C1" w:rsidRPr="00C33B2F" w:rsidRDefault="00C017C1" w:rsidP="00C017C1">
            <w:pPr>
              <w:pStyle w:val="Bezodstpw"/>
              <w:jc w:val="both"/>
              <w:rPr>
                <w:rFonts w:ascii="Times New Roman" w:eastAsia="Times New Roman" w:hAnsi="Times New Roman"/>
                <w:szCs w:val="24"/>
                <w:lang w:eastAsia="pl-PL"/>
              </w:rPr>
            </w:pPr>
            <w:r w:rsidRPr="00C33B2F">
              <w:rPr>
                <w:rFonts w:ascii="Times New Roman" w:eastAsia="Times New Roman" w:hAnsi="Times New Roman"/>
                <w:szCs w:val="24"/>
                <w:lang w:eastAsia="pl-PL"/>
              </w:rPr>
              <w:t>a) naruszeń przepisów w następujących dziedzinach (wymienionych szczegółowo w części I załącznika do dyrektywy 2019/1937):</w:t>
            </w:r>
          </w:p>
          <w:p w14:paraId="5DF3481B" w14:textId="77777777" w:rsidR="00C017C1" w:rsidRPr="00C33B2F" w:rsidRDefault="00C017C1" w:rsidP="00C017C1">
            <w:pPr>
              <w:pStyle w:val="Bezodstpw"/>
              <w:jc w:val="both"/>
              <w:rPr>
                <w:rFonts w:ascii="Times New Roman" w:eastAsia="Times New Roman" w:hAnsi="Times New Roman"/>
                <w:szCs w:val="24"/>
                <w:lang w:eastAsia="pl-PL"/>
              </w:rPr>
            </w:pPr>
            <w:r w:rsidRPr="00C33B2F">
              <w:rPr>
                <w:rFonts w:ascii="Times New Roman" w:eastAsia="Times New Roman" w:hAnsi="Times New Roman"/>
                <w:szCs w:val="24"/>
                <w:lang w:eastAsia="pl-PL"/>
              </w:rPr>
              <w:t>- zamówienia publiczne</w:t>
            </w:r>
            <w:r>
              <w:rPr>
                <w:rFonts w:ascii="Times New Roman" w:eastAsia="Times New Roman" w:hAnsi="Times New Roman"/>
                <w:szCs w:val="24"/>
                <w:lang w:eastAsia="pl-PL"/>
              </w:rPr>
              <w:t>,</w:t>
            </w:r>
          </w:p>
          <w:p w14:paraId="59222C24" w14:textId="77777777" w:rsidR="00C017C1"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usługi, produkty i rynki finansowe</w:t>
            </w:r>
            <w:r>
              <w:rPr>
                <w:rFonts w:ascii="Times New Roman" w:eastAsia="Times New Roman" w:hAnsi="Times New Roman"/>
                <w:szCs w:val="24"/>
                <w:lang w:eastAsia="pl-PL"/>
              </w:rPr>
              <w:t>,</w:t>
            </w:r>
            <w:r w:rsidRPr="00C7405D">
              <w:rPr>
                <w:rFonts w:ascii="Times New Roman" w:eastAsia="Times New Roman" w:hAnsi="Times New Roman"/>
                <w:szCs w:val="24"/>
                <w:lang w:eastAsia="pl-PL"/>
              </w:rPr>
              <w:t xml:space="preserve"> </w:t>
            </w:r>
          </w:p>
          <w:p w14:paraId="0F045658"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zapobieganie praniu pieniędzy i finansowaniu terroryzmu,</w:t>
            </w:r>
          </w:p>
          <w:p w14:paraId="34712BB6"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bezpieczeństwo produktów i ich zgodność z wymogami,</w:t>
            </w:r>
          </w:p>
          <w:p w14:paraId="74A6B25E"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bezpieczeństwo transportu w sektorze kolejowym, drogowym, morskim i żeglugi śródlądowej,</w:t>
            </w:r>
          </w:p>
          <w:p w14:paraId="3A15A467"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ochrona środowiska, począwszy od gospodarowania odpadami aż po chemikalia,</w:t>
            </w:r>
          </w:p>
          <w:p w14:paraId="6B50DEC1"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ochrona radiologiczna i bezpieczeństwo jądrowe,</w:t>
            </w:r>
          </w:p>
          <w:p w14:paraId="187E7C11" w14:textId="77777777" w:rsidR="00C017C1"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 xml:space="preserve">bezpieczeństwo żywności i pasz, </w:t>
            </w:r>
          </w:p>
          <w:p w14:paraId="476A45A8"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zdrowie i dobrostan zwierząt,</w:t>
            </w:r>
          </w:p>
          <w:p w14:paraId="52FF21AF"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zdrowie publiczne, w tym prawa pacjentów i kontrola wyrobów tytoniowych,</w:t>
            </w:r>
          </w:p>
          <w:p w14:paraId="20BC26BE"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ochrona konsumentów,</w:t>
            </w:r>
          </w:p>
          <w:p w14:paraId="6D271DA3" w14:textId="77777777" w:rsidR="00C017C1"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 xml:space="preserve">ochrona prywatności i danych osobowych, </w:t>
            </w:r>
          </w:p>
          <w:p w14:paraId="10A8F585"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 </w:t>
            </w:r>
            <w:r w:rsidRPr="00C7405D">
              <w:rPr>
                <w:rFonts w:ascii="Times New Roman" w:eastAsia="Times New Roman" w:hAnsi="Times New Roman"/>
                <w:szCs w:val="24"/>
                <w:lang w:eastAsia="pl-PL"/>
              </w:rPr>
              <w:t xml:space="preserve">bezpieczeństwo sieci i systemów </w:t>
            </w:r>
            <w:r>
              <w:rPr>
                <w:rFonts w:ascii="Times New Roman" w:eastAsia="Times New Roman" w:hAnsi="Times New Roman"/>
                <w:szCs w:val="24"/>
                <w:lang w:eastAsia="pl-PL"/>
              </w:rPr>
              <w:t>teleinformatycznych</w:t>
            </w:r>
            <w:r w:rsidRPr="00C7405D">
              <w:rPr>
                <w:rFonts w:ascii="Times New Roman" w:eastAsia="Times New Roman" w:hAnsi="Times New Roman"/>
                <w:szCs w:val="24"/>
                <w:lang w:eastAsia="pl-PL"/>
              </w:rPr>
              <w:t>;</w:t>
            </w:r>
          </w:p>
          <w:p w14:paraId="3CDFBA2C"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b) </w:t>
            </w:r>
            <w:r w:rsidRPr="00C7405D">
              <w:rPr>
                <w:rFonts w:ascii="Times New Roman" w:eastAsia="Times New Roman" w:hAnsi="Times New Roman"/>
                <w:szCs w:val="24"/>
                <w:lang w:eastAsia="pl-PL"/>
              </w:rPr>
              <w:t>naruszeń mających wpływ na interesy finansowe UE;</w:t>
            </w:r>
          </w:p>
          <w:p w14:paraId="6DF5EF11" w14:textId="77777777" w:rsidR="00C017C1" w:rsidRPr="00C7405D" w:rsidRDefault="00C017C1" w:rsidP="00C017C1">
            <w:pPr>
              <w:pStyle w:val="Bezodstpw"/>
              <w:jc w:val="both"/>
              <w:rPr>
                <w:rFonts w:ascii="Times New Roman" w:eastAsia="Times New Roman" w:hAnsi="Times New Roman"/>
                <w:szCs w:val="24"/>
                <w:lang w:eastAsia="pl-PL"/>
              </w:rPr>
            </w:pPr>
            <w:r>
              <w:rPr>
                <w:rFonts w:ascii="Times New Roman" w:eastAsia="Times New Roman" w:hAnsi="Times New Roman"/>
                <w:szCs w:val="24"/>
                <w:lang w:eastAsia="pl-PL"/>
              </w:rPr>
              <w:t xml:space="preserve">c) </w:t>
            </w:r>
            <w:r w:rsidRPr="00C7405D">
              <w:rPr>
                <w:rFonts w:ascii="Times New Roman" w:eastAsia="Times New Roman" w:hAnsi="Times New Roman"/>
                <w:szCs w:val="24"/>
                <w:lang w:eastAsia="pl-PL"/>
              </w:rPr>
              <w:t>naruszeń dotyczących rynku wewnętrznego, w tym naruszeń unijnych zasad ko</w:t>
            </w:r>
            <w:r>
              <w:rPr>
                <w:rFonts w:ascii="Times New Roman" w:eastAsia="Times New Roman" w:hAnsi="Times New Roman"/>
                <w:szCs w:val="24"/>
                <w:lang w:eastAsia="pl-PL"/>
              </w:rPr>
              <w:t>nkurencji i pomocy państwa oraz </w:t>
            </w:r>
            <w:r w:rsidRPr="00C7405D">
              <w:rPr>
                <w:rFonts w:ascii="Times New Roman" w:eastAsia="Times New Roman" w:hAnsi="Times New Roman"/>
                <w:szCs w:val="24"/>
                <w:lang w:eastAsia="pl-PL"/>
              </w:rPr>
              <w:t xml:space="preserve">naruszeń krajowych przepisów </w:t>
            </w:r>
            <w:r>
              <w:rPr>
                <w:rFonts w:ascii="Times New Roman" w:eastAsia="Times New Roman" w:hAnsi="Times New Roman"/>
                <w:szCs w:val="24"/>
                <w:lang w:eastAsia="pl-PL"/>
              </w:rPr>
              <w:t>regulujących opodatkowanie</w:t>
            </w:r>
            <w:r w:rsidRPr="00C7405D">
              <w:rPr>
                <w:rFonts w:ascii="Times New Roman" w:eastAsia="Times New Roman" w:hAnsi="Times New Roman"/>
                <w:szCs w:val="24"/>
                <w:lang w:eastAsia="pl-PL"/>
              </w:rPr>
              <w:t xml:space="preserve"> osób prawnych.</w:t>
            </w:r>
          </w:p>
          <w:p w14:paraId="0EE14B27" w14:textId="77777777" w:rsidR="00C017C1" w:rsidRDefault="00C017C1" w:rsidP="00C017C1">
            <w:pPr>
              <w:pStyle w:val="Bezodstpw"/>
              <w:jc w:val="both"/>
              <w:rPr>
                <w:rFonts w:ascii="Times New Roman" w:hAnsi="Times New Roman"/>
              </w:rPr>
            </w:pPr>
            <w:r w:rsidRPr="00C7405D">
              <w:rPr>
                <w:rFonts w:ascii="Times New Roman" w:hAnsi="Times New Roman"/>
              </w:rPr>
              <w:t xml:space="preserve">Dyrektywa </w:t>
            </w:r>
            <w:r>
              <w:rPr>
                <w:rFonts w:ascii="Times New Roman" w:hAnsi="Times New Roman"/>
              </w:rPr>
              <w:t xml:space="preserve">2019/1937 </w:t>
            </w:r>
            <w:r w:rsidRPr="00C7405D">
              <w:rPr>
                <w:rFonts w:ascii="Times New Roman" w:hAnsi="Times New Roman"/>
              </w:rPr>
              <w:t xml:space="preserve">nakłada na państwa członkowskie obowiązek wdrożenia regulacji </w:t>
            </w:r>
            <w:r>
              <w:rPr>
                <w:rFonts w:ascii="Times New Roman" w:hAnsi="Times New Roman"/>
              </w:rPr>
              <w:t xml:space="preserve">zapewniających ochronę sygnalistom, w tym </w:t>
            </w:r>
            <w:r w:rsidRPr="00C7405D">
              <w:rPr>
                <w:rFonts w:ascii="Times New Roman" w:hAnsi="Times New Roman"/>
              </w:rPr>
              <w:t>ustanowienia wewnętrznych</w:t>
            </w:r>
            <w:r>
              <w:rPr>
                <w:rFonts w:ascii="Times New Roman" w:hAnsi="Times New Roman"/>
              </w:rPr>
              <w:t xml:space="preserve"> </w:t>
            </w:r>
            <w:r w:rsidRPr="00C7405D">
              <w:rPr>
                <w:rFonts w:ascii="Times New Roman" w:hAnsi="Times New Roman"/>
              </w:rPr>
              <w:t>procedur dokonywania zgłoszeń naruszeń objętych dyrektywą, dotyczący podmiotów z sektora publicznego, jak i podmiotów z sektora prywatnego</w:t>
            </w:r>
            <w:r>
              <w:rPr>
                <w:rFonts w:ascii="Times New Roman" w:hAnsi="Times New Roman"/>
              </w:rPr>
              <w:t>, oraz procedur dokonywania zgłoszeń do organów publicznych</w:t>
            </w:r>
            <w:r w:rsidRPr="00C7405D">
              <w:rPr>
                <w:rFonts w:ascii="Times New Roman" w:hAnsi="Times New Roman"/>
              </w:rPr>
              <w:t xml:space="preserve">. W zakresie prywatnych podmiotów (a więc w szczególności przedsiębiorców) obowiązki określone w dyrektywie </w:t>
            </w:r>
            <w:r>
              <w:rPr>
                <w:rFonts w:ascii="Times New Roman" w:hAnsi="Times New Roman"/>
              </w:rPr>
              <w:t xml:space="preserve">2019/1937 związane z wewnętrznymi procedurami dokonywania zgłoszeń </w:t>
            </w:r>
            <w:r w:rsidRPr="00C7405D">
              <w:rPr>
                <w:rFonts w:ascii="Times New Roman" w:hAnsi="Times New Roman"/>
              </w:rPr>
              <w:t>dotyczą podmiotów zatrudniających co najmniej 50 pracowników lub prowadzących działalność w zakresie usług finansowych lub związaną z ryzykiem prania pieniędzy lub finansowania terroryzmu.</w:t>
            </w:r>
          </w:p>
          <w:p w14:paraId="740CC0E6" w14:textId="77777777" w:rsidR="00C017C1" w:rsidRPr="00176700" w:rsidRDefault="00C017C1" w:rsidP="00C017C1">
            <w:pPr>
              <w:spacing w:line="240" w:lineRule="auto"/>
              <w:jc w:val="both"/>
              <w:rPr>
                <w:rFonts w:ascii="Times New Roman" w:eastAsiaTheme="minorHAnsi" w:hAnsi="Times New Roman"/>
                <w:lang w:eastAsia="pl-PL"/>
              </w:rPr>
            </w:pPr>
            <w:r w:rsidRPr="00176700">
              <w:rPr>
                <w:rFonts w:ascii="Times New Roman" w:eastAsiaTheme="minorHAnsi" w:hAnsi="Times New Roman"/>
                <w:lang w:eastAsia="pl-PL"/>
              </w:rPr>
              <w:t>Aktualnie w polskim systemie prawnym brak jest kompleksowej regulacji poświęconej ochronie tzw. sygnalistów, w tym rozwiązań wymaganych dyrektywą 2019/1937. Zgłaszanie naruszeń prawa i ochrona zgłaszających mogą być realizowane przede wszystkim na gruncie odpowiednich przepisów o powszechnym zakresie zastosowania. M.in. ochronie pracownika przed działaniem odwetowym ze strony pracodawcy, z uwagi na dokonanie przez niego zgłoszenia naruszenia, mogą służyć obowiązujące instytucje prawa pracy: regulacje dotyczące zasady niedyskryminowania w zatrudnieniu (art. 18</w:t>
            </w:r>
            <w:r w:rsidRPr="00176700">
              <w:rPr>
                <w:rFonts w:ascii="Times New Roman" w:eastAsiaTheme="minorHAnsi" w:hAnsi="Times New Roman"/>
                <w:vertAlign w:val="superscript"/>
                <w:lang w:eastAsia="pl-PL"/>
              </w:rPr>
              <w:t>3a</w:t>
            </w:r>
            <w:r w:rsidRPr="00176700">
              <w:rPr>
                <w:rFonts w:ascii="Times New Roman" w:eastAsiaTheme="minorHAnsi" w:hAnsi="Times New Roman"/>
                <w:lang w:eastAsia="pl-PL"/>
              </w:rPr>
              <w:t xml:space="preserve"> § 1 </w:t>
            </w:r>
            <w:r w:rsidRPr="00DD4630">
              <w:rPr>
                <w:rFonts w:ascii="Times New Roman" w:eastAsiaTheme="minorHAnsi" w:hAnsi="Times New Roman"/>
                <w:iCs/>
                <w:lang w:eastAsia="pl-PL"/>
              </w:rPr>
              <w:t>ustawy z dnia 26 czerwca 1974 r. – Kodeks pracy (Dz. U. z 2020 r. poz. 1320</w:t>
            </w:r>
            <w:r w:rsidR="0003526E">
              <w:rPr>
                <w:rFonts w:ascii="Times New Roman" w:eastAsiaTheme="minorHAnsi" w:hAnsi="Times New Roman"/>
                <w:iCs/>
                <w:lang w:eastAsia="pl-PL"/>
              </w:rPr>
              <w:t xml:space="preserve"> i z 2021 r. poz. 1162</w:t>
            </w:r>
            <w:r>
              <w:rPr>
                <w:rFonts w:ascii="Times New Roman" w:eastAsiaTheme="minorHAnsi" w:hAnsi="Times New Roman"/>
                <w:iCs/>
                <w:lang w:eastAsia="pl-PL"/>
              </w:rPr>
              <w:t>, zwanej dalej „Kodeks pracy”</w:t>
            </w:r>
            <w:r w:rsidRPr="00176700">
              <w:rPr>
                <w:rFonts w:ascii="Times New Roman" w:eastAsiaTheme="minorHAnsi" w:hAnsi="Times New Roman"/>
                <w:lang w:eastAsia="pl-PL"/>
              </w:rPr>
              <w:t>), naruszenia zasady równego traktowania (art. 18</w:t>
            </w:r>
            <w:r w:rsidRPr="00176700">
              <w:rPr>
                <w:rFonts w:ascii="Times New Roman" w:eastAsiaTheme="minorHAnsi" w:hAnsi="Times New Roman"/>
                <w:vertAlign w:val="superscript"/>
                <w:lang w:eastAsia="pl-PL"/>
              </w:rPr>
              <w:t>3b</w:t>
            </w:r>
            <w:r w:rsidRPr="00176700">
              <w:rPr>
                <w:rFonts w:ascii="Times New Roman" w:eastAsiaTheme="minorHAnsi" w:hAnsi="Times New Roman"/>
                <w:lang w:eastAsia="pl-PL"/>
              </w:rPr>
              <w:t xml:space="preserve"> § 1 Kodeksu pracy), jak również normujące obowiązek pracodawcy </w:t>
            </w:r>
            <w:r w:rsidRPr="00176700">
              <w:rPr>
                <w:rFonts w:ascii="Times New Roman" w:eastAsiaTheme="minorHAnsi" w:hAnsi="Times New Roman"/>
                <w:lang w:eastAsia="pl-PL"/>
              </w:rPr>
              <w:lastRenderedPageBreak/>
              <w:t xml:space="preserve">przeciwdziałania dyskryminacji </w:t>
            </w:r>
            <w:r>
              <w:rPr>
                <w:rFonts w:ascii="Times New Roman" w:eastAsiaTheme="minorHAnsi" w:hAnsi="Times New Roman"/>
                <w:lang w:eastAsia="pl-PL"/>
              </w:rPr>
              <w:t xml:space="preserve">w zatrudnieniu </w:t>
            </w:r>
            <w:r w:rsidRPr="00176700">
              <w:rPr>
                <w:rFonts w:ascii="Times New Roman" w:eastAsiaTheme="minorHAnsi" w:hAnsi="Times New Roman"/>
                <w:lang w:eastAsia="pl-PL"/>
              </w:rPr>
              <w:t>(art. 94 pkt 2b Kodeksu pracy). Z uwagi na otwarty katalog przesłanek dyskryminacyjnych przepisy te mogą być stosowane także w przypadku dyskryminacji pracownika z uwagi na dokonanie przez niego zgłoszenia. Zgodnie z art. 18</w:t>
            </w:r>
            <w:r w:rsidRPr="00176700">
              <w:rPr>
                <w:rFonts w:ascii="Times New Roman" w:eastAsiaTheme="minorHAnsi" w:hAnsi="Times New Roman"/>
                <w:vertAlign w:val="superscript"/>
                <w:lang w:eastAsia="pl-PL"/>
              </w:rPr>
              <w:t xml:space="preserve">3d </w:t>
            </w:r>
            <w:r w:rsidRPr="00176700">
              <w:rPr>
                <w:rFonts w:ascii="Times New Roman" w:eastAsiaTheme="minorHAnsi" w:hAnsi="Times New Roman"/>
                <w:lang w:eastAsia="pl-PL"/>
              </w:rPr>
              <w:t>Kodeksu pracy osoba, wobec której pracodawca naruszył zasadę równego traktowania w zatrudnieniu, ma prawo do odszkodowania w wysokości nie niższej niż minimalne wynagrodzenie za pracę. Jednocześnie w art. 18</w:t>
            </w:r>
            <w:r w:rsidRPr="00176700">
              <w:rPr>
                <w:rFonts w:ascii="Times New Roman" w:eastAsiaTheme="minorHAnsi" w:hAnsi="Times New Roman"/>
                <w:vertAlign w:val="superscript"/>
                <w:lang w:eastAsia="pl-PL"/>
              </w:rPr>
              <w:t xml:space="preserve">3e </w:t>
            </w:r>
            <w:r w:rsidRPr="00176700">
              <w:rPr>
                <w:rFonts w:ascii="Times New Roman" w:eastAsiaTheme="minorHAnsi" w:hAnsi="Times New Roman"/>
                <w:lang w:eastAsia="pl-PL"/>
              </w:rPr>
              <w:t>Kodeks pracy statuuje normę ochroną, zgodnie z którą skorzystanie przez pracownika z uprawnień przysługujących z tytułu naruszenia zasady równego traktowania w zatrudnieniu nie może być podstawą niekorzystnego traktowania pracownika, a także nie może powodować jakichkolwiek negatywnych konsekwencji wobec pracownika. Pracodawca jest także obowiązany przeciwdziałać mobbingowi (art. 94</w:t>
            </w:r>
            <w:r w:rsidRPr="00176700">
              <w:rPr>
                <w:rFonts w:ascii="Times New Roman" w:eastAsiaTheme="minorHAnsi" w:hAnsi="Times New Roman"/>
                <w:vertAlign w:val="superscript"/>
                <w:lang w:eastAsia="pl-PL"/>
              </w:rPr>
              <w:t xml:space="preserve">3 </w:t>
            </w:r>
            <w:r w:rsidRPr="00176700">
              <w:rPr>
                <w:rFonts w:ascii="Times New Roman" w:eastAsiaTheme="minorHAnsi" w:hAnsi="Times New Roman"/>
                <w:lang w:eastAsia="pl-PL"/>
              </w:rPr>
              <w:t xml:space="preserve">Kodeksu pracy). Takie działanie pracodawcy jest niezależne od przyczyn, które wywołały mobbing. Dotyczy to więc także mobbingu, który mógłby zaistnieć lub zaistniał wskutek dokonania przez pracownika zgłoszenia. Na ogólnych zasadach ochronie tzw. sygnalisty mogą służyć przepisy chroniące przed nieuzasadnionym rozwiązaniem stosunku pracy. Zastosowanie mogą znaleźć rozwiązania instytucjonalne ogólnie służące ochronie pracowników, które w odpowiednich przypadkach mogą objąć również pracowników – sygnalistów (na przykład wsparcie ze strony związków zawodowych lub Państwowej Inspekcji Pracy). W ramach procedury karnej przewidziane są instytucje prawne, których funkcja ochronna może służyć także sygnalistom, w tym rozwiązania związane z ochroną świadków w postępowaniu karnym (instytucja świadka anonimowego – art. 184 </w:t>
            </w:r>
            <w:r>
              <w:rPr>
                <w:rFonts w:ascii="Times New Roman" w:eastAsiaTheme="minorHAnsi" w:hAnsi="Times New Roman"/>
                <w:lang w:eastAsia="pl-PL"/>
              </w:rPr>
              <w:t>ustawy z dnia 6 czerwca 1997 r. – Kodeks postępowania karnego (Dz. U. z 2021 r. poz. 534, z późn. zm.), zwany dalej „</w:t>
            </w:r>
            <w:r w:rsidRPr="007227FC">
              <w:rPr>
                <w:rFonts w:ascii="Times New Roman" w:eastAsiaTheme="minorHAnsi" w:hAnsi="Times New Roman"/>
                <w:lang w:eastAsia="pl-PL"/>
              </w:rPr>
              <w:t>kpk</w:t>
            </w:r>
            <w:r>
              <w:rPr>
                <w:rFonts w:ascii="Times New Roman" w:eastAsiaTheme="minorHAnsi" w:hAnsi="Times New Roman"/>
                <w:lang w:eastAsia="pl-PL"/>
              </w:rPr>
              <w:t>”</w:t>
            </w:r>
            <w:r w:rsidRPr="00176700">
              <w:rPr>
                <w:rFonts w:ascii="Times New Roman" w:eastAsiaTheme="minorHAnsi" w:hAnsi="Times New Roman"/>
                <w:lang w:eastAsia="pl-PL"/>
              </w:rPr>
              <w:t>; możliwość zachowania danych umożliwiających ujawnienie tożsamości świadka wyłącznie do wiadomości sądu i prokuratora, a gdy zachodzi konieczność również funkcjonariusza Policji prowadzącego postępowanie – art. 1</w:t>
            </w:r>
            <w:r>
              <w:rPr>
                <w:rFonts w:ascii="Times New Roman" w:eastAsiaTheme="minorHAnsi" w:hAnsi="Times New Roman"/>
                <w:lang w:eastAsia="pl-PL"/>
              </w:rPr>
              <w:t>84 § 2</w:t>
            </w:r>
            <w:r w:rsidRPr="00176700">
              <w:rPr>
                <w:rFonts w:ascii="Times New Roman" w:eastAsiaTheme="minorHAnsi" w:hAnsi="Times New Roman"/>
                <w:lang w:eastAsia="pl-PL"/>
              </w:rPr>
              <w:t xml:space="preserve"> kpk) lub zapewnienie możliwości anonimowego przekazania zawiadomienia o przestępstwie organom ścigania. Odpowiednie zastosowanie mogą znaleźć środki objęte ustawą z dnia 28 listopada 2014 r. o ochronie i pomocy dla pokrzywdzonego i świadka (Dz. U. z 2015 r. poz. 21). Brak jest przepisów karnych materialnych bezpośrednio związanych z sygnalizowaniem, aczkolwiek zgodnie z art. 218 </w:t>
            </w:r>
            <w:r>
              <w:rPr>
                <w:rFonts w:ascii="Times New Roman" w:eastAsiaTheme="minorHAnsi" w:hAnsi="Times New Roman"/>
                <w:lang w:eastAsia="pl-PL"/>
              </w:rPr>
              <w:t xml:space="preserve">ustawy z dnia 6 czerwca 1997 r. – </w:t>
            </w:r>
            <w:r w:rsidRPr="007227FC">
              <w:rPr>
                <w:rFonts w:ascii="Times New Roman" w:eastAsiaTheme="minorHAnsi" w:hAnsi="Times New Roman"/>
                <w:lang w:eastAsia="pl-PL"/>
              </w:rPr>
              <w:t>Kodeks karn</w:t>
            </w:r>
            <w:r>
              <w:rPr>
                <w:rFonts w:ascii="Times New Roman" w:eastAsiaTheme="minorHAnsi" w:hAnsi="Times New Roman"/>
                <w:lang w:eastAsia="pl-PL"/>
              </w:rPr>
              <w:t>y (Dz. U. z 2020 r. poz. 1444, z poźn. zm.)</w:t>
            </w:r>
            <w:r w:rsidRPr="00176700">
              <w:rPr>
                <w:rFonts w:ascii="Times New Roman" w:eastAsiaTheme="minorHAnsi" w:hAnsi="Times New Roman"/>
                <w:lang w:eastAsia="pl-PL"/>
              </w:rPr>
              <w:t xml:space="preserve"> karze podlega złośliwe lub uporczywe narusz</w:t>
            </w:r>
            <w:r>
              <w:rPr>
                <w:rFonts w:ascii="Times New Roman" w:eastAsiaTheme="minorHAnsi" w:hAnsi="Times New Roman"/>
                <w:lang w:eastAsia="pl-PL"/>
              </w:rPr>
              <w:t>a</w:t>
            </w:r>
            <w:r w:rsidRPr="00176700">
              <w:rPr>
                <w:rFonts w:ascii="Times New Roman" w:eastAsiaTheme="minorHAnsi" w:hAnsi="Times New Roman"/>
                <w:lang w:eastAsia="pl-PL"/>
              </w:rPr>
              <w:t xml:space="preserve">nie prawa pracownika wynikającego ze stosunku pracy lub ubezpieczenia społecznego oraz odmowa ponownego przyjęcia do pracy, o której przywróceniu orzekł właściwy organ. Niewątpliwie ujawnianiu naruszeń prawa i innego rodzaju nieprawidłowości służą obowiązujące przepisy gwarantujące swobodę wypowiedzi i wolność prasy, wraz z przewidzianymi w nich gwarancjami ochrony źródeł informacji, takimi jak przewidziany w ustawie z dnia 26 stycznia 1984 r. </w:t>
            </w:r>
            <w:r>
              <w:rPr>
                <w:rFonts w:ascii="Times New Roman" w:eastAsiaTheme="minorHAnsi" w:hAnsi="Times New Roman"/>
                <w:lang w:eastAsia="pl-PL"/>
              </w:rPr>
              <w:t xml:space="preserve">– </w:t>
            </w:r>
            <w:r w:rsidRPr="00176700">
              <w:rPr>
                <w:rFonts w:ascii="Times New Roman" w:eastAsiaTheme="minorHAnsi" w:hAnsi="Times New Roman"/>
                <w:lang w:eastAsia="pl-PL"/>
              </w:rPr>
              <w:t xml:space="preserve">Prawo prasowe </w:t>
            </w:r>
            <w:r>
              <w:rPr>
                <w:rFonts w:ascii="Times New Roman" w:eastAsiaTheme="minorHAnsi" w:hAnsi="Times New Roman"/>
                <w:lang w:eastAsia="pl-PL"/>
              </w:rPr>
              <w:t>(</w:t>
            </w:r>
            <w:r w:rsidRPr="00176700">
              <w:rPr>
                <w:rFonts w:ascii="Times New Roman" w:eastAsiaTheme="minorHAnsi" w:hAnsi="Times New Roman"/>
                <w:lang w:eastAsia="pl-PL"/>
              </w:rPr>
              <w:t>Dz. U. z 2018 r. poz. 1914</w:t>
            </w:r>
            <w:r>
              <w:rPr>
                <w:rFonts w:ascii="Times New Roman" w:eastAsiaTheme="minorHAnsi" w:hAnsi="Times New Roman"/>
                <w:lang w:eastAsia="pl-PL"/>
              </w:rPr>
              <w:t>)</w:t>
            </w:r>
            <w:r w:rsidRPr="00176700">
              <w:rPr>
                <w:rFonts w:ascii="Times New Roman" w:eastAsiaTheme="minorHAnsi" w:hAnsi="Times New Roman"/>
                <w:lang w:eastAsia="pl-PL"/>
              </w:rPr>
              <w:t xml:space="preserve"> (art. 15 ust. 2 pkt 1) obowiązek dziennikarza zachowania w tajemnicy danych umożliwiających identyfikację osób udzielających informacji opublikowanych albo przekazanych do opublikowania. Ujawnianiu nieprawidłowości, w merytorycznym zakresie określonym w </w:t>
            </w:r>
            <w:r>
              <w:rPr>
                <w:rFonts w:ascii="Times New Roman" w:eastAsiaTheme="minorHAnsi" w:hAnsi="Times New Roman"/>
                <w:lang w:eastAsia="pl-PL"/>
              </w:rPr>
              <w:t xml:space="preserve">ustawie z dnia </w:t>
            </w:r>
            <w:r w:rsidRPr="00473E30">
              <w:rPr>
                <w:rFonts w:ascii="Times New Roman" w:eastAsiaTheme="minorHAnsi" w:hAnsi="Times New Roman"/>
                <w:lang w:eastAsia="pl-PL"/>
              </w:rPr>
              <w:t>z dnia 14 czerwca 1960 r.</w:t>
            </w:r>
            <w:r>
              <w:rPr>
                <w:rFonts w:ascii="Times New Roman" w:eastAsiaTheme="minorHAnsi" w:hAnsi="Times New Roman"/>
                <w:lang w:eastAsia="pl-PL"/>
              </w:rPr>
              <w:t xml:space="preserve"> – </w:t>
            </w:r>
            <w:r w:rsidRPr="00176700">
              <w:rPr>
                <w:rFonts w:ascii="Times New Roman" w:eastAsiaTheme="minorHAnsi" w:hAnsi="Times New Roman"/>
                <w:lang w:eastAsia="pl-PL"/>
              </w:rPr>
              <w:t>Kodeks postępowania administracyjnego</w:t>
            </w:r>
            <w:r>
              <w:rPr>
                <w:rFonts w:ascii="Times New Roman" w:eastAsiaTheme="minorHAnsi" w:hAnsi="Times New Roman"/>
                <w:lang w:eastAsia="pl-PL"/>
              </w:rPr>
              <w:t xml:space="preserve"> (</w:t>
            </w:r>
            <w:r w:rsidRPr="00473E30">
              <w:rPr>
                <w:rFonts w:ascii="Times New Roman" w:eastAsiaTheme="minorHAnsi" w:hAnsi="Times New Roman"/>
                <w:lang w:eastAsia="pl-PL"/>
              </w:rPr>
              <w:t>Dz.</w:t>
            </w:r>
            <w:r>
              <w:rPr>
                <w:rFonts w:ascii="Times New Roman" w:eastAsiaTheme="minorHAnsi" w:hAnsi="Times New Roman"/>
                <w:lang w:eastAsia="pl-PL"/>
              </w:rPr>
              <w:t xml:space="preserve"> </w:t>
            </w:r>
            <w:r w:rsidRPr="00473E30">
              <w:rPr>
                <w:rFonts w:ascii="Times New Roman" w:eastAsiaTheme="minorHAnsi" w:hAnsi="Times New Roman"/>
                <w:lang w:eastAsia="pl-PL"/>
              </w:rPr>
              <w:t xml:space="preserve">U. </w:t>
            </w:r>
            <w:r>
              <w:rPr>
                <w:rFonts w:ascii="Times New Roman" w:eastAsiaTheme="minorHAnsi" w:hAnsi="Times New Roman"/>
                <w:lang w:eastAsia="pl-PL"/>
              </w:rPr>
              <w:t xml:space="preserve">z </w:t>
            </w:r>
            <w:r w:rsidRPr="00473E30">
              <w:rPr>
                <w:rFonts w:ascii="Times New Roman" w:eastAsiaTheme="minorHAnsi" w:hAnsi="Times New Roman"/>
                <w:lang w:eastAsia="pl-PL"/>
              </w:rPr>
              <w:t>2021 r. poz. 735</w:t>
            </w:r>
            <w:r>
              <w:rPr>
                <w:rFonts w:ascii="Times New Roman" w:eastAsiaTheme="minorHAnsi" w:hAnsi="Times New Roman"/>
                <w:lang w:eastAsia="pl-PL"/>
              </w:rPr>
              <w:t>, z późn. zm.)</w:t>
            </w:r>
            <w:r w:rsidRPr="00176700">
              <w:rPr>
                <w:rFonts w:ascii="Times New Roman" w:eastAsiaTheme="minorHAnsi" w:hAnsi="Times New Roman"/>
                <w:lang w:eastAsia="pl-PL"/>
              </w:rPr>
              <w:t xml:space="preserve">, służą przepisy tego kodeksu o skargach i wnioskach. Wszystkie omawiane wyżej instytucje prawne, jakkolwiek zmierzają bądź do zapewnienia możliwości zgłaszania lub ujawniania nieprawidłowości, bądź służą ochronie osób, które o takich nieprawidłowościach informują, nie są, jako takie, środkami ochrony sygnalistów, których wdrożenia wymaga dyrektywa 2019/1937. Najczęściej nie są też powszechnie uznawane za środki ochrony sygnalistów w ścisłym znaczeniu. </w:t>
            </w:r>
          </w:p>
          <w:p w14:paraId="28513E6D" w14:textId="77777777" w:rsidR="00C017C1" w:rsidRPr="00176700" w:rsidRDefault="00C017C1" w:rsidP="00C017C1">
            <w:pPr>
              <w:spacing w:line="240" w:lineRule="auto"/>
              <w:jc w:val="both"/>
              <w:rPr>
                <w:rFonts w:ascii="Times New Roman" w:eastAsiaTheme="minorHAnsi" w:hAnsi="Times New Roman"/>
                <w:lang w:eastAsia="pl-PL"/>
              </w:rPr>
            </w:pPr>
            <w:r w:rsidRPr="00176700">
              <w:rPr>
                <w:rFonts w:ascii="Times New Roman" w:eastAsiaTheme="minorHAnsi" w:hAnsi="Times New Roman"/>
                <w:lang w:eastAsia="pl-PL"/>
              </w:rPr>
              <w:t>Wskazać należy jednocześnie na różnego rodzaju szczególne przepisy i rozwiązania sektorowe związane ze zgłaszaniem naruszeń prawa i innych nieprawidłowości (częściowo wynikające z regulacji unijnych wymienionych w części II załącznika do dyrektywy 2019/1937), w tym zadania Komisji Nadzoru Finansowego z art. 133a ust. 9 i 10 ustawy</w:t>
            </w:r>
            <w:r>
              <w:rPr>
                <w:rFonts w:ascii="Times New Roman" w:eastAsiaTheme="minorHAnsi" w:hAnsi="Times New Roman"/>
                <w:lang w:eastAsia="pl-PL"/>
              </w:rPr>
              <w:t xml:space="preserve"> </w:t>
            </w:r>
            <w:r w:rsidRPr="008A1E75">
              <w:rPr>
                <w:rFonts w:ascii="Times New Roman" w:eastAsiaTheme="minorHAnsi" w:hAnsi="Times New Roman"/>
                <w:lang w:eastAsia="pl-PL"/>
              </w:rPr>
              <w:t>z dnia 29 sierpnia 1997 r.</w:t>
            </w:r>
            <w:r>
              <w:rPr>
                <w:rFonts w:ascii="Times New Roman" w:eastAsiaTheme="minorHAnsi" w:hAnsi="Times New Roman"/>
                <w:lang w:eastAsia="pl-PL"/>
              </w:rPr>
              <w:t xml:space="preserve"> –</w:t>
            </w:r>
            <w:r w:rsidRPr="00176700">
              <w:rPr>
                <w:rFonts w:ascii="Times New Roman" w:eastAsiaTheme="minorHAnsi" w:hAnsi="Times New Roman"/>
                <w:lang w:eastAsia="pl-PL"/>
              </w:rPr>
              <w:t xml:space="preserve"> Prawo bankowe (Dz.</w:t>
            </w:r>
            <w:r>
              <w:rPr>
                <w:rFonts w:ascii="Times New Roman" w:eastAsiaTheme="minorHAnsi" w:hAnsi="Times New Roman"/>
                <w:lang w:eastAsia="pl-PL"/>
              </w:rPr>
              <w:t xml:space="preserve"> </w:t>
            </w:r>
            <w:r w:rsidRPr="00176700">
              <w:rPr>
                <w:rFonts w:ascii="Times New Roman" w:eastAsiaTheme="minorHAnsi" w:hAnsi="Times New Roman"/>
                <w:lang w:eastAsia="pl-PL"/>
              </w:rPr>
              <w:t>U. z 2020 r. poz. 1896</w:t>
            </w:r>
            <w:r>
              <w:rPr>
                <w:rFonts w:ascii="Times New Roman" w:eastAsiaTheme="minorHAnsi" w:hAnsi="Times New Roman"/>
                <w:lang w:eastAsia="pl-PL"/>
              </w:rPr>
              <w:t>,</w:t>
            </w:r>
            <w:r w:rsidRPr="00176700">
              <w:rPr>
                <w:rFonts w:ascii="Times New Roman" w:eastAsiaTheme="minorHAnsi" w:hAnsi="Times New Roman"/>
                <w:lang w:eastAsia="pl-PL"/>
              </w:rPr>
              <w:t xml:space="preserve"> </w:t>
            </w:r>
            <w:r>
              <w:rPr>
                <w:rFonts w:ascii="Times New Roman" w:eastAsiaTheme="minorHAnsi" w:hAnsi="Times New Roman"/>
                <w:lang w:eastAsia="pl-PL"/>
              </w:rPr>
              <w:t>z późn. zm.),</w:t>
            </w:r>
            <w:r w:rsidRPr="00176700">
              <w:rPr>
                <w:rFonts w:ascii="Times New Roman" w:eastAsiaTheme="minorHAnsi" w:hAnsi="Times New Roman"/>
                <w:lang w:eastAsia="pl-PL"/>
              </w:rPr>
              <w:t xml:space="preserve"> zadania Komisji Nadzoru Finansowego z art. 3a i </w:t>
            </w:r>
            <w:r>
              <w:rPr>
                <w:rFonts w:ascii="Times New Roman" w:eastAsiaTheme="minorHAnsi" w:hAnsi="Times New Roman"/>
                <w:lang w:eastAsia="pl-PL"/>
              </w:rPr>
              <w:t xml:space="preserve">art. </w:t>
            </w:r>
            <w:r w:rsidRPr="00176700">
              <w:rPr>
                <w:rFonts w:ascii="Times New Roman" w:eastAsiaTheme="minorHAnsi" w:hAnsi="Times New Roman"/>
                <w:lang w:eastAsia="pl-PL"/>
              </w:rPr>
              <w:t>3b ustawy z dnia 29 lipca 2005 r. o nadzorze nad rynkiem kapitałowym (Dz. U. z 2020 r. poz. 1400</w:t>
            </w:r>
            <w:r>
              <w:rPr>
                <w:rFonts w:ascii="Times New Roman" w:eastAsiaTheme="minorHAnsi" w:hAnsi="Times New Roman"/>
                <w:lang w:eastAsia="pl-PL"/>
              </w:rPr>
              <w:t>, z późn. zm.</w:t>
            </w:r>
            <w:r w:rsidRPr="00176700">
              <w:rPr>
                <w:rFonts w:ascii="Times New Roman" w:eastAsiaTheme="minorHAnsi" w:hAnsi="Times New Roman"/>
                <w:lang w:eastAsia="pl-PL"/>
              </w:rPr>
              <w:t>), procedury wymagane od instytucji obowiązanych na gruncie art. 53 ustawy</w:t>
            </w:r>
            <w:r>
              <w:rPr>
                <w:rFonts w:ascii="Times New Roman" w:eastAsiaTheme="minorHAnsi" w:hAnsi="Times New Roman"/>
                <w:lang w:eastAsia="pl-PL"/>
              </w:rPr>
              <w:t xml:space="preserve"> </w:t>
            </w:r>
            <w:r w:rsidRPr="00437C1B">
              <w:rPr>
                <w:rFonts w:ascii="Times New Roman" w:eastAsiaTheme="minorHAnsi" w:hAnsi="Times New Roman"/>
                <w:lang w:eastAsia="pl-PL"/>
              </w:rPr>
              <w:t xml:space="preserve">z dnia 1 marca 2018 r. </w:t>
            </w:r>
            <w:r w:rsidRPr="00176700">
              <w:rPr>
                <w:rFonts w:ascii="Times New Roman" w:eastAsiaTheme="minorHAnsi" w:hAnsi="Times New Roman"/>
                <w:lang w:eastAsia="pl-PL"/>
              </w:rPr>
              <w:t>o przeciwdziałaniu praniu pieniędzy i finansowaniu terroryzmu (</w:t>
            </w:r>
            <w:r w:rsidRPr="00437C1B">
              <w:rPr>
                <w:rFonts w:ascii="Times New Roman" w:eastAsiaTheme="minorHAnsi" w:hAnsi="Times New Roman"/>
                <w:lang w:eastAsia="pl-PL"/>
              </w:rPr>
              <w:t>Dz.</w:t>
            </w:r>
            <w:r>
              <w:rPr>
                <w:rFonts w:ascii="Times New Roman" w:eastAsiaTheme="minorHAnsi" w:hAnsi="Times New Roman"/>
                <w:lang w:eastAsia="pl-PL"/>
              </w:rPr>
              <w:t xml:space="preserve"> </w:t>
            </w:r>
            <w:r w:rsidRPr="00437C1B">
              <w:rPr>
                <w:rFonts w:ascii="Times New Roman" w:eastAsiaTheme="minorHAnsi" w:hAnsi="Times New Roman"/>
                <w:lang w:eastAsia="pl-PL"/>
              </w:rPr>
              <w:t xml:space="preserve">U. </w:t>
            </w:r>
            <w:r>
              <w:rPr>
                <w:rFonts w:ascii="Times New Roman" w:eastAsiaTheme="minorHAnsi" w:hAnsi="Times New Roman"/>
                <w:lang w:eastAsia="pl-PL"/>
              </w:rPr>
              <w:t xml:space="preserve">z </w:t>
            </w:r>
            <w:r w:rsidRPr="00437C1B">
              <w:rPr>
                <w:rFonts w:ascii="Times New Roman" w:eastAsiaTheme="minorHAnsi" w:hAnsi="Times New Roman"/>
                <w:lang w:eastAsia="pl-PL"/>
              </w:rPr>
              <w:t>2021 r. poz. 1132</w:t>
            </w:r>
            <w:r>
              <w:rPr>
                <w:rFonts w:ascii="Times New Roman" w:eastAsiaTheme="minorHAnsi" w:hAnsi="Times New Roman"/>
                <w:lang w:eastAsia="pl-PL"/>
              </w:rPr>
              <w:t>,</w:t>
            </w:r>
            <w:r w:rsidRPr="00176700">
              <w:rPr>
                <w:rFonts w:ascii="Times New Roman" w:eastAsiaTheme="minorHAnsi" w:hAnsi="Times New Roman"/>
                <w:lang w:eastAsia="pl-PL"/>
              </w:rPr>
              <w:t xml:space="preserve"> z</w:t>
            </w:r>
            <w:r>
              <w:rPr>
                <w:rFonts w:ascii="Times New Roman" w:eastAsiaTheme="minorHAnsi" w:hAnsi="Times New Roman"/>
                <w:lang w:eastAsia="pl-PL"/>
              </w:rPr>
              <w:t xml:space="preserve"> późn. zm.</w:t>
            </w:r>
            <w:r w:rsidRPr="00176700">
              <w:rPr>
                <w:rFonts w:ascii="Times New Roman" w:eastAsiaTheme="minorHAnsi" w:hAnsi="Times New Roman"/>
                <w:lang w:eastAsia="pl-PL"/>
              </w:rPr>
              <w:t xml:space="preserve">), obowiązki spółki prowadzącej rynek regulowany wynikające z art. 25e ustawy </w:t>
            </w:r>
            <w:r w:rsidRPr="00437C1B">
              <w:rPr>
                <w:rFonts w:ascii="Times New Roman" w:eastAsiaTheme="minorHAnsi" w:hAnsi="Times New Roman"/>
                <w:lang w:eastAsia="pl-PL"/>
              </w:rPr>
              <w:t xml:space="preserve">z dnia 29 lipca 2005 r. </w:t>
            </w:r>
            <w:r w:rsidRPr="00176700">
              <w:rPr>
                <w:rFonts w:ascii="Times New Roman" w:eastAsiaTheme="minorHAnsi" w:hAnsi="Times New Roman"/>
                <w:lang w:eastAsia="pl-PL"/>
              </w:rPr>
              <w:t>o obrocie instrumentami finansowymi (Dz. U. z 2021 r. poz. 328</w:t>
            </w:r>
            <w:r>
              <w:rPr>
                <w:rFonts w:ascii="Times New Roman" w:eastAsiaTheme="minorHAnsi" w:hAnsi="Times New Roman"/>
                <w:lang w:eastAsia="pl-PL"/>
              </w:rPr>
              <w:t>,</w:t>
            </w:r>
            <w:r w:rsidRPr="00176700">
              <w:rPr>
                <w:rFonts w:ascii="Times New Roman" w:eastAsiaTheme="minorHAnsi" w:hAnsi="Times New Roman"/>
                <w:lang w:eastAsia="pl-PL"/>
              </w:rPr>
              <w:t xml:space="preserve"> z </w:t>
            </w:r>
            <w:r>
              <w:rPr>
                <w:rFonts w:ascii="Times New Roman" w:eastAsiaTheme="minorHAnsi" w:hAnsi="Times New Roman"/>
                <w:lang w:eastAsia="pl-PL"/>
              </w:rPr>
              <w:t xml:space="preserve">późn. </w:t>
            </w:r>
            <w:r w:rsidRPr="00176700">
              <w:rPr>
                <w:rFonts w:ascii="Times New Roman" w:eastAsiaTheme="minorHAnsi" w:hAnsi="Times New Roman"/>
                <w:lang w:eastAsia="pl-PL"/>
              </w:rPr>
              <w:t xml:space="preserve">zm.), obowiązki Prezesa Urzędu Lotnictwa Cywilnego oraz podmiotów wykonujących działalność w lotnictwie cywilnym w zakresie przyjmowania zgłoszeń przewidziane w art. 135c–135e ustawy </w:t>
            </w:r>
            <w:r w:rsidRPr="008A1E75">
              <w:rPr>
                <w:rFonts w:ascii="Times New Roman" w:eastAsiaTheme="minorHAnsi" w:hAnsi="Times New Roman"/>
                <w:lang w:eastAsia="pl-PL"/>
              </w:rPr>
              <w:t>z dnia 3 lipca 2002 r.</w:t>
            </w:r>
            <w:r>
              <w:rPr>
                <w:rFonts w:ascii="Times New Roman" w:eastAsiaTheme="minorHAnsi" w:hAnsi="Times New Roman"/>
                <w:lang w:eastAsia="pl-PL"/>
              </w:rPr>
              <w:t xml:space="preserve"> – </w:t>
            </w:r>
            <w:r w:rsidRPr="00176700">
              <w:rPr>
                <w:rFonts w:ascii="Times New Roman" w:eastAsiaTheme="minorHAnsi" w:hAnsi="Times New Roman"/>
                <w:lang w:eastAsia="pl-PL"/>
              </w:rPr>
              <w:t>Prawo lotnicze (Dz. U. z 2020 r. poz. 1970</w:t>
            </w:r>
            <w:r>
              <w:rPr>
                <w:rFonts w:ascii="Times New Roman" w:eastAsiaTheme="minorHAnsi" w:hAnsi="Times New Roman"/>
                <w:lang w:eastAsia="pl-PL"/>
              </w:rPr>
              <w:t>,</w:t>
            </w:r>
            <w:r w:rsidRPr="00176700">
              <w:rPr>
                <w:rFonts w:ascii="Times New Roman" w:eastAsiaTheme="minorHAnsi" w:hAnsi="Times New Roman"/>
                <w:lang w:eastAsia="pl-PL"/>
              </w:rPr>
              <w:t xml:space="preserve"> z </w:t>
            </w:r>
            <w:r>
              <w:rPr>
                <w:rFonts w:ascii="Times New Roman" w:eastAsiaTheme="minorHAnsi" w:hAnsi="Times New Roman"/>
                <w:lang w:eastAsia="pl-PL"/>
              </w:rPr>
              <w:t xml:space="preserve">późn. </w:t>
            </w:r>
            <w:r w:rsidRPr="00176700">
              <w:rPr>
                <w:rFonts w:ascii="Times New Roman" w:eastAsiaTheme="minorHAnsi" w:hAnsi="Times New Roman"/>
                <w:lang w:eastAsia="pl-PL"/>
              </w:rPr>
              <w:t xml:space="preserve">zm.) lub możliwość anonimowego zgłaszania przewidzianą w art. 117c ustawy z dnia 9 czerwca 2011 r. </w:t>
            </w:r>
            <w:r>
              <w:rPr>
                <w:rFonts w:ascii="Times New Roman" w:eastAsiaTheme="minorHAnsi" w:hAnsi="Times New Roman"/>
                <w:lang w:eastAsia="pl-PL"/>
              </w:rPr>
              <w:t xml:space="preserve">– </w:t>
            </w:r>
            <w:r w:rsidRPr="00176700">
              <w:rPr>
                <w:rFonts w:ascii="Times New Roman" w:eastAsiaTheme="minorHAnsi" w:hAnsi="Times New Roman"/>
                <w:lang w:eastAsia="pl-PL"/>
              </w:rPr>
              <w:t>Prawo geologiczne i górnicze (Dz. U. z 2020 r. poz. 1064</w:t>
            </w:r>
            <w:r>
              <w:rPr>
                <w:rFonts w:ascii="Times New Roman" w:eastAsiaTheme="minorHAnsi" w:hAnsi="Times New Roman"/>
                <w:lang w:eastAsia="pl-PL"/>
              </w:rPr>
              <w:t>,</w:t>
            </w:r>
            <w:r w:rsidRPr="00176700">
              <w:rPr>
                <w:rFonts w:ascii="Times New Roman" w:eastAsiaTheme="minorHAnsi" w:hAnsi="Times New Roman"/>
                <w:lang w:eastAsia="pl-PL"/>
              </w:rPr>
              <w:t xml:space="preserve"> z</w:t>
            </w:r>
            <w:r>
              <w:rPr>
                <w:rFonts w:ascii="Times New Roman" w:eastAsiaTheme="minorHAnsi" w:hAnsi="Times New Roman"/>
                <w:lang w:eastAsia="pl-PL"/>
              </w:rPr>
              <w:t xml:space="preserve"> poźn.</w:t>
            </w:r>
            <w:r w:rsidRPr="00176700">
              <w:rPr>
                <w:rFonts w:ascii="Times New Roman" w:eastAsiaTheme="minorHAnsi" w:hAnsi="Times New Roman"/>
                <w:lang w:eastAsia="pl-PL"/>
              </w:rPr>
              <w:t xml:space="preserve"> zm.). Rozwiązania wskazanych aktów prawnych nakierowane są przede wszystkim na zapewnienie mechanizmów zgłaszania naruszeń w poszczególnych dziedzinach i, do pewnego stopnia, obejmują środki ochrony oparte </w:t>
            </w:r>
            <w:r>
              <w:rPr>
                <w:rFonts w:ascii="Times New Roman" w:eastAsiaTheme="minorHAnsi" w:hAnsi="Times New Roman"/>
                <w:lang w:eastAsia="pl-PL"/>
              </w:rPr>
              <w:t>na</w:t>
            </w:r>
            <w:r w:rsidRPr="00176700">
              <w:rPr>
                <w:rFonts w:ascii="Times New Roman" w:eastAsiaTheme="minorHAnsi" w:hAnsi="Times New Roman"/>
                <w:lang w:eastAsia="pl-PL"/>
              </w:rPr>
              <w:t xml:space="preserve"> mechanizm</w:t>
            </w:r>
            <w:r>
              <w:rPr>
                <w:rFonts w:ascii="Times New Roman" w:eastAsiaTheme="minorHAnsi" w:hAnsi="Times New Roman"/>
                <w:lang w:eastAsia="pl-PL"/>
              </w:rPr>
              <w:t>ach</w:t>
            </w:r>
            <w:r w:rsidRPr="00176700">
              <w:rPr>
                <w:rFonts w:ascii="Times New Roman" w:eastAsiaTheme="minorHAnsi" w:hAnsi="Times New Roman"/>
                <w:lang w:eastAsia="pl-PL"/>
              </w:rPr>
              <w:t xml:space="preserve"> anonimowości lub wyłączeni</w:t>
            </w:r>
            <w:r>
              <w:rPr>
                <w:rFonts w:ascii="Times New Roman" w:eastAsiaTheme="minorHAnsi" w:hAnsi="Times New Roman"/>
                <w:lang w:eastAsia="pl-PL"/>
              </w:rPr>
              <w:t>u</w:t>
            </w:r>
            <w:r w:rsidRPr="00176700">
              <w:rPr>
                <w:rFonts w:ascii="Times New Roman" w:eastAsiaTheme="minorHAnsi" w:hAnsi="Times New Roman"/>
                <w:lang w:eastAsia="pl-PL"/>
              </w:rPr>
              <w:t xml:space="preserve"> możliwości poniesienia ewentualnych negatywnych konsekwencji przez zgłaszającego. Nie zapewniają one kompleksowych rozwiązań służących ochronie sygnalistów wymaganych dyrektywą 2019/1937, a ich zakres zastosowania nie wykracza poza regulowane dziedziny. </w:t>
            </w:r>
          </w:p>
          <w:p w14:paraId="4FD4B3A3" w14:textId="77777777" w:rsidR="00C017C1" w:rsidRDefault="00C017C1" w:rsidP="00C017C1">
            <w:pPr>
              <w:spacing w:line="240" w:lineRule="auto"/>
              <w:jc w:val="both"/>
              <w:rPr>
                <w:rFonts w:ascii="Times New Roman" w:eastAsiaTheme="minorHAnsi" w:hAnsi="Times New Roman"/>
                <w:lang w:eastAsia="pl-PL"/>
              </w:rPr>
            </w:pPr>
            <w:r w:rsidRPr="00176700">
              <w:rPr>
                <w:rFonts w:ascii="Times New Roman" w:eastAsiaTheme="minorHAnsi" w:hAnsi="Times New Roman"/>
                <w:lang w:eastAsia="pl-PL"/>
              </w:rPr>
              <w:t>W warunkach polskich w minionych latach wdrożone zostały nadto określone rozwiązania organizacyjne służące zgłaszaniu naruszeń prawa odpowiadając</w:t>
            </w:r>
            <w:r>
              <w:rPr>
                <w:rFonts w:ascii="Times New Roman" w:eastAsiaTheme="minorHAnsi" w:hAnsi="Times New Roman"/>
                <w:lang w:eastAsia="pl-PL"/>
              </w:rPr>
              <w:t>e</w:t>
            </w:r>
            <w:r w:rsidRPr="00176700">
              <w:rPr>
                <w:rFonts w:ascii="Times New Roman" w:eastAsiaTheme="minorHAnsi" w:hAnsi="Times New Roman"/>
                <w:lang w:eastAsia="pl-PL"/>
              </w:rPr>
              <w:t xml:space="preserve"> właściwości organów, które takim naruszeniom przeciwdziałają, zapewniane, na przykład, przez Centralne Biuro Antykorupcyjne i Policję (możliwość zgłoszenia przestępstw w ramach kanałów objętych inicjatywami „Zgłoś korupcję”) lub Urząd Ochrony Konkurencji i Konsumentów (Program dla sygnalistów UOKiK). Związane są one w pierwszym rzędzie z ułatwieniem sygnalizowania (zgłaszania) jako mechanizmu przekazywania informacji i funkcjonują w obowiązujących ramach prawnych, tj. nie ustanawiają szczególnych środków ochrony, w tym przed nieuzasadnionym niekorzystnym traktowaniem w środowisku pracy. W praktyce, przy braku powszechnych regulacji służących ochronie zgłaszających, środkiem ochrony w ramach takich rozwiązań są przede wszystkim zaoferowane zgłaszającemu określone gwarancje anonimowości bądź poufności. Szczególny charakter mają rozwiązania wiążące zgłoszenie naruszenia z możliwością złagodzenia kary (typu </w:t>
            </w:r>
            <w:r w:rsidRPr="00176700">
              <w:rPr>
                <w:rFonts w:ascii="Times New Roman" w:eastAsiaTheme="minorHAnsi" w:hAnsi="Times New Roman"/>
                <w:i/>
                <w:lang w:eastAsia="pl-PL"/>
              </w:rPr>
              <w:t>leniency</w:t>
            </w:r>
            <w:r w:rsidRPr="00176700">
              <w:rPr>
                <w:rFonts w:ascii="Times New Roman" w:eastAsiaTheme="minorHAnsi" w:hAnsi="Times New Roman"/>
                <w:lang w:eastAsia="pl-PL"/>
              </w:rPr>
              <w:t xml:space="preserve">), do których zaliczyć należy tego rodzaju instrument </w:t>
            </w:r>
            <w:r w:rsidRPr="00176700">
              <w:rPr>
                <w:rFonts w:ascii="Times New Roman" w:eastAsiaTheme="minorHAnsi" w:hAnsi="Times New Roman"/>
                <w:lang w:eastAsia="pl-PL"/>
              </w:rPr>
              <w:lastRenderedPageBreak/>
              <w:t xml:space="preserve">stosowany przez Urząd Ochrony Konkurencji i Konsumentów (tj. Program łagodzenia kar UOKiK odnoszący się do porozumień ograniczających konkurencję). Specyfika podobnych rozwiązań wyraża się w tym, że zgłaszającym naruszenie jest sam sprawca, jego wniosek obejmuje przyznanie się do naruszenia, a podstawowym motywem jest nie tyle działanie w interesie publicznym, lecz uzyskanie złagodzenia kary. Należałoby z tych względów odróżnić je od sygnalizowania w analizowanym wyżej znaczeniu. </w:t>
            </w:r>
          </w:p>
          <w:p w14:paraId="2DFC5E77" w14:textId="77777777" w:rsidR="00C017C1" w:rsidRPr="000848C5" w:rsidRDefault="00C017C1" w:rsidP="00C017C1">
            <w:pPr>
              <w:spacing w:line="240" w:lineRule="auto"/>
              <w:jc w:val="both"/>
            </w:pPr>
            <w:r>
              <w:rPr>
                <w:rFonts w:ascii="Times New Roman" w:eastAsiaTheme="minorHAnsi" w:hAnsi="Times New Roman"/>
                <w:lang w:eastAsia="pl-PL"/>
              </w:rPr>
              <w:t>Z uwagi na wymóg</w:t>
            </w:r>
            <w:r w:rsidRPr="00176700">
              <w:rPr>
                <w:rFonts w:ascii="Times New Roman" w:eastAsiaTheme="minorHAnsi" w:hAnsi="Times New Roman"/>
                <w:lang w:eastAsia="pl-PL"/>
              </w:rPr>
              <w:t xml:space="preserve"> wdrożenia dyrektywy 2019/1937 i brak stosownych regulacji w prawie krajowym </w:t>
            </w:r>
            <w:r>
              <w:rPr>
                <w:rFonts w:ascii="Times New Roman" w:eastAsiaTheme="minorHAnsi" w:hAnsi="Times New Roman"/>
                <w:lang w:eastAsia="pl-PL"/>
              </w:rPr>
              <w:t xml:space="preserve">uzasadnione jest </w:t>
            </w:r>
            <w:r w:rsidRPr="00176700">
              <w:rPr>
                <w:rFonts w:ascii="Times New Roman" w:eastAsiaTheme="minorHAnsi" w:hAnsi="Times New Roman"/>
                <w:lang w:eastAsia="pl-PL"/>
              </w:rPr>
              <w:t>wystąpienie z inicjatywą legislacyjną.</w:t>
            </w:r>
          </w:p>
        </w:tc>
      </w:tr>
      <w:tr w:rsidR="00C017C1" w:rsidRPr="008B4FE6" w14:paraId="28E84E48" w14:textId="77777777" w:rsidTr="00B236F6">
        <w:trPr>
          <w:gridAfter w:val="1"/>
          <w:wAfter w:w="10" w:type="dxa"/>
          <w:trHeight w:val="142"/>
        </w:trPr>
        <w:tc>
          <w:tcPr>
            <w:tcW w:w="11050" w:type="dxa"/>
            <w:gridSpan w:val="29"/>
            <w:shd w:val="clear" w:color="auto" w:fill="99CCFF"/>
            <w:vAlign w:val="center"/>
          </w:tcPr>
          <w:p w14:paraId="0F3CC1ED"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C017C1" w:rsidRPr="008B4FE6" w14:paraId="6F8AADF4" w14:textId="77777777" w:rsidTr="00B236F6">
        <w:trPr>
          <w:gridAfter w:val="1"/>
          <w:wAfter w:w="10" w:type="dxa"/>
          <w:trHeight w:val="142"/>
        </w:trPr>
        <w:tc>
          <w:tcPr>
            <w:tcW w:w="11050" w:type="dxa"/>
            <w:gridSpan w:val="29"/>
            <w:shd w:val="clear" w:color="auto" w:fill="auto"/>
          </w:tcPr>
          <w:p w14:paraId="730FE7EF" w14:textId="35991A01" w:rsidR="00C16728" w:rsidRDefault="00C017C1" w:rsidP="00C017C1">
            <w:pPr>
              <w:spacing w:line="240" w:lineRule="auto"/>
              <w:jc w:val="both"/>
              <w:rPr>
                <w:rFonts w:ascii="Times New Roman" w:hAnsi="Times New Roman"/>
                <w:iCs/>
              </w:rPr>
            </w:pPr>
            <w:r w:rsidRPr="000752E6">
              <w:rPr>
                <w:rFonts w:ascii="Times New Roman" w:hAnsi="Times New Roman"/>
                <w:iCs/>
              </w:rPr>
              <w:t xml:space="preserve">Projektowana ustawa </w:t>
            </w:r>
            <w:r>
              <w:rPr>
                <w:rFonts w:ascii="Times New Roman" w:hAnsi="Times New Roman"/>
                <w:iCs/>
              </w:rPr>
              <w:t>obejmie</w:t>
            </w:r>
            <w:r w:rsidRPr="000752E6">
              <w:rPr>
                <w:rFonts w:ascii="Times New Roman" w:hAnsi="Times New Roman"/>
                <w:iCs/>
              </w:rPr>
              <w:t xml:space="preserve"> ochron</w:t>
            </w:r>
            <w:r>
              <w:rPr>
                <w:rFonts w:ascii="Times New Roman" w:hAnsi="Times New Roman"/>
                <w:iCs/>
              </w:rPr>
              <w:t>ą</w:t>
            </w:r>
            <w:r w:rsidRPr="000752E6">
              <w:rPr>
                <w:rFonts w:ascii="Times New Roman" w:hAnsi="Times New Roman"/>
                <w:iCs/>
              </w:rPr>
              <w:t xml:space="preserve"> </w:t>
            </w:r>
            <w:r>
              <w:rPr>
                <w:rFonts w:ascii="Times New Roman" w:hAnsi="Times New Roman"/>
                <w:iCs/>
              </w:rPr>
              <w:t>oso</w:t>
            </w:r>
            <w:r w:rsidRPr="000752E6">
              <w:rPr>
                <w:rFonts w:ascii="Times New Roman" w:hAnsi="Times New Roman"/>
                <w:iCs/>
              </w:rPr>
              <w:t>b</w:t>
            </w:r>
            <w:r>
              <w:rPr>
                <w:rFonts w:ascii="Times New Roman" w:hAnsi="Times New Roman"/>
                <w:iCs/>
              </w:rPr>
              <w:t>y</w:t>
            </w:r>
            <w:r w:rsidRPr="000752E6">
              <w:rPr>
                <w:rFonts w:ascii="Times New Roman" w:hAnsi="Times New Roman"/>
                <w:iCs/>
              </w:rPr>
              <w:t xml:space="preserve"> </w:t>
            </w:r>
            <w:r w:rsidRPr="000752E6">
              <w:rPr>
                <w:rFonts w:ascii="Times New Roman" w:hAnsi="Times New Roman"/>
              </w:rPr>
              <w:t>dokonując</w:t>
            </w:r>
            <w:r>
              <w:rPr>
                <w:rFonts w:ascii="Times New Roman" w:hAnsi="Times New Roman"/>
              </w:rPr>
              <w:t>e</w:t>
            </w:r>
            <w:r w:rsidRPr="000752E6">
              <w:rPr>
                <w:rFonts w:ascii="Times New Roman" w:hAnsi="Times New Roman"/>
              </w:rPr>
              <w:t xml:space="preserve"> zgłoszenia</w:t>
            </w:r>
            <w:r>
              <w:rPr>
                <w:rFonts w:ascii="Times New Roman" w:hAnsi="Times New Roman"/>
              </w:rPr>
              <w:t xml:space="preserve"> lub ujawnienia informacji lub uzasadnionych podejrzeń</w:t>
            </w:r>
            <w:r w:rsidRPr="000752E6">
              <w:rPr>
                <w:rFonts w:ascii="Times New Roman" w:hAnsi="Times New Roman"/>
              </w:rPr>
              <w:t xml:space="preserve"> narusze</w:t>
            </w:r>
            <w:r>
              <w:rPr>
                <w:rFonts w:ascii="Times New Roman" w:hAnsi="Times New Roman"/>
              </w:rPr>
              <w:t>nia</w:t>
            </w:r>
            <w:r w:rsidRPr="000752E6">
              <w:rPr>
                <w:rFonts w:ascii="Times New Roman" w:hAnsi="Times New Roman"/>
              </w:rPr>
              <w:t xml:space="preserve"> prawa, pracując</w:t>
            </w:r>
            <w:r>
              <w:rPr>
                <w:rFonts w:ascii="Times New Roman" w:hAnsi="Times New Roman"/>
              </w:rPr>
              <w:t>e</w:t>
            </w:r>
            <w:r w:rsidRPr="000752E6">
              <w:rPr>
                <w:rFonts w:ascii="Times New Roman" w:hAnsi="Times New Roman"/>
              </w:rPr>
              <w:t xml:space="preserve"> w sektorze prywatnym lub publicznym, które uzyskały informacje na temat narusze</w:t>
            </w:r>
            <w:r>
              <w:rPr>
                <w:rFonts w:ascii="Times New Roman" w:hAnsi="Times New Roman"/>
              </w:rPr>
              <w:t xml:space="preserve">nia w </w:t>
            </w:r>
            <w:r w:rsidRPr="000752E6">
              <w:rPr>
                <w:rFonts w:ascii="Times New Roman" w:hAnsi="Times New Roman"/>
              </w:rPr>
              <w:t>kontekście związanym z pracą.</w:t>
            </w:r>
            <w:r>
              <w:rPr>
                <w:rFonts w:ascii="Times New Roman" w:hAnsi="Times New Roman"/>
              </w:rPr>
              <w:t xml:space="preserve"> Przewidziane w ustawie g</w:t>
            </w:r>
            <w:r w:rsidRPr="00CA0B9B">
              <w:rPr>
                <w:rFonts w:ascii="Times New Roman" w:hAnsi="Times New Roman"/>
              </w:rPr>
              <w:t xml:space="preserve">warancje i środki prawne będą przysługiwały </w:t>
            </w:r>
            <w:r w:rsidRPr="00CA0B9B">
              <w:rPr>
                <w:rFonts w:ascii="Times New Roman" w:hAnsi="Times New Roman"/>
                <w:iCs/>
              </w:rPr>
              <w:t xml:space="preserve">osobie dokonującej zgłoszenia naruszenia, niezależnie od podstawy i formy </w:t>
            </w:r>
            <w:r>
              <w:rPr>
                <w:rFonts w:ascii="Times New Roman" w:hAnsi="Times New Roman"/>
                <w:iCs/>
              </w:rPr>
              <w:t>świadczenia pracy</w:t>
            </w:r>
            <w:r w:rsidRPr="00CA0B9B">
              <w:rPr>
                <w:rFonts w:ascii="Times New Roman" w:hAnsi="Times New Roman"/>
                <w:iCs/>
              </w:rPr>
              <w:t xml:space="preserve"> </w:t>
            </w:r>
            <w:r w:rsidR="00C00D67">
              <w:rPr>
                <w:rFonts w:ascii="Times New Roman" w:hAnsi="Times New Roman"/>
                <w:iCs/>
              </w:rPr>
              <w:t xml:space="preserve">lub pełnienia służby </w:t>
            </w:r>
            <w:r w:rsidRPr="00CA0B9B">
              <w:rPr>
                <w:rFonts w:ascii="Times New Roman" w:hAnsi="Times New Roman"/>
                <w:iCs/>
              </w:rPr>
              <w:t>(m.in. umowa o pracę, umowa cywilnoprawna, prowadzenie działalności gospodarczej przez osobę fizyczną,</w:t>
            </w:r>
            <w:r>
              <w:rPr>
                <w:rFonts w:ascii="Times New Roman" w:hAnsi="Times New Roman"/>
                <w:iCs/>
              </w:rPr>
              <w:t xml:space="preserve"> kontrakt menedżerski, wolontariat, staż</w:t>
            </w:r>
            <w:r w:rsidR="00C00D67">
              <w:rPr>
                <w:rFonts w:ascii="Times New Roman" w:hAnsi="Times New Roman"/>
                <w:iCs/>
              </w:rPr>
              <w:t>,</w:t>
            </w:r>
            <w:r>
              <w:rPr>
                <w:rFonts w:ascii="Times New Roman" w:hAnsi="Times New Roman"/>
                <w:iCs/>
              </w:rPr>
              <w:t> praktyka</w:t>
            </w:r>
            <w:r w:rsidR="00C00D67">
              <w:rPr>
                <w:rFonts w:ascii="Times New Roman" w:hAnsi="Times New Roman"/>
                <w:iCs/>
              </w:rPr>
              <w:t xml:space="preserve"> czy służba wojskowa</w:t>
            </w:r>
            <w:r>
              <w:rPr>
                <w:rFonts w:ascii="Times New Roman" w:hAnsi="Times New Roman"/>
                <w:iCs/>
              </w:rPr>
              <w:t xml:space="preserve">), w tym także świadczącej pracę na rzecz podmiotów, z którymi </w:t>
            </w:r>
            <w:r w:rsidR="00293567">
              <w:rPr>
                <w:rFonts w:ascii="Times New Roman" w:hAnsi="Times New Roman"/>
                <w:iCs/>
              </w:rPr>
              <w:t xml:space="preserve">podmiot prawny </w:t>
            </w:r>
            <w:r>
              <w:rPr>
                <w:rFonts w:ascii="Times New Roman" w:hAnsi="Times New Roman"/>
                <w:iCs/>
              </w:rPr>
              <w:t xml:space="preserve">utrzymuje relacje gospodarcze, jak wykonawcy, podwykonawcy lub dostawcy oraz innym osobom zgłaszającym informacje o naruszeniach w kontekście związanym z pracą, jak akcjonariusze i wspólnicy oraz członkowie organów osoby prawnej. Ochroną będą objęte również osoby dokonujące zgłoszenia </w:t>
            </w:r>
            <w:r w:rsidR="00C16728" w:rsidRPr="00C16728">
              <w:rPr>
                <w:rFonts w:ascii="Times New Roman" w:hAnsi="Times New Roman"/>
                <w:bCs/>
                <w:iCs/>
              </w:rPr>
              <w:t>lub ujawnienia publicznego informacji o naruszeniu prawa uzyskanej w kontekście związanym z pracą, przed nawiązaniem stosunku pracy</w:t>
            </w:r>
            <w:r w:rsidR="00C00D67">
              <w:rPr>
                <w:rFonts w:ascii="Times New Roman" w:hAnsi="Times New Roman"/>
                <w:bCs/>
                <w:iCs/>
              </w:rPr>
              <w:t xml:space="preserve"> </w:t>
            </w:r>
            <w:r w:rsidR="00C00D67" w:rsidRPr="00C00D67">
              <w:rPr>
                <w:rFonts w:ascii="Times New Roman" w:hAnsi="Times New Roman"/>
                <w:bCs/>
                <w:iCs/>
              </w:rPr>
              <w:t>lub innego stosunku prawnego stanowiącego podstawę świadczenia pracy lub usług lub pełnienia funkcji w podmiocie prawnym lub na rzecz tego podmiotu lub pełnienia służby w podmiocie prawnym</w:t>
            </w:r>
            <w:r w:rsidR="00C00D67">
              <w:rPr>
                <w:rFonts w:ascii="Times New Roman" w:hAnsi="Times New Roman"/>
                <w:bCs/>
                <w:iCs/>
              </w:rPr>
              <w:t xml:space="preserve"> </w:t>
            </w:r>
            <w:r w:rsidR="00C00D67" w:rsidRPr="00C00D67">
              <w:rPr>
                <w:rFonts w:ascii="Times New Roman" w:hAnsi="Times New Roman"/>
                <w:bCs/>
                <w:iCs/>
              </w:rPr>
              <w:t>lub gdy taki stosunek już ustał</w:t>
            </w:r>
            <w:r w:rsidR="00C00D67">
              <w:rPr>
                <w:rFonts w:ascii="Times New Roman" w:hAnsi="Times New Roman"/>
                <w:bCs/>
                <w:iCs/>
              </w:rPr>
              <w:t>.</w:t>
            </w:r>
            <w:r w:rsidR="00C16728" w:rsidRPr="00C16728">
              <w:rPr>
                <w:rFonts w:ascii="Times New Roman" w:hAnsi="Times New Roman"/>
                <w:bCs/>
                <w:iCs/>
              </w:rPr>
              <w:t xml:space="preserve"> </w:t>
            </w:r>
          </w:p>
          <w:p w14:paraId="4441BC7A" w14:textId="4D875DD2" w:rsidR="009A30FC" w:rsidRDefault="00C017C1" w:rsidP="00C017C1">
            <w:pPr>
              <w:spacing w:line="240" w:lineRule="auto"/>
              <w:jc w:val="both"/>
              <w:rPr>
                <w:rFonts w:ascii="Times New Roman" w:hAnsi="Times New Roman"/>
                <w:iCs/>
              </w:rPr>
            </w:pPr>
            <w:r w:rsidRPr="008D08C0">
              <w:rPr>
                <w:rFonts w:ascii="Times New Roman" w:hAnsi="Times New Roman"/>
                <w:iCs/>
              </w:rPr>
              <w:t xml:space="preserve">Uwzględnione zostaną przy tym odmienności statusu prawnego </w:t>
            </w:r>
            <w:r>
              <w:rPr>
                <w:rFonts w:ascii="Times New Roman" w:hAnsi="Times New Roman"/>
                <w:iCs/>
              </w:rPr>
              <w:t xml:space="preserve">wyżej wymienionych osób, wynikające z formy świadczenia pracy oraz relacji prawnej z drugą stroną. </w:t>
            </w:r>
            <w:r w:rsidRPr="004B3BDB">
              <w:rPr>
                <w:rFonts w:ascii="Times New Roman" w:hAnsi="Times New Roman"/>
                <w:iCs/>
              </w:rPr>
              <w:t xml:space="preserve">Ustawa, w charakterze zasady ogólnej, wyłączy możliwość narażenia na jakikolwiek uszczerbek lub możliwość postawienia zarzutu z powodu dokonania zgłoszenia lub ujawnienia publicznego na zasadach określonych w ustawie. </w:t>
            </w:r>
            <w:r>
              <w:rPr>
                <w:rFonts w:ascii="Times New Roman" w:hAnsi="Times New Roman"/>
                <w:iCs/>
              </w:rPr>
              <w:t xml:space="preserve">Sytuacja prawna zgłaszającego zostanie w istotny sposób wzmocniona na gruncie ewentualnych postępowań sądowych dotyczących zgłaszającego (m.in. w przedmiocie wypowiedzenia lub rozwiązania bez wypowiedzenia stosunku pracy), poprzez odwrócenie ciężaru dowodu, według modelu zbliżonego do obowiązującego w </w:t>
            </w:r>
            <w:r w:rsidRPr="00DD4630">
              <w:rPr>
                <w:rFonts w:ascii="Times New Roman" w:hAnsi="Times New Roman"/>
                <w:iCs/>
              </w:rPr>
              <w:t xml:space="preserve">przepisach Kodeksu pracy </w:t>
            </w:r>
            <w:r>
              <w:rPr>
                <w:rFonts w:ascii="Times New Roman" w:hAnsi="Times New Roman"/>
                <w:iCs/>
              </w:rPr>
              <w:t xml:space="preserve">w postępowaniach z tytułu naruszenia zasady równego traktowania w zatrudnieniu. </w:t>
            </w:r>
            <w:r w:rsidR="00F12484">
              <w:rPr>
                <w:rFonts w:ascii="Times New Roman" w:hAnsi="Times New Roman"/>
                <w:iCs/>
              </w:rPr>
              <w:t>Analogiczne</w:t>
            </w:r>
            <w:r w:rsidRPr="005D79AC">
              <w:rPr>
                <w:rFonts w:ascii="Times New Roman" w:hAnsi="Times New Roman"/>
                <w:iCs/>
              </w:rPr>
              <w:t xml:space="preserve"> rozwiązania przewidziane zostaną w przypadku </w:t>
            </w:r>
            <w:r w:rsidR="009A30FC">
              <w:rPr>
                <w:rFonts w:ascii="Times New Roman" w:hAnsi="Times New Roman"/>
                <w:iCs/>
              </w:rPr>
              <w:t xml:space="preserve">osób wykonujących prace na </w:t>
            </w:r>
            <w:r w:rsidR="00C00D67" w:rsidRPr="00C00D67">
              <w:rPr>
                <w:rFonts w:ascii="Times New Roman" w:hAnsi="Times New Roman"/>
                <w:iCs/>
              </w:rPr>
              <w:t>podstawie innego niż stosun</w:t>
            </w:r>
            <w:r w:rsidR="00C00D67">
              <w:rPr>
                <w:rFonts w:ascii="Times New Roman" w:hAnsi="Times New Roman"/>
                <w:iCs/>
              </w:rPr>
              <w:t>ek</w:t>
            </w:r>
            <w:r w:rsidR="00C00D67" w:rsidRPr="00C00D67">
              <w:rPr>
                <w:rFonts w:ascii="Times New Roman" w:hAnsi="Times New Roman"/>
                <w:iCs/>
              </w:rPr>
              <w:t xml:space="preserve"> pracy stosunku prawnego stanowiącego podstawę świadczenia pracy lub usług lub pełnienia funkcji lub pełnienia służby</w:t>
            </w:r>
            <w:r w:rsidR="00C00D67">
              <w:rPr>
                <w:rFonts w:ascii="Times New Roman" w:hAnsi="Times New Roman"/>
                <w:iCs/>
              </w:rPr>
              <w:t xml:space="preserve"> </w:t>
            </w:r>
            <w:r w:rsidR="009A30FC">
              <w:rPr>
                <w:rFonts w:ascii="Times New Roman" w:hAnsi="Times New Roman"/>
                <w:iCs/>
              </w:rPr>
              <w:t xml:space="preserve">i, </w:t>
            </w:r>
            <w:r w:rsidR="009A30FC" w:rsidRPr="009A30FC">
              <w:rPr>
                <w:rFonts w:ascii="Times New Roman" w:hAnsi="Times New Roman"/>
                <w:iCs/>
              </w:rPr>
              <w:t xml:space="preserve">o ile charakter wykonywanej pracy </w:t>
            </w:r>
            <w:r w:rsidR="00C00D67">
              <w:rPr>
                <w:rFonts w:ascii="Times New Roman" w:hAnsi="Times New Roman"/>
                <w:iCs/>
              </w:rPr>
              <w:t xml:space="preserve">lub służby </w:t>
            </w:r>
            <w:r w:rsidR="009A30FC" w:rsidRPr="009A30FC">
              <w:rPr>
                <w:rFonts w:ascii="Times New Roman" w:hAnsi="Times New Roman"/>
                <w:iCs/>
              </w:rPr>
              <w:t>nie wyklucz</w:t>
            </w:r>
            <w:r w:rsidR="00F12484">
              <w:rPr>
                <w:rFonts w:ascii="Times New Roman" w:hAnsi="Times New Roman"/>
                <w:iCs/>
              </w:rPr>
              <w:t>y</w:t>
            </w:r>
            <w:r w:rsidR="009A30FC" w:rsidRPr="009A30FC">
              <w:rPr>
                <w:rFonts w:ascii="Times New Roman" w:hAnsi="Times New Roman"/>
                <w:iCs/>
              </w:rPr>
              <w:t xml:space="preserve"> zastosowania wobec zgłaszającego takiego działania</w:t>
            </w:r>
            <w:r w:rsidR="009A30FC">
              <w:rPr>
                <w:rFonts w:ascii="Times New Roman" w:hAnsi="Times New Roman"/>
                <w:iCs/>
              </w:rPr>
              <w:t xml:space="preserve">. </w:t>
            </w:r>
          </w:p>
          <w:p w14:paraId="7E5AFFE6" w14:textId="024FC899" w:rsidR="008416D3" w:rsidRDefault="00C017C1" w:rsidP="00C017C1">
            <w:pPr>
              <w:spacing w:line="240" w:lineRule="auto"/>
              <w:jc w:val="both"/>
              <w:rPr>
                <w:rFonts w:ascii="Times New Roman" w:hAnsi="Times New Roman"/>
                <w:iCs/>
              </w:rPr>
            </w:pPr>
            <w:r>
              <w:rPr>
                <w:rFonts w:ascii="Times New Roman" w:hAnsi="Times New Roman"/>
                <w:iCs/>
              </w:rPr>
              <w:t>Zgłaszający będzie miał prawo dochodzenia odszkodowania</w:t>
            </w:r>
            <w:r w:rsidRPr="000D3316">
              <w:rPr>
                <w:rFonts w:ascii="Times New Roman" w:hAnsi="Times New Roman"/>
                <w:iCs/>
              </w:rPr>
              <w:t xml:space="preserve"> </w:t>
            </w:r>
            <w:r>
              <w:rPr>
                <w:rFonts w:ascii="Times New Roman" w:hAnsi="Times New Roman"/>
                <w:iCs/>
              </w:rPr>
              <w:t xml:space="preserve">w </w:t>
            </w:r>
            <w:r w:rsidR="009A30FC">
              <w:rPr>
                <w:rFonts w:ascii="Times New Roman" w:hAnsi="Times New Roman"/>
                <w:iCs/>
              </w:rPr>
              <w:t xml:space="preserve">pełnej </w:t>
            </w:r>
            <w:r w:rsidRPr="000D3316">
              <w:rPr>
                <w:rFonts w:ascii="Times New Roman" w:hAnsi="Times New Roman"/>
                <w:iCs/>
              </w:rPr>
              <w:t>wysokości</w:t>
            </w:r>
            <w:r w:rsidR="00F12484">
              <w:rPr>
                <w:rFonts w:ascii="Times New Roman" w:hAnsi="Times New Roman"/>
                <w:iCs/>
              </w:rPr>
              <w:t>, w przyp</w:t>
            </w:r>
            <w:r w:rsidR="00C5683B">
              <w:rPr>
                <w:rFonts w:ascii="Times New Roman" w:hAnsi="Times New Roman"/>
                <w:iCs/>
              </w:rPr>
              <w:t>adku dopuszczenia się wobec niego</w:t>
            </w:r>
            <w:r w:rsidR="00F12484">
              <w:rPr>
                <w:rFonts w:ascii="Times New Roman" w:hAnsi="Times New Roman"/>
                <w:iCs/>
              </w:rPr>
              <w:t xml:space="preserve"> działań odwetowych</w:t>
            </w:r>
            <w:r w:rsidR="009A30FC">
              <w:rPr>
                <w:rFonts w:ascii="Times New Roman" w:hAnsi="Times New Roman"/>
                <w:iCs/>
              </w:rPr>
              <w:t xml:space="preserve">. </w:t>
            </w:r>
            <w:r w:rsidRPr="005D79AC">
              <w:rPr>
                <w:rFonts w:ascii="Times New Roman" w:hAnsi="Times New Roman"/>
                <w:iCs/>
              </w:rPr>
              <w:t>W związku z dokonaniem zgłoszenia wyłączone zostaną</w:t>
            </w:r>
            <w:r>
              <w:rPr>
                <w:rFonts w:ascii="Times New Roman" w:hAnsi="Times New Roman"/>
                <w:iCs/>
              </w:rPr>
              <w:t>:</w:t>
            </w:r>
            <w:r w:rsidRPr="005D79AC">
              <w:rPr>
                <w:rFonts w:ascii="Times New Roman" w:hAnsi="Times New Roman"/>
                <w:iCs/>
              </w:rPr>
              <w:t xml:space="preserve"> możliwość </w:t>
            </w:r>
            <w:r>
              <w:rPr>
                <w:rFonts w:ascii="Times New Roman" w:hAnsi="Times New Roman"/>
                <w:iCs/>
              </w:rPr>
              <w:t>nałożenia na</w:t>
            </w:r>
            <w:r w:rsidRPr="005D79AC">
              <w:rPr>
                <w:rFonts w:ascii="Times New Roman" w:hAnsi="Times New Roman"/>
                <w:iCs/>
              </w:rPr>
              <w:t xml:space="preserve"> zgłaszającego odpowiedzialności</w:t>
            </w:r>
            <w:r w:rsidR="00E91094">
              <w:rPr>
                <w:rFonts w:ascii="Times New Roman" w:hAnsi="Times New Roman"/>
                <w:iCs/>
              </w:rPr>
              <w:t xml:space="preserve">, </w:t>
            </w:r>
            <w:r w:rsidR="008416D3" w:rsidRPr="008416D3">
              <w:rPr>
                <w:rFonts w:ascii="Times New Roman" w:hAnsi="Times New Roman"/>
                <w:iCs/>
              </w:rPr>
              <w:t>w tym odpowiedzialności dyscyplinarnej lub odpowiedzialności za szkodę, z tytułu naruszenia praw innych osób lub obowiązków określonych w przepisach prawa, w szczególności w przedmiocie zniesławienia, naruszenia dóbr osobistych, praw autorskich, przepisów o ochronie danych osobowych oraz obowiązku zachowania tajemnicy, w tym tajemnicy przedsiębiorstwa</w:t>
            </w:r>
            <w:r w:rsidR="008416D3">
              <w:rPr>
                <w:rFonts w:ascii="Times New Roman" w:hAnsi="Times New Roman"/>
                <w:iCs/>
              </w:rPr>
              <w:t xml:space="preserve">. Taka możliwość zaistnieje jednak tylko </w:t>
            </w:r>
            <w:r w:rsidR="008416D3" w:rsidRPr="008416D3">
              <w:rPr>
                <w:rFonts w:ascii="Times New Roman" w:hAnsi="Times New Roman"/>
                <w:iCs/>
              </w:rPr>
              <w:t>pod warunkiem</w:t>
            </w:r>
            <w:r w:rsidR="008416D3">
              <w:rPr>
                <w:rFonts w:ascii="Times New Roman" w:hAnsi="Times New Roman"/>
                <w:iCs/>
              </w:rPr>
              <w:t>,</w:t>
            </w:r>
            <w:r w:rsidR="008416D3" w:rsidRPr="008416D3">
              <w:rPr>
                <w:rFonts w:ascii="Times New Roman" w:hAnsi="Times New Roman"/>
                <w:iCs/>
              </w:rPr>
              <w:t xml:space="preserve"> że </w:t>
            </w:r>
            <w:r w:rsidR="008416D3">
              <w:rPr>
                <w:rFonts w:ascii="Times New Roman" w:hAnsi="Times New Roman"/>
                <w:iCs/>
              </w:rPr>
              <w:t xml:space="preserve">zgłaszający </w:t>
            </w:r>
            <w:r w:rsidR="008416D3" w:rsidRPr="008416D3">
              <w:rPr>
                <w:rFonts w:ascii="Times New Roman" w:hAnsi="Times New Roman"/>
                <w:iCs/>
              </w:rPr>
              <w:t>miał uzasadnione podstawy by sądzić, że zgłoszenie lub ujawnienie publiczne jest niezbędne do ujawnienia naruszenia prawa zgodnie z ustawą.</w:t>
            </w:r>
          </w:p>
          <w:p w14:paraId="28E86984" w14:textId="49CF4550" w:rsidR="00C017C1" w:rsidRDefault="00C017C1" w:rsidP="00C017C1">
            <w:pPr>
              <w:spacing w:line="240" w:lineRule="auto"/>
              <w:jc w:val="both"/>
              <w:rPr>
                <w:rFonts w:ascii="Times New Roman" w:hAnsi="Times New Roman"/>
                <w:iCs/>
              </w:rPr>
            </w:pPr>
            <w:r w:rsidRPr="005D79AC">
              <w:rPr>
                <w:rFonts w:ascii="Times New Roman" w:hAnsi="Times New Roman"/>
                <w:iCs/>
              </w:rPr>
              <w:t xml:space="preserve">Wyłączona będzie </w:t>
            </w:r>
            <w:r w:rsidR="008416D3">
              <w:rPr>
                <w:rFonts w:ascii="Times New Roman" w:hAnsi="Times New Roman"/>
                <w:iCs/>
              </w:rPr>
              <w:t xml:space="preserve">także </w:t>
            </w:r>
            <w:r w:rsidRPr="005D79AC">
              <w:rPr>
                <w:rFonts w:ascii="Times New Roman" w:hAnsi="Times New Roman"/>
                <w:iCs/>
              </w:rPr>
              <w:t>możliwość odmowy przyznania, ograniczenia lub odebrania uprawnienia, jak zezwolenia, koncesji lub ulgi, z powodu zgłoszenia</w:t>
            </w:r>
            <w:r w:rsidR="00E91094">
              <w:rPr>
                <w:rFonts w:ascii="Times New Roman" w:hAnsi="Times New Roman"/>
                <w:iCs/>
              </w:rPr>
              <w:t>, a także</w:t>
            </w:r>
            <w:r w:rsidRPr="005D79AC">
              <w:rPr>
                <w:rFonts w:ascii="Times New Roman" w:hAnsi="Times New Roman"/>
                <w:iCs/>
              </w:rPr>
              <w:t xml:space="preserve"> wypowiedzeni</w:t>
            </w:r>
            <w:r w:rsidR="00E91094">
              <w:rPr>
                <w:rFonts w:ascii="Times New Roman" w:hAnsi="Times New Roman"/>
                <w:iCs/>
              </w:rPr>
              <w:t>a, odstąpienia</w:t>
            </w:r>
            <w:r w:rsidRPr="005D79AC">
              <w:rPr>
                <w:rFonts w:ascii="Times New Roman" w:hAnsi="Times New Roman"/>
                <w:iCs/>
              </w:rPr>
              <w:t xml:space="preserve"> lub rozwiązani</w:t>
            </w:r>
            <w:r w:rsidR="00E91094">
              <w:rPr>
                <w:rFonts w:ascii="Times New Roman" w:hAnsi="Times New Roman"/>
                <w:iCs/>
              </w:rPr>
              <w:t>a</w:t>
            </w:r>
            <w:r w:rsidRPr="005D79AC">
              <w:rPr>
                <w:rFonts w:ascii="Times New Roman" w:hAnsi="Times New Roman"/>
                <w:iCs/>
              </w:rPr>
              <w:t xml:space="preserve"> bez wypowiedzenia, z powodu zgłoszenia, stosunku prawnego będącego podstawą </w:t>
            </w:r>
            <w:r w:rsidR="00E91094">
              <w:rPr>
                <w:rFonts w:ascii="Times New Roman" w:hAnsi="Times New Roman"/>
                <w:iCs/>
              </w:rPr>
              <w:t xml:space="preserve">sprzedaży, </w:t>
            </w:r>
            <w:r w:rsidR="00F12484">
              <w:rPr>
                <w:rFonts w:ascii="Times New Roman" w:hAnsi="Times New Roman"/>
                <w:iCs/>
              </w:rPr>
              <w:t xml:space="preserve">dostawy </w:t>
            </w:r>
            <w:r w:rsidRPr="005D79AC">
              <w:rPr>
                <w:rFonts w:ascii="Times New Roman" w:hAnsi="Times New Roman"/>
                <w:iCs/>
              </w:rPr>
              <w:t xml:space="preserve">towarów lub </w:t>
            </w:r>
            <w:r w:rsidR="00F12484">
              <w:rPr>
                <w:rFonts w:ascii="Times New Roman" w:hAnsi="Times New Roman"/>
                <w:iCs/>
              </w:rPr>
              <w:t xml:space="preserve">świadczenia </w:t>
            </w:r>
            <w:r w:rsidRPr="005D79AC">
              <w:rPr>
                <w:rFonts w:ascii="Times New Roman" w:hAnsi="Times New Roman"/>
                <w:iCs/>
              </w:rPr>
              <w:t xml:space="preserve">usług. Wprowadzona zostanie sankcja nieważności postanowień umów o pracę i innych aktów objętych prawem pracy oraz czynności cywilnoprawnych w zakresie, w jakim bezpośrednio lub pośrednio wyłączają lub ograniczają prawo do dokonania zgłoszenia. Rozwiązania </w:t>
            </w:r>
            <w:r>
              <w:rPr>
                <w:rFonts w:ascii="Times New Roman" w:hAnsi="Times New Roman"/>
                <w:iCs/>
              </w:rPr>
              <w:t xml:space="preserve">te </w:t>
            </w:r>
            <w:r w:rsidRPr="005D79AC">
              <w:rPr>
                <w:rFonts w:ascii="Times New Roman" w:hAnsi="Times New Roman"/>
                <w:iCs/>
              </w:rPr>
              <w:t>będą stosowane odpowiednio do osoby pomagającej w dokonaniu zgłoszenia oraz osoby powiązanej ze zgłaszającym.</w:t>
            </w:r>
          </w:p>
          <w:p w14:paraId="7724B495" w14:textId="77777777" w:rsidR="00C017C1" w:rsidRPr="000D3316" w:rsidRDefault="00C017C1" w:rsidP="00C017C1">
            <w:pPr>
              <w:spacing w:line="240" w:lineRule="auto"/>
              <w:jc w:val="both"/>
              <w:rPr>
                <w:rFonts w:ascii="Times New Roman" w:hAnsi="Times New Roman"/>
                <w:iCs/>
              </w:rPr>
            </w:pPr>
            <w:r w:rsidRPr="008E2D53">
              <w:rPr>
                <w:rFonts w:ascii="Times New Roman" w:hAnsi="Times New Roman"/>
                <w:iCs/>
              </w:rPr>
              <w:t>Status</w:t>
            </w:r>
            <w:r>
              <w:rPr>
                <w:rFonts w:ascii="Times New Roman" w:hAnsi="Times New Roman"/>
                <w:iCs/>
              </w:rPr>
              <w:t xml:space="preserve"> zgłaszającego</w:t>
            </w:r>
            <w:r w:rsidRPr="008E2D53">
              <w:rPr>
                <w:rFonts w:ascii="Times New Roman" w:hAnsi="Times New Roman"/>
                <w:iCs/>
              </w:rPr>
              <w:t xml:space="preserve"> </w:t>
            </w:r>
            <w:r>
              <w:rPr>
                <w:rFonts w:ascii="Times New Roman" w:hAnsi="Times New Roman"/>
                <w:iCs/>
              </w:rPr>
              <w:t>(</w:t>
            </w:r>
            <w:r w:rsidRPr="008E2D53">
              <w:rPr>
                <w:rFonts w:ascii="Times New Roman" w:hAnsi="Times New Roman"/>
                <w:iCs/>
              </w:rPr>
              <w:t>sygnalisty</w:t>
            </w:r>
            <w:r>
              <w:rPr>
                <w:rFonts w:ascii="Times New Roman" w:hAnsi="Times New Roman"/>
                <w:iCs/>
              </w:rPr>
              <w:t>)</w:t>
            </w:r>
            <w:r w:rsidRPr="008E2D53">
              <w:rPr>
                <w:rFonts w:ascii="Times New Roman" w:hAnsi="Times New Roman"/>
                <w:iCs/>
              </w:rPr>
              <w:t xml:space="preserve"> będzie pochodną dokonania zgłoszenia wewnętrznego lub zgłoszenia zewnętrznego bądź ujawnienia publicznego na zasadach określonych w ustawie. Konieczne będzie zachowanie wymaganego trybu, tj. w szczególności dokonanie zgłoszenia z wykorzystaniem przewidzianych w tym zakresie kanałów zgłoszeń, bądź zachowanie zasad uja</w:t>
            </w:r>
            <w:r>
              <w:rPr>
                <w:rFonts w:ascii="Times New Roman" w:hAnsi="Times New Roman"/>
                <w:iCs/>
              </w:rPr>
              <w:t>wnienia publicznego</w:t>
            </w:r>
            <w:r w:rsidRPr="008E2D53">
              <w:rPr>
                <w:rFonts w:ascii="Times New Roman" w:hAnsi="Times New Roman"/>
                <w:iCs/>
              </w:rPr>
              <w:t>. W każdym przypadku wymagane będzie dopełnienie przesłanek związanych z rzetelnością postępowania zgłaszającego oraz wiarygodnością zgłaszanych lub ujawnianych przez niego informacji. W tym ostatnim aspekcie przewidziany zostanie wymóg, że zgłaszający powinien mieć uzasadnione podstawy, by sądzić, że będąca przedmiotem zgłoszenia informacja o naruszeniu jest prawdziwa w momencie dokonywania zgłoszenia. W przypadku zgłoszenia zewnętrznego lub wewnętrznego bezpośrednim uprawnieniem zgłaszającego, wynikającym z samego dokonania zgłoszenia, będzie możliwość monitorowania toku sprawy, tj. uzyskania informacji zwrotnych co do działań następczych, umożliwiających ocenę, czy zgłoszenie spotkało się z właściwą reakcją. W przypadku zarówno zgłoszenia zewnętrznego lub wewnętrznego, jak i ujawnienia publicznego przysługiwać będą ponadto wynikające z ustawy środki ochrony. Przepisy o środkach ochrony znajdą zastosowanie, w  szczególności będą mogły zostać przywołane przez sygnalistę w odnośnym postępowaniu, gdy pojawi się ewentualny spór lub podjęte zostanie działanie o charakterze odwetowym.</w:t>
            </w:r>
          </w:p>
          <w:p w14:paraId="5630AAD8" w14:textId="77777777" w:rsidR="00C017C1" w:rsidRDefault="00C017C1" w:rsidP="00C017C1">
            <w:pPr>
              <w:spacing w:line="240" w:lineRule="auto"/>
              <w:jc w:val="both"/>
              <w:rPr>
                <w:rFonts w:ascii="Times New Roman" w:hAnsi="Times New Roman"/>
              </w:rPr>
            </w:pPr>
            <w:r>
              <w:rPr>
                <w:rFonts w:ascii="Times New Roman" w:hAnsi="Times New Roman"/>
              </w:rPr>
              <w:t xml:space="preserve">Zgłoszenia naruszenia prawa będzie można dokonać za pomocą </w:t>
            </w:r>
            <w:r>
              <w:rPr>
                <w:rFonts w:ascii="Times New Roman" w:hAnsi="Times New Roman"/>
                <w:iCs/>
              </w:rPr>
              <w:t xml:space="preserve">wewnętrznych kanałów zgłoszeń utworzonych przez podmioty prywatne oraz publiczne, za pomocą zewnętrznych kanałów zgłoszeń do odpowiednich organów państwa oraz za pomocą ujawnienia publicznego. </w:t>
            </w:r>
            <w:r w:rsidRPr="006E2B0B">
              <w:rPr>
                <w:rFonts w:ascii="Times New Roman" w:hAnsi="Times New Roman"/>
              </w:rPr>
              <w:t>W projektowanej ustawie zostaną określone wymagania do</w:t>
            </w:r>
            <w:r>
              <w:rPr>
                <w:rFonts w:ascii="Times New Roman" w:hAnsi="Times New Roman"/>
              </w:rPr>
              <w:t>tyczące</w:t>
            </w:r>
            <w:r w:rsidRPr="006E2B0B">
              <w:rPr>
                <w:rFonts w:ascii="Times New Roman" w:hAnsi="Times New Roman"/>
              </w:rPr>
              <w:t xml:space="preserve"> </w:t>
            </w:r>
            <w:r>
              <w:rPr>
                <w:rFonts w:ascii="Times New Roman" w:hAnsi="Times New Roman"/>
              </w:rPr>
              <w:t>u</w:t>
            </w:r>
            <w:r w:rsidRPr="006E2B0B">
              <w:rPr>
                <w:rFonts w:ascii="Times New Roman" w:hAnsi="Times New Roman"/>
              </w:rPr>
              <w:t xml:space="preserve">tworzenia </w:t>
            </w:r>
            <w:r>
              <w:rPr>
                <w:rFonts w:ascii="Times New Roman" w:hAnsi="Times New Roman"/>
              </w:rPr>
              <w:t xml:space="preserve">oraz </w:t>
            </w:r>
            <w:r>
              <w:rPr>
                <w:rFonts w:ascii="Times New Roman" w:hAnsi="Times New Roman"/>
              </w:rPr>
              <w:lastRenderedPageBreak/>
              <w:t xml:space="preserve">organizacji </w:t>
            </w:r>
            <w:r w:rsidRPr="006E2B0B">
              <w:rPr>
                <w:rFonts w:ascii="Times New Roman" w:hAnsi="Times New Roman"/>
              </w:rPr>
              <w:t xml:space="preserve">wewnętrznych </w:t>
            </w:r>
            <w:r>
              <w:rPr>
                <w:rFonts w:ascii="Times New Roman" w:hAnsi="Times New Roman"/>
              </w:rPr>
              <w:t xml:space="preserve">i zewnętrznych </w:t>
            </w:r>
            <w:r w:rsidRPr="006E2B0B">
              <w:rPr>
                <w:rFonts w:ascii="Times New Roman" w:hAnsi="Times New Roman"/>
              </w:rPr>
              <w:t xml:space="preserve">kanałów </w:t>
            </w:r>
            <w:r>
              <w:rPr>
                <w:rFonts w:ascii="Times New Roman" w:hAnsi="Times New Roman"/>
              </w:rPr>
              <w:t xml:space="preserve">(procedur i rozwiązań organizacyjnych) </w:t>
            </w:r>
            <w:r w:rsidRPr="006E2B0B">
              <w:rPr>
                <w:rFonts w:ascii="Times New Roman" w:hAnsi="Times New Roman"/>
              </w:rPr>
              <w:t>zgłaszania naruszeń</w:t>
            </w:r>
            <w:r>
              <w:rPr>
                <w:rFonts w:ascii="Times New Roman" w:hAnsi="Times New Roman"/>
              </w:rPr>
              <w:t xml:space="preserve"> oraz zasady dokonania ujawnienia publicznego</w:t>
            </w:r>
            <w:r w:rsidRPr="006E2B0B">
              <w:rPr>
                <w:rFonts w:ascii="Times New Roman" w:hAnsi="Times New Roman"/>
              </w:rPr>
              <w:t>.</w:t>
            </w:r>
            <w:r>
              <w:rPr>
                <w:rFonts w:ascii="Times New Roman" w:hAnsi="Times New Roman"/>
              </w:rPr>
              <w:t xml:space="preserve"> </w:t>
            </w:r>
          </w:p>
          <w:p w14:paraId="2416FDE8" w14:textId="15F56520" w:rsidR="00C017C1" w:rsidRDefault="00C017C1" w:rsidP="00C017C1">
            <w:pPr>
              <w:spacing w:line="240" w:lineRule="auto"/>
              <w:jc w:val="both"/>
              <w:rPr>
                <w:rFonts w:ascii="Times New Roman" w:hAnsi="Times New Roman"/>
                <w:iCs/>
              </w:rPr>
            </w:pPr>
            <w:r>
              <w:rPr>
                <w:rFonts w:ascii="Times New Roman" w:hAnsi="Times New Roman"/>
              </w:rPr>
              <w:t>Wewnętrzn</w:t>
            </w:r>
            <w:r w:rsidR="00781E26">
              <w:rPr>
                <w:rFonts w:ascii="Times New Roman" w:hAnsi="Times New Roman"/>
              </w:rPr>
              <w:t>a</w:t>
            </w:r>
            <w:r>
              <w:rPr>
                <w:rFonts w:ascii="Times New Roman" w:hAnsi="Times New Roman"/>
              </w:rPr>
              <w:t xml:space="preserve"> procedur</w:t>
            </w:r>
            <w:r w:rsidR="00781E26">
              <w:rPr>
                <w:rFonts w:ascii="Times New Roman" w:hAnsi="Times New Roman"/>
              </w:rPr>
              <w:t>a</w:t>
            </w:r>
            <w:r w:rsidRPr="00537D89">
              <w:rPr>
                <w:rFonts w:ascii="Times New Roman" w:hAnsi="Times New Roman"/>
              </w:rPr>
              <w:t xml:space="preserve"> zgłaszania naruszeń i podejmowania działań następczych</w:t>
            </w:r>
            <w:r>
              <w:rPr>
                <w:rFonts w:ascii="Times New Roman" w:hAnsi="Times New Roman"/>
              </w:rPr>
              <w:t xml:space="preserve"> </w:t>
            </w:r>
            <w:r>
              <w:rPr>
                <w:rFonts w:ascii="Times New Roman" w:eastAsiaTheme="minorHAnsi" w:hAnsi="Times New Roman"/>
              </w:rPr>
              <w:t xml:space="preserve">będzie </w:t>
            </w:r>
            <w:r w:rsidRPr="00C851F9">
              <w:rPr>
                <w:rFonts w:ascii="Times New Roman" w:eastAsiaTheme="minorHAnsi" w:hAnsi="Times New Roman"/>
              </w:rPr>
              <w:t xml:space="preserve">przedmiotem </w:t>
            </w:r>
            <w:r w:rsidR="00781E26">
              <w:rPr>
                <w:rFonts w:ascii="Times New Roman" w:eastAsiaTheme="minorHAnsi" w:hAnsi="Times New Roman"/>
              </w:rPr>
              <w:t xml:space="preserve">konsultacji </w:t>
            </w:r>
            <w:r w:rsidRPr="00C851F9">
              <w:rPr>
                <w:rFonts w:ascii="Times New Roman" w:eastAsiaTheme="minorHAnsi" w:hAnsi="Times New Roman"/>
              </w:rPr>
              <w:t xml:space="preserve">z </w:t>
            </w:r>
            <w:r>
              <w:rPr>
                <w:rFonts w:ascii="Times New Roman" w:eastAsiaTheme="minorHAnsi" w:hAnsi="Times New Roman"/>
              </w:rPr>
              <w:t>zakładowymi organizacjami związkowymi albo z przedstawicielami pracowników (jeśli u pracodawcy nie będą działały zakładowe organizacje związkowe)</w:t>
            </w:r>
            <w:r w:rsidRPr="00C851F9">
              <w:rPr>
                <w:rFonts w:ascii="Times New Roman" w:eastAsiaTheme="minorHAnsi" w:hAnsi="Times New Roman"/>
              </w:rPr>
              <w:t>.</w:t>
            </w:r>
            <w:r>
              <w:rPr>
                <w:rFonts w:ascii="Times New Roman" w:eastAsiaTheme="minorHAnsi" w:hAnsi="Times New Roman"/>
              </w:rPr>
              <w:t xml:space="preserve"> Ustalana w ten sposób procedura i rozwiązania będą musiały spełniać minimalne wymogi określone w ustawie, w tym objąć kwestie organizacyjne, takie jak wyszczególnienie komórek</w:t>
            </w:r>
            <w:r w:rsidRPr="00D30305">
              <w:rPr>
                <w:rFonts w:ascii="Times New Roman" w:eastAsiaTheme="minorHAnsi" w:hAnsi="Times New Roman"/>
              </w:rPr>
              <w:t xml:space="preserve"> organizacyjnych lub</w:t>
            </w:r>
            <w:r>
              <w:rPr>
                <w:rFonts w:ascii="Times New Roman" w:eastAsiaTheme="minorHAnsi" w:hAnsi="Times New Roman"/>
              </w:rPr>
              <w:t xml:space="preserve"> osób przyjmujących zgłoszenia,</w:t>
            </w:r>
            <w:r w:rsidRPr="00D30305">
              <w:rPr>
                <w:rFonts w:ascii="Times New Roman" w:eastAsiaTheme="minorHAnsi" w:hAnsi="Times New Roman"/>
              </w:rPr>
              <w:t xml:space="preserve"> podejmujących działania następcze i</w:t>
            </w:r>
            <w:r>
              <w:rPr>
                <w:rFonts w:ascii="Times New Roman" w:eastAsiaTheme="minorHAnsi" w:hAnsi="Times New Roman"/>
              </w:rPr>
              <w:t> </w:t>
            </w:r>
            <w:r w:rsidRPr="00D30305">
              <w:rPr>
                <w:rFonts w:ascii="Times New Roman" w:eastAsiaTheme="minorHAnsi" w:hAnsi="Times New Roman"/>
              </w:rPr>
              <w:t>udzielających informacj</w:t>
            </w:r>
            <w:r>
              <w:rPr>
                <w:rFonts w:ascii="Times New Roman" w:eastAsiaTheme="minorHAnsi" w:hAnsi="Times New Roman"/>
              </w:rPr>
              <w:t>i zwrotnych, sposoby zgłaszania i</w:t>
            </w:r>
            <w:r w:rsidRPr="00D30305">
              <w:rPr>
                <w:rFonts w:ascii="Times New Roman" w:eastAsiaTheme="minorHAnsi" w:hAnsi="Times New Roman"/>
              </w:rPr>
              <w:t xml:space="preserve"> pot</w:t>
            </w:r>
            <w:r>
              <w:rPr>
                <w:rFonts w:ascii="Times New Roman" w:eastAsiaTheme="minorHAnsi" w:hAnsi="Times New Roman"/>
              </w:rPr>
              <w:t>wierdzania przyjęcia zgłoszenia oraz</w:t>
            </w:r>
            <w:r w:rsidRPr="00D30305">
              <w:rPr>
                <w:rFonts w:ascii="Times New Roman" w:eastAsiaTheme="minorHAnsi" w:hAnsi="Times New Roman"/>
              </w:rPr>
              <w:t xml:space="preserve"> terminy realizowanych czynności</w:t>
            </w:r>
            <w:r>
              <w:rPr>
                <w:rFonts w:ascii="Times New Roman" w:eastAsiaTheme="minorHAnsi" w:hAnsi="Times New Roman"/>
              </w:rPr>
              <w:t>.</w:t>
            </w:r>
            <w:r w:rsidRPr="005720F5">
              <w:rPr>
                <w:rFonts w:ascii="Times New Roman" w:eastAsiaTheme="minorHAnsi" w:hAnsi="Times New Roman"/>
                <w:sz w:val="28"/>
                <w:szCs w:val="28"/>
              </w:rPr>
              <w:t xml:space="preserve"> </w:t>
            </w:r>
            <w:r>
              <w:rPr>
                <w:rFonts w:ascii="Times New Roman" w:eastAsiaTheme="minorHAnsi" w:hAnsi="Times New Roman"/>
              </w:rPr>
              <w:t>P</w:t>
            </w:r>
            <w:r w:rsidR="00972E58">
              <w:rPr>
                <w:rFonts w:ascii="Times New Roman" w:eastAsiaTheme="minorHAnsi" w:hAnsi="Times New Roman"/>
              </w:rPr>
              <w:t>odmiot prawny</w:t>
            </w:r>
            <w:r>
              <w:rPr>
                <w:rFonts w:ascii="Times New Roman" w:eastAsiaTheme="minorHAnsi" w:hAnsi="Times New Roman"/>
              </w:rPr>
              <w:t xml:space="preserve"> będzie obowiązany zapewnić właściwą organizację</w:t>
            </w:r>
            <w:r w:rsidRPr="005720F5">
              <w:rPr>
                <w:rFonts w:ascii="Times New Roman" w:eastAsiaTheme="minorHAnsi" w:hAnsi="Times New Roman"/>
              </w:rPr>
              <w:t xml:space="preserve"> przyjmowania i weryfikacji zgłoszeń, </w:t>
            </w:r>
            <w:r>
              <w:rPr>
                <w:rFonts w:ascii="Times New Roman" w:eastAsiaTheme="minorHAnsi" w:hAnsi="Times New Roman"/>
              </w:rPr>
              <w:t xml:space="preserve">w tym </w:t>
            </w:r>
            <w:r w:rsidRPr="005720F5">
              <w:rPr>
                <w:rFonts w:ascii="Times New Roman" w:eastAsiaTheme="minorHAnsi" w:hAnsi="Times New Roman"/>
              </w:rPr>
              <w:t>ochronę poufności tożsamości osoby dokonującej zgłoszenia</w:t>
            </w:r>
            <w:r w:rsidR="00575E41">
              <w:rPr>
                <w:rFonts w:ascii="Times New Roman" w:eastAsiaTheme="minorHAnsi" w:hAnsi="Times New Roman"/>
              </w:rPr>
              <w:t xml:space="preserve">, </w:t>
            </w:r>
            <w:r w:rsidRPr="005720F5">
              <w:rPr>
                <w:rFonts w:ascii="Times New Roman" w:eastAsiaTheme="minorHAnsi" w:hAnsi="Times New Roman"/>
              </w:rPr>
              <w:t>osoby, której dotyczy zgłoszenie</w:t>
            </w:r>
            <w:r w:rsidR="00575E41">
              <w:rPr>
                <w:rFonts w:ascii="Times New Roman" w:eastAsiaTheme="minorHAnsi" w:hAnsi="Times New Roman"/>
              </w:rPr>
              <w:t xml:space="preserve"> oraz osoby trzeciej wskazanej w zgłoszeniu</w:t>
            </w:r>
            <w:r w:rsidRPr="005720F5">
              <w:rPr>
                <w:rFonts w:ascii="Times New Roman" w:eastAsiaTheme="minorHAnsi" w:hAnsi="Times New Roman"/>
              </w:rPr>
              <w:t>.</w:t>
            </w:r>
            <w:r>
              <w:rPr>
                <w:rFonts w:ascii="Times New Roman" w:eastAsiaTheme="minorHAnsi" w:hAnsi="Times New Roman"/>
              </w:rPr>
              <w:t xml:space="preserve"> </w:t>
            </w:r>
            <w:r w:rsidRPr="000752E6">
              <w:rPr>
                <w:rFonts w:ascii="Times New Roman" w:hAnsi="Times New Roman"/>
              </w:rPr>
              <w:t>Przepisom ustawy</w:t>
            </w:r>
            <w:r>
              <w:rPr>
                <w:rFonts w:ascii="Times New Roman" w:hAnsi="Times New Roman"/>
              </w:rPr>
              <w:t>,</w:t>
            </w:r>
            <w:r w:rsidRPr="000752E6">
              <w:rPr>
                <w:rFonts w:ascii="Times New Roman" w:hAnsi="Times New Roman"/>
              </w:rPr>
              <w:t xml:space="preserve"> </w:t>
            </w:r>
            <w:r>
              <w:rPr>
                <w:rFonts w:ascii="Times New Roman" w:hAnsi="Times New Roman"/>
              </w:rPr>
              <w:t xml:space="preserve">w zakresie obowiązku ustanowienia wewnętrznych kanałów zgłaszania naruszeń, </w:t>
            </w:r>
            <w:r w:rsidRPr="000752E6">
              <w:rPr>
                <w:rFonts w:ascii="Times New Roman" w:hAnsi="Times New Roman"/>
              </w:rPr>
              <w:t xml:space="preserve">podlegać będą </w:t>
            </w:r>
            <w:r w:rsidR="00972E58">
              <w:rPr>
                <w:rFonts w:ascii="Times New Roman" w:hAnsi="Times New Roman"/>
              </w:rPr>
              <w:t xml:space="preserve">co do zasady </w:t>
            </w:r>
            <w:r w:rsidRPr="000752E6">
              <w:rPr>
                <w:rFonts w:ascii="Times New Roman" w:hAnsi="Times New Roman"/>
              </w:rPr>
              <w:t>podmioty sektora publicznego</w:t>
            </w:r>
            <w:r>
              <w:rPr>
                <w:rFonts w:ascii="Times New Roman" w:hAnsi="Times New Roman"/>
              </w:rPr>
              <w:t xml:space="preserve"> i</w:t>
            </w:r>
            <w:r w:rsidRPr="000752E6">
              <w:rPr>
                <w:rFonts w:ascii="Times New Roman" w:hAnsi="Times New Roman"/>
              </w:rPr>
              <w:t xml:space="preserve"> prywatnego </w:t>
            </w:r>
            <w:r w:rsidR="008F3C51">
              <w:rPr>
                <w:rFonts w:ascii="Times New Roman" w:hAnsi="Times New Roman"/>
              </w:rPr>
              <w:t xml:space="preserve">na rzecz których wykonywać lub świadczyć </w:t>
            </w:r>
            <w:r w:rsidR="00073C65">
              <w:rPr>
                <w:rFonts w:ascii="Times New Roman" w:hAnsi="Times New Roman"/>
              </w:rPr>
              <w:t xml:space="preserve">pracę </w:t>
            </w:r>
            <w:r w:rsidR="008F3C51">
              <w:rPr>
                <w:rFonts w:ascii="Times New Roman" w:hAnsi="Times New Roman"/>
              </w:rPr>
              <w:t xml:space="preserve">będzie co najmniej 50 osób. </w:t>
            </w:r>
            <w:r w:rsidRPr="000752E6">
              <w:rPr>
                <w:rFonts w:ascii="Times New Roman" w:hAnsi="Times New Roman"/>
              </w:rPr>
              <w:t xml:space="preserve"> Podmioty działające w sektorze finansowym</w:t>
            </w:r>
            <w:r>
              <w:rPr>
                <w:rFonts w:ascii="Times New Roman" w:hAnsi="Times New Roman"/>
              </w:rPr>
              <w:t xml:space="preserve"> (m.in. banki, fundusze inwestycyjne, zakłady ubezpieczeń, zakłady reasekuracji, fundusze powiernicze, towarzystwa emerytalne, fundusze emerytalne, domy maklerskie, towarzystwa funduszy inwestycyjnych) </w:t>
            </w:r>
            <w:r w:rsidRPr="000752E6">
              <w:rPr>
                <w:rFonts w:ascii="Times New Roman" w:hAnsi="Times New Roman"/>
              </w:rPr>
              <w:t xml:space="preserve">będą </w:t>
            </w:r>
            <w:r>
              <w:rPr>
                <w:rFonts w:ascii="Times New Roman" w:hAnsi="Times New Roman"/>
              </w:rPr>
              <w:t>miały</w:t>
            </w:r>
            <w:r w:rsidRPr="000752E6">
              <w:rPr>
                <w:rFonts w:ascii="Times New Roman" w:hAnsi="Times New Roman"/>
              </w:rPr>
              <w:t xml:space="preserve"> </w:t>
            </w:r>
            <w:r>
              <w:rPr>
                <w:rFonts w:ascii="Times New Roman" w:hAnsi="Times New Roman"/>
              </w:rPr>
              <w:t>obowiązek ustanowienia wewnętrznych kanałów zgłaszania naruszeń</w:t>
            </w:r>
            <w:r w:rsidRPr="000752E6">
              <w:rPr>
                <w:rFonts w:ascii="Times New Roman" w:hAnsi="Times New Roman"/>
              </w:rPr>
              <w:t xml:space="preserve"> niezależnie od tego</w:t>
            </w:r>
            <w:r>
              <w:rPr>
                <w:rFonts w:ascii="Times New Roman" w:hAnsi="Times New Roman"/>
              </w:rPr>
              <w:t>,</w:t>
            </w:r>
            <w:r w:rsidRPr="000752E6">
              <w:rPr>
                <w:rFonts w:ascii="Times New Roman" w:hAnsi="Times New Roman"/>
              </w:rPr>
              <w:t xml:space="preserve"> czy</w:t>
            </w:r>
            <w:r>
              <w:rPr>
                <w:rFonts w:ascii="Times New Roman" w:hAnsi="Times New Roman"/>
              </w:rPr>
              <w:t xml:space="preserve"> należą do sektora publicznego,</w:t>
            </w:r>
            <w:r w:rsidRPr="000752E6">
              <w:rPr>
                <w:rFonts w:ascii="Times New Roman" w:hAnsi="Times New Roman"/>
              </w:rPr>
              <w:t xml:space="preserve"> czy prywatnego oraz niezależnie od liczby zatrudnionych pracowników.</w:t>
            </w:r>
            <w:r>
              <w:rPr>
                <w:rFonts w:ascii="Times New Roman" w:hAnsi="Times New Roman"/>
              </w:rPr>
              <w:t xml:space="preserve"> </w:t>
            </w:r>
            <w:r w:rsidR="00972E58">
              <w:rPr>
                <w:rFonts w:ascii="Times New Roman" w:hAnsi="Times New Roman"/>
              </w:rPr>
              <w:t xml:space="preserve">Natomiast </w:t>
            </w:r>
            <w:r w:rsidR="00972E58" w:rsidRPr="00972E58">
              <w:rPr>
                <w:rFonts w:ascii="Times New Roman" w:hAnsi="Times New Roman"/>
              </w:rPr>
              <w:t>całkowi</w:t>
            </w:r>
            <w:r w:rsidR="00972E58">
              <w:rPr>
                <w:rFonts w:ascii="Times New Roman" w:hAnsi="Times New Roman"/>
              </w:rPr>
              <w:t>cie</w:t>
            </w:r>
            <w:r w:rsidR="00972E58" w:rsidRPr="00972E58">
              <w:rPr>
                <w:rFonts w:ascii="Times New Roman" w:hAnsi="Times New Roman"/>
              </w:rPr>
              <w:t xml:space="preserve"> zwolni</w:t>
            </w:r>
            <w:r w:rsidR="00972E58">
              <w:rPr>
                <w:rFonts w:ascii="Times New Roman" w:hAnsi="Times New Roman"/>
              </w:rPr>
              <w:t>one zostaną z</w:t>
            </w:r>
            <w:r w:rsidR="00972E58" w:rsidRPr="00972E58">
              <w:rPr>
                <w:rFonts w:ascii="Times New Roman" w:hAnsi="Times New Roman"/>
              </w:rPr>
              <w:t xml:space="preserve"> tego obowiązku urzęd</w:t>
            </w:r>
            <w:r w:rsidR="00972E58">
              <w:rPr>
                <w:rFonts w:ascii="Times New Roman" w:hAnsi="Times New Roman"/>
              </w:rPr>
              <w:t>y</w:t>
            </w:r>
            <w:r w:rsidR="00972E58" w:rsidRPr="00972E58">
              <w:rPr>
                <w:rFonts w:ascii="Times New Roman" w:hAnsi="Times New Roman"/>
              </w:rPr>
              <w:t xml:space="preserve"> lub jednostk</w:t>
            </w:r>
            <w:r w:rsidR="00972E58">
              <w:rPr>
                <w:rFonts w:ascii="Times New Roman" w:hAnsi="Times New Roman"/>
              </w:rPr>
              <w:t>i</w:t>
            </w:r>
            <w:r w:rsidR="00972E58" w:rsidRPr="00972E58">
              <w:rPr>
                <w:rFonts w:ascii="Times New Roman" w:hAnsi="Times New Roman"/>
              </w:rPr>
              <w:t xml:space="preserve"> organizacyjn</w:t>
            </w:r>
            <w:r w:rsidR="00972E58">
              <w:rPr>
                <w:rFonts w:ascii="Times New Roman" w:hAnsi="Times New Roman"/>
              </w:rPr>
              <w:t>e</w:t>
            </w:r>
            <w:r w:rsidR="00972E58" w:rsidRPr="00972E58">
              <w:rPr>
                <w:rFonts w:ascii="Times New Roman" w:hAnsi="Times New Roman"/>
              </w:rPr>
              <w:t xml:space="preserve"> gminy liczącej mniej niż 10 000 mieszkańców</w:t>
            </w:r>
            <w:r w:rsidR="00972E58">
              <w:rPr>
                <w:rFonts w:ascii="Times New Roman" w:hAnsi="Times New Roman"/>
              </w:rPr>
              <w:t>.</w:t>
            </w:r>
            <w:r w:rsidR="00972E58" w:rsidRPr="00972E58">
              <w:rPr>
                <w:rFonts w:ascii="Times New Roman" w:hAnsi="Times New Roman"/>
              </w:rPr>
              <w:t xml:space="preserve"> </w:t>
            </w:r>
            <w:r>
              <w:rPr>
                <w:rFonts w:ascii="Times New Roman" w:hAnsi="Times New Roman"/>
              </w:rPr>
              <w:t xml:space="preserve">Dla pozostałych </w:t>
            </w:r>
            <w:r w:rsidR="00972E58">
              <w:rPr>
                <w:rFonts w:ascii="Times New Roman" w:hAnsi="Times New Roman"/>
              </w:rPr>
              <w:t xml:space="preserve">zaś </w:t>
            </w:r>
            <w:r>
              <w:rPr>
                <w:rFonts w:ascii="Times New Roman" w:hAnsi="Times New Roman"/>
              </w:rPr>
              <w:t xml:space="preserve">podmiotów utworzenie </w:t>
            </w:r>
            <w:r>
              <w:rPr>
                <w:rFonts w:ascii="Times New Roman" w:hAnsi="Times New Roman"/>
                <w:iCs/>
              </w:rPr>
              <w:t>wewnętrznych kanałów dokonywania zgłoszeń nie będzie obligatoryjne, ale podmioty te, w zależności od potrzeb, będę mogły utworzyć je dobrowolnie, stosując zasady przewidziane w ustawi</w:t>
            </w:r>
            <w:r w:rsidRPr="00C61ADC">
              <w:rPr>
                <w:rFonts w:ascii="Times New Roman" w:hAnsi="Times New Roman"/>
                <w:iCs/>
              </w:rPr>
              <w:t>e.</w:t>
            </w:r>
          </w:p>
          <w:p w14:paraId="2117742A" w14:textId="77777777" w:rsidR="00C017C1" w:rsidRDefault="00C017C1" w:rsidP="00C017C1">
            <w:pPr>
              <w:spacing w:line="240" w:lineRule="auto"/>
              <w:jc w:val="both"/>
              <w:rPr>
                <w:rFonts w:ascii="Times New Roman" w:hAnsi="Times New Roman"/>
                <w:iCs/>
              </w:rPr>
            </w:pPr>
            <w:r>
              <w:rPr>
                <w:rFonts w:ascii="Times New Roman" w:hAnsi="Times New Roman"/>
                <w:iCs/>
              </w:rPr>
              <w:t>Zatrudnienie w podmiocie, w którym nie będzie ustanowionych wewnętrznych kanałów dokonywania zgłoszeń, nie wyłączy możliwości zgłoszenia naruszenia prawa. Osoby takie będą mogły dokonać zgłoszenia naruszenia prawa za pośrednictwem zewnętrznych kanałów zgłoszeń lub w drodze ujawnienia publicznego.</w:t>
            </w:r>
          </w:p>
          <w:p w14:paraId="1BD042A8" w14:textId="02352F0E" w:rsidR="00C017C1" w:rsidRDefault="00C017C1" w:rsidP="00C017C1">
            <w:pPr>
              <w:spacing w:line="240" w:lineRule="auto"/>
              <w:jc w:val="both"/>
              <w:rPr>
                <w:rFonts w:ascii="Times New Roman" w:hAnsi="Times New Roman"/>
                <w:iCs/>
              </w:rPr>
            </w:pPr>
            <w:r>
              <w:rPr>
                <w:rFonts w:ascii="Times New Roman" w:hAnsi="Times New Roman"/>
                <w:iCs/>
              </w:rPr>
              <w:t>Podobnie jak w przypadku wewnętrznych kanałów dokonywania zgłoszeń w ustawie uregulowane zostaną procedury oraz rozwiązania organizacyjne dotyczące dokonywania zgłoszeń naruszeń prawa do odpowiednich organów państwa (kanały dokonywania zgłoszeń „zewnętrzne” wobec p</w:t>
            </w:r>
            <w:r w:rsidR="008F3C51">
              <w:rPr>
                <w:rFonts w:ascii="Times New Roman" w:hAnsi="Times New Roman"/>
                <w:iCs/>
              </w:rPr>
              <w:t>odmiotu prawnego</w:t>
            </w:r>
            <w:r>
              <w:rPr>
                <w:rFonts w:ascii="Times New Roman" w:hAnsi="Times New Roman"/>
                <w:iCs/>
              </w:rPr>
              <w:t xml:space="preserve">), wraz z obowiązkiem weryfikacji zgłoszeń oraz podjęcia działań następczych. Zagadnienie to powiązane jest z kolei ściśle z pojęciem instytucji centralnej do spraw zgłaszających naruszenia prawa, której możliwość istnienia przewiduje dyrektywa 2019/1937. </w:t>
            </w:r>
          </w:p>
          <w:p w14:paraId="1F99E0E1" w14:textId="4C5A2CD6" w:rsidR="00C017C1" w:rsidRPr="006D14F1" w:rsidRDefault="00C017C1" w:rsidP="00C017C1">
            <w:pPr>
              <w:spacing w:line="240" w:lineRule="auto"/>
              <w:jc w:val="both"/>
              <w:rPr>
                <w:rFonts w:ascii="Times New Roman" w:hAnsi="Times New Roman"/>
                <w:iCs/>
              </w:rPr>
            </w:pPr>
            <w:r w:rsidRPr="006D14F1">
              <w:rPr>
                <w:rFonts w:ascii="Times New Roman" w:hAnsi="Times New Roman"/>
                <w:iCs/>
              </w:rPr>
              <w:t xml:space="preserve">W trakcie prac nad implementacją dyrektywy 2019/1937, ze względu na koszty, odrzucono koncepcję powołania w tym celu nowej instytucji. Następnie rozważono dwa warianty: pierwszy </w:t>
            </w:r>
            <w:r>
              <w:rPr>
                <w:rFonts w:ascii="Times New Roman" w:hAnsi="Times New Roman"/>
                <w:iCs/>
              </w:rPr>
              <w:t xml:space="preserve">– </w:t>
            </w:r>
            <w:r w:rsidRPr="006D14F1">
              <w:rPr>
                <w:rFonts w:ascii="Times New Roman" w:hAnsi="Times New Roman"/>
                <w:iCs/>
              </w:rPr>
              <w:t xml:space="preserve">zakładający wyznaczenie centralnego organu przyjmującego zgłoszenia zewnętrzne oraz </w:t>
            </w:r>
            <w:r>
              <w:rPr>
                <w:rFonts w:ascii="Times New Roman" w:hAnsi="Times New Roman"/>
                <w:iCs/>
              </w:rPr>
              <w:t>drugi –</w:t>
            </w:r>
            <w:r w:rsidRPr="006D14F1">
              <w:rPr>
                <w:rFonts w:ascii="Times New Roman" w:hAnsi="Times New Roman"/>
                <w:iCs/>
              </w:rPr>
              <w:t xml:space="preserve"> zakładający wyznaczenie pewnej liczby organów przyjmujących zgłoszenia zewnętrzne, które posiadają ponadto kompetencje w określonych dziedzinach do weryfikacji zgłoszeń i podjęcia działań następczych, przy czym łącznie kompetencje takich organów powinny objąć wszystkie dziedziny objęte zakresem przedmiotowym „naruszenia” w rozumieniu dyrektywy 2019/1937. Zdecydowano się na wariant obejmujący wyznaczenie </w:t>
            </w:r>
            <w:r w:rsidR="00BA481B">
              <w:rPr>
                <w:rFonts w:ascii="Times New Roman" w:hAnsi="Times New Roman"/>
                <w:iCs/>
              </w:rPr>
              <w:t xml:space="preserve">krajowego </w:t>
            </w:r>
            <w:r w:rsidRPr="006D14F1">
              <w:rPr>
                <w:rFonts w:ascii="Times New Roman" w:hAnsi="Times New Roman"/>
                <w:iCs/>
              </w:rPr>
              <w:t>organu łączącego udzielanie wsparcia osobom zgłaszającym naruszenia prawa oraz przyjmowanie zgłoszeń zewnętrznych. Wybranie takiego rozwiązania pozwoli uniknąć luki (braku wyspecjalizowanego organu dla przyjmowania zgłoszeń o określonych naruszeniach) i będzie korzystniejsze dla sygnalisty, który nie będzie musiał  we własnym zakresie identyfikować wyspecjalizowanego organu. W ramach wybranego wariantu pozostawion</w:t>
            </w:r>
            <w:r w:rsidR="00575E41">
              <w:rPr>
                <w:rFonts w:ascii="Times New Roman" w:hAnsi="Times New Roman"/>
                <w:iCs/>
              </w:rPr>
              <w:t>e</w:t>
            </w:r>
            <w:r w:rsidRPr="006D14F1">
              <w:rPr>
                <w:rFonts w:ascii="Times New Roman" w:hAnsi="Times New Roman"/>
                <w:iCs/>
              </w:rPr>
              <w:t xml:space="preserve"> zostanie tworzeni</w:t>
            </w:r>
            <w:r w:rsidR="00575E41">
              <w:rPr>
                <w:rFonts w:ascii="Times New Roman" w:hAnsi="Times New Roman"/>
                <w:iCs/>
              </w:rPr>
              <w:t>e</w:t>
            </w:r>
            <w:r w:rsidRPr="006D14F1">
              <w:rPr>
                <w:rFonts w:ascii="Times New Roman" w:hAnsi="Times New Roman"/>
                <w:iCs/>
              </w:rPr>
              <w:t xml:space="preserve"> i funkcjonowani</w:t>
            </w:r>
            <w:r w:rsidR="00575E41">
              <w:rPr>
                <w:rFonts w:ascii="Times New Roman" w:hAnsi="Times New Roman"/>
                <w:iCs/>
              </w:rPr>
              <w:t>e innych</w:t>
            </w:r>
            <w:r w:rsidRPr="006D14F1">
              <w:rPr>
                <w:rFonts w:ascii="Times New Roman" w:hAnsi="Times New Roman"/>
                <w:iCs/>
              </w:rPr>
              <w:t xml:space="preserve"> kanałów przyjmowania zgłoszeń zewnętrznych.</w:t>
            </w:r>
          </w:p>
          <w:p w14:paraId="6D54D3E7" w14:textId="77777777" w:rsidR="00C017C1" w:rsidRDefault="00C017C1" w:rsidP="00C017C1">
            <w:pPr>
              <w:spacing w:line="240" w:lineRule="auto"/>
              <w:jc w:val="both"/>
              <w:rPr>
                <w:rFonts w:ascii="Times New Roman" w:hAnsi="Times New Roman"/>
                <w:iCs/>
              </w:rPr>
            </w:pPr>
            <w:r w:rsidRPr="006D14F1">
              <w:rPr>
                <w:rFonts w:ascii="Times New Roman" w:hAnsi="Times New Roman"/>
                <w:iCs/>
              </w:rPr>
              <w:t xml:space="preserve">Ustawa powierzy </w:t>
            </w:r>
            <w:r w:rsidR="00972E58">
              <w:rPr>
                <w:rFonts w:ascii="Times New Roman" w:hAnsi="Times New Roman"/>
                <w:iCs/>
              </w:rPr>
              <w:t xml:space="preserve">ww. </w:t>
            </w:r>
            <w:r w:rsidRPr="006D14F1">
              <w:rPr>
                <w:rFonts w:ascii="Times New Roman" w:hAnsi="Times New Roman"/>
                <w:iCs/>
              </w:rPr>
              <w:t>zadania Rzecznikowi Praw Obywatelskich (dalej: „RPO”). Pełnienie tej roli przez RPO jest zasadne ze względu na fakt, iż przyjmowanie zgłoszeń łączyłoby się w tej instytucji z funkcją udzielania wsparcia i informacji zgłaszającym naruszenia.</w:t>
            </w:r>
            <w:r>
              <w:rPr>
                <w:rFonts w:ascii="Times New Roman" w:hAnsi="Times New Roman"/>
                <w:iCs/>
              </w:rPr>
              <w:t xml:space="preserve"> </w:t>
            </w:r>
            <w:r w:rsidRPr="006D14F1">
              <w:rPr>
                <w:rFonts w:ascii="Times New Roman" w:hAnsi="Times New Roman"/>
                <w:iCs/>
              </w:rPr>
              <w:t xml:space="preserve">Za wyborem RPO przemawia fakt, że organ ten jest powołany do ochrony praw obywateli, a jego niezależność i niezawisłość gwarantuje Konstytucja Rzeczypospolitej Polskiej z dnia 2 kwietnia 1997 r. (Dz. U. poz. 483, z późn. zm.). Zgodnie z art. 210 Konstytucji RPO jest w swojej działalności niezawisły, niezależny od innych organów państwowych i odpowiada jedynie przed Sejmem na zasadach określonych w ustawie. Każdy ma prawo wystąpienia, na zasadach określonych w ustawie, do </w:t>
            </w:r>
            <w:r>
              <w:rPr>
                <w:rFonts w:ascii="Times New Roman" w:hAnsi="Times New Roman"/>
                <w:iCs/>
              </w:rPr>
              <w:t>RPO</w:t>
            </w:r>
            <w:r w:rsidRPr="006D14F1">
              <w:rPr>
                <w:rFonts w:ascii="Times New Roman" w:hAnsi="Times New Roman"/>
                <w:iCs/>
              </w:rPr>
              <w:t xml:space="preserve"> z wnioskiem o pomoc w ochronie swoich wolności lub praw naruszonych przez organy władzy publicznej (art. 80 Konstytucji). Ustawa z dnia 15 lipca 1987 r. o Rzeczniku Praw Obywatelskich (Dz. U. z 2020 r. poz. 627</w:t>
            </w:r>
            <w:r>
              <w:rPr>
                <w:rFonts w:ascii="Times New Roman" w:hAnsi="Times New Roman"/>
                <w:iCs/>
              </w:rPr>
              <w:t>, z późn. zm.</w:t>
            </w:r>
            <w:r w:rsidRPr="006D14F1">
              <w:rPr>
                <w:rFonts w:ascii="Times New Roman" w:hAnsi="Times New Roman"/>
                <w:iCs/>
              </w:rPr>
              <w:t>) stanowi, że RPO stoi na straży wolności i praw człowieka i obywatela określonych w Konstytucji oraz w innych aktach normatywnych, w tym również na straży realizacji zasady równego traktowania. RPO współpracuje z innymi organami i instytucjami, m.in. z Rzecznikiem Praw Dziecka, Rzecznikiem Małych i Średnich Przedsiębiorców, Europejskim Rzecznikiem Praw Człowieka. RPO posiada bogate doświadczenie w obszarze ochrony praw obywatelskich na poziomie prawa krajowego i międzynarodowego. Istnieje już także praktyka powierzania RPO zadań związanych ze szczególnymi obszarami ochrony praw obywateli – RPO wykonuje m.in. zadania Krajowego Mechanizmu Prewencji</w:t>
            </w:r>
            <w:r>
              <w:rPr>
                <w:rFonts w:ascii="Times New Roman" w:hAnsi="Times New Roman"/>
                <w:iCs/>
              </w:rPr>
              <w:t>,</w:t>
            </w:r>
            <w:r w:rsidRPr="006D14F1">
              <w:rPr>
                <w:rFonts w:ascii="Times New Roman" w:hAnsi="Times New Roman"/>
                <w:iCs/>
              </w:rPr>
              <w:t xml:space="preserve"> zgodnie z </w:t>
            </w:r>
            <w:r w:rsidRPr="00FA3961">
              <w:rPr>
                <w:rFonts w:ascii="Times New Roman" w:hAnsi="Times New Roman"/>
                <w:iCs/>
              </w:rPr>
              <w:t>Konwencj</w:t>
            </w:r>
            <w:r>
              <w:rPr>
                <w:rFonts w:ascii="Times New Roman" w:hAnsi="Times New Roman"/>
                <w:iCs/>
              </w:rPr>
              <w:t>ą</w:t>
            </w:r>
            <w:r w:rsidRPr="00FA3961">
              <w:rPr>
                <w:rFonts w:ascii="Times New Roman" w:hAnsi="Times New Roman"/>
                <w:iCs/>
              </w:rPr>
              <w:t xml:space="preserve"> w sprawie zakazu stosowania tortur oraz innego okrutnego, nieludzkiego lub poniżającego traktowania albo karania, przyjęt</w:t>
            </w:r>
            <w:r>
              <w:rPr>
                <w:rFonts w:ascii="Times New Roman" w:hAnsi="Times New Roman"/>
                <w:iCs/>
              </w:rPr>
              <w:t>ą</w:t>
            </w:r>
            <w:r w:rsidRPr="00FA3961">
              <w:rPr>
                <w:rFonts w:ascii="Times New Roman" w:hAnsi="Times New Roman"/>
                <w:iCs/>
              </w:rPr>
              <w:t xml:space="preserve"> przez przyjęta przez Zgromadzenie Ogólne Narodów Zjedno</w:t>
            </w:r>
            <w:r>
              <w:rPr>
                <w:rFonts w:ascii="Times New Roman" w:hAnsi="Times New Roman"/>
                <w:iCs/>
              </w:rPr>
              <w:t>czonych dnia 10 grudnia 1984 r</w:t>
            </w:r>
            <w:r w:rsidRPr="006D14F1">
              <w:rPr>
                <w:rFonts w:ascii="Times New Roman" w:hAnsi="Times New Roman"/>
                <w:iCs/>
              </w:rPr>
              <w:t>. Motyw 64 dyrektywy 2019/1937 wymienia RPO w kontekście możliwego organu na poziomie centralnym przyjmującego zgłoszenia. Jednocześnie dyrektywa 2019/1937 wymaga zapewnienia sygnalistom wsparcia i informacji, przy czym art. 20 ust. 3 dyrektywy przewiduje możliwość udzielania takiego wsparcia przez jeden niezależny organ.</w:t>
            </w:r>
          </w:p>
          <w:p w14:paraId="6A523FA6" w14:textId="2CC978F6" w:rsidR="00C017C1" w:rsidRDefault="00C017C1" w:rsidP="00C017C1">
            <w:pPr>
              <w:spacing w:line="240" w:lineRule="auto"/>
              <w:jc w:val="both"/>
              <w:rPr>
                <w:rFonts w:ascii="Times New Roman" w:hAnsi="Times New Roman"/>
                <w:iCs/>
              </w:rPr>
            </w:pPr>
            <w:r w:rsidRPr="007A03A7">
              <w:rPr>
                <w:rFonts w:ascii="Times New Roman" w:hAnsi="Times New Roman"/>
                <w:iCs/>
              </w:rPr>
              <w:t xml:space="preserve">Z projektowanej ustawy będzie wynikała dwojaka rola </w:t>
            </w:r>
            <w:r w:rsidR="00575E41">
              <w:rPr>
                <w:rFonts w:ascii="Times New Roman" w:hAnsi="Times New Roman"/>
                <w:iCs/>
              </w:rPr>
              <w:t>RPO</w:t>
            </w:r>
            <w:r>
              <w:rPr>
                <w:rFonts w:ascii="Times New Roman" w:hAnsi="Times New Roman"/>
                <w:iCs/>
              </w:rPr>
              <w:t>.</w:t>
            </w:r>
            <w:r w:rsidRPr="007A03A7">
              <w:rPr>
                <w:rFonts w:ascii="Times New Roman" w:hAnsi="Times New Roman"/>
                <w:iCs/>
              </w:rPr>
              <w:t xml:space="preserve"> </w:t>
            </w:r>
            <w:r>
              <w:rPr>
                <w:rFonts w:ascii="Times New Roman" w:hAnsi="Times New Roman"/>
                <w:iCs/>
              </w:rPr>
              <w:t>B</w:t>
            </w:r>
            <w:r w:rsidRPr="007A03A7">
              <w:rPr>
                <w:rFonts w:ascii="Times New Roman" w:hAnsi="Times New Roman"/>
                <w:iCs/>
              </w:rPr>
              <w:t xml:space="preserve">ędzie to bowiem zarówno udzielanie informacji i wsparcia zgłaszającym naruszenia prawa, jak i przyjmowanie tzw. zgłoszeń zewnętrznych (w tym przyjęcie i wstępna weryfikacja zgłoszenia, nadanie sprawie dalszego biegu poprzez skierowanie zgłoszenia do </w:t>
            </w:r>
            <w:r w:rsidR="00575E41">
              <w:rPr>
                <w:rFonts w:ascii="Times New Roman" w:hAnsi="Times New Roman"/>
                <w:iCs/>
              </w:rPr>
              <w:t>organu publicznego właściwego</w:t>
            </w:r>
            <w:r w:rsidRPr="007A03A7">
              <w:rPr>
                <w:rFonts w:ascii="Times New Roman" w:hAnsi="Times New Roman"/>
                <w:iCs/>
              </w:rPr>
              <w:t xml:space="preserve"> do jego </w:t>
            </w:r>
            <w:r w:rsidRPr="007A03A7">
              <w:rPr>
                <w:rFonts w:ascii="Times New Roman" w:hAnsi="Times New Roman"/>
                <w:iCs/>
              </w:rPr>
              <w:lastRenderedPageBreak/>
              <w:t>merytorycznego zbadania</w:t>
            </w:r>
            <w:r>
              <w:rPr>
                <w:rFonts w:ascii="Times New Roman" w:hAnsi="Times New Roman"/>
                <w:iCs/>
              </w:rPr>
              <w:t xml:space="preserve">). </w:t>
            </w:r>
            <w:r w:rsidRPr="00B54BC8">
              <w:rPr>
                <w:rFonts w:ascii="Times New Roman" w:hAnsi="Times New Roman"/>
                <w:iCs/>
                <w:color w:val="000000" w:themeColor="text1"/>
              </w:rPr>
              <w:t xml:space="preserve">Obok </w:t>
            </w:r>
            <w:r w:rsidR="00972E58">
              <w:rPr>
                <w:rFonts w:ascii="Times New Roman" w:hAnsi="Times New Roman"/>
                <w:iCs/>
                <w:color w:val="000000" w:themeColor="text1"/>
              </w:rPr>
              <w:t>RPO</w:t>
            </w:r>
            <w:r w:rsidRPr="00B54BC8">
              <w:rPr>
                <w:rFonts w:ascii="Times New Roman" w:hAnsi="Times New Roman"/>
                <w:iCs/>
                <w:color w:val="000000" w:themeColor="text1"/>
              </w:rPr>
              <w:t xml:space="preserve"> zadania przyjmowania zgłoszeń zewnętrznych będą realizowa</w:t>
            </w:r>
            <w:r w:rsidR="00AA535D">
              <w:rPr>
                <w:rFonts w:ascii="Times New Roman" w:hAnsi="Times New Roman"/>
                <w:iCs/>
                <w:color w:val="000000" w:themeColor="text1"/>
              </w:rPr>
              <w:t xml:space="preserve">ne </w:t>
            </w:r>
            <w:r w:rsidRPr="00B54BC8">
              <w:rPr>
                <w:rFonts w:ascii="Times New Roman" w:hAnsi="Times New Roman"/>
                <w:iCs/>
                <w:color w:val="000000" w:themeColor="text1"/>
              </w:rPr>
              <w:t xml:space="preserve">także </w:t>
            </w:r>
            <w:r w:rsidR="00AA535D">
              <w:rPr>
                <w:rFonts w:ascii="Times New Roman" w:hAnsi="Times New Roman"/>
                <w:iCs/>
                <w:color w:val="000000" w:themeColor="text1"/>
              </w:rPr>
              <w:t xml:space="preserve">przez </w:t>
            </w:r>
            <w:r w:rsidRPr="00B54BC8">
              <w:rPr>
                <w:rFonts w:ascii="Times New Roman" w:hAnsi="Times New Roman"/>
                <w:iCs/>
                <w:color w:val="000000" w:themeColor="text1"/>
              </w:rPr>
              <w:t xml:space="preserve">inne </w:t>
            </w:r>
            <w:r>
              <w:rPr>
                <w:rFonts w:ascii="Times New Roman" w:hAnsi="Times New Roman"/>
                <w:iCs/>
              </w:rPr>
              <w:t>organy publiczne,</w:t>
            </w:r>
            <w:r w:rsidR="00AA535D">
              <w:rPr>
                <w:rFonts w:ascii="Times New Roman" w:hAnsi="Times New Roman"/>
                <w:iCs/>
              </w:rPr>
              <w:t xml:space="preserve"> zdefiniowane w ustawie,</w:t>
            </w:r>
            <w:r>
              <w:rPr>
                <w:rFonts w:ascii="Times New Roman" w:hAnsi="Times New Roman"/>
                <w:iCs/>
              </w:rPr>
              <w:t xml:space="preserve"> przede wszystkim odnośnie do naruszeń w dziedzinach pozostających w zakresie ich działania. Tego rodzaju podejście zapewni niezbędną elastyczność. </w:t>
            </w:r>
            <w:r w:rsidR="00AA535D">
              <w:rPr>
                <w:rFonts w:ascii="Times New Roman" w:hAnsi="Times New Roman"/>
                <w:iCs/>
              </w:rPr>
              <w:t>P</w:t>
            </w:r>
            <w:r>
              <w:rPr>
                <w:rFonts w:ascii="Times New Roman" w:hAnsi="Times New Roman"/>
                <w:iCs/>
              </w:rPr>
              <w:t>owierzenie zadania przyjmowania zgłoszeń</w:t>
            </w:r>
            <w:r w:rsidRPr="00956CA5">
              <w:rPr>
                <w:rFonts w:ascii="Times New Roman" w:hAnsi="Times New Roman"/>
                <w:iCs/>
              </w:rPr>
              <w:t xml:space="preserve"> </w:t>
            </w:r>
            <w:r w:rsidR="00AA535D">
              <w:rPr>
                <w:rFonts w:ascii="Times New Roman" w:hAnsi="Times New Roman"/>
                <w:iCs/>
              </w:rPr>
              <w:t>RPO</w:t>
            </w:r>
            <w:r w:rsidRPr="00956CA5">
              <w:rPr>
                <w:rFonts w:ascii="Times New Roman" w:hAnsi="Times New Roman"/>
                <w:iCs/>
              </w:rPr>
              <w:t xml:space="preserve"> </w:t>
            </w:r>
            <w:r>
              <w:rPr>
                <w:rFonts w:ascii="Times New Roman" w:hAnsi="Times New Roman"/>
                <w:iCs/>
              </w:rPr>
              <w:t xml:space="preserve">zapewni pokrycie pełnego zakresu przedmiotowego zgłoszeń wymaganych dyrektywą 2019/1937. Zadania </w:t>
            </w:r>
            <w:r w:rsidR="00575E41">
              <w:rPr>
                <w:rFonts w:ascii="Times New Roman" w:hAnsi="Times New Roman"/>
                <w:iCs/>
              </w:rPr>
              <w:t>RPO</w:t>
            </w:r>
            <w:r>
              <w:rPr>
                <w:rFonts w:ascii="Times New Roman" w:hAnsi="Times New Roman"/>
                <w:iCs/>
              </w:rPr>
              <w:t xml:space="preserve"> nie będą obejmowały pełnej merytorycznej weryfikacji zgłoszenia</w:t>
            </w:r>
            <w:r w:rsidRPr="00956CA5">
              <w:rPr>
                <w:rFonts w:ascii="Times New Roman" w:hAnsi="Times New Roman"/>
                <w:iCs/>
              </w:rPr>
              <w:t xml:space="preserve"> </w:t>
            </w:r>
            <w:r>
              <w:rPr>
                <w:rFonts w:ascii="Times New Roman" w:hAnsi="Times New Roman"/>
                <w:iCs/>
              </w:rPr>
              <w:t xml:space="preserve">(RPO nie będzie </w:t>
            </w:r>
            <w:r w:rsidRPr="00956CA5">
              <w:rPr>
                <w:rFonts w:ascii="Times New Roman" w:hAnsi="Times New Roman"/>
                <w:iCs/>
              </w:rPr>
              <w:t>dublować zadań innych właściwych w sprawie organów</w:t>
            </w:r>
            <w:r>
              <w:rPr>
                <w:rFonts w:ascii="Times New Roman" w:hAnsi="Times New Roman"/>
                <w:iCs/>
              </w:rPr>
              <w:t xml:space="preserve">), lecz będą związane nadaniem zgłoszeniu właściwego biegu oraz udzieleniem zgłaszającemu wsparcia i niezbędnych informacji. Co do zasady, oprócz ewentualnego wsparcia i udzielenia niezbędnych informacji, </w:t>
            </w:r>
            <w:r w:rsidR="00AA535D">
              <w:rPr>
                <w:rFonts w:ascii="Times New Roman" w:hAnsi="Times New Roman"/>
                <w:iCs/>
              </w:rPr>
              <w:t>RPO</w:t>
            </w:r>
            <w:r>
              <w:rPr>
                <w:rFonts w:ascii="Times New Roman" w:hAnsi="Times New Roman"/>
                <w:iCs/>
              </w:rPr>
              <w:t xml:space="preserve"> dokona wstępnej weryfikacji zgłoszenia i przekaże je organowi właściwemu do podjęcia działań następczych. Istnienie </w:t>
            </w:r>
            <w:r w:rsidR="00AA535D">
              <w:rPr>
                <w:rFonts w:ascii="Times New Roman" w:hAnsi="Times New Roman"/>
                <w:iCs/>
              </w:rPr>
              <w:t xml:space="preserve">takiej </w:t>
            </w:r>
            <w:r>
              <w:rPr>
                <w:rFonts w:ascii="Times New Roman" w:hAnsi="Times New Roman"/>
                <w:iCs/>
              </w:rPr>
              <w:t xml:space="preserve">instytucji centralnej będzie też korzystne z perspektywy zgłaszającego, który dzięki temu, często nie dysponując dostateczną wiedzą w tym zakresie, nie będzie musiał znać szczegółowego zakresu działania </w:t>
            </w:r>
            <w:r w:rsidR="00575E41">
              <w:rPr>
                <w:rFonts w:ascii="Times New Roman" w:hAnsi="Times New Roman"/>
                <w:iCs/>
              </w:rPr>
              <w:t xml:space="preserve">organów </w:t>
            </w:r>
            <w:r>
              <w:rPr>
                <w:rFonts w:ascii="Times New Roman" w:hAnsi="Times New Roman"/>
                <w:iCs/>
              </w:rPr>
              <w:t xml:space="preserve">publicznych właściwych do zajęcie się sprawą, zwłaszcza biorąc pod uwagę szeroki zakres przedmiotowy „naruszenia” w rozumieniu dyrektywy 2019/1937. Niezależnie od powyższego, każdy organ </w:t>
            </w:r>
            <w:r w:rsidR="00AA535D">
              <w:rPr>
                <w:rFonts w:ascii="Times New Roman" w:hAnsi="Times New Roman"/>
                <w:iCs/>
              </w:rPr>
              <w:t xml:space="preserve">publiczny </w:t>
            </w:r>
            <w:r>
              <w:rPr>
                <w:rFonts w:ascii="Times New Roman" w:hAnsi="Times New Roman"/>
                <w:iCs/>
              </w:rPr>
              <w:t>prowadzący kanał zgłoszeń zewnętrznych, w przypadku uznania, że nie jest właściwy do zweryfikowania zgłoszenia i podjęcia ewentualnych dalszych działań następczych, będzie obowiązany do przekazania zgłoszenia do organu właściwego.</w:t>
            </w:r>
          </w:p>
          <w:p w14:paraId="7060B186" w14:textId="1E0D3046" w:rsidR="00C017C1" w:rsidRDefault="00C017C1" w:rsidP="00C017C1">
            <w:pPr>
              <w:spacing w:line="240" w:lineRule="auto"/>
              <w:jc w:val="both"/>
              <w:rPr>
                <w:rFonts w:ascii="Times New Roman" w:hAnsi="Times New Roman"/>
                <w:iCs/>
              </w:rPr>
            </w:pPr>
            <w:r>
              <w:rPr>
                <w:rFonts w:ascii="Times New Roman" w:hAnsi="Times New Roman"/>
                <w:iCs/>
              </w:rPr>
              <w:t xml:space="preserve">Organy </w:t>
            </w:r>
            <w:r w:rsidR="00AA535D">
              <w:rPr>
                <w:rFonts w:ascii="Times New Roman" w:hAnsi="Times New Roman"/>
                <w:iCs/>
              </w:rPr>
              <w:t xml:space="preserve">publiczne </w:t>
            </w:r>
            <w:r>
              <w:rPr>
                <w:rFonts w:ascii="Times New Roman" w:hAnsi="Times New Roman"/>
                <w:iCs/>
              </w:rPr>
              <w:t xml:space="preserve">przyjmujące zgłoszenia zewnętrzne będą obowiązane do wdrożenia określonego minimum rozwiązań proceduralnych i organizacyjnych odnośnie do przyjmowania i weryfikacji zgłoszeń oraz komunikacji ze zgłaszającymi przewidzianych przez ustawę. </w:t>
            </w:r>
            <w:r w:rsidRPr="00832507">
              <w:rPr>
                <w:rFonts w:ascii="Times New Roman" w:hAnsi="Times New Roman"/>
                <w:iCs/>
              </w:rPr>
              <w:t>W ustawie określone zostaną</w:t>
            </w:r>
            <w:r>
              <w:rPr>
                <w:rFonts w:ascii="Times New Roman" w:hAnsi="Times New Roman"/>
                <w:iCs/>
              </w:rPr>
              <w:t xml:space="preserve">, między innymi, </w:t>
            </w:r>
            <w:r w:rsidRPr="00832507">
              <w:rPr>
                <w:rFonts w:ascii="Times New Roman" w:hAnsi="Times New Roman"/>
                <w:iCs/>
              </w:rPr>
              <w:t>rozwiązania organizacyjne służące zapewnieniu niezależności i autonomiczności zewnętrznych kanałów dokonywania zgłoszeń. W szczególności przyjmowaniem zgłoszeń zewnętrznych oraz nadawaniem im dalszego biegu</w:t>
            </w:r>
            <w:r>
              <w:rPr>
                <w:rFonts w:ascii="Times New Roman" w:hAnsi="Times New Roman"/>
                <w:iCs/>
              </w:rPr>
              <w:t xml:space="preserve"> oraz związanym z tym przetwarzaniem danych osobowych i pozostałych informacji</w:t>
            </w:r>
            <w:r w:rsidRPr="00832507">
              <w:rPr>
                <w:rFonts w:ascii="Times New Roman" w:hAnsi="Times New Roman"/>
                <w:iCs/>
              </w:rPr>
              <w:t xml:space="preserve"> będą zajmowali się wyłącznie upoważnieni pracownicy organu, którzy będą obowiązani do zachowania w tajemnicy wszelkich informacji uzyskanych w związku z obsługą zgłoszenia. </w:t>
            </w:r>
          </w:p>
          <w:p w14:paraId="488742F0" w14:textId="77777777" w:rsidR="00C017C1" w:rsidRPr="003118C4" w:rsidRDefault="00C017C1" w:rsidP="00C017C1">
            <w:pPr>
              <w:spacing w:line="240" w:lineRule="auto"/>
              <w:jc w:val="both"/>
              <w:rPr>
                <w:rFonts w:ascii="Times New Roman" w:hAnsi="Times New Roman"/>
                <w:iCs/>
              </w:rPr>
            </w:pPr>
            <w:r w:rsidRPr="003118C4">
              <w:rPr>
                <w:rFonts w:ascii="Times New Roman" w:hAnsi="Times New Roman"/>
                <w:iCs/>
              </w:rPr>
              <w:t xml:space="preserve">Ustawa ureguluje zasady przyjmowania zgłoszeń oraz przekazywania zgłaszającym informacji zwrotnych co do podjętych działań następczych, które to kwestie ze swej istoty dotyczą relacji ze zgłaszającym. Nie będzie natomiast przedmiotem ustawy tryb rozpatrywania otrzymanych zgłoszeń, tj. badania informacji o zarzucanym naruszeniu oraz zakres i rodzaj czynności podejmowanych w tym zakresie, włącznie z ewentualnym wszczęciem postępowania wobec potencjalnego naruszyciela. Właściwy organ </w:t>
            </w:r>
            <w:r w:rsidR="00575E41">
              <w:rPr>
                <w:rFonts w:ascii="Times New Roman" w:hAnsi="Times New Roman"/>
                <w:iCs/>
              </w:rPr>
              <w:t xml:space="preserve">publiczny </w:t>
            </w:r>
            <w:r w:rsidRPr="003118C4">
              <w:rPr>
                <w:rFonts w:ascii="Times New Roman" w:hAnsi="Times New Roman"/>
                <w:iCs/>
              </w:rPr>
              <w:t xml:space="preserve">zbada informację na ogólnych zasadach, podobnie jak w przypadku informacji o naruszeniu otrzymanej z każdego innego źródła, odpowiednio do posiadanych uprawnień. Skutkiem zgłoszenia może być zatem postępowanie kontrolne, wyjaśniające, niekiedy złożenie zawiadomienia o przestępstwie lub jakiekolwiek inne postępowanie regulowane przepisami prawa. Tym samym też projektowana ustawa nie będzie przesądzała, </w:t>
            </w:r>
            <w:r>
              <w:rPr>
                <w:rFonts w:ascii="Times New Roman" w:hAnsi="Times New Roman"/>
                <w:iCs/>
              </w:rPr>
              <w:t xml:space="preserve">jaka procedura znajdzie zastosowanie do </w:t>
            </w:r>
            <w:r w:rsidRPr="003118C4">
              <w:rPr>
                <w:rFonts w:ascii="Times New Roman" w:hAnsi="Times New Roman"/>
                <w:iCs/>
              </w:rPr>
              <w:t>rozpatrywania zgłoszeń.</w:t>
            </w:r>
          </w:p>
          <w:p w14:paraId="081FC257" w14:textId="0C71E8D2" w:rsidR="00C017C1" w:rsidRDefault="00C017C1" w:rsidP="00C017C1">
            <w:pPr>
              <w:spacing w:line="240" w:lineRule="auto"/>
              <w:jc w:val="both"/>
              <w:rPr>
                <w:rFonts w:ascii="Times New Roman" w:hAnsi="Times New Roman"/>
                <w:iCs/>
              </w:rPr>
            </w:pPr>
            <w:r w:rsidRPr="003118C4">
              <w:rPr>
                <w:rFonts w:ascii="Times New Roman" w:hAnsi="Times New Roman"/>
                <w:iCs/>
              </w:rPr>
              <w:t xml:space="preserve">Z kolei ujawnienie publiczne zdefiniowane będzie jako szeroko rozumiane podanie informacji o naruszeniu do wiadomości publicznej, aczkolwiek, odpowiednio do dyrektywy 2019/1937, regulacjom ustawy nie będą podlegały przypadki ujawnienia informacji bezpośrednio do prasy zgodnie z przepisami krajowymi. Na tle zgłoszenia wewnętrznego i zewnętrznego, w przypadku których ustawa nie określi wzajemnego pierwszeństwa korzystania z tych trybów, zachowanie właściwej sekwencji działań zgłaszającego będzie częściowo miało znaczenie w przypadku ujawnienia publicznego. Ujawnienie publiczne będzie bowiem wiązało się z ochroną, gdy ujawniający dokona w pierwszej kolejności zgłoszenia wewnętrznego i zewnętrznego lub od razu zgłoszenia zewnętrznego, ale w odpowiedzi na zgłoszenie nie zostaną podjęte w terminie żadne odpowiednie działania (w przewidzianym terminie brak będzie informacji zwrotnej lub </w:t>
            </w:r>
            <w:r w:rsidR="003771FA">
              <w:rPr>
                <w:rFonts w:ascii="Times New Roman" w:hAnsi="Times New Roman"/>
                <w:iCs/>
              </w:rPr>
              <w:t>przeciwdziałania</w:t>
            </w:r>
            <w:r w:rsidRPr="003118C4">
              <w:rPr>
                <w:rFonts w:ascii="Times New Roman" w:hAnsi="Times New Roman"/>
                <w:iCs/>
              </w:rPr>
              <w:t xml:space="preserve"> naruszeniu). </w:t>
            </w:r>
            <w:r w:rsidR="00AB6947">
              <w:rPr>
                <w:rFonts w:ascii="Times New Roman" w:hAnsi="Times New Roman"/>
                <w:iCs/>
              </w:rPr>
              <w:t xml:space="preserve">Dodatkowo, zgłaszający dokonujący ujawnienia publicznego będzie podlegał ochronie, </w:t>
            </w:r>
            <w:r w:rsidRPr="003118C4">
              <w:rPr>
                <w:rFonts w:ascii="Times New Roman" w:hAnsi="Times New Roman"/>
                <w:iCs/>
              </w:rPr>
              <w:t xml:space="preserve">gdy </w:t>
            </w:r>
            <w:r w:rsidR="00AB6947">
              <w:rPr>
                <w:rFonts w:ascii="Times New Roman" w:hAnsi="Times New Roman"/>
                <w:iCs/>
              </w:rPr>
              <w:t xml:space="preserve">będzie miał </w:t>
            </w:r>
            <w:r w:rsidRPr="003118C4">
              <w:rPr>
                <w:rFonts w:ascii="Times New Roman" w:hAnsi="Times New Roman"/>
                <w:iCs/>
              </w:rPr>
              <w:t xml:space="preserve">uzasadnione podstawy, by sądzić, że naruszenie może stanowić bezpośrednie lub oczywiste zagrożenie dla interesu publicznego lub w przypadku dokonania zgłoszenia zewnętrznego grozić jej będą działania odwetowe lub istnieje niewielkie prawdopodobieństwo skutecznego </w:t>
            </w:r>
            <w:r w:rsidR="003771FA">
              <w:rPr>
                <w:rFonts w:ascii="Times New Roman" w:hAnsi="Times New Roman"/>
                <w:iCs/>
              </w:rPr>
              <w:t>przeciwdziałania</w:t>
            </w:r>
            <w:r w:rsidRPr="003118C4">
              <w:rPr>
                <w:rFonts w:ascii="Times New Roman" w:hAnsi="Times New Roman"/>
                <w:iCs/>
              </w:rPr>
              <w:t xml:space="preserve"> naruszeniu z uwagi na szczególne okoliczności sprawy. W opisywanym zakresie zasady ujawnienia publicznego oddadzą wymogi art. 15 dyrektywy 2019/1937.</w:t>
            </w:r>
          </w:p>
          <w:p w14:paraId="456F2C37" w14:textId="77777777" w:rsidR="00C017C1" w:rsidRDefault="00C017C1" w:rsidP="00C017C1">
            <w:pPr>
              <w:spacing w:line="240" w:lineRule="auto"/>
              <w:jc w:val="both"/>
              <w:rPr>
                <w:rFonts w:ascii="Times New Roman" w:hAnsi="Times New Roman"/>
                <w:iCs/>
              </w:rPr>
            </w:pPr>
            <w:r>
              <w:rPr>
                <w:rFonts w:ascii="Times New Roman" w:hAnsi="Times New Roman"/>
                <w:iCs/>
              </w:rPr>
              <w:t>Z</w:t>
            </w:r>
            <w:r w:rsidRPr="008C3E8B">
              <w:rPr>
                <w:rFonts w:ascii="Times New Roman" w:hAnsi="Times New Roman"/>
                <w:iCs/>
              </w:rPr>
              <w:t>głoszeniu będą podlegały działania i zaniechania naruszające prawo w obszarach wskazanych w ustawie</w:t>
            </w:r>
            <w:r>
              <w:rPr>
                <w:rFonts w:ascii="Times New Roman" w:hAnsi="Times New Roman"/>
                <w:iCs/>
              </w:rPr>
              <w:t>.</w:t>
            </w:r>
            <w:r w:rsidRPr="008C3E8B">
              <w:rPr>
                <w:rFonts w:ascii="Times New Roman" w:hAnsi="Times New Roman"/>
                <w:iCs/>
              </w:rPr>
              <w:t xml:space="preserve"> </w:t>
            </w:r>
            <w:r>
              <w:rPr>
                <w:rFonts w:ascii="Times New Roman" w:hAnsi="Times New Roman"/>
                <w:iCs/>
              </w:rPr>
              <w:t>U</w:t>
            </w:r>
            <w:r w:rsidRPr="008C3E8B">
              <w:rPr>
                <w:rFonts w:ascii="Times New Roman" w:hAnsi="Times New Roman"/>
                <w:iCs/>
              </w:rPr>
              <w:t xml:space="preserve">stawa określi szerszy zakres przedmiotowy </w:t>
            </w:r>
            <w:r>
              <w:rPr>
                <w:rFonts w:ascii="Times New Roman" w:hAnsi="Times New Roman"/>
                <w:iCs/>
              </w:rPr>
              <w:t xml:space="preserve">„naruszenia” </w:t>
            </w:r>
            <w:r w:rsidRPr="008C3E8B">
              <w:rPr>
                <w:rFonts w:ascii="Times New Roman" w:hAnsi="Times New Roman"/>
                <w:iCs/>
              </w:rPr>
              <w:t>niż zakres przedmiotowy wdrażanej dyrektywy 2019/1937</w:t>
            </w:r>
            <w:r>
              <w:rPr>
                <w:rFonts w:ascii="Times New Roman" w:hAnsi="Times New Roman"/>
                <w:iCs/>
              </w:rPr>
              <w:t>.</w:t>
            </w:r>
            <w:r w:rsidRPr="008C3E8B">
              <w:rPr>
                <w:rFonts w:ascii="Times New Roman" w:hAnsi="Times New Roman"/>
                <w:iCs/>
              </w:rPr>
              <w:t xml:space="preserve"> </w:t>
            </w:r>
            <w:r>
              <w:rPr>
                <w:rFonts w:ascii="Times New Roman" w:hAnsi="Times New Roman"/>
                <w:iCs/>
              </w:rPr>
              <w:t>P</w:t>
            </w:r>
            <w:r w:rsidRPr="008C3E8B">
              <w:rPr>
                <w:rFonts w:ascii="Times New Roman" w:hAnsi="Times New Roman"/>
                <w:iCs/>
              </w:rPr>
              <w:t>rzepisy chroniące osoby zgłaszające naruszenia będą miały zastosowanie nie tylko do naruszeń prawa przewidzianych przez dyrektywę 2019/1937</w:t>
            </w:r>
            <w:r>
              <w:rPr>
                <w:rFonts w:ascii="Times New Roman" w:hAnsi="Times New Roman"/>
                <w:iCs/>
              </w:rPr>
              <w:t xml:space="preserve"> (akty prawne wymienione w załączniku do dyrektywy)</w:t>
            </w:r>
            <w:r w:rsidRPr="008C3E8B">
              <w:rPr>
                <w:rFonts w:ascii="Times New Roman" w:hAnsi="Times New Roman"/>
                <w:iCs/>
              </w:rPr>
              <w:t xml:space="preserve">, w tym do naruszeń interesów finansowych </w:t>
            </w:r>
            <w:r>
              <w:rPr>
                <w:rFonts w:ascii="Times New Roman" w:hAnsi="Times New Roman"/>
                <w:iCs/>
              </w:rPr>
              <w:t>Unii Europejskiej oraz naruszeń</w:t>
            </w:r>
            <w:r w:rsidRPr="008C3E8B">
              <w:rPr>
                <w:rFonts w:ascii="Times New Roman" w:hAnsi="Times New Roman"/>
                <w:iCs/>
              </w:rPr>
              <w:t xml:space="preserve"> dotyczących rynku wewnętrznego Unii Europejskiej, ale także do wszystkich naruszeń prawa w </w:t>
            </w:r>
            <w:r>
              <w:rPr>
                <w:rFonts w:ascii="Times New Roman" w:hAnsi="Times New Roman"/>
                <w:iCs/>
              </w:rPr>
              <w:t xml:space="preserve">odpowiadających wymienionym w dyrektywie </w:t>
            </w:r>
            <w:r w:rsidRPr="008C3E8B">
              <w:rPr>
                <w:rFonts w:ascii="Times New Roman" w:hAnsi="Times New Roman"/>
                <w:iCs/>
              </w:rPr>
              <w:t xml:space="preserve">dziedzinach </w:t>
            </w:r>
            <w:r>
              <w:rPr>
                <w:rFonts w:ascii="Times New Roman" w:hAnsi="Times New Roman"/>
                <w:iCs/>
              </w:rPr>
              <w:t>prawa krajowego</w:t>
            </w:r>
            <w:r w:rsidRPr="008C3E8B">
              <w:rPr>
                <w:rFonts w:ascii="Times New Roman" w:hAnsi="Times New Roman"/>
                <w:iCs/>
              </w:rPr>
              <w:t>, tzn.: zamówień publicznych, usług, produktów i rynków finansowych, zapobiegania praniu pieniędzy i finansowaniu terroryzmu, bezpieczeństwa produktów, bezpieczeństwa transportu, ochrony środowiska, ochrony radiologicznej i bezpieczeństwa jądrowego, bezpieczeństwa żywności i pasz, zdrowia i dobrostanu zwierząt, zdrowia publicznego, ochrony konsumentów, ochrony prywatności i danych osobowych, bezpieczeństwa sieci i systemów teleinformatycznych</w:t>
            </w:r>
            <w:r>
              <w:rPr>
                <w:rFonts w:ascii="Times New Roman" w:hAnsi="Times New Roman"/>
                <w:iCs/>
              </w:rPr>
              <w:t xml:space="preserve">. Z zakresu naruszeń podlegających zgłoszeniu zostaną wyłączone zamówienia publiczne dotyczące obronności i bezpieczeństwa państwa (zgodnie z motywem 24 </w:t>
            </w:r>
            <w:r w:rsidRPr="008C3E8B">
              <w:rPr>
                <w:rFonts w:ascii="Times New Roman" w:hAnsi="Times New Roman"/>
                <w:iCs/>
              </w:rPr>
              <w:t>dyrektywy 2019/1937</w:t>
            </w:r>
            <w:r>
              <w:rPr>
                <w:rFonts w:ascii="Times New Roman" w:hAnsi="Times New Roman"/>
                <w:iCs/>
              </w:rPr>
              <w:t>).</w:t>
            </w:r>
          </w:p>
          <w:p w14:paraId="5500250D" w14:textId="77777777" w:rsidR="00C017C1" w:rsidRPr="000752E6" w:rsidRDefault="00C017C1" w:rsidP="00C017C1">
            <w:pPr>
              <w:spacing w:line="240" w:lineRule="auto"/>
              <w:jc w:val="both"/>
              <w:rPr>
                <w:rFonts w:ascii="Times New Roman" w:hAnsi="Times New Roman"/>
                <w:iCs/>
              </w:rPr>
            </w:pPr>
            <w:r w:rsidRPr="00BD410E">
              <w:rPr>
                <w:rFonts w:ascii="Times New Roman" w:hAnsi="Times New Roman"/>
                <w:iCs/>
              </w:rPr>
              <w:t>Ustawowa definicja naruszenia nie będzie tym samym ograniczona do przypadków, gdy w danym obszarze prawa naruszenie jest regulowane wyłącznie określonym przepisem prawa unijnego. Tego rodzaju szersze podejście uzasadnione jest względami praktycznymi, tj. czytelnością i przewidywalnością zakresu przepisów z perspektywy zgłaszającego, pracodawcy, organów publicznych i innych podmiotów stosujących prawo. Brak jest także racjonalnych przesłanek, by przyjąć, że jedynie naruszenie określonych przepisów unijnych miałoby podlegać ujawnieniu, a</w:t>
            </w:r>
            <w:r>
              <w:rPr>
                <w:rFonts w:ascii="Times New Roman" w:hAnsi="Times New Roman"/>
                <w:iCs/>
              </w:rPr>
              <w:t> </w:t>
            </w:r>
            <w:r w:rsidRPr="00BD410E">
              <w:rPr>
                <w:rFonts w:ascii="Times New Roman" w:hAnsi="Times New Roman"/>
                <w:iCs/>
              </w:rPr>
              <w:t xml:space="preserve">zgłaszający </w:t>
            </w:r>
            <w:r>
              <w:rPr>
                <w:rFonts w:ascii="Times New Roman" w:hAnsi="Times New Roman"/>
                <w:iCs/>
              </w:rPr>
              <w:t>tego rodzaju</w:t>
            </w:r>
            <w:r w:rsidRPr="00BD410E">
              <w:rPr>
                <w:rFonts w:ascii="Times New Roman" w:hAnsi="Times New Roman"/>
                <w:iCs/>
              </w:rPr>
              <w:t xml:space="preserve"> naruszenie ochronie. Te same względy przemawiają bowiem za zasadnością ujawnienia naruszenia i objęcia zgłaszającego </w:t>
            </w:r>
            <w:r w:rsidRPr="00BD410E">
              <w:rPr>
                <w:rFonts w:ascii="Times New Roman" w:hAnsi="Times New Roman"/>
                <w:iCs/>
              </w:rPr>
              <w:lastRenderedPageBreak/>
              <w:t xml:space="preserve">ochroną w przypadku naruszenia przepisów krajowych. </w:t>
            </w:r>
            <w:r>
              <w:rPr>
                <w:rFonts w:ascii="Times New Roman" w:hAnsi="Times New Roman"/>
                <w:iCs/>
              </w:rPr>
              <w:t>Ponadto</w:t>
            </w:r>
            <w:r w:rsidRPr="00BD410E">
              <w:rPr>
                <w:rFonts w:ascii="Times New Roman" w:hAnsi="Times New Roman"/>
                <w:iCs/>
              </w:rPr>
              <w:t xml:space="preserve"> wąskie ujęcie naruszenia ograniczone do przepisów unijnych aktów prawnych nie jest uzasadnione z uwagi na koszty wdrożenia przewidzianego w ustawie systemu sygnalizowania naruszeń.</w:t>
            </w:r>
          </w:p>
          <w:p w14:paraId="019A5338" w14:textId="77777777" w:rsidR="00C017C1" w:rsidRDefault="00C017C1" w:rsidP="00C017C1">
            <w:pPr>
              <w:spacing w:line="240" w:lineRule="auto"/>
              <w:jc w:val="both"/>
              <w:rPr>
                <w:rFonts w:ascii="Times New Roman" w:hAnsi="Times New Roman"/>
                <w:iCs/>
              </w:rPr>
            </w:pPr>
            <w:r>
              <w:rPr>
                <w:rFonts w:ascii="Times New Roman" w:hAnsi="Times New Roman"/>
                <w:iCs/>
              </w:rPr>
              <w:t>Z uwzględnieniem powyższego, w</w:t>
            </w:r>
            <w:r w:rsidRPr="001B156D">
              <w:rPr>
                <w:rFonts w:ascii="Times New Roman" w:hAnsi="Times New Roman"/>
                <w:iCs/>
              </w:rPr>
              <w:t xml:space="preserve"> ramach wdrożeni</w:t>
            </w:r>
            <w:r>
              <w:rPr>
                <w:rFonts w:ascii="Times New Roman" w:hAnsi="Times New Roman"/>
                <w:iCs/>
              </w:rPr>
              <w:t>a do krajowego systemu prawnego</w:t>
            </w:r>
            <w:r w:rsidRPr="001B156D">
              <w:rPr>
                <w:rFonts w:ascii="Times New Roman" w:hAnsi="Times New Roman"/>
                <w:iCs/>
              </w:rPr>
              <w:t xml:space="preserve"> dyrektywy</w:t>
            </w:r>
            <w:r>
              <w:rPr>
                <w:rFonts w:ascii="Times New Roman" w:hAnsi="Times New Roman"/>
                <w:iCs/>
              </w:rPr>
              <w:t xml:space="preserve"> 2019/1937,</w:t>
            </w:r>
            <w:r w:rsidRPr="001B156D">
              <w:rPr>
                <w:rFonts w:ascii="Times New Roman" w:hAnsi="Times New Roman"/>
                <w:iCs/>
              </w:rPr>
              <w:t xml:space="preserve"> w</w:t>
            </w:r>
            <w:r>
              <w:rPr>
                <w:rFonts w:ascii="Times New Roman" w:hAnsi="Times New Roman"/>
                <w:iCs/>
              </w:rPr>
              <w:t> </w:t>
            </w:r>
            <w:r w:rsidRPr="001B156D">
              <w:rPr>
                <w:rFonts w:ascii="Times New Roman" w:hAnsi="Times New Roman"/>
                <w:iCs/>
              </w:rPr>
              <w:t xml:space="preserve">projektowanej ustawie </w:t>
            </w:r>
            <w:r>
              <w:rPr>
                <w:rFonts w:ascii="Times New Roman" w:hAnsi="Times New Roman"/>
                <w:iCs/>
              </w:rPr>
              <w:t>zostanie zatem określony w szczególności</w:t>
            </w:r>
            <w:r w:rsidRPr="001B156D">
              <w:rPr>
                <w:rFonts w:ascii="Times New Roman" w:hAnsi="Times New Roman"/>
                <w:iCs/>
              </w:rPr>
              <w:t>:</w:t>
            </w:r>
          </w:p>
          <w:p w14:paraId="1877499D"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1) </w:t>
            </w:r>
            <w:r w:rsidRPr="00124623">
              <w:rPr>
                <w:rFonts w:ascii="Times New Roman" w:hAnsi="Times New Roman"/>
                <w:iCs/>
              </w:rPr>
              <w:t>zakres i definicj</w:t>
            </w:r>
            <w:r w:rsidR="00AA535D">
              <w:rPr>
                <w:rFonts w:ascii="Times New Roman" w:hAnsi="Times New Roman"/>
                <w:iCs/>
              </w:rPr>
              <w:t>a</w:t>
            </w:r>
            <w:r w:rsidRPr="00124623">
              <w:rPr>
                <w:rFonts w:ascii="Times New Roman" w:hAnsi="Times New Roman"/>
                <w:iCs/>
              </w:rPr>
              <w:t xml:space="preserve"> naruszeń prawa podlegających zgłoszeniu;</w:t>
            </w:r>
          </w:p>
          <w:p w14:paraId="334FBD57"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2) </w:t>
            </w:r>
            <w:r w:rsidRPr="00124623">
              <w:rPr>
                <w:rFonts w:ascii="Times New Roman" w:hAnsi="Times New Roman"/>
                <w:iCs/>
              </w:rPr>
              <w:t>status prawny osoby zgłaszającej naruszenie prawa, tzw. sygnalisty;</w:t>
            </w:r>
          </w:p>
          <w:p w14:paraId="151F8584"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3) </w:t>
            </w:r>
            <w:r w:rsidRPr="00124623">
              <w:rPr>
                <w:rFonts w:ascii="Times New Roman" w:hAnsi="Times New Roman"/>
                <w:iCs/>
              </w:rPr>
              <w:t>warunki objęcia ochroną osób dokonujących zgłoszenia;</w:t>
            </w:r>
          </w:p>
          <w:p w14:paraId="7551DF0C"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4) </w:t>
            </w:r>
            <w:r w:rsidRPr="00124623">
              <w:rPr>
                <w:rFonts w:ascii="Times New Roman" w:hAnsi="Times New Roman"/>
                <w:iCs/>
              </w:rPr>
              <w:t>zgłaszanie naruszeń za pośrednictwem wewnętrznych kanałów (obowiązek ustanowienia wewnętrznych kanałów dokonywania zgłoszeń, procedury na potrzeby zgłoszeń wewnętrznych i podejmowania działań następczych w związku ze zgłoszeniami);</w:t>
            </w:r>
          </w:p>
          <w:p w14:paraId="60E6B97E"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5) </w:t>
            </w:r>
            <w:r w:rsidRPr="00124623">
              <w:rPr>
                <w:rFonts w:ascii="Times New Roman" w:hAnsi="Times New Roman"/>
                <w:iCs/>
              </w:rPr>
              <w:t>zgłaszanie naruszeń za pośrednictwem zewnętrznych kanałów (ustanowienie zewnętrznych kanałów dokonywania zgłoszeń, zdefiniowanie organów publicznych przyjmujących zgłoszenia, procedury na potrzeby zgłoszeń zewnętrznych i podejmowania działań następczych);</w:t>
            </w:r>
          </w:p>
          <w:p w14:paraId="0E670F30"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6) </w:t>
            </w:r>
            <w:r w:rsidRPr="00124623">
              <w:rPr>
                <w:rFonts w:ascii="Times New Roman" w:hAnsi="Times New Roman"/>
                <w:iCs/>
              </w:rPr>
              <w:t>rolę Rzecznika Prawa Obywatelskich w przyjmowaniu zgłoszeń zewnętrznych;</w:t>
            </w:r>
          </w:p>
          <w:p w14:paraId="22BE53F2" w14:textId="77777777" w:rsidR="00124623" w:rsidRPr="00124623" w:rsidRDefault="00124623" w:rsidP="00124623">
            <w:pPr>
              <w:spacing w:line="240" w:lineRule="auto"/>
              <w:jc w:val="both"/>
              <w:rPr>
                <w:rFonts w:ascii="Times New Roman" w:hAnsi="Times New Roman"/>
                <w:iCs/>
              </w:rPr>
            </w:pPr>
            <w:r>
              <w:rPr>
                <w:rFonts w:ascii="Times New Roman" w:hAnsi="Times New Roman"/>
                <w:iCs/>
              </w:rPr>
              <w:t xml:space="preserve">7) </w:t>
            </w:r>
            <w:r w:rsidRPr="00124623">
              <w:rPr>
                <w:rFonts w:ascii="Times New Roman" w:hAnsi="Times New Roman"/>
                <w:iCs/>
              </w:rPr>
              <w:t>ujawnienie publiczne</w:t>
            </w:r>
            <w:r>
              <w:rPr>
                <w:rFonts w:ascii="Times New Roman" w:hAnsi="Times New Roman"/>
                <w:iCs/>
              </w:rPr>
              <w:t>.</w:t>
            </w:r>
          </w:p>
          <w:p w14:paraId="7AA72488" w14:textId="77777777" w:rsidR="00124623" w:rsidRDefault="00124623" w:rsidP="00124623">
            <w:pPr>
              <w:spacing w:line="240" w:lineRule="auto"/>
              <w:jc w:val="both"/>
              <w:rPr>
                <w:rFonts w:ascii="Times New Roman" w:hAnsi="Times New Roman"/>
                <w:iCs/>
              </w:rPr>
            </w:pPr>
            <w:r>
              <w:rPr>
                <w:rFonts w:ascii="Times New Roman" w:hAnsi="Times New Roman"/>
                <w:iCs/>
              </w:rPr>
              <w:t xml:space="preserve">8) </w:t>
            </w:r>
            <w:r w:rsidRPr="00124623">
              <w:rPr>
                <w:rFonts w:ascii="Times New Roman" w:hAnsi="Times New Roman"/>
                <w:iCs/>
              </w:rPr>
              <w:t xml:space="preserve">środki ochrony zgłaszających (zakaz działań odwetowych, środki ochrony przed działaniami odwetowymi, sankcje). </w:t>
            </w:r>
          </w:p>
          <w:p w14:paraId="79316964" w14:textId="77777777" w:rsidR="008314F7" w:rsidRDefault="008314F7" w:rsidP="00C017C1">
            <w:pPr>
              <w:spacing w:line="240" w:lineRule="auto"/>
              <w:jc w:val="both"/>
              <w:rPr>
                <w:rFonts w:ascii="Times New Roman" w:hAnsi="Times New Roman"/>
                <w:color w:val="000000"/>
                <w:spacing w:val="-2"/>
              </w:rPr>
            </w:pPr>
          </w:p>
          <w:p w14:paraId="77A5286C" w14:textId="77777777" w:rsidR="00C017C1" w:rsidRDefault="00C017C1" w:rsidP="00C017C1">
            <w:pPr>
              <w:spacing w:line="240" w:lineRule="auto"/>
              <w:jc w:val="both"/>
              <w:rPr>
                <w:rFonts w:ascii="Times New Roman" w:hAnsi="Times New Roman"/>
                <w:color w:val="000000"/>
                <w:spacing w:val="-2"/>
              </w:rPr>
            </w:pPr>
            <w:r>
              <w:rPr>
                <w:rFonts w:ascii="Times New Roman" w:hAnsi="Times New Roman"/>
                <w:color w:val="000000"/>
                <w:spacing w:val="-2"/>
              </w:rPr>
              <w:t>Efektem przyjęcia projektu ustawy będzie zapewnienie zgodności przepisów krajowych z wymogami dyrektywy 2019/1937. W szczególności w systemie prawnym przyjęta zostanie kompleksowa regulacja poświęcona ochronie praw zgłaszających naruszenia, obejmująca rozwiązania służące przyjmowaniu takich zgłoszeń oraz zasady reakcji na zgłoszenia przez p</w:t>
            </w:r>
            <w:r w:rsidR="00EB177B">
              <w:rPr>
                <w:rFonts w:ascii="Times New Roman" w:hAnsi="Times New Roman"/>
                <w:color w:val="000000"/>
                <w:spacing w:val="-2"/>
              </w:rPr>
              <w:t>odmioty prawne</w:t>
            </w:r>
            <w:r>
              <w:rPr>
                <w:rFonts w:ascii="Times New Roman" w:hAnsi="Times New Roman"/>
                <w:color w:val="000000"/>
                <w:spacing w:val="-2"/>
              </w:rPr>
              <w:t xml:space="preserve"> i organy publiczne. Spodziewać się należy poprawy egzekwowania prawa w obszarach objętych zgłoszeniami. Zgłaszający uzyskają istotne prawne narzędzia ochrony przed nieuzasadnionymi działaniami odwetowymi będącymi następstwem reakcji na nieprawidłowości.</w:t>
            </w:r>
          </w:p>
          <w:p w14:paraId="160CA442" w14:textId="77777777" w:rsidR="00C017C1" w:rsidRDefault="00C017C1" w:rsidP="00C017C1">
            <w:pPr>
              <w:spacing w:line="240" w:lineRule="auto"/>
              <w:jc w:val="both"/>
              <w:rPr>
                <w:rFonts w:ascii="Times New Roman" w:hAnsi="Times New Roman"/>
              </w:rPr>
            </w:pPr>
            <w:r>
              <w:rPr>
                <w:rFonts w:ascii="Times New Roman" w:hAnsi="Times New Roman"/>
              </w:rPr>
              <w:t>R</w:t>
            </w:r>
            <w:r w:rsidRPr="006447C1">
              <w:rPr>
                <w:rFonts w:ascii="Times New Roman" w:hAnsi="Times New Roman"/>
              </w:rPr>
              <w:t>ozwiązania ustawy nie będą modyfikowały obowiązujących przepisów ogólnie mogących służyć ochroni</w:t>
            </w:r>
            <w:r>
              <w:rPr>
                <w:rFonts w:ascii="Times New Roman" w:hAnsi="Times New Roman"/>
              </w:rPr>
              <w:t>e sygnalistów, opisywanych w pkt 1 OSR</w:t>
            </w:r>
            <w:r w:rsidRPr="006447C1">
              <w:rPr>
                <w:rFonts w:ascii="Times New Roman" w:hAnsi="Times New Roman"/>
              </w:rPr>
              <w:t>. Istotą projektowanych rozwiązań będzie uzupełnienie istniejących</w:t>
            </w:r>
            <w:r>
              <w:rPr>
                <w:rFonts w:ascii="Times New Roman" w:hAnsi="Times New Roman"/>
              </w:rPr>
              <w:t xml:space="preserve"> przepisów o środki ochrony</w:t>
            </w:r>
            <w:r w:rsidRPr="006447C1">
              <w:rPr>
                <w:rFonts w:ascii="Times New Roman" w:hAnsi="Times New Roman"/>
              </w:rPr>
              <w:t xml:space="preserve"> związane z sygnalizowaniem. Ustanowione zostaną nadto kanały dokonywania zgłoszeń wewnętrznych i zewnętrznych o naruszeniach, wraz z określeniem zasad ich funkcjonowania, oraz określone zostaną zasady dokonywania ujawnienia publicznego.</w:t>
            </w:r>
          </w:p>
          <w:p w14:paraId="7E06368A" w14:textId="77777777" w:rsidR="00C017C1" w:rsidRDefault="00C017C1" w:rsidP="00C017C1">
            <w:pPr>
              <w:spacing w:line="240" w:lineRule="auto"/>
              <w:jc w:val="both"/>
              <w:rPr>
                <w:rFonts w:ascii="Times New Roman" w:hAnsi="Times New Roman"/>
              </w:rPr>
            </w:pPr>
            <w:r w:rsidRPr="002732C9">
              <w:rPr>
                <w:rFonts w:ascii="Times New Roman" w:hAnsi="Times New Roman"/>
              </w:rPr>
              <w:t xml:space="preserve">Ustawa uzupełni </w:t>
            </w:r>
            <w:r>
              <w:rPr>
                <w:rFonts w:ascii="Times New Roman" w:hAnsi="Times New Roman"/>
              </w:rPr>
              <w:t xml:space="preserve">także </w:t>
            </w:r>
            <w:r w:rsidRPr="002732C9">
              <w:rPr>
                <w:rFonts w:ascii="Times New Roman" w:hAnsi="Times New Roman"/>
              </w:rPr>
              <w:t xml:space="preserve">przepisy odnoszące się do już istniejących krajowych środków zgłaszania naruszeń wynikających z sektorowych aktów prawnych Unii Europejskiej. Do zgłaszania takich naruszeń stosowane będą przepisy ustawy o środkach ochrony wiążących się z dokonaniem zgłoszenia. W aspekcie organizacyjnym z ustawy będzie wynikała możliwość istnienia również innych kanałów przyjmowania zgłoszeń niż przekazanie zgłoszenia do </w:t>
            </w:r>
            <w:r w:rsidR="009723E8">
              <w:rPr>
                <w:rFonts w:ascii="Times New Roman" w:hAnsi="Times New Roman"/>
              </w:rPr>
              <w:t>Rzecznika Praw Obywatelskich</w:t>
            </w:r>
            <w:r w:rsidRPr="002732C9">
              <w:rPr>
                <w:rFonts w:ascii="Times New Roman" w:hAnsi="Times New Roman"/>
              </w:rPr>
              <w:t>, co w odpowiednich przypadkach pozwoli na funkcjonowanie kanałów przyjmowania zgłoszeń ustanowionych w oparciu o przepisy ujęte w części II załącznika do dyrektywy 2019/1937, jako wyspecjalizowanych kanałów przyjmowania zgłoszeń.</w:t>
            </w:r>
          </w:p>
          <w:p w14:paraId="4F673FAC" w14:textId="6762CFAD" w:rsidR="00C017C1" w:rsidRDefault="00C017C1" w:rsidP="00C017C1">
            <w:pPr>
              <w:spacing w:line="240" w:lineRule="auto"/>
              <w:jc w:val="both"/>
              <w:rPr>
                <w:rFonts w:ascii="Times New Roman" w:hAnsi="Times New Roman"/>
                <w:bCs/>
              </w:rPr>
            </w:pPr>
            <w:r w:rsidRPr="00F57058">
              <w:rPr>
                <w:rFonts w:ascii="Times New Roman" w:hAnsi="Times New Roman"/>
              </w:rPr>
              <w:t xml:space="preserve">Dyrektywa 2019/1937 powinna </w:t>
            </w:r>
            <w:r w:rsidR="009723E8">
              <w:rPr>
                <w:rFonts w:ascii="Times New Roman" w:hAnsi="Times New Roman"/>
              </w:rPr>
              <w:t xml:space="preserve">być </w:t>
            </w:r>
            <w:r w:rsidRPr="00F57058">
              <w:rPr>
                <w:rFonts w:ascii="Times New Roman" w:hAnsi="Times New Roman"/>
              </w:rPr>
              <w:t>implementowana do polskiego porządku</w:t>
            </w:r>
            <w:r>
              <w:rPr>
                <w:rFonts w:ascii="Times New Roman" w:hAnsi="Times New Roman"/>
              </w:rPr>
              <w:t xml:space="preserve"> prawnego do dnia 17 grudnia 2021 r.</w:t>
            </w:r>
            <w:r w:rsidRPr="00F57058">
              <w:rPr>
                <w:rFonts w:ascii="Times New Roman" w:hAnsi="Times New Roman"/>
              </w:rPr>
              <w:t xml:space="preserve"> </w:t>
            </w:r>
            <w:r>
              <w:rPr>
                <w:rFonts w:ascii="Times New Roman" w:hAnsi="Times New Roman"/>
              </w:rPr>
              <w:t xml:space="preserve">Jedynie </w:t>
            </w:r>
            <w:r w:rsidRPr="00F57058">
              <w:rPr>
                <w:rFonts w:ascii="Times New Roman" w:hAnsi="Times New Roman"/>
              </w:rPr>
              <w:t xml:space="preserve">w przypadku podmiotów </w:t>
            </w:r>
            <w:r>
              <w:rPr>
                <w:rFonts w:ascii="Times New Roman" w:hAnsi="Times New Roman"/>
              </w:rPr>
              <w:t>w sektorze prywatnym</w:t>
            </w:r>
            <w:r w:rsidRPr="00F57058">
              <w:rPr>
                <w:rFonts w:ascii="Times New Roman" w:hAnsi="Times New Roman"/>
              </w:rPr>
              <w:t xml:space="preserve">, które zatrudniają od 50 do 249 pracowników, </w:t>
            </w:r>
            <w:r>
              <w:rPr>
                <w:rFonts w:ascii="Times New Roman" w:hAnsi="Times New Roman"/>
              </w:rPr>
              <w:t>implementacja</w:t>
            </w:r>
            <w:r w:rsidRPr="00F57058">
              <w:rPr>
                <w:rFonts w:ascii="Times New Roman" w:hAnsi="Times New Roman"/>
              </w:rPr>
              <w:t xml:space="preserve"> dyrektywy </w:t>
            </w:r>
            <w:r>
              <w:rPr>
                <w:rFonts w:ascii="Times New Roman" w:hAnsi="Times New Roman"/>
              </w:rPr>
              <w:t>w zakresie obowiązku ustanowienia wewnętrznych kanałów zgłaszania naruszeń powinna nastąpić do</w:t>
            </w:r>
            <w:r w:rsidRPr="00F57058">
              <w:rPr>
                <w:rFonts w:ascii="Times New Roman" w:hAnsi="Times New Roman"/>
              </w:rPr>
              <w:t xml:space="preserve"> </w:t>
            </w:r>
            <w:r>
              <w:rPr>
                <w:rFonts w:ascii="Times New Roman" w:hAnsi="Times New Roman"/>
              </w:rPr>
              <w:t xml:space="preserve">dnia </w:t>
            </w:r>
            <w:r w:rsidRPr="00F57058">
              <w:rPr>
                <w:rFonts w:ascii="Times New Roman" w:hAnsi="Times New Roman"/>
              </w:rPr>
              <w:t>17 grudnia 2023</w:t>
            </w:r>
            <w:r w:rsidRPr="00F57058">
              <w:rPr>
                <w:rFonts w:ascii="Times New Roman" w:hAnsi="Times New Roman"/>
                <w:b/>
                <w:bCs/>
              </w:rPr>
              <w:t xml:space="preserve"> </w:t>
            </w:r>
            <w:r w:rsidRPr="00F57058">
              <w:rPr>
                <w:rFonts w:ascii="Times New Roman" w:hAnsi="Times New Roman"/>
                <w:bCs/>
              </w:rPr>
              <w:t>r.</w:t>
            </w:r>
          </w:p>
          <w:p w14:paraId="470286EB" w14:textId="77777777" w:rsidR="00C017C1" w:rsidRDefault="00C017C1" w:rsidP="00C017C1">
            <w:pPr>
              <w:spacing w:line="240" w:lineRule="auto"/>
              <w:jc w:val="both"/>
              <w:rPr>
                <w:rFonts w:ascii="Times New Roman" w:hAnsi="Times New Roman"/>
                <w:bCs/>
              </w:rPr>
            </w:pPr>
            <w:r>
              <w:rPr>
                <w:rFonts w:ascii="Times New Roman" w:hAnsi="Times New Roman"/>
                <w:bCs/>
              </w:rPr>
              <w:t xml:space="preserve">Przyjmuje się, że implementacja dyrektywy 2019/1937 nastąpi nie w drodze nowelizacji istniejących ustaw, lecz w odrębnej ustawie. Szeroki zakres koniecznych do wdrożenia rozwiązań </w:t>
            </w:r>
            <w:r w:rsidRPr="006844A6">
              <w:rPr>
                <w:rFonts w:ascii="Times New Roman" w:hAnsi="Times New Roman"/>
                <w:bCs/>
              </w:rPr>
              <w:t xml:space="preserve">oraz względy przejrzystości regulacji </w:t>
            </w:r>
            <w:r>
              <w:rPr>
                <w:rFonts w:ascii="Times New Roman" w:hAnsi="Times New Roman"/>
                <w:bCs/>
              </w:rPr>
              <w:t xml:space="preserve">dotyczącej nowych instytucji prawnych przemawiają </w:t>
            </w:r>
            <w:r w:rsidRPr="006844A6">
              <w:rPr>
                <w:rFonts w:ascii="Times New Roman" w:hAnsi="Times New Roman"/>
                <w:bCs/>
              </w:rPr>
              <w:t xml:space="preserve">za ujęciem </w:t>
            </w:r>
            <w:r>
              <w:rPr>
                <w:rFonts w:ascii="Times New Roman" w:hAnsi="Times New Roman"/>
                <w:bCs/>
              </w:rPr>
              <w:t>przepisów</w:t>
            </w:r>
            <w:r w:rsidRPr="006844A6">
              <w:rPr>
                <w:rFonts w:ascii="Times New Roman" w:hAnsi="Times New Roman"/>
                <w:bCs/>
              </w:rPr>
              <w:t xml:space="preserve"> związanych z</w:t>
            </w:r>
            <w:r>
              <w:rPr>
                <w:rFonts w:ascii="Times New Roman" w:hAnsi="Times New Roman"/>
                <w:bCs/>
              </w:rPr>
              <w:t xml:space="preserve">e zgłaszaniem naruszeń prawa i ochroną zgłaszających </w:t>
            </w:r>
            <w:r w:rsidRPr="006844A6">
              <w:rPr>
                <w:rFonts w:ascii="Times New Roman" w:hAnsi="Times New Roman"/>
                <w:bCs/>
              </w:rPr>
              <w:t>w odrębnej</w:t>
            </w:r>
            <w:r>
              <w:rPr>
                <w:rFonts w:ascii="Times New Roman" w:hAnsi="Times New Roman"/>
                <w:bCs/>
              </w:rPr>
              <w:t>,</w:t>
            </w:r>
            <w:r w:rsidRPr="006844A6">
              <w:rPr>
                <w:rFonts w:ascii="Times New Roman" w:hAnsi="Times New Roman"/>
                <w:bCs/>
              </w:rPr>
              <w:t xml:space="preserve"> kompleksowej ustawie.</w:t>
            </w:r>
          </w:p>
          <w:p w14:paraId="46FED29E" w14:textId="77777777" w:rsidR="00C017C1" w:rsidRDefault="00C017C1" w:rsidP="00C017C1">
            <w:pPr>
              <w:spacing w:line="240" w:lineRule="auto"/>
              <w:jc w:val="both"/>
              <w:rPr>
                <w:rFonts w:ascii="Times New Roman" w:hAnsi="Times New Roman"/>
                <w:bCs/>
              </w:rPr>
            </w:pPr>
          </w:p>
          <w:p w14:paraId="38E2CACB" w14:textId="77777777" w:rsidR="00C017C1" w:rsidRPr="006844A6" w:rsidRDefault="00C017C1" w:rsidP="00C017C1">
            <w:pPr>
              <w:spacing w:line="240" w:lineRule="auto"/>
              <w:jc w:val="both"/>
              <w:rPr>
                <w:rFonts w:ascii="Times New Roman" w:hAnsi="Times New Roman"/>
                <w:bCs/>
              </w:rPr>
            </w:pPr>
            <w:r>
              <w:rPr>
                <w:rFonts w:ascii="Times New Roman" w:hAnsi="Times New Roman"/>
                <w:bCs/>
              </w:rPr>
              <w:t>Nie ma możliwości osiągnięcia celów projektu środkami pozalegislacyjnymi.</w:t>
            </w:r>
          </w:p>
        </w:tc>
      </w:tr>
      <w:tr w:rsidR="00C017C1" w:rsidRPr="008B4FE6" w14:paraId="5BB7086D" w14:textId="77777777" w:rsidTr="00B236F6">
        <w:trPr>
          <w:gridAfter w:val="1"/>
          <w:wAfter w:w="10" w:type="dxa"/>
          <w:trHeight w:val="307"/>
        </w:trPr>
        <w:tc>
          <w:tcPr>
            <w:tcW w:w="11050" w:type="dxa"/>
            <w:gridSpan w:val="29"/>
            <w:shd w:val="clear" w:color="auto" w:fill="99CCFF"/>
            <w:vAlign w:val="center"/>
          </w:tcPr>
          <w:p w14:paraId="36404C2C"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C017C1" w:rsidRPr="008B4FE6" w14:paraId="54B9A66E" w14:textId="77777777" w:rsidTr="00B236F6">
        <w:trPr>
          <w:gridAfter w:val="1"/>
          <w:wAfter w:w="10" w:type="dxa"/>
          <w:trHeight w:val="142"/>
        </w:trPr>
        <w:tc>
          <w:tcPr>
            <w:tcW w:w="11050" w:type="dxa"/>
            <w:gridSpan w:val="29"/>
            <w:shd w:val="clear" w:color="auto" w:fill="auto"/>
          </w:tcPr>
          <w:p w14:paraId="17CB32A3" w14:textId="77777777" w:rsidR="00C017C1" w:rsidRPr="005D3CAD" w:rsidRDefault="00C017C1" w:rsidP="00C017C1">
            <w:pPr>
              <w:pStyle w:val="NormalnyWeb"/>
              <w:spacing w:before="0" w:beforeAutospacing="0" w:after="270" w:afterAutospacing="0"/>
              <w:jc w:val="both"/>
              <w:rPr>
                <w:color w:val="000000"/>
                <w:sz w:val="22"/>
                <w:szCs w:val="22"/>
              </w:rPr>
            </w:pPr>
            <w:r>
              <w:rPr>
                <w:color w:val="000000"/>
                <w:sz w:val="22"/>
                <w:szCs w:val="22"/>
              </w:rPr>
              <w:t>Niektóre państwa, jak</w:t>
            </w:r>
            <w:r w:rsidRPr="005D3CAD">
              <w:rPr>
                <w:color w:val="000000"/>
                <w:sz w:val="22"/>
                <w:szCs w:val="22"/>
              </w:rPr>
              <w:t xml:space="preserve"> Litwa,</w:t>
            </w:r>
            <w:r>
              <w:rPr>
                <w:color w:val="000000"/>
                <w:sz w:val="22"/>
                <w:szCs w:val="22"/>
              </w:rPr>
              <w:t xml:space="preserve"> Holandia, Irlandia,</w:t>
            </w:r>
            <w:r w:rsidRPr="005D3CAD">
              <w:rPr>
                <w:color w:val="000000"/>
                <w:sz w:val="22"/>
                <w:szCs w:val="22"/>
              </w:rPr>
              <w:t xml:space="preserve"> Szwecja i Słowacja</w:t>
            </w:r>
            <w:r>
              <w:rPr>
                <w:color w:val="000000"/>
                <w:sz w:val="22"/>
                <w:szCs w:val="22"/>
              </w:rPr>
              <w:t>,</w:t>
            </w:r>
            <w:r w:rsidRPr="005D3CAD">
              <w:rPr>
                <w:color w:val="000000"/>
                <w:sz w:val="22"/>
                <w:szCs w:val="22"/>
              </w:rPr>
              <w:t xml:space="preserve"> posiadają obowiązujące akty prawne poświęcone wyłącznie instytucji sygnalistów</w:t>
            </w:r>
            <w:r>
              <w:rPr>
                <w:color w:val="000000"/>
                <w:sz w:val="22"/>
                <w:szCs w:val="22"/>
              </w:rPr>
              <w:t xml:space="preserve"> lub sygnalizowaniu,</w:t>
            </w:r>
            <w:r w:rsidRPr="005D3CAD">
              <w:rPr>
                <w:color w:val="000000"/>
                <w:sz w:val="22"/>
                <w:szCs w:val="22"/>
              </w:rPr>
              <w:t xml:space="preserve"> jednak nie </w:t>
            </w:r>
            <w:r w:rsidR="00113890">
              <w:rPr>
                <w:color w:val="000000"/>
                <w:sz w:val="22"/>
                <w:szCs w:val="22"/>
              </w:rPr>
              <w:t>były</w:t>
            </w:r>
            <w:r w:rsidRPr="005D3CAD">
              <w:rPr>
                <w:color w:val="000000"/>
                <w:sz w:val="22"/>
                <w:szCs w:val="22"/>
              </w:rPr>
              <w:t xml:space="preserve"> one w pełni kompatybilne z wymogami </w:t>
            </w:r>
            <w:r w:rsidRPr="005D3CAD">
              <w:rPr>
                <w:sz w:val="22"/>
                <w:szCs w:val="22"/>
              </w:rPr>
              <w:t>dyrektywy 2019/1937</w:t>
            </w:r>
            <w:r>
              <w:rPr>
                <w:color w:val="000000"/>
                <w:sz w:val="22"/>
                <w:szCs w:val="22"/>
              </w:rPr>
              <w:t xml:space="preserve"> i wymagały nowelizacji. W</w:t>
            </w:r>
            <w:r w:rsidRPr="005D3CAD">
              <w:rPr>
                <w:color w:val="000000"/>
                <w:sz w:val="22"/>
                <w:szCs w:val="22"/>
              </w:rPr>
              <w:t xml:space="preserve"> pozostałych państwach istnieją regulacje odnoszące się do problematyki sygnalizowania nieprawidłowości</w:t>
            </w:r>
            <w:r>
              <w:rPr>
                <w:color w:val="000000"/>
                <w:sz w:val="22"/>
                <w:szCs w:val="22"/>
              </w:rPr>
              <w:t>,</w:t>
            </w:r>
            <w:r w:rsidRPr="005D3CAD">
              <w:rPr>
                <w:color w:val="000000"/>
                <w:sz w:val="22"/>
                <w:szCs w:val="22"/>
              </w:rPr>
              <w:t xml:space="preserve"> jednak są one zawarte w aktac</w:t>
            </w:r>
            <w:r>
              <w:rPr>
                <w:color w:val="000000"/>
                <w:sz w:val="22"/>
                <w:szCs w:val="22"/>
              </w:rPr>
              <w:t xml:space="preserve">h </w:t>
            </w:r>
            <w:r w:rsidRPr="005D3CAD">
              <w:rPr>
                <w:color w:val="000000"/>
                <w:sz w:val="22"/>
                <w:szCs w:val="22"/>
              </w:rPr>
              <w:t>prawych regulujących różn</w:t>
            </w:r>
            <w:r>
              <w:rPr>
                <w:color w:val="000000"/>
                <w:sz w:val="22"/>
                <w:szCs w:val="22"/>
              </w:rPr>
              <w:t>e</w:t>
            </w:r>
            <w:r w:rsidRPr="005D3CAD">
              <w:rPr>
                <w:color w:val="000000"/>
                <w:sz w:val="22"/>
                <w:szCs w:val="22"/>
              </w:rPr>
              <w:t xml:space="preserve"> dziedziny</w:t>
            </w:r>
            <w:r>
              <w:rPr>
                <w:color w:val="000000"/>
                <w:sz w:val="22"/>
                <w:szCs w:val="22"/>
              </w:rPr>
              <w:t xml:space="preserve"> prawa</w:t>
            </w:r>
            <w:r w:rsidRPr="005D3CAD">
              <w:rPr>
                <w:color w:val="000000"/>
                <w:sz w:val="22"/>
                <w:szCs w:val="22"/>
              </w:rPr>
              <w:t>.</w:t>
            </w:r>
          </w:p>
          <w:p w14:paraId="69626669" w14:textId="77777777" w:rsidR="00C017C1" w:rsidRPr="005D3CAD" w:rsidRDefault="00C017C1" w:rsidP="00C017C1">
            <w:pPr>
              <w:pStyle w:val="NormalnyWeb"/>
              <w:spacing w:before="0" w:beforeAutospacing="0" w:after="0" w:afterAutospacing="0"/>
              <w:jc w:val="both"/>
              <w:rPr>
                <w:b/>
                <w:sz w:val="22"/>
                <w:szCs w:val="22"/>
              </w:rPr>
            </w:pPr>
            <w:r w:rsidRPr="005D3CAD">
              <w:rPr>
                <w:b/>
                <w:sz w:val="22"/>
                <w:szCs w:val="22"/>
              </w:rPr>
              <w:t>Francja</w:t>
            </w:r>
          </w:p>
          <w:p w14:paraId="7EFFCA1E" w14:textId="77777777" w:rsidR="00C017C1" w:rsidRPr="005D3CAD" w:rsidRDefault="00C017C1" w:rsidP="00C017C1">
            <w:pPr>
              <w:pStyle w:val="NormalnyWeb"/>
              <w:spacing w:before="0" w:beforeAutospacing="0" w:after="0" w:afterAutospacing="0"/>
              <w:jc w:val="both"/>
              <w:rPr>
                <w:sz w:val="22"/>
                <w:szCs w:val="22"/>
              </w:rPr>
            </w:pPr>
            <w:r w:rsidRPr="005D3CAD">
              <w:rPr>
                <w:sz w:val="22"/>
                <w:szCs w:val="22"/>
              </w:rPr>
              <w:t xml:space="preserve">Istnieje </w:t>
            </w:r>
            <w:r>
              <w:rPr>
                <w:sz w:val="22"/>
                <w:szCs w:val="22"/>
              </w:rPr>
              <w:t xml:space="preserve">częściowa </w:t>
            </w:r>
            <w:r w:rsidRPr="005D3CAD">
              <w:rPr>
                <w:sz w:val="22"/>
                <w:szCs w:val="22"/>
              </w:rPr>
              <w:t>regulacja prawna dotycząca</w:t>
            </w:r>
            <w:r>
              <w:rPr>
                <w:sz w:val="22"/>
                <w:szCs w:val="22"/>
              </w:rPr>
              <w:t xml:space="preserve"> sygnalizowania,</w:t>
            </w:r>
            <w:r w:rsidRPr="005D3CAD">
              <w:rPr>
                <w:sz w:val="22"/>
                <w:szCs w:val="22"/>
              </w:rPr>
              <w:t xml:space="preserve"> tzw. SAPIN II</w:t>
            </w:r>
            <w:r>
              <w:rPr>
                <w:sz w:val="22"/>
                <w:szCs w:val="22"/>
              </w:rPr>
              <w:t xml:space="preserve"> (ustawa antykorupcyjna), która obowiązuje od 2018 r.</w:t>
            </w:r>
            <w:r w:rsidRPr="005D3CAD">
              <w:rPr>
                <w:sz w:val="22"/>
                <w:szCs w:val="22"/>
              </w:rPr>
              <w:t xml:space="preserve"> </w:t>
            </w:r>
            <w:r>
              <w:rPr>
                <w:sz w:val="22"/>
                <w:szCs w:val="22"/>
              </w:rPr>
              <w:t>Podmioty</w:t>
            </w:r>
            <w:r w:rsidRPr="005D3CAD">
              <w:rPr>
                <w:sz w:val="22"/>
                <w:szCs w:val="22"/>
              </w:rPr>
              <w:t xml:space="preserve"> podlegające SAPIN II muszą: ocenić ryzyko korupcji, edukować pracowników i osoby trzecie najbardziej narażone na ryzyko korupcji oraz ustanowić mechanizmy sygnalizowania nieprawidłowości, system dyscyplinarny, kontrolę księgową, kontrolę wewnętrzną i system monitorowania. </w:t>
            </w:r>
          </w:p>
          <w:p w14:paraId="35F9EA65" w14:textId="77777777" w:rsidR="00C017C1" w:rsidRPr="00A107C4" w:rsidRDefault="00C017C1" w:rsidP="00C017C1">
            <w:pPr>
              <w:pStyle w:val="NormalnyWeb"/>
              <w:spacing w:before="0" w:beforeAutospacing="0" w:after="0" w:afterAutospacing="0"/>
              <w:jc w:val="both"/>
              <w:rPr>
                <w:sz w:val="22"/>
                <w:szCs w:val="22"/>
              </w:rPr>
            </w:pPr>
            <w:r w:rsidRPr="005D3CAD">
              <w:rPr>
                <w:sz w:val="22"/>
                <w:szCs w:val="22"/>
              </w:rPr>
              <w:t>Prawo określa zasad</w:t>
            </w:r>
            <w:r>
              <w:rPr>
                <w:sz w:val="22"/>
                <w:szCs w:val="22"/>
              </w:rPr>
              <w:t>y</w:t>
            </w:r>
            <w:r w:rsidRPr="005D3CAD">
              <w:rPr>
                <w:sz w:val="22"/>
                <w:szCs w:val="22"/>
              </w:rPr>
              <w:t>, któr</w:t>
            </w:r>
            <w:r>
              <w:rPr>
                <w:sz w:val="22"/>
                <w:szCs w:val="22"/>
              </w:rPr>
              <w:t>ych</w:t>
            </w:r>
            <w:r w:rsidRPr="005D3CAD">
              <w:rPr>
                <w:sz w:val="22"/>
                <w:szCs w:val="22"/>
              </w:rPr>
              <w:t xml:space="preserve"> pracodawcy muszą </w:t>
            </w:r>
            <w:r w:rsidRPr="00A107C4">
              <w:rPr>
                <w:sz w:val="22"/>
                <w:szCs w:val="22"/>
              </w:rPr>
              <w:t>przestrzegać lub wdrożyć</w:t>
            </w:r>
            <w:r>
              <w:rPr>
                <w:sz w:val="22"/>
                <w:szCs w:val="22"/>
              </w:rPr>
              <w:t>, tj.</w:t>
            </w:r>
            <w:r w:rsidRPr="00A43837">
              <w:rPr>
                <w:sz w:val="22"/>
                <w:szCs w:val="22"/>
              </w:rPr>
              <w:t xml:space="preserve">: </w:t>
            </w:r>
            <w:r>
              <w:rPr>
                <w:sz w:val="22"/>
                <w:szCs w:val="22"/>
              </w:rPr>
              <w:t>k</w:t>
            </w:r>
            <w:r w:rsidRPr="000301BF">
              <w:rPr>
                <w:sz w:val="22"/>
                <w:szCs w:val="22"/>
              </w:rPr>
              <w:t>odeks postępowania</w:t>
            </w:r>
            <w:r w:rsidRPr="00A107C4">
              <w:rPr>
                <w:sz w:val="22"/>
                <w:szCs w:val="22"/>
              </w:rPr>
              <w:t xml:space="preserve">, </w:t>
            </w:r>
            <w:r>
              <w:rPr>
                <w:sz w:val="22"/>
                <w:szCs w:val="22"/>
              </w:rPr>
              <w:t>w</w:t>
            </w:r>
            <w:r w:rsidRPr="000301BF">
              <w:rPr>
                <w:sz w:val="22"/>
                <w:szCs w:val="22"/>
              </w:rPr>
              <w:t>ewnętrzne mechanizmy zgłaszania nieprawidłowości</w:t>
            </w:r>
            <w:r w:rsidRPr="00A107C4">
              <w:rPr>
                <w:sz w:val="22"/>
                <w:szCs w:val="22"/>
              </w:rPr>
              <w:t xml:space="preserve">, </w:t>
            </w:r>
            <w:r>
              <w:rPr>
                <w:sz w:val="22"/>
                <w:szCs w:val="22"/>
              </w:rPr>
              <w:t>m</w:t>
            </w:r>
            <w:r w:rsidRPr="000301BF">
              <w:rPr>
                <w:sz w:val="22"/>
                <w:szCs w:val="22"/>
              </w:rPr>
              <w:t>apowanie ryzyka</w:t>
            </w:r>
            <w:r w:rsidRPr="00A107C4">
              <w:rPr>
                <w:sz w:val="22"/>
                <w:szCs w:val="22"/>
              </w:rPr>
              <w:t xml:space="preserve"> (</w:t>
            </w:r>
            <w:r w:rsidRPr="00A43837">
              <w:rPr>
                <w:sz w:val="22"/>
                <w:szCs w:val="22"/>
              </w:rPr>
              <w:t xml:space="preserve">narażenia firmy na ryzyko korupcji), </w:t>
            </w:r>
            <w:r>
              <w:rPr>
                <w:sz w:val="22"/>
                <w:szCs w:val="22"/>
              </w:rPr>
              <w:t>d</w:t>
            </w:r>
            <w:r w:rsidRPr="000301BF">
              <w:rPr>
                <w:sz w:val="22"/>
                <w:szCs w:val="22"/>
              </w:rPr>
              <w:t>ziałania osób trzecich</w:t>
            </w:r>
            <w:r w:rsidRPr="00A107C4">
              <w:rPr>
                <w:sz w:val="22"/>
                <w:szCs w:val="22"/>
              </w:rPr>
              <w:t xml:space="preserve"> (ocena działalności stron trzecich: klientów, pośredników, dostawców itp.)</w:t>
            </w:r>
            <w:r w:rsidRPr="00A43837">
              <w:rPr>
                <w:sz w:val="22"/>
                <w:szCs w:val="22"/>
              </w:rPr>
              <w:t xml:space="preserve">, </w:t>
            </w:r>
            <w:r>
              <w:rPr>
                <w:sz w:val="22"/>
                <w:szCs w:val="22"/>
              </w:rPr>
              <w:t>s</w:t>
            </w:r>
            <w:r w:rsidRPr="000301BF">
              <w:rPr>
                <w:sz w:val="22"/>
                <w:szCs w:val="22"/>
              </w:rPr>
              <w:t>ilna kontrola księgowa</w:t>
            </w:r>
            <w:r w:rsidRPr="00A107C4">
              <w:rPr>
                <w:sz w:val="22"/>
                <w:szCs w:val="22"/>
              </w:rPr>
              <w:t xml:space="preserve">, </w:t>
            </w:r>
            <w:r>
              <w:rPr>
                <w:sz w:val="22"/>
                <w:szCs w:val="22"/>
              </w:rPr>
              <w:t>o</w:t>
            </w:r>
            <w:r w:rsidRPr="000301BF">
              <w:rPr>
                <w:sz w:val="22"/>
                <w:szCs w:val="22"/>
              </w:rPr>
              <w:t>pracowanie programu szkoleń</w:t>
            </w:r>
            <w:r w:rsidRPr="00A107C4">
              <w:rPr>
                <w:sz w:val="22"/>
                <w:szCs w:val="22"/>
              </w:rPr>
              <w:t xml:space="preserve"> (skierowanego do dyrektorów generalnych, menedżerów i pracowników najbardziej narażonych na ryzyko korupcji), </w:t>
            </w:r>
            <w:r>
              <w:rPr>
                <w:sz w:val="22"/>
                <w:szCs w:val="22"/>
              </w:rPr>
              <w:t>s</w:t>
            </w:r>
            <w:r w:rsidRPr="000301BF">
              <w:rPr>
                <w:sz w:val="22"/>
                <w:szCs w:val="22"/>
              </w:rPr>
              <w:t>ystem dyscyplinarny</w:t>
            </w:r>
            <w:r w:rsidRPr="00A107C4">
              <w:rPr>
                <w:sz w:val="22"/>
                <w:szCs w:val="22"/>
              </w:rPr>
              <w:t xml:space="preserve"> (ustanowienie sankcji dy</w:t>
            </w:r>
            <w:r w:rsidRPr="008370A6">
              <w:rPr>
                <w:sz w:val="22"/>
                <w:szCs w:val="22"/>
              </w:rPr>
              <w:t xml:space="preserve">scyplinarnych, które mają być stosowane w przypadkach </w:t>
            </w:r>
            <w:r w:rsidRPr="008370A6">
              <w:rPr>
                <w:sz w:val="22"/>
                <w:szCs w:val="22"/>
              </w:rPr>
              <w:lastRenderedPageBreak/>
              <w:t xml:space="preserve">naruszenia kodeksu postępowania przedsiębiorstwa), </w:t>
            </w:r>
            <w:r>
              <w:rPr>
                <w:sz w:val="22"/>
                <w:szCs w:val="22"/>
              </w:rPr>
              <w:t>s</w:t>
            </w:r>
            <w:r w:rsidRPr="000301BF">
              <w:rPr>
                <w:sz w:val="22"/>
                <w:szCs w:val="22"/>
              </w:rPr>
              <w:t>tworzenie systemu kontroli wewnętrznych</w:t>
            </w:r>
            <w:r w:rsidRPr="00A107C4">
              <w:rPr>
                <w:sz w:val="22"/>
                <w:szCs w:val="22"/>
              </w:rPr>
              <w:t xml:space="preserve"> (celem oceny i monitorowania skuteczności</w:t>
            </w:r>
            <w:r>
              <w:rPr>
                <w:sz w:val="22"/>
                <w:szCs w:val="22"/>
              </w:rPr>
              <w:t xml:space="preserve"> rozwiązań</w:t>
            </w:r>
            <w:r w:rsidRPr="00A107C4">
              <w:rPr>
                <w:sz w:val="22"/>
                <w:szCs w:val="22"/>
              </w:rPr>
              <w:t xml:space="preserve">). </w:t>
            </w:r>
          </w:p>
          <w:p w14:paraId="4FA1E428" w14:textId="77777777" w:rsidR="00C017C1" w:rsidRPr="005D3CAD" w:rsidRDefault="00C017C1" w:rsidP="00C017C1">
            <w:pPr>
              <w:pStyle w:val="NormalnyWeb"/>
              <w:spacing w:before="0" w:beforeAutospacing="0" w:after="0" w:afterAutospacing="0"/>
              <w:jc w:val="both"/>
              <w:rPr>
                <w:color w:val="000000"/>
                <w:sz w:val="22"/>
                <w:szCs w:val="22"/>
              </w:rPr>
            </w:pPr>
            <w:r>
              <w:rPr>
                <w:sz w:val="22"/>
                <w:szCs w:val="22"/>
              </w:rPr>
              <w:t>SAPIN II</w:t>
            </w:r>
            <w:r w:rsidRPr="005D3CAD">
              <w:rPr>
                <w:sz w:val="22"/>
                <w:szCs w:val="22"/>
              </w:rPr>
              <w:t xml:space="preserve"> ma za zadanie chronić sygnalistów oraz ustanowić </w:t>
            </w:r>
            <w:r>
              <w:rPr>
                <w:sz w:val="22"/>
                <w:szCs w:val="22"/>
              </w:rPr>
              <w:t>kanały</w:t>
            </w:r>
            <w:r w:rsidRPr="005D3CAD">
              <w:rPr>
                <w:sz w:val="22"/>
                <w:szCs w:val="22"/>
              </w:rPr>
              <w:t xml:space="preserve"> informowania o nieprawidłowościach (</w:t>
            </w:r>
            <w:r>
              <w:rPr>
                <w:sz w:val="22"/>
                <w:szCs w:val="22"/>
              </w:rPr>
              <w:t>dotyczy</w:t>
            </w:r>
            <w:r w:rsidRPr="005D3CAD">
              <w:rPr>
                <w:sz w:val="22"/>
                <w:szCs w:val="22"/>
              </w:rPr>
              <w:t xml:space="preserve"> wszystki</w:t>
            </w:r>
            <w:r>
              <w:rPr>
                <w:sz w:val="22"/>
                <w:szCs w:val="22"/>
              </w:rPr>
              <w:t>ch</w:t>
            </w:r>
            <w:r w:rsidRPr="005D3CAD">
              <w:rPr>
                <w:sz w:val="22"/>
                <w:szCs w:val="22"/>
              </w:rPr>
              <w:t xml:space="preserve"> przestępstw, wykrocze</w:t>
            </w:r>
            <w:r>
              <w:rPr>
                <w:sz w:val="22"/>
                <w:szCs w:val="22"/>
              </w:rPr>
              <w:t>ń</w:t>
            </w:r>
            <w:r w:rsidRPr="005D3CAD">
              <w:rPr>
                <w:sz w:val="22"/>
                <w:szCs w:val="22"/>
              </w:rPr>
              <w:t xml:space="preserve"> i narusze</w:t>
            </w:r>
            <w:r>
              <w:rPr>
                <w:sz w:val="22"/>
                <w:szCs w:val="22"/>
              </w:rPr>
              <w:t>ń</w:t>
            </w:r>
            <w:r w:rsidRPr="005D3CAD">
              <w:rPr>
                <w:sz w:val="22"/>
                <w:szCs w:val="22"/>
              </w:rPr>
              <w:t xml:space="preserve"> prawa międzynarodowego). </w:t>
            </w:r>
            <w:r>
              <w:rPr>
                <w:sz w:val="22"/>
                <w:szCs w:val="22"/>
              </w:rPr>
              <w:t>Regulacja obejmuje</w:t>
            </w:r>
            <w:r w:rsidRPr="005D3CAD">
              <w:rPr>
                <w:sz w:val="22"/>
                <w:szCs w:val="22"/>
              </w:rPr>
              <w:t xml:space="preserve"> os</w:t>
            </w:r>
            <w:r>
              <w:rPr>
                <w:sz w:val="22"/>
                <w:szCs w:val="22"/>
              </w:rPr>
              <w:t>o</w:t>
            </w:r>
            <w:r w:rsidRPr="005D3CAD">
              <w:rPr>
                <w:sz w:val="22"/>
                <w:szCs w:val="22"/>
              </w:rPr>
              <w:t>b</w:t>
            </w:r>
            <w:r>
              <w:rPr>
                <w:sz w:val="22"/>
                <w:szCs w:val="22"/>
              </w:rPr>
              <w:t>y</w:t>
            </w:r>
            <w:r w:rsidRPr="005D3CAD">
              <w:rPr>
                <w:sz w:val="22"/>
                <w:szCs w:val="22"/>
              </w:rPr>
              <w:t xml:space="preserve"> prawn</w:t>
            </w:r>
            <w:r>
              <w:rPr>
                <w:sz w:val="22"/>
                <w:szCs w:val="22"/>
              </w:rPr>
              <w:t>e</w:t>
            </w:r>
            <w:r w:rsidRPr="005D3CAD">
              <w:rPr>
                <w:sz w:val="22"/>
                <w:szCs w:val="22"/>
              </w:rPr>
              <w:t>, zarówno prywatn</w:t>
            </w:r>
            <w:r>
              <w:rPr>
                <w:sz w:val="22"/>
                <w:szCs w:val="22"/>
              </w:rPr>
              <w:t>e</w:t>
            </w:r>
            <w:r w:rsidRPr="005D3CAD">
              <w:rPr>
                <w:sz w:val="22"/>
                <w:szCs w:val="22"/>
              </w:rPr>
              <w:t>, jak i publiczn</w:t>
            </w:r>
            <w:r>
              <w:rPr>
                <w:sz w:val="22"/>
                <w:szCs w:val="22"/>
              </w:rPr>
              <w:t>e</w:t>
            </w:r>
            <w:r w:rsidRPr="005D3CAD">
              <w:rPr>
                <w:sz w:val="22"/>
                <w:szCs w:val="22"/>
              </w:rPr>
              <w:t>, zatrudniając</w:t>
            </w:r>
            <w:r>
              <w:rPr>
                <w:sz w:val="22"/>
                <w:szCs w:val="22"/>
              </w:rPr>
              <w:t>e</w:t>
            </w:r>
            <w:r w:rsidRPr="005D3CAD">
              <w:rPr>
                <w:sz w:val="22"/>
                <w:szCs w:val="22"/>
              </w:rPr>
              <w:t xml:space="preserve"> powyżej 50 pracowników. </w:t>
            </w:r>
            <w:r w:rsidRPr="005D3CAD">
              <w:rPr>
                <w:color w:val="000000"/>
                <w:sz w:val="22"/>
                <w:szCs w:val="22"/>
              </w:rPr>
              <w:t xml:space="preserve">Ustawa SAPIN II </w:t>
            </w:r>
            <w:r>
              <w:rPr>
                <w:color w:val="000000"/>
                <w:sz w:val="22"/>
                <w:szCs w:val="22"/>
              </w:rPr>
              <w:t>powołała</w:t>
            </w:r>
            <w:r w:rsidRPr="005D3CAD">
              <w:rPr>
                <w:color w:val="000000"/>
                <w:sz w:val="22"/>
                <w:szCs w:val="22"/>
              </w:rPr>
              <w:t xml:space="preserve"> </w:t>
            </w:r>
            <w:r>
              <w:rPr>
                <w:color w:val="000000"/>
                <w:sz w:val="22"/>
                <w:szCs w:val="22"/>
              </w:rPr>
              <w:t>F</w:t>
            </w:r>
            <w:r w:rsidRPr="005D3CAD">
              <w:rPr>
                <w:color w:val="000000"/>
                <w:sz w:val="22"/>
                <w:szCs w:val="22"/>
              </w:rPr>
              <w:t>rancusk</w:t>
            </w:r>
            <w:r>
              <w:rPr>
                <w:color w:val="000000"/>
                <w:sz w:val="22"/>
                <w:szCs w:val="22"/>
              </w:rPr>
              <w:t>ą</w:t>
            </w:r>
            <w:r w:rsidRPr="005D3CAD">
              <w:rPr>
                <w:color w:val="000000"/>
                <w:sz w:val="22"/>
                <w:szCs w:val="22"/>
              </w:rPr>
              <w:t xml:space="preserve"> </w:t>
            </w:r>
            <w:r>
              <w:rPr>
                <w:color w:val="000000"/>
                <w:sz w:val="22"/>
                <w:szCs w:val="22"/>
              </w:rPr>
              <w:t>A</w:t>
            </w:r>
            <w:r w:rsidRPr="005D3CAD">
              <w:rPr>
                <w:color w:val="000000"/>
                <w:sz w:val="22"/>
                <w:szCs w:val="22"/>
              </w:rPr>
              <w:t>gencj</w:t>
            </w:r>
            <w:r>
              <w:rPr>
                <w:color w:val="000000"/>
                <w:sz w:val="22"/>
                <w:szCs w:val="22"/>
              </w:rPr>
              <w:t>ę</w:t>
            </w:r>
            <w:r w:rsidRPr="005D3CAD">
              <w:rPr>
                <w:color w:val="000000"/>
                <w:sz w:val="22"/>
                <w:szCs w:val="22"/>
              </w:rPr>
              <w:t xml:space="preserve"> </w:t>
            </w:r>
            <w:r>
              <w:rPr>
                <w:color w:val="000000"/>
                <w:sz w:val="22"/>
                <w:szCs w:val="22"/>
              </w:rPr>
              <w:t>A</w:t>
            </w:r>
            <w:r w:rsidRPr="005D3CAD">
              <w:rPr>
                <w:color w:val="000000"/>
                <w:sz w:val="22"/>
                <w:szCs w:val="22"/>
              </w:rPr>
              <w:t>ntykorupcyjn</w:t>
            </w:r>
            <w:r>
              <w:rPr>
                <w:color w:val="000000"/>
                <w:sz w:val="22"/>
                <w:szCs w:val="22"/>
              </w:rPr>
              <w:t>ą</w:t>
            </w:r>
            <w:r w:rsidRPr="005D3CAD">
              <w:rPr>
                <w:color w:val="000000"/>
                <w:sz w:val="22"/>
                <w:szCs w:val="22"/>
              </w:rPr>
              <w:t xml:space="preserve"> </w:t>
            </w:r>
            <w:r>
              <w:rPr>
                <w:color w:val="000000"/>
                <w:sz w:val="22"/>
                <w:szCs w:val="22"/>
              </w:rPr>
              <w:t>(</w:t>
            </w:r>
            <w:r w:rsidRPr="00A95A92">
              <w:rPr>
                <w:color w:val="000000"/>
                <w:sz w:val="22"/>
                <w:szCs w:val="22"/>
              </w:rPr>
              <w:t>Agence Française Anti-Corruption</w:t>
            </w:r>
            <w:r w:rsidRPr="005D3CAD">
              <w:rPr>
                <w:color w:val="000000"/>
                <w:sz w:val="22"/>
                <w:szCs w:val="22"/>
              </w:rPr>
              <w:t xml:space="preserve"> (AFA)</w:t>
            </w:r>
            <w:r>
              <w:rPr>
                <w:color w:val="000000"/>
                <w:sz w:val="22"/>
                <w:szCs w:val="22"/>
              </w:rPr>
              <w:t>)</w:t>
            </w:r>
            <w:r w:rsidRPr="005D3CAD">
              <w:rPr>
                <w:color w:val="000000"/>
                <w:sz w:val="22"/>
                <w:szCs w:val="22"/>
              </w:rPr>
              <w:t>, składając</w:t>
            </w:r>
            <w:r>
              <w:rPr>
                <w:color w:val="000000"/>
                <w:sz w:val="22"/>
                <w:szCs w:val="22"/>
              </w:rPr>
              <w:t>ą</w:t>
            </w:r>
            <w:r w:rsidRPr="005D3CAD">
              <w:rPr>
                <w:color w:val="000000"/>
                <w:sz w:val="22"/>
                <w:szCs w:val="22"/>
              </w:rPr>
              <w:t xml:space="preserve"> się z </w:t>
            </w:r>
            <w:r>
              <w:rPr>
                <w:color w:val="000000"/>
                <w:sz w:val="22"/>
                <w:szCs w:val="22"/>
              </w:rPr>
              <w:t xml:space="preserve">przedstawicieli </w:t>
            </w:r>
            <w:r w:rsidRPr="005D3CAD">
              <w:rPr>
                <w:color w:val="000000"/>
                <w:sz w:val="22"/>
                <w:szCs w:val="22"/>
              </w:rPr>
              <w:t>różnych instytucji</w:t>
            </w:r>
            <w:r>
              <w:rPr>
                <w:color w:val="000000"/>
                <w:sz w:val="22"/>
                <w:szCs w:val="22"/>
              </w:rPr>
              <w:t xml:space="preserve"> (ministrów: sprawiedliwości, budżetu, spraw zagranicznych i spraw wewnętrznych)</w:t>
            </w:r>
            <w:r w:rsidRPr="005D3CAD">
              <w:rPr>
                <w:color w:val="000000"/>
                <w:sz w:val="22"/>
                <w:szCs w:val="22"/>
              </w:rPr>
              <w:t xml:space="preserve">. </w:t>
            </w:r>
            <w:r>
              <w:rPr>
                <w:color w:val="000000"/>
                <w:sz w:val="22"/>
                <w:szCs w:val="22"/>
              </w:rPr>
              <w:t xml:space="preserve">Główne funkcje </w:t>
            </w:r>
            <w:r w:rsidRPr="005D3CAD">
              <w:rPr>
                <w:color w:val="000000"/>
                <w:sz w:val="22"/>
                <w:szCs w:val="22"/>
              </w:rPr>
              <w:t>AFA</w:t>
            </w:r>
            <w:r>
              <w:rPr>
                <w:color w:val="000000"/>
                <w:sz w:val="22"/>
                <w:szCs w:val="22"/>
              </w:rPr>
              <w:t xml:space="preserve"> obejmują:</w:t>
            </w:r>
            <w:r w:rsidRPr="005D3CAD">
              <w:rPr>
                <w:color w:val="000000"/>
                <w:sz w:val="22"/>
                <w:szCs w:val="22"/>
              </w:rPr>
              <w:t xml:space="preserve"> </w:t>
            </w:r>
          </w:p>
          <w:p w14:paraId="10BAA69B" w14:textId="77777777" w:rsidR="00C017C1" w:rsidRPr="005D3CAD" w:rsidRDefault="00C017C1" w:rsidP="00C017C1">
            <w:pPr>
              <w:pStyle w:val="NormalnyWeb"/>
              <w:spacing w:before="0" w:beforeAutospacing="0" w:after="0" w:afterAutospacing="0"/>
              <w:jc w:val="both"/>
              <w:rPr>
                <w:color w:val="000000"/>
                <w:sz w:val="22"/>
                <w:szCs w:val="22"/>
              </w:rPr>
            </w:pPr>
            <w:r w:rsidRPr="005D3CAD">
              <w:rPr>
                <w:color w:val="000000"/>
                <w:sz w:val="22"/>
                <w:szCs w:val="22"/>
              </w:rPr>
              <w:t xml:space="preserve">1. </w:t>
            </w:r>
            <w:r>
              <w:rPr>
                <w:color w:val="000000"/>
                <w:sz w:val="22"/>
                <w:szCs w:val="22"/>
              </w:rPr>
              <w:t>W</w:t>
            </w:r>
            <w:r w:rsidRPr="005D3CAD">
              <w:rPr>
                <w:color w:val="000000"/>
                <w:sz w:val="22"/>
                <w:szCs w:val="22"/>
              </w:rPr>
              <w:t xml:space="preserve">ydawanie firmom zaleceń dotyczących zapobiegania i wykrywania aktów korupcji, handlu wpływami, nielegalnego wzbogacania się, defraudacji funduszy publicznych i protekcji. </w:t>
            </w:r>
          </w:p>
          <w:p w14:paraId="63963424" w14:textId="77777777" w:rsidR="00C017C1" w:rsidRPr="005D3CAD" w:rsidRDefault="00C017C1" w:rsidP="00C017C1">
            <w:pPr>
              <w:pStyle w:val="NormalnyWeb"/>
              <w:spacing w:before="0" w:beforeAutospacing="0" w:after="0" w:afterAutospacing="0"/>
              <w:jc w:val="both"/>
              <w:rPr>
                <w:color w:val="000000"/>
                <w:sz w:val="22"/>
                <w:szCs w:val="22"/>
              </w:rPr>
            </w:pPr>
            <w:r>
              <w:rPr>
                <w:color w:val="000000"/>
                <w:sz w:val="22"/>
                <w:szCs w:val="22"/>
              </w:rPr>
              <w:t>2. K</w:t>
            </w:r>
            <w:r w:rsidRPr="005D3CAD">
              <w:rPr>
                <w:color w:val="000000"/>
                <w:sz w:val="22"/>
                <w:szCs w:val="22"/>
              </w:rPr>
              <w:t>ontrol</w:t>
            </w:r>
            <w:r>
              <w:rPr>
                <w:color w:val="000000"/>
                <w:sz w:val="22"/>
                <w:szCs w:val="22"/>
              </w:rPr>
              <w:t>ę</w:t>
            </w:r>
            <w:r w:rsidRPr="005D3CAD">
              <w:rPr>
                <w:color w:val="000000"/>
                <w:sz w:val="22"/>
                <w:szCs w:val="22"/>
              </w:rPr>
              <w:t xml:space="preserve"> wdrażania programów zgodności w firmach. Funkcjonariusze agencji mają prawo porozumiewać się z każdą osobą, której współpraca wydaje się konieczna, przy zapewnieniu poufności. </w:t>
            </w:r>
            <w:r>
              <w:rPr>
                <w:color w:val="000000"/>
                <w:sz w:val="22"/>
                <w:szCs w:val="22"/>
              </w:rPr>
              <w:t>A</w:t>
            </w:r>
            <w:r w:rsidRPr="005D3CAD">
              <w:rPr>
                <w:color w:val="000000"/>
                <w:sz w:val="22"/>
                <w:szCs w:val="22"/>
              </w:rPr>
              <w:t xml:space="preserve">gencja sporządza raport na temat programu zgodności firmy i, w razie potrzeby, zalecenia dotyczące jego poprawy. </w:t>
            </w:r>
          </w:p>
          <w:p w14:paraId="145B2CE3" w14:textId="77777777" w:rsidR="00C017C1" w:rsidRDefault="00C017C1" w:rsidP="00C017C1">
            <w:pPr>
              <w:pStyle w:val="NormalnyWeb"/>
              <w:spacing w:before="0" w:beforeAutospacing="0" w:after="0" w:afterAutospacing="0"/>
              <w:jc w:val="both"/>
              <w:rPr>
                <w:color w:val="000000"/>
                <w:sz w:val="22"/>
                <w:szCs w:val="22"/>
              </w:rPr>
            </w:pPr>
            <w:r w:rsidRPr="005D3CAD">
              <w:rPr>
                <w:color w:val="000000"/>
                <w:sz w:val="22"/>
                <w:szCs w:val="22"/>
              </w:rPr>
              <w:t>3. AFA może wydawać ostrzeżenia lub na</w:t>
            </w:r>
            <w:r>
              <w:rPr>
                <w:color w:val="000000"/>
                <w:sz w:val="22"/>
                <w:szCs w:val="22"/>
              </w:rPr>
              <w:t>kładać</w:t>
            </w:r>
            <w:r w:rsidRPr="005D3CAD">
              <w:rPr>
                <w:color w:val="000000"/>
                <w:sz w:val="22"/>
                <w:szCs w:val="22"/>
              </w:rPr>
              <w:t xml:space="preserve"> sankcje </w:t>
            </w:r>
            <w:r>
              <w:rPr>
                <w:color w:val="000000"/>
                <w:sz w:val="22"/>
                <w:szCs w:val="22"/>
              </w:rPr>
              <w:t xml:space="preserve">na </w:t>
            </w:r>
            <w:r w:rsidRPr="005D3CAD">
              <w:rPr>
                <w:color w:val="000000"/>
                <w:sz w:val="22"/>
                <w:szCs w:val="22"/>
              </w:rPr>
              <w:t>podmiot</w:t>
            </w:r>
            <w:r>
              <w:rPr>
                <w:color w:val="000000"/>
                <w:sz w:val="22"/>
                <w:szCs w:val="22"/>
              </w:rPr>
              <w:t>y</w:t>
            </w:r>
            <w:r w:rsidRPr="005D3CAD">
              <w:rPr>
                <w:color w:val="000000"/>
                <w:sz w:val="22"/>
                <w:szCs w:val="22"/>
              </w:rPr>
              <w:t xml:space="preserve">, które nie zastosują się do jej zaleceń (grozi im </w:t>
            </w:r>
            <w:r>
              <w:rPr>
                <w:color w:val="000000"/>
                <w:sz w:val="22"/>
                <w:szCs w:val="22"/>
              </w:rPr>
              <w:t xml:space="preserve">kara </w:t>
            </w:r>
            <w:r w:rsidRPr="005D3CAD">
              <w:rPr>
                <w:color w:val="000000"/>
                <w:sz w:val="22"/>
                <w:szCs w:val="22"/>
              </w:rPr>
              <w:t>grzywn</w:t>
            </w:r>
            <w:r>
              <w:rPr>
                <w:color w:val="000000"/>
                <w:sz w:val="22"/>
                <w:szCs w:val="22"/>
              </w:rPr>
              <w:t>y</w:t>
            </w:r>
            <w:r w:rsidRPr="005D3CAD">
              <w:rPr>
                <w:color w:val="000000"/>
                <w:sz w:val="22"/>
                <w:szCs w:val="22"/>
              </w:rPr>
              <w:t xml:space="preserve"> w wysokości do 50 000 EUR i dwóch lat </w:t>
            </w:r>
            <w:r>
              <w:rPr>
                <w:color w:val="000000"/>
                <w:sz w:val="22"/>
                <w:szCs w:val="22"/>
              </w:rPr>
              <w:t>pozbawienia wolności</w:t>
            </w:r>
            <w:r w:rsidRPr="005D3CAD">
              <w:rPr>
                <w:color w:val="000000"/>
                <w:sz w:val="22"/>
                <w:szCs w:val="22"/>
              </w:rPr>
              <w:t>).</w:t>
            </w:r>
          </w:p>
          <w:p w14:paraId="08D5B1D9" w14:textId="77777777" w:rsidR="00C017C1" w:rsidRPr="00C73590" w:rsidRDefault="00C017C1" w:rsidP="00C017C1">
            <w:pPr>
              <w:pStyle w:val="NormalnyWeb"/>
              <w:tabs>
                <w:tab w:val="left" w:pos="3525"/>
              </w:tabs>
              <w:spacing w:before="0" w:beforeAutospacing="0" w:after="0" w:afterAutospacing="0"/>
              <w:jc w:val="both"/>
              <w:rPr>
                <w:sz w:val="22"/>
                <w:szCs w:val="22"/>
              </w:rPr>
            </w:pPr>
            <w:r>
              <w:rPr>
                <w:color w:val="000000"/>
                <w:sz w:val="22"/>
                <w:szCs w:val="22"/>
              </w:rPr>
              <w:t xml:space="preserve">Francja rozpoczęła pracę </w:t>
            </w:r>
            <w:r w:rsidRPr="00C73590">
              <w:rPr>
                <w:color w:val="000000"/>
                <w:sz w:val="22"/>
                <w:szCs w:val="22"/>
              </w:rPr>
              <w:t xml:space="preserve">nad </w:t>
            </w:r>
            <w:r w:rsidRPr="00C73590">
              <w:rPr>
                <w:sz w:val="22"/>
                <w:szCs w:val="22"/>
              </w:rPr>
              <w:t>transpozycją unijnej dyrektywy</w:t>
            </w:r>
            <w:r>
              <w:rPr>
                <w:sz w:val="22"/>
                <w:szCs w:val="22"/>
              </w:rPr>
              <w:t xml:space="preserve"> </w:t>
            </w:r>
            <w:r w:rsidRPr="00C73590">
              <w:rPr>
                <w:sz w:val="22"/>
                <w:szCs w:val="22"/>
              </w:rPr>
              <w:t>2019/1937</w:t>
            </w:r>
            <w:r w:rsidRPr="00C73590">
              <w:rPr>
                <w:color w:val="000000"/>
                <w:sz w:val="22"/>
                <w:szCs w:val="22"/>
              </w:rPr>
              <w:t>.</w:t>
            </w:r>
            <w:r w:rsidRPr="00C73590">
              <w:rPr>
                <w:sz w:val="22"/>
                <w:szCs w:val="22"/>
              </w:rPr>
              <w:t xml:space="preserve"> </w:t>
            </w:r>
            <w:r>
              <w:rPr>
                <w:sz w:val="22"/>
                <w:szCs w:val="22"/>
              </w:rPr>
              <w:t xml:space="preserve">Do konsultacji społecznych </w:t>
            </w:r>
            <w:r w:rsidRPr="00C73590">
              <w:rPr>
                <w:sz w:val="22"/>
                <w:szCs w:val="22"/>
              </w:rPr>
              <w:t>Ministerstwo Sprawiedliwości zaprosiło</w:t>
            </w:r>
            <w:r>
              <w:rPr>
                <w:sz w:val="22"/>
                <w:szCs w:val="22"/>
              </w:rPr>
              <w:t>,</w:t>
            </w:r>
            <w:r w:rsidRPr="00C73590">
              <w:rPr>
                <w:sz w:val="22"/>
                <w:szCs w:val="22"/>
              </w:rPr>
              <w:t xml:space="preserve"> w szczególności</w:t>
            </w:r>
            <w:r>
              <w:rPr>
                <w:sz w:val="22"/>
                <w:szCs w:val="22"/>
              </w:rPr>
              <w:t>,</w:t>
            </w:r>
            <w:r w:rsidRPr="00C73590">
              <w:rPr>
                <w:sz w:val="22"/>
                <w:szCs w:val="22"/>
              </w:rPr>
              <w:t xml:space="preserve"> członków lub przedstawicieli stowarzyszeń, organizacji pozarządowych, związków zawodowych i stowarzyszeń zawodowych</w:t>
            </w:r>
            <w:r>
              <w:rPr>
                <w:sz w:val="22"/>
                <w:szCs w:val="22"/>
              </w:rPr>
              <w:t xml:space="preserve">. </w:t>
            </w:r>
          </w:p>
          <w:p w14:paraId="091479D9" w14:textId="77777777" w:rsidR="00C017C1" w:rsidRPr="005D3CAD" w:rsidRDefault="00C017C1" w:rsidP="00C017C1">
            <w:pPr>
              <w:pStyle w:val="NormalnyWeb"/>
              <w:spacing w:before="0" w:beforeAutospacing="0" w:after="0" w:afterAutospacing="0"/>
              <w:jc w:val="both"/>
              <w:rPr>
                <w:color w:val="000000"/>
                <w:sz w:val="22"/>
                <w:szCs w:val="22"/>
              </w:rPr>
            </w:pPr>
          </w:p>
          <w:p w14:paraId="71932D28" w14:textId="77777777" w:rsidR="00C017C1" w:rsidRPr="005D3CAD" w:rsidRDefault="00C017C1" w:rsidP="00C017C1">
            <w:pPr>
              <w:spacing w:line="240" w:lineRule="auto"/>
              <w:jc w:val="both"/>
              <w:outlineLvl w:val="1"/>
              <w:rPr>
                <w:rFonts w:ascii="Times New Roman" w:hAnsi="Times New Roman"/>
                <w:b/>
              </w:rPr>
            </w:pPr>
            <w:r w:rsidRPr="005D3CAD">
              <w:rPr>
                <w:rFonts w:ascii="Times New Roman" w:hAnsi="Times New Roman"/>
                <w:b/>
              </w:rPr>
              <w:t>Słowenia</w:t>
            </w:r>
          </w:p>
          <w:p w14:paraId="363841A1" w14:textId="77777777" w:rsidR="00C017C1" w:rsidRDefault="00C017C1" w:rsidP="00C017C1">
            <w:pPr>
              <w:spacing w:line="240" w:lineRule="auto"/>
              <w:jc w:val="both"/>
              <w:rPr>
                <w:rFonts w:ascii="Times New Roman" w:hAnsi="Times New Roman"/>
              </w:rPr>
            </w:pPr>
            <w:r w:rsidRPr="005D3CAD">
              <w:rPr>
                <w:rFonts w:ascii="Times New Roman" w:hAnsi="Times New Roman"/>
              </w:rPr>
              <w:t xml:space="preserve">Nie ma jednego aktu prawnego, który reguluje wszystkie </w:t>
            </w:r>
            <w:r>
              <w:rPr>
                <w:rFonts w:ascii="Times New Roman" w:hAnsi="Times New Roman"/>
              </w:rPr>
              <w:t>kwestie</w:t>
            </w:r>
            <w:r w:rsidRPr="005D3CAD">
              <w:rPr>
                <w:rFonts w:ascii="Times New Roman" w:hAnsi="Times New Roman"/>
              </w:rPr>
              <w:t xml:space="preserve"> dotyczące ochrony sygnalistów. Istnieje natomiast </w:t>
            </w:r>
            <w:r>
              <w:rPr>
                <w:rFonts w:ascii="Times New Roman" w:hAnsi="Times New Roman"/>
              </w:rPr>
              <w:t xml:space="preserve">w tym zakresie </w:t>
            </w:r>
            <w:r w:rsidRPr="005D3CAD">
              <w:rPr>
                <w:rFonts w:ascii="Times New Roman" w:hAnsi="Times New Roman"/>
              </w:rPr>
              <w:t>szereg przepisów</w:t>
            </w:r>
            <w:r>
              <w:rPr>
                <w:rFonts w:ascii="Times New Roman" w:hAnsi="Times New Roman"/>
              </w:rPr>
              <w:t xml:space="preserve"> sektorowych</w:t>
            </w:r>
            <w:r w:rsidRPr="005D3CAD">
              <w:rPr>
                <w:rFonts w:ascii="Times New Roman" w:hAnsi="Times New Roman"/>
              </w:rPr>
              <w:t xml:space="preserve">: </w:t>
            </w:r>
            <w:r>
              <w:rPr>
                <w:rFonts w:ascii="Times New Roman" w:hAnsi="Times New Roman"/>
              </w:rPr>
              <w:t>ustawa antykorupcyjna</w:t>
            </w:r>
            <w:r w:rsidRPr="005D3CAD">
              <w:rPr>
                <w:rFonts w:ascii="Times New Roman" w:hAnsi="Times New Roman"/>
              </w:rPr>
              <w:t xml:space="preserve">, ustawa bankowa, ustawa ubezpieczeniowa, ustawa o rynku instrumentów finansowych, ustawa o funduszach inwestycyjnych i spółkach zarządzających, ustawa o zapobieganiu praniu pieniędzy i </w:t>
            </w:r>
            <w:r>
              <w:rPr>
                <w:rFonts w:ascii="Times New Roman" w:hAnsi="Times New Roman"/>
              </w:rPr>
              <w:t xml:space="preserve">finansowaniu </w:t>
            </w:r>
            <w:r w:rsidRPr="005D3CAD">
              <w:rPr>
                <w:rFonts w:ascii="Times New Roman" w:hAnsi="Times New Roman"/>
              </w:rPr>
              <w:t xml:space="preserve">terroryzmu. </w:t>
            </w:r>
            <w:r>
              <w:rPr>
                <w:rFonts w:ascii="Times New Roman" w:hAnsi="Times New Roman"/>
              </w:rPr>
              <w:t>Pewne</w:t>
            </w:r>
            <w:r w:rsidRPr="005D3CAD">
              <w:rPr>
                <w:rFonts w:ascii="Times New Roman" w:hAnsi="Times New Roman"/>
              </w:rPr>
              <w:t xml:space="preserve"> regulacj</w:t>
            </w:r>
            <w:r>
              <w:rPr>
                <w:rFonts w:ascii="Times New Roman" w:hAnsi="Times New Roman"/>
              </w:rPr>
              <w:t>e objęte są</w:t>
            </w:r>
            <w:r w:rsidRPr="005D3CAD">
              <w:rPr>
                <w:rFonts w:ascii="Times New Roman" w:hAnsi="Times New Roman"/>
              </w:rPr>
              <w:t xml:space="preserve"> praw</w:t>
            </w:r>
            <w:r>
              <w:rPr>
                <w:rFonts w:ascii="Times New Roman" w:hAnsi="Times New Roman"/>
              </w:rPr>
              <w:t>em</w:t>
            </w:r>
            <w:r w:rsidRPr="005D3CAD">
              <w:rPr>
                <w:rFonts w:ascii="Times New Roman" w:hAnsi="Times New Roman"/>
              </w:rPr>
              <w:t xml:space="preserve"> pracy (ustawa o stosunkach pracy, ustawa o urzędnikach państwowych).</w:t>
            </w:r>
            <w:r>
              <w:rPr>
                <w:rFonts w:ascii="Times New Roman" w:hAnsi="Times New Roman"/>
              </w:rPr>
              <w:t xml:space="preserve"> O</w:t>
            </w:r>
            <w:r w:rsidRPr="005D3CAD">
              <w:rPr>
                <w:rFonts w:ascii="Times New Roman" w:hAnsi="Times New Roman"/>
              </w:rPr>
              <w:t>chron</w:t>
            </w:r>
            <w:r>
              <w:rPr>
                <w:rFonts w:ascii="Times New Roman" w:hAnsi="Times New Roman"/>
              </w:rPr>
              <w:t>a</w:t>
            </w:r>
            <w:r w:rsidRPr="005D3CAD">
              <w:rPr>
                <w:rFonts w:ascii="Times New Roman" w:hAnsi="Times New Roman"/>
              </w:rPr>
              <w:t xml:space="preserve"> obejmuje os</w:t>
            </w:r>
            <w:r>
              <w:rPr>
                <w:rFonts w:ascii="Times New Roman" w:hAnsi="Times New Roman"/>
              </w:rPr>
              <w:t xml:space="preserve">oby </w:t>
            </w:r>
            <w:r w:rsidRPr="005D3CAD">
              <w:rPr>
                <w:rFonts w:ascii="Times New Roman" w:hAnsi="Times New Roman"/>
              </w:rPr>
              <w:t>zatrudnion</w:t>
            </w:r>
            <w:r>
              <w:rPr>
                <w:rFonts w:ascii="Times New Roman" w:hAnsi="Times New Roman"/>
              </w:rPr>
              <w:t>e</w:t>
            </w:r>
            <w:r w:rsidRPr="005D3CAD">
              <w:rPr>
                <w:rFonts w:ascii="Times New Roman" w:hAnsi="Times New Roman"/>
              </w:rPr>
              <w:t>, urzędników służby cywilnej</w:t>
            </w:r>
            <w:r>
              <w:rPr>
                <w:rFonts w:ascii="Times New Roman" w:hAnsi="Times New Roman"/>
              </w:rPr>
              <w:t xml:space="preserve"> i</w:t>
            </w:r>
            <w:r w:rsidRPr="005D3CAD">
              <w:rPr>
                <w:rFonts w:ascii="Times New Roman" w:hAnsi="Times New Roman"/>
              </w:rPr>
              <w:t xml:space="preserve"> pracowników sektora bankowego.</w:t>
            </w:r>
            <w:r>
              <w:rPr>
                <w:rFonts w:ascii="Times New Roman" w:hAnsi="Times New Roman"/>
              </w:rPr>
              <w:t xml:space="preserve"> W Słowenii działa </w:t>
            </w:r>
            <w:r w:rsidRPr="005D3CAD">
              <w:rPr>
                <w:rFonts w:ascii="Times New Roman" w:hAnsi="Times New Roman"/>
              </w:rPr>
              <w:t>Komisja ds. Zapobiegania Korupcji (CPC)</w:t>
            </w:r>
            <w:r>
              <w:rPr>
                <w:rFonts w:ascii="Times New Roman" w:hAnsi="Times New Roman"/>
              </w:rPr>
              <w:t>, która</w:t>
            </w:r>
            <w:r w:rsidRPr="005D3CAD">
              <w:rPr>
                <w:rFonts w:ascii="Times New Roman" w:hAnsi="Times New Roman"/>
              </w:rPr>
              <w:t xml:space="preserve"> jest niezależną agencją z szerokim mandatem w</w:t>
            </w:r>
            <w:r>
              <w:rPr>
                <w:rFonts w:ascii="Times New Roman" w:hAnsi="Times New Roman"/>
              </w:rPr>
              <w:t> </w:t>
            </w:r>
            <w:r w:rsidRPr="005D3CAD">
              <w:rPr>
                <w:rFonts w:ascii="Times New Roman" w:hAnsi="Times New Roman"/>
              </w:rPr>
              <w:t>dziedzinie zapobiegania korupcji, naruszeń etyki i uczciwości w sprawach publicznych.</w:t>
            </w:r>
            <w:r>
              <w:rPr>
                <w:rFonts w:ascii="Times New Roman" w:hAnsi="Times New Roman"/>
              </w:rPr>
              <w:t xml:space="preserve"> Do jej zadań należy m.in. wsparcie sygnalistów.</w:t>
            </w:r>
            <w:r w:rsidRPr="005D3CAD">
              <w:rPr>
                <w:rFonts w:ascii="Times New Roman" w:hAnsi="Times New Roman"/>
              </w:rPr>
              <w:t xml:space="preserve"> Podstawą działalności Komisj</w:t>
            </w:r>
            <w:r>
              <w:rPr>
                <w:rFonts w:ascii="Times New Roman" w:hAnsi="Times New Roman"/>
              </w:rPr>
              <w:t>i</w:t>
            </w:r>
            <w:r w:rsidRPr="005D3CAD">
              <w:rPr>
                <w:rFonts w:ascii="Times New Roman" w:hAnsi="Times New Roman"/>
              </w:rPr>
              <w:t xml:space="preserve"> ds. Zapobiegania Korupcji jest </w:t>
            </w:r>
            <w:r>
              <w:rPr>
                <w:rFonts w:ascii="Times New Roman" w:hAnsi="Times New Roman"/>
              </w:rPr>
              <w:t>u</w:t>
            </w:r>
            <w:r w:rsidRPr="005D3CAD">
              <w:rPr>
                <w:rFonts w:ascii="Times New Roman" w:hAnsi="Times New Roman"/>
              </w:rPr>
              <w:t>stawa o integralności etycznej i</w:t>
            </w:r>
            <w:r>
              <w:rPr>
                <w:rFonts w:ascii="Times New Roman" w:hAnsi="Times New Roman"/>
              </w:rPr>
              <w:t> </w:t>
            </w:r>
            <w:r w:rsidRPr="005D3CAD">
              <w:rPr>
                <w:rFonts w:ascii="Times New Roman" w:hAnsi="Times New Roman"/>
              </w:rPr>
              <w:t>zapobieganiu korupcji z 2010 roku (IPCA</w:t>
            </w:r>
            <w:r>
              <w:rPr>
                <w:rFonts w:ascii="Times New Roman" w:hAnsi="Times New Roman"/>
              </w:rPr>
              <w:t>, ustawa antykorupcyjna</w:t>
            </w:r>
            <w:r w:rsidRPr="005D3CAD">
              <w:rPr>
                <w:rFonts w:ascii="Times New Roman" w:hAnsi="Times New Roman"/>
              </w:rPr>
              <w:t>).</w:t>
            </w:r>
            <w:r>
              <w:rPr>
                <w:rFonts w:ascii="Times New Roman" w:hAnsi="Times New Roman"/>
              </w:rPr>
              <w:t xml:space="preserve"> Ostatnia nowelizacja ustawy </w:t>
            </w:r>
            <w:r w:rsidRPr="005D3CAD">
              <w:rPr>
                <w:rFonts w:ascii="Times New Roman" w:hAnsi="Times New Roman"/>
              </w:rPr>
              <w:t>o integralności etycznej i zapobieganiu korupcji</w:t>
            </w:r>
            <w:r>
              <w:rPr>
                <w:rFonts w:ascii="Times New Roman" w:hAnsi="Times New Roman"/>
              </w:rPr>
              <w:t xml:space="preserve"> przyjęta w 2020 r. nie w pełni implementowała dyrektywę</w:t>
            </w:r>
            <w:r w:rsidRPr="000A4C75">
              <w:rPr>
                <w:rFonts w:ascii="Times New Roman" w:hAnsi="Times New Roman"/>
              </w:rPr>
              <w:t xml:space="preserve"> 2019/1937</w:t>
            </w:r>
            <w:r>
              <w:rPr>
                <w:rFonts w:ascii="Times New Roman" w:hAnsi="Times New Roman"/>
              </w:rPr>
              <w:t xml:space="preserve">, dlatego </w:t>
            </w:r>
            <w:r w:rsidR="008314F7">
              <w:rPr>
                <w:rFonts w:ascii="Times New Roman" w:hAnsi="Times New Roman"/>
              </w:rPr>
              <w:t xml:space="preserve">były </w:t>
            </w:r>
            <w:r>
              <w:rPr>
                <w:rFonts w:ascii="Times New Roman" w:hAnsi="Times New Roman"/>
              </w:rPr>
              <w:t>prowadzone dalsze prace w tym zakresie.</w:t>
            </w:r>
          </w:p>
          <w:p w14:paraId="273A9F1F" w14:textId="77777777" w:rsidR="00C017C1" w:rsidRPr="005D3CAD" w:rsidRDefault="00C017C1" w:rsidP="00C017C1">
            <w:pPr>
              <w:spacing w:line="240" w:lineRule="auto"/>
              <w:jc w:val="both"/>
              <w:rPr>
                <w:rFonts w:ascii="Times New Roman" w:hAnsi="Times New Roman"/>
              </w:rPr>
            </w:pPr>
          </w:p>
          <w:p w14:paraId="0EF735BE" w14:textId="77777777" w:rsidR="00C017C1" w:rsidRDefault="00C017C1" w:rsidP="00C017C1">
            <w:pPr>
              <w:pStyle w:val="NormalnyWeb"/>
              <w:spacing w:before="0" w:beforeAutospacing="0" w:after="0" w:afterAutospacing="0"/>
              <w:jc w:val="both"/>
              <w:rPr>
                <w:rStyle w:val="Pogrubienie"/>
                <w:sz w:val="22"/>
                <w:szCs w:val="22"/>
              </w:rPr>
            </w:pPr>
            <w:r w:rsidRPr="005D3CAD">
              <w:rPr>
                <w:rStyle w:val="Pogrubienie"/>
                <w:sz w:val="22"/>
                <w:szCs w:val="22"/>
              </w:rPr>
              <w:t>Słowacja</w:t>
            </w:r>
          </w:p>
          <w:p w14:paraId="3CD56675" w14:textId="77777777" w:rsidR="00C017C1" w:rsidRPr="007F0CA4" w:rsidRDefault="00C017C1" w:rsidP="00C017C1">
            <w:pPr>
              <w:pStyle w:val="HTML-wstpniesformatowany"/>
              <w:jc w:val="both"/>
              <w:rPr>
                <w:rFonts w:ascii="Times New Roman" w:hAnsi="Times New Roman" w:cs="Times New Roman"/>
                <w:sz w:val="22"/>
                <w:szCs w:val="22"/>
              </w:rPr>
            </w:pPr>
            <w:r w:rsidRPr="007F0CA4">
              <w:rPr>
                <w:rStyle w:val="Pogrubienie"/>
                <w:rFonts w:ascii="Times New Roman" w:hAnsi="Times New Roman" w:cs="Times New Roman"/>
                <w:b w:val="0"/>
                <w:sz w:val="22"/>
                <w:szCs w:val="22"/>
              </w:rPr>
              <w:t>Na Słowacji obowiązuje ustawa o sygnalizowaniu nieprawidłowości przyjęta 1 marca 2019 r</w:t>
            </w:r>
            <w:r>
              <w:rPr>
                <w:rStyle w:val="Pogrubienie"/>
                <w:rFonts w:ascii="Times New Roman" w:hAnsi="Times New Roman" w:cs="Times New Roman"/>
                <w:b w:val="0"/>
                <w:sz w:val="22"/>
                <w:szCs w:val="22"/>
              </w:rPr>
              <w:t>.</w:t>
            </w:r>
            <w:r w:rsidRPr="007F0CA4">
              <w:rPr>
                <w:rStyle w:val="Pogrubienie"/>
                <w:rFonts w:ascii="Times New Roman" w:hAnsi="Times New Roman" w:cs="Times New Roman"/>
                <w:b w:val="0"/>
                <w:sz w:val="22"/>
                <w:szCs w:val="22"/>
              </w:rPr>
              <w:t xml:space="preserve">, która zastąpiła obowiązującą od 2015 r. ustawę o </w:t>
            </w:r>
            <w:r w:rsidRPr="007F0CA4">
              <w:rPr>
                <w:rFonts w:ascii="Times New Roman" w:hAnsi="Times New Roman" w:cs="Times New Roman"/>
                <w:sz w:val="22"/>
                <w:szCs w:val="22"/>
              </w:rPr>
              <w:t>niektórych środkach związanych ze zgłaszaniem działań antyspołecznych.</w:t>
            </w:r>
            <w:r w:rsidRPr="007F0CA4">
              <w:rPr>
                <w:rStyle w:val="Pogrubienie"/>
                <w:rFonts w:ascii="Times New Roman" w:hAnsi="Times New Roman" w:cs="Times New Roman"/>
                <w:b w:val="0"/>
                <w:sz w:val="22"/>
                <w:szCs w:val="22"/>
              </w:rPr>
              <w:t xml:space="preserve"> Ustawa z</w:t>
            </w:r>
            <w:r>
              <w:rPr>
                <w:rStyle w:val="Pogrubienie"/>
                <w:rFonts w:ascii="Times New Roman" w:hAnsi="Times New Roman" w:cs="Times New Roman"/>
                <w:b w:val="0"/>
                <w:sz w:val="22"/>
                <w:szCs w:val="22"/>
              </w:rPr>
              <w:t> </w:t>
            </w:r>
            <w:r w:rsidRPr="007F0CA4">
              <w:rPr>
                <w:rFonts w:ascii="Times New Roman" w:hAnsi="Times New Roman" w:cs="Times New Roman"/>
                <w:sz w:val="22"/>
                <w:szCs w:val="22"/>
              </w:rPr>
              <w:t>2019 r. reguluje warunki udzielania ochrony osobom pozostającym w stosunku pracy, które zgłaszają działalność przestępczą lub antyspołeczną oraz określa ich prawa i obowiązki. Na podstawie ustawy powołany został Urz</w:t>
            </w:r>
            <w:r>
              <w:rPr>
                <w:rFonts w:ascii="Times New Roman" w:hAnsi="Times New Roman" w:cs="Times New Roman"/>
                <w:sz w:val="22"/>
                <w:szCs w:val="22"/>
              </w:rPr>
              <w:t>ąd</w:t>
            </w:r>
            <w:r w:rsidRPr="007F0CA4">
              <w:rPr>
                <w:rFonts w:ascii="Times New Roman" w:hAnsi="Times New Roman" w:cs="Times New Roman"/>
                <w:sz w:val="22"/>
                <w:szCs w:val="22"/>
              </w:rPr>
              <w:t xml:space="preserve"> Ochrony Sygnalistów. Nowa ustawa rozszerzyła zakres poważnych działań antyspołecznych podlegających zgłoszeniu, zwiększyła ochronę sygnalistów i wprowadziła </w:t>
            </w:r>
            <w:r w:rsidRPr="007F0CA4">
              <w:rPr>
                <w:rFonts w:ascii="Times New Roman" w:hAnsi="Times New Roman"/>
                <w:sz w:val="22"/>
                <w:szCs w:val="22"/>
              </w:rPr>
              <w:t>now</w:t>
            </w:r>
            <w:r>
              <w:rPr>
                <w:rFonts w:ascii="Times New Roman" w:hAnsi="Times New Roman"/>
                <w:sz w:val="22"/>
                <w:szCs w:val="22"/>
              </w:rPr>
              <w:t>e</w:t>
            </w:r>
            <w:r w:rsidRPr="007F0CA4">
              <w:rPr>
                <w:rFonts w:ascii="Times New Roman" w:hAnsi="Times New Roman"/>
                <w:sz w:val="22"/>
                <w:szCs w:val="22"/>
              </w:rPr>
              <w:t xml:space="preserve"> wykrocze</w:t>
            </w:r>
            <w:r>
              <w:rPr>
                <w:rFonts w:ascii="Times New Roman" w:hAnsi="Times New Roman"/>
                <w:sz w:val="22"/>
                <w:szCs w:val="22"/>
              </w:rPr>
              <w:t>nia</w:t>
            </w:r>
            <w:r w:rsidRPr="007F0CA4">
              <w:rPr>
                <w:rFonts w:ascii="Times New Roman" w:hAnsi="Times New Roman"/>
                <w:sz w:val="22"/>
                <w:szCs w:val="22"/>
              </w:rPr>
              <w:t xml:space="preserve"> administracyjn</w:t>
            </w:r>
            <w:r>
              <w:rPr>
                <w:rFonts w:ascii="Times New Roman" w:hAnsi="Times New Roman"/>
                <w:sz w:val="22"/>
                <w:szCs w:val="22"/>
              </w:rPr>
              <w:t>e</w:t>
            </w:r>
            <w:r w:rsidRPr="007F0CA4">
              <w:rPr>
                <w:rFonts w:ascii="Times New Roman" w:hAnsi="Times New Roman"/>
                <w:sz w:val="22"/>
                <w:szCs w:val="22"/>
              </w:rPr>
              <w:t xml:space="preserve"> (w postaci naruszenia niektórych obowiązków wynikających z ustawy o sygnalizowaniu nieprawidłowości)</w:t>
            </w:r>
            <w:r>
              <w:rPr>
                <w:rFonts w:ascii="Times New Roman" w:hAnsi="Times New Roman"/>
                <w:sz w:val="22"/>
                <w:szCs w:val="22"/>
              </w:rPr>
              <w:t>.</w:t>
            </w:r>
          </w:p>
          <w:p w14:paraId="61C86554" w14:textId="77777777" w:rsidR="00C017C1" w:rsidRPr="005D3CAD" w:rsidRDefault="00C017C1" w:rsidP="00C017C1">
            <w:pPr>
              <w:pStyle w:val="NormalnyWeb"/>
              <w:spacing w:before="0" w:beforeAutospacing="0" w:after="0" w:afterAutospacing="0"/>
              <w:jc w:val="both"/>
              <w:rPr>
                <w:sz w:val="22"/>
                <w:szCs w:val="22"/>
              </w:rPr>
            </w:pPr>
          </w:p>
          <w:p w14:paraId="5FE424A6" w14:textId="77777777" w:rsidR="00C017C1" w:rsidRDefault="00C017C1" w:rsidP="00C017C1">
            <w:pPr>
              <w:spacing w:line="240" w:lineRule="auto"/>
              <w:jc w:val="both"/>
              <w:rPr>
                <w:rFonts w:ascii="Times New Roman" w:eastAsia="Times New Roman" w:hAnsi="Times New Roman"/>
                <w:b/>
                <w:lang w:eastAsia="pl-PL"/>
              </w:rPr>
            </w:pPr>
            <w:r w:rsidRPr="005D3CAD">
              <w:rPr>
                <w:rFonts w:ascii="Times New Roman" w:eastAsia="Times New Roman" w:hAnsi="Times New Roman"/>
                <w:b/>
                <w:lang w:eastAsia="pl-PL"/>
              </w:rPr>
              <w:t>Litwa</w:t>
            </w:r>
          </w:p>
          <w:p w14:paraId="4E5EEC0A" w14:textId="77777777" w:rsidR="00C017C1" w:rsidRPr="005D3CAD" w:rsidRDefault="00C017C1" w:rsidP="00C017C1">
            <w:pPr>
              <w:spacing w:line="240" w:lineRule="auto"/>
              <w:jc w:val="both"/>
              <w:rPr>
                <w:rFonts w:ascii="Times New Roman" w:eastAsia="Times New Roman" w:hAnsi="Times New Roman"/>
                <w:lang w:eastAsia="pl-PL"/>
              </w:rPr>
            </w:pPr>
            <w:r>
              <w:rPr>
                <w:rFonts w:ascii="Times New Roman" w:eastAsia="Times New Roman" w:hAnsi="Times New Roman"/>
                <w:lang w:eastAsia="pl-PL"/>
              </w:rPr>
              <w:t xml:space="preserve">Na Litwie od 1 stycznia 2019 r. obowiązuje </w:t>
            </w:r>
            <w:r w:rsidRPr="005D3CAD">
              <w:rPr>
                <w:rFonts w:ascii="Times New Roman" w:eastAsia="Times New Roman" w:hAnsi="Times New Roman"/>
                <w:lang w:eastAsia="pl-PL"/>
              </w:rPr>
              <w:t>ustaw</w:t>
            </w:r>
            <w:r>
              <w:rPr>
                <w:rFonts w:ascii="Times New Roman" w:eastAsia="Times New Roman" w:hAnsi="Times New Roman"/>
                <w:lang w:eastAsia="pl-PL"/>
              </w:rPr>
              <w:t>a</w:t>
            </w:r>
            <w:r w:rsidRPr="005D3CAD">
              <w:rPr>
                <w:rFonts w:ascii="Times New Roman" w:eastAsia="Times New Roman" w:hAnsi="Times New Roman"/>
                <w:lang w:eastAsia="pl-PL"/>
              </w:rPr>
              <w:t xml:space="preserve"> o ochronie sygnalistó</w:t>
            </w:r>
            <w:r>
              <w:rPr>
                <w:rFonts w:ascii="Times New Roman" w:eastAsia="Times New Roman" w:hAnsi="Times New Roman"/>
                <w:lang w:eastAsia="pl-PL"/>
              </w:rPr>
              <w:t>w Republiki Litewskiej (dalej „</w:t>
            </w:r>
            <w:r w:rsidRPr="005D3CAD">
              <w:rPr>
                <w:rFonts w:ascii="Times New Roman" w:eastAsia="Times New Roman" w:hAnsi="Times New Roman"/>
                <w:lang w:eastAsia="pl-PL"/>
              </w:rPr>
              <w:t>ustawa o ochronie syg</w:t>
            </w:r>
            <w:r>
              <w:rPr>
                <w:rFonts w:ascii="Times New Roman" w:eastAsia="Times New Roman" w:hAnsi="Times New Roman"/>
                <w:lang w:eastAsia="pl-PL"/>
              </w:rPr>
              <w:t xml:space="preserve">nalistów”), która nie jest w pełni kompatybilna z wymogami dyrektywy </w:t>
            </w:r>
            <w:r w:rsidRPr="00C73590">
              <w:rPr>
                <w:rFonts w:ascii="Times New Roman" w:hAnsi="Times New Roman"/>
              </w:rPr>
              <w:t>2019/1937</w:t>
            </w:r>
            <w:r>
              <w:rPr>
                <w:rFonts w:ascii="Times New Roman" w:eastAsia="Times New Roman" w:hAnsi="Times New Roman"/>
                <w:lang w:eastAsia="pl-PL"/>
              </w:rPr>
              <w:t xml:space="preserve">. Dlatego też </w:t>
            </w:r>
            <w:r w:rsidRPr="005D3CAD">
              <w:rPr>
                <w:rFonts w:ascii="Times New Roman" w:eastAsia="Times New Roman" w:hAnsi="Times New Roman"/>
                <w:lang w:eastAsia="pl-PL"/>
              </w:rPr>
              <w:t>Ministerstwo Sprawiedliwości Republiki Litewskiej pr</w:t>
            </w:r>
            <w:r>
              <w:rPr>
                <w:rFonts w:ascii="Times New Roman" w:eastAsia="Times New Roman" w:hAnsi="Times New Roman"/>
                <w:lang w:eastAsia="pl-PL"/>
              </w:rPr>
              <w:t>zygotowało nowelizacj</w:t>
            </w:r>
            <w:r w:rsidR="008314F7">
              <w:rPr>
                <w:rFonts w:ascii="Times New Roman" w:eastAsia="Times New Roman" w:hAnsi="Times New Roman"/>
                <w:lang w:eastAsia="pl-PL"/>
              </w:rPr>
              <w:t>ę</w:t>
            </w:r>
            <w:r>
              <w:rPr>
                <w:rFonts w:ascii="Times New Roman" w:eastAsia="Times New Roman" w:hAnsi="Times New Roman"/>
                <w:lang w:eastAsia="pl-PL"/>
              </w:rPr>
              <w:t xml:space="preserve"> ustawy o ochronie sygnalistów</w:t>
            </w:r>
            <w:r w:rsidRPr="005D3CAD">
              <w:rPr>
                <w:rFonts w:ascii="Times New Roman" w:eastAsia="Times New Roman" w:hAnsi="Times New Roman"/>
                <w:lang w:eastAsia="pl-PL"/>
              </w:rPr>
              <w:t xml:space="preserve">, który </w:t>
            </w:r>
            <w:r>
              <w:rPr>
                <w:rFonts w:ascii="Times New Roman" w:eastAsia="Times New Roman" w:hAnsi="Times New Roman"/>
                <w:lang w:eastAsia="pl-PL"/>
              </w:rPr>
              <w:t>implement</w:t>
            </w:r>
            <w:r w:rsidR="008314F7">
              <w:rPr>
                <w:rFonts w:ascii="Times New Roman" w:eastAsia="Times New Roman" w:hAnsi="Times New Roman"/>
                <w:lang w:eastAsia="pl-PL"/>
              </w:rPr>
              <w:t>uje</w:t>
            </w:r>
            <w:r>
              <w:rPr>
                <w:rFonts w:ascii="Times New Roman" w:eastAsia="Times New Roman" w:hAnsi="Times New Roman"/>
                <w:lang w:eastAsia="pl-PL"/>
              </w:rPr>
              <w:t xml:space="preserve"> postanowienia</w:t>
            </w:r>
            <w:r w:rsidRPr="005D3CAD">
              <w:rPr>
                <w:rFonts w:ascii="Times New Roman" w:eastAsia="Times New Roman" w:hAnsi="Times New Roman"/>
                <w:lang w:eastAsia="pl-PL"/>
              </w:rPr>
              <w:t xml:space="preserve"> dyrektywy 2019/1937. </w:t>
            </w:r>
          </w:p>
          <w:p w14:paraId="2A921F84" w14:textId="77777777" w:rsidR="00C017C1" w:rsidRPr="005D3CAD" w:rsidRDefault="00C017C1" w:rsidP="00C017C1">
            <w:pPr>
              <w:spacing w:line="240" w:lineRule="auto"/>
              <w:jc w:val="both"/>
              <w:rPr>
                <w:rFonts w:ascii="Times New Roman" w:eastAsia="Times New Roman" w:hAnsi="Times New Roman"/>
                <w:b/>
                <w:lang w:eastAsia="pl-PL"/>
              </w:rPr>
            </w:pPr>
            <w:r w:rsidRPr="005D3CAD">
              <w:rPr>
                <w:rFonts w:ascii="Times New Roman" w:eastAsia="Times New Roman" w:hAnsi="Times New Roman"/>
                <w:lang w:eastAsia="pl-PL"/>
              </w:rPr>
              <w:t>Ustawa o ochronie sygnalistów określa prawa i obowiązki osób zgłaszających naruszenia w instytucjach, podstawy i</w:t>
            </w:r>
            <w:r>
              <w:rPr>
                <w:rFonts w:ascii="Times New Roman" w:eastAsia="Times New Roman" w:hAnsi="Times New Roman"/>
                <w:lang w:eastAsia="pl-PL"/>
              </w:rPr>
              <w:t> </w:t>
            </w:r>
            <w:r w:rsidRPr="005D3CAD">
              <w:rPr>
                <w:rFonts w:ascii="Times New Roman" w:eastAsia="Times New Roman" w:hAnsi="Times New Roman"/>
                <w:lang w:eastAsia="pl-PL"/>
              </w:rPr>
              <w:t>formy ich ochrony prawnej, a także środki ochrony, zachęt</w:t>
            </w:r>
            <w:r>
              <w:rPr>
                <w:rFonts w:ascii="Times New Roman" w:eastAsia="Times New Roman" w:hAnsi="Times New Roman"/>
                <w:lang w:eastAsia="pl-PL"/>
              </w:rPr>
              <w:t>y i pomoc</w:t>
            </w:r>
            <w:r w:rsidRPr="005D3CAD">
              <w:rPr>
                <w:rFonts w:ascii="Times New Roman" w:eastAsia="Times New Roman" w:hAnsi="Times New Roman"/>
                <w:lang w:eastAsia="pl-PL"/>
              </w:rPr>
              <w:t xml:space="preserve"> tym </w:t>
            </w:r>
            <w:r>
              <w:rPr>
                <w:rFonts w:ascii="Times New Roman" w:eastAsia="Times New Roman" w:hAnsi="Times New Roman"/>
                <w:lang w:eastAsia="pl-PL"/>
              </w:rPr>
              <w:t xml:space="preserve">osobom w celu tworzenia dogodnych warunków </w:t>
            </w:r>
            <w:r w:rsidRPr="005D3CAD">
              <w:rPr>
                <w:rFonts w:ascii="Times New Roman" w:eastAsia="Times New Roman" w:hAnsi="Times New Roman"/>
                <w:lang w:eastAsia="pl-PL"/>
              </w:rPr>
              <w:t>do zgłaszania naruszeń prawa zagrażających interesowi publicznemu lub naruszających je</w:t>
            </w:r>
            <w:r>
              <w:rPr>
                <w:rFonts w:ascii="Times New Roman" w:eastAsia="Times New Roman" w:hAnsi="Times New Roman"/>
                <w:lang w:eastAsia="pl-PL"/>
              </w:rPr>
              <w:t>,</w:t>
            </w:r>
            <w:r w:rsidRPr="005D3CAD">
              <w:rPr>
                <w:rFonts w:ascii="Times New Roman" w:eastAsia="Times New Roman" w:hAnsi="Times New Roman"/>
                <w:lang w:eastAsia="pl-PL"/>
              </w:rPr>
              <w:t xml:space="preserve"> zapobiegania takim naruszeni</w:t>
            </w:r>
            <w:r>
              <w:rPr>
                <w:rFonts w:ascii="Times New Roman" w:eastAsia="Times New Roman" w:hAnsi="Times New Roman"/>
                <w:lang w:eastAsia="pl-PL"/>
              </w:rPr>
              <w:t>om i ich wykrywania.</w:t>
            </w:r>
          </w:p>
          <w:p w14:paraId="42CFC34D" w14:textId="77777777" w:rsidR="00C017C1" w:rsidRPr="005D3CAD" w:rsidRDefault="00C017C1" w:rsidP="00C017C1">
            <w:pPr>
              <w:spacing w:line="240" w:lineRule="auto"/>
              <w:jc w:val="both"/>
              <w:rPr>
                <w:rFonts w:ascii="Times New Roman" w:eastAsia="Times New Roman" w:hAnsi="Times New Roman"/>
                <w:lang w:eastAsia="pl-PL"/>
              </w:rPr>
            </w:pPr>
          </w:p>
          <w:p w14:paraId="37842B3A" w14:textId="77777777" w:rsidR="00C017C1" w:rsidRDefault="00C017C1" w:rsidP="00C017C1">
            <w:pPr>
              <w:spacing w:line="240" w:lineRule="auto"/>
              <w:jc w:val="both"/>
              <w:rPr>
                <w:rFonts w:ascii="Times New Roman" w:eastAsia="Times New Roman" w:hAnsi="Times New Roman"/>
                <w:b/>
                <w:lang w:eastAsia="pl-PL"/>
              </w:rPr>
            </w:pPr>
            <w:r w:rsidRPr="005D3CAD">
              <w:rPr>
                <w:rFonts w:ascii="Times New Roman" w:eastAsia="Times New Roman" w:hAnsi="Times New Roman"/>
                <w:b/>
                <w:lang w:eastAsia="pl-PL"/>
              </w:rPr>
              <w:t>Szwecja</w:t>
            </w:r>
          </w:p>
          <w:p w14:paraId="647B2A22" w14:textId="77777777" w:rsidR="00C017C1" w:rsidRDefault="00C017C1" w:rsidP="00C017C1">
            <w:pPr>
              <w:spacing w:line="240" w:lineRule="auto"/>
              <w:jc w:val="both"/>
              <w:rPr>
                <w:rFonts w:ascii="Times New Roman" w:eastAsia="Times New Roman" w:hAnsi="Times New Roman"/>
                <w:lang w:eastAsia="pl-PL"/>
              </w:rPr>
            </w:pPr>
            <w:r w:rsidRPr="00D94322">
              <w:rPr>
                <w:rFonts w:ascii="Times New Roman" w:eastAsia="Times New Roman" w:hAnsi="Times New Roman"/>
                <w:lang w:eastAsia="pl-PL"/>
              </w:rPr>
              <w:t>W Szwecji kwestie związane z raportowaniem naruszeń prawa oraz ochrony sygnalistów zostały uregulowane w</w:t>
            </w:r>
            <w:r>
              <w:rPr>
                <w:rFonts w:ascii="Times New Roman" w:eastAsia="Times New Roman" w:hAnsi="Times New Roman"/>
                <w:lang w:eastAsia="pl-PL"/>
              </w:rPr>
              <w:t> </w:t>
            </w:r>
            <w:r w:rsidRPr="00D94322">
              <w:rPr>
                <w:rFonts w:ascii="Times New Roman" w:eastAsia="Times New Roman" w:hAnsi="Times New Roman"/>
                <w:lang w:eastAsia="pl-PL"/>
              </w:rPr>
              <w:t xml:space="preserve">obowiązującej od 2017 r. ustawie o szczególnej ochronie pracowników przed odwetem za informowanie o poważnych </w:t>
            </w:r>
            <w:r w:rsidRPr="007E7527">
              <w:rPr>
                <w:rFonts w:ascii="Times New Roman" w:eastAsia="Times New Roman" w:hAnsi="Times New Roman"/>
                <w:lang w:eastAsia="pl-PL"/>
              </w:rPr>
              <w:t>nieprawidłowościach (Act on special protection for workers against reprisals for whistleblowing concerning serious irregularities).</w:t>
            </w:r>
            <w:r w:rsidRPr="00D94322">
              <w:rPr>
                <w:rFonts w:ascii="Times New Roman" w:eastAsia="Times New Roman" w:hAnsi="Times New Roman"/>
                <w:lang w:eastAsia="pl-PL"/>
              </w:rPr>
              <w:t xml:space="preserve"> Ze względu na to, iż ustawa ta nie obejmuje swym zakresem</w:t>
            </w:r>
            <w:r>
              <w:rPr>
                <w:rFonts w:ascii="Times New Roman" w:eastAsia="Times New Roman" w:hAnsi="Times New Roman"/>
                <w:lang w:eastAsia="pl-PL"/>
              </w:rPr>
              <w:t xml:space="preserve"> w</w:t>
            </w:r>
            <w:r w:rsidRPr="00D94322">
              <w:rPr>
                <w:rFonts w:ascii="Times New Roman" w:eastAsia="Times New Roman" w:hAnsi="Times New Roman"/>
                <w:lang w:eastAsia="pl-PL"/>
              </w:rPr>
              <w:t xml:space="preserve"> pełn</w:t>
            </w:r>
            <w:r>
              <w:rPr>
                <w:rFonts w:ascii="Times New Roman" w:eastAsia="Times New Roman" w:hAnsi="Times New Roman"/>
                <w:lang w:eastAsia="pl-PL"/>
              </w:rPr>
              <w:t>i</w:t>
            </w:r>
            <w:r w:rsidRPr="00D94322">
              <w:rPr>
                <w:rFonts w:ascii="Times New Roman" w:eastAsia="Times New Roman" w:hAnsi="Times New Roman"/>
                <w:lang w:eastAsia="pl-PL"/>
              </w:rPr>
              <w:t xml:space="preserve"> </w:t>
            </w:r>
            <w:r>
              <w:rPr>
                <w:rFonts w:ascii="Times New Roman" w:eastAsia="Times New Roman" w:hAnsi="Times New Roman"/>
                <w:lang w:eastAsia="pl-PL"/>
              </w:rPr>
              <w:t>postanowień</w:t>
            </w:r>
            <w:r w:rsidRPr="00D94322">
              <w:rPr>
                <w:rFonts w:ascii="Times New Roman" w:eastAsia="Times New Roman" w:hAnsi="Times New Roman"/>
                <w:lang w:eastAsia="pl-PL"/>
              </w:rPr>
              <w:t xml:space="preserve"> </w:t>
            </w:r>
            <w:r>
              <w:rPr>
                <w:rFonts w:ascii="Times New Roman" w:eastAsia="Times New Roman" w:hAnsi="Times New Roman"/>
                <w:lang w:eastAsia="pl-PL"/>
              </w:rPr>
              <w:t>d</w:t>
            </w:r>
            <w:r w:rsidRPr="00D94322">
              <w:rPr>
                <w:rFonts w:ascii="Times New Roman" w:eastAsia="Times New Roman" w:hAnsi="Times New Roman"/>
                <w:lang w:eastAsia="pl-PL"/>
              </w:rPr>
              <w:t xml:space="preserve">yrektywy </w:t>
            </w:r>
            <w:r w:rsidRPr="00C73590">
              <w:rPr>
                <w:rFonts w:ascii="Times New Roman" w:hAnsi="Times New Roman"/>
              </w:rPr>
              <w:t>2019/1937</w:t>
            </w:r>
            <w:r>
              <w:rPr>
                <w:rFonts w:ascii="Times New Roman" w:eastAsia="Times New Roman" w:hAnsi="Times New Roman"/>
                <w:lang w:eastAsia="pl-PL"/>
              </w:rPr>
              <w:t>, rząd s</w:t>
            </w:r>
            <w:r w:rsidRPr="00D94322">
              <w:rPr>
                <w:rFonts w:ascii="Times New Roman" w:eastAsia="Times New Roman" w:hAnsi="Times New Roman"/>
                <w:lang w:eastAsia="pl-PL"/>
              </w:rPr>
              <w:t>zwedzki zlecił sporządzenie odpowiedniego raportu celem dokonania pełnej implementacji. Prace zespołu, które trwały od 29 maja 2019 r. do 29 czerwca 2020 r.</w:t>
            </w:r>
            <w:r>
              <w:rPr>
                <w:rFonts w:ascii="Times New Roman" w:eastAsia="Times New Roman" w:hAnsi="Times New Roman"/>
                <w:lang w:eastAsia="pl-PL"/>
              </w:rPr>
              <w:t>,</w:t>
            </w:r>
            <w:r w:rsidRPr="00D94322">
              <w:rPr>
                <w:rFonts w:ascii="Times New Roman" w:eastAsia="Times New Roman" w:hAnsi="Times New Roman"/>
                <w:lang w:eastAsia="pl-PL"/>
              </w:rPr>
              <w:t xml:space="preserve"> dostarczyły 802-stronicowy raport zawierający pro</w:t>
            </w:r>
            <w:r>
              <w:rPr>
                <w:rFonts w:ascii="Times New Roman" w:eastAsia="Times New Roman" w:hAnsi="Times New Roman"/>
                <w:lang w:eastAsia="pl-PL"/>
              </w:rPr>
              <w:t xml:space="preserve">pozycje nowych regulacji w zakresie </w:t>
            </w:r>
            <w:r w:rsidRPr="00D94322">
              <w:rPr>
                <w:rFonts w:ascii="Times New Roman" w:eastAsia="Times New Roman" w:hAnsi="Times New Roman"/>
                <w:lang w:eastAsia="pl-PL"/>
              </w:rPr>
              <w:t>zgłaszan</w:t>
            </w:r>
            <w:r>
              <w:rPr>
                <w:rFonts w:ascii="Times New Roman" w:eastAsia="Times New Roman" w:hAnsi="Times New Roman"/>
                <w:lang w:eastAsia="pl-PL"/>
              </w:rPr>
              <w:t>ia</w:t>
            </w:r>
            <w:r w:rsidRPr="00D94322">
              <w:rPr>
                <w:rFonts w:ascii="Times New Roman" w:eastAsia="Times New Roman" w:hAnsi="Times New Roman"/>
                <w:lang w:eastAsia="pl-PL"/>
              </w:rPr>
              <w:t xml:space="preserve"> narus</w:t>
            </w:r>
            <w:r>
              <w:rPr>
                <w:rFonts w:ascii="Times New Roman" w:eastAsia="Times New Roman" w:hAnsi="Times New Roman"/>
                <w:lang w:eastAsia="pl-PL"/>
              </w:rPr>
              <w:t xml:space="preserve">zeń oraz ochrony sygnalistów. </w:t>
            </w:r>
            <w:r w:rsidRPr="00D94322">
              <w:rPr>
                <w:rFonts w:ascii="Times New Roman" w:eastAsia="Times New Roman" w:hAnsi="Times New Roman"/>
                <w:lang w:eastAsia="pl-PL"/>
              </w:rPr>
              <w:t>Obecnie zakończyły się konsultacje społeczne w</w:t>
            </w:r>
            <w:r>
              <w:rPr>
                <w:rFonts w:ascii="Times New Roman" w:eastAsia="Times New Roman" w:hAnsi="Times New Roman"/>
                <w:lang w:eastAsia="pl-PL"/>
              </w:rPr>
              <w:t> </w:t>
            </w:r>
            <w:r w:rsidRPr="00D94322">
              <w:rPr>
                <w:rFonts w:ascii="Times New Roman" w:eastAsia="Times New Roman" w:hAnsi="Times New Roman"/>
                <w:lang w:eastAsia="pl-PL"/>
              </w:rPr>
              <w:t xml:space="preserve">sprawie szwedzkiego projektu ustawy wdrażającej dyrektywę </w:t>
            </w:r>
            <w:r w:rsidRPr="00C73590">
              <w:rPr>
                <w:rFonts w:ascii="Times New Roman" w:hAnsi="Times New Roman"/>
              </w:rPr>
              <w:t>2019/1937</w:t>
            </w:r>
            <w:r w:rsidRPr="00D94322">
              <w:rPr>
                <w:rFonts w:ascii="Times New Roman" w:eastAsia="Times New Roman" w:hAnsi="Times New Roman"/>
                <w:lang w:eastAsia="pl-PL"/>
              </w:rPr>
              <w:t xml:space="preserve">. Ministerstwo Pracy opublikowało odpowiedzi od wielu zainteresowanych stron, które wzięły udział w konsultacjach. </w:t>
            </w:r>
            <w:r>
              <w:rPr>
                <w:rFonts w:ascii="Times New Roman" w:eastAsia="Times New Roman" w:hAnsi="Times New Roman"/>
                <w:lang w:eastAsia="pl-PL"/>
              </w:rPr>
              <w:t xml:space="preserve">Zakres przedmiotowy projektowanej ustawy będzie szerszy niż zakres przedmiotowy dyrektywy </w:t>
            </w:r>
            <w:r w:rsidRPr="00C73590">
              <w:rPr>
                <w:rFonts w:ascii="Times New Roman" w:hAnsi="Times New Roman"/>
              </w:rPr>
              <w:t>2019/1937</w:t>
            </w:r>
            <w:r>
              <w:rPr>
                <w:rFonts w:ascii="Times New Roman" w:eastAsia="Times New Roman" w:hAnsi="Times New Roman"/>
                <w:lang w:eastAsia="pl-PL"/>
              </w:rPr>
              <w:t xml:space="preserve">. </w:t>
            </w:r>
          </w:p>
          <w:p w14:paraId="640C40ED" w14:textId="77777777" w:rsidR="00C017C1" w:rsidRDefault="00C017C1" w:rsidP="00C017C1">
            <w:pPr>
              <w:spacing w:line="240" w:lineRule="auto"/>
              <w:jc w:val="both"/>
              <w:rPr>
                <w:rFonts w:ascii="Times New Roman" w:eastAsia="Times New Roman" w:hAnsi="Times New Roman"/>
                <w:sz w:val="24"/>
                <w:szCs w:val="24"/>
                <w:lang w:eastAsia="pl-PL"/>
              </w:rPr>
            </w:pPr>
          </w:p>
          <w:p w14:paraId="4523B77D" w14:textId="77777777" w:rsidR="00C017C1" w:rsidRDefault="00C017C1" w:rsidP="00C017C1">
            <w:pPr>
              <w:spacing w:line="240" w:lineRule="auto"/>
              <w:jc w:val="both"/>
              <w:rPr>
                <w:rFonts w:ascii="Times New Roman" w:eastAsia="Times New Roman" w:hAnsi="Times New Roman"/>
                <w:b/>
                <w:lang w:eastAsia="pl-PL"/>
              </w:rPr>
            </w:pPr>
            <w:r>
              <w:rPr>
                <w:rFonts w:ascii="Times New Roman" w:eastAsia="Times New Roman" w:hAnsi="Times New Roman"/>
                <w:b/>
                <w:lang w:eastAsia="pl-PL"/>
              </w:rPr>
              <w:t>Irlandia</w:t>
            </w:r>
          </w:p>
          <w:p w14:paraId="064305C3" w14:textId="77777777" w:rsidR="00C017C1" w:rsidRDefault="00C017C1" w:rsidP="00C017C1">
            <w:pPr>
              <w:spacing w:line="240" w:lineRule="auto"/>
              <w:jc w:val="both"/>
              <w:rPr>
                <w:rFonts w:ascii="Times New Roman" w:eastAsia="Times New Roman" w:hAnsi="Times New Roman"/>
                <w:lang w:eastAsia="pl-PL"/>
              </w:rPr>
            </w:pPr>
            <w:r w:rsidRPr="00560773">
              <w:rPr>
                <w:rFonts w:ascii="Times New Roman" w:eastAsia="Times New Roman" w:hAnsi="Times New Roman"/>
                <w:lang w:eastAsia="pl-PL"/>
              </w:rPr>
              <w:t>Irlandia posiada już kompleksową</w:t>
            </w:r>
            <w:r>
              <w:rPr>
                <w:rFonts w:ascii="Times New Roman" w:eastAsia="Times New Roman" w:hAnsi="Times New Roman"/>
                <w:lang w:eastAsia="pl-PL"/>
              </w:rPr>
              <w:t xml:space="preserve"> regulację dotyczącą</w:t>
            </w:r>
            <w:r w:rsidRPr="00560773">
              <w:rPr>
                <w:rFonts w:ascii="Times New Roman" w:eastAsia="Times New Roman" w:hAnsi="Times New Roman"/>
                <w:lang w:eastAsia="pl-PL"/>
              </w:rPr>
              <w:t xml:space="preserve"> ochron</w:t>
            </w:r>
            <w:r>
              <w:rPr>
                <w:rFonts w:ascii="Times New Roman" w:eastAsia="Times New Roman" w:hAnsi="Times New Roman"/>
                <w:lang w:eastAsia="pl-PL"/>
              </w:rPr>
              <w:t>y</w:t>
            </w:r>
            <w:r w:rsidRPr="00560773">
              <w:rPr>
                <w:rFonts w:ascii="Times New Roman" w:eastAsia="Times New Roman" w:hAnsi="Times New Roman"/>
                <w:lang w:eastAsia="pl-PL"/>
              </w:rPr>
              <w:t xml:space="preserve"> prawn</w:t>
            </w:r>
            <w:r>
              <w:rPr>
                <w:rFonts w:ascii="Times New Roman" w:eastAsia="Times New Roman" w:hAnsi="Times New Roman"/>
                <w:lang w:eastAsia="pl-PL"/>
              </w:rPr>
              <w:t>ej</w:t>
            </w:r>
            <w:r w:rsidRPr="00560773">
              <w:rPr>
                <w:rFonts w:ascii="Times New Roman" w:eastAsia="Times New Roman" w:hAnsi="Times New Roman"/>
                <w:lang w:eastAsia="pl-PL"/>
              </w:rPr>
              <w:t xml:space="preserve"> </w:t>
            </w:r>
            <w:r>
              <w:rPr>
                <w:rFonts w:ascii="Times New Roman" w:eastAsia="Times New Roman" w:hAnsi="Times New Roman"/>
                <w:lang w:eastAsia="pl-PL"/>
              </w:rPr>
              <w:t xml:space="preserve">sygnalistów w postaci </w:t>
            </w:r>
            <w:r w:rsidRPr="00560773">
              <w:rPr>
                <w:rFonts w:ascii="Times New Roman" w:eastAsia="Times New Roman" w:hAnsi="Times New Roman"/>
                <w:lang w:eastAsia="pl-PL"/>
              </w:rPr>
              <w:t>ustawy o chronionych ujawnieniach z 2014 r</w:t>
            </w:r>
            <w:r w:rsidRPr="001C0844">
              <w:rPr>
                <w:rFonts w:ascii="Times New Roman" w:eastAsia="Times New Roman" w:hAnsi="Times New Roman"/>
                <w:lang w:eastAsia="pl-PL"/>
              </w:rPr>
              <w:t>. (Protected Disclosures Act)</w:t>
            </w:r>
            <w:r>
              <w:rPr>
                <w:rFonts w:ascii="Times New Roman" w:eastAsia="Times New Roman" w:hAnsi="Times New Roman"/>
                <w:lang w:eastAsia="pl-PL"/>
              </w:rPr>
              <w:t xml:space="preserve">, która jednak nie </w:t>
            </w:r>
            <w:r w:rsidR="008314F7">
              <w:rPr>
                <w:rFonts w:ascii="Times New Roman" w:eastAsia="Times New Roman" w:hAnsi="Times New Roman"/>
                <w:lang w:eastAsia="pl-PL"/>
              </w:rPr>
              <w:t xml:space="preserve">była </w:t>
            </w:r>
            <w:r>
              <w:rPr>
                <w:rFonts w:ascii="Times New Roman" w:eastAsia="Times New Roman" w:hAnsi="Times New Roman"/>
                <w:lang w:eastAsia="pl-PL"/>
              </w:rPr>
              <w:t xml:space="preserve">w pełni zgodna z postanowieniami dyrektywy </w:t>
            </w:r>
            <w:r w:rsidRPr="00C73590">
              <w:rPr>
                <w:rFonts w:ascii="Times New Roman" w:hAnsi="Times New Roman"/>
              </w:rPr>
              <w:t>2019/1937</w:t>
            </w:r>
            <w:r w:rsidRPr="001C0844">
              <w:rPr>
                <w:rFonts w:ascii="Times New Roman" w:eastAsia="Times New Roman" w:hAnsi="Times New Roman"/>
                <w:lang w:eastAsia="pl-PL"/>
              </w:rPr>
              <w:t>.</w:t>
            </w:r>
            <w:r w:rsidRPr="00560773">
              <w:rPr>
                <w:rFonts w:ascii="Times New Roman" w:eastAsia="Times New Roman" w:hAnsi="Times New Roman"/>
                <w:color w:val="0070C0"/>
                <w:lang w:eastAsia="pl-PL"/>
              </w:rPr>
              <w:t xml:space="preserve"> </w:t>
            </w:r>
            <w:r w:rsidR="008314F7">
              <w:rPr>
                <w:rFonts w:ascii="Times New Roman" w:eastAsia="Times New Roman" w:hAnsi="Times New Roman"/>
                <w:lang w:eastAsia="pl-PL"/>
              </w:rPr>
              <w:t>Prowadzone były</w:t>
            </w:r>
            <w:r w:rsidRPr="009902FD">
              <w:rPr>
                <w:rFonts w:ascii="Times New Roman" w:eastAsia="Times New Roman" w:hAnsi="Times New Roman"/>
                <w:lang w:eastAsia="pl-PL"/>
              </w:rPr>
              <w:t xml:space="preserve"> prace nad implementacja dyrektywy</w:t>
            </w:r>
            <w:r>
              <w:rPr>
                <w:rFonts w:ascii="Times New Roman" w:eastAsia="Times New Roman" w:hAnsi="Times New Roman"/>
                <w:color w:val="0070C0"/>
                <w:lang w:eastAsia="pl-PL"/>
              </w:rPr>
              <w:t xml:space="preserve"> </w:t>
            </w:r>
            <w:r w:rsidRPr="00C73590">
              <w:rPr>
                <w:rFonts w:ascii="Times New Roman" w:hAnsi="Times New Roman"/>
              </w:rPr>
              <w:t>2019/1937</w:t>
            </w:r>
            <w:r>
              <w:rPr>
                <w:rFonts w:ascii="Times New Roman" w:hAnsi="Times New Roman"/>
              </w:rPr>
              <w:t>. Rząd irlandzki plan</w:t>
            </w:r>
            <w:r w:rsidR="00D9300D">
              <w:rPr>
                <w:rFonts w:ascii="Times New Roman" w:hAnsi="Times New Roman"/>
              </w:rPr>
              <w:t>ował</w:t>
            </w:r>
            <w:r>
              <w:rPr>
                <w:rFonts w:ascii="Times New Roman" w:hAnsi="Times New Roman"/>
              </w:rPr>
              <w:t xml:space="preserve"> szerszy zakres</w:t>
            </w:r>
            <w:r>
              <w:rPr>
                <w:rFonts w:ascii="Times New Roman" w:eastAsia="Times New Roman" w:hAnsi="Times New Roman"/>
                <w:lang w:eastAsia="pl-PL"/>
              </w:rPr>
              <w:t xml:space="preserve"> przedmiotowy projektowanej ustawy implementującej niż zakres przedmiotowy dyrektywy </w:t>
            </w:r>
            <w:r w:rsidRPr="00C73590">
              <w:rPr>
                <w:rFonts w:ascii="Times New Roman" w:hAnsi="Times New Roman"/>
              </w:rPr>
              <w:t>2019/1937</w:t>
            </w:r>
            <w:r>
              <w:rPr>
                <w:rFonts w:ascii="Times New Roman" w:eastAsia="Times New Roman" w:hAnsi="Times New Roman"/>
                <w:lang w:eastAsia="pl-PL"/>
              </w:rPr>
              <w:t xml:space="preserve">, tak aby nowe przepisy chroniące sygnalistów miały zastosowanie </w:t>
            </w:r>
            <w:r w:rsidRPr="00560773">
              <w:rPr>
                <w:rFonts w:ascii="Times New Roman" w:eastAsia="Times New Roman" w:hAnsi="Times New Roman"/>
                <w:lang w:eastAsia="pl-PL"/>
              </w:rPr>
              <w:t xml:space="preserve">nie tylko do </w:t>
            </w:r>
            <w:r>
              <w:rPr>
                <w:rFonts w:ascii="Times New Roman" w:eastAsia="Times New Roman" w:hAnsi="Times New Roman"/>
                <w:lang w:eastAsia="pl-PL"/>
              </w:rPr>
              <w:t>naruszeń prawa określonych przez</w:t>
            </w:r>
            <w:r w:rsidRPr="00560773">
              <w:rPr>
                <w:rFonts w:ascii="Times New Roman" w:eastAsia="Times New Roman" w:hAnsi="Times New Roman"/>
                <w:lang w:eastAsia="pl-PL"/>
              </w:rPr>
              <w:t xml:space="preserve"> dyrektyw</w:t>
            </w:r>
            <w:r>
              <w:rPr>
                <w:rFonts w:ascii="Times New Roman" w:eastAsia="Times New Roman" w:hAnsi="Times New Roman"/>
                <w:lang w:eastAsia="pl-PL"/>
              </w:rPr>
              <w:t xml:space="preserve">ę </w:t>
            </w:r>
            <w:r w:rsidRPr="00C73590">
              <w:rPr>
                <w:rFonts w:ascii="Times New Roman" w:hAnsi="Times New Roman"/>
              </w:rPr>
              <w:t>2019/1937</w:t>
            </w:r>
            <w:r w:rsidRPr="00560773">
              <w:rPr>
                <w:rFonts w:ascii="Times New Roman" w:eastAsia="Times New Roman" w:hAnsi="Times New Roman"/>
                <w:lang w:eastAsia="pl-PL"/>
              </w:rPr>
              <w:t xml:space="preserve">, ale także do wszystkich </w:t>
            </w:r>
            <w:r>
              <w:rPr>
                <w:rFonts w:ascii="Times New Roman" w:eastAsia="Times New Roman" w:hAnsi="Times New Roman"/>
                <w:lang w:eastAsia="pl-PL"/>
              </w:rPr>
              <w:t>naruszeń irlandzkiego</w:t>
            </w:r>
            <w:r w:rsidRPr="00560773">
              <w:rPr>
                <w:rFonts w:ascii="Times New Roman" w:eastAsia="Times New Roman" w:hAnsi="Times New Roman"/>
                <w:lang w:eastAsia="pl-PL"/>
              </w:rPr>
              <w:t xml:space="preserve"> prawa krajowego.</w:t>
            </w:r>
          </w:p>
          <w:p w14:paraId="5440CB07" w14:textId="77777777" w:rsidR="00C017C1" w:rsidRPr="00B37C80" w:rsidRDefault="00C017C1" w:rsidP="00C017C1">
            <w:pPr>
              <w:jc w:val="both"/>
              <w:rPr>
                <w:rFonts w:ascii="Times New Roman" w:hAnsi="Times New Roman"/>
                <w:color w:val="000000"/>
                <w:spacing w:val="-2"/>
              </w:rPr>
            </w:pPr>
          </w:p>
        </w:tc>
      </w:tr>
      <w:tr w:rsidR="00C017C1" w:rsidRPr="008B4FE6" w14:paraId="40A88B4A" w14:textId="77777777" w:rsidTr="00B236F6">
        <w:trPr>
          <w:gridAfter w:val="1"/>
          <w:wAfter w:w="10" w:type="dxa"/>
          <w:trHeight w:val="359"/>
        </w:trPr>
        <w:tc>
          <w:tcPr>
            <w:tcW w:w="11050" w:type="dxa"/>
            <w:gridSpan w:val="29"/>
            <w:shd w:val="clear" w:color="auto" w:fill="99CCFF"/>
            <w:vAlign w:val="center"/>
          </w:tcPr>
          <w:p w14:paraId="7132B076"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B236F6" w:rsidRPr="008B4FE6" w14:paraId="1BB048BD" w14:textId="77777777" w:rsidTr="00B236F6">
        <w:tblPrEx>
          <w:jc w:val="center"/>
          <w:tblInd w:w="0" w:type="dxa"/>
        </w:tblPrEx>
        <w:trPr>
          <w:trHeight w:val="142"/>
          <w:jc w:val="center"/>
        </w:trPr>
        <w:tc>
          <w:tcPr>
            <w:tcW w:w="2959" w:type="dxa"/>
            <w:gridSpan w:val="3"/>
            <w:shd w:val="clear" w:color="auto" w:fill="auto"/>
          </w:tcPr>
          <w:p w14:paraId="1CF4696E" w14:textId="77777777" w:rsidR="00B236F6" w:rsidRPr="00B236F6" w:rsidRDefault="00B236F6" w:rsidP="00015DF5">
            <w:pPr>
              <w:spacing w:before="40"/>
              <w:jc w:val="center"/>
              <w:rPr>
                <w:rFonts w:ascii="Times New Roman" w:hAnsi="Times New Roman"/>
                <w:color w:val="000000"/>
                <w:spacing w:val="-2"/>
              </w:rPr>
            </w:pPr>
            <w:r w:rsidRPr="00B236F6">
              <w:rPr>
                <w:rFonts w:ascii="Times New Roman" w:hAnsi="Times New Roman"/>
                <w:color w:val="000000"/>
                <w:spacing w:val="-2"/>
              </w:rPr>
              <w:t>Grupa</w:t>
            </w:r>
          </w:p>
        </w:tc>
        <w:tc>
          <w:tcPr>
            <w:tcW w:w="2294" w:type="dxa"/>
            <w:gridSpan w:val="9"/>
            <w:tcBorders>
              <w:bottom w:val="single" w:sz="4" w:space="0" w:color="auto"/>
            </w:tcBorders>
            <w:shd w:val="clear" w:color="auto" w:fill="auto"/>
          </w:tcPr>
          <w:p w14:paraId="677D68BD" w14:textId="77777777" w:rsidR="00B236F6" w:rsidRPr="00B236F6" w:rsidRDefault="00B236F6" w:rsidP="00015DF5">
            <w:pPr>
              <w:spacing w:before="40"/>
              <w:jc w:val="center"/>
              <w:rPr>
                <w:rFonts w:ascii="Times New Roman" w:hAnsi="Times New Roman"/>
                <w:color w:val="000000"/>
                <w:spacing w:val="-2"/>
              </w:rPr>
            </w:pPr>
            <w:r w:rsidRPr="00B236F6">
              <w:rPr>
                <w:rFonts w:ascii="Times New Roman" w:hAnsi="Times New Roman"/>
                <w:color w:val="000000"/>
                <w:spacing w:val="-2"/>
              </w:rPr>
              <w:t>Wielkość</w:t>
            </w:r>
          </w:p>
        </w:tc>
        <w:tc>
          <w:tcPr>
            <w:tcW w:w="2999" w:type="dxa"/>
            <w:gridSpan w:val="11"/>
            <w:shd w:val="clear" w:color="auto" w:fill="auto"/>
          </w:tcPr>
          <w:p w14:paraId="51281B50" w14:textId="77777777" w:rsidR="00B236F6" w:rsidRPr="00B236F6" w:rsidRDefault="00B236F6" w:rsidP="00015DF5">
            <w:pPr>
              <w:spacing w:before="40"/>
              <w:jc w:val="center"/>
              <w:rPr>
                <w:rFonts w:ascii="Times New Roman" w:hAnsi="Times New Roman"/>
                <w:color w:val="000000"/>
                <w:spacing w:val="-2"/>
              </w:rPr>
            </w:pPr>
            <w:r w:rsidRPr="00B236F6">
              <w:rPr>
                <w:rFonts w:ascii="Times New Roman" w:hAnsi="Times New Roman"/>
                <w:color w:val="000000"/>
                <w:spacing w:val="-2"/>
              </w:rPr>
              <w:t>Źródło danych</w:t>
            </w:r>
            <w:r w:rsidRPr="00B236F6" w:rsidDel="00260F33">
              <w:rPr>
                <w:rFonts w:ascii="Times New Roman" w:hAnsi="Times New Roman"/>
                <w:color w:val="000000"/>
                <w:spacing w:val="-2"/>
              </w:rPr>
              <w:t xml:space="preserve"> </w:t>
            </w:r>
          </w:p>
        </w:tc>
        <w:tc>
          <w:tcPr>
            <w:tcW w:w="2808" w:type="dxa"/>
            <w:gridSpan w:val="7"/>
            <w:shd w:val="clear" w:color="auto" w:fill="auto"/>
          </w:tcPr>
          <w:p w14:paraId="0AACA12F" w14:textId="77777777" w:rsidR="00B236F6" w:rsidRPr="00B236F6" w:rsidRDefault="00B236F6" w:rsidP="00015DF5">
            <w:pPr>
              <w:spacing w:before="40"/>
              <w:jc w:val="center"/>
              <w:rPr>
                <w:rFonts w:ascii="Times New Roman" w:hAnsi="Times New Roman"/>
                <w:color w:val="000000"/>
                <w:spacing w:val="-2"/>
              </w:rPr>
            </w:pPr>
            <w:r w:rsidRPr="00B236F6">
              <w:rPr>
                <w:rFonts w:ascii="Times New Roman" w:hAnsi="Times New Roman"/>
                <w:color w:val="000000"/>
                <w:spacing w:val="-2"/>
              </w:rPr>
              <w:t>Oddziaływanie</w:t>
            </w:r>
          </w:p>
        </w:tc>
      </w:tr>
      <w:tr w:rsidR="00B236F6" w:rsidRPr="002851A8" w14:paraId="7862A212" w14:textId="77777777" w:rsidTr="00B236F6">
        <w:tblPrEx>
          <w:jc w:val="center"/>
          <w:tblInd w:w="0" w:type="dxa"/>
        </w:tblPrEx>
        <w:trPr>
          <w:trHeight w:val="142"/>
          <w:jc w:val="center"/>
        </w:trPr>
        <w:tc>
          <w:tcPr>
            <w:tcW w:w="2959" w:type="dxa"/>
            <w:gridSpan w:val="3"/>
            <w:shd w:val="clear" w:color="auto" w:fill="auto"/>
          </w:tcPr>
          <w:p w14:paraId="54E34B22" w14:textId="77777777" w:rsidR="00B236F6" w:rsidRPr="00B236F6" w:rsidRDefault="00B236F6" w:rsidP="00015DF5">
            <w:pPr>
              <w:rPr>
                <w:rFonts w:ascii="Times New Roman" w:hAnsi="Times New Roman"/>
              </w:rPr>
            </w:pPr>
            <w:r w:rsidRPr="00B236F6">
              <w:rPr>
                <w:rFonts w:ascii="Times New Roman" w:hAnsi="Times New Roman"/>
                <w:color w:val="000000"/>
              </w:rPr>
              <w:t xml:space="preserve">Rzecznik Praw Obywatelskich, jako organ </w:t>
            </w:r>
            <w:r w:rsidRPr="00B236F6">
              <w:rPr>
                <w:rFonts w:ascii="Times New Roman" w:hAnsi="Times New Roman"/>
                <w:iCs/>
              </w:rPr>
              <w:t xml:space="preserve">przyjmujący zgłoszenia i </w:t>
            </w:r>
            <w:r w:rsidRPr="00B236F6">
              <w:rPr>
                <w:rFonts w:ascii="Times New Roman" w:hAnsi="Times New Roman"/>
                <w:color w:val="000000"/>
              </w:rPr>
              <w:t>udzielający wsparcia</w:t>
            </w:r>
          </w:p>
        </w:tc>
        <w:tc>
          <w:tcPr>
            <w:tcW w:w="2294" w:type="dxa"/>
            <w:gridSpan w:val="9"/>
            <w:shd w:val="clear" w:color="auto" w:fill="auto"/>
          </w:tcPr>
          <w:p w14:paraId="2EC63457" w14:textId="77777777" w:rsidR="00B236F6" w:rsidRPr="00B236F6" w:rsidDel="005D6FB9" w:rsidRDefault="00B236F6" w:rsidP="00015DF5">
            <w:pPr>
              <w:jc w:val="center"/>
              <w:rPr>
                <w:rFonts w:ascii="Times New Roman" w:hAnsi="Times New Roman"/>
              </w:rPr>
            </w:pPr>
            <w:r w:rsidRPr="00B236F6">
              <w:rPr>
                <w:rFonts w:ascii="Times New Roman" w:hAnsi="Times New Roman"/>
                <w:color w:val="000000"/>
                <w:spacing w:val="-2"/>
              </w:rPr>
              <w:t>1</w:t>
            </w:r>
          </w:p>
        </w:tc>
        <w:tc>
          <w:tcPr>
            <w:tcW w:w="2999" w:type="dxa"/>
            <w:gridSpan w:val="11"/>
            <w:shd w:val="clear" w:color="auto" w:fill="auto"/>
          </w:tcPr>
          <w:p w14:paraId="04D2B10B" w14:textId="77777777" w:rsidR="00B236F6" w:rsidRPr="00B236F6" w:rsidRDefault="00B236F6" w:rsidP="00015DF5">
            <w:pPr>
              <w:rPr>
                <w:rFonts w:ascii="Times New Roman" w:hAnsi="Times New Roman"/>
              </w:rPr>
            </w:pPr>
          </w:p>
        </w:tc>
        <w:tc>
          <w:tcPr>
            <w:tcW w:w="2808" w:type="dxa"/>
            <w:gridSpan w:val="7"/>
            <w:shd w:val="clear" w:color="auto" w:fill="auto"/>
          </w:tcPr>
          <w:p w14:paraId="21DEB8C2" w14:textId="77777777" w:rsidR="00B236F6" w:rsidRPr="00B236F6" w:rsidRDefault="00B236F6" w:rsidP="00015DF5">
            <w:pPr>
              <w:rPr>
                <w:rFonts w:ascii="Times New Roman" w:hAnsi="Times New Roman"/>
                <w:color w:val="000000"/>
                <w:spacing w:val="-2"/>
              </w:rPr>
            </w:pPr>
            <w:r w:rsidRPr="00B236F6">
              <w:rPr>
                <w:rFonts w:ascii="Times New Roman" w:hAnsi="Times New Roman"/>
                <w:iCs/>
              </w:rPr>
              <w:t>przyjmowanie zgłoszeń i udzielanie wsparcia osobom zgłaszającym naruszenia prawa</w:t>
            </w:r>
          </w:p>
        </w:tc>
      </w:tr>
      <w:tr w:rsidR="00B236F6" w:rsidRPr="002851A8" w14:paraId="0C0D59B8" w14:textId="77777777" w:rsidTr="00B236F6">
        <w:tblPrEx>
          <w:jc w:val="center"/>
          <w:tblInd w:w="0" w:type="dxa"/>
        </w:tblPrEx>
        <w:trPr>
          <w:trHeight w:val="142"/>
          <w:jc w:val="center"/>
        </w:trPr>
        <w:tc>
          <w:tcPr>
            <w:tcW w:w="2959" w:type="dxa"/>
            <w:gridSpan w:val="3"/>
            <w:shd w:val="clear" w:color="auto" w:fill="auto"/>
          </w:tcPr>
          <w:p w14:paraId="7AF08432" w14:textId="77777777" w:rsidR="00B236F6" w:rsidRPr="00B236F6" w:rsidRDefault="00B236F6" w:rsidP="00015DF5">
            <w:pPr>
              <w:rPr>
                <w:rFonts w:ascii="Times New Roman" w:hAnsi="Times New Roman"/>
              </w:rPr>
            </w:pPr>
            <w:r w:rsidRPr="00B236F6">
              <w:rPr>
                <w:rFonts w:ascii="Times New Roman" w:hAnsi="Times New Roman"/>
              </w:rPr>
              <w:t>duże przedsiębiorstwa (podmiot prywatny)</w:t>
            </w:r>
          </w:p>
        </w:tc>
        <w:tc>
          <w:tcPr>
            <w:tcW w:w="2294" w:type="dxa"/>
            <w:gridSpan w:val="9"/>
            <w:shd w:val="clear" w:color="auto" w:fill="auto"/>
          </w:tcPr>
          <w:p w14:paraId="780C7583" w14:textId="77777777" w:rsidR="00B236F6" w:rsidRPr="00B236F6" w:rsidRDefault="00B236F6" w:rsidP="00015DF5">
            <w:pPr>
              <w:jc w:val="center"/>
              <w:rPr>
                <w:rFonts w:ascii="Times New Roman" w:hAnsi="Times New Roman"/>
              </w:rPr>
            </w:pPr>
            <w:r w:rsidRPr="00B236F6">
              <w:rPr>
                <w:rFonts w:ascii="Times New Roman" w:hAnsi="Times New Roman"/>
              </w:rPr>
              <w:t>4 266</w:t>
            </w:r>
          </w:p>
        </w:tc>
        <w:tc>
          <w:tcPr>
            <w:tcW w:w="2999" w:type="dxa"/>
            <w:gridSpan w:val="11"/>
            <w:shd w:val="clear" w:color="auto" w:fill="auto"/>
          </w:tcPr>
          <w:p w14:paraId="11050C77" w14:textId="77777777" w:rsidR="00B236F6" w:rsidRPr="00B236F6" w:rsidRDefault="00B236F6" w:rsidP="00015DF5">
            <w:pPr>
              <w:rPr>
                <w:rFonts w:ascii="Times New Roman" w:hAnsi="Times New Roman"/>
              </w:rPr>
            </w:pPr>
            <w:r w:rsidRPr="00B236F6">
              <w:rPr>
                <w:rFonts w:ascii="Times New Roman" w:hAnsi="Times New Roman"/>
              </w:rPr>
              <w:t>Zmiany strukturalne grup podmiotów gospodarki narodowej w rejestrze REGON, 2021 r Tabl. 2. Podmioty gospodarki narodowej wg przewidywanej liczby pracujących powyżej 250 osób https://stat.gov.pl/obszary-tematyczne/podmioty-gospodarcze-wyniki-finansowe/zmiany-strukturalne-grup-podmiotow/zmiany-strukturalne-grup-podmiotow-gospodarki-narodowej-w-rejestrze-regon-2021-r-,1,26.html</w:t>
            </w:r>
          </w:p>
        </w:tc>
        <w:tc>
          <w:tcPr>
            <w:tcW w:w="2808" w:type="dxa"/>
            <w:gridSpan w:val="7"/>
            <w:shd w:val="clear" w:color="auto" w:fill="auto"/>
          </w:tcPr>
          <w:p w14:paraId="09BBFE09"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wewnętrznych kanałów dokonywania zgłoszeń</w:t>
            </w:r>
          </w:p>
        </w:tc>
      </w:tr>
      <w:tr w:rsidR="00B236F6" w:rsidRPr="002851A8" w14:paraId="34FAF5E9" w14:textId="77777777" w:rsidTr="00B236F6">
        <w:tblPrEx>
          <w:jc w:val="center"/>
          <w:tblInd w:w="0" w:type="dxa"/>
        </w:tblPrEx>
        <w:trPr>
          <w:trHeight w:val="142"/>
          <w:jc w:val="center"/>
        </w:trPr>
        <w:tc>
          <w:tcPr>
            <w:tcW w:w="2959" w:type="dxa"/>
            <w:gridSpan w:val="3"/>
            <w:shd w:val="clear" w:color="auto" w:fill="auto"/>
          </w:tcPr>
          <w:p w14:paraId="77378F07" w14:textId="77777777" w:rsidR="00B236F6" w:rsidRPr="00B236F6" w:rsidRDefault="00B236F6" w:rsidP="00015DF5">
            <w:pPr>
              <w:rPr>
                <w:rFonts w:ascii="Times New Roman" w:hAnsi="Times New Roman"/>
                <w:color w:val="000000"/>
                <w:spacing w:val="-2"/>
              </w:rPr>
            </w:pPr>
            <w:r w:rsidRPr="00B236F6">
              <w:rPr>
                <w:rFonts w:ascii="Times New Roman" w:hAnsi="Times New Roman"/>
              </w:rPr>
              <w:t>średnie przedsiębiorstwa (podmiot prywatny)</w:t>
            </w:r>
          </w:p>
        </w:tc>
        <w:tc>
          <w:tcPr>
            <w:tcW w:w="2294" w:type="dxa"/>
            <w:gridSpan w:val="9"/>
            <w:shd w:val="clear" w:color="auto" w:fill="auto"/>
          </w:tcPr>
          <w:p w14:paraId="2976FFAC"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rPr>
              <w:t>27263</w:t>
            </w:r>
          </w:p>
        </w:tc>
        <w:tc>
          <w:tcPr>
            <w:tcW w:w="2999" w:type="dxa"/>
            <w:gridSpan w:val="11"/>
            <w:shd w:val="clear" w:color="auto" w:fill="auto"/>
          </w:tcPr>
          <w:p w14:paraId="553B3456" w14:textId="77777777" w:rsidR="00B236F6" w:rsidRPr="00B236F6" w:rsidRDefault="00B236F6" w:rsidP="00015DF5">
            <w:pPr>
              <w:rPr>
                <w:rFonts w:ascii="Times New Roman" w:hAnsi="Times New Roman"/>
                <w:color w:val="000000"/>
                <w:spacing w:val="-2"/>
              </w:rPr>
            </w:pPr>
            <w:r w:rsidRPr="00B236F6">
              <w:rPr>
                <w:rFonts w:ascii="Times New Roman" w:hAnsi="Times New Roman"/>
              </w:rPr>
              <w:t>jw.  – liczba pracujących 50-250</w:t>
            </w:r>
          </w:p>
        </w:tc>
        <w:tc>
          <w:tcPr>
            <w:tcW w:w="2808" w:type="dxa"/>
            <w:gridSpan w:val="7"/>
            <w:shd w:val="clear" w:color="auto" w:fill="auto"/>
          </w:tcPr>
          <w:p w14:paraId="5B53B2B0"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wewnętrznych kanałów dokonywania zgłoszeń</w:t>
            </w:r>
          </w:p>
        </w:tc>
      </w:tr>
      <w:tr w:rsidR="00B236F6" w:rsidRPr="002851A8" w14:paraId="71D43797" w14:textId="77777777" w:rsidTr="00B236F6">
        <w:tblPrEx>
          <w:jc w:val="center"/>
          <w:tblInd w:w="0" w:type="dxa"/>
        </w:tblPrEx>
        <w:trPr>
          <w:trHeight w:val="142"/>
          <w:jc w:val="center"/>
        </w:trPr>
        <w:tc>
          <w:tcPr>
            <w:tcW w:w="2959" w:type="dxa"/>
            <w:gridSpan w:val="3"/>
            <w:shd w:val="clear" w:color="auto" w:fill="auto"/>
          </w:tcPr>
          <w:p w14:paraId="1AB8BBAC" w14:textId="77777777" w:rsidR="00B236F6" w:rsidRPr="00B236F6" w:rsidRDefault="00B236F6" w:rsidP="00015DF5">
            <w:pPr>
              <w:rPr>
                <w:rFonts w:ascii="Times New Roman" w:hAnsi="Times New Roman"/>
              </w:rPr>
            </w:pPr>
            <w:r w:rsidRPr="00B236F6">
              <w:rPr>
                <w:rFonts w:ascii="Times New Roman" w:hAnsi="Times New Roman"/>
              </w:rPr>
              <w:t>małe przedsiębiorstwa działające w sektorze finansowym (podmiot prywatny)</w:t>
            </w:r>
          </w:p>
        </w:tc>
        <w:tc>
          <w:tcPr>
            <w:tcW w:w="2294" w:type="dxa"/>
            <w:gridSpan w:val="9"/>
            <w:shd w:val="clear" w:color="auto" w:fill="auto"/>
          </w:tcPr>
          <w:p w14:paraId="3C0468A9" w14:textId="77777777" w:rsidR="00B236F6" w:rsidRPr="00B236F6" w:rsidRDefault="00B236F6" w:rsidP="00015DF5">
            <w:pPr>
              <w:jc w:val="center"/>
              <w:rPr>
                <w:rFonts w:ascii="Times New Roman" w:hAnsi="Times New Roman"/>
              </w:rPr>
            </w:pPr>
            <w:r w:rsidRPr="00B236F6">
              <w:rPr>
                <w:rFonts w:ascii="Times New Roman" w:hAnsi="Times New Roman"/>
              </w:rPr>
              <w:t>1 242</w:t>
            </w:r>
          </w:p>
        </w:tc>
        <w:tc>
          <w:tcPr>
            <w:tcW w:w="2999" w:type="dxa"/>
            <w:gridSpan w:val="11"/>
            <w:shd w:val="clear" w:color="auto" w:fill="auto"/>
          </w:tcPr>
          <w:p w14:paraId="102FF78F"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jw.  – przedsiębiorstwa z sektora finansowego zatrudniające od 10-50 osób</w:t>
            </w:r>
          </w:p>
        </w:tc>
        <w:tc>
          <w:tcPr>
            <w:tcW w:w="2808" w:type="dxa"/>
            <w:gridSpan w:val="7"/>
            <w:shd w:val="clear" w:color="auto" w:fill="auto"/>
          </w:tcPr>
          <w:p w14:paraId="1B38EC76"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wewnętrznych kanałów dokonywania zgłoszeń</w:t>
            </w:r>
          </w:p>
        </w:tc>
      </w:tr>
      <w:tr w:rsidR="00B236F6" w:rsidRPr="002851A8" w14:paraId="3D057A0A" w14:textId="77777777" w:rsidTr="00B236F6">
        <w:tblPrEx>
          <w:jc w:val="center"/>
          <w:tblInd w:w="0" w:type="dxa"/>
        </w:tblPrEx>
        <w:trPr>
          <w:trHeight w:val="142"/>
          <w:jc w:val="center"/>
        </w:trPr>
        <w:tc>
          <w:tcPr>
            <w:tcW w:w="2959" w:type="dxa"/>
            <w:gridSpan w:val="3"/>
            <w:shd w:val="clear" w:color="auto" w:fill="auto"/>
          </w:tcPr>
          <w:p w14:paraId="75659C0E" w14:textId="77777777" w:rsidR="00B236F6" w:rsidRPr="00B236F6" w:rsidRDefault="00B236F6" w:rsidP="00015DF5">
            <w:pPr>
              <w:rPr>
                <w:rFonts w:ascii="Times New Roman" w:hAnsi="Times New Roman"/>
              </w:rPr>
            </w:pPr>
            <w:r w:rsidRPr="00B236F6">
              <w:rPr>
                <w:rFonts w:ascii="Times New Roman" w:hAnsi="Times New Roman"/>
              </w:rPr>
              <w:t>mikro przedsiębiorstwa działające w sektorze finansowym (podmiot prywatny)</w:t>
            </w:r>
          </w:p>
        </w:tc>
        <w:tc>
          <w:tcPr>
            <w:tcW w:w="2294" w:type="dxa"/>
            <w:gridSpan w:val="9"/>
            <w:shd w:val="clear" w:color="auto" w:fill="auto"/>
          </w:tcPr>
          <w:p w14:paraId="5620BD32" w14:textId="77777777" w:rsidR="00B236F6" w:rsidRPr="00B236F6" w:rsidRDefault="00B236F6" w:rsidP="00015DF5">
            <w:pPr>
              <w:jc w:val="center"/>
              <w:rPr>
                <w:rFonts w:ascii="Times New Roman" w:hAnsi="Times New Roman"/>
              </w:rPr>
            </w:pPr>
            <w:r w:rsidRPr="00B236F6">
              <w:rPr>
                <w:rFonts w:ascii="Times New Roman" w:hAnsi="Times New Roman"/>
              </w:rPr>
              <w:t>122 102</w:t>
            </w:r>
          </w:p>
        </w:tc>
        <w:tc>
          <w:tcPr>
            <w:tcW w:w="2999" w:type="dxa"/>
            <w:gridSpan w:val="11"/>
            <w:shd w:val="clear" w:color="auto" w:fill="auto"/>
          </w:tcPr>
          <w:p w14:paraId="41070799"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jw. – przedsiębiorstwa z sektora finansowego zatrudniające od 0-9 osób</w:t>
            </w:r>
          </w:p>
        </w:tc>
        <w:tc>
          <w:tcPr>
            <w:tcW w:w="2808" w:type="dxa"/>
            <w:gridSpan w:val="7"/>
            <w:shd w:val="clear" w:color="auto" w:fill="auto"/>
          </w:tcPr>
          <w:p w14:paraId="45BB49A8"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wewnętrznych kanałów dokonywania zgłoszeń</w:t>
            </w:r>
          </w:p>
        </w:tc>
      </w:tr>
      <w:tr w:rsidR="00B236F6" w:rsidRPr="002851A8" w14:paraId="4FB602B8" w14:textId="77777777" w:rsidTr="00B236F6">
        <w:tblPrEx>
          <w:jc w:val="center"/>
          <w:tblInd w:w="0" w:type="dxa"/>
        </w:tblPrEx>
        <w:trPr>
          <w:trHeight w:val="142"/>
          <w:jc w:val="center"/>
        </w:trPr>
        <w:tc>
          <w:tcPr>
            <w:tcW w:w="2959" w:type="dxa"/>
            <w:gridSpan w:val="3"/>
            <w:shd w:val="clear" w:color="auto" w:fill="auto"/>
          </w:tcPr>
          <w:p w14:paraId="16279A77" w14:textId="77777777" w:rsidR="00B236F6" w:rsidRPr="00B236F6" w:rsidRDefault="00B236F6" w:rsidP="00015DF5">
            <w:pPr>
              <w:rPr>
                <w:rFonts w:ascii="Times New Roman" w:hAnsi="Times New Roman"/>
              </w:rPr>
            </w:pPr>
            <w:r w:rsidRPr="00B236F6">
              <w:rPr>
                <w:rFonts w:ascii="Times New Roman" w:hAnsi="Times New Roman"/>
              </w:rPr>
              <w:t>osoby fizyczne prowadzące działalność gospodarczą</w:t>
            </w:r>
          </w:p>
        </w:tc>
        <w:tc>
          <w:tcPr>
            <w:tcW w:w="2294" w:type="dxa"/>
            <w:gridSpan w:val="9"/>
            <w:shd w:val="clear" w:color="auto" w:fill="auto"/>
          </w:tcPr>
          <w:p w14:paraId="085D8FFD" w14:textId="77777777" w:rsidR="00B236F6" w:rsidRPr="00B236F6" w:rsidDel="00702657" w:rsidRDefault="00B236F6" w:rsidP="00015DF5">
            <w:pPr>
              <w:jc w:val="center"/>
              <w:rPr>
                <w:rFonts w:ascii="Times New Roman" w:hAnsi="Times New Roman"/>
              </w:rPr>
            </w:pPr>
            <w:r w:rsidRPr="00B236F6">
              <w:rPr>
                <w:rFonts w:ascii="Times New Roman" w:hAnsi="Times New Roman"/>
                <w:color w:val="000000"/>
                <w:spacing w:val="-2"/>
              </w:rPr>
              <w:t>3 446 578</w:t>
            </w:r>
          </w:p>
        </w:tc>
        <w:tc>
          <w:tcPr>
            <w:tcW w:w="2999" w:type="dxa"/>
            <w:gridSpan w:val="11"/>
            <w:shd w:val="clear" w:color="auto" w:fill="auto"/>
          </w:tcPr>
          <w:p w14:paraId="08699EB3" w14:textId="77777777" w:rsidR="00B236F6" w:rsidRPr="00B236F6" w:rsidRDefault="00B236F6" w:rsidP="00015DF5">
            <w:pPr>
              <w:rPr>
                <w:rFonts w:ascii="Times New Roman" w:hAnsi="Times New Roman"/>
                <w:color w:val="000000"/>
                <w:spacing w:val="-2"/>
              </w:rPr>
            </w:pPr>
            <w:r w:rsidRPr="00B236F6">
              <w:rPr>
                <w:rFonts w:ascii="Times New Roman" w:hAnsi="Times New Roman"/>
              </w:rPr>
              <w:t>Zmiany strukturalne grup podmiotów gospodarki narodowej w rejestrze REGON, 2021 r. – tabela 2. Podmioty gospodarki narodowej wg przewidywanej liczby pracujących powyżej 250 osób https://stat.gov.pl/obszary-tematyczne/podmioty-</w:t>
            </w:r>
            <w:r w:rsidRPr="00B236F6">
              <w:rPr>
                <w:rFonts w:ascii="Times New Roman" w:hAnsi="Times New Roman"/>
              </w:rPr>
              <w:lastRenderedPageBreak/>
              <w:t>gospodarcze-wyniki-finansowe/zmiany-strukturalne-grup-podmiotow/zmiany-strukturalne-grup-podmiotow-gospodarki-narodowej-w-rejestrze-regon-2021-r-,1,26.html</w:t>
            </w:r>
          </w:p>
        </w:tc>
        <w:tc>
          <w:tcPr>
            <w:tcW w:w="2808" w:type="dxa"/>
            <w:gridSpan w:val="7"/>
            <w:shd w:val="clear" w:color="auto" w:fill="auto"/>
          </w:tcPr>
          <w:p w14:paraId="56F9FEEF"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lastRenderedPageBreak/>
              <w:t>obowiązek utworzenia wewnętrznych kanałów dokonywania zgłoszeń</w:t>
            </w:r>
          </w:p>
        </w:tc>
      </w:tr>
      <w:tr w:rsidR="00B236F6" w:rsidRPr="002851A8" w14:paraId="3378C5C9" w14:textId="77777777" w:rsidTr="00B236F6">
        <w:tblPrEx>
          <w:jc w:val="center"/>
          <w:tblInd w:w="0" w:type="dxa"/>
        </w:tblPrEx>
        <w:trPr>
          <w:trHeight w:val="142"/>
          <w:jc w:val="center"/>
        </w:trPr>
        <w:tc>
          <w:tcPr>
            <w:tcW w:w="2959" w:type="dxa"/>
            <w:gridSpan w:val="3"/>
            <w:shd w:val="clear" w:color="auto" w:fill="auto"/>
          </w:tcPr>
          <w:p w14:paraId="14933C44"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rPr>
              <w:t xml:space="preserve">podmioty sektora publicznego zatrudniające co najmniej 50 pracowników </w:t>
            </w:r>
          </w:p>
        </w:tc>
        <w:tc>
          <w:tcPr>
            <w:tcW w:w="2294" w:type="dxa"/>
            <w:gridSpan w:val="9"/>
            <w:shd w:val="clear" w:color="auto" w:fill="auto"/>
          </w:tcPr>
          <w:p w14:paraId="6F7BB3FF"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 xml:space="preserve">12 678 </w:t>
            </w:r>
          </w:p>
          <w:p w14:paraId="77B53FC9" w14:textId="77777777" w:rsidR="00B236F6" w:rsidRPr="00B236F6" w:rsidRDefault="00B236F6" w:rsidP="00015DF5">
            <w:pPr>
              <w:jc w:val="center"/>
              <w:rPr>
                <w:rFonts w:ascii="Times New Roman" w:hAnsi="Times New Roman"/>
                <w:color w:val="000000"/>
                <w:spacing w:val="-2"/>
              </w:rPr>
            </w:pPr>
          </w:p>
        </w:tc>
        <w:tc>
          <w:tcPr>
            <w:tcW w:w="2999" w:type="dxa"/>
            <w:gridSpan w:val="11"/>
            <w:shd w:val="clear" w:color="auto" w:fill="auto"/>
          </w:tcPr>
          <w:p w14:paraId="7F5CEF7C" w14:textId="77777777" w:rsidR="00B236F6" w:rsidRPr="00B236F6" w:rsidRDefault="00B236F6" w:rsidP="00015DF5">
            <w:pPr>
              <w:rPr>
                <w:rFonts w:ascii="Times New Roman" w:hAnsi="Times New Roman"/>
              </w:rPr>
            </w:pPr>
            <w:r w:rsidRPr="00B236F6">
              <w:rPr>
                <w:rFonts w:ascii="Times New Roman" w:hAnsi="Times New Roman"/>
              </w:rPr>
              <w:t xml:space="preserve">jw. </w:t>
            </w:r>
          </w:p>
          <w:p w14:paraId="2B5C76C9" w14:textId="77777777" w:rsidR="00B236F6" w:rsidRPr="00B236F6" w:rsidRDefault="00B236F6" w:rsidP="00015DF5">
            <w:pPr>
              <w:rPr>
                <w:rFonts w:ascii="Times New Roman" w:hAnsi="Times New Roman"/>
                <w:color w:val="000000"/>
                <w:spacing w:val="-2"/>
              </w:rPr>
            </w:pPr>
          </w:p>
        </w:tc>
        <w:tc>
          <w:tcPr>
            <w:tcW w:w="2808" w:type="dxa"/>
            <w:gridSpan w:val="7"/>
            <w:shd w:val="clear" w:color="auto" w:fill="auto"/>
          </w:tcPr>
          <w:p w14:paraId="1545D7E9"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wewnętrznych kanałów dokonywania zgłoszeń</w:t>
            </w:r>
          </w:p>
        </w:tc>
      </w:tr>
      <w:tr w:rsidR="00B236F6" w14:paraId="29A645E5" w14:textId="77777777" w:rsidTr="00B236F6">
        <w:tblPrEx>
          <w:jc w:val="center"/>
          <w:tblInd w:w="0" w:type="dxa"/>
        </w:tblPrEx>
        <w:trPr>
          <w:trHeight w:val="142"/>
          <w:jc w:val="center"/>
        </w:trPr>
        <w:tc>
          <w:tcPr>
            <w:tcW w:w="2959" w:type="dxa"/>
            <w:gridSpan w:val="3"/>
            <w:shd w:val="clear" w:color="auto" w:fill="auto"/>
          </w:tcPr>
          <w:p w14:paraId="3B487614"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organy publiczne</w:t>
            </w:r>
          </w:p>
        </w:tc>
        <w:tc>
          <w:tcPr>
            <w:tcW w:w="2294" w:type="dxa"/>
            <w:gridSpan w:val="9"/>
            <w:shd w:val="clear" w:color="auto" w:fill="auto"/>
          </w:tcPr>
          <w:p w14:paraId="65E6B0BC"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ok. 20</w:t>
            </w:r>
          </w:p>
        </w:tc>
        <w:tc>
          <w:tcPr>
            <w:tcW w:w="2999" w:type="dxa"/>
            <w:gridSpan w:val="11"/>
            <w:shd w:val="clear" w:color="auto" w:fill="auto"/>
          </w:tcPr>
          <w:p w14:paraId="5E170379"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ustawa budżetowa</w:t>
            </w:r>
          </w:p>
        </w:tc>
        <w:tc>
          <w:tcPr>
            <w:tcW w:w="2808" w:type="dxa"/>
            <w:gridSpan w:val="7"/>
            <w:shd w:val="clear" w:color="auto" w:fill="auto"/>
          </w:tcPr>
          <w:p w14:paraId="33ED175E"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weryfikacja zgłoszeń i działania następcze</w:t>
            </w:r>
          </w:p>
        </w:tc>
      </w:tr>
      <w:tr w:rsidR="00B236F6" w14:paraId="7373D17A" w14:textId="77777777" w:rsidTr="00B236F6">
        <w:tblPrEx>
          <w:jc w:val="center"/>
          <w:tblInd w:w="0" w:type="dxa"/>
        </w:tblPrEx>
        <w:trPr>
          <w:trHeight w:val="142"/>
          <w:jc w:val="center"/>
        </w:trPr>
        <w:tc>
          <w:tcPr>
            <w:tcW w:w="2959" w:type="dxa"/>
            <w:gridSpan w:val="3"/>
            <w:shd w:val="clear" w:color="auto" w:fill="auto"/>
          </w:tcPr>
          <w:p w14:paraId="6AD42660"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naczelne i centralne organy administracji rządowej</w:t>
            </w:r>
          </w:p>
        </w:tc>
        <w:tc>
          <w:tcPr>
            <w:tcW w:w="2294" w:type="dxa"/>
            <w:gridSpan w:val="9"/>
            <w:shd w:val="clear" w:color="auto" w:fill="auto"/>
          </w:tcPr>
          <w:p w14:paraId="67D115F3"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ok. 120</w:t>
            </w:r>
          </w:p>
        </w:tc>
        <w:tc>
          <w:tcPr>
            <w:tcW w:w="2999" w:type="dxa"/>
            <w:gridSpan w:val="11"/>
            <w:shd w:val="clear" w:color="auto" w:fill="auto"/>
          </w:tcPr>
          <w:p w14:paraId="5B440CD4"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https://www.gov.pl/web/gov/ministerstwa</w:t>
            </w:r>
          </w:p>
        </w:tc>
        <w:tc>
          <w:tcPr>
            <w:tcW w:w="2808" w:type="dxa"/>
            <w:gridSpan w:val="7"/>
            <w:shd w:val="clear" w:color="auto" w:fill="auto"/>
          </w:tcPr>
          <w:p w14:paraId="5CACFD07"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1442DC98" w14:textId="77777777" w:rsidTr="00B236F6">
        <w:tblPrEx>
          <w:jc w:val="center"/>
          <w:tblInd w:w="0" w:type="dxa"/>
        </w:tblPrEx>
        <w:trPr>
          <w:trHeight w:val="142"/>
          <w:jc w:val="center"/>
        </w:trPr>
        <w:tc>
          <w:tcPr>
            <w:tcW w:w="2959" w:type="dxa"/>
            <w:gridSpan w:val="3"/>
            <w:shd w:val="clear" w:color="auto" w:fill="auto"/>
          </w:tcPr>
          <w:p w14:paraId="3D3830A7"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sądy powszechne</w:t>
            </w:r>
          </w:p>
        </w:tc>
        <w:tc>
          <w:tcPr>
            <w:tcW w:w="2294" w:type="dxa"/>
            <w:gridSpan w:val="9"/>
            <w:shd w:val="clear" w:color="auto" w:fill="auto"/>
          </w:tcPr>
          <w:p w14:paraId="2FAF4FE9"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375</w:t>
            </w:r>
          </w:p>
        </w:tc>
        <w:tc>
          <w:tcPr>
            <w:tcW w:w="2999" w:type="dxa"/>
            <w:gridSpan w:val="11"/>
            <w:shd w:val="clear" w:color="auto" w:fill="auto"/>
          </w:tcPr>
          <w:p w14:paraId="73995DEE"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Rocznik Statystyczny Rzeczypospolitej Polskiej 2021 str. 163-164 https://stat.gov.pl/obszary-tematyczne/roczniki-statystyczne/roczniki-statystyczne/rocznik-statystyczny-rzeczypospolitej-polskiej-2021,2,21.html</w:t>
            </w:r>
          </w:p>
        </w:tc>
        <w:tc>
          <w:tcPr>
            <w:tcW w:w="2808" w:type="dxa"/>
            <w:gridSpan w:val="7"/>
            <w:shd w:val="clear" w:color="auto" w:fill="auto"/>
          </w:tcPr>
          <w:p w14:paraId="5DB56DD1"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 xml:space="preserve">obowiązek utworzenia wewnętrznego kanału zgłoszeń oraz możliwe zwiększenie liczby spraw, przede wszystkim przed sądami pracy </w:t>
            </w:r>
          </w:p>
        </w:tc>
      </w:tr>
      <w:tr w:rsidR="00B236F6" w:rsidRPr="00B37C80" w14:paraId="17EB2AB5" w14:textId="77777777" w:rsidTr="00B236F6">
        <w:tblPrEx>
          <w:jc w:val="center"/>
          <w:tblInd w:w="0" w:type="dxa"/>
        </w:tblPrEx>
        <w:trPr>
          <w:trHeight w:val="142"/>
          <w:jc w:val="center"/>
        </w:trPr>
        <w:tc>
          <w:tcPr>
            <w:tcW w:w="2959" w:type="dxa"/>
            <w:gridSpan w:val="3"/>
            <w:shd w:val="clear" w:color="auto" w:fill="auto"/>
          </w:tcPr>
          <w:p w14:paraId="64157BBF"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organy wykonawcze jednostek samorządu terytorialnego</w:t>
            </w:r>
          </w:p>
        </w:tc>
        <w:tc>
          <w:tcPr>
            <w:tcW w:w="2294" w:type="dxa"/>
            <w:gridSpan w:val="9"/>
            <w:shd w:val="clear" w:color="auto" w:fill="auto"/>
          </w:tcPr>
          <w:p w14:paraId="273947FF"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2 807</w:t>
            </w:r>
          </w:p>
        </w:tc>
        <w:tc>
          <w:tcPr>
            <w:tcW w:w="2999" w:type="dxa"/>
            <w:gridSpan w:val="11"/>
            <w:shd w:val="clear" w:color="auto" w:fill="auto"/>
          </w:tcPr>
          <w:p w14:paraId="5B8BD3E8"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2477 gmin + 314 powiatów + 16 województw</w:t>
            </w:r>
          </w:p>
        </w:tc>
        <w:tc>
          <w:tcPr>
            <w:tcW w:w="2808" w:type="dxa"/>
            <w:gridSpan w:val="7"/>
            <w:shd w:val="clear" w:color="auto" w:fill="auto"/>
          </w:tcPr>
          <w:p w14:paraId="1E4D560E"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2EF49B2E" w14:textId="77777777" w:rsidTr="00B236F6">
        <w:tblPrEx>
          <w:jc w:val="center"/>
          <w:tblInd w:w="0" w:type="dxa"/>
        </w:tblPrEx>
        <w:trPr>
          <w:trHeight w:val="142"/>
          <w:jc w:val="center"/>
        </w:trPr>
        <w:tc>
          <w:tcPr>
            <w:tcW w:w="2959" w:type="dxa"/>
            <w:gridSpan w:val="3"/>
            <w:shd w:val="clear" w:color="auto" w:fill="auto"/>
          </w:tcPr>
          <w:p w14:paraId="33D23081"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regionalne izby obrachunkowe</w:t>
            </w:r>
          </w:p>
        </w:tc>
        <w:tc>
          <w:tcPr>
            <w:tcW w:w="2294" w:type="dxa"/>
            <w:gridSpan w:val="9"/>
            <w:shd w:val="clear" w:color="auto" w:fill="auto"/>
          </w:tcPr>
          <w:p w14:paraId="219B9B08"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16</w:t>
            </w:r>
          </w:p>
        </w:tc>
        <w:tc>
          <w:tcPr>
            <w:tcW w:w="2999" w:type="dxa"/>
            <w:gridSpan w:val="11"/>
            <w:shd w:val="clear" w:color="auto" w:fill="auto"/>
          </w:tcPr>
          <w:p w14:paraId="69975766"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https://rio.gov.pl</w:t>
            </w:r>
          </w:p>
        </w:tc>
        <w:tc>
          <w:tcPr>
            <w:tcW w:w="2808" w:type="dxa"/>
            <w:gridSpan w:val="7"/>
            <w:shd w:val="clear" w:color="auto" w:fill="auto"/>
          </w:tcPr>
          <w:p w14:paraId="6E00C78F"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10CE028F" w14:textId="77777777" w:rsidTr="00B236F6">
        <w:tblPrEx>
          <w:jc w:val="center"/>
          <w:tblInd w:w="0" w:type="dxa"/>
        </w:tblPrEx>
        <w:trPr>
          <w:trHeight w:val="142"/>
          <w:jc w:val="center"/>
        </w:trPr>
        <w:tc>
          <w:tcPr>
            <w:tcW w:w="2959" w:type="dxa"/>
            <w:gridSpan w:val="3"/>
            <w:shd w:val="clear" w:color="auto" w:fill="auto"/>
          </w:tcPr>
          <w:p w14:paraId="78F212A4"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Szef Sztabu Generalnego Wojska Polskiego</w:t>
            </w:r>
          </w:p>
        </w:tc>
        <w:tc>
          <w:tcPr>
            <w:tcW w:w="2294" w:type="dxa"/>
            <w:gridSpan w:val="9"/>
            <w:shd w:val="clear" w:color="auto" w:fill="auto"/>
          </w:tcPr>
          <w:p w14:paraId="79C22319"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1</w:t>
            </w:r>
          </w:p>
        </w:tc>
        <w:tc>
          <w:tcPr>
            <w:tcW w:w="2999" w:type="dxa"/>
            <w:gridSpan w:val="11"/>
            <w:shd w:val="clear" w:color="auto" w:fill="auto"/>
          </w:tcPr>
          <w:p w14:paraId="27C96A4C" w14:textId="77777777" w:rsidR="00B236F6" w:rsidRPr="00B236F6" w:rsidRDefault="00B236F6" w:rsidP="00015DF5">
            <w:pPr>
              <w:rPr>
                <w:rFonts w:ascii="Times New Roman" w:hAnsi="Times New Roman"/>
                <w:color w:val="000000"/>
                <w:spacing w:val="-2"/>
              </w:rPr>
            </w:pPr>
          </w:p>
        </w:tc>
        <w:tc>
          <w:tcPr>
            <w:tcW w:w="2808" w:type="dxa"/>
            <w:gridSpan w:val="7"/>
            <w:shd w:val="clear" w:color="auto" w:fill="auto"/>
          </w:tcPr>
          <w:p w14:paraId="74FFB4F5"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3D01C397" w14:textId="77777777" w:rsidTr="00B236F6">
        <w:tblPrEx>
          <w:jc w:val="center"/>
          <w:tblInd w:w="0" w:type="dxa"/>
        </w:tblPrEx>
        <w:trPr>
          <w:trHeight w:val="142"/>
          <w:jc w:val="center"/>
        </w:trPr>
        <w:tc>
          <w:tcPr>
            <w:tcW w:w="2959" w:type="dxa"/>
            <w:gridSpan w:val="3"/>
            <w:shd w:val="clear" w:color="auto" w:fill="auto"/>
          </w:tcPr>
          <w:p w14:paraId="4A44DCA0"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Komenda Główna Straży Pożarnej</w:t>
            </w:r>
          </w:p>
        </w:tc>
        <w:tc>
          <w:tcPr>
            <w:tcW w:w="2294" w:type="dxa"/>
            <w:gridSpan w:val="9"/>
            <w:shd w:val="clear" w:color="auto" w:fill="auto"/>
          </w:tcPr>
          <w:p w14:paraId="4ED0B433"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1</w:t>
            </w:r>
          </w:p>
        </w:tc>
        <w:tc>
          <w:tcPr>
            <w:tcW w:w="2999" w:type="dxa"/>
            <w:gridSpan w:val="11"/>
            <w:shd w:val="clear" w:color="auto" w:fill="auto"/>
          </w:tcPr>
          <w:p w14:paraId="379DECB5" w14:textId="77777777" w:rsidR="00B236F6" w:rsidRPr="00B236F6" w:rsidRDefault="00B236F6" w:rsidP="00015DF5">
            <w:pPr>
              <w:rPr>
                <w:rFonts w:ascii="Times New Roman" w:hAnsi="Times New Roman"/>
                <w:color w:val="000000"/>
                <w:spacing w:val="-2"/>
              </w:rPr>
            </w:pPr>
          </w:p>
        </w:tc>
        <w:tc>
          <w:tcPr>
            <w:tcW w:w="2808" w:type="dxa"/>
            <w:gridSpan w:val="7"/>
            <w:shd w:val="clear" w:color="auto" w:fill="auto"/>
          </w:tcPr>
          <w:p w14:paraId="408EAFF9"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5631F881" w14:textId="77777777" w:rsidTr="00B236F6">
        <w:tblPrEx>
          <w:jc w:val="center"/>
          <w:tblInd w:w="0" w:type="dxa"/>
        </w:tblPrEx>
        <w:trPr>
          <w:trHeight w:val="142"/>
          <w:jc w:val="center"/>
        </w:trPr>
        <w:tc>
          <w:tcPr>
            <w:tcW w:w="2959" w:type="dxa"/>
            <w:gridSpan w:val="3"/>
            <w:shd w:val="clear" w:color="auto" w:fill="auto"/>
          </w:tcPr>
          <w:p w14:paraId="07B9536C"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Komenda Główna Policji</w:t>
            </w:r>
          </w:p>
        </w:tc>
        <w:tc>
          <w:tcPr>
            <w:tcW w:w="2294" w:type="dxa"/>
            <w:gridSpan w:val="9"/>
            <w:shd w:val="clear" w:color="auto" w:fill="auto"/>
          </w:tcPr>
          <w:p w14:paraId="6BC2085C"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1</w:t>
            </w:r>
          </w:p>
        </w:tc>
        <w:tc>
          <w:tcPr>
            <w:tcW w:w="2999" w:type="dxa"/>
            <w:gridSpan w:val="11"/>
            <w:shd w:val="clear" w:color="auto" w:fill="auto"/>
          </w:tcPr>
          <w:p w14:paraId="0DC79F1F" w14:textId="77777777" w:rsidR="00B236F6" w:rsidRPr="00B236F6" w:rsidRDefault="00B236F6" w:rsidP="00015DF5">
            <w:pPr>
              <w:rPr>
                <w:rFonts w:ascii="Times New Roman" w:hAnsi="Times New Roman"/>
                <w:color w:val="000000"/>
                <w:spacing w:val="-2"/>
              </w:rPr>
            </w:pPr>
          </w:p>
        </w:tc>
        <w:tc>
          <w:tcPr>
            <w:tcW w:w="2808" w:type="dxa"/>
            <w:gridSpan w:val="7"/>
            <w:shd w:val="clear" w:color="auto" w:fill="auto"/>
          </w:tcPr>
          <w:p w14:paraId="3E3018BE"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rsidRPr="00B37C80" w14:paraId="1F024787" w14:textId="77777777" w:rsidTr="00B236F6">
        <w:tblPrEx>
          <w:jc w:val="center"/>
          <w:tblInd w:w="0" w:type="dxa"/>
        </w:tblPrEx>
        <w:trPr>
          <w:trHeight w:val="142"/>
          <w:jc w:val="center"/>
        </w:trPr>
        <w:tc>
          <w:tcPr>
            <w:tcW w:w="2959" w:type="dxa"/>
            <w:gridSpan w:val="3"/>
            <w:shd w:val="clear" w:color="auto" w:fill="auto"/>
          </w:tcPr>
          <w:p w14:paraId="561751A4" w14:textId="77777777" w:rsidR="00B236F6" w:rsidRPr="00B236F6" w:rsidRDefault="00B236F6" w:rsidP="00015DF5">
            <w:pPr>
              <w:tabs>
                <w:tab w:val="left" w:pos="1560"/>
              </w:tabs>
              <w:rPr>
                <w:rFonts w:ascii="Times New Roman" w:hAnsi="Times New Roman"/>
                <w:color w:val="000000"/>
              </w:rPr>
            </w:pPr>
            <w:r w:rsidRPr="00B236F6">
              <w:rPr>
                <w:rFonts w:ascii="Times New Roman" w:hAnsi="Times New Roman"/>
                <w:color w:val="000000"/>
              </w:rPr>
              <w:t>Urząd Komisji Nadzoru Finansowego</w:t>
            </w:r>
          </w:p>
        </w:tc>
        <w:tc>
          <w:tcPr>
            <w:tcW w:w="2294" w:type="dxa"/>
            <w:gridSpan w:val="9"/>
            <w:shd w:val="clear" w:color="auto" w:fill="auto"/>
          </w:tcPr>
          <w:p w14:paraId="57A3E62E" w14:textId="77777777" w:rsidR="00B236F6" w:rsidRPr="00B236F6" w:rsidRDefault="00B236F6" w:rsidP="00015DF5">
            <w:pPr>
              <w:jc w:val="center"/>
              <w:rPr>
                <w:rFonts w:ascii="Times New Roman" w:hAnsi="Times New Roman"/>
                <w:color w:val="000000"/>
                <w:spacing w:val="-2"/>
              </w:rPr>
            </w:pPr>
            <w:r w:rsidRPr="00B236F6">
              <w:rPr>
                <w:rFonts w:ascii="Times New Roman" w:hAnsi="Times New Roman"/>
                <w:color w:val="000000"/>
                <w:spacing w:val="-2"/>
              </w:rPr>
              <w:t>1</w:t>
            </w:r>
          </w:p>
        </w:tc>
        <w:tc>
          <w:tcPr>
            <w:tcW w:w="2999" w:type="dxa"/>
            <w:gridSpan w:val="11"/>
            <w:shd w:val="clear" w:color="auto" w:fill="auto"/>
          </w:tcPr>
          <w:p w14:paraId="45C2583D" w14:textId="77777777" w:rsidR="00B236F6" w:rsidRPr="00B236F6" w:rsidRDefault="00B236F6" w:rsidP="00015DF5">
            <w:pPr>
              <w:rPr>
                <w:rFonts w:ascii="Times New Roman" w:hAnsi="Times New Roman"/>
                <w:color w:val="000000"/>
                <w:spacing w:val="-2"/>
              </w:rPr>
            </w:pPr>
          </w:p>
        </w:tc>
        <w:tc>
          <w:tcPr>
            <w:tcW w:w="2808" w:type="dxa"/>
            <w:gridSpan w:val="7"/>
            <w:shd w:val="clear" w:color="auto" w:fill="auto"/>
          </w:tcPr>
          <w:p w14:paraId="4BBFFAB8" w14:textId="77777777" w:rsidR="00B236F6" w:rsidRPr="00B236F6" w:rsidRDefault="00B236F6" w:rsidP="00015DF5">
            <w:pPr>
              <w:rPr>
                <w:rFonts w:ascii="Times New Roman" w:hAnsi="Times New Roman"/>
                <w:color w:val="000000"/>
                <w:spacing w:val="-2"/>
              </w:rPr>
            </w:pPr>
            <w:r w:rsidRPr="00B236F6">
              <w:rPr>
                <w:rFonts w:ascii="Times New Roman" w:hAnsi="Times New Roman"/>
                <w:color w:val="000000"/>
                <w:spacing w:val="-2"/>
              </w:rPr>
              <w:t>obowiązek utworzenia zewnętrznego kanału zgłoszeń</w:t>
            </w:r>
          </w:p>
        </w:tc>
      </w:tr>
      <w:tr w:rsidR="00B236F6" w14:paraId="5A841839" w14:textId="77777777" w:rsidTr="00B236F6">
        <w:tblPrEx>
          <w:jc w:val="center"/>
          <w:tblInd w:w="0" w:type="dxa"/>
        </w:tblPrEx>
        <w:trPr>
          <w:trHeight w:val="142"/>
          <w:jc w:val="center"/>
        </w:trPr>
        <w:tc>
          <w:tcPr>
            <w:tcW w:w="2959" w:type="dxa"/>
            <w:gridSpan w:val="3"/>
            <w:shd w:val="clear" w:color="auto" w:fill="auto"/>
          </w:tcPr>
          <w:p w14:paraId="357EC1FD" w14:textId="77777777" w:rsidR="00B236F6" w:rsidRPr="00B236F6" w:rsidRDefault="00B236F6" w:rsidP="00015DF5">
            <w:pPr>
              <w:tabs>
                <w:tab w:val="left" w:pos="1560"/>
              </w:tabs>
              <w:rPr>
                <w:rFonts w:ascii="Times New Roman" w:hAnsi="Times New Roman"/>
                <w:iCs/>
              </w:rPr>
            </w:pPr>
            <w:r w:rsidRPr="00B236F6">
              <w:rPr>
                <w:rFonts w:ascii="Times New Roman" w:hAnsi="Times New Roman"/>
              </w:rPr>
              <w:t>Potencjalne o</w:t>
            </w:r>
            <w:r w:rsidRPr="00B236F6">
              <w:rPr>
                <w:rFonts w:ascii="Times New Roman" w:hAnsi="Times New Roman"/>
                <w:iCs/>
              </w:rPr>
              <w:t>soby mogące dokonać zgłoszenia naruszenia</w:t>
            </w:r>
          </w:p>
          <w:p w14:paraId="5AE4C660" w14:textId="77777777" w:rsidR="00B236F6" w:rsidRPr="00B236F6" w:rsidRDefault="00B236F6" w:rsidP="00015DF5">
            <w:pPr>
              <w:tabs>
                <w:tab w:val="left" w:pos="1560"/>
              </w:tabs>
              <w:rPr>
                <w:rFonts w:ascii="Times New Roman" w:hAnsi="Times New Roman"/>
                <w:i/>
                <w:color w:val="000000"/>
              </w:rPr>
            </w:pPr>
            <w:r w:rsidRPr="00B236F6">
              <w:rPr>
                <w:rFonts w:ascii="Times New Roman" w:hAnsi="Times New Roman"/>
                <w:i/>
                <w:iCs/>
              </w:rPr>
              <w:t>(niezależnie od podstawy i formy świadczenia pracy, m.in. umowa o pracę, umowa cywilnoprawna, prowadzenie działalności gospodarczej przez osobę fizyczną, kontrakt menedżerski, wolontariat, staż i praktyka).</w:t>
            </w:r>
          </w:p>
        </w:tc>
        <w:tc>
          <w:tcPr>
            <w:tcW w:w="2294" w:type="dxa"/>
            <w:gridSpan w:val="9"/>
            <w:tcBorders>
              <w:bottom w:val="single" w:sz="4" w:space="0" w:color="auto"/>
            </w:tcBorders>
            <w:shd w:val="clear" w:color="auto" w:fill="auto"/>
          </w:tcPr>
          <w:p w14:paraId="159B24F3" w14:textId="77777777" w:rsidR="00B236F6" w:rsidRPr="00B236F6" w:rsidRDefault="00B236F6" w:rsidP="00015DF5">
            <w:pPr>
              <w:jc w:val="both"/>
              <w:rPr>
                <w:rFonts w:ascii="Times New Roman" w:hAnsi="Times New Roman"/>
                <w:color w:val="000000"/>
                <w:spacing w:val="-2"/>
              </w:rPr>
            </w:pPr>
            <w:r w:rsidRPr="00B236F6">
              <w:rPr>
                <w:rFonts w:ascii="Times New Roman" w:hAnsi="Times New Roman"/>
                <w:color w:val="000000"/>
                <w:spacing w:val="-2"/>
              </w:rPr>
              <w:t>16 780 tys. – pracujący</w:t>
            </w:r>
          </w:p>
          <w:p w14:paraId="7BE52A1B" w14:textId="77777777" w:rsidR="00B236F6" w:rsidRPr="00B236F6" w:rsidRDefault="00B236F6" w:rsidP="00015DF5">
            <w:pPr>
              <w:jc w:val="both"/>
              <w:rPr>
                <w:rFonts w:ascii="Times New Roman" w:hAnsi="Times New Roman"/>
                <w:color w:val="000000"/>
                <w:spacing w:val="-2"/>
              </w:rPr>
            </w:pPr>
          </w:p>
          <w:p w14:paraId="218D57FB" w14:textId="77777777" w:rsidR="00B236F6" w:rsidRPr="00B236F6" w:rsidRDefault="00B236F6" w:rsidP="00015DF5">
            <w:pPr>
              <w:jc w:val="both"/>
              <w:rPr>
                <w:rFonts w:ascii="Times New Roman" w:hAnsi="Times New Roman"/>
                <w:color w:val="000000"/>
                <w:spacing w:val="-2"/>
              </w:rPr>
            </w:pPr>
          </w:p>
        </w:tc>
        <w:tc>
          <w:tcPr>
            <w:tcW w:w="2999" w:type="dxa"/>
            <w:gridSpan w:val="11"/>
            <w:shd w:val="clear" w:color="auto" w:fill="auto"/>
          </w:tcPr>
          <w:p w14:paraId="4674E990" w14:textId="77777777" w:rsidR="00B236F6" w:rsidRPr="00B236F6" w:rsidRDefault="00B236F6" w:rsidP="00015DF5">
            <w:pPr>
              <w:rPr>
                <w:rFonts w:ascii="Times New Roman" w:hAnsi="Times New Roman"/>
                <w:iCs/>
                <w:color w:val="000000"/>
                <w:spacing w:val="-2"/>
              </w:rPr>
            </w:pPr>
            <w:r w:rsidRPr="00B236F6">
              <w:rPr>
                <w:rFonts w:ascii="Times New Roman" w:hAnsi="Times New Roman"/>
                <w:iCs/>
                <w:color w:val="000000"/>
                <w:spacing w:val="-2"/>
              </w:rPr>
              <w:t>Dane BAEL (IV kw. 2021 r.)</w:t>
            </w:r>
          </w:p>
          <w:p w14:paraId="0E3107B1" w14:textId="77777777" w:rsidR="00B236F6" w:rsidRPr="00B236F6" w:rsidRDefault="00B236F6" w:rsidP="00015DF5">
            <w:pPr>
              <w:rPr>
                <w:rFonts w:ascii="Times New Roman" w:hAnsi="Times New Roman"/>
                <w:color w:val="000000"/>
                <w:spacing w:val="-2"/>
                <w:lang w:val="en-US"/>
              </w:rPr>
            </w:pPr>
            <w:r w:rsidRPr="00B236F6">
              <w:rPr>
                <w:rFonts w:ascii="Times New Roman" w:hAnsi="Times New Roman"/>
                <w:lang w:val="en-US"/>
              </w:rPr>
              <w:t>https://stat.gov.pl/obszary-tematyczne/rynek-pracy/pracujacy-bezrobotni-bierni-zawodowo-wg-bael/pracujacy-bezrobotni-i-bierni-zawodowo-wyniki-wstepne-bael-w-czwartym-kwartale-2021-r-,12,50.html</w:t>
            </w:r>
            <w:r w:rsidRPr="00B236F6" w:rsidDel="00C444D9">
              <w:rPr>
                <w:rFonts w:ascii="Times New Roman" w:hAnsi="Times New Roman"/>
                <w:lang w:val="en-US"/>
              </w:rPr>
              <w:t xml:space="preserve"> </w:t>
            </w:r>
            <w:r w:rsidRPr="00B236F6">
              <w:rPr>
                <w:rFonts w:ascii="Times New Roman" w:hAnsi="Times New Roman"/>
                <w:lang w:val="en-US"/>
              </w:rPr>
              <w:t>– GUS</w:t>
            </w:r>
          </w:p>
        </w:tc>
        <w:tc>
          <w:tcPr>
            <w:tcW w:w="2808" w:type="dxa"/>
            <w:gridSpan w:val="7"/>
            <w:shd w:val="clear" w:color="auto" w:fill="auto"/>
          </w:tcPr>
          <w:p w14:paraId="0A00C4A1" w14:textId="77777777" w:rsidR="00B236F6" w:rsidRPr="00B236F6" w:rsidRDefault="00B236F6" w:rsidP="00015DF5">
            <w:pPr>
              <w:jc w:val="both"/>
              <w:rPr>
                <w:rFonts w:ascii="Times New Roman" w:hAnsi="Times New Roman"/>
                <w:color w:val="000000"/>
                <w:spacing w:val="-2"/>
              </w:rPr>
            </w:pPr>
            <w:r w:rsidRPr="00B236F6">
              <w:rPr>
                <w:rFonts w:ascii="Times New Roman" w:hAnsi="Times New Roman"/>
                <w:color w:val="000000"/>
                <w:spacing w:val="-2"/>
              </w:rPr>
              <w:t xml:space="preserve">zapewnienie ochrony praw zgłaszających naruszenia; uregulowanie rozwiązań służących przyjmowaniu takich zgłoszeń oraz zasad reakcji na zgłoszenia; zgłaszający uzyskają istotne prawne narzędzia ochrony przed nieuzasadnionymi działaniami odwetowymi </w:t>
            </w:r>
            <w:r w:rsidRPr="00B236F6">
              <w:rPr>
                <w:rFonts w:ascii="Times New Roman" w:hAnsi="Times New Roman"/>
                <w:color w:val="000000"/>
                <w:spacing w:val="-2"/>
              </w:rPr>
              <w:lastRenderedPageBreak/>
              <w:t>będącymi następstwem reakcji na nieprawidłowości</w:t>
            </w:r>
          </w:p>
        </w:tc>
      </w:tr>
      <w:tr w:rsidR="00C017C1" w:rsidRPr="008B4FE6" w14:paraId="1F58EB15" w14:textId="77777777" w:rsidTr="00B236F6">
        <w:trPr>
          <w:gridAfter w:val="1"/>
          <w:wAfter w:w="10" w:type="dxa"/>
          <w:trHeight w:val="302"/>
        </w:trPr>
        <w:tc>
          <w:tcPr>
            <w:tcW w:w="11050" w:type="dxa"/>
            <w:gridSpan w:val="29"/>
            <w:shd w:val="clear" w:color="auto" w:fill="99CCFF"/>
            <w:vAlign w:val="center"/>
          </w:tcPr>
          <w:p w14:paraId="18A22457"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C017C1" w:rsidRPr="008B4FE6" w14:paraId="426C1CEA" w14:textId="77777777" w:rsidTr="00B236F6">
        <w:trPr>
          <w:gridAfter w:val="1"/>
          <w:wAfter w:w="10" w:type="dxa"/>
          <w:trHeight w:val="342"/>
        </w:trPr>
        <w:tc>
          <w:tcPr>
            <w:tcW w:w="11050" w:type="dxa"/>
            <w:gridSpan w:val="29"/>
            <w:shd w:val="clear" w:color="auto" w:fill="FFFFFF"/>
          </w:tcPr>
          <w:p w14:paraId="313F576D" w14:textId="494CC182" w:rsidR="00C017C1" w:rsidRPr="00B527E0" w:rsidRDefault="00C017C1" w:rsidP="00C017C1">
            <w:pPr>
              <w:spacing w:line="240" w:lineRule="auto"/>
              <w:jc w:val="both"/>
              <w:rPr>
                <w:rFonts w:ascii="Times New Roman" w:hAnsi="Times New Roman"/>
                <w:color w:val="000000"/>
                <w:spacing w:val="-2"/>
              </w:rPr>
            </w:pPr>
            <w:r w:rsidRPr="00A6048A">
              <w:rPr>
                <w:rFonts w:ascii="Times New Roman" w:hAnsi="Times New Roman"/>
                <w:color w:val="000000"/>
                <w:spacing w:val="-2"/>
              </w:rPr>
              <w:t>Projekt zosta</w:t>
            </w:r>
            <w:r w:rsidR="00EB177B">
              <w:rPr>
                <w:rFonts w:ascii="Times New Roman" w:hAnsi="Times New Roman"/>
                <w:color w:val="000000"/>
                <w:spacing w:val="-2"/>
              </w:rPr>
              <w:t>ł</w:t>
            </w:r>
            <w:r w:rsidRPr="00A6048A">
              <w:rPr>
                <w:rFonts w:ascii="Times New Roman" w:hAnsi="Times New Roman"/>
                <w:color w:val="000000"/>
                <w:spacing w:val="-2"/>
              </w:rPr>
              <w:t xml:space="preserve"> </w:t>
            </w:r>
            <w:r w:rsidR="00AC4318">
              <w:rPr>
                <w:rFonts w:ascii="Times New Roman" w:hAnsi="Times New Roman"/>
                <w:color w:val="000000"/>
                <w:spacing w:val="-2"/>
              </w:rPr>
              <w:t xml:space="preserve">w dniu 18 października 2021 r. </w:t>
            </w:r>
            <w:r w:rsidRPr="00A6048A">
              <w:rPr>
                <w:rFonts w:ascii="Times New Roman" w:hAnsi="Times New Roman"/>
                <w:color w:val="000000"/>
                <w:spacing w:val="-2"/>
              </w:rPr>
              <w:t xml:space="preserve">przekazany do konsultacji publicznych, zgodnie z przepisami uchwały </w:t>
            </w:r>
            <w:r w:rsidR="009269B7">
              <w:rPr>
                <w:rFonts w:ascii="Times New Roman" w:hAnsi="Times New Roman"/>
                <w:color w:val="000000"/>
                <w:spacing w:val="-2"/>
              </w:rPr>
              <w:t>n</w:t>
            </w:r>
            <w:r w:rsidR="009269B7" w:rsidRPr="00A6048A">
              <w:rPr>
                <w:rFonts w:ascii="Times New Roman" w:hAnsi="Times New Roman"/>
                <w:color w:val="000000"/>
                <w:spacing w:val="-2"/>
              </w:rPr>
              <w:t xml:space="preserve">r </w:t>
            </w:r>
            <w:r w:rsidRPr="00A6048A">
              <w:rPr>
                <w:rFonts w:ascii="Times New Roman" w:hAnsi="Times New Roman"/>
                <w:color w:val="000000"/>
                <w:spacing w:val="-2"/>
              </w:rPr>
              <w:t>190 Rady Ministrów z dnia 29 października 2013 r. – Regulamin pracy Rady Ministrów (M.P. z 20</w:t>
            </w:r>
            <w:r w:rsidR="003F7B2C">
              <w:rPr>
                <w:rFonts w:ascii="Times New Roman" w:hAnsi="Times New Roman"/>
                <w:color w:val="000000"/>
                <w:spacing w:val="-2"/>
              </w:rPr>
              <w:t>22</w:t>
            </w:r>
            <w:r w:rsidRPr="00A6048A">
              <w:rPr>
                <w:rFonts w:ascii="Times New Roman" w:hAnsi="Times New Roman"/>
                <w:color w:val="000000"/>
                <w:spacing w:val="-2"/>
              </w:rPr>
              <w:t xml:space="preserve"> r. poz. </w:t>
            </w:r>
            <w:r w:rsidR="003F7B2C">
              <w:rPr>
                <w:rFonts w:ascii="Times New Roman" w:hAnsi="Times New Roman"/>
                <w:color w:val="000000"/>
                <w:spacing w:val="-2"/>
              </w:rPr>
              <w:t>348</w:t>
            </w:r>
            <w:r w:rsidRPr="00A6048A">
              <w:rPr>
                <w:rFonts w:ascii="Times New Roman" w:hAnsi="Times New Roman"/>
                <w:color w:val="000000"/>
                <w:spacing w:val="-2"/>
              </w:rPr>
              <w:t>).</w:t>
            </w:r>
            <w:r>
              <w:rPr>
                <w:rFonts w:ascii="Times New Roman" w:hAnsi="Times New Roman"/>
                <w:color w:val="000000"/>
                <w:spacing w:val="-2"/>
              </w:rPr>
              <w:t xml:space="preserve"> </w:t>
            </w:r>
            <w:r w:rsidRPr="00A6048A">
              <w:rPr>
                <w:rFonts w:ascii="Times New Roman" w:hAnsi="Times New Roman"/>
              </w:rPr>
              <w:t>W ramach konsul</w:t>
            </w:r>
            <w:r>
              <w:rPr>
                <w:rFonts w:ascii="Times New Roman" w:hAnsi="Times New Roman"/>
              </w:rPr>
              <w:t>tacji publicznych projekt zosta</w:t>
            </w:r>
            <w:r w:rsidR="00EB177B">
              <w:rPr>
                <w:rFonts w:ascii="Times New Roman" w:hAnsi="Times New Roman"/>
              </w:rPr>
              <w:t>ł</w:t>
            </w:r>
            <w:r w:rsidRPr="00A6048A">
              <w:rPr>
                <w:rFonts w:ascii="Times New Roman" w:hAnsi="Times New Roman"/>
              </w:rPr>
              <w:t xml:space="preserve"> przekazany </w:t>
            </w:r>
            <w:r>
              <w:rPr>
                <w:rFonts w:ascii="Times New Roman" w:hAnsi="Times New Roman"/>
              </w:rPr>
              <w:t xml:space="preserve">m.in. </w:t>
            </w:r>
            <w:r w:rsidRPr="00A6048A">
              <w:rPr>
                <w:rFonts w:ascii="Times New Roman" w:hAnsi="Times New Roman"/>
              </w:rPr>
              <w:t>do:</w:t>
            </w:r>
          </w:p>
          <w:p w14:paraId="6609BF6C" w14:textId="77777777" w:rsidR="00C017C1" w:rsidRDefault="00C017C1" w:rsidP="00C017C1">
            <w:pPr>
              <w:spacing w:line="240" w:lineRule="auto"/>
              <w:jc w:val="both"/>
              <w:rPr>
                <w:rFonts w:ascii="Times New Roman" w:hAnsi="Times New Roman"/>
              </w:rPr>
            </w:pPr>
            <w:r>
              <w:rPr>
                <w:rFonts w:ascii="Times New Roman" w:hAnsi="Times New Roman"/>
              </w:rPr>
              <w:t>1) Fundacji im. Stefana Batorego;</w:t>
            </w:r>
          </w:p>
          <w:p w14:paraId="1F016F5F" w14:textId="77777777" w:rsidR="00C017C1" w:rsidRDefault="00C017C1" w:rsidP="00C017C1">
            <w:pPr>
              <w:spacing w:line="240" w:lineRule="auto"/>
              <w:jc w:val="both"/>
              <w:rPr>
                <w:rFonts w:ascii="Times New Roman" w:hAnsi="Times New Roman"/>
              </w:rPr>
            </w:pPr>
            <w:r>
              <w:rPr>
                <w:rFonts w:ascii="Times New Roman" w:hAnsi="Times New Roman"/>
              </w:rPr>
              <w:t>2) Helsińskiej Fundacji Praw Człowieka;</w:t>
            </w:r>
          </w:p>
          <w:p w14:paraId="151A60E3" w14:textId="77777777" w:rsidR="00C017C1" w:rsidRDefault="00C017C1" w:rsidP="00C017C1">
            <w:pPr>
              <w:spacing w:line="240" w:lineRule="auto"/>
              <w:jc w:val="both"/>
              <w:rPr>
                <w:rFonts w:ascii="Times New Roman" w:hAnsi="Times New Roman"/>
              </w:rPr>
            </w:pPr>
            <w:r>
              <w:rPr>
                <w:rFonts w:ascii="Times New Roman" w:hAnsi="Times New Roman"/>
              </w:rPr>
              <w:t>3) Amnesty International Polska;</w:t>
            </w:r>
          </w:p>
          <w:p w14:paraId="3003A1FB" w14:textId="77777777" w:rsidR="00C017C1" w:rsidRDefault="00C017C1" w:rsidP="00C017C1">
            <w:pPr>
              <w:spacing w:line="240" w:lineRule="auto"/>
              <w:jc w:val="both"/>
              <w:rPr>
                <w:rFonts w:ascii="Times New Roman" w:hAnsi="Times New Roman"/>
              </w:rPr>
            </w:pPr>
            <w:r>
              <w:rPr>
                <w:rFonts w:ascii="Times New Roman" w:hAnsi="Times New Roman"/>
              </w:rPr>
              <w:t>4) Związku Przedsiębiorstw Finansowych w Polsce;</w:t>
            </w:r>
          </w:p>
          <w:p w14:paraId="1669F8E5" w14:textId="77777777" w:rsidR="00C017C1" w:rsidRDefault="00C017C1" w:rsidP="00C017C1">
            <w:pPr>
              <w:spacing w:line="240" w:lineRule="auto"/>
              <w:jc w:val="both"/>
              <w:rPr>
                <w:rFonts w:ascii="Times New Roman" w:hAnsi="Times New Roman"/>
              </w:rPr>
            </w:pPr>
            <w:r>
              <w:rPr>
                <w:rFonts w:ascii="Times New Roman" w:hAnsi="Times New Roman"/>
              </w:rPr>
              <w:t>5) Związku Banków Polskich;</w:t>
            </w:r>
          </w:p>
          <w:p w14:paraId="7A7E3371" w14:textId="77777777" w:rsidR="00C017C1" w:rsidRDefault="00C017C1" w:rsidP="00C017C1">
            <w:pPr>
              <w:spacing w:line="240" w:lineRule="auto"/>
              <w:jc w:val="both"/>
              <w:rPr>
                <w:rFonts w:ascii="Times New Roman" w:hAnsi="Times New Roman"/>
              </w:rPr>
            </w:pPr>
            <w:r>
              <w:rPr>
                <w:rFonts w:ascii="Times New Roman" w:hAnsi="Times New Roman"/>
              </w:rPr>
              <w:t>6) Krajowej Izby Gospodarczej;</w:t>
            </w:r>
          </w:p>
          <w:p w14:paraId="5688767A" w14:textId="77777777" w:rsidR="00C017C1" w:rsidRDefault="00C017C1" w:rsidP="00C017C1">
            <w:pPr>
              <w:spacing w:line="240" w:lineRule="auto"/>
              <w:jc w:val="both"/>
              <w:rPr>
                <w:rFonts w:ascii="Times New Roman" w:hAnsi="Times New Roman"/>
              </w:rPr>
            </w:pPr>
            <w:r>
              <w:rPr>
                <w:rFonts w:ascii="Times New Roman" w:hAnsi="Times New Roman"/>
              </w:rPr>
              <w:t>7) Izby Domów Maklerskich;</w:t>
            </w:r>
          </w:p>
          <w:p w14:paraId="4C360D0C" w14:textId="77777777" w:rsidR="00C017C1" w:rsidRDefault="00C017C1" w:rsidP="00C017C1">
            <w:pPr>
              <w:spacing w:line="240" w:lineRule="auto"/>
              <w:jc w:val="both"/>
              <w:rPr>
                <w:rFonts w:ascii="Times New Roman" w:hAnsi="Times New Roman"/>
              </w:rPr>
            </w:pPr>
            <w:r>
              <w:rPr>
                <w:rFonts w:ascii="Times New Roman" w:hAnsi="Times New Roman"/>
              </w:rPr>
              <w:t>8) Izby Zarządzających Funduszami i Aktywami;</w:t>
            </w:r>
          </w:p>
          <w:p w14:paraId="509F6052" w14:textId="77777777" w:rsidR="00C017C1" w:rsidRDefault="00C017C1" w:rsidP="00C017C1">
            <w:pPr>
              <w:tabs>
                <w:tab w:val="left" w:pos="7935"/>
              </w:tabs>
              <w:spacing w:line="240" w:lineRule="auto"/>
              <w:jc w:val="both"/>
              <w:rPr>
                <w:rFonts w:ascii="Times New Roman" w:hAnsi="Times New Roman"/>
              </w:rPr>
            </w:pPr>
            <w:r>
              <w:rPr>
                <w:rFonts w:ascii="Times New Roman" w:hAnsi="Times New Roman"/>
              </w:rPr>
              <w:t>9) Krajowej Spółdzielczej</w:t>
            </w:r>
            <w:r w:rsidRPr="00C363D7">
              <w:rPr>
                <w:rFonts w:ascii="Times New Roman" w:hAnsi="Times New Roman"/>
              </w:rPr>
              <w:t xml:space="preserve"> Kas</w:t>
            </w:r>
            <w:r>
              <w:rPr>
                <w:rFonts w:ascii="Times New Roman" w:hAnsi="Times New Roman"/>
              </w:rPr>
              <w:t>y Oszczędnościowo-Kredytowej;</w:t>
            </w:r>
            <w:r>
              <w:rPr>
                <w:rFonts w:ascii="Times New Roman" w:hAnsi="Times New Roman"/>
              </w:rPr>
              <w:tab/>
            </w:r>
          </w:p>
          <w:p w14:paraId="0D3F1743" w14:textId="77777777" w:rsidR="00C017C1" w:rsidRDefault="00C017C1" w:rsidP="00C017C1">
            <w:pPr>
              <w:spacing w:line="240" w:lineRule="auto"/>
              <w:jc w:val="both"/>
              <w:rPr>
                <w:rFonts w:ascii="Times New Roman" w:hAnsi="Times New Roman"/>
              </w:rPr>
            </w:pPr>
            <w:r>
              <w:rPr>
                <w:rFonts w:ascii="Times New Roman" w:hAnsi="Times New Roman"/>
              </w:rPr>
              <w:t>10) Związku Polskiego Leasingu;</w:t>
            </w:r>
          </w:p>
          <w:p w14:paraId="486C2747" w14:textId="77777777" w:rsidR="00C017C1" w:rsidRDefault="00C017C1" w:rsidP="00C017C1">
            <w:pPr>
              <w:spacing w:line="240" w:lineRule="auto"/>
              <w:jc w:val="both"/>
              <w:rPr>
                <w:rFonts w:ascii="Times New Roman" w:hAnsi="Times New Roman"/>
              </w:rPr>
            </w:pPr>
            <w:r>
              <w:rPr>
                <w:rFonts w:ascii="Times New Roman" w:hAnsi="Times New Roman"/>
              </w:rPr>
              <w:t>11) Krajowego Związku Banków Spółdzielczych;</w:t>
            </w:r>
          </w:p>
          <w:p w14:paraId="782BA2A2" w14:textId="77777777" w:rsidR="00C017C1" w:rsidRDefault="00C017C1" w:rsidP="00C017C1">
            <w:pPr>
              <w:spacing w:line="240" w:lineRule="auto"/>
              <w:jc w:val="both"/>
              <w:rPr>
                <w:rFonts w:ascii="Times New Roman" w:hAnsi="Times New Roman"/>
              </w:rPr>
            </w:pPr>
            <w:r>
              <w:rPr>
                <w:rFonts w:ascii="Times New Roman" w:hAnsi="Times New Roman"/>
              </w:rPr>
              <w:t>12) Polskiej Izby Brokerów Ubezpieczeniowych i Reasekuracyjnych;</w:t>
            </w:r>
          </w:p>
          <w:p w14:paraId="3D0B2ADF" w14:textId="77777777" w:rsidR="00C017C1" w:rsidRDefault="00C017C1" w:rsidP="00C017C1">
            <w:pPr>
              <w:spacing w:line="240" w:lineRule="auto"/>
              <w:jc w:val="both"/>
              <w:rPr>
                <w:rFonts w:ascii="Times New Roman" w:hAnsi="Times New Roman"/>
              </w:rPr>
            </w:pPr>
            <w:r>
              <w:rPr>
                <w:rFonts w:ascii="Times New Roman" w:hAnsi="Times New Roman"/>
              </w:rPr>
              <w:t>13) Polskiej Izby Ubezpieczeń;</w:t>
            </w:r>
          </w:p>
          <w:p w14:paraId="707876F7" w14:textId="77777777" w:rsidR="00C017C1" w:rsidRDefault="00C017C1" w:rsidP="00C017C1">
            <w:pPr>
              <w:spacing w:line="240" w:lineRule="auto"/>
              <w:jc w:val="both"/>
              <w:rPr>
                <w:rFonts w:ascii="Times New Roman" w:hAnsi="Times New Roman"/>
              </w:rPr>
            </w:pPr>
            <w:r>
              <w:rPr>
                <w:rFonts w:ascii="Times New Roman" w:hAnsi="Times New Roman"/>
              </w:rPr>
              <w:t>14) Polskiej Organizacji</w:t>
            </w:r>
            <w:r w:rsidRPr="0096509E">
              <w:rPr>
                <w:rFonts w:ascii="Times New Roman" w:hAnsi="Times New Roman"/>
              </w:rPr>
              <w:t xml:space="preserve"> Niebankowych Instytucji Płatności </w:t>
            </w:r>
            <w:r>
              <w:rPr>
                <w:rFonts w:ascii="Times New Roman" w:hAnsi="Times New Roman"/>
              </w:rPr>
              <w:t xml:space="preserve">– </w:t>
            </w:r>
            <w:r w:rsidRPr="0096509E">
              <w:rPr>
                <w:rFonts w:ascii="Times New Roman" w:hAnsi="Times New Roman"/>
              </w:rPr>
              <w:t>Związek Pracodawców</w:t>
            </w:r>
            <w:r>
              <w:rPr>
                <w:rFonts w:ascii="Times New Roman" w:hAnsi="Times New Roman"/>
              </w:rPr>
              <w:t>;</w:t>
            </w:r>
          </w:p>
          <w:p w14:paraId="5878C648" w14:textId="77777777" w:rsidR="00C017C1" w:rsidRDefault="00C017C1" w:rsidP="00C017C1">
            <w:pPr>
              <w:spacing w:line="240" w:lineRule="auto"/>
              <w:jc w:val="both"/>
              <w:rPr>
                <w:rFonts w:ascii="Times New Roman" w:hAnsi="Times New Roman"/>
              </w:rPr>
            </w:pPr>
            <w:r>
              <w:rPr>
                <w:rFonts w:ascii="Times New Roman" w:hAnsi="Times New Roman"/>
              </w:rPr>
              <w:t>15) Polskiego Związku Funduszy Pożyczkowych;</w:t>
            </w:r>
          </w:p>
          <w:p w14:paraId="2C5BAF5E" w14:textId="77777777" w:rsidR="00C017C1" w:rsidRDefault="00C017C1" w:rsidP="00C017C1">
            <w:pPr>
              <w:spacing w:line="240" w:lineRule="auto"/>
              <w:jc w:val="both"/>
              <w:rPr>
                <w:rFonts w:ascii="Times New Roman" w:hAnsi="Times New Roman"/>
              </w:rPr>
            </w:pPr>
            <w:r>
              <w:rPr>
                <w:rFonts w:ascii="Times New Roman" w:hAnsi="Times New Roman"/>
              </w:rPr>
              <w:t>16) Polskiego Związku Instytucji Pożyczkowych;</w:t>
            </w:r>
          </w:p>
          <w:p w14:paraId="5463829D" w14:textId="77777777" w:rsidR="00C017C1" w:rsidRDefault="00C017C1" w:rsidP="00C017C1">
            <w:pPr>
              <w:spacing w:line="240" w:lineRule="auto"/>
              <w:jc w:val="both"/>
              <w:rPr>
                <w:rFonts w:ascii="Times New Roman" w:hAnsi="Times New Roman"/>
              </w:rPr>
            </w:pPr>
            <w:r>
              <w:rPr>
                <w:rFonts w:ascii="Times New Roman" w:hAnsi="Times New Roman"/>
              </w:rPr>
              <w:t>17) Stowarzyszenia</w:t>
            </w:r>
            <w:r w:rsidRPr="0096509E">
              <w:rPr>
                <w:rFonts w:ascii="Times New Roman" w:hAnsi="Times New Roman"/>
              </w:rPr>
              <w:t xml:space="preserve"> Polskich Brokerów Ubezpieczeniowych i Reasekuracyjnych</w:t>
            </w:r>
            <w:r>
              <w:rPr>
                <w:rFonts w:ascii="Times New Roman" w:hAnsi="Times New Roman"/>
              </w:rPr>
              <w:t>;</w:t>
            </w:r>
          </w:p>
          <w:p w14:paraId="0896963B" w14:textId="77777777" w:rsidR="00C017C1" w:rsidRDefault="00C017C1" w:rsidP="00C017C1">
            <w:pPr>
              <w:spacing w:line="240" w:lineRule="auto"/>
              <w:jc w:val="both"/>
              <w:rPr>
                <w:rFonts w:ascii="Times New Roman" w:hAnsi="Times New Roman"/>
              </w:rPr>
            </w:pPr>
            <w:r>
              <w:rPr>
                <w:rFonts w:ascii="Times New Roman" w:hAnsi="Times New Roman"/>
              </w:rPr>
              <w:t xml:space="preserve">18) </w:t>
            </w:r>
            <w:r w:rsidRPr="0096509E">
              <w:rPr>
                <w:rFonts w:ascii="Times New Roman" w:hAnsi="Times New Roman"/>
              </w:rPr>
              <w:t>Polski</w:t>
            </w:r>
            <w:r>
              <w:rPr>
                <w:rFonts w:ascii="Times New Roman" w:hAnsi="Times New Roman"/>
              </w:rPr>
              <w:t>ego Związku</w:t>
            </w:r>
            <w:r w:rsidRPr="0096509E">
              <w:rPr>
                <w:rFonts w:ascii="Times New Roman" w:hAnsi="Times New Roman"/>
              </w:rPr>
              <w:t xml:space="preserve"> Zarządzania Windykacjami</w:t>
            </w:r>
            <w:r>
              <w:rPr>
                <w:rFonts w:ascii="Times New Roman" w:hAnsi="Times New Roman"/>
              </w:rPr>
              <w:t>;</w:t>
            </w:r>
          </w:p>
          <w:p w14:paraId="140E1D11" w14:textId="77777777" w:rsidR="00C017C1" w:rsidRDefault="00C017C1" w:rsidP="00C017C1">
            <w:pPr>
              <w:spacing w:line="240" w:lineRule="auto"/>
              <w:jc w:val="both"/>
              <w:rPr>
                <w:rFonts w:ascii="Times New Roman" w:hAnsi="Times New Roman"/>
              </w:rPr>
            </w:pPr>
            <w:r>
              <w:rPr>
                <w:rFonts w:ascii="Times New Roman" w:hAnsi="Times New Roman"/>
              </w:rPr>
              <w:t>19) Naczelna Rada Adwokacka;</w:t>
            </w:r>
          </w:p>
          <w:p w14:paraId="7C7DE186" w14:textId="77777777" w:rsidR="00C017C1" w:rsidRDefault="00C017C1" w:rsidP="00C017C1">
            <w:pPr>
              <w:spacing w:line="240" w:lineRule="auto"/>
              <w:jc w:val="both"/>
              <w:rPr>
                <w:rFonts w:ascii="Times New Roman" w:hAnsi="Times New Roman"/>
              </w:rPr>
            </w:pPr>
            <w:r>
              <w:rPr>
                <w:rFonts w:ascii="Times New Roman" w:hAnsi="Times New Roman"/>
              </w:rPr>
              <w:t>20) Krajowa Izba Radców Prawnych;</w:t>
            </w:r>
          </w:p>
          <w:p w14:paraId="0441D568" w14:textId="77777777" w:rsidR="00C017C1" w:rsidRDefault="00C017C1" w:rsidP="00C017C1">
            <w:pPr>
              <w:spacing w:line="240" w:lineRule="auto"/>
              <w:jc w:val="both"/>
              <w:rPr>
                <w:rFonts w:ascii="Times New Roman" w:hAnsi="Times New Roman"/>
              </w:rPr>
            </w:pPr>
            <w:r>
              <w:rPr>
                <w:rFonts w:ascii="Times New Roman" w:hAnsi="Times New Roman"/>
              </w:rPr>
              <w:t>21) Stowarzyszenie Sędziów Polskich "Iustitia";</w:t>
            </w:r>
          </w:p>
          <w:p w14:paraId="6CA4B6D8" w14:textId="77777777" w:rsidR="00C017C1" w:rsidRDefault="00C017C1" w:rsidP="00C017C1">
            <w:pPr>
              <w:spacing w:line="240" w:lineRule="auto"/>
              <w:jc w:val="both"/>
              <w:rPr>
                <w:rFonts w:ascii="Times New Roman" w:hAnsi="Times New Roman"/>
              </w:rPr>
            </w:pPr>
            <w:r>
              <w:rPr>
                <w:rFonts w:ascii="Times New Roman" w:hAnsi="Times New Roman"/>
              </w:rPr>
              <w:t>22) Stowarzyszenie Sędziów Themis,</w:t>
            </w:r>
          </w:p>
          <w:p w14:paraId="060761ED" w14:textId="77777777" w:rsidR="00C017C1" w:rsidRDefault="00C017C1" w:rsidP="00C017C1">
            <w:pPr>
              <w:spacing w:line="240" w:lineRule="auto"/>
              <w:jc w:val="both"/>
              <w:rPr>
                <w:rFonts w:ascii="Times New Roman" w:hAnsi="Times New Roman"/>
              </w:rPr>
            </w:pPr>
            <w:r>
              <w:rPr>
                <w:rFonts w:ascii="Times New Roman" w:hAnsi="Times New Roman"/>
              </w:rPr>
              <w:t>23) Związek Miast Polskich;</w:t>
            </w:r>
          </w:p>
          <w:p w14:paraId="64447279" w14:textId="77777777" w:rsidR="00C017C1" w:rsidRDefault="00C017C1" w:rsidP="00C017C1">
            <w:pPr>
              <w:spacing w:line="240" w:lineRule="auto"/>
              <w:jc w:val="both"/>
              <w:rPr>
                <w:rFonts w:ascii="Times New Roman" w:hAnsi="Times New Roman"/>
              </w:rPr>
            </w:pPr>
            <w:r>
              <w:rPr>
                <w:rFonts w:ascii="Times New Roman" w:hAnsi="Times New Roman"/>
              </w:rPr>
              <w:t>24) Unia Miasteczek Polskich;</w:t>
            </w:r>
          </w:p>
          <w:p w14:paraId="30E880B2" w14:textId="77777777" w:rsidR="00C017C1" w:rsidRDefault="00C017C1" w:rsidP="00C017C1">
            <w:pPr>
              <w:spacing w:line="240" w:lineRule="auto"/>
              <w:jc w:val="both"/>
              <w:rPr>
                <w:rFonts w:ascii="Times New Roman" w:hAnsi="Times New Roman"/>
              </w:rPr>
            </w:pPr>
            <w:r>
              <w:rPr>
                <w:rFonts w:ascii="Times New Roman" w:hAnsi="Times New Roman"/>
              </w:rPr>
              <w:t>25) Związek Województw RP;</w:t>
            </w:r>
          </w:p>
          <w:p w14:paraId="629E065A" w14:textId="77777777" w:rsidR="00C017C1" w:rsidRDefault="00C017C1" w:rsidP="00C017C1">
            <w:pPr>
              <w:spacing w:line="240" w:lineRule="auto"/>
              <w:jc w:val="both"/>
              <w:rPr>
                <w:rFonts w:ascii="Times New Roman" w:hAnsi="Times New Roman"/>
              </w:rPr>
            </w:pPr>
            <w:r>
              <w:rPr>
                <w:rFonts w:ascii="Times New Roman" w:hAnsi="Times New Roman"/>
              </w:rPr>
              <w:t>26) Związek Powiatów Polskich;</w:t>
            </w:r>
          </w:p>
          <w:p w14:paraId="636694CB" w14:textId="77777777" w:rsidR="00C017C1" w:rsidRDefault="00C017C1" w:rsidP="00C017C1">
            <w:pPr>
              <w:spacing w:line="240" w:lineRule="auto"/>
              <w:jc w:val="both"/>
              <w:rPr>
                <w:rFonts w:ascii="Times New Roman" w:hAnsi="Times New Roman"/>
              </w:rPr>
            </w:pPr>
            <w:r>
              <w:rPr>
                <w:rFonts w:ascii="Times New Roman" w:hAnsi="Times New Roman"/>
              </w:rPr>
              <w:t>27) Unia Metropolii Polskich.</w:t>
            </w:r>
          </w:p>
          <w:p w14:paraId="71671160" w14:textId="77777777" w:rsidR="00C017C1" w:rsidRPr="00A6048A" w:rsidRDefault="00C017C1" w:rsidP="00C017C1">
            <w:pPr>
              <w:spacing w:line="240" w:lineRule="auto"/>
              <w:jc w:val="both"/>
              <w:rPr>
                <w:rFonts w:ascii="Times New Roman" w:hAnsi="Times New Roman"/>
              </w:rPr>
            </w:pPr>
          </w:p>
          <w:p w14:paraId="1A1283B7" w14:textId="77777777" w:rsidR="00C017C1" w:rsidRPr="00A6048A" w:rsidRDefault="00C017C1" w:rsidP="00C017C1">
            <w:pPr>
              <w:spacing w:line="240" w:lineRule="auto"/>
              <w:jc w:val="both"/>
              <w:rPr>
                <w:rFonts w:ascii="Times New Roman" w:hAnsi="Times New Roman"/>
              </w:rPr>
            </w:pPr>
            <w:r w:rsidRPr="00A6048A">
              <w:rPr>
                <w:rFonts w:ascii="Times New Roman" w:hAnsi="Times New Roman"/>
              </w:rPr>
              <w:t>W ramach opiniowania projekt zosta</w:t>
            </w:r>
            <w:r w:rsidR="00EB177B">
              <w:rPr>
                <w:rFonts w:ascii="Times New Roman" w:hAnsi="Times New Roman"/>
              </w:rPr>
              <w:t>ł</w:t>
            </w:r>
            <w:r w:rsidRPr="00A6048A">
              <w:rPr>
                <w:rFonts w:ascii="Times New Roman" w:hAnsi="Times New Roman"/>
              </w:rPr>
              <w:t xml:space="preserve"> przekazany do:</w:t>
            </w:r>
          </w:p>
          <w:p w14:paraId="5353D66D"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1) Prezesa Urzędu O</w:t>
            </w:r>
            <w:r>
              <w:rPr>
                <w:rFonts w:ascii="Times New Roman" w:hAnsi="Times New Roman" w:cs="Times New Roman"/>
                <w:sz w:val="22"/>
                <w:szCs w:val="22"/>
              </w:rPr>
              <w:t>chrony Konkurencji i Konsumentów</w:t>
            </w:r>
            <w:r w:rsidRPr="00A6048A">
              <w:rPr>
                <w:rFonts w:ascii="Times New Roman" w:hAnsi="Times New Roman" w:cs="Times New Roman"/>
                <w:sz w:val="22"/>
                <w:szCs w:val="22"/>
              </w:rPr>
              <w:t xml:space="preserve">; </w:t>
            </w:r>
          </w:p>
          <w:p w14:paraId="5255F05C"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2) Komisji Nadzoru Finansowego;</w:t>
            </w:r>
          </w:p>
          <w:p w14:paraId="45F2CE51"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 xml:space="preserve">3) Urzędu Komunikacji Elektronicznej; </w:t>
            </w:r>
          </w:p>
          <w:p w14:paraId="0EE1CB8D"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 xml:space="preserve">4) Urzędu Regulacji Energetyki; </w:t>
            </w:r>
          </w:p>
          <w:p w14:paraId="074A96B3"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5) Najwyższ</w:t>
            </w:r>
            <w:r>
              <w:rPr>
                <w:rFonts w:ascii="Times New Roman" w:hAnsi="Times New Roman" w:cs="Times New Roman"/>
                <w:sz w:val="22"/>
                <w:szCs w:val="22"/>
              </w:rPr>
              <w:t>ej Izby</w:t>
            </w:r>
            <w:r w:rsidRPr="00A6048A">
              <w:rPr>
                <w:rFonts w:ascii="Times New Roman" w:hAnsi="Times New Roman" w:cs="Times New Roman"/>
                <w:sz w:val="22"/>
                <w:szCs w:val="22"/>
              </w:rPr>
              <w:t xml:space="preserve"> Kontroli; </w:t>
            </w:r>
          </w:p>
          <w:p w14:paraId="53840686"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6) Urzęd</w:t>
            </w:r>
            <w:r>
              <w:rPr>
                <w:rFonts w:ascii="Times New Roman" w:hAnsi="Times New Roman" w:cs="Times New Roman"/>
                <w:sz w:val="22"/>
                <w:szCs w:val="22"/>
              </w:rPr>
              <w:t>u</w:t>
            </w:r>
            <w:r w:rsidRPr="00A6048A">
              <w:rPr>
                <w:rFonts w:ascii="Times New Roman" w:hAnsi="Times New Roman" w:cs="Times New Roman"/>
                <w:sz w:val="22"/>
                <w:szCs w:val="22"/>
              </w:rPr>
              <w:t xml:space="preserve"> Zamówień Publicznych; </w:t>
            </w:r>
          </w:p>
          <w:p w14:paraId="0AFB370C"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7) Prezesa Urzędu Ochrony Danych Osobowych;</w:t>
            </w:r>
          </w:p>
          <w:p w14:paraId="627B7E35"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 xml:space="preserve">8) Państwowej Inspekcji Pracy; </w:t>
            </w:r>
          </w:p>
          <w:p w14:paraId="36A58F98"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 xml:space="preserve">9) Państwowej Inspekcji Sanitarnej; </w:t>
            </w:r>
          </w:p>
          <w:p w14:paraId="088299FB"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10) Państwowej Inspekcji Farmaceutycznej;</w:t>
            </w:r>
          </w:p>
          <w:p w14:paraId="1559EAE8" w14:textId="77777777" w:rsidR="00C017C1" w:rsidRPr="00A6048A"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11)</w:t>
            </w:r>
            <w:r w:rsidRPr="00A6048A">
              <w:rPr>
                <w:rFonts w:ascii="Times New Roman" w:hAnsi="Times New Roman" w:cs="Times New Roman"/>
                <w:sz w:val="22"/>
                <w:szCs w:val="22"/>
              </w:rPr>
              <w:t xml:space="preserve"> Inspekcji Jakości Handlowej Artykułów Rolno-Spożywczych;</w:t>
            </w:r>
          </w:p>
          <w:p w14:paraId="35958D04" w14:textId="77777777" w:rsidR="00C017C1" w:rsidRPr="00A6048A"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11) Krajowej Administracji Skarbowej;</w:t>
            </w:r>
          </w:p>
          <w:p w14:paraId="454F97E9" w14:textId="77777777" w:rsidR="00C017C1" w:rsidRDefault="00C017C1" w:rsidP="00C017C1">
            <w:pPr>
              <w:pStyle w:val="Default"/>
              <w:rPr>
                <w:rFonts w:ascii="Times New Roman" w:hAnsi="Times New Roman" w:cs="Times New Roman"/>
                <w:sz w:val="22"/>
                <w:szCs w:val="22"/>
              </w:rPr>
            </w:pPr>
            <w:r w:rsidRPr="00A6048A">
              <w:rPr>
                <w:rFonts w:ascii="Times New Roman" w:hAnsi="Times New Roman" w:cs="Times New Roman"/>
                <w:sz w:val="22"/>
                <w:szCs w:val="22"/>
              </w:rPr>
              <w:t>12) Rzecznika Małych i Średnich Przedsiębiorców;</w:t>
            </w:r>
          </w:p>
          <w:p w14:paraId="1983AE19"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13) Rzecznika Praw Obywatelskich;</w:t>
            </w:r>
          </w:p>
          <w:p w14:paraId="6BBAB07F"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14) Centralnego Biura Antykorupcyjnego;</w:t>
            </w:r>
          </w:p>
          <w:p w14:paraId="7411F9E9"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15) Prokuratorii Generalnej Rzeczypospolitej Polskiej;</w:t>
            </w:r>
          </w:p>
          <w:p w14:paraId="70AD508F"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16) Zakład Ubezpieczeń Społecznych;</w:t>
            </w:r>
          </w:p>
          <w:p w14:paraId="43F873F6"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17) Narodowego Funduszu Zdrowia;</w:t>
            </w:r>
          </w:p>
          <w:p w14:paraId="2D858181"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18) Sądu Najwyższego;</w:t>
            </w:r>
          </w:p>
          <w:p w14:paraId="75C6033C"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19) Naczelnego Sądu Administracyjnego;</w:t>
            </w:r>
          </w:p>
          <w:p w14:paraId="4876F8AD"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20) Generalnego Inspektora Informacji Finansowej;</w:t>
            </w:r>
          </w:p>
          <w:p w14:paraId="172EE3A2"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21) Generalnego Inspektora Ochrony środowiska;</w:t>
            </w:r>
          </w:p>
          <w:p w14:paraId="7CDF8F12"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22) Głównego Inspektora Transportu Drogowego;</w:t>
            </w:r>
          </w:p>
          <w:p w14:paraId="2780A1D9"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23) Głównego Inspektora Pracy;</w:t>
            </w:r>
          </w:p>
          <w:p w14:paraId="0CCDC280" w14:textId="77777777" w:rsidR="00C017C1"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24) Głównego Inspektora Weterynarii;</w:t>
            </w:r>
          </w:p>
          <w:p w14:paraId="4CAB529C" w14:textId="77777777" w:rsidR="00C017C1" w:rsidRPr="00A6048A"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t>25</w:t>
            </w:r>
            <w:r w:rsidRPr="00A6048A">
              <w:rPr>
                <w:rFonts w:ascii="Times New Roman" w:hAnsi="Times New Roman" w:cs="Times New Roman"/>
                <w:sz w:val="22"/>
                <w:szCs w:val="22"/>
              </w:rPr>
              <w:t>) Rady Dialogu Społecznego;</w:t>
            </w:r>
          </w:p>
          <w:p w14:paraId="638D07A8" w14:textId="77777777" w:rsidR="00C017C1" w:rsidRPr="00A6048A" w:rsidRDefault="00C017C1" w:rsidP="00C017C1">
            <w:pPr>
              <w:pStyle w:val="Default"/>
              <w:rPr>
                <w:rFonts w:ascii="Times New Roman" w:hAnsi="Times New Roman" w:cs="Times New Roman"/>
                <w:sz w:val="22"/>
                <w:szCs w:val="22"/>
              </w:rPr>
            </w:pPr>
            <w:r>
              <w:rPr>
                <w:rFonts w:ascii="Times New Roman" w:hAnsi="Times New Roman" w:cs="Times New Roman"/>
                <w:sz w:val="22"/>
                <w:szCs w:val="22"/>
              </w:rPr>
              <w:lastRenderedPageBreak/>
              <w:t>26</w:t>
            </w:r>
            <w:r w:rsidRPr="00A6048A">
              <w:rPr>
                <w:rFonts w:ascii="Times New Roman" w:hAnsi="Times New Roman" w:cs="Times New Roman"/>
                <w:sz w:val="22"/>
                <w:szCs w:val="22"/>
              </w:rPr>
              <w:t>) Komisji Wspólnej Rządu i Samorządu Terytorialnego.</w:t>
            </w:r>
          </w:p>
          <w:p w14:paraId="346BA1D5" w14:textId="77777777" w:rsidR="00C017C1" w:rsidRDefault="00C017C1" w:rsidP="00C017C1">
            <w:pPr>
              <w:pStyle w:val="Default"/>
            </w:pPr>
          </w:p>
          <w:p w14:paraId="202C2E24" w14:textId="77777777" w:rsidR="00C017C1" w:rsidRDefault="00C017C1" w:rsidP="00C017C1">
            <w:pPr>
              <w:spacing w:line="240" w:lineRule="auto"/>
              <w:jc w:val="both"/>
              <w:rPr>
                <w:rFonts w:ascii="Times New Roman" w:hAnsi="Times New Roman"/>
                <w:iCs/>
                <w:color w:val="000000"/>
                <w:spacing w:val="-2"/>
              </w:rPr>
            </w:pPr>
            <w:r w:rsidRPr="00B810AC">
              <w:rPr>
                <w:rFonts w:ascii="Times New Roman" w:hAnsi="Times New Roman"/>
                <w:iCs/>
                <w:color w:val="000000"/>
                <w:spacing w:val="-2"/>
              </w:rPr>
              <w:t xml:space="preserve">Projekt </w:t>
            </w:r>
            <w:r w:rsidRPr="005F124F">
              <w:rPr>
                <w:rFonts w:ascii="Times New Roman" w:hAnsi="Times New Roman"/>
                <w:iCs/>
                <w:color w:val="000000"/>
                <w:spacing w:val="-2"/>
              </w:rPr>
              <w:t>zosta</w:t>
            </w:r>
            <w:r w:rsidR="00EB177B">
              <w:rPr>
                <w:rFonts w:ascii="Times New Roman" w:hAnsi="Times New Roman"/>
                <w:iCs/>
                <w:color w:val="000000"/>
                <w:spacing w:val="-2"/>
              </w:rPr>
              <w:t>ł</w:t>
            </w:r>
            <w:r w:rsidRPr="005F124F">
              <w:rPr>
                <w:rFonts w:ascii="Times New Roman" w:hAnsi="Times New Roman"/>
                <w:iCs/>
                <w:color w:val="000000"/>
                <w:spacing w:val="-2"/>
              </w:rPr>
              <w:t xml:space="preserve"> </w:t>
            </w:r>
            <w:r w:rsidR="00AC4318">
              <w:rPr>
                <w:rFonts w:ascii="Times New Roman" w:hAnsi="Times New Roman"/>
                <w:color w:val="000000"/>
                <w:spacing w:val="-2"/>
              </w:rPr>
              <w:t xml:space="preserve">w dniu 18 października 2021 r. </w:t>
            </w:r>
            <w:r w:rsidRPr="005F124F">
              <w:rPr>
                <w:rFonts w:ascii="Times New Roman" w:hAnsi="Times New Roman"/>
                <w:iCs/>
                <w:color w:val="000000"/>
                <w:spacing w:val="-2"/>
              </w:rPr>
              <w:t>przekazany do zaopiniowania w trybie art. 19 ust. 1 ustawy z dnia 23 maja 1991 r. o związkach zawodowych (Dz. U. z 2019 r. poz. 263</w:t>
            </w:r>
            <w:r w:rsidR="009269B7">
              <w:rPr>
                <w:rFonts w:ascii="Times New Roman" w:hAnsi="Times New Roman"/>
                <w:iCs/>
                <w:color w:val="000000"/>
                <w:spacing w:val="-2"/>
              </w:rPr>
              <w:t>, z późn. zm.</w:t>
            </w:r>
            <w:r w:rsidRPr="005F124F">
              <w:rPr>
                <w:rFonts w:ascii="Times New Roman" w:hAnsi="Times New Roman"/>
                <w:iCs/>
                <w:color w:val="000000"/>
                <w:spacing w:val="-2"/>
              </w:rPr>
              <w:t xml:space="preserve">) oraz w trybie art. 16 ust. 1 ustawy z dnia 23 maja 1991 r. o organizacjach pracodawców (Dz. U. </w:t>
            </w:r>
            <w:r w:rsidR="009269B7">
              <w:rPr>
                <w:rFonts w:ascii="Times New Roman" w:hAnsi="Times New Roman"/>
                <w:iCs/>
                <w:color w:val="000000"/>
                <w:spacing w:val="-2"/>
              </w:rPr>
              <w:t xml:space="preserve">z </w:t>
            </w:r>
            <w:r w:rsidRPr="005F124F">
              <w:rPr>
                <w:rFonts w:ascii="Times New Roman" w:hAnsi="Times New Roman"/>
                <w:iCs/>
                <w:color w:val="000000"/>
                <w:spacing w:val="-2"/>
              </w:rPr>
              <w:t xml:space="preserve">2019 </w:t>
            </w:r>
            <w:r w:rsidR="009269B7">
              <w:rPr>
                <w:rFonts w:ascii="Times New Roman" w:hAnsi="Times New Roman"/>
                <w:iCs/>
                <w:color w:val="000000"/>
                <w:spacing w:val="-2"/>
              </w:rPr>
              <w:t xml:space="preserve">r. </w:t>
            </w:r>
            <w:r w:rsidRPr="005F124F">
              <w:rPr>
                <w:rFonts w:ascii="Times New Roman" w:hAnsi="Times New Roman"/>
                <w:iCs/>
                <w:color w:val="000000"/>
                <w:spacing w:val="-2"/>
              </w:rPr>
              <w:t>poz</w:t>
            </w:r>
            <w:r>
              <w:rPr>
                <w:rFonts w:ascii="Times New Roman" w:hAnsi="Times New Roman"/>
                <w:iCs/>
                <w:color w:val="000000"/>
                <w:spacing w:val="-2"/>
              </w:rPr>
              <w:t>. 1809</w:t>
            </w:r>
            <w:r w:rsidR="009269B7">
              <w:rPr>
                <w:rFonts w:ascii="Times New Roman" w:hAnsi="Times New Roman"/>
                <w:iCs/>
                <w:color w:val="000000"/>
                <w:spacing w:val="-2"/>
              </w:rPr>
              <w:t>, z późn. zm.</w:t>
            </w:r>
            <w:r>
              <w:rPr>
                <w:rFonts w:ascii="Times New Roman" w:hAnsi="Times New Roman"/>
                <w:iCs/>
                <w:color w:val="000000"/>
                <w:spacing w:val="-2"/>
              </w:rPr>
              <w:t>) następującym związkom zawodowym i organizacjom pracodawców:</w:t>
            </w:r>
          </w:p>
          <w:p w14:paraId="59F2D2AC" w14:textId="77777777" w:rsidR="00C017C1" w:rsidRPr="00656562" w:rsidRDefault="00C017C1" w:rsidP="00C017C1">
            <w:pPr>
              <w:spacing w:line="240" w:lineRule="auto"/>
              <w:jc w:val="both"/>
              <w:rPr>
                <w:rFonts w:ascii="Times New Roman" w:hAnsi="Times New Roman"/>
              </w:rPr>
            </w:pPr>
            <w:r>
              <w:rPr>
                <w:rFonts w:ascii="Times New Roman" w:hAnsi="Times New Roman"/>
              </w:rPr>
              <w:t>1</w:t>
            </w:r>
            <w:r w:rsidRPr="00656562">
              <w:rPr>
                <w:rFonts w:ascii="Times New Roman" w:hAnsi="Times New Roman"/>
              </w:rPr>
              <w:t>) NSZZ Solidarność</w:t>
            </w:r>
            <w:r>
              <w:rPr>
                <w:rFonts w:ascii="Times New Roman" w:hAnsi="Times New Roman"/>
              </w:rPr>
              <w:t>;</w:t>
            </w:r>
          </w:p>
          <w:p w14:paraId="53890825" w14:textId="77777777" w:rsidR="00C017C1" w:rsidRPr="00656562" w:rsidRDefault="00C017C1" w:rsidP="00C017C1">
            <w:pPr>
              <w:spacing w:line="240" w:lineRule="auto"/>
              <w:jc w:val="both"/>
              <w:rPr>
                <w:rFonts w:ascii="Times New Roman" w:hAnsi="Times New Roman"/>
              </w:rPr>
            </w:pPr>
            <w:r>
              <w:rPr>
                <w:rFonts w:ascii="Times New Roman" w:hAnsi="Times New Roman"/>
              </w:rPr>
              <w:t>2</w:t>
            </w:r>
            <w:r w:rsidRPr="00656562">
              <w:rPr>
                <w:rFonts w:ascii="Times New Roman" w:hAnsi="Times New Roman"/>
              </w:rPr>
              <w:t>) O</w:t>
            </w:r>
            <w:r>
              <w:rPr>
                <w:rFonts w:ascii="Times New Roman" w:hAnsi="Times New Roman"/>
              </w:rPr>
              <w:t xml:space="preserve">gólnopolskie </w:t>
            </w:r>
            <w:r w:rsidRPr="00656562">
              <w:rPr>
                <w:rFonts w:ascii="Times New Roman" w:hAnsi="Times New Roman"/>
              </w:rPr>
              <w:t>P</w:t>
            </w:r>
            <w:r>
              <w:rPr>
                <w:rFonts w:ascii="Times New Roman" w:hAnsi="Times New Roman"/>
              </w:rPr>
              <w:t xml:space="preserve">orozumienie </w:t>
            </w:r>
            <w:r w:rsidRPr="00656562">
              <w:rPr>
                <w:rFonts w:ascii="Times New Roman" w:hAnsi="Times New Roman"/>
              </w:rPr>
              <w:t>Z</w:t>
            </w:r>
            <w:r>
              <w:rPr>
                <w:rFonts w:ascii="Times New Roman" w:hAnsi="Times New Roman"/>
              </w:rPr>
              <w:t xml:space="preserve">wiązków </w:t>
            </w:r>
            <w:r w:rsidRPr="00656562">
              <w:rPr>
                <w:rFonts w:ascii="Times New Roman" w:hAnsi="Times New Roman"/>
              </w:rPr>
              <w:t>Z</w:t>
            </w:r>
            <w:r>
              <w:rPr>
                <w:rFonts w:ascii="Times New Roman" w:hAnsi="Times New Roman"/>
              </w:rPr>
              <w:t>awodowych</w:t>
            </w:r>
            <w:r w:rsidRPr="00656562">
              <w:rPr>
                <w:rFonts w:ascii="Times New Roman" w:hAnsi="Times New Roman"/>
              </w:rPr>
              <w:t>;</w:t>
            </w:r>
          </w:p>
          <w:p w14:paraId="4B0A505A" w14:textId="77777777" w:rsidR="00C017C1" w:rsidRPr="00656562" w:rsidRDefault="00C017C1" w:rsidP="00C017C1">
            <w:pPr>
              <w:spacing w:line="240" w:lineRule="auto"/>
              <w:jc w:val="both"/>
              <w:rPr>
                <w:rFonts w:ascii="Times New Roman" w:hAnsi="Times New Roman"/>
              </w:rPr>
            </w:pPr>
            <w:r>
              <w:rPr>
                <w:rFonts w:ascii="Times New Roman" w:hAnsi="Times New Roman"/>
              </w:rPr>
              <w:t>3</w:t>
            </w:r>
            <w:r w:rsidRPr="00656562">
              <w:rPr>
                <w:rFonts w:ascii="Times New Roman" w:hAnsi="Times New Roman"/>
              </w:rPr>
              <w:t>) Forum Związków Zawodowych;</w:t>
            </w:r>
          </w:p>
          <w:p w14:paraId="65B96F86" w14:textId="77777777" w:rsidR="00C017C1" w:rsidRPr="00656562" w:rsidRDefault="00C017C1" w:rsidP="00C017C1">
            <w:pPr>
              <w:spacing w:line="240" w:lineRule="auto"/>
              <w:jc w:val="both"/>
              <w:rPr>
                <w:rFonts w:ascii="Times New Roman" w:hAnsi="Times New Roman"/>
              </w:rPr>
            </w:pPr>
            <w:r>
              <w:rPr>
                <w:rFonts w:ascii="Times New Roman" w:hAnsi="Times New Roman"/>
              </w:rPr>
              <w:t>4</w:t>
            </w:r>
            <w:r w:rsidRPr="00656562">
              <w:rPr>
                <w:rFonts w:ascii="Times New Roman" w:hAnsi="Times New Roman"/>
              </w:rPr>
              <w:t>) Związek Przedsiębiorców i Pracodawców;</w:t>
            </w:r>
          </w:p>
          <w:p w14:paraId="15F857ED" w14:textId="77777777" w:rsidR="00C017C1" w:rsidRPr="00656562" w:rsidRDefault="00C017C1" w:rsidP="00C017C1">
            <w:pPr>
              <w:spacing w:line="240" w:lineRule="auto"/>
              <w:jc w:val="both"/>
              <w:rPr>
                <w:rFonts w:ascii="Times New Roman" w:hAnsi="Times New Roman"/>
              </w:rPr>
            </w:pPr>
            <w:r>
              <w:rPr>
                <w:rFonts w:ascii="Times New Roman" w:hAnsi="Times New Roman"/>
              </w:rPr>
              <w:t>5</w:t>
            </w:r>
            <w:r w:rsidRPr="00656562">
              <w:rPr>
                <w:rFonts w:ascii="Times New Roman" w:hAnsi="Times New Roman"/>
              </w:rPr>
              <w:t>) Business Centre Club</w:t>
            </w:r>
            <w:r>
              <w:rPr>
                <w:rFonts w:ascii="Times New Roman" w:hAnsi="Times New Roman"/>
              </w:rPr>
              <w:t xml:space="preserve"> – Związek Pracodawców;</w:t>
            </w:r>
          </w:p>
          <w:p w14:paraId="7351D651" w14:textId="77777777" w:rsidR="00C017C1" w:rsidRPr="00656562" w:rsidRDefault="00C017C1" w:rsidP="00C017C1">
            <w:pPr>
              <w:spacing w:line="240" w:lineRule="auto"/>
              <w:jc w:val="both"/>
              <w:rPr>
                <w:rFonts w:ascii="Times New Roman" w:hAnsi="Times New Roman"/>
              </w:rPr>
            </w:pPr>
            <w:r>
              <w:rPr>
                <w:rFonts w:ascii="Times New Roman" w:hAnsi="Times New Roman"/>
              </w:rPr>
              <w:t>6</w:t>
            </w:r>
            <w:r w:rsidRPr="00656562">
              <w:rPr>
                <w:rFonts w:ascii="Times New Roman" w:hAnsi="Times New Roman"/>
              </w:rPr>
              <w:t>) Związek Rzemiosła Polskiego</w:t>
            </w:r>
            <w:r>
              <w:rPr>
                <w:rFonts w:ascii="Times New Roman" w:hAnsi="Times New Roman"/>
              </w:rPr>
              <w:t>;</w:t>
            </w:r>
          </w:p>
          <w:p w14:paraId="2597DC9C" w14:textId="77777777" w:rsidR="00C017C1" w:rsidRPr="00656562" w:rsidRDefault="00C017C1" w:rsidP="00C017C1">
            <w:pPr>
              <w:spacing w:line="240" w:lineRule="auto"/>
              <w:jc w:val="both"/>
              <w:rPr>
                <w:rFonts w:ascii="Times New Roman" w:hAnsi="Times New Roman"/>
              </w:rPr>
            </w:pPr>
            <w:r>
              <w:rPr>
                <w:rFonts w:ascii="Times New Roman" w:hAnsi="Times New Roman"/>
              </w:rPr>
              <w:t>7</w:t>
            </w:r>
            <w:r w:rsidRPr="00656562">
              <w:rPr>
                <w:rFonts w:ascii="Times New Roman" w:hAnsi="Times New Roman"/>
              </w:rPr>
              <w:t>) Konfederacja Lewiatan</w:t>
            </w:r>
            <w:r>
              <w:rPr>
                <w:rFonts w:ascii="Times New Roman" w:hAnsi="Times New Roman"/>
              </w:rPr>
              <w:t>;</w:t>
            </w:r>
          </w:p>
          <w:p w14:paraId="4DF717D3" w14:textId="77777777" w:rsidR="00C017C1" w:rsidRPr="00656562" w:rsidRDefault="00C017C1" w:rsidP="00C017C1">
            <w:pPr>
              <w:spacing w:line="240" w:lineRule="auto"/>
              <w:jc w:val="both"/>
              <w:rPr>
                <w:rFonts w:ascii="Times New Roman" w:hAnsi="Times New Roman"/>
              </w:rPr>
            </w:pPr>
            <w:r>
              <w:rPr>
                <w:rFonts w:ascii="Times New Roman" w:hAnsi="Times New Roman"/>
              </w:rPr>
              <w:t>8</w:t>
            </w:r>
            <w:r w:rsidRPr="00656562">
              <w:rPr>
                <w:rFonts w:ascii="Times New Roman" w:hAnsi="Times New Roman"/>
              </w:rPr>
              <w:t>) Pracodawcy RP</w:t>
            </w:r>
            <w:r>
              <w:rPr>
                <w:rFonts w:ascii="Times New Roman" w:hAnsi="Times New Roman"/>
              </w:rPr>
              <w:t>;</w:t>
            </w:r>
          </w:p>
          <w:p w14:paraId="1B59DA9D" w14:textId="77777777" w:rsidR="00C017C1" w:rsidRPr="00656562" w:rsidRDefault="00C017C1" w:rsidP="00C017C1">
            <w:pPr>
              <w:spacing w:line="240" w:lineRule="auto"/>
              <w:jc w:val="both"/>
              <w:rPr>
                <w:rFonts w:ascii="Times New Roman" w:hAnsi="Times New Roman"/>
              </w:rPr>
            </w:pPr>
            <w:r>
              <w:rPr>
                <w:rFonts w:ascii="Times New Roman" w:hAnsi="Times New Roman"/>
              </w:rPr>
              <w:t>9</w:t>
            </w:r>
            <w:r w:rsidRPr="00656562">
              <w:rPr>
                <w:rFonts w:ascii="Times New Roman" w:hAnsi="Times New Roman"/>
              </w:rPr>
              <w:t>) Federacja Przedsiębiorców Polskich</w:t>
            </w:r>
            <w:r>
              <w:rPr>
                <w:rFonts w:ascii="Times New Roman" w:hAnsi="Times New Roman"/>
              </w:rPr>
              <w:t>.</w:t>
            </w:r>
          </w:p>
          <w:p w14:paraId="61246E28" w14:textId="77777777" w:rsidR="00C017C1" w:rsidRDefault="00C017C1" w:rsidP="00C017C1">
            <w:pPr>
              <w:spacing w:line="240" w:lineRule="auto"/>
              <w:jc w:val="both"/>
              <w:rPr>
                <w:rFonts w:ascii="Times New Roman" w:hAnsi="Times New Roman"/>
                <w:color w:val="000000"/>
                <w:spacing w:val="-2"/>
              </w:rPr>
            </w:pPr>
          </w:p>
          <w:p w14:paraId="4DA2EC6A" w14:textId="77777777" w:rsidR="00C017C1" w:rsidRPr="00B37C80" w:rsidRDefault="00C017C1" w:rsidP="00C017C1">
            <w:pPr>
              <w:spacing w:line="240" w:lineRule="auto"/>
              <w:jc w:val="both"/>
              <w:rPr>
                <w:rFonts w:ascii="Times New Roman" w:hAnsi="Times New Roman"/>
                <w:color w:val="000000"/>
                <w:spacing w:val="-2"/>
              </w:rPr>
            </w:pPr>
            <w:r>
              <w:rPr>
                <w:rFonts w:ascii="Times New Roman" w:hAnsi="Times New Roman"/>
              </w:rPr>
              <w:t>Na konsultacje publiczne i opiniowanie przewid</w:t>
            </w:r>
            <w:r w:rsidR="00AC4318">
              <w:rPr>
                <w:rFonts w:ascii="Times New Roman" w:hAnsi="Times New Roman"/>
              </w:rPr>
              <w:t>ziane były</w:t>
            </w:r>
            <w:r>
              <w:rPr>
                <w:rFonts w:ascii="Times New Roman" w:hAnsi="Times New Roman"/>
              </w:rPr>
              <w:t xml:space="preserve"> 30 dni. </w:t>
            </w:r>
          </w:p>
          <w:p w14:paraId="7E549052" w14:textId="77777777" w:rsidR="00C017C1" w:rsidRPr="00B37C80" w:rsidRDefault="00C017C1" w:rsidP="00C017C1">
            <w:pPr>
              <w:spacing w:line="240" w:lineRule="auto"/>
              <w:jc w:val="both"/>
              <w:rPr>
                <w:rFonts w:ascii="Times New Roman" w:hAnsi="Times New Roman"/>
                <w:color w:val="000000"/>
                <w:spacing w:val="-2"/>
              </w:rPr>
            </w:pPr>
            <w:r w:rsidRPr="006B3ECB">
              <w:rPr>
                <w:rFonts w:ascii="Times New Roman" w:hAnsi="Times New Roman"/>
              </w:rPr>
              <w:t xml:space="preserve">Zgodnie z art. 5 ustawy z dnia 7 lipca 2005 r. o działalności </w:t>
            </w:r>
            <w:r>
              <w:rPr>
                <w:rFonts w:ascii="Times New Roman" w:hAnsi="Times New Roman"/>
              </w:rPr>
              <w:t xml:space="preserve">lobbingowej w </w:t>
            </w:r>
            <w:r w:rsidRPr="006B3ECB">
              <w:rPr>
                <w:rFonts w:ascii="Times New Roman" w:hAnsi="Times New Roman"/>
              </w:rPr>
              <w:t>procesie stanowienia prawa (Dz. U. z 2017 r. poz. 248)</w:t>
            </w:r>
            <w:r w:rsidRPr="00B810AC">
              <w:rPr>
                <w:rFonts w:ascii="Times New Roman" w:hAnsi="Times New Roman"/>
                <w:color w:val="000000"/>
              </w:rPr>
              <w:t xml:space="preserve"> oraz § 52 uchwały </w:t>
            </w:r>
            <w:r w:rsidR="009269B7">
              <w:rPr>
                <w:rFonts w:ascii="Times New Roman" w:hAnsi="Times New Roman"/>
                <w:color w:val="000000"/>
              </w:rPr>
              <w:t>n</w:t>
            </w:r>
            <w:r w:rsidR="009269B7" w:rsidRPr="00B810AC">
              <w:rPr>
                <w:rFonts w:ascii="Times New Roman" w:hAnsi="Times New Roman"/>
                <w:color w:val="000000"/>
              </w:rPr>
              <w:t xml:space="preserve">r </w:t>
            </w:r>
            <w:r w:rsidRPr="00B810AC">
              <w:rPr>
                <w:rFonts w:ascii="Times New Roman" w:hAnsi="Times New Roman"/>
                <w:color w:val="000000"/>
              </w:rPr>
              <w:t>190 Rady Ministrów z dnia 29 października 2013 r. – Regulamin pracy Rady Ministrów</w:t>
            </w:r>
            <w:r w:rsidRPr="006B3ECB">
              <w:rPr>
                <w:rFonts w:ascii="Times New Roman" w:hAnsi="Times New Roman"/>
              </w:rPr>
              <w:t xml:space="preserve">, projekt </w:t>
            </w:r>
            <w:r w:rsidR="00AC4318">
              <w:rPr>
                <w:rFonts w:ascii="Times New Roman" w:hAnsi="Times New Roman"/>
              </w:rPr>
              <w:t>ustawy został</w:t>
            </w:r>
            <w:r w:rsidRPr="006B3ECB">
              <w:rPr>
                <w:rFonts w:ascii="Times New Roman" w:hAnsi="Times New Roman"/>
              </w:rPr>
              <w:t xml:space="preserve"> zamieszczony w Biuletynie Informacji Publicznej </w:t>
            </w:r>
            <w:r>
              <w:rPr>
                <w:rFonts w:ascii="Times New Roman" w:hAnsi="Times New Roman"/>
              </w:rPr>
              <w:t>Rządowego Centrum Legislacji, w </w:t>
            </w:r>
            <w:r w:rsidRPr="006B3ECB">
              <w:rPr>
                <w:rFonts w:ascii="Times New Roman" w:hAnsi="Times New Roman"/>
              </w:rPr>
              <w:t>serwisie Rządowy Proces Legislacyjny</w:t>
            </w:r>
            <w:r>
              <w:rPr>
                <w:rFonts w:ascii="Times New Roman" w:hAnsi="Times New Roman"/>
              </w:rPr>
              <w:t>.</w:t>
            </w:r>
          </w:p>
          <w:p w14:paraId="0D31969F" w14:textId="77777777" w:rsidR="00C017C1" w:rsidRPr="00B37C80" w:rsidRDefault="00C017C1" w:rsidP="00C017C1">
            <w:pPr>
              <w:spacing w:line="240" w:lineRule="auto"/>
              <w:jc w:val="both"/>
              <w:rPr>
                <w:rFonts w:ascii="Times New Roman" w:hAnsi="Times New Roman"/>
                <w:color w:val="000000"/>
                <w:spacing w:val="-2"/>
              </w:rPr>
            </w:pPr>
          </w:p>
        </w:tc>
      </w:tr>
      <w:tr w:rsidR="00C017C1" w:rsidRPr="008B4FE6" w14:paraId="74F06837" w14:textId="77777777" w:rsidTr="00B236F6">
        <w:trPr>
          <w:gridAfter w:val="1"/>
          <w:wAfter w:w="10" w:type="dxa"/>
          <w:trHeight w:val="363"/>
        </w:trPr>
        <w:tc>
          <w:tcPr>
            <w:tcW w:w="11050" w:type="dxa"/>
            <w:gridSpan w:val="29"/>
            <w:shd w:val="clear" w:color="auto" w:fill="99CCFF"/>
            <w:vAlign w:val="center"/>
          </w:tcPr>
          <w:p w14:paraId="489E1DF7"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C017C1" w:rsidRPr="008B4FE6" w14:paraId="19E630EA" w14:textId="77777777" w:rsidTr="00B236F6">
        <w:trPr>
          <w:gridAfter w:val="1"/>
          <w:wAfter w:w="10" w:type="dxa"/>
          <w:trHeight w:val="142"/>
        </w:trPr>
        <w:tc>
          <w:tcPr>
            <w:tcW w:w="3246" w:type="dxa"/>
            <w:gridSpan w:val="4"/>
            <w:vMerge w:val="restart"/>
            <w:shd w:val="clear" w:color="auto" w:fill="FFFFFF"/>
          </w:tcPr>
          <w:p w14:paraId="45DAFDDE" w14:textId="77777777" w:rsidR="00C017C1" w:rsidRPr="00C53F26" w:rsidRDefault="00C017C1" w:rsidP="00C017C1">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5"/>
            <w:shd w:val="clear" w:color="auto" w:fill="FFFFFF"/>
          </w:tcPr>
          <w:p w14:paraId="7D49F919" w14:textId="77777777" w:rsidR="00C017C1" w:rsidRPr="00C53F26" w:rsidRDefault="00C017C1" w:rsidP="00C017C1">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C017C1" w:rsidRPr="008B4FE6" w14:paraId="50EEF2E8" w14:textId="77777777" w:rsidTr="00B236F6">
        <w:trPr>
          <w:gridAfter w:val="1"/>
          <w:wAfter w:w="10" w:type="dxa"/>
          <w:trHeight w:val="142"/>
        </w:trPr>
        <w:tc>
          <w:tcPr>
            <w:tcW w:w="3246" w:type="dxa"/>
            <w:gridSpan w:val="4"/>
            <w:vMerge/>
            <w:shd w:val="clear" w:color="auto" w:fill="FFFFFF"/>
          </w:tcPr>
          <w:p w14:paraId="2EEF4C2A" w14:textId="77777777" w:rsidR="00C017C1" w:rsidRPr="00C53F26" w:rsidRDefault="00C017C1" w:rsidP="00C017C1">
            <w:pPr>
              <w:spacing w:before="40" w:after="40" w:line="240" w:lineRule="auto"/>
              <w:rPr>
                <w:rFonts w:ascii="Times New Roman" w:hAnsi="Times New Roman"/>
                <w:i/>
                <w:color w:val="000000"/>
                <w:sz w:val="21"/>
                <w:szCs w:val="21"/>
              </w:rPr>
            </w:pPr>
          </w:p>
        </w:tc>
        <w:tc>
          <w:tcPr>
            <w:tcW w:w="569" w:type="dxa"/>
            <w:gridSpan w:val="2"/>
            <w:shd w:val="clear" w:color="auto" w:fill="FFFFFF"/>
          </w:tcPr>
          <w:p w14:paraId="2D49A1DA" w14:textId="77777777" w:rsidR="00C017C1" w:rsidRPr="00A8541A" w:rsidRDefault="00C017C1" w:rsidP="00C017C1">
            <w:pPr>
              <w:spacing w:line="240" w:lineRule="auto"/>
              <w:jc w:val="center"/>
              <w:rPr>
                <w:rFonts w:ascii="Times New Roman" w:hAnsi="Times New Roman"/>
                <w:color w:val="000000"/>
                <w:sz w:val="16"/>
                <w:szCs w:val="16"/>
              </w:rPr>
            </w:pPr>
            <w:r w:rsidRPr="00A8541A">
              <w:rPr>
                <w:rFonts w:ascii="Times New Roman" w:hAnsi="Times New Roman"/>
                <w:color w:val="000000"/>
                <w:sz w:val="16"/>
                <w:szCs w:val="16"/>
              </w:rPr>
              <w:t>202</w:t>
            </w:r>
            <w:r>
              <w:rPr>
                <w:rFonts w:ascii="Times New Roman" w:hAnsi="Times New Roman"/>
                <w:color w:val="000000"/>
                <w:sz w:val="16"/>
                <w:szCs w:val="16"/>
              </w:rPr>
              <w:t>2</w:t>
            </w:r>
          </w:p>
        </w:tc>
        <w:tc>
          <w:tcPr>
            <w:tcW w:w="570" w:type="dxa"/>
            <w:gridSpan w:val="2"/>
            <w:shd w:val="clear" w:color="auto" w:fill="FFFFFF"/>
          </w:tcPr>
          <w:p w14:paraId="7CD303AE"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2023</w:t>
            </w:r>
          </w:p>
        </w:tc>
        <w:tc>
          <w:tcPr>
            <w:tcW w:w="570" w:type="dxa"/>
            <w:gridSpan w:val="2"/>
            <w:shd w:val="clear" w:color="auto" w:fill="FFFFFF"/>
          </w:tcPr>
          <w:p w14:paraId="46412219" w14:textId="77777777" w:rsidR="00C017C1" w:rsidRPr="00A8541A" w:rsidRDefault="00C017C1" w:rsidP="00C017C1">
            <w:pPr>
              <w:spacing w:line="240" w:lineRule="auto"/>
              <w:jc w:val="center"/>
              <w:rPr>
                <w:rFonts w:ascii="Times New Roman" w:hAnsi="Times New Roman"/>
                <w:color w:val="000000"/>
                <w:sz w:val="16"/>
                <w:szCs w:val="16"/>
              </w:rPr>
            </w:pPr>
            <w:r w:rsidRPr="00A8541A">
              <w:rPr>
                <w:rFonts w:ascii="Times New Roman" w:hAnsi="Times New Roman"/>
                <w:color w:val="000000"/>
                <w:sz w:val="16"/>
                <w:szCs w:val="16"/>
              </w:rPr>
              <w:t>2</w:t>
            </w:r>
            <w:r>
              <w:rPr>
                <w:rFonts w:ascii="Times New Roman" w:hAnsi="Times New Roman"/>
                <w:color w:val="000000"/>
                <w:sz w:val="16"/>
                <w:szCs w:val="16"/>
              </w:rPr>
              <w:t>024</w:t>
            </w:r>
          </w:p>
        </w:tc>
        <w:tc>
          <w:tcPr>
            <w:tcW w:w="569" w:type="dxa"/>
            <w:gridSpan w:val="3"/>
            <w:shd w:val="clear" w:color="auto" w:fill="FFFFFF"/>
          </w:tcPr>
          <w:p w14:paraId="4BC5E489"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2025</w:t>
            </w:r>
          </w:p>
        </w:tc>
        <w:tc>
          <w:tcPr>
            <w:tcW w:w="570" w:type="dxa"/>
            <w:gridSpan w:val="2"/>
            <w:shd w:val="clear" w:color="auto" w:fill="FFFFFF"/>
          </w:tcPr>
          <w:p w14:paraId="01DD323E"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2026</w:t>
            </w:r>
          </w:p>
        </w:tc>
        <w:tc>
          <w:tcPr>
            <w:tcW w:w="570" w:type="dxa"/>
            <w:shd w:val="clear" w:color="auto" w:fill="FFFFFF"/>
          </w:tcPr>
          <w:p w14:paraId="1DDD192A"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2027</w:t>
            </w:r>
          </w:p>
        </w:tc>
        <w:tc>
          <w:tcPr>
            <w:tcW w:w="570" w:type="dxa"/>
            <w:gridSpan w:val="3"/>
            <w:shd w:val="clear" w:color="auto" w:fill="FFFFFF"/>
          </w:tcPr>
          <w:p w14:paraId="461B3348"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2028</w:t>
            </w:r>
          </w:p>
        </w:tc>
        <w:tc>
          <w:tcPr>
            <w:tcW w:w="569" w:type="dxa"/>
            <w:gridSpan w:val="3"/>
            <w:shd w:val="clear" w:color="auto" w:fill="FFFFFF"/>
          </w:tcPr>
          <w:p w14:paraId="1C8B2587"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2029</w:t>
            </w:r>
          </w:p>
        </w:tc>
        <w:tc>
          <w:tcPr>
            <w:tcW w:w="570" w:type="dxa"/>
            <w:gridSpan w:val="2"/>
            <w:shd w:val="clear" w:color="auto" w:fill="FFFFFF"/>
          </w:tcPr>
          <w:p w14:paraId="212B73C0"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2030</w:t>
            </w:r>
          </w:p>
        </w:tc>
        <w:tc>
          <w:tcPr>
            <w:tcW w:w="570" w:type="dxa"/>
            <w:gridSpan w:val="2"/>
            <w:shd w:val="clear" w:color="auto" w:fill="FFFFFF"/>
          </w:tcPr>
          <w:p w14:paraId="1B046013"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2031</w:t>
            </w:r>
          </w:p>
        </w:tc>
        <w:tc>
          <w:tcPr>
            <w:tcW w:w="570" w:type="dxa"/>
            <w:shd w:val="clear" w:color="auto" w:fill="FFFFFF"/>
          </w:tcPr>
          <w:p w14:paraId="11E66BC8" w14:textId="77777777" w:rsidR="00C017C1" w:rsidRPr="00A8541A" w:rsidRDefault="00C017C1" w:rsidP="00C017C1">
            <w:pPr>
              <w:spacing w:line="240" w:lineRule="auto"/>
              <w:jc w:val="center"/>
              <w:rPr>
                <w:rFonts w:ascii="Times New Roman" w:hAnsi="Times New Roman"/>
                <w:color w:val="000000"/>
                <w:sz w:val="16"/>
                <w:szCs w:val="16"/>
              </w:rPr>
            </w:pPr>
            <w:r>
              <w:rPr>
                <w:rFonts w:ascii="Times New Roman" w:hAnsi="Times New Roman"/>
                <w:color w:val="000000"/>
                <w:sz w:val="16"/>
                <w:szCs w:val="16"/>
              </w:rPr>
              <w:t>2032</w:t>
            </w:r>
          </w:p>
        </w:tc>
        <w:tc>
          <w:tcPr>
            <w:tcW w:w="1537" w:type="dxa"/>
            <w:gridSpan w:val="2"/>
            <w:shd w:val="clear" w:color="auto" w:fill="FFFFFF"/>
          </w:tcPr>
          <w:p w14:paraId="4FC197F2" w14:textId="77777777" w:rsidR="00C017C1" w:rsidRPr="00C53F26" w:rsidRDefault="00C017C1" w:rsidP="00C017C1">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C017C1" w:rsidRPr="008B4FE6" w14:paraId="46323949" w14:textId="77777777" w:rsidTr="00B236F6">
        <w:trPr>
          <w:trHeight w:val="321"/>
        </w:trPr>
        <w:tc>
          <w:tcPr>
            <w:tcW w:w="3246" w:type="dxa"/>
            <w:gridSpan w:val="4"/>
            <w:shd w:val="clear" w:color="auto" w:fill="FFFFFF"/>
            <w:vAlign w:val="center"/>
          </w:tcPr>
          <w:p w14:paraId="79E99FDF"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vAlign w:val="center"/>
          </w:tcPr>
          <w:p w14:paraId="12A715F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0,92</w:t>
            </w:r>
          </w:p>
        </w:tc>
        <w:tc>
          <w:tcPr>
            <w:tcW w:w="570" w:type="dxa"/>
            <w:gridSpan w:val="2"/>
            <w:shd w:val="clear" w:color="auto" w:fill="FFFFFF"/>
            <w:vAlign w:val="center"/>
          </w:tcPr>
          <w:p w14:paraId="2F016FA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gridSpan w:val="2"/>
            <w:shd w:val="clear" w:color="auto" w:fill="FFFFFF"/>
            <w:vAlign w:val="center"/>
          </w:tcPr>
          <w:p w14:paraId="65244C5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69" w:type="dxa"/>
            <w:gridSpan w:val="3"/>
            <w:shd w:val="clear" w:color="auto" w:fill="FFFFFF"/>
            <w:vAlign w:val="center"/>
          </w:tcPr>
          <w:p w14:paraId="3C9202D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gridSpan w:val="2"/>
            <w:shd w:val="clear" w:color="auto" w:fill="FFFFFF"/>
            <w:vAlign w:val="center"/>
          </w:tcPr>
          <w:p w14:paraId="4884E74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shd w:val="clear" w:color="auto" w:fill="FFFFFF"/>
            <w:vAlign w:val="center"/>
          </w:tcPr>
          <w:p w14:paraId="2DA84B9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gridSpan w:val="3"/>
            <w:shd w:val="clear" w:color="auto" w:fill="FFFFFF"/>
            <w:vAlign w:val="center"/>
          </w:tcPr>
          <w:p w14:paraId="2C694C7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69" w:type="dxa"/>
            <w:gridSpan w:val="3"/>
            <w:shd w:val="clear" w:color="auto" w:fill="FFFFFF"/>
            <w:vAlign w:val="center"/>
          </w:tcPr>
          <w:p w14:paraId="5EA7D5F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gridSpan w:val="2"/>
            <w:shd w:val="clear" w:color="auto" w:fill="FFFFFF"/>
            <w:vAlign w:val="center"/>
          </w:tcPr>
          <w:p w14:paraId="67C9137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gridSpan w:val="2"/>
            <w:shd w:val="clear" w:color="auto" w:fill="FFFFFF"/>
            <w:vAlign w:val="center"/>
          </w:tcPr>
          <w:p w14:paraId="27FBA94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570" w:type="dxa"/>
            <w:shd w:val="clear" w:color="auto" w:fill="FFFFFF"/>
            <w:vAlign w:val="center"/>
          </w:tcPr>
          <w:p w14:paraId="7C9A9AE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1,00</w:t>
            </w:r>
          </w:p>
        </w:tc>
        <w:tc>
          <w:tcPr>
            <w:tcW w:w="1547" w:type="dxa"/>
            <w:gridSpan w:val="3"/>
            <w:shd w:val="clear" w:color="auto" w:fill="FFFFFF"/>
            <w:vAlign w:val="center"/>
          </w:tcPr>
          <w:p w14:paraId="52349483" w14:textId="77777777" w:rsidR="00C017C1" w:rsidRPr="00A362F9" w:rsidRDefault="009B62E6" w:rsidP="00C017C1">
            <w:pPr>
              <w:spacing w:line="240" w:lineRule="auto"/>
              <w:rPr>
                <w:rFonts w:ascii="Times New Roman" w:hAnsi="Times New Roman"/>
                <w:color w:val="000000"/>
                <w:spacing w:val="-2"/>
                <w:sz w:val="16"/>
                <w:szCs w:val="16"/>
              </w:rPr>
            </w:pPr>
            <w:r>
              <w:rPr>
                <w:rFonts w:ascii="Times New Roman" w:hAnsi="Times New Roman"/>
                <w:color w:val="000000"/>
                <w:sz w:val="16"/>
                <w:szCs w:val="16"/>
              </w:rPr>
              <w:t>1</w:t>
            </w:r>
            <w:r w:rsidR="00C017C1" w:rsidRPr="00A362F9">
              <w:rPr>
                <w:rFonts w:ascii="Times New Roman" w:hAnsi="Times New Roman"/>
                <w:color w:val="000000"/>
                <w:sz w:val="16"/>
                <w:szCs w:val="16"/>
              </w:rPr>
              <w:t>0,92</w:t>
            </w:r>
          </w:p>
        </w:tc>
      </w:tr>
      <w:tr w:rsidR="00C017C1" w:rsidRPr="008B4FE6" w14:paraId="200414F4" w14:textId="77777777" w:rsidTr="00B236F6">
        <w:trPr>
          <w:trHeight w:val="321"/>
        </w:trPr>
        <w:tc>
          <w:tcPr>
            <w:tcW w:w="3246" w:type="dxa"/>
            <w:gridSpan w:val="4"/>
            <w:shd w:val="clear" w:color="auto" w:fill="FFFFFF"/>
            <w:vAlign w:val="center"/>
          </w:tcPr>
          <w:p w14:paraId="0FCC7B3E"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vAlign w:val="center"/>
          </w:tcPr>
          <w:p w14:paraId="32A0A53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57EEB81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gridSpan w:val="2"/>
            <w:shd w:val="clear" w:color="auto" w:fill="FFFFFF"/>
            <w:vAlign w:val="center"/>
          </w:tcPr>
          <w:p w14:paraId="7C1A5D3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69" w:type="dxa"/>
            <w:gridSpan w:val="3"/>
            <w:shd w:val="clear" w:color="auto" w:fill="FFFFFF"/>
            <w:vAlign w:val="center"/>
          </w:tcPr>
          <w:p w14:paraId="1A78078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gridSpan w:val="2"/>
            <w:shd w:val="clear" w:color="auto" w:fill="FFFFFF"/>
            <w:vAlign w:val="center"/>
          </w:tcPr>
          <w:p w14:paraId="09C50D5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shd w:val="clear" w:color="auto" w:fill="FFFFFF"/>
            <w:vAlign w:val="center"/>
          </w:tcPr>
          <w:p w14:paraId="679CEFB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gridSpan w:val="3"/>
            <w:shd w:val="clear" w:color="auto" w:fill="FFFFFF"/>
            <w:vAlign w:val="center"/>
          </w:tcPr>
          <w:p w14:paraId="0AA5DD3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69" w:type="dxa"/>
            <w:gridSpan w:val="3"/>
            <w:shd w:val="clear" w:color="auto" w:fill="FFFFFF"/>
            <w:vAlign w:val="center"/>
          </w:tcPr>
          <w:p w14:paraId="18231E6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gridSpan w:val="2"/>
            <w:shd w:val="clear" w:color="auto" w:fill="FFFFFF"/>
            <w:vAlign w:val="center"/>
          </w:tcPr>
          <w:p w14:paraId="1652367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gridSpan w:val="2"/>
            <w:shd w:val="clear" w:color="auto" w:fill="FFFFFF"/>
            <w:vAlign w:val="center"/>
          </w:tcPr>
          <w:p w14:paraId="6AFFBC3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570" w:type="dxa"/>
            <w:shd w:val="clear" w:color="auto" w:fill="FFFFFF"/>
            <w:vAlign w:val="center"/>
          </w:tcPr>
          <w:p w14:paraId="6FE5173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0,09</w:t>
            </w:r>
          </w:p>
        </w:tc>
        <w:tc>
          <w:tcPr>
            <w:tcW w:w="1547" w:type="dxa"/>
            <w:gridSpan w:val="3"/>
            <w:shd w:val="clear" w:color="auto" w:fill="FFFFFF"/>
            <w:vAlign w:val="center"/>
          </w:tcPr>
          <w:p w14:paraId="42B7CB6E" w14:textId="77777777" w:rsidR="00C017C1" w:rsidRPr="00A362F9" w:rsidRDefault="00C017C1" w:rsidP="00C017C1">
            <w:pPr>
              <w:spacing w:line="240" w:lineRule="auto"/>
              <w:rPr>
                <w:rFonts w:ascii="Times New Roman" w:hAnsi="Times New Roman"/>
                <w:color w:val="000000"/>
                <w:spacing w:val="-2"/>
                <w:sz w:val="16"/>
                <w:szCs w:val="16"/>
              </w:rPr>
            </w:pPr>
            <w:r w:rsidRPr="00A362F9">
              <w:rPr>
                <w:rFonts w:ascii="Times New Roman" w:hAnsi="Times New Roman"/>
                <w:color w:val="000000"/>
                <w:sz w:val="16"/>
                <w:szCs w:val="16"/>
              </w:rPr>
              <w:t>0,93</w:t>
            </w:r>
          </w:p>
        </w:tc>
      </w:tr>
      <w:tr w:rsidR="00C017C1" w:rsidRPr="008B4FE6" w14:paraId="1F4EA516" w14:textId="77777777" w:rsidTr="00B236F6">
        <w:trPr>
          <w:trHeight w:val="344"/>
        </w:trPr>
        <w:tc>
          <w:tcPr>
            <w:tcW w:w="3246" w:type="dxa"/>
            <w:gridSpan w:val="4"/>
            <w:shd w:val="clear" w:color="auto" w:fill="FFFFFF"/>
            <w:vAlign w:val="center"/>
          </w:tcPr>
          <w:p w14:paraId="57A48DE2"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vAlign w:val="center"/>
          </w:tcPr>
          <w:p w14:paraId="5EE40E9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6E116C0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2D6973C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69" w:type="dxa"/>
            <w:gridSpan w:val="3"/>
            <w:shd w:val="clear" w:color="auto" w:fill="FFFFFF"/>
            <w:vAlign w:val="center"/>
          </w:tcPr>
          <w:p w14:paraId="418C48A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3DCD007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shd w:val="clear" w:color="auto" w:fill="FFFFFF"/>
            <w:vAlign w:val="center"/>
          </w:tcPr>
          <w:p w14:paraId="7C96E8F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3"/>
            <w:shd w:val="clear" w:color="auto" w:fill="FFFFFF"/>
            <w:vAlign w:val="center"/>
          </w:tcPr>
          <w:p w14:paraId="4473ED2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69" w:type="dxa"/>
            <w:gridSpan w:val="3"/>
            <w:shd w:val="clear" w:color="auto" w:fill="FFFFFF"/>
            <w:vAlign w:val="center"/>
          </w:tcPr>
          <w:p w14:paraId="2E5DA53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59991E9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6236F28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shd w:val="clear" w:color="auto" w:fill="FFFFFF"/>
            <w:vAlign w:val="center"/>
          </w:tcPr>
          <w:p w14:paraId="7103DC7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1547" w:type="dxa"/>
            <w:gridSpan w:val="3"/>
            <w:shd w:val="clear" w:color="auto" w:fill="FFFFFF"/>
            <w:vAlign w:val="center"/>
          </w:tcPr>
          <w:p w14:paraId="3C2CD75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0,90</w:t>
            </w:r>
          </w:p>
        </w:tc>
      </w:tr>
      <w:tr w:rsidR="00C017C1" w:rsidRPr="008B4FE6" w14:paraId="21428B35" w14:textId="77777777" w:rsidTr="00B236F6">
        <w:trPr>
          <w:trHeight w:val="344"/>
        </w:trPr>
        <w:tc>
          <w:tcPr>
            <w:tcW w:w="3246" w:type="dxa"/>
            <w:gridSpan w:val="4"/>
            <w:shd w:val="clear" w:color="auto" w:fill="FFFFFF"/>
            <w:vAlign w:val="center"/>
          </w:tcPr>
          <w:p w14:paraId="27200D78"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ZUS</w:t>
            </w:r>
          </w:p>
        </w:tc>
        <w:tc>
          <w:tcPr>
            <w:tcW w:w="569" w:type="dxa"/>
            <w:gridSpan w:val="2"/>
            <w:shd w:val="clear" w:color="auto" w:fill="FFFFFF"/>
            <w:vAlign w:val="center"/>
          </w:tcPr>
          <w:p w14:paraId="13B16B3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0,56</w:t>
            </w:r>
          </w:p>
        </w:tc>
        <w:tc>
          <w:tcPr>
            <w:tcW w:w="570" w:type="dxa"/>
            <w:gridSpan w:val="2"/>
            <w:shd w:val="clear" w:color="auto" w:fill="FFFFFF"/>
            <w:vAlign w:val="center"/>
          </w:tcPr>
          <w:p w14:paraId="186B06C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5CEFEC6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69" w:type="dxa"/>
            <w:gridSpan w:val="3"/>
            <w:shd w:val="clear" w:color="auto" w:fill="FFFFFF"/>
            <w:vAlign w:val="center"/>
          </w:tcPr>
          <w:p w14:paraId="7B4D7C7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66ACD8E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shd w:val="clear" w:color="auto" w:fill="FFFFFF"/>
            <w:vAlign w:val="center"/>
          </w:tcPr>
          <w:p w14:paraId="10097FD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3"/>
            <w:shd w:val="clear" w:color="auto" w:fill="FFFFFF"/>
            <w:vAlign w:val="center"/>
          </w:tcPr>
          <w:p w14:paraId="5779385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69" w:type="dxa"/>
            <w:gridSpan w:val="3"/>
            <w:shd w:val="clear" w:color="auto" w:fill="FFFFFF"/>
            <w:vAlign w:val="center"/>
          </w:tcPr>
          <w:p w14:paraId="60740D8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5F386B7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127F38C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shd w:val="clear" w:color="auto" w:fill="FFFFFF"/>
            <w:vAlign w:val="center"/>
          </w:tcPr>
          <w:p w14:paraId="35B2ED6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1547" w:type="dxa"/>
            <w:gridSpan w:val="3"/>
            <w:shd w:val="clear" w:color="auto" w:fill="FFFFFF"/>
            <w:vAlign w:val="center"/>
          </w:tcPr>
          <w:p w14:paraId="2C49AB6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6,58</w:t>
            </w:r>
          </w:p>
        </w:tc>
      </w:tr>
      <w:tr w:rsidR="00C017C1" w:rsidRPr="008B4FE6" w14:paraId="71A2FEB1" w14:textId="77777777" w:rsidTr="00B236F6">
        <w:trPr>
          <w:trHeight w:val="344"/>
        </w:trPr>
        <w:tc>
          <w:tcPr>
            <w:tcW w:w="3246" w:type="dxa"/>
            <w:gridSpan w:val="4"/>
            <w:shd w:val="clear" w:color="auto" w:fill="FFFFFF"/>
            <w:vAlign w:val="center"/>
          </w:tcPr>
          <w:p w14:paraId="10E3277B"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NFZ</w:t>
            </w:r>
          </w:p>
        </w:tc>
        <w:tc>
          <w:tcPr>
            <w:tcW w:w="569" w:type="dxa"/>
            <w:gridSpan w:val="2"/>
            <w:shd w:val="clear" w:color="auto" w:fill="FFFFFF"/>
            <w:vAlign w:val="center"/>
          </w:tcPr>
          <w:p w14:paraId="756E482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0,14</w:t>
            </w:r>
          </w:p>
        </w:tc>
        <w:tc>
          <w:tcPr>
            <w:tcW w:w="570" w:type="dxa"/>
            <w:gridSpan w:val="2"/>
            <w:shd w:val="clear" w:color="auto" w:fill="FFFFFF"/>
            <w:vAlign w:val="center"/>
          </w:tcPr>
          <w:p w14:paraId="22D2583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7A8FB07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69" w:type="dxa"/>
            <w:gridSpan w:val="3"/>
            <w:shd w:val="clear" w:color="auto" w:fill="FFFFFF"/>
            <w:vAlign w:val="center"/>
          </w:tcPr>
          <w:p w14:paraId="7571A7A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243AD87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shd w:val="clear" w:color="auto" w:fill="FFFFFF"/>
            <w:vAlign w:val="center"/>
          </w:tcPr>
          <w:p w14:paraId="00900D4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3"/>
            <w:shd w:val="clear" w:color="auto" w:fill="FFFFFF"/>
            <w:vAlign w:val="center"/>
          </w:tcPr>
          <w:p w14:paraId="315921E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69" w:type="dxa"/>
            <w:gridSpan w:val="3"/>
            <w:shd w:val="clear" w:color="auto" w:fill="FFFFFF"/>
            <w:vAlign w:val="center"/>
          </w:tcPr>
          <w:p w14:paraId="4377342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4F17895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54FD1C0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shd w:val="clear" w:color="auto" w:fill="FFFFFF"/>
            <w:vAlign w:val="center"/>
          </w:tcPr>
          <w:p w14:paraId="0D2A478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1547" w:type="dxa"/>
            <w:gridSpan w:val="3"/>
            <w:shd w:val="clear" w:color="auto" w:fill="FFFFFF"/>
            <w:vAlign w:val="center"/>
          </w:tcPr>
          <w:p w14:paraId="2A0735A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1,65</w:t>
            </w:r>
          </w:p>
        </w:tc>
      </w:tr>
      <w:tr w:rsidR="00C017C1" w:rsidRPr="008B4FE6" w14:paraId="07E33FB5" w14:textId="77777777" w:rsidTr="00B236F6">
        <w:trPr>
          <w:trHeight w:val="344"/>
        </w:trPr>
        <w:tc>
          <w:tcPr>
            <w:tcW w:w="3246" w:type="dxa"/>
            <w:gridSpan w:val="4"/>
            <w:shd w:val="clear" w:color="auto" w:fill="FFFFFF"/>
            <w:vAlign w:val="center"/>
          </w:tcPr>
          <w:p w14:paraId="1511CC22"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FP + FS</w:t>
            </w:r>
          </w:p>
        </w:tc>
        <w:tc>
          <w:tcPr>
            <w:tcW w:w="569" w:type="dxa"/>
            <w:gridSpan w:val="2"/>
            <w:shd w:val="clear" w:color="auto" w:fill="FFFFFF"/>
            <w:vAlign w:val="center"/>
          </w:tcPr>
          <w:p w14:paraId="66D0E35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0,04</w:t>
            </w:r>
          </w:p>
        </w:tc>
        <w:tc>
          <w:tcPr>
            <w:tcW w:w="570" w:type="dxa"/>
            <w:gridSpan w:val="2"/>
            <w:shd w:val="clear" w:color="auto" w:fill="FFFFFF"/>
            <w:vAlign w:val="center"/>
          </w:tcPr>
          <w:p w14:paraId="76AE097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0DAD44E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69" w:type="dxa"/>
            <w:gridSpan w:val="3"/>
            <w:shd w:val="clear" w:color="auto" w:fill="FFFFFF"/>
            <w:vAlign w:val="center"/>
          </w:tcPr>
          <w:p w14:paraId="4B3896A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54F8448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shd w:val="clear" w:color="auto" w:fill="FFFFFF"/>
            <w:vAlign w:val="center"/>
          </w:tcPr>
          <w:p w14:paraId="5368FFC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3"/>
            <w:shd w:val="clear" w:color="auto" w:fill="FFFFFF"/>
            <w:vAlign w:val="center"/>
          </w:tcPr>
          <w:p w14:paraId="7E2932E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69" w:type="dxa"/>
            <w:gridSpan w:val="3"/>
            <w:shd w:val="clear" w:color="auto" w:fill="FFFFFF"/>
            <w:vAlign w:val="center"/>
          </w:tcPr>
          <w:p w14:paraId="0D91EDC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325BD7D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08751AB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shd w:val="clear" w:color="auto" w:fill="FFFFFF"/>
            <w:vAlign w:val="center"/>
          </w:tcPr>
          <w:p w14:paraId="0F8DD73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1547" w:type="dxa"/>
            <w:gridSpan w:val="3"/>
            <w:shd w:val="clear" w:color="auto" w:fill="FFFFFF"/>
            <w:vAlign w:val="center"/>
          </w:tcPr>
          <w:p w14:paraId="4F86F7F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0,52</w:t>
            </w:r>
          </w:p>
        </w:tc>
      </w:tr>
      <w:tr w:rsidR="00C017C1" w:rsidRPr="008B4FE6" w14:paraId="7FB7753A" w14:textId="77777777" w:rsidTr="00B236F6">
        <w:trPr>
          <w:trHeight w:val="344"/>
        </w:trPr>
        <w:tc>
          <w:tcPr>
            <w:tcW w:w="3246" w:type="dxa"/>
            <w:gridSpan w:val="4"/>
            <w:shd w:val="clear" w:color="auto" w:fill="FFFFFF"/>
            <w:vAlign w:val="center"/>
          </w:tcPr>
          <w:p w14:paraId="340FC418"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FGPŚ + FEP</w:t>
            </w:r>
          </w:p>
        </w:tc>
        <w:tc>
          <w:tcPr>
            <w:tcW w:w="569" w:type="dxa"/>
            <w:gridSpan w:val="2"/>
            <w:shd w:val="clear" w:color="auto" w:fill="FFFFFF"/>
            <w:vAlign w:val="center"/>
          </w:tcPr>
          <w:p w14:paraId="5BE28F2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1D9BB5F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79A0D84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69" w:type="dxa"/>
            <w:gridSpan w:val="3"/>
            <w:shd w:val="clear" w:color="auto" w:fill="FFFFFF"/>
            <w:vAlign w:val="center"/>
          </w:tcPr>
          <w:p w14:paraId="2A95752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42BB575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shd w:val="clear" w:color="auto" w:fill="FFFFFF"/>
            <w:vAlign w:val="center"/>
          </w:tcPr>
          <w:p w14:paraId="2811A09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3"/>
            <w:shd w:val="clear" w:color="auto" w:fill="FFFFFF"/>
            <w:vAlign w:val="center"/>
          </w:tcPr>
          <w:p w14:paraId="474A4C0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69" w:type="dxa"/>
            <w:gridSpan w:val="3"/>
            <w:shd w:val="clear" w:color="auto" w:fill="FFFFFF"/>
            <w:vAlign w:val="center"/>
          </w:tcPr>
          <w:p w14:paraId="0853382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7B9D1B6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55325C2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shd w:val="clear" w:color="auto" w:fill="FFFFFF"/>
            <w:vAlign w:val="center"/>
          </w:tcPr>
          <w:p w14:paraId="0806DEB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1547" w:type="dxa"/>
            <w:gridSpan w:val="3"/>
            <w:shd w:val="clear" w:color="auto" w:fill="FFFFFF"/>
            <w:vAlign w:val="center"/>
          </w:tcPr>
          <w:p w14:paraId="0A9B37C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0,34</w:t>
            </w:r>
          </w:p>
        </w:tc>
      </w:tr>
      <w:tr w:rsidR="00C017C1" w:rsidRPr="008B4FE6" w14:paraId="24156D89" w14:textId="77777777" w:rsidTr="00B236F6">
        <w:trPr>
          <w:trHeight w:val="344"/>
        </w:trPr>
        <w:tc>
          <w:tcPr>
            <w:tcW w:w="3246" w:type="dxa"/>
            <w:gridSpan w:val="4"/>
            <w:shd w:val="clear" w:color="auto" w:fill="FFFFFF"/>
            <w:vAlign w:val="center"/>
          </w:tcPr>
          <w:p w14:paraId="3C192B28"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2C99656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13D3683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305223B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5A3097CA"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153C13B3"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3CCC8269"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3"/>
            <w:shd w:val="clear" w:color="auto" w:fill="FFFFFF"/>
          </w:tcPr>
          <w:p w14:paraId="0CB3BB7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662B2BA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21368FB2"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453353F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5D28FC53"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tcPr>
          <w:p w14:paraId="0864F4F1"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C017C1" w:rsidRPr="008B4FE6" w14:paraId="5D613F42" w14:textId="77777777" w:rsidTr="00B236F6">
        <w:trPr>
          <w:trHeight w:val="330"/>
        </w:trPr>
        <w:tc>
          <w:tcPr>
            <w:tcW w:w="3246" w:type="dxa"/>
            <w:gridSpan w:val="4"/>
            <w:shd w:val="clear" w:color="auto" w:fill="FFFFFF"/>
            <w:vAlign w:val="center"/>
          </w:tcPr>
          <w:p w14:paraId="6517EC25"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vAlign w:val="center"/>
          </w:tcPr>
          <w:p w14:paraId="61CB3D4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2,43</w:t>
            </w:r>
          </w:p>
        </w:tc>
        <w:tc>
          <w:tcPr>
            <w:tcW w:w="570" w:type="dxa"/>
            <w:gridSpan w:val="2"/>
            <w:shd w:val="clear" w:color="auto" w:fill="FFFFFF"/>
            <w:vAlign w:val="center"/>
          </w:tcPr>
          <w:p w14:paraId="4CFBA87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6D7A898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69" w:type="dxa"/>
            <w:gridSpan w:val="3"/>
            <w:shd w:val="clear" w:color="auto" w:fill="FFFFFF"/>
            <w:vAlign w:val="center"/>
          </w:tcPr>
          <w:p w14:paraId="10FA4DD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6D8916A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shd w:val="clear" w:color="auto" w:fill="FFFFFF"/>
            <w:vAlign w:val="center"/>
          </w:tcPr>
          <w:p w14:paraId="3F36236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3"/>
            <w:shd w:val="clear" w:color="auto" w:fill="FFFFFF"/>
            <w:vAlign w:val="center"/>
          </w:tcPr>
          <w:p w14:paraId="1AF955F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69" w:type="dxa"/>
            <w:gridSpan w:val="3"/>
            <w:shd w:val="clear" w:color="auto" w:fill="FFFFFF"/>
            <w:vAlign w:val="center"/>
          </w:tcPr>
          <w:p w14:paraId="6A6421B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1E6DAD9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70AA34D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shd w:val="clear" w:color="auto" w:fill="FFFFFF"/>
            <w:vAlign w:val="center"/>
          </w:tcPr>
          <w:p w14:paraId="4CBA80B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1547" w:type="dxa"/>
            <w:gridSpan w:val="3"/>
            <w:shd w:val="clear" w:color="auto" w:fill="FFFFFF"/>
            <w:vAlign w:val="center"/>
          </w:tcPr>
          <w:p w14:paraId="29E8A72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26,07</w:t>
            </w:r>
          </w:p>
        </w:tc>
      </w:tr>
      <w:tr w:rsidR="00C017C1" w:rsidRPr="008B4FE6" w14:paraId="4AFF0BAC" w14:textId="77777777" w:rsidTr="00B236F6">
        <w:trPr>
          <w:trHeight w:val="330"/>
        </w:trPr>
        <w:tc>
          <w:tcPr>
            <w:tcW w:w="3246" w:type="dxa"/>
            <w:gridSpan w:val="4"/>
            <w:shd w:val="clear" w:color="auto" w:fill="FFFFFF"/>
            <w:vAlign w:val="center"/>
          </w:tcPr>
          <w:p w14:paraId="76C4BABD"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vAlign w:val="center"/>
          </w:tcPr>
          <w:p w14:paraId="743CD6D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2,43</w:t>
            </w:r>
          </w:p>
        </w:tc>
        <w:tc>
          <w:tcPr>
            <w:tcW w:w="570" w:type="dxa"/>
            <w:gridSpan w:val="2"/>
            <w:shd w:val="clear" w:color="auto" w:fill="FFFFFF"/>
            <w:vAlign w:val="center"/>
          </w:tcPr>
          <w:p w14:paraId="5D0B3C2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130F0DE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69" w:type="dxa"/>
            <w:gridSpan w:val="3"/>
            <w:shd w:val="clear" w:color="auto" w:fill="FFFFFF"/>
            <w:vAlign w:val="center"/>
          </w:tcPr>
          <w:p w14:paraId="4395A5D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5F092A0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shd w:val="clear" w:color="auto" w:fill="FFFFFF"/>
            <w:vAlign w:val="center"/>
          </w:tcPr>
          <w:p w14:paraId="7D9D924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3"/>
            <w:shd w:val="clear" w:color="auto" w:fill="FFFFFF"/>
            <w:vAlign w:val="center"/>
          </w:tcPr>
          <w:p w14:paraId="21026C5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69" w:type="dxa"/>
            <w:gridSpan w:val="3"/>
            <w:shd w:val="clear" w:color="auto" w:fill="FFFFFF"/>
            <w:vAlign w:val="center"/>
          </w:tcPr>
          <w:p w14:paraId="750218E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6C81EF3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gridSpan w:val="2"/>
            <w:shd w:val="clear" w:color="auto" w:fill="FFFFFF"/>
            <w:vAlign w:val="center"/>
          </w:tcPr>
          <w:p w14:paraId="4FC406A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570" w:type="dxa"/>
            <w:shd w:val="clear" w:color="auto" w:fill="FFFFFF"/>
            <w:vAlign w:val="center"/>
          </w:tcPr>
          <w:p w14:paraId="2E3FE22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2,36</w:t>
            </w:r>
          </w:p>
        </w:tc>
        <w:tc>
          <w:tcPr>
            <w:tcW w:w="1547" w:type="dxa"/>
            <w:gridSpan w:val="3"/>
            <w:shd w:val="clear" w:color="auto" w:fill="FFFFFF"/>
            <w:vAlign w:val="center"/>
          </w:tcPr>
          <w:p w14:paraId="63D3AF7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26,07</w:t>
            </w:r>
          </w:p>
        </w:tc>
      </w:tr>
      <w:tr w:rsidR="00C017C1" w:rsidRPr="008B4FE6" w14:paraId="723893A1" w14:textId="77777777" w:rsidTr="00B236F6">
        <w:trPr>
          <w:trHeight w:val="351"/>
        </w:trPr>
        <w:tc>
          <w:tcPr>
            <w:tcW w:w="3246" w:type="dxa"/>
            <w:gridSpan w:val="4"/>
            <w:shd w:val="clear" w:color="auto" w:fill="FFFFFF"/>
            <w:vAlign w:val="center"/>
          </w:tcPr>
          <w:p w14:paraId="356F9C1A"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5C46A6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2B3222B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3D6BB781"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686B999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02F02BDF"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52CFC0B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3"/>
            <w:shd w:val="clear" w:color="auto" w:fill="FFFFFF"/>
          </w:tcPr>
          <w:p w14:paraId="0720D08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10EC7D53"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5B90880E"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52C0760C"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3C7D98F4"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tcPr>
          <w:p w14:paraId="3961A660"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C017C1" w:rsidRPr="008B4FE6" w14:paraId="450EF24F" w14:textId="77777777" w:rsidTr="00B236F6">
        <w:trPr>
          <w:trHeight w:val="351"/>
        </w:trPr>
        <w:tc>
          <w:tcPr>
            <w:tcW w:w="3246" w:type="dxa"/>
            <w:gridSpan w:val="4"/>
            <w:shd w:val="clear" w:color="auto" w:fill="FFFFFF"/>
            <w:vAlign w:val="center"/>
          </w:tcPr>
          <w:p w14:paraId="7F8470C2"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ZUS</w:t>
            </w:r>
          </w:p>
        </w:tc>
        <w:tc>
          <w:tcPr>
            <w:tcW w:w="569" w:type="dxa"/>
            <w:gridSpan w:val="2"/>
            <w:shd w:val="clear" w:color="auto" w:fill="FFFFFF"/>
            <w:vAlign w:val="center"/>
          </w:tcPr>
          <w:p w14:paraId="16E6CAA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2EF8114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7DBA95C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7A10986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69B2BE2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0935637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3"/>
            <w:shd w:val="clear" w:color="auto" w:fill="FFFFFF"/>
            <w:vAlign w:val="center"/>
          </w:tcPr>
          <w:p w14:paraId="6036884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2716EBC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355FFEE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3EC35E1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67FDF86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1547" w:type="dxa"/>
            <w:gridSpan w:val="3"/>
            <w:shd w:val="clear" w:color="auto" w:fill="FFFFFF"/>
            <w:vAlign w:val="center"/>
          </w:tcPr>
          <w:p w14:paraId="152EF23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r>
      <w:tr w:rsidR="00C017C1" w:rsidRPr="008B4FE6" w14:paraId="0C38A196" w14:textId="77777777" w:rsidTr="00B236F6">
        <w:trPr>
          <w:trHeight w:val="351"/>
        </w:trPr>
        <w:tc>
          <w:tcPr>
            <w:tcW w:w="3246" w:type="dxa"/>
            <w:gridSpan w:val="4"/>
            <w:shd w:val="clear" w:color="auto" w:fill="FFFFFF"/>
            <w:vAlign w:val="center"/>
          </w:tcPr>
          <w:p w14:paraId="6972A1BB"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NFZ</w:t>
            </w:r>
          </w:p>
        </w:tc>
        <w:tc>
          <w:tcPr>
            <w:tcW w:w="569" w:type="dxa"/>
            <w:gridSpan w:val="2"/>
            <w:shd w:val="clear" w:color="auto" w:fill="FFFFFF"/>
            <w:vAlign w:val="center"/>
          </w:tcPr>
          <w:p w14:paraId="6DB3656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16457AB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028223D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55A5A2A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4E5DDFA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025AB5C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3"/>
            <w:shd w:val="clear" w:color="auto" w:fill="FFFFFF"/>
            <w:vAlign w:val="center"/>
          </w:tcPr>
          <w:p w14:paraId="6CFB990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0B29D12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5E496D1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41EB778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0155644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1547" w:type="dxa"/>
            <w:gridSpan w:val="3"/>
            <w:shd w:val="clear" w:color="auto" w:fill="FFFFFF"/>
            <w:vAlign w:val="center"/>
          </w:tcPr>
          <w:p w14:paraId="43F43F9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r>
      <w:tr w:rsidR="00C017C1" w:rsidRPr="008B4FE6" w14:paraId="03E3E2B7" w14:textId="77777777" w:rsidTr="00B236F6">
        <w:trPr>
          <w:trHeight w:val="351"/>
        </w:trPr>
        <w:tc>
          <w:tcPr>
            <w:tcW w:w="3246" w:type="dxa"/>
            <w:gridSpan w:val="4"/>
            <w:shd w:val="clear" w:color="auto" w:fill="FFFFFF"/>
            <w:vAlign w:val="center"/>
          </w:tcPr>
          <w:p w14:paraId="739B9DA1"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FP + FS</w:t>
            </w:r>
          </w:p>
        </w:tc>
        <w:tc>
          <w:tcPr>
            <w:tcW w:w="569" w:type="dxa"/>
            <w:gridSpan w:val="2"/>
            <w:shd w:val="clear" w:color="auto" w:fill="FFFFFF"/>
            <w:vAlign w:val="center"/>
          </w:tcPr>
          <w:p w14:paraId="33FB14C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4259410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75218E5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235EEB7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0B7CD75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4F5D7ED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3"/>
            <w:shd w:val="clear" w:color="auto" w:fill="FFFFFF"/>
            <w:vAlign w:val="center"/>
          </w:tcPr>
          <w:p w14:paraId="50D7E95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061F129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7118BA8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5CB8325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217126E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1547" w:type="dxa"/>
            <w:gridSpan w:val="3"/>
            <w:shd w:val="clear" w:color="auto" w:fill="FFFFFF"/>
            <w:vAlign w:val="center"/>
          </w:tcPr>
          <w:p w14:paraId="0CED3A5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r>
      <w:tr w:rsidR="00C017C1" w:rsidRPr="008B4FE6" w14:paraId="22E25A7E" w14:textId="77777777" w:rsidTr="00B236F6">
        <w:trPr>
          <w:trHeight w:val="351"/>
        </w:trPr>
        <w:tc>
          <w:tcPr>
            <w:tcW w:w="3246" w:type="dxa"/>
            <w:gridSpan w:val="4"/>
            <w:shd w:val="clear" w:color="auto" w:fill="FFFFFF"/>
            <w:vAlign w:val="center"/>
          </w:tcPr>
          <w:p w14:paraId="587D486B" w14:textId="77777777" w:rsidR="00C017C1"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FGPŚ + FEP</w:t>
            </w:r>
          </w:p>
        </w:tc>
        <w:tc>
          <w:tcPr>
            <w:tcW w:w="569" w:type="dxa"/>
            <w:gridSpan w:val="2"/>
            <w:shd w:val="clear" w:color="auto" w:fill="FFFFFF"/>
            <w:vAlign w:val="center"/>
          </w:tcPr>
          <w:p w14:paraId="595004B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6DD1C42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235E3C8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7144910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6E7BD9A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205908E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3"/>
            <w:shd w:val="clear" w:color="auto" w:fill="FFFFFF"/>
            <w:vAlign w:val="center"/>
          </w:tcPr>
          <w:p w14:paraId="12B637F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69" w:type="dxa"/>
            <w:gridSpan w:val="3"/>
            <w:shd w:val="clear" w:color="auto" w:fill="FFFFFF"/>
            <w:vAlign w:val="center"/>
          </w:tcPr>
          <w:p w14:paraId="738CE5B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7F55EDD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gridSpan w:val="2"/>
            <w:shd w:val="clear" w:color="auto" w:fill="FFFFFF"/>
            <w:vAlign w:val="center"/>
          </w:tcPr>
          <w:p w14:paraId="1E92C9F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570" w:type="dxa"/>
            <w:shd w:val="clear" w:color="auto" w:fill="FFFFFF"/>
            <w:vAlign w:val="center"/>
          </w:tcPr>
          <w:p w14:paraId="005A053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c>
          <w:tcPr>
            <w:tcW w:w="1547" w:type="dxa"/>
            <w:gridSpan w:val="3"/>
            <w:shd w:val="clear" w:color="auto" w:fill="FFFFFF"/>
            <w:vAlign w:val="center"/>
          </w:tcPr>
          <w:p w14:paraId="18878AB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0,00</w:t>
            </w:r>
          </w:p>
        </w:tc>
      </w:tr>
      <w:tr w:rsidR="00C017C1" w:rsidRPr="008B4FE6" w14:paraId="1A54EB64" w14:textId="77777777" w:rsidTr="00B236F6">
        <w:trPr>
          <w:trHeight w:val="351"/>
        </w:trPr>
        <w:tc>
          <w:tcPr>
            <w:tcW w:w="3246" w:type="dxa"/>
            <w:gridSpan w:val="4"/>
            <w:shd w:val="clear" w:color="auto" w:fill="FFFFFF"/>
            <w:vAlign w:val="center"/>
          </w:tcPr>
          <w:p w14:paraId="60B64FD8"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4D220D1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2E5D6D0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512D2D9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4D3AD79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656D9E9C"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396AAFF2"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3"/>
            <w:shd w:val="clear" w:color="auto" w:fill="FFFFFF"/>
          </w:tcPr>
          <w:p w14:paraId="4CECB89F"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3073803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5A0A3FED"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56435CA9"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71469902"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tcPr>
          <w:p w14:paraId="3C68C4DB"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C017C1" w:rsidRPr="008B4FE6" w14:paraId="330B4626" w14:textId="77777777" w:rsidTr="00B236F6">
        <w:trPr>
          <w:trHeight w:val="360"/>
        </w:trPr>
        <w:tc>
          <w:tcPr>
            <w:tcW w:w="3246" w:type="dxa"/>
            <w:gridSpan w:val="4"/>
            <w:shd w:val="clear" w:color="auto" w:fill="FFFFFF"/>
            <w:vAlign w:val="center"/>
          </w:tcPr>
          <w:p w14:paraId="46D70909"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vAlign w:val="center"/>
          </w:tcPr>
          <w:p w14:paraId="4282707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-1,51</w:t>
            </w:r>
          </w:p>
        </w:tc>
        <w:tc>
          <w:tcPr>
            <w:tcW w:w="570" w:type="dxa"/>
            <w:gridSpan w:val="2"/>
            <w:shd w:val="clear" w:color="auto" w:fill="FFFFFF"/>
            <w:vAlign w:val="center"/>
          </w:tcPr>
          <w:p w14:paraId="2121690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gridSpan w:val="2"/>
            <w:shd w:val="clear" w:color="auto" w:fill="FFFFFF"/>
            <w:vAlign w:val="center"/>
          </w:tcPr>
          <w:p w14:paraId="19C7560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69" w:type="dxa"/>
            <w:gridSpan w:val="3"/>
            <w:shd w:val="clear" w:color="auto" w:fill="FFFFFF"/>
            <w:vAlign w:val="center"/>
          </w:tcPr>
          <w:p w14:paraId="0F3B7F7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gridSpan w:val="2"/>
            <w:shd w:val="clear" w:color="auto" w:fill="FFFFFF"/>
            <w:vAlign w:val="center"/>
          </w:tcPr>
          <w:p w14:paraId="7895D1E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shd w:val="clear" w:color="auto" w:fill="FFFFFF"/>
            <w:vAlign w:val="center"/>
          </w:tcPr>
          <w:p w14:paraId="26A30E7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gridSpan w:val="3"/>
            <w:shd w:val="clear" w:color="auto" w:fill="FFFFFF"/>
            <w:vAlign w:val="center"/>
          </w:tcPr>
          <w:p w14:paraId="586EF33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69" w:type="dxa"/>
            <w:gridSpan w:val="3"/>
            <w:shd w:val="clear" w:color="auto" w:fill="FFFFFF"/>
            <w:vAlign w:val="center"/>
          </w:tcPr>
          <w:p w14:paraId="3375C58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gridSpan w:val="2"/>
            <w:shd w:val="clear" w:color="auto" w:fill="FFFFFF"/>
            <w:vAlign w:val="center"/>
          </w:tcPr>
          <w:p w14:paraId="48285EA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gridSpan w:val="2"/>
            <w:shd w:val="clear" w:color="auto" w:fill="FFFFFF"/>
            <w:vAlign w:val="center"/>
          </w:tcPr>
          <w:p w14:paraId="4FC421D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570" w:type="dxa"/>
            <w:shd w:val="clear" w:color="auto" w:fill="FFFFFF"/>
            <w:vAlign w:val="center"/>
          </w:tcPr>
          <w:p w14:paraId="3253ABB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-1,36</w:t>
            </w:r>
          </w:p>
        </w:tc>
        <w:tc>
          <w:tcPr>
            <w:tcW w:w="1547" w:type="dxa"/>
            <w:gridSpan w:val="3"/>
            <w:shd w:val="clear" w:color="auto" w:fill="FFFFFF"/>
            <w:vAlign w:val="center"/>
          </w:tcPr>
          <w:p w14:paraId="4EEE9D0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-15,14</w:t>
            </w:r>
          </w:p>
        </w:tc>
      </w:tr>
      <w:tr w:rsidR="00C017C1" w:rsidRPr="008B4FE6" w14:paraId="16E7D1FB" w14:textId="77777777" w:rsidTr="00B236F6">
        <w:trPr>
          <w:trHeight w:val="360"/>
        </w:trPr>
        <w:tc>
          <w:tcPr>
            <w:tcW w:w="3246" w:type="dxa"/>
            <w:gridSpan w:val="4"/>
            <w:shd w:val="clear" w:color="auto" w:fill="FFFFFF"/>
            <w:vAlign w:val="center"/>
          </w:tcPr>
          <w:p w14:paraId="528EFE83"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vAlign w:val="center"/>
          </w:tcPr>
          <w:p w14:paraId="52C6D83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-2,35</w:t>
            </w:r>
          </w:p>
        </w:tc>
        <w:tc>
          <w:tcPr>
            <w:tcW w:w="570" w:type="dxa"/>
            <w:gridSpan w:val="2"/>
            <w:shd w:val="clear" w:color="auto" w:fill="FFFFFF"/>
            <w:vAlign w:val="center"/>
          </w:tcPr>
          <w:p w14:paraId="3161435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gridSpan w:val="2"/>
            <w:shd w:val="clear" w:color="auto" w:fill="FFFFFF"/>
            <w:vAlign w:val="center"/>
          </w:tcPr>
          <w:p w14:paraId="7B60610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69" w:type="dxa"/>
            <w:gridSpan w:val="3"/>
            <w:shd w:val="clear" w:color="auto" w:fill="FFFFFF"/>
            <w:vAlign w:val="center"/>
          </w:tcPr>
          <w:p w14:paraId="3B76306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gridSpan w:val="2"/>
            <w:shd w:val="clear" w:color="auto" w:fill="FFFFFF"/>
            <w:vAlign w:val="center"/>
          </w:tcPr>
          <w:p w14:paraId="402B3BA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shd w:val="clear" w:color="auto" w:fill="FFFFFF"/>
            <w:vAlign w:val="center"/>
          </w:tcPr>
          <w:p w14:paraId="559D436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gridSpan w:val="3"/>
            <w:shd w:val="clear" w:color="auto" w:fill="FFFFFF"/>
            <w:vAlign w:val="center"/>
          </w:tcPr>
          <w:p w14:paraId="0D2F7AF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69" w:type="dxa"/>
            <w:gridSpan w:val="3"/>
            <w:shd w:val="clear" w:color="auto" w:fill="FFFFFF"/>
            <w:vAlign w:val="center"/>
          </w:tcPr>
          <w:p w14:paraId="718C560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gridSpan w:val="2"/>
            <w:shd w:val="clear" w:color="auto" w:fill="FFFFFF"/>
            <w:vAlign w:val="center"/>
          </w:tcPr>
          <w:p w14:paraId="2FCE1D2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gridSpan w:val="2"/>
            <w:shd w:val="clear" w:color="auto" w:fill="FFFFFF"/>
            <w:vAlign w:val="center"/>
          </w:tcPr>
          <w:p w14:paraId="1140E7F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570" w:type="dxa"/>
            <w:shd w:val="clear" w:color="auto" w:fill="FFFFFF"/>
            <w:vAlign w:val="center"/>
          </w:tcPr>
          <w:p w14:paraId="02109CB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-2,28</w:t>
            </w:r>
          </w:p>
        </w:tc>
        <w:tc>
          <w:tcPr>
            <w:tcW w:w="1547" w:type="dxa"/>
            <w:gridSpan w:val="3"/>
            <w:shd w:val="clear" w:color="auto" w:fill="FFFFFF"/>
            <w:vAlign w:val="center"/>
          </w:tcPr>
          <w:p w14:paraId="52580C9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-25,14</w:t>
            </w:r>
          </w:p>
        </w:tc>
      </w:tr>
      <w:tr w:rsidR="00C017C1" w:rsidRPr="008B4FE6" w14:paraId="62ACE9A4" w14:textId="77777777" w:rsidTr="00B236F6">
        <w:trPr>
          <w:trHeight w:val="357"/>
        </w:trPr>
        <w:tc>
          <w:tcPr>
            <w:tcW w:w="3246" w:type="dxa"/>
            <w:gridSpan w:val="4"/>
            <w:shd w:val="clear" w:color="auto" w:fill="FFFFFF"/>
            <w:vAlign w:val="center"/>
          </w:tcPr>
          <w:p w14:paraId="566F3B7C"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vAlign w:val="center"/>
          </w:tcPr>
          <w:p w14:paraId="0449F1D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23CEBCB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4D2B620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69" w:type="dxa"/>
            <w:gridSpan w:val="3"/>
            <w:shd w:val="clear" w:color="auto" w:fill="FFFFFF"/>
            <w:vAlign w:val="center"/>
          </w:tcPr>
          <w:p w14:paraId="145C3EF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31E8922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shd w:val="clear" w:color="auto" w:fill="FFFFFF"/>
            <w:vAlign w:val="center"/>
          </w:tcPr>
          <w:p w14:paraId="423C994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3"/>
            <w:shd w:val="clear" w:color="auto" w:fill="FFFFFF"/>
            <w:vAlign w:val="center"/>
          </w:tcPr>
          <w:p w14:paraId="29D0CC8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69" w:type="dxa"/>
            <w:gridSpan w:val="3"/>
            <w:shd w:val="clear" w:color="auto" w:fill="FFFFFF"/>
            <w:vAlign w:val="center"/>
          </w:tcPr>
          <w:p w14:paraId="4A421B9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65289E6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gridSpan w:val="2"/>
            <w:shd w:val="clear" w:color="auto" w:fill="FFFFFF"/>
            <w:vAlign w:val="center"/>
          </w:tcPr>
          <w:p w14:paraId="6251EAF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570" w:type="dxa"/>
            <w:shd w:val="clear" w:color="auto" w:fill="FFFFFF"/>
            <w:vAlign w:val="center"/>
          </w:tcPr>
          <w:p w14:paraId="7BB0419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0,08</w:t>
            </w:r>
          </w:p>
        </w:tc>
        <w:tc>
          <w:tcPr>
            <w:tcW w:w="1547" w:type="dxa"/>
            <w:gridSpan w:val="3"/>
            <w:shd w:val="clear" w:color="auto" w:fill="FFFFFF"/>
            <w:vAlign w:val="center"/>
          </w:tcPr>
          <w:p w14:paraId="33D08C8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0,90</w:t>
            </w:r>
          </w:p>
        </w:tc>
      </w:tr>
      <w:tr w:rsidR="00C017C1" w:rsidRPr="008B4FE6" w14:paraId="5060869A" w14:textId="77777777" w:rsidTr="00B236F6">
        <w:trPr>
          <w:trHeight w:val="357"/>
        </w:trPr>
        <w:tc>
          <w:tcPr>
            <w:tcW w:w="3246" w:type="dxa"/>
            <w:gridSpan w:val="4"/>
            <w:shd w:val="clear" w:color="auto" w:fill="FFFFFF"/>
            <w:vAlign w:val="center"/>
          </w:tcPr>
          <w:p w14:paraId="1E8C326A"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ZUS</w:t>
            </w:r>
          </w:p>
        </w:tc>
        <w:tc>
          <w:tcPr>
            <w:tcW w:w="569" w:type="dxa"/>
            <w:gridSpan w:val="2"/>
            <w:shd w:val="clear" w:color="auto" w:fill="FFFFFF"/>
            <w:vAlign w:val="center"/>
          </w:tcPr>
          <w:p w14:paraId="0376CD5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0,56</w:t>
            </w:r>
          </w:p>
        </w:tc>
        <w:tc>
          <w:tcPr>
            <w:tcW w:w="570" w:type="dxa"/>
            <w:gridSpan w:val="2"/>
            <w:shd w:val="clear" w:color="auto" w:fill="FFFFFF"/>
            <w:vAlign w:val="center"/>
          </w:tcPr>
          <w:p w14:paraId="7FAFA13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0FC7F64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69" w:type="dxa"/>
            <w:gridSpan w:val="3"/>
            <w:shd w:val="clear" w:color="auto" w:fill="FFFFFF"/>
            <w:vAlign w:val="center"/>
          </w:tcPr>
          <w:p w14:paraId="053F9FB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74DE0EF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shd w:val="clear" w:color="auto" w:fill="FFFFFF"/>
            <w:vAlign w:val="center"/>
          </w:tcPr>
          <w:p w14:paraId="05F1B08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3"/>
            <w:shd w:val="clear" w:color="auto" w:fill="FFFFFF"/>
            <w:vAlign w:val="center"/>
          </w:tcPr>
          <w:p w14:paraId="240E73A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69" w:type="dxa"/>
            <w:gridSpan w:val="3"/>
            <w:shd w:val="clear" w:color="auto" w:fill="FFFFFF"/>
            <w:vAlign w:val="center"/>
          </w:tcPr>
          <w:p w14:paraId="5976A4A1"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379696B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gridSpan w:val="2"/>
            <w:shd w:val="clear" w:color="auto" w:fill="FFFFFF"/>
            <w:vAlign w:val="center"/>
          </w:tcPr>
          <w:p w14:paraId="2720EFB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570" w:type="dxa"/>
            <w:shd w:val="clear" w:color="auto" w:fill="FFFFFF"/>
            <w:vAlign w:val="center"/>
          </w:tcPr>
          <w:p w14:paraId="3598A49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0,60</w:t>
            </w:r>
          </w:p>
        </w:tc>
        <w:tc>
          <w:tcPr>
            <w:tcW w:w="1547" w:type="dxa"/>
            <w:gridSpan w:val="3"/>
            <w:shd w:val="clear" w:color="auto" w:fill="FFFFFF"/>
            <w:vAlign w:val="center"/>
          </w:tcPr>
          <w:p w14:paraId="3BEEB9F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6,58</w:t>
            </w:r>
          </w:p>
        </w:tc>
      </w:tr>
      <w:tr w:rsidR="00C017C1" w:rsidRPr="008B4FE6" w14:paraId="671EC594" w14:textId="77777777" w:rsidTr="00B236F6">
        <w:trPr>
          <w:trHeight w:val="357"/>
        </w:trPr>
        <w:tc>
          <w:tcPr>
            <w:tcW w:w="3246" w:type="dxa"/>
            <w:gridSpan w:val="4"/>
            <w:shd w:val="clear" w:color="auto" w:fill="FFFFFF"/>
            <w:vAlign w:val="center"/>
          </w:tcPr>
          <w:p w14:paraId="2218AE4B"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NFZ</w:t>
            </w:r>
          </w:p>
        </w:tc>
        <w:tc>
          <w:tcPr>
            <w:tcW w:w="569" w:type="dxa"/>
            <w:gridSpan w:val="2"/>
            <w:shd w:val="clear" w:color="auto" w:fill="FFFFFF"/>
            <w:vAlign w:val="center"/>
          </w:tcPr>
          <w:p w14:paraId="27E33FC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0,14</w:t>
            </w:r>
          </w:p>
        </w:tc>
        <w:tc>
          <w:tcPr>
            <w:tcW w:w="570" w:type="dxa"/>
            <w:gridSpan w:val="2"/>
            <w:shd w:val="clear" w:color="auto" w:fill="FFFFFF"/>
            <w:vAlign w:val="center"/>
          </w:tcPr>
          <w:p w14:paraId="54116DA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3BA9B09C"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69" w:type="dxa"/>
            <w:gridSpan w:val="3"/>
            <w:shd w:val="clear" w:color="auto" w:fill="FFFFFF"/>
            <w:vAlign w:val="center"/>
          </w:tcPr>
          <w:p w14:paraId="77E928E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46D457F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shd w:val="clear" w:color="auto" w:fill="FFFFFF"/>
            <w:vAlign w:val="center"/>
          </w:tcPr>
          <w:p w14:paraId="5B3FF51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3"/>
            <w:shd w:val="clear" w:color="auto" w:fill="FFFFFF"/>
            <w:vAlign w:val="center"/>
          </w:tcPr>
          <w:p w14:paraId="3FAAB3C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69" w:type="dxa"/>
            <w:gridSpan w:val="3"/>
            <w:shd w:val="clear" w:color="auto" w:fill="FFFFFF"/>
            <w:vAlign w:val="center"/>
          </w:tcPr>
          <w:p w14:paraId="12BF77C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5663577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gridSpan w:val="2"/>
            <w:shd w:val="clear" w:color="auto" w:fill="FFFFFF"/>
            <w:vAlign w:val="center"/>
          </w:tcPr>
          <w:p w14:paraId="3C1EB32A"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570" w:type="dxa"/>
            <w:shd w:val="clear" w:color="auto" w:fill="FFFFFF"/>
            <w:vAlign w:val="center"/>
          </w:tcPr>
          <w:p w14:paraId="00CC2AA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0,15</w:t>
            </w:r>
          </w:p>
        </w:tc>
        <w:tc>
          <w:tcPr>
            <w:tcW w:w="1547" w:type="dxa"/>
            <w:gridSpan w:val="3"/>
            <w:shd w:val="clear" w:color="auto" w:fill="FFFFFF"/>
            <w:vAlign w:val="center"/>
          </w:tcPr>
          <w:p w14:paraId="338DEF3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1,65</w:t>
            </w:r>
          </w:p>
        </w:tc>
      </w:tr>
      <w:tr w:rsidR="00C017C1" w:rsidRPr="008B4FE6" w14:paraId="08B1AE8C" w14:textId="77777777" w:rsidTr="00B236F6">
        <w:trPr>
          <w:trHeight w:val="357"/>
        </w:trPr>
        <w:tc>
          <w:tcPr>
            <w:tcW w:w="3246" w:type="dxa"/>
            <w:gridSpan w:val="4"/>
            <w:shd w:val="clear" w:color="auto" w:fill="FFFFFF"/>
            <w:vAlign w:val="center"/>
          </w:tcPr>
          <w:p w14:paraId="228EB7BD"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FP + FS</w:t>
            </w:r>
          </w:p>
        </w:tc>
        <w:tc>
          <w:tcPr>
            <w:tcW w:w="569" w:type="dxa"/>
            <w:gridSpan w:val="2"/>
            <w:shd w:val="clear" w:color="auto" w:fill="FFFFFF"/>
            <w:vAlign w:val="center"/>
          </w:tcPr>
          <w:p w14:paraId="582B9E4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0,04</w:t>
            </w:r>
          </w:p>
        </w:tc>
        <w:tc>
          <w:tcPr>
            <w:tcW w:w="570" w:type="dxa"/>
            <w:gridSpan w:val="2"/>
            <w:shd w:val="clear" w:color="auto" w:fill="FFFFFF"/>
            <w:vAlign w:val="center"/>
          </w:tcPr>
          <w:p w14:paraId="1C641B1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476FAFD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69" w:type="dxa"/>
            <w:gridSpan w:val="3"/>
            <w:shd w:val="clear" w:color="auto" w:fill="FFFFFF"/>
            <w:vAlign w:val="center"/>
          </w:tcPr>
          <w:p w14:paraId="22B8F829"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2D1513D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shd w:val="clear" w:color="auto" w:fill="FFFFFF"/>
            <w:vAlign w:val="center"/>
          </w:tcPr>
          <w:p w14:paraId="1CA5E10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3"/>
            <w:shd w:val="clear" w:color="auto" w:fill="FFFFFF"/>
            <w:vAlign w:val="center"/>
          </w:tcPr>
          <w:p w14:paraId="22B610C0"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69" w:type="dxa"/>
            <w:gridSpan w:val="3"/>
            <w:shd w:val="clear" w:color="auto" w:fill="FFFFFF"/>
            <w:vAlign w:val="center"/>
          </w:tcPr>
          <w:p w14:paraId="3DAD555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3DB0B2CB"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gridSpan w:val="2"/>
            <w:shd w:val="clear" w:color="auto" w:fill="FFFFFF"/>
            <w:vAlign w:val="center"/>
          </w:tcPr>
          <w:p w14:paraId="3EC7DFB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570" w:type="dxa"/>
            <w:shd w:val="clear" w:color="auto" w:fill="FFFFFF"/>
            <w:vAlign w:val="center"/>
          </w:tcPr>
          <w:p w14:paraId="14DDBA9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0,05</w:t>
            </w:r>
          </w:p>
        </w:tc>
        <w:tc>
          <w:tcPr>
            <w:tcW w:w="1547" w:type="dxa"/>
            <w:gridSpan w:val="3"/>
            <w:shd w:val="clear" w:color="auto" w:fill="FFFFFF"/>
            <w:vAlign w:val="center"/>
          </w:tcPr>
          <w:p w14:paraId="194BB6D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0,52</w:t>
            </w:r>
          </w:p>
        </w:tc>
      </w:tr>
      <w:tr w:rsidR="00C017C1" w:rsidRPr="008B4FE6" w14:paraId="1E683F09" w14:textId="77777777" w:rsidTr="00B236F6">
        <w:trPr>
          <w:trHeight w:val="357"/>
        </w:trPr>
        <w:tc>
          <w:tcPr>
            <w:tcW w:w="3246" w:type="dxa"/>
            <w:gridSpan w:val="4"/>
            <w:shd w:val="clear" w:color="auto" w:fill="FFFFFF"/>
            <w:vAlign w:val="center"/>
          </w:tcPr>
          <w:p w14:paraId="2381E7EF" w14:textId="77777777" w:rsidR="00C017C1" w:rsidRPr="00C53F26"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FGPŚ + FEP</w:t>
            </w:r>
          </w:p>
        </w:tc>
        <w:tc>
          <w:tcPr>
            <w:tcW w:w="569" w:type="dxa"/>
            <w:gridSpan w:val="2"/>
            <w:shd w:val="clear" w:color="auto" w:fill="FFFFFF"/>
            <w:vAlign w:val="center"/>
          </w:tcPr>
          <w:p w14:paraId="49AB82B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53C22D26"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5B4AEB0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69" w:type="dxa"/>
            <w:gridSpan w:val="3"/>
            <w:shd w:val="clear" w:color="auto" w:fill="FFFFFF"/>
            <w:vAlign w:val="center"/>
          </w:tcPr>
          <w:p w14:paraId="6426B49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3BEC0C22"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shd w:val="clear" w:color="auto" w:fill="FFFFFF"/>
            <w:vAlign w:val="center"/>
          </w:tcPr>
          <w:p w14:paraId="699A3C0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3"/>
            <w:shd w:val="clear" w:color="auto" w:fill="FFFFFF"/>
            <w:vAlign w:val="center"/>
          </w:tcPr>
          <w:p w14:paraId="5CFEDEC5"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69" w:type="dxa"/>
            <w:gridSpan w:val="3"/>
            <w:shd w:val="clear" w:color="auto" w:fill="FFFFFF"/>
            <w:vAlign w:val="center"/>
          </w:tcPr>
          <w:p w14:paraId="38B504CF"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1386397E"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gridSpan w:val="2"/>
            <w:shd w:val="clear" w:color="auto" w:fill="FFFFFF"/>
            <w:vAlign w:val="center"/>
          </w:tcPr>
          <w:p w14:paraId="1F584468"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570" w:type="dxa"/>
            <w:shd w:val="clear" w:color="auto" w:fill="FFFFFF"/>
            <w:vAlign w:val="center"/>
          </w:tcPr>
          <w:p w14:paraId="18451503"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0,03</w:t>
            </w:r>
          </w:p>
        </w:tc>
        <w:tc>
          <w:tcPr>
            <w:tcW w:w="1547" w:type="dxa"/>
            <w:gridSpan w:val="3"/>
            <w:shd w:val="clear" w:color="auto" w:fill="FFFFFF"/>
            <w:vAlign w:val="center"/>
          </w:tcPr>
          <w:p w14:paraId="2D43D5A7"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0,34</w:t>
            </w:r>
          </w:p>
        </w:tc>
      </w:tr>
      <w:tr w:rsidR="00C017C1" w:rsidRPr="008B4FE6" w14:paraId="33CFE852" w14:textId="77777777" w:rsidTr="00B236F6">
        <w:trPr>
          <w:trHeight w:val="357"/>
        </w:trPr>
        <w:tc>
          <w:tcPr>
            <w:tcW w:w="3246" w:type="dxa"/>
            <w:gridSpan w:val="4"/>
            <w:shd w:val="clear" w:color="auto" w:fill="FFFFFF"/>
            <w:vAlign w:val="center"/>
          </w:tcPr>
          <w:p w14:paraId="20470E2B"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60F74F8D"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0AB3BC74" w14:textId="77777777" w:rsidR="00C017C1" w:rsidRPr="00A362F9" w:rsidRDefault="00C017C1" w:rsidP="00C017C1">
            <w:pPr>
              <w:spacing w:line="240" w:lineRule="auto"/>
              <w:rPr>
                <w:rFonts w:ascii="Times New Roman" w:hAnsi="Times New Roman"/>
                <w:color w:val="000000"/>
                <w:sz w:val="16"/>
                <w:szCs w:val="16"/>
              </w:rPr>
            </w:pPr>
            <w:r w:rsidRPr="00A362F9">
              <w:rPr>
                <w:rFonts w:ascii="Times New Roman" w:hAnsi="Times New Roman"/>
                <w:color w:val="000000"/>
                <w:sz w:val="16"/>
                <w:szCs w:val="16"/>
              </w:rPr>
              <w:t>0</w:t>
            </w:r>
          </w:p>
        </w:tc>
        <w:tc>
          <w:tcPr>
            <w:tcW w:w="570" w:type="dxa"/>
            <w:gridSpan w:val="2"/>
            <w:shd w:val="clear" w:color="auto" w:fill="FFFFFF"/>
          </w:tcPr>
          <w:p w14:paraId="2C5154A8"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47297272"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1C1848D9"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6AAF609B"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3"/>
            <w:shd w:val="clear" w:color="auto" w:fill="FFFFFF"/>
          </w:tcPr>
          <w:p w14:paraId="651A07DA"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69" w:type="dxa"/>
            <w:gridSpan w:val="3"/>
            <w:shd w:val="clear" w:color="auto" w:fill="FFFFFF"/>
          </w:tcPr>
          <w:p w14:paraId="32AC2577"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112615F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gridSpan w:val="2"/>
            <w:shd w:val="clear" w:color="auto" w:fill="FFFFFF"/>
          </w:tcPr>
          <w:p w14:paraId="7D2515AB"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0" w:type="dxa"/>
            <w:shd w:val="clear" w:color="auto" w:fill="FFFFFF"/>
          </w:tcPr>
          <w:p w14:paraId="12BD2DC5"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tcPr>
          <w:p w14:paraId="7E91A0B9" w14:textId="77777777" w:rsidR="00C017C1" w:rsidRPr="00A362F9" w:rsidRDefault="00C017C1" w:rsidP="00C017C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C017C1" w:rsidRPr="008B4FE6" w14:paraId="74BE1754" w14:textId="77777777" w:rsidTr="00B236F6">
        <w:trPr>
          <w:gridAfter w:val="1"/>
          <w:wAfter w:w="10" w:type="dxa"/>
          <w:trHeight w:val="348"/>
        </w:trPr>
        <w:tc>
          <w:tcPr>
            <w:tcW w:w="2356" w:type="dxa"/>
            <w:gridSpan w:val="2"/>
            <w:shd w:val="clear" w:color="auto" w:fill="FFFFFF"/>
            <w:vAlign w:val="center"/>
          </w:tcPr>
          <w:p w14:paraId="4A10693B" w14:textId="77777777" w:rsidR="00C017C1" w:rsidRPr="00C53F26" w:rsidRDefault="00C017C1" w:rsidP="00C017C1">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72A1D54C" w14:textId="77777777" w:rsidR="00C017C1" w:rsidRPr="00902513" w:rsidRDefault="00C017C1" w:rsidP="00C017C1">
            <w:pPr>
              <w:spacing w:line="240" w:lineRule="auto"/>
              <w:jc w:val="both"/>
              <w:rPr>
                <w:rFonts w:ascii="Times New Roman" w:hAnsi="Times New Roman"/>
                <w:color w:val="000000"/>
              </w:rPr>
            </w:pPr>
            <w:r w:rsidRPr="00902513">
              <w:rPr>
                <w:rFonts w:ascii="Times New Roman" w:hAnsi="Times New Roman"/>
                <w:color w:val="000000"/>
              </w:rPr>
              <w:t>Budżet państwa w części – 8 Rzecznik Praw Obywatelskich.</w:t>
            </w:r>
          </w:p>
          <w:p w14:paraId="4580AEC8" w14:textId="77777777" w:rsidR="00C017C1" w:rsidRPr="00B37C80" w:rsidRDefault="00C017C1" w:rsidP="00C017C1">
            <w:pPr>
              <w:spacing w:line="240" w:lineRule="auto"/>
              <w:jc w:val="both"/>
              <w:rPr>
                <w:rFonts w:ascii="Times New Roman" w:hAnsi="Times New Roman"/>
                <w:color w:val="000000"/>
                <w:sz w:val="21"/>
                <w:szCs w:val="21"/>
              </w:rPr>
            </w:pPr>
          </w:p>
        </w:tc>
      </w:tr>
      <w:tr w:rsidR="00C017C1" w:rsidRPr="008B4FE6" w14:paraId="73D28100" w14:textId="77777777" w:rsidTr="00733AC5">
        <w:trPr>
          <w:gridAfter w:val="1"/>
          <w:wAfter w:w="10" w:type="dxa"/>
          <w:trHeight w:val="1055"/>
        </w:trPr>
        <w:tc>
          <w:tcPr>
            <w:tcW w:w="2356" w:type="dxa"/>
            <w:gridSpan w:val="2"/>
            <w:shd w:val="clear" w:color="auto" w:fill="FFFFFF"/>
          </w:tcPr>
          <w:p w14:paraId="3B91E834" w14:textId="77777777" w:rsidR="00C017C1" w:rsidRPr="00C53F26"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Dodatkowe informacje, w tym wskazanie źródeł danych i przyjętych do obliczeń założeń</w:t>
            </w:r>
          </w:p>
        </w:tc>
        <w:tc>
          <w:tcPr>
            <w:tcW w:w="8694" w:type="dxa"/>
            <w:gridSpan w:val="27"/>
            <w:shd w:val="clear" w:color="auto" w:fill="FFFFFF"/>
          </w:tcPr>
          <w:p w14:paraId="6785E1F0" w14:textId="77777777" w:rsidR="00C017C1" w:rsidRPr="00F51E62" w:rsidRDefault="00C017C1" w:rsidP="00C017C1">
            <w:pPr>
              <w:spacing w:line="240" w:lineRule="auto"/>
              <w:jc w:val="both"/>
              <w:rPr>
                <w:rFonts w:ascii="Times New Roman" w:hAnsi="Times New Roman"/>
                <w:color w:val="000000"/>
                <w:spacing w:val="-2"/>
              </w:rPr>
            </w:pPr>
            <w:r w:rsidRPr="00F51E62">
              <w:rPr>
                <w:rFonts w:ascii="Times New Roman" w:hAnsi="Times New Roman"/>
                <w:color w:val="000000"/>
              </w:rPr>
              <w:t>Skutki finansowe związane będą z wyznaczeniem instytucji centralnej</w:t>
            </w:r>
            <w:r w:rsidR="00AC4318">
              <w:rPr>
                <w:rFonts w:ascii="Times New Roman" w:hAnsi="Times New Roman"/>
                <w:color w:val="000000"/>
              </w:rPr>
              <w:t>, tj. Rzecznika Praw Obywatelskich</w:t>
            </w:r>
            <w:r w:rsidRPr="00F51E62">
              <w:rPr>
                <w:rFonts w:ascii="Times New Roman" w:hAnsi="Times New Roman"/>
                <w:color w:val="000000"/>
              </w:rPr>
              <w:t xml:space="preserve"> i przydzieleniem </w:t>
            </w:r>
            <w:r w:rsidR="00AC4318">
              <w:rPr>
                <w:rFonts w:ascii="Times New Roman" w:hAnsi="Times New Roman"/>
                <w:color w:val="000000"/>
              </w:rPr>
              <w:t>mu</w:t>
            </w:r>
            <w:r w:rsidRPr="00F51E62">
              <w:rPr>
                <w:rFonts w:ascii="Times New Roman" w:hAnsi="Times New Roman"/>
                <w:color w:val="000000"/>
              </w:rPr>
              <w:t xml:space="preserve"> nowych zadań. </w:t>
            </w:r>
          </w:p>
          <w:p w14:paraId="1639A63B" w14:textId="77777777" w:rsidR="00C017C1" w:rsidRPr="00F51E62" w:rsidRDefault="00C017C1" w:rsidP="00C017C1">
            <w:pPr>
              <w:spacing w:line="240" w:lineRule="auto"/>
              <w:jc w:val="both"/>
              <w:rPr>
                <w:rFonts w:ascii="Times New Roman" w:hAnsi="Times New Roman"/>
                <w:color w:val="000000"/>
              </w:rPr>
            </w:pPr>
            <w:r w:rsidRPr="00F51E62">
              <w:rPr>
                <w:rFonts w:ascii="Times New Roman" w:hAnsi="Times New Roman"/>
                <w:color w:val="000000"/>
              </w:rPr>
              <w:t xml:space="preserve">RPO, który został wskazany jako instytucja </w:t>
            </w:r>
            <w:r w:rsidRPr="00F51E62">
              <w:rPr>
                <w:rFonts w:ascii="Times New Roman" w:hAnsi="Times New Roman"/>
                <w:iCs/>
              </w:rPr>
              <w:t xml:space="preserve">zajmująca się udzielaniem wsparcia osobom zgłaszającym naruszenia prawa i przyjmowaniem zgłoszeń otrzyma 20 etatów w związku z realizacją nowego zadania wynikającego z implementacji </w:t>
            </w:r>
            <w:r w:rsidRPr="00F51E62">
              <w:rPr>
                <w:rFonts w:ascii="Times New Roman" w:hAnsi="Times New Roman"/>
              </w:rPr>
              <w:t>dyrektywy 2019/1937</w:t>
            </w:r>
            <w:r w:rsidRPr="00F51E62">
              <w:rPr>
                <w:rFonts w:ascii="Times New Roman" w:hAnsi="Times New Roman"/>
                <w:iCs/>
              </w:rPr>
              <w:t>.</w:t>
            </w:r>
            <w:r w:rsidRPr="00F51E62">
              <w:rPr>
                <w:rFonts w:ascii="Times New Roman" w:hAnsi="Times New Roman"/>
                <w:color w:val="000000"/>
              </w:rPr>
              <w:t xml:space="preserve"> Przypisanie zadań do istniejącego organu będzie rozwiązaniem bardziej oszczędnym, niż tworzenie od podstaw nowej instytucji. Do RPO rocznie wpływa kilkadziesiąt tysięcy spraw (w 2019 r. – 59 524, a w 2020 r. – 72 428</w:t>
            </w:r>
            <w:r w:rsidRPr="00F51E62">
              <w:rPr>
                <w:rStyle w:val="Odwoanieprzypisudolnego"/>
                <w:rFonts w:ascii="Times New Roman" w:hAnsi="Times New Roman"/>
                <w:color w:val="000000"/>
              </w:rPr>
              <w:footnoteReference w:id="1"/>
            </w:r>
            <w:r w:rsidRPr="00F51E62">
              <w:rPr>
                <w:rFonts w:ascii="Times New Roman" w:hAnsi="Times New Roman"/>
                <w:color w:val="000000"/>
              </w:rPr>
              <w:t xml:space="preserve">). </w:t>
            </w:r>
            <w:r w:rsidRPr="00F51E62">
              <w:rPr>
                <w:rFonts w:ascii="Times New Roman" w:hAnsi="Times New Roman"/>
              </w:rPr>
              <w:t>W 2020 r</w:t>
            </w:r>
            <w:r w:rsidR="00A1693B">
              <w:rPr>
                <w:rFonts w:ascii="Times New Roman" w:hAnsi="Times New Roman"/>
              </w:rPr>
              <w:t>.</w:t>
            </w:r>
            <w:r w:rsidRPr="00F51E62">
              <w:rPr>
                <w:rFonts w:ascii="Times New Roman" w:hAnsi="Times New Roman"/>
              </w:rPr>
              <w:t xml:space="preserve"> w Biurze RPO przyjęto 1 166 interesantów oraz przeprowadzono 38 289 rozmów telefonicznych, udzielając wyjaśnień i porad</w:t>
            </w:r>
            <w:r w:rsidRPr="00F51E62">
              <w:rPr>
                <w:rStyle w:val="Odwoanieprzypisudolnego"/>
                <w:rFonts w:ascii="Times New Roman" w:hAnsi="Times New Roman"/>
              </w:rPr>
              <w:footnoteReference w:id="2"/>
            </w:r>
            <w:r>
              <w:rPr>
                <w:rFonts w:ascii="Times New Roman" w:hAnsi="Times New Roman"/>
              </w:rPr>
              <w:t>. Taka liczba</w:t>
            </w:r>
            <w:r w:rsidRPr="00F51E62">
              <w:rPr>
                <w:rFonts w:ascii="Times New Roman" w:hAnsi="Times New Roman"/>
              </w:rPr>
              <w:t xml:space="preserve"> </w:t>
            </w:r>
            <w:r>
              <w:rPr>
                <w:rFonts w:ascii="Times New Roman" w:hAnsi="Times New Roman"/>
              </w:rPr>
              <w:t xml:space="preserve">spraw jest obsługiwana </w:t>
            </w:r>
            <w:r w:rsidRPr="00F51E62">
              <w:rPr>
                <w:rFonts w:ascii="Times New Roman" w:hAnsi="Times New Roman"/>
              </w:rPr>
              <w:t>przez 287 etatów</w:t>
            </w:r>
            <w:r w:rsidRPr="00F51E62">
              <w:rPr>
                <w:rStyle w:val="Odwoanieprzypisudolnego"/>
                <w:rFonts w:ascii="Times New Roman" w:hAnsi="Times New Roman"/>
              </w:rPr>
              <w:footnoteReference w:id="3"/>
            </w:r>
            <w:r w:rsidRPr="00F51E62">
              <w:rPr>
                <w:rFonts w:ascii="Times New Roman" w:hAnsi="Times New Roman"/>
              </w:rPr>
              <w:t>. Realizacja nowych zad</w:t>
            </w:r>
            <w:r>
              <w:rPr>
                <w:rFonts w:ascii="Times New Roman" w:hAnsi="Times New Roman"/>
              </w:rPr>
              <w:t>ań wymaga zwiększenia liczby</w:t>
            </w:r>
            <w:r w:rsidRPr="00F51E62">
              <w:rPr>
                <w:rFonts w:ascii="Times New Roman" w:hAnsi="Times New Roman"/>
              </w:rPr>
              <w:t xml:space="preserve"> zatrudnionych pracowników w Biurze RPO.</w:t>
            </w:r>
          </w:p>
          <w:p w14:paraId="180238D0" w14:textId="679899F5" w:rsidR="00D85F16" w:rsidRDefault="00C017C1" w:rsidP="00C017C1">
            <w:pPr>
              <w:spacing w:line="240" w:lineRule="auto"/>
              <w:jc w:val="both"/>
              <w:rPr>
                <w:rFonts w:ascii="Times New Roman" w:hAnsi="Times New Roman"/>
              </w:rPr>
            </w:pPr>
            <w:r w:rsidRPr="00F51E62">
              <w:rPr>
                <w:rFonts w:ascii="Times New Roman" w:hAnsi="Times New Roman"/>
                <w:color w:val="000000"/>
              </w:rPr>
              <w:t>Szacuje się, że w związku z wejściem w życie projektowanej ustawy do RPO może wpływać rocznie od 1 500 do kilku tysięcy zgłoszeń</w:t>
            </w:r>
            <w:r w:rsidRPr="00F51E62">
              <w:rPr>
                <w:rStyle w:val="Odwoanieprzypisudolnego"/>
                <w:rFonts w:ascii="Times New Roman" w:hAnsi="Times New Roman"/>
                <w:color w:val="000000"/>
              </w:rPr>
              <w:footnoteReference w:id="4"/>
            </w:r>
            <w:r w:rsidRPr="00F51E62">
              <w:rPr>
                <w:rFonts w:ascii="Times New Roman" w:hAnsi="Times New Roman"/>
                <w:color w:val="000000"/>
              </w:rPr>
              <w:t xml:space="preserve">, większość w formie elektronicznej. Ze względu na tak dużą liczbę spraw oszacowano konieczność przyznania co najmniej 20 etatów dla instytucji centralnej. </w:t>
            </w:r>
            <w:r w:rsidRPr="00F51E62">
              <w:rPr>
                <w:rFonts w:ascii="Times New Roman" w:hAnsi="Times New Roman"/>
              </w:rPr>
              <w:t>Na potrzeby obliczeń założono wynagrodzenie na etat w wysoko</w:t>
            </w:r>
            <w:r>
              <w:rPr>
                <w:rFonts w:ascii="Times New Roman" w:hAnsi="Times New Roman"/>
              </w:rPr>
              <w:t xml:space="preserve">ści </w:t>
            </w:r>
            <w:r w:rsidR="00D85F16">
              <w:rPr>
                <w:rFonts w:ascii="Times New Roman" w:hAnsi="Times New Roman"/>
              </w:rPr>
              <w:t>8 300</w:t>
            </w:r>
            <w:r>
              <w:rPr>
                <w:rFonts w:ascii="Times New Roman" w:hAnsi="Times New Roman"/>
              </w:rPr>
              <w:t xml:space="preserve"> zł brutto miesięcznie -</w:t>
            </w:r>
            <w:r w:rsidRPr="00F51E62">
              <w:rPr>
                <w:rFonts w:ascii="Times New Roman" w:hAnsi="Times New Roman"/>
              </w:rPr>
              <w:t xml:space="preserve"> jest to kwota odpowiadająca średniemu wynagrodzeniu w Biurze RPO</w:t>
            </w:r>
            <w:r w:rsidRPr="00F51E62">
              <w:rPr>
                <w:rStyle w:val="Odwoanieprzypisudolnego"/>
                <w:rFonts w:ascii="Times New Roman" w:hAnsi="Times New Roman"/>
                <w:color w:val="000000"/>
              </w:rPr>
              <w:footnoteReference w:id="5"/>
            </w:r>
            <w:r>
              <w:rPr>
                <w:rFonts w:ascii="Times New Roman" w:hAnsi="Times New Roman"/>
              </w:rPr>
              <w:t>. Do zadań pracowników</w:t>
            </w:r>
            <w:r w:rsidRPr="00F51E62">
              <w:rPr>
                <w:rFonts w:ascii="Times New Roman" w:hAnsi="Times New Roman"/>
              </w:rPr>
              <w:t xml:space="preserve"> zatru</w:t>
            </w:r>
            <w:r>
              <w:rPr>
                <w:rFonts w:ascii="Times New Roman" w:hAnsi="Times New Roman"/>
              </w:rPr>
              <w:t>dnionych na utworzonych etatach</w:t>
            </w:r>
            <w:r w:rsidRPr="00F51E62">
              <w:rPr>
                <w:rFonts w:ascii="Times New Roman" w:hAnsi="Times New Roman"/>
              </w:rPr>
              <w:t xml:space="preserve"> będzie należało udzielanie informacji i wsparcia </w:t>
            </w:r>
            <w:r w:rsidRPr="00F51E62">
              <w:rPr>
                <w:rFonts w:ascii="Times" w:hAnsi="Times" w:cs="Times"/>
              </w:rPr>
              <w:t>w sprawach zgłaszania i publiczneg</w:t>
            </w:r>
            <w:r>
              <w:rPr>
                <w:rFonts w:ascii="Times" w:hAnsi="Times" w:cs="Times"/>
              </w:rPr>
              <w:t>o ujawniania naruszeń prawa a także przyjmowanie</w:t>
            </w:r>
            <w:r w:rsidRPr="00F51E62">
              <w:rPr>
                <w:rFonts w:ascii="Times" w:hAnsi="Times" w:cs="Times"/>
              </w:rPr>
              <w:t xml:space="preserve"> zgłoszeń zewnętrznych o naruszeniach w dziedzina</w:t>
            </w:r>
            <w:r>
              <w:rPr>
                <w:rFonts w:ascii="Times" w:hAnsi="Times" w:cs="Times"/>
              </w:rPr>
              <w:t>ch objętych ustawą, ich wstępna weryfikacja</w:t>
            </w:r>
            <w:r w:rsidRPr="00F51E62">
              <w:rPr>
                <w:rFonts w:ascii="Times" w:hAnsi="Times" w:cs="Times"/>
              </w:rPr>
              <w:t xml:space="preserve"> i przekaz</w:t>
            </w:r>
            <w:r>
              <w:rPr>
                <w:rFonts w:ascii="Times" w:hAnsi="Times" w:cs="Times"/>
              </w:rPr>
              <w:t>ywanie</w:t>
            </w:r>
            <w:r w:rsidRPr="00F51E62">
              <w:rPr>
                <w:rFonts w:ascii="Times" w:hAnsi="Times" w:cs="Times"/>
              </w:rPr>
              <w:t xml:space="preserve"> </w:t>
            </w:r>
            <w:r w:rsidR="00F753D3">
              <w:rPr>
                <w:rFonts w:ascii="Times" w:hAnsi="Times" w:cs="Times"/>
              </w:rPr>
              <w:t xml:space="preserve">właściwym </w:t>
            </w:r>
            <w:r w:rsidRPr="00F51E62">
              <w:rPr>
                <w:rFonts w:ascii="Times" w:hAnsi="Times" w:cs="Times"/>
              </w:rPr>
              <w:t xml:space="preserve">organom </w:t>
            </w:r>
            <w:r w:rsidR="00F753D3">
              <w:rPr>
                <w:rFonts w:ascii="Times" w:hAnsi="Times" w:cs="Times"/>
              </w:rPr>
              <w:t xml:space="preserve">publicznym </w:t>
            </w:r>
            <w:r w:rsidRPr="00F51E62">
              <w:rPr>
                <w:rFonts w:ascii="Times" w:hAnsi="Times" w:cs="Times"/>
              </w:rPr>
              <w:t>celem podjęcia działań następczych.</w:t>
            </w:r>
            <w:r w:rsidRPr="00F51E62">
              <w:rPr>
                <w:rFonts w:ascii="Times New Roman" w:hAnsi="Times New Roman"/>
              </w:rPr>
              <w:t xml:space="preserve"> </w:t>
            </w:r>
          </w:p>
          <w:p w14:paraId="3CAAEA71" w14:textId="11E60259" w:rsidR="00C017C1" w:rsidRPr="00F51E62" w:rsidRDefault="00C017C1" w:rsidP="00C017C1">
            <w:pPr>
              <w:spacing w:line="240" w:lineRule="auto"/>
              <w:jc w:val="both"/>
              <w:rPr>
                <w:rFonts w:ascii="Times New Roman" w:hAnsi="Times New Roman"/>
                <w:bCs/>
              </w:rPr>
            </w:pPr>
            <w:r w:rsidRPr="00F51E62">
              <w:rPr>
                <w:rFonts w:ascii="Times New Roman" w:hAnsi="Times New Roman"/>
                <w:bCs/>
              </w:rPr>
              <w:t xml:space="preserve">Roczny koszt 20 etatów nowych pracowników wynosił będzie </w:t>
            </w:r>
            <w:r w:rsidR="00D85F16" w:rsidRPr="00D85F16">
              <w:rPr>
                <w:rFonts w:ascii="Times New Roman" w:hAnsi="Times New Roman"/>
                <w:bCs/>
              </w:rPr>
              <w:t>2 413 108,80</w:t>
            </w:r>
            <w:r w:rsidRPr="00F51E62">
              <w:rPr>
                <w:rFonts w:ascii="Times New Roman" w:hAnsi="Times New Roman"/>
                <w:bCs/>
              </w:rPr>
              <w:t xml:space="preserve"> zł w „zerowym” roku obowiązywania ustawy, a w latach kolejnych </w:t>
            </w:r>
            <w:r w:rsidR="001B7536" w:rsidRPr="001B7536">
              <w:rPr>
                <w:rFonts w:ascii="Times New Roman" w:hAnsi="Times New Roman"/>
                <w:bCs/>
              </w:rPr>
              <w:t>2 618 223,05</w:t>
            </w:r>
            <w:r w:rsidRPr="00F51E62">
              <w:rPr>
                <w:rFonts w:ascii="Times New Roman" w:hAnsi="Times New Roman"/>
                <w:bCs/>
              </w:rPr>
              <w:t xml:space="preserve"> zł (wraz z dodatkowym wynagrodzeniem rocznym, w tym:</w:t>
            </w:r>
          </w:p>
          <w:p w14:paraId="03F0D60F" w14:textId="2B7ECB15" w:rsidR="00C017C1" w:rsidRPr="00F51E62" w:rsidRDefault="00C017C1" w:rsidP="00C017C1">
            <w:pPr>
              <w:spacing w:line="240" w:lineRule="auto"/>
              <w:jc w:val="both"/>
              <w:rPr>
                <w:rFonts w:ascii="Times New Roman" w:hAnsi="Times New Roman"/>
              </w:rPr>
            </w:pPr>
            <w:r w:rsidRPr="00F51E62">
              <w:rPr>
                <w:rFonts w:ascii="Times New Roman" w:hAnsi="Times New Roman"/>
              </w:rPr>
              <w:t xml:space="preserve">- </w:t>
            </w:r>
            <w:r w:rsidR="001B7536" w:rsidRPr="001B7536">
              <w:rPr>
                <w:rFonts w:ascii="Times New Roman" w:hAnsi="Times New Roman"/>
              </w:rPr>
              <w:t>1 992 000,00</w:t>
            </w:r>
            <w:r w:rsidRPr="00F51E62">
              <w:rPr>
                <w:rFonts w:ascii="Times New Roman" w:hAnsi="Times New Roman"/>
              </w:rPr>
              <w:t xml:space="preserve"> zł wynagrodzenia w „zerowym” roku, a w kolejnych latach </w:t>
            </w:r>
            <w:r w:rsidR="001B7536" w:rsidRPr="001B7536">
              <w:rPr>
                <w:rFonts w:ascii="Times New Roman" w:hAnsi="Times New Roman"/>
              </w:rPr>
              <w:t>2 161 320,00</w:t>
            </w:r>
            <w:r w:rsidRPr="00F51E62">
              <w:rPr>
                <w:rFonts w:ascii="Times New Roman" w:hAnsi="Times New Roman"/>
              </w:rPr>
              <w:t xml:space="preserve"> zł wynagrodzenia wraz z dodatkowym wynagrodzeniem rocznym,</w:t>
            </w:r>
          </w:p>
          <w:p w14:paraId="4950AB3B" w14:textId="06ADB959" w:rsidR="00C017C1" w:rsidRPr="00F51E62" w:rsidRDefault="00C017C1" w:rsidP="00C017C1">
            <w:pPr>
              <w:spacing w:line="240" w:lineRule="auto"/>
              <w:jc w:val="both"/>
              <w:rPr>
                <w:rFonts w:ascii="Times New Roman" w:hAnsi="Times New Roman"/>
              </w:rPr>
            </w:pPr>
            <w:r w:rsidRPr="00F51E62">
              <w:rPr>
                <w:rFonts w:ascii="Times New Roman" w:hAnsi="Times New Roman"/>
              </w:rPr>
              <w:t xml:space="preserve">- </w:t>
            </w:r>
            <w:r w:rsidR="001B7536" w:rsidRPr="001B7536">
              <w:rPr>
                <w:rFonts w:ascii="Times New Roman" w:hAnsi="Times New Roman"/>
              </w:rPr>
              <w:t>421 108,80</w:t>
            </w:r>
            <w:r w:rsidRPr="00F51E62">
              <w:rPr>
                <w:rFonts w:ascii="Times New Roman" w:hAnsi="Times New Roman"/>
              </w:rPr>
              <w:t xml:space="preserve"> zł pochodne od wynagrodzeń w pierwszym roku, a w latach kolejnych: </w:t>
            </w:r>
            <w:r w:rsidR="001B7536" w:rsidRPr="001B7536">
              <w:rPr>
                <w:rFonts w:ascii="Times New Roman" w:hAnsi="Times New Roman"/>
              </w:rPr>
              <w:t>456 903,05</w:t>
            </w:r>
            <w:r w:rsidRPr="00F51E62">
              <w:rPr>
                <w:rFonts w:ascii="Times New Roman" w:hAnsi="Times New Roman"/>
              </w:rPr>
              <w:t> zł.</w:t>
            </w:r>
          </w:p>
          <w:p w14:paraId="36C5CF99" w14:textId="77777777" w:rsidR="00C017C1" w:rsidRDefault="00C017C1" w:rsidP="00C017C1">
            <w:pPr>
              <w:spacing w:line="240" w:lineRule="auto"/>
              <w:jc w:val="both"/>
              <w:rPr>
                <w:rFonts w:ascii="Times New Roman" w:hAnsi="Times New Roman"/>
                <w:bCs/>
              </w:rPr>
            </w:pPr>
          </w:p>
          <w:tbl>
            <w:tblPr>
              <w:tblW w:w="11840" w:type="dxa"/>
              <w:tblLayout w:type="fixed"/>
              <w:tblCellMar>
                <w:left w:w="0" w:type="dxa"/>
                <w:right w:w="0" w:type="dxa"/>
              </w:tblCellMar>
              <w:tblLook w:val="04A0" w:firstRow="1" w:lastRow="0" w:firstColumn="1" w:lastColumn="0" w:noHBand="0" w:noVBand="1"/>
            </w:tblPr>
            <w:tblGrid>
              <w:gridCol w:w="4480"/>
              <w:gridCol w:w="1200"/>
              <w:gridCol w:w="1200"/>
              <w:gridCol w:w="4960"/>
            </w:tblGrid>
            <w:tr w:rsidR="00E85358" w14:paraId="19AE22BB" w14:textId="77777777" w:rsidTr="00FA0102">
              <w:trPr>
                <w:trHeight w:val="615"/>
              </w:trPr>
              <w:tc>
                <w:tcPr>
                  <w:tcW w:w="4480" w:type="dxa"/>
                  <w:noWrap/>
                  <w:tcMar>
                    <w:top w:w="0" w:type="dxa"/>
                    <w:left w:w="70" w:type="dxa"/>
                    <w:bottom w:w="0" w:type="dxa"/>
                    <w:right w:w="70" w:type="dxa"/>
                  </w:tcMar>
                  <w:vAlign w:val="bottom"/>
                  <w:hideMark/>
                </w:tcPr>
                <w:p w14:paraId="233367F5" w14:textId="77777777" w:rsidR="00E85358" w:rsidRDefault="00E85358" w:rsidP="00E85358"/>
              </w:tc>
              <w:tc>
                <w:tcPr>
                  <w:tcW w:w="12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27EE82" w14:textId="77777777" w:rsidR="00E85358" w:rsidRDefault="00E85358" w:rsidP="00E85358">
                  <w:pPr>
                    <w:jc w:val="center"/>
                    <w:rPr>
                      <w:rFonts w:ascii="Times New Roman" w:hAnsi="Times New Roman"/>
                      <w:color w:val="000000"/>
                      <w:sz w:val="20"/>
                      <w:szCs w:val="20"/>
                      <w:lang w:eastAsia="pl-PL"/>
                    </w:rPr>
                  </w:pPr>
                  <w:r>
                    <w:rPr>
                      <w:rFonts w:ascii="Times New Roman" w:hAnsi="Times New Roman"/>
                      <w:color w:val="000000"/>
                      <w:sz w:val="20"/>
                      <w:szCs w:val="20"/>
                      <w:lang w:eastAsia="pl-PL"/>
                    </w:rPr>
                    <w:t>Rok 0</w:t>
                  </w:r>
                </w:p>
              </w:tc>
              <w:tc>
                <w:tcPr>
                  <w:tcW w:w="12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F5B629" w14:textId="77777777" w:rsidR="00E85358" w:rsidRDefault="00E85358" w:rsidP="00E85358">
                  <w:pPr>
                    <w:jc w:val="center"/>
                    <w:rPr>
                      <w:rFonts w:ascii="Times New Roman" w:hAnsi="Times New Roman"/>
                      <w:color w:val="000000"/>
                      <w:sz w:val="20"/>
                      <w:szCs w:val="20"/>
                      <w:lang w:eastAsia="pl-PL"/>
                    </w:rPr>
                  </w:pPr>
                  <w:r>
                    <w:rPr>
                      <w:rFonts w:ascii="Times New Roman" w:hAnsi="Times New Roman"/>
                      <w:color w:val="000000"/>
                      <w:sz w:val="20"/>
                      <w:szCs w:val="20"/>
                      <w:lang w:eastAsia="pl-PL"/>
                    </w:rPr>
                    <w:t>Rok 1 i kolejne</w:t>
                  </w:r>
                </w:p>
              </w:tc>
              <w:tc>
                <w:tcPr>
                  <w:tcW w:w="4960" w:type="dxa"/>
                  <w:noWrap/>
                  <w:tcMar>
                    <w:top w:w="0" w:type="dxa"/>
                    <w:left w:w="70" w:type="dxa"/>
                    <w:bottom w:w="0" w:type="dxa"/>
                    <w:right w:w="70" w:type="dxa"/>
                  </w:tcMar>
                  <w:vAlign w:val="bottom"/>
                  <w:hideMark/>
                </w:tcPr>
                <w:p w14:paraId="215A20EF" w14:textId="77777777" w:rsidR="00E85358" w:rsidRDefault="00E85358" w:rsidP="00E85358">
                  <w:pPr>
                    <w:rPr>
                      <w:rFonts w:ascii="Times New Roman" w:hAnsi="Times New Roman"/>
                      <w:color w:val="000000"/>
                      <w:sz w:val="20"/>
                      <w:szCs w:val="20"/>
                      <w:lang w:eastAsia="pl-PL"/>
                    </w:rPr>
                  </w:pPr>
                </w:p>
              </w:tc>
            </w:tr>
            <w:tr w:rsidR="00E85358" w14:paraId="4F2E9F41" w14:textId="77777777" w:rsidTr="00FA0102">
              <w:trPr>
                <w:trHeight w:val="315"/>
              </w:trPr>
              <w:tc>
                <w:tcPr>
                  <w:tcW w:w="44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77125C"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limit etatów</w:t>
                  </w:r>
                </w:p>
              </w:tc>
              <w:tc>
                <w:tcPr>
                  <w:tcW w:w="120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B0836A1"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20</w:t>
                  </w:r>
                </w:p>
              </w:tc>
              <w:tc>
                <w:tcPr>
                  <w:tcW w:w="120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52484D9"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20</w:t>
                  </w:r>
                </w:p>
              </w:tc>
              <w:tc>
                <w:tcPr>
                  <w:tcW w:w="4960" w:type="dxa"/>
                  <w:noWrap/>
                  <w:tcMar>
                    <w:top w:w="0" w:type="dxa"/>
                    <w:left w:w="70" w:type="dxa"/>
                    <w:bottom w:w="0" w:type="dxa"/>
                    <w:right w:w="70" w:type="dxa"/>
                  </w:tcMar>
                  <w:vAlign w:val="bottom"/>
                  <w:hideMark/>
                </w:tcPr>
                <w:p w14:paraId="050941D1" w14:textId="77777777" w:rsidR="00E85358" w:rsidRDefault="00E85358" w:rsidP="00E85358">
                  <w:pPr>
                    <w:rPr>
                      <w:rFonts w:ascii="Times New Roman" w:hAnsi="Times New Roman"/>
                      <w:color w:val="000000"/>
                      <w:sz w:val="20"/>
                      <w:szCs w:val="20"/>
                      <w:lang w:eastAsia="pl-PL"/>
                    </w:rPr>
                  </w:pPr>
                </w:p>
              </w:tc>
            </w:tr>
            <w:tr w:rsidR="00E85358" w14:paraId="1306F85E"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A06085"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wynagrodzenie 1 osoby</w:t>
                  </w:r>
                </w:p>
              </w:tc>
              <w:tc>
                <w:tcPr>
                  <w:tcW w:w="120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5A3BB57"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8 300</w:t>
                  </w:r>
                </w:p>
              </w:tc>
              <w:tc>
                <w:tcPr>
                  <w:tcW w:w="120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556B718"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8 300</w:t>
                  </w:r>
                </w:p>
              </w:tc>
              <w:tc>
                <w:tcPr>
                  <w:tcW w:w="4960" w:type="dxa"/>
                  <w:noWrap/>
                  <w:tcMar>
                    <w:top w:w="0" w:type="dxa"/>
                    <w:left w:w="70" w:type="dxa"/>
                    <w:bottom w:w="0" w:type="dxa"/>
                    <w:right w:w="70" w:type="dxa"/>
                  </w:tcMar>
                  <w:vAlign w:val="bottom"/>
                  <w:hideMark/>
                </w:tcPr>
                <w:p w14:paraId="1ABB004B" w14:textId="77777777" w:rsidR="00E85358" w:rsidRDefault="00E85358" w:rsidP="00E85358">
                  <w:pPr>
                    <w:rPr>
                      <w:rFonts w:ascii="Times New Roman" w:hAnsi="Times New Roman"/>
                      <w:color w:val="000000"/>
                      <w:sz w:val="20"/>
                      <w:szCs w:val="20"/>
                      <w:lang w:eastAsia="pl-PL"/>
                    </w:rPr>
                  </w:pPr>
                </w:p>
              </w:tc>
            </w:tr>
            <w:tr w:rsidR="00E85358" w14:paraId="030D54BC"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72EDB1"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wynagrodzenie brutto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1553FB"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1 992 000,00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436BE6"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1 992 000,00</w:t>
                  </w:r>
                </w:p>
              </w:tc>
              <w:tc>
                <w:tcPr>
                  <w:tcW w:w="4960" w:type="dxa"/>
                  <w:noWrap/>
                  <w:tcMar>
                    <w:top w:w="0" w:type="dxa"/>
                    <w:left w:w="70" w:type="dxa"/>
                    <w:bottom w:w="0" w:type="dxa"/>
                    <w:right w:w="70" w:type="dxa"/>
                  </w:tcMar>
                  <w:vAlign w:val="bottom"/>
                  <w:hideMark/>
                </w:tcPr>
                <w:p w14:paraId="638F145E" w14:textId="77777777" w:rsidR="00E85358" w:rsidRDefault="00E85358" w:rsidP="00E85358">
                  <w:pPr>
                    <w:rPr>
                      <w:rFonts w:ascii="Times New Roman" w:hAnsi="Times New Roman"/>
                      <w:color w:val="000000"/>
                      <w:sz w:val="20"/>
                      <w:szCs w:val="20"/>
                      <w:lang w:eastAsia="pl-PL"/>
                    </w:rPr>
                  </w:pPr>
                </w:p>
              </w:tc>
            </w:tr>
            <w:tr w:rsidR="00E85358" w14:paraId="4ABA14C6"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786A11"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dodatkowe wynagrodzenie roczne</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89E9BD" w14:textId="77777777" w:rsidR="00E85358" w:rsidRDefault="00E85358" w:rsidP="00E85358">
                  <w:pPr>
                    <w:rPr>
                      <w:rFonts w:ascii="Times New Roman" w:hAnsi="Times New Roman"/>
                      <w:color w:val="000000"/>
                      <w:sz w:val="20"/>
                      <w:szCs w:val="20"/>
                      <w:lang w:eastAsia="pl-PL"/>
                    </w:rPr>
                  </w:pPr>
                  <w:r>
                    <w:rPr>
                      <w:rFonts w:ascii="Times New Roman" w:hAnsi="Times New Roman"/>
                      <w:color w:val="000000"/>
                      <w:sz w:val="20"/>
                      <w:szCs w:val="20"/>
                      <w:lang w:eastAsia="pl-PL"/>
                    </w:rPr>
                    <w:t> </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D8E728"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169 320,00</w:t>
                  </w:r>
                </w:p>
              </w:tc>
              <w:tc>
                <w:tcPr>
                  <w:tcW w:w="4960" w:type="dxa"/>
                  <w:noWrap/>
                  <w:tcMar>
                    <w:top w:w="0" w:type="dxa"/>
                    <w:left w:w="70" w:type="dxa"/>
                    <w:bottom w:w="0" w:type="dxa"/>
                    <w:right w:w="70" w:type="dxa"/>
                  </w:tcMar>
                  <w:vAlign w:val="bottom"/>
                  <w:hideMark/>
                </w:tcPr>
                <w:p w14:paraId="7828A7CB" w14:textId="77777777" w:rsidR="00E85358" w:rsidRDefault="00E85358" w:rsidP="00E85358">
                  <w:pPr>
                    <w:rPr>
                      <w:rFonts w:ascii="Times New Roman" w:hAnsi="Times New Roman"/>
                      <w:color w:val="000000"/>
                      <w:sz w:val="20"/>
                      <w:szCs w:val="20"/>
                      <w:lang w:eastAsia="pl-PL"/>
                    </w:rPr>
                  </w:pPr>
                </w:p>
              </w:tc>
            </w:tr>
            <w:tr w:rsidR="00E85358" w14:paraId="5A53C26B"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BBDDD9" w14:textId="77777777" w:rsidR="00E85358" w:rsidRDefault="00E85358" w:rsidP="00E85358">
                  <w:pPr>
                    <w:rPr>
                      <w:rFonts w:ascii="Times New Roman" w:hAnsi="Times New Roman"/>
                      <w:b/>
                      <w:bCs/>
                      <w:color w:val="000000"/>
                      <w:lang w:eastAsia="pl-PL"/>
                    </w:rPr>
                  </w:pPr>
                  <w:r>
                    <w:rPr>
                      <w:rFonts w:ascii="Times New Roman" w:hAnsi="Times New Roman"/>
                      <w:b/>
                      <w:bCs/>
                      <w:color w:val="000000"/>
                      <w:lang w:eastAsia="pl-PL"/>
                    </w:rPr>
                    <w:t>razem</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AB994"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1 992 000,00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EE443F"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2 161 320,00</w:t>
                  </w:r>
                </w:p>
              </w:tc>
              <w:tc>
                <w:tcPr>
                  <w:tcW w:w="4960" w:type="dxa"/>
                  <w:noWrap/>
                  <w:tcMar>
                    <w:top w:w="0" w:type="dxa"/>
                    <w:left w:w="70" w:type="dxa"/>
                    <w:bottom w:w="0" w:type="dxa"/>
                    <w:right w:w="70" w:type="dxa"/>
                  </w:tcMar>
                  <w:vAlign w:val="bottom"/>
                  <w:hideMark/>
                </w:tcPr>
                <w:p w14:paraId="67BD0AC9" w14:textId="77777777" w:rsidR="00E85358" w:rsidRDefault="00E85358" w:rsidP="00E85358">
                  <w:pPr>
                    <w:rPr>
                      <w:rFonts w:ascii="Times New Roman" w:hAnsi="Times New Roman"/>
                      <w:b/>
                      <w:bCs/>
                      <w:color w:val="000000"/>
                      <w:sz w:val="20"/>
                      <w:szCs w:val="20"/>
                      <w:lang w:eastAsia="pl-PL"/>
                    </w:rPr>
                  </w:pPr>
                </w:p>
              </w:tc>
            </w:tr>
            <w:tr w:rsidR="00E85358" w14:paraId="52EDE147"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56774F"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skł. na ubezpieczenie społeczne (13,71%)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2BF5E1"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273 103,20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848CF6"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296 316,97</w:t>
                  </w:r>
                </w:p>
              </w:tc>
              <w:tc>
                <w:tcPr>
                  <w:tcW w:w="4960" w:type="dxa"/>
                  <w:noWrap/>
                  <w:tcMar>
                    <w:top w:w="0" w:type="dxa"/>
                    <w:left w:w="70" w:type="dxa"/>
                    <w:bottom w:w="0" w:type="dxa"/>
                    <w:right w:w="70" w:type="dxa"/>
                  </w:tcMar>
                  <w:vAlign w:val="center"/>
                  <w:hideMark/>
                </w:tcPr>
                <w:p w14:paraId="17207324" w14:textId="77777777" w:rsidR="00E85358" w:rsidRDefault="00E85358" w:rsidP="00E85358">
                  <w:pPr>
                    <w:rPr>
                      <w:rFonts w:ascii="Times New Roman" w:hAnsi="Times New Roman"/>
                      <w:color w:val="000000"/>
                      <w:sz w:val="20"/>
                      <w:szCs w:val="20"/>
                      <w:lang w:eastAsia="pl-PL"/>
                    </w:rPr>
                  </w:pPr>
                </w:p>
              </w:tc>
            </w:tr>
            <w:tr w:rsidR="00E85358" w14:paraId="55743650"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E83949"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podstawa wymiaru skł. zdrowotnej</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EA6CDB"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1 718 896,80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5EBE0B"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1 865 003,03</w:t>
                  </w:r>
                </w:p>
              </w:tc>
              <w:tc>
                <w:tcPr>
                  <w:tcW w:w="4960" w:type="dxa"/>
                  <w:noWrap/>
                  <w:tcMar>
                    <w:top w:w="0" w:type="dxa"/>
                    <w:left w:w="70" w:type="dxa"/>
                    <w:bottom w:w="0" w:type="dxa"/>
                    <w:right w:w="70" w:type="dxa"/>
                  </w:tcMar>
                  <w:vAlign w:val="center"/>
                  <w:hideMark/>
                </w:tcPr>
                <w:p w14:paraId="2AAD4D1E" w14:textId="77777777" w:rsidR="00E85358" w:rsidRDefault="00E85358" w:rsidP="00E85358">
                  <w:pPr>
                    <w:rPr>
                      <w:rFonts w:ascii="Times New Roman" w:hAnsi="Times New Roman"/>
                      <w:color w:val="000000"/>
                      <w:sz w:val="20"/>
                      <w:szCs w:val="20"/>
                      <w:lang w:eastAsia="pl-PL"/>
                    </w:rPr>
                  </w:pPr>
                </w:p>
              </w:tc>
            </w:tr>
            <w:tr w:rsidR="00E85358" w14:paraId="271FC043"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548C2A"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skł. zdrowotna do zapłaty (9%)</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921B65"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154 700,71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31E05D"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167 850,27</w:t>
                  </w:r>
                </w:p>
              </w:tc>
              <w:tc>
                <w:tcPr>
                  <w:tcW w:w="4960" w:type="dxa"/>
                  <w:noWrap/>
                  <w:tcMar>
                    <w:top w:w="0" w:type="dxa"/>
                    <w:left w:w="70" w:type="dxa"/>
                    <w:bottom w:w="0" w:type="dxa"/>
                    <w:right w:w="70" w:type="dxa"/>
                  </w:tcMar>
                  <w:vAlign w:val="center"/>
                  <w:hideMark/>
                </w:tcPr>
                <w:p w14:paraId="08790E21" w14:textId="77777777" w:rsidR="00E85358" w:rsidRDefault="00E85358" w:rsidP="00E85358">
                  <w:pPr>
                    <w:rPr>
                      <w:rFonts w:ascii="Times New Roman" w:hAnsi="Times New Roman"/>
                      <w:color w:val="000000"/>
                      <w:sz w:val="20"/>
                      <w:szCs w:val="20"/>
                      <w:lang w:eastAsia="pl-PL"/>
                    </w:rPr>
                  </w:pPr>
                </w:p>
              </w:tc>
            </w:tr>
            <w:tr w:rsidR="00E85358" w14:paraId="1EDAA030"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81F8DA1"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skł. zdrowotna do odliczenia od podatku (7,75%)</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89114F"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69E9E7"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0,00</w:t>
                  </w:r>
                </w:p>
              </w:tc>
              <w:tc>
                <w:tcPr>
                  <w:tcW w:w="4960" w:type="dxa"/>
                  <w:noWrap/>
                  <w:tcMar>
                    <w:top w:w="0" w:type="dxa"/>
                    <w:left w:w="70" w:type="dxa"/>
                    <w:bottom w:w="0" w:type="dxa"/>
                    <w:right w:w="70" w:type="dxa"/>
                  </w:tcMar>
                  <w:vAlign w:val="bottom"/>
                  <w:hideMark/>
                </w:tcPr>
                <w:p w14:paraId="503F1377" w14:textId="77777777" w:rsidR="00E85358" w:rsidRDefault="00E85358" w:rsidP="00E85358">
                  <w:pPr>
                    <w:rPr>
                      <w:rFonts w:ascii="Times New Roman" w:hAnsi="Times New Roman"/>
                      <w:color w:val="000000"/>
                      <w:sz w:val="20"/>
                      <w:szCs w:val="20"/>
                      <w:lang w:eastAsia="pl-PL"/>
                    </w:rPr>
                  </w:pPr>
                </w:p>
              </w:tc>
            </w:tr>
            <w:tr w:rsidR="00E85358" w14:paraId="34176430"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4010C1"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koszty uzyskania przychodu</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CF823E"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60 000,00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C48552"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60 000,00</w:t>
                  </w:r>
                </w:p>
              </w:tc>
              <w:tc>
                <w:tcPr>
                  <w:tcW w:w="4960" w:type="dxa"/>
                  <w:noWrap/>
                  <w:tcMar>
                    <w:top w:w="0" w:type="dxa"/>
                    <w:left w:w="70" w:type="dxa"/>
                    <w:bottom w:w="0" w:type="dxa"/>
                    <w:right w:w="70" w:type="dxa"/>
                  </w:tcMar>
                  <w:vAlign w:val="bottom"/>
                  <w:hideMark/>
                </w:tcPr>
                <w:p w14:paraId="3D3BA435" w14:textId="77777777" w:rsidR="00E85358" w:rsidRDefault="00E85358" w:rsidP="00E85358">
                  <w:pPr>
                    <w:rPr>
                      <w:rFonts w:ascii="Times New Roman" w:hAnsi="Times New Roman"/>
                      <w:color w:val="000000"/>
                      <w:sz w:val="20"/>
                      <w:szCs w:val="20"/>
                      <w:lang w:eastAsia="pl-PL"/>
                    </w:rPr>
                  </w:pPr>
                </w:p>
              </w:tc>
            </w:tr>
            <w:tr w:rsidR="00E85358" w14:paraId="3807A01F"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6B649A"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podstawa obliczenia zaliczki na PIT</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FF0F49"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1 658 896,80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A24DB"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1 805 003,03</w:t>
                  </w:r>
                </w:p>
              </w:tc>
              <w:tc>
                <w:tcPr>
                  <w:tcW w:w="4960" w:type="dxa"/>
                  <w:noWrap/>
                  <w:tcMar>
                    <w:top w:w="0" w:type="dxa"/>
                    <w:left w:w="70" w:type="dxa"/>
                    <w:bottom w:w="0" w:type="dxa"/>
                    <w:right w:w="70" w:type="dxa"/>
                  </w:tcMar>
                  <w:vAlign w:val="center"/>
                  <w:hideMark/>
                </w:tcPr>
                <w:p w14:paraId="0064D9E4" w14:textId="77777777" w:rsidR="00E85358" w:rsidRDefault="00E85358" w:rsidP="00E85358">
                  <w:pPr>
                    <w:rPr>
                      <w:rFonts w:ascii="Times New Roman" w:hAnsi="Times New Roman"/>
                      <w:color w:val="000000"/>
                      <w:sz w:val="20"/>
                      <w:szCs w:val="20"/>
                      <w:lang w:eastAsia="pl-PL"/>
                    </w:rPr>
                  </w:pPr>
                </w:p>
              </w:tc>
            </w:tr>
            <w:tr w:rsidR="00E85358" w14:paraId="24277B1A"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96AA1F"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zaliczka na PIT</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157F"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180 012,00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8A5F63"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204 851,00</w:t>
                  </w:r>
                </w:p>
              </w:tc>
              <w:tc>
                <w:tcPr>
                  <w:tcW w:w="4960" w:type="dxa"/>
                  <w:noWrap/>
                  <w:tcMar>
                    <w:top w:w="0" w:type="dxa"/>
                    <w:left w:w="70" w:type="dxa"/>
                    <w:bottom w:w="0" w:type="dxa"/>
                    <w:right w:w="70" w:type="dxa"/>
                  </w:tcMar>
                  <w:vAlign w:val="center"/>
                  <w:hideMark/>
                </w:tcPr>
                <w:p w14:paraId="6C7A1FEB" w14:textId="77777777" w:rsidR="00E85358" w:rsidRDefault="00E85358" w:rsidP="00E85358">
                  <w:pPr>
                    <w:rPr>
                      <w:rFonts w:ascii="Times New Roman" w:hAnsi="Times New Roman"/>
                      <w:color w:val="000000"/>
                      <w:sz w:val="20"/>
                      <w:szCs w:val="20"/>
                      <w:lang w:eastAsia="pl-PL"/>
                    </w:rPr>
                  </w:pPr>
                </w:p>
              </w:tc>
            </w:tr>
            <w:tr w:rsidR="00E85358" w14:paraId="7EE3E62D"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AA4A52"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wynagrodzenie netto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F1F645"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1 384 184,09</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817DAC"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1 492 301,76</w:t>
                  </w:r>
                </w:p>
              </w:tc>
              <w:tc>
                <w:tcPr>
                  <w:tcW w:w="4960" w:type="dxa"/>
                  <w:noWrap/>
                  <w:tcMar>
                    <w:top w:w="0" w:type="dxa"/>
                    <w:left w:w="70" w:type="dxa"/>
                    <w:bottom w:w="0" w:type="dxa"/>
                    <w:right w:w="70" w:type="dxa"/>
                  </w:tcMar>
                  <w:vAlign w:val="bottom"/>
                  <w:hideMark/>
                </w:tcPr>
                <w:p w14:paraId="1FBF09B3" w14:textId="77777777" w:rsidR="00E85358" w:rsidRDefault="00E85358" w:rsidP="00E85358">
                  <w:pPr>
                    <w:rPr>
                      <w:rFonts w:ascii="Times New Roman" w:hAnsi="Times New Roman"/>
                      <w:color w:val="000000"/>
                      <w:sz w:val="20"/>
                      <w:szCs w:val="20"/>
                      <w:lang w:eastAsia="pl-PL"/>
                    </w:rPr>
                  </w:pPr>
                </w:p>
              </w:tc>
            </w:tr>
            <w:tr w:rsidR="00E85358" w14:paraId="672DC287" w14:textId="77777777" w:rsidTr="00FA0102">
              <w:trPr>
                <w:trHeight w:val="315"/>
              </w:trPr>
              <w:tc>
                <w:tcPr>
                  <w:tcW w:w="4480" w:type="dxa"/>
                  <w:noWrap/>
                  <w:tcMar>
                    <w:top w:w="0" w:type="dxa"/>
                    <w:left w:w="70" w:type="dxa"/>
                    <w:bottom w:w="0" w:type="dxa"/>
                    <w:right w:w="70" w:type="dxa"/>
                  </w:tcMar>
                  <w:vAlign w:val="center"/>
                  <w:hideMark/>
                </w:tcPr>
                <w:p w14:paraId="08023780" w14:textId="77777777" w:rsidR="00E85358" w:rsidRDefault="00E85358" w:rsidP="00E85358">
                  <w:pPr>
                    <w:rPr>
                      <w:rFonts w:ascii="Times New Roman" w:eastAsia="Times New Roman" w:hAnsi="Times New Roman"/>
                      <w:sz w:val="20"/>
                      <w:szCs w:val="20"/>
                      <w:lang w:eastAsia="pl-PL"/>
                    </w:rPr>
                  </w:pPr>
                </w:p>
              </w:tc>
              <w:tc>
                <w:tcPr>
                  <w:tcW w:w="1200" w:type="dxa"/>
                  <w:noWrap/>
                  <w:tcMar>
                    <w:top w:w="0" w:type="dxa"/>
                    <w:left w:w="70" w:type="dxa"/>
                    <w:bottom w:w="0" w:type="dxa"/>
                    <w:right w:w="70" w:type="dxa"/>
                  </w:tcMar>
                  <w:vAlign w:val="center"/>
                  <w:hideMark/>
                </w:tcPr>
                <w:p w14:paraId="5817D362" w14:textId="77777777" w:rsidR="00E85358" w:rsidRDefault="00E85358" w:rsidP="00E85358">
                  <w:pPr>
                    <w:rPr>
                      <w:rFonts w:ascii="Times New Roman" w:eastAsia="Times New Roman" w:hAnsi="Times New Roman"/>
                      <w:sz w:val="20"/>
                      <w:szCs w:val="20"/>
                      <w:lang w:eastAsia="pl-PL"/>
                    </w:rPr>
                  </w:pPr>
                </w:p>
              </w:tc>
              <w:tc>
                <w:tcPr>
                  <w:tcW w:w="1200" w:type="dxa"/>
                  <w:noWrap/>
                  <w:tcMar>
                    <w:top w:w="0" w:type="dxa"/>
                    <w:left w:w="70" w:type="dxa"/>
                    <w:bottom w:w="0" w:type="dxa"/>
                    <w:right w:w="70" w:type="dxa"/>
                  </w:tcMar>
                  <w:vAlign w:val="center"/>
                  <w:hideMark/>
                </w:tcPr>
                <w:p w14:paraId="2515450C" w14:textId="77777777" w:rsidR="00E85358" w:rsidRDefault="00E85358" w:rsidP="00E85358">
                  <w:pPr>
                    <w:rPr>
                      <w:rFonts w:ascii="Times New Roman" w:eastAsia="Times New Roman" w:hAnsi="Times New Roman"/>
                      <w:sz w:val="20"/>
                      <w:szCs w:val="20"/>
                      <w:lang w:eastAsia="pl-PL"/>
                    </w:rPr>
                  </w:pPr>
                </w:p>
              </w:tc>
              <w:tc>
                <w:tcPr>
                  <w:tcW w:w="4960" w:type="dxa"/>
                  <w:noWrap/>
                  <w:tcMar>
                    <w:top w:w="0" w:type="dxa"/>
                    <w:left w:w="70" w:type="dxa"/>
                    <w:bottom w:w="0" w:type="dxa"/>
                    <w:right w:w="70" w:type="dxa"/>
                  </w:tcMar>
                  <w:vAlign w:val="bottom"/>
                  <w:hideMark/>
                </w:tcPr>
                <w:p w14:paraId="3C06AD29" w14:textId="77777777" w:rsidR="00E85358" w:rsidRDefault="00E85358" w:rsidP="00E85358">
                  <w:pPr>
                    <w:rPr>
                      <w:rFonts w:ascii="Times New Roman" w:eastAsia="Times New Roman" w:hAnsi="Times New Roman"/>
                      <w:sz w:val="20"/>
                      <w:szCs w:val="20"/>
                      <w:lang w:eastAsia="pl-PL"/>
                    </w:rPr>
                  </w:pPr>
                </w:p>
              </w:tc>
            </w:tr>
            <w:tr w:rsidR="00E85358" w14:paraId="61F6C787" w14:textId="77777777" w:rsidTr="00FA0102">
              <w:trPr>
                <w:trHeight w:val="315"/>
              </w:trPr>
              <w:tc>
                <w:tcPr>
                  <w:tcW w:w="44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8C9D91" w14:textId="77777777" w:rsidR="00E85358" w:rsidRDefault="00E85358" w:rsidP="00E85358">
                  <w:pPr>
                    <w:rPr>
                      <w:rFonts w:ascii="Times New Roman" w:hAnsi="Times New Roman"/>
                      <w:b/>
                      <w:bCs/>
                      <w:color w:val="000000"/>
                      <w:lang w:eastAsia="pl-PL"/>
                    </w:rPr>
                  </w:pPr>
                  <w:r>
                    <w:rPr>
                      <w:rFonts w:ascii="Times New Roman" w:hAnsi="Times New Roman"/>
                      <w:b/>
                      <w:bCs/>
                      <w:color w:val="000000"/>
                      <w:lang w:eastAsia="pl-PL"/>
                    </w:rPr>
                    <w:t>składki pracodawcy</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A85AC6C"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421 108,80</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534A8E4"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456 903,05</w:t>
                  </w:r>
                </w:p>
              </w:tc>
              <w:tc>
                <w:tcPr>
                  <w:tcW w:w="4960" w:type="dxa"/>
                  <w:noWrap/>
                  <w:tcMar>
                    <w:top w:w="0" w:type="dxa"/>
                    <w:left w:w="70" w:type="dxa"/>
                    <w:bottom w:w="0" w:type="dxa"/>
                    <w:right w:w="70" w:type="dxa"/>
                  </w:tcMar>
                  <w:vAlign w:val="bottom"/>
                  <w:hideMark/>
                </w:tcPr>
                <w:p w14:paraId="703FFDC1" w14:textId="77777777" w:rsidR="00E85358" w:rsidRDefault="00E85358" w:rsidP="00E85358">
                  <w:pPr>
                    <w:rPr>
                      <w:rFonts w:ascii="Times New Roman" w:hAnsi="Times New Roman"/>
                      <w:b/>
                      <w:bCs/>
                      <w:color w:val="000000"/>
                      <w:sz w:val="20"/>
                      <w:szCs w:val="20"/>
                      <w:lang w:eastAsia="pl-PL"/>
                    </w:rPr>
                  </w:pPr>
                </w:p>
              </w:tc>
            </w:tr>
            <w:tr w:rsidR="00E85358" w14:paraId="5EB88D72"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3516DF8"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lastRenderedPageBreak/>
                    <w:t>na ubezpieczenia społeczne (17,19%)</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F49A75"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342 424,80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D672C4"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371 530,91</w:t>
                  </w:r>
                </w:p>
              </w:tc>
              <w:tc>
                <w:tcPr>
                  <w:tcW w:w="4960" w:type="dxa"/>
                  <w:noWrap/>
                  <w:tcMar>
                    <w:top w:w="0" w:type="dxa"/>
                    <w:left w:w="70" w:type="dxa"/>
                    <w:bottom w:w="0" w:type="dxa"/>
                    <w:right w:w="70" w:type="dxa"/>
                  </w:tcMar>
                  <w:vAlign w:val="bottom"/>
                  <w:hideMark/>
                </w:tcPr>
                <w:p w14:paraId="14FD9136" w14:textId="77777777" w:rsidR="00E85358" w:rsidRDefault="00E85358" w:rsidP="00E85358">
                  <w:pPr>
                    <w:rPr>
                      <w:rFonts w:ascii="Times New Roman" w:hAnsi="Times New Roman"/>
                      <w:color w:val="000000"/>
                      <w:sz w:val="20"/>
                      <w:szCs w:val="20"/>
                      <w:lang w:eastAsia="pl-PL"/>
                    </w:rPr>
                  </w:pPr>
                </w:p>
              </w:tc>
            </w:tr>
            <w:tr w:rsidR="00E85358" w14:paraId="587D3F8F" w14:textId="77777777" w:rsidTr="00FA0102">
              <w:trPr>
                <w:trHeight w:val="300"/>
              </w:trPr>
              <w:tc>
                <w:tcPr>
                  <w:tcW w:w="448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69173D88"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Fundusz Pracy i Fundusz Solidarnościowy</w:t>
                  </w:r>
                </w:p>
              </w:tc>
              <w:tc>
                <w:tcPr>
                  <w:tcW w:w="12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3BA0728F"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48 804,00</w:t>
                  </w:r>
                </w:p>
              </w:tc>
              <w:tc>
                <w:tcPr>
                  <w:tcW w:w="12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15579DDC"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52 952,34</w:t>
                  </w:r>
                </w:p>
              </w:tc>
              <w:tc>
                <w:tcPr>
                  <w:tcW w:w="4960" w:type="dxa"/>
                  <w:noWrap/>
                  <w:tcMar>
                    <w:top w:w="0" w:type="dxa"/>
                    <w:left w:w="70" w:type="dxa"/>
                    <w:bottom w:w="0" w:type="dxa"/>
                    <w:right w:w="70" w:type="dxa"/>
                  </w:tcMar>
                  <w:vAlign w:val="bottom"/>
                  <w:hideMark/>
                </w:tcPr>
                <w:p w14:paraId="5D4FC674" w14:textId="77777777" w:rsidR="00E85358" w:rsidRDefault="00E85358" w:rsidP="00E85358">
                  <w:pPr>
                    <w:rPr>
                      <w:rFonts w:ascii="Times New Roman" w:hAnsi="Times New Roman"/>
                      <w:color w:val="000000"/>
                      <w:sz w:val="20"/>
                      <w:szCs w:val="20"/>
                      <w:lang w:eastAsia="pl-PL"/>
                    </w:rPr>
                  </w:pPr>
                </w:p>
              </w:tc>
            </w:tr>
            <w:tr w:rsidR="00E85358" w14:paraId="6AB5770B" w14:textId="77777777" w:rsidTr="00FA0102">
              <w:trPr>
                <w:trHeight w:val="315"/>
              </w:trPr>
              <w:tc>
                <w:tcPr>
                  <w:tcW w:w="44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FC2E9C"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(FP-1%, FS-1,45%)</w:t>
                  </w:r>
                </w:p>
              </w:tc>
              <w:tc>
                <w:tcPr>
                  <w:tcW w:w="1200" w:type="dxa"/>
                  <w:vMerge/>
                  <w:tcBorders>
                    <w:top w:val="nil"/>
                    <w:left w:val="nil"/>
                    <w:bottom w:val="single" w:sz="8" w:space="0" w:color="000000"/>
                    <w:right w:val="single" w:sz="8" w:space="0" w:color="auto"/>
                  </w:tcBorders>
                  <w:vAlign w:val="center"/>
                  <w:hideMark/>
                </w:tcPr>
                <w:p w14:paraId="0094F277" w14:textId="77777777" w:rsidR="00E85358" w:rsidRDefault="00E85358" w:rsidP="00E85358">
                  <w:pPr>
                    <w:rPr>
                      <w:rFonts w:ascii="Times New Roman" w:hAnsi="Times New Roman"/>
                      <w:color w:val="000000"/>
                      <w:sz w:val="20"/>
                      <w:szCs w:val="20"/>
                      <w:lang w:eastAsia="pl-PL"/>
                    </w:rPr>
                  </w:pPr>
                </w:p>
              </w:tc>
              <w:tc>
                <w:tcPr>
                  <w:tcW w:w="1200" w:type="dxa"/>
                  <w:vMerge/>
                  <w:tcBorders>
                    <w:top w:val="nil"/>
                    <w:left w:val="nil"/>
                    <w:bottom w:val="single" w:sz="8" w:space="0" w:color="000000"/>
                    <w:right w:val="single" w:sz="8" w:space="0" w:color="auto"/>
                  </w:tcBorders>
                  <w:vAlign w:val="center"/>
                  <w:hideMark/>
                </w:tcPr>
                <w:p w14:paraId="6D265FE6" w14:textId="77777777" w:rsidR="00E85358" w:rsidRDefault="00E85358" w:rsidP="00E85358">
                  <w:pPr>
                    <w:rPr>
                      <w:rFonts w:ascii="Times New Roman" w:hAnsi="Times New Roman"/>
                      <w:color w:val="000000"/>
                      <w:sz w:val="20"/>
                      <w:szCs w:val="20"/>
                      <w:lang w:eastAsia="pl-PL"/>
                    </w:rPr>
                  </w:pPr>
                </w:p>
              </w:tc>
              <w:tc>
                <w:tcPr>
                  <w:tcW w:w="4960" w:type="dxa"/>
                  <w:noWrap/>
                  <w:tcMar>
                    <w:top w:w="0" w:type="dxa"/>
                    <w:left w:w="70" w:type="dxa"/>
                    <w:bottom w:w="0" w:type="dxa"/>
                    <w:right w:w="70" w:type="dxa"/>
                  </w:tcMar>
                  <w:vAlign w:val="bottom"/>
                  <w:hideMark/>
                </w:tcPr>
                <w:p w14:paraId="7439DBE3" w14:textId="77777777" w:rsidR="00E85358" w:rsidRDefault="00E85358" w:rsidP="00E85358">
                  <w:pPr>
                    <w:rPr>
                      <w:rFonts w:ascii="Times New Roman" w:hAnsi="Times New Roman"/>
                      <w:color w:val="000000"/>
                      <w:lang w:eastAsia="pl-PL"/>
                    </w:rPr>
                  </w:pPr>
                </w:p>
              </w:tc>
            </w:tr>
            <w:tr w:rsidR="00E85358" w14:paraId="472A3F6C" w14:textId="77777777" w:rsidTr="00FA0102">
              <w:trPr>
                <w:trHeight w:val="300"/>
              </w:trPr>
              <w:tc>
                <w:tcPr>
                  <w:tcW w:w="448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4EA4CA45"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Pracownicze Plany Kapitałowe</w:t>
                  </w:r>
                </w:p>
              </w:tc>
              <w:tc>
                <w:tcPr>
                  <w:tcW w:w="12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22F09AC6"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29 880,00</w:t>
                  </w:r>
                </w:p>
              </w:tc>
              <w:tc>
                <w:tcPr>
                  <w:tcW w:w="1200"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036E7261" w14:textId="77777777" w:rsidR="00E85358" w:rsidRDefault="00E85358" w:rsidP="00E85358">
                  <w:pPr>
                    <w:jc w:val="right"/>
                    <w:rPr>
                      <w:rFonts w:ascii="Times New Roman" w:hAnsi="Times New Roman"/>
                      <w:color w:val="000000"/>
                      <w:sz w:val="20"/>
                      <w:szCs w:val="20"/>
                      <w:lang w:eastAsia="pl-PL"/>
                    </w:rPr>
                  </w:pPr>
                  <w:r>
                    <w:rPr>
                      <w:rFonts w:ascii="Times New Roman" w:hAnsi="Times New Roman"/>
                      <w:color w:val="000000"/>
                      <w:sz w:val="20"/>
                      <w:szCs w:val="20"/>
                      <w:lang w:eastAsia="pl-PL"/>
                    </w:rPr>
                    <w:t>32 419,80</w:t>
                  </w:r>
                </w:p>
              </w:tc>
              <w:tc>
                <w:tcPr>
                  <w:tcW w:w="4960" w:type="dxa"/>
                  <w:noWrap/>
                  <w:tcMar>
                    <w:top w:w="0" w:type="dxa"/>
                    <w:left w:w="70" w:type="dxa"/>
                    <w:bottom w:w="0" w:type="dxa"/>
                    <w:right w:w="70" w:type="dxa"/>
                  </w:tcMar>
                  <w:vAlign w:val="bottom"/>
                  <w:hideMark/>
                </w:tcPr>
                <w:p w14:paraId="3F269B8D" w14:textId="77777777" w:rsidR="00E85358" w:rsidRDefault="00E85358" w:rsidP="00E85358">
                  <w:pPr>
                    <w:rPr>
                      <w:rFonts w:ascii="Times New Roman" w:hAnsi="Times New Roman"/>
                      <w:color w:val="000000"/>
                      <w:sz w:val="20"/>
                      <w:szCs w:val="20"/>
                      <w:lang w:eastAsia="pl-PL"/>
                    </w:rPr>
                  </w:pPr>
                </w:p>
              </w:tc>
            </w:tr>
            <w:tr w:rsidR="00E85358" w14:paraId="0C0D291B" w14:textId="77777777" w:rsidTr="00FA0102">
              <w:trPr>
                <w:trHeight w:val="315"/>
              </w:trPr>
              <w:tc>
                <w:tcPr>
                  <w:tcW w:w="44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CFEBD9" w14:textId="77777777" w:rsidR="00E85358" w:rsidRDefault="00E85358" w:rsidP="00E85358">
                  <w:pPr>
                    <w:rPr>
                      <w:rFonts w:ascii="Times New Roman" w:hAnsi="Times New Roman"/>
                      <w:color w:val="000000"/>
                      <w:lang w:eastAsia="pl-PL"/>
                    </w:rPr>
                  </w:pPr>
                  <w:r>
                    <w:rPr>
                      <w:rFonts w:ascii="Times New Roman" w:hAnsi="Times New Roman"/>
                      <w:color w:val="000000"/>
                      <w:lang w:eastAsia="pl-PL"/>
                    </w:rPr>
                    <w:t>(PPK 1,5%)</w:t>
                  </w:r>
                </w:p>
              </w:tc>
              <w:tc>
                <w:tcPr>
                  <w:tcW w:w="1200" w:type="dxa"/>
                  <w:vMerge/>
                  <w:tcBorders>
                    <w:top w:val="nil"/>
                    <w:left w:val="nil"/>
                    <w:bottom w:val="single" w:sz="8" w:space="0" w:color="000000"/>
                    <w:right w:val="single" w:sz="8" w:space="0" w:color="auto"/>
                  </w:tcBorders>
                  <w:vAlign w:val="center"/>
                  <w:hideMark/>
                </w:tcPr>
                <w:p w14:paraId="5597C6F6" w14:textId="77777777" w:rsidR="00E85358" w:rsidRDefault="00E85358" w:rsidP="00E85358">
                  <w:pPr>
                    <w:rPr>
                      <w:rFonts w:ascii="Times New Roman" w:hAnsi="Times New Roman"/>
                      <w:color w:val="000000"/>
                      <w:sz w:val="20"/>
                      <w:szCs w:val="20"/>
                      <w:lang w:eastAsia="pl-PL"/>
                    </w:rPr>
                  </w:pPr>
                </w:p>
              </w:tc>
              <w:tc>
                <w:tcPr>
                  <w:tcW w:w="1200" w:type="dxa"/>
                  <w:vMerge/>
                  <w:tcBorders>
                    <w:top w:val="nil"/>
                    <w:left w:val="nil"/>
                    <w:bottom w:val="single" w:sz="8" w:space="0" w:color="000000"/>
                    <w:right w:val="single" w:sz="8" w:space="0" w:color="auto"/>
                  </w:tcBorders>
                  <w:vAlign w:val="center"/>
                  <w:hideMark/>
                </w:tcPr>
                <w:p w14:paraId="3AB8B11F" w14:textId="77777777" w:rsidR="00E85358" w:rsidRDefault="00E85358" w:rsidP="00E85358">
                  <w:pPr>
                    <w:rPr>
                      <w:rFonts w:ascii="Times New Roman" w:hAnsi="Times New Roman"/>
                      <w:color w:val="000000"/>
                      <w:sz w:val="20"/>
                      <w:szCs w:val="20"/>
                      <w:lang w:eastAsia="pl-PL"/>
                    </w:rPr>
                  </w:pPr>
                </w:p>
              </w:tc>
              <w:tc>
                <w:tcPr>
                  <w:tcW w:w="4960" w:type="dxa"/>
                  <w:noWrap/>
                  <w:tcMar>
                    <w:top w:w="0" w:type="dxa"/>
                    <w:left w:w="70" w:type="dxa"/>
                    <w:bottom w:w="0" w:type="dxa"/>
                    <w:right w:w="70" w:type="dxa"/>
                  </w:tcMar>
                  <w:vAlign w:val="bottom"/>
                  <w:hideMark/>
                </w:tcPr>
                <w:p w14:paraId="5A6FBF5D" w14:textId="77777777" w:rsidR="00E85358" w:rsidRDefault="00E85358" w:rsidP="00E85358">
                  <w:pPr>
                    <w:rPr>
                      <w:rFonts w:ascii="Times New Roman" w:hAnsi="Times New Roman"/>
                      <w:color w:val="000000"/>
                      <w:lang w:eastAsia="pl-PL"/>
                    </w:rPr>
                  </w:pPr>
                </w:p>
              </w:tc>
            </w:tr>
            <w:tr w:rsidR="00E85358" w14:paraId="38DA504F" w14:textId="77777777" w:rsidTr="00FA0102">
              <w:trPr>
                <w:trHeight w:val="315"/>
              </w:trPr>
              <w:tc>
                <w:tcPr>
                  <w:tcW w:w="44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EEADDF" w14:textId="77777777" w:rsidR="00E85358" w:rsidRDefault="00E85358" w:rsidP="00E85358">
                  <w:pPr>
                    <w:rPr>
                      <w:rFonts w:ascii="Times New Roman" w:hAnsi="Times New Roman"/>
                      <w:b/>
                      <w:bCs/>
                      <w:color w:val="000000"/>
                      <w:lang w:eastAsia="pl-PL"/>
                    </w:rPr>
                  </w:pPr>
                  <w:r>
                    <w:rPr>
                      <w:rFonts w:ascii="Times New Roman" w:hAnsi="Times New Roman"/>
                      <w:b/>
                      <w:bCs/>
                      <w:color w:val="000000"/>
                      <w:lang w:eastAsia="pl-PL"/>
                    </w:rPr>
                    <w:t>wydatki dla budżetu państwa</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9145A4"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2 413 108,80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296159" w14:textId="77777777" w:rsidR="00E85358" w:rsidRDefault="00E85358" w:rsidP="00E85358">
                  <w:pPr>
                    <w:jc w:val="right"/>
                    <w:rPr>
                      <w:rFonts w:ascii="Times New Roman" w:hAnsi="Times New Roman"/>
                      <w:b/>
                      <w:bCs/>
                      <w:color w:val="000000"/>
                      <w:sz w:val="20"/>
                      <w:szCs w:val="20"/>
                      <w:lang w:eastAsia="pl-PL"/>
                    </w:rPr>
                  </w:pPr>
                  <w:r>
                    <w:rPr>
                      <w:rFonts w:ascii="Times New Roman" w:hAnsi="Times New Roman"/>
                      <w:b/>
                      <w:bCs/>
                      <w:color w:val="000000"/>
                      <w:sz w:val="20"/>
                      <w:szCs w:val="20"/>
                      <w:lang w:eastAsia="pl-PL"/>
                    </w:rPr>
                    <w:t>2 618 223,05</w:t>
                  </w:r>
                </w:p>
              </w:tc>
              <w:tc>
                <w:tcPr>
                  <w:tcW w:w="4960" w:type="dxa"/>
                  <w:noWrap/>
                  <w:tcMar>
                    <w:top w:w="0" w:type="dxa"/>
                    <w:left w:w="70" w:type="dxa"/>
                    <w:bottom w:w="0" w:type="dxa"/>
                    <w:right w:w="70" w:type="dxa"/>
                  </w:tcMar>
                  <w:vAlign w:val="bottom"/>
                  <w:hideMark/>
                </w:tcPr>
                <w:p w14:paraId="708852B8" w14:textId="77777777" w:rsidR="00E85358" w:rsidRDefault="00E85358" w:rsidP="00E85358">
                  <w:pPr>
                    <w:rPr>
                      <w:rFonts w:ascii="Times New Roman" w:hAnsi="Times New Roman"/>
                      <w:b/>
                      <w:bCs/>
                      <w:color w:val="000000"/>
                      <w:sz w:val="20"/>
                      <w:szCs w:val="20"/>
                      <w:lang w:eastAsia="pl-PL"/>
                    </w:rPr>
                  </w:pPr>
                </w:p>
              </w:tc>
            </w:tr>
          </w:tbl>
          <w:p w14:paraId="669B8DC0" w14:textId="77777777" w:rsidR="00E85358" w:rsidRDefault="00E85358" w:rsidP="00C017C1">
            <w:pPr>
              <w:spacing w:line="240" w:lineRule="auto"/>
              <w:jc w:val="both"/>
              <w:rPr>
                <w:rFonts w:ascii="Times New Roman" w:hAnsi="Times New Roman"/>
                <w:bCs/>
              </w:rPr>
            </w:pPr>
          </w:p>
          <w:p w14:paraId="0DE22565" w14:textId="77777777" w:rsidR="00C017C1" w:rsidRDefault="00C017C1" w:rsidP="00C017C1">
            <w:pPr>
              <w:jc w:val="both"/>
              <w:rPr>
                <w:rFonts w:ascii="Times New Roman" w:hAnsi="Times New Roman"/>
                <w:color w:val="000000"/>
              </w:rPr>
            </w:pPr>
          </w:p>
          <w:p w14:paraId="37C15D0C" w14:textId="77777777" w:rsidR="002042CA" w:rsidRPr="00C91DAF" w:rsidRDefault="002042CA" w:rsidP="002042CA">
            <w:pPr>
              <w:spacing w:line="240" w:lineRule="auto"/>
              <w:jc w:val="both"/>
              <w:rPr>
                <w:rFonts w:ascii="Times New Roman" w:hAnsi="Times New Roman"/>
                <w:color w:val="000000"/>
              </w:rPr>
            </w:pPr>
            <w:r w:rsidRPr="00C91DAF">
              <w:rPr>
                <w:rFonts w:ascii="Times New Roman" w:hAnsi="Times New Roman"/>
                <w:color w:val="000000"/>
              </w:rPr>
              <w:t xml:space="preserve">Przygotowanie urzędu </w:t>
            </w:r>
            <w:r>
              <w:rPr>
                <w:rFonts w:ascii="Times New Roman" w:hAnsi="Times New Roman"/>
                <w:color w:val="000000"/>
              </w:rPr>
              <w:t xml:space="preserve">RPO </w:t>
            </w:r>
            <w:r w:rsidRPr="00C91DAF">
              <w:rPr>
                <w:rFonts w:ascii="Times New Roman" w:hAnsi="Times New Roman"/>
                <w:color w:val="000000"/>
              </w:rPr>
              <w:t xml:space="preserve">do wykonywania zadań wynikających z projektu </w:t>
            </w:r>
            <w:r>
              <w:rPr>
                <w:rFonts w:ascii="Times New Roman" w:hAnsi="Times New Roman"/>
                <w:color w:val="000000"/>
              </w:rPr>
              <w:t xml:space="preserve">będzie </w:t>
            </w:r>
            <w:r w:rsidRPr="00C91DAF">
              <w:rPr>
                <w:rFonts w:ascii="Times New Roman" w:hAnsi="Times New Roman"/>
                <w:color w:val="000000"/>
              </w:rPr>
              <w:t>wymaga</w:t>
            </w:r>
            <w:r>
              <w:rPr>
                <w:rFonts w:ascii="Times New Roman" w:hAnsi="Times New Roman"/>
                <w:color w:val="000000"/>
              </w:rPr>
              <w:t>ło</w:t>
            </w:r>
            <w:r w:rsidRPr="00C91DAF">
              <w:rPr>
                <w:rFonts w:ascii="Times New Roman" w:hAnsi="Times New Roman"/>
                <w:color w:val="000000"/>
              </w:rPr>
              <w:t xml:space="preserve"> podjęcia działań dotyczących przygotowania stanowisk pracy, ale również zbudowania nowego systemu teleinformatycznego, odpowiadającego parametrom wskazanym w projektowanej regulacji. </w:t>
            </w:r>
            <w:r>
              <w:rPr>
                <w:rFonts w:ascii="Times New Roman" w:hAnsi="Times New Roman"/>
                <w:color w:val="000000"/>
              </w:rPr>
              <w:t>K</w:t>
            </w:r>
            <w:r w:rsidRPr="00C91DAF">
              <w:rPr>
                <w:rFonts w:ascii="Times New Roman" w:hAnsi="Times New Roman"/>
                <w:color w:val="000000"/>
              </w:rPr>
              <w:t xml:space="preserve">luczowy w tym względzie </w:t>
            </w:r>
            <w:r>
              <w:rPr>
                <w:rFonts w:ascii="Times New Roman" w:hAnsi="Times New Roman"/>
                <w:color w:val="000000"/>
              </w:rPr>
              <w:t>będzie</w:t>
            </w:r>
            <w:r w:rsidRPr="00C91DAF">
              <w:rPr>
                <w:rFonts w:ascii="Times New Roman" w:hAnsi="Times New Roman"/>
                <w:color w:val="000000"/>
              </w:rPr>
              <w:t xml:space="preserve"> koszt stworzenia systemu teleinformatycznego dedykowanego obsłudze zgłoszeń zewnętrznych. Z uwagi na wymagania wymienione w </w:t>
            </w:r>
            <w:r>
              <w:rPr>
                <w:rFonts w:ascii="Times New Roman" w:hAnsi="Times New Roman"/>
                <w:color w:val="000000"/>
              </w:rPr>
              <w:t>projekcie</w:t>
            </w:r>
            <w:r w:rsidRPr="00C91DAF">
              <w:rPr>
                <w:rFonts w:ascii="Times New Roman" w:hAnsi="Times New Roman"/>
                <w:color w:val="000000"/>
              </w:rPr>
              <w:t>, dotyczące systemu teleinformatycznego, należ</w:t>
            </w:r>
            <w:r>
              <w:rPr>
                <w:rFonts w:ascii="Times New Roman" w:hAnsi="Times New Roman"/>
                <w:color w:val="000000"/>
              </w:rPr>
              <w:t>ało będzie</w:t>
            </w:r>
            <w:r w:rsidRPr="00C91DAF">
              <w:rPr>
                <w:rFonts w:ascii="Times New Roman" w:hAnsi="Times New Roman"/>
                <w:color w:val="000000"/>
              </w:rPr>
              <w:t xml:space="preserve"> stworz</w:t>
            </w:r>
            <w:r>
              <w:rPr>
                <w:rFonts w:ascii="Times New Roman" w:hAnsi="Times New Roman"/>
                <w:color w:val="000000"/>
              </w:rPr>
              <w:t>yć</w:t>
            </w:r>
            <w:r w:rsidRPr="00C91DAF">
              <w:rPr>
                <w:rFonts w:ascii="Times New Roman" w:hAnsi="Times New Roman"/>
                <w:color w:val="000000"/>
              </w:rPr>
              <w:t xml:space="preserve"> mechanizm</w:t>
            </w:r>
            <w:r>
              <w:rPr>
                <w:rFonts w:ascii="Times New Roman" w:hAnsi="Times New Roman"/>
                <w:color w:val="000000"/>
              </w:rPr>
              <w:t>y</w:t>
            </w:r>
            <w:r w:rsidRPr="00C91DAF">
              <w:rPr>
                <w:rFonts w:ascii="Times New Roman" w:hAnsi="Times New Roman"/>
                <w:color w:val="000000"/>
              </w:rPr>
              <w:t xml:space="preserve"> pozwalając</w:t>
            </w:r>
            <w:r>
              <w:rPr>
                <w:rFonts w:ascii="Times New Roman" w:hAnsi="Times New Roman"/>
                <w:color w:val="000000"/>
              </w:rPr>
              <w:t>e</w:t>
            </w:r>
            <w:r w:rsidRPr="00C91DAF">
              <w:rPr>
                <w:rFonts w:ascii="Times New Roman" w:hAnsi="Times New Roman"/>
                <w:color w:val="000000"/>
              </w:rPr>
              <w:t xml:space="preserve"> na zgodne z prawem procedowanie zgłoszeń. </w:t>
            </w:r>
            <w:r>
              <w:rPr>
                <w:rFonts w:ascii="Times New Roman" w:hAnsi="Times New Roman"/>
                <w:color w:val="000000"/>
              </w:rPr>
              <w:t>S</w:t>
            </w:r>
            <w:r w:rsidRPr="00C91DAF">
              <w:rPr>
                <w:rFonts w:ascii="Times New Roman" w:hAnsi="Times New Roman"/>
                <w:color w:val="000000"/>
              </w:rPr>
              <w:t>zacowany koszt wdrożenia systemu teleinformatycznego wyniesie około 1 800 000 zł.</w:t>
            </w:r>
          </w:p>
          <w:p w14:paraId="101B6888" w14:textId="77777777" w:rsidR="002042CA" w:rsidRPr="00C91DAF" w:rsidRDefault="002042CA" w:rsidP="002042CA">
            <w:pPr>
              <w:spacing w:line="240" w:lineRule="auto"/>
              <w:jc w:val="both"/>
              <w:rPr>
                <w:rFonts w:ascii="Times New Roman" w:hAnsi="Times New Roman"/>
                <w:color w:val="000000"/>
              </w:rPr>
            </w:pPr>
            <w:r>
              <w:rPr>
                <w:rFonts w:ascii="Times New Roman" w:hAnsi="Times New Roman"/>
                <w:color w:val="000000"/>
              </w:rPr>
              <w:t>W</w:t>
            </w:r>
            <w:r w:rsidRPr="00C91DAF">
              <w:rPr>
                <w:rFonts w:ascii="Times New Roman" w:hAnsi="Times New Roman"/>
                <w:color w:val="000000"/>
              </w:rPr>
              <w:t xml:space="preserve"> przypadku przygotowania infrastruktury informatycznej szacowany jednorazowy koszt jednego stanowiska pracy to około 9300 zł na osobę (łącznie 186 000 zł). Dodatkowo należy wskazać pozostałe koszty w sferze informatycznej, związane z organizacją nowej komórki organizacyjnej zajmującej się obsługą zgłoszeń pod względem sprzętowym (koszty te szacowane są jednorazowo na około 75 000 zł). Łącznie koszt jednorazowy dotyczący infrastruktury informatycznej obsługującej pracowników wyniesie więc 261 000 zł. Natomiast cykliczne wydatki związane z utrzymaniem stanowisk pracy na płaszczyźnie informatycznej będą kształtowały się na poziomie około 86 000 zł rocznie.</w:t>
            </w:r>
          </w:p>
          <w:p w14:paraId="0685F4B7" w14:textId="77777777" w:rsidR="002042CA" w:rsidRPr="00C91DAF" w:rsidRDefault="002042CA" w:rsidP="002042CA">
            <w:pPr>
              <w:spacing w:line="240" w:lineRule="auto"/>
              <w:jc w:val="both"/>
              <w:rPr>
                <w:rFonts w:ascii="Times New Roman" w:hAnsi="Times New Roman"/>
                <w:color w:val="000000"/>
              </w:rPr>
            </w:pPr>
            <w:r>
              <w:rPr>
                <w:rFonts w:ascii="Times New Roman" w:hAnsi="Times New Roman"/>
                <w:color w:val="000000"/>
              </w:rPr>
              <w:t>Z</w:t>
            </w:r>
            <w:r w:rsidRPr="00C91DAF">
              <w:rPr>
                <w:rFonts w:ascii="Times New Roman" w:hAnsi="Times New Roman"/>
                <w:color w:val="000000"/>
              </w:rPr>
              <w:t>większone zatrudnienie w Biurze</w:t>
            </w:r>
            <w:r>
              <w:rPr>
                <w:rFonts w:ascii="Times New Roman" w:hAnsi="Times New Roman"/>
                <w:color w:val="000000"/>
              </w:rPr>
              <w:t xml:space="preserve"> RPO</w:t>
            </w:r>
            <w:r w:rsidRPr="00C91DAF">
              <w:rPr>
                <w:rFonts w:ascii="Times New Roman" w:hAnsi="Times New Roman"/>
                <w:color w:val="000000"/>
              </w:rPr>
              <w:t>, związane z koniecznością zapewnienia systemu obsługi zgłoszeń zewnętrznych, będzie skutkowało potrzebą reorganizacji urzędu, w tym koniecznością pozyskania nowej przestrzeni biurowej i magazynowej. W obecnie zajmowanych przez Biuro R</w:t>
            </w:r>
            <w:r>
              <w:rPr>
                <w:rFonts w:ascii="Times New Roman" w:hAnsi="Times New Roman"/>
                <w:color w:val="000000"/>
              </w:rPr>
              <w:t>PO</w:t>
            </w:r>
            <w:r w:rsidRPr="00C91DAF">
              <w:rPr>
                <w:rFonts w:ascii="Times New Roman" w:hAnsi="Times New Roman"/>
                <w:color w:val="000000"/>
              </w:rPr>
              <w:t xml:space="preserve"> dwóch budynkach (ul. Długa 23/25 oraz al. Solidarności 77 w Warszawie) nie ma wolnych przestrzeni pozwalających na zorganizowanie pracy wyodrębnionej komórki zajmującej się obsługą zadań wynikających z projektu (przy uwzględnieniu liczebności takiego zespołu, a także wymogów dotyczących zapewnienia poufności i ochrony osób dokonujących zgłoszeń oraz wymagań dotyczących infolinii i systemów teleinformatycznych). Planowane zwiększenie zatrudnienia w Biurze, jak też potrzeba wygenerowania przestrzeni służącej przechowywaniu dokumentacji związanej ze zgłoszeniami zewnętrznymi, generują konieczność pozyskania nowej przestrzeni biurowej i technicznej. Do czasu ewentualnego pozyskania nowej przestrzeni w ramach zasobów Skarbu Państwa, niezbędne będzie wynajęcie powierzchni biurowej, w miarę możliwości w pobliżu obecnej lokalizacji Biura RPO. W tym zakresie jednorazowe koszty wyposażenia powierzchni biurowej </w:t>
            </w:r>
            <w:r>
              <w:rPr>
                <w:rFonts w:ascii="Times New Roman" w:hAnsi="Times New Roman"/>
                <w:color w:val="000000"/>
              </w:rPr>
              <w:t>szacuje się na 1</w:t>
            </w:r>
            <w:r w:rsidRPr="00C91DAF">
              <w:rPr>
                <w:rFonts w:ascii="Times New Roman" w:hAnsi="Times New Roman"/>
                <w:color w:val="000000"/>
              </w:rPr>
              <w:t xml:space="preserve">50 000 zł, natomiast cykliczne koszty związane z wynajmem utrzymaniem tej powierzchni </w:t>
            </w:r>
            <w:r>
              <w:rPr>
                <w:rFonts w:ascii="Times New Roman" w:hAnsi="Times New Roman"/>
                <w:color w:val="000000"/>
              </w:rPr>
              <w:t xml:space="preserve">szacuje się na </w:t>
            </w:r>
            <w:r w:rsidRPr="00C91DAF">
              <w:rPr>
                <w:rFonts w:ascii="Times New Roman" w:hAnsi="Times New Roman"/>
                <w:color w:val="000000"/>
              </w:rPr>
              <w:t>615 000 zł rocznie.</w:t>
            </w:r>
          </w:p>
          <w:p w14:paraId="5C09B2A5" w14:textId="77777777" w:rsidR="00C91DAF" w:rsidRDefault="00C91DAF" w:rsidP="00C017C1">
            <w:pPr>
              <w:spacing w:line="240" w:lineRule="auto"/>
              <w:jc w:val="both"/>
              <w:rPr>
                <w:rFonts w:ascii="Times New Roman" w:hAnsi="Times New Roman"/>
                <w:color w:val="000000"/>
              </w:rPr>
            </w:pPr>
          </w:p>
          <w:p w14:paraId="7B175D8C" w14:textId="77777777" w:rsidR="00C017C1" w:rsidRDefault="00C017C1" w:rsidP="00C017C1">
            <w:pPr>
              <w:spacing w:line="240" w:lineRule="auto"/>
              <w:jc w:val="both"/>
              <w:rPr>
                <w:rFonts w:ascii="Times New Roman" w:hAnsi="Times New Roman"/>
                <w:color w:val="000000"/>
              </w:rPr>
            </w:pPr>
            <w:r>
              <w:rPr>
                <w:rFonts w:ascii="Times New Roman" w:hAnsi="Times New Roman"/>
                <w:color w:val="000000"/>
              </w:rPr>
              <w:t xml:space="preserve">Obecnie obywatele mogą zgłosić swoją sprawę do RPO: przez stronę internetową (za pomocą formularza online, poczty elektronicznej, e-PUAP oraz wniosku w języku migowym), pisemnie lub osobiście w jednym z 15 biur na terenie całego kraju. W związku z koniecznością przyjmowania zgłoszeń od sygnalistów, strona internetowa RPO będzie musiała zostać odpowiednio zmodyfikowana i dostosowana do nowych zadań. </w:t>
            </w:r>
            <w:r>
              <w:rPr>
                <w:rFonts w:ascii="Times New Roman" w:hAnsi="Times New Roman"/>
              </w:rPr>
              <w:t xml:space="preserve">Koszty w zakresie dostosowania strony internetowej i formularza online oszacowano na 50 000 zł. Koszty związane z utworzeniem infolinii oszacowano na 50 000 zł. </w:t>
            </w:r>
          </w:p>
          <w:p w14:paraId="4A6CBC7E" w14:textId="77777777" w:rsidR="000C6FB4" w:rsidRDefault="000C6FB4" w:rsidP="00C017C1">
            <w:pPr>
              <w:spacing w:line="240" w:lineRule="auto"/>
              <w:jc w:val="both"/>
              <w:rPr>
                <w:rFonts w:ascii="Times New Roman" w:hAnsi="Times New Roman"/>
                <w:color w:val="000000"/>
              </w:rPr>
            </w:pPr>
          </w:p>
          <w:p w14:paraId="488818B2" w14:textId="77777777" w:rsidR="00C017C1" w:rsidRDefault="00C017C1" w:rsidP="00C017C1">
            <w:pPr>
              <w:spacing w:line="240" w:lineRule="auto"/>
              <w:jc w:val="both"/>
              <w:rPr>
                <w:rFonts w:ascii="Times New Roman" w:hAnsi="Times New Roman"/>
                <w:color w:val="000000"/>
              </w:rPr>
            </w:pPr>
            <w:r>
              <w:rPr>
                <w:rFonts w:ascii="Times New Roman" w:hAnsi="Times New Roman"/>
                <w:color w:val="000000"/>
              </w:rPr>
              <w:t xml:space="preserve">Nie przewiduje się zwiększenia wydatków przez organy </w:t>
            </w:r>
            <w:r w:rsidR="00DB3D45">
              <w:rPr>
                <w:rFonts w:ascii="Times New Roman" w:hAnsi="Times New Roman"/>
                <w:color w:val="000000"/>
              </w:rPr>
              <w:t>publiczne</w:t>
            </w:r>
            <w:r>
              <w:rPr>
                <w:rFonts w:ascii="Times New Roman" w:hAnsi="Times New Roman"/>
                <w:color w:val="000000"/>
              </w:rPr>
              <w:t>, które będą podejmowały działania następcze, w zakresie swojej właściwości, w wyniku otrzymania zgłoszenia o naruszeniu, ponieważ będą to robiły w ramach obecnych uprawnień i zadań.</w:t>
            </w:r>
          </w:p>
          <w:p w14:paraId="28284639" w14:textId="77777777" w:rsidR="00C017C1" w:rsidRDefault="00C017C1" w:rsidP="00C017C1">
            <w:pPr>
              <w:spacing w:line="240" w:lineRule="auto"/>
              <w:jc w:val="both"/>
              <w:rPr>
                <w:rFonts w:ascii="Times New Roman" w:hAnsi="Times New Roman"/>
                <w:color w:val="000000"/>
                <w:spacing w:val="-2"/>
              </w:rPr>
            </w:pPr>
            <w:r w:rsidRPr="00BB341D">
              <w:rPr>
                <w:rFonts w:ascii="Times New Roman" w:hAnsi="Times New Roman"/>
                <w:color w:val="000000"/>
              </w:rPr>
              <w:t xml:space="preserve">Wejście w życie ustawy </w:t>
            </w:r>
            <w:r>
              <w:rPr>
                <w:rFonts w:ascii="Times New Roman" w:hAnsi="Times New Roman"/>
                <w:color w:val="000000"/>
              </w:rPr>
              <w:t xml:space="preserve">nie </w:t>
            </w:r>
            <w:r w:rsidRPr="00BB341D">
              <w:rPr>
                <w:rFonts w:ascii="Times New Roman" w:hAnsi="Times New Roman"/>
                <w:color w:val="000000"/>
              </w:rPr>
              <w:t>spowoduje</w:t>
            </w:r>
            <w:r>
              <w:rPr>
                <w:rFonts w:ascii="Times New Roman" w:hAnsi="Times New Roman"/>
                <w:color w:val="000000"/>
              </w:rPr>
              <w:t xml:space="preserve"> zwiększenia wydatków budżetowych związanych z koniecznością</w:t>
            </w:r>
            <w:r w:rsidRPr="00BB341D">
              <w:rPr>
                <w:rFonts w:ascii="Times New Roman" w:hAnsi="Times New Roman"/>
                <w:color w:val="000000"/>
              </w:rPr>
              <w:t xml:space="preserve"> utworzenia przez podmioty sektora publicznego </w:t>
            </w:r>
            <w:r w:rsidRPr="00BB341D">
              <w:rPr>
                <w:rFonts w:ascii="Times New Roman" w:hAnsi="Times New Roman"/>
                <w:color w:val="000000"/>
                <w:spacing w:val="-2"/>
              </w:rPr>
              <w:t>wewnętrznych kanałów dokonywania zgłoszeń</w:t>
            </w:r>
            <w:r>
              <w:rPr>
                <w:rFonts w:ascii="Times New Roman" w:hAnsi="Times New Roman"/>
                <w:color w:val="000000"/>
                <w:spacing w:val="-2"/>
              </w:rPr>
              <w:t xml:space="preserve">, </w:t>
            </w:r>
            <w:r w:rsidRPr="00452B55">
              <w:rPr>
                <w:rFonts w:ascii="Times New Roman" w:hAnsi="Times New Roman"/>
                <w:color w:val="000000"/>
                <w:spacing w:val="-2"/>
              </w:rPr>
              <w:t>ponieważ zadanie to</w:t>
            </w:r>
            <w:r w:rsidRPr="00452B55">
              <w:rPr>
                <w:rFonts w:ascii="Times New Roman" w:hAnsi="Times New Roman"/>
                <w:color w:val="000000"/>
                <w:shd w:val="clear" w:color="auto" w:fill="FFFFFF"/>
              </w:rPr>
              <w:t xml:space="preserve"> będzie realizowane w oparciu o dotychcza</w:t>
            </w:r>
            <w:r>
              <w:rPr>
                <w:rFonts w:ascii="Times New Roman" w:hAnsi="Times New Roman"/>
                <w:color w:val="000000"/>
                <w:shd w:val="clear" w:color="auto" w:fill="FFFFFF"/>
              </w:rPr>
              <w:t xml:space="preserve">sowe zasoby kadrowe i środki techniczne (sprzęt i </w:t>
            </w:r>
            <w:r w:rsidRPr="00452B55">
              <w:rPr>
                <w:rFonts w:ascii="Times New Roman" w:hAnsi="Times New Roman"/>
                <w:color w:val="000000"/>
                <w:shd w:val="clear" w:color="auto" w:fill="FFFFFF"/>
              </w:rPr>
              <w:t>systemy informatyczne).</w:t>
            </w:r>
            <w:r w:rsidRPr="00BB341D">
              <w:rPr>
                <w:rFonts w:ascii="Times New Roman" w:hAnsi="Times New Roman"/>
                <w:color w:val="000000"/>
                <w:spacing w:val="-2"/>
              </w:rPr>
              <w:t xml:space="preserve"> </w:t>
            </w:r>
          </w:p>
          <w:p w14:paraId="2C1ABF37" w14:textId="77777777" w:rsidR="00C017C1" w:rsidRPr="00956264" w:rsidRDefault="00C017C1" w:rsidP="00C017C1">
            <w:pPr>
              <w:spacing w:line="240" w:lineRule="auto"/>
              <w:jc w:val="both"/>
              <w:rPr>
                <w:rFonts w:ascii="Times New Roman" w:hAnsi="Times New Roman"/>
                <w:color w:val="000000"/>
                <w:spacing w:val="-2"/>
              </w:rPr>
            </w:pPr>
            <w:r w:rsidRPr="00956264">
              <w:rPr>
                <w:rFonts w:ascii="Times New Roman" w:hAnsi="Times New Roman"/>
                <w:color w:val="000000"/>
                <w:shd w:val="clear" w:color="auto" w:fill="FFFFFF"/>
              </w:rPr>
              <w:t>W zakresie podmiotów prywatnych i publicznych objętych obowiązkiem utworzenia rejestru zgłoszeń</w:t>
            </w:r>
            <w:r>
              <w:rPr>
                <w:rFonts w:ascii="Times New Roman" w:hAnsi="Times New Roman"/>
                <w:color w:val="000000"/>
                <w:shd w:val="clear" w:color="auto" w:fill="FFFFFF"/>
              </w:rPr>
              <w:t xml:space="preserve">, zgodnie z </w:t>
            </w:r>
            <w:r w:rsidRPr="00956264">
              <w:rPr>
                <w:rFonts w:ascii="Times New Roman" w:eastAsia="Times New Roman" w:hAnsi="Times New Roman"/>
                <w:lang w:eastAsia="pl-PL"/>
              </w:rPr>
              <w:t>art</w:t>
            </w:r>
            <w:r>
              <w:rPr>
                <w:rFonts w:ascii="Times New Roman" w:eastAsia="Times New Roman" w:hAnsi="Times New Roman"/>
                <w:lang w:eastAsia="pl-PL"/>
              </w:rPr>
              <w:t>.</w:t>
            </w:r>
            <w:r w:rsidRPr="00956264">
              <w:rPr>
                <w:rFonts w:ascii="Times New Roman" w:eastAsia="Times New Roman" w:hAnsi="Times New Roman"/>
                <w:lang w:eastAsia="pl-PL"/>
              </w:rPr>
              <w:t xml:space="preserve"> 18 dyrektywy 2019/1937</w:t>
            </w:r>
            <w:r w:rsidRPr="00956264">
              <w:rPr>
                <w:rFonts w:ascii="Times New Roman" w:hAnsi="Times New Roman"/>
                <w:color w:val="000000"/>
                <w:shd w:val="clear" w:color="auto" w:fill="FFFFFF"/>
              </w:rPr>
              <w:t xml:space="preserve">, </w:t>
            </w:r>
            <w:r>
              <w:rPr>
                <w:rFonts w:ascii="Times New Roman" w:hAnsi="Times New Roman"/>
                <w:color w:val="000000"/>
                <w:shd w:val="clear" w:color="auto" w:fill="FFFFFF"/>
              </w:rPr>
              <w:t>przyjęto</w:t>
            </w:r>
            <w:r w:rsidRPr="00956264">
              <w:rPr>
                <w:rFonts w:ascii="Times New Roman" w:hAnsi="Times New Roman"/>
                <w:color w:val="000000"/>
                <w:shd w:val="clear" w:color="auto" w:fill="FFFFFF"/>
              </w:rPr>
              <w:t xml:space="preserve">, że zadanie to będzie realizowane w oparciu o dotychczasowe </w:t>
            </w:r>
            <w:r>
              <w:rPr>
                <w:rFonts w:ascii="Times New Roman" w:hAnsi="Times New Roman"/>
                <w:color w:val="000000"/>
                <w:shd w:val="clear" w:color="auto" w:fill="FFFFFF"/>
              </w:rPr>
              <w:t xml:space="preserve">zasoby kadrowe i </w:t>
            </w:r>
            <w:r w:rsidRPr="00956264">
              <w:rPr>
                <w:rFonts w:ascii="Times New Roman" w:hAnsi="Times New Roman"/>
                <w:color w:val="000000"/>
                <w:shd w:val="clear" w:color="auto" w:fill="FFFFFF"/>
              </w:rPr>
              <w:t>środki techniczne (sprzęt, bazy danych, systemy informatyczne)</w:t>
            </w:r>
            <w:r>
              <w:rPr>
                <w:rFonts w:ascii="Times New Roman" w:hAnsi="Times New Roman"/>
                <w:color w:val="000000"/>
                <w:shd w:val="clear" w:color="auto" w:fill="FFFFFF"/>
              </w:rPr>
              <w:t xml:space="preserve"> i nie będzie generowało dodatkowych wydatków</w:t>
            </w:r>
            <w:r w:rsidRPr="00956264">
              <w:rPr>
                <w:rFonts w:ascii="Times New Roman" w:hAnsi="Times New Roman"/>
                <w:color w:val="000000"/>
                <w:shd w:val="clear" w:color="auto" w:fill="FFFFFF"/>
              </w:rPr>
              <w:t>.</w:t>
            </w:r>
          </w:p>
          <w:p w14:paraId="192677E6" w14:textId="77777777" w:rsidR="00C017C1" w:rsidRPr="00441047" w:rsidRDefault="00C017C1" w:rsidP="00733AC5">
            <w:pPr>
              <w:spacing w:line="240" w:lineRule="auto"/>
              <w:jc w:val="both"/>
              <w:rPr>
                <w:rFonts w:ascii="Times New Roman" w:hAnsi="Times New Roman"/>
                <w:color w:val="000000"/>
              </w:rPr>
            </w:pPr>
            <w:r w:rsidRPr="00BB341D">
              <w:rPr>
                <w:rFonts w:ascii="Times New Roman" w:hAnsi="Times New Roman"/>
                <w:color w:val="000000"/>
              </w:rPr>
              <w:lastRenderedPageBreak/>
              <w:t xml:space="preserve">Wejście w życie ustawy może spowodować zwiększenie </w:t>
            </w:r>
            <w:r>
              <w:rPr>
                <w:rFonts w:ascii="Times New Roman" w:hAnsi="Times New Roman"/>
                <w:color w:val="000000"/>
              </w:rPr>
              <w:t>liczby</w:t>
            </w:r>
            <w:r w:rsidRPr="00BB341D">
              <w:rPr>
                <w:rFonts w:ascii="Times New Roman" w:hAnsi="Times New Roman"/>
                <w:color w:val="000000"/>
              </w:rPr>
              <w:t xml:space="preserve"> spraw wpływających do sądów powszechnych</w:t>
            </w:r>
            <w:r>
              <w:rPr>
                <w:rFonts w:ascii="Times New Roman" w:hAnsi="Times New Roman"/>
                <w:color w:val="000000"/>
              </w:rPr>
              <w:t>, przede wszystkim sądów pracy</w:t>
            </w:r>
            <w:r w:rsidRPr="00BB341D">
              <w:rPr>
                <w:rFonts w:ascii="Times New Roman" w:hAnsi="Times New Roman"/>
                <w:color w:val="000000"/>
              </w:rPr>
              <w:t>. Na obecnym etapie prac nie można oszacować zwiększenia obciążenia sądów powszechnych.</w:t>
            </w:r>
          </w:p>
        </w:tc>
      </w:tr>
      <w:tr w:rsidR="00C017C1" w:rsidRPr="008B4FE6" w14:paraId="765779F1" w14:textId="77777777" w:rsidTr="00B236F6">
        <w:trPr>
          <w:gridAfter w:val="1"/>
          <w:wAfter w:w="10" w:type="dxa"/>
          <w:trHeight w:val="345"/>
        </w:trPr>
        <w:tc>
          <w:tcPr>
            <w:tcW w:w="11050" w:type="dxa"/>
            <w:gridSpan w:val="29"/>
            <w:shd w:val="clear" w:color="auto" w:fill="99CCFF"/>
          </w:tcPr>
          <w:p w14:paraId="6DABE405" w14:textId="77777777" w:rsidR="00C017C1" w:rsidRPr="008B4FE6" w:rsidRDefault="00C017C1" w:rsidP="00C017C1">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C017C1" w:rsidRPr="008B4FE6" w14:paraId="09E563CC" w14:textId="77777777" w:rsidTr="00B236F6">
        <w:trPr>
          <w:gridAfter w:val="1"/>
          <w:wAfter w:w="10" w:type="dxa"/>
          <w:trHeight w:val="142"/>
        </w:trPr>
        <w:tc>
          <w:tcPr>
            <w:tcW w:w="11050" w:type="dxa"/>
            <w:gridSpan w:val="29"/>
            <w:shd w:val="clear" w:color="auto" w:fill="FFFFFF"/>
          </w:tcPr>
          <w:p w14:paraId="14EE0292" w14:textId="77777777" w:rsidR="00C017C1" w:rsidRPr="00301959" w:rsidRDefault="00C017C1" w:rsidP="00C017C1">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C017C1" w:rsidRPr="008B4FE6" w14:paraId="1836E226" w14:textId="77777777" w:rsidTr="00B236F6">
        <w:trPr>
          <w:gridAfter w:val="1"/>
          <w:wAfter w:w="10" w:type="dxa"/>
          <w:trHeight w:val="142"/>
        </w:trPr>
        <w:tc>
          <w:tcPr>
            <w:tcW w:w="4002" w:type="dxa"/>
            <w:gridSpan w:val="7"/>
            <w:shd w:val="clear" w:color="auto" w:fill="FFFFFF"/>
          </w:tcPr>
          <w:p w14:paraId="40324AE6"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64701F76"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3C73DDC4"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440F7142"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1F78CEA4"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789C1F00"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185E3066" w14:textId="77777777" w:rsidR="00C017C1" w:rsidRPr="00301959" w:rsidRDefault="00C017C1" w:rsidP="00C017C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70737405" w14:textId="77777777" w:rsidR="00C017C1" w:rsidRPr="001B3460" w:rsidRDefault="00C017C1" w:rsidP="00C017C1">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C017C1" w:rsidRPr="008B4FE6" w14:paraId="1A69B95F" w14:textId="77777777" w:rsidTr="00B236F6">
        <w:trPr>
          <w:gridAfter w:val="1"/>
          <w:wAfter w:w="10" w:type="dxa"/>
          <w:trHeight w:val="142"/>
        </w:trPr>
        <w:tc>
          <w:tcPr>
            <w:tcW w:w="1709" w:type="dxa"/>
            <w:vMerge w:val="restart"/>
            <w:shd w:val="clear" w:color="auto" w:fill="FFFFFF"/>
          </w:tcPr>
          <w:p w14:paraId="0C8E88E0" w14:textId="77777777" w:rsidR="00C017C1" w:rsidRDefault="00C017C1" w:rsidP="00C017C1">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5325AE46" w14:textId="77777777" w:rsidR="00C017C1" w:rsidRDefault="00C017C1" w:rsidP="00C017C1">
            <w:pPr>
              <w:rPr>
                <w:rFonts w:ascii="Times New Roman" w:hAnsi="Times New Roman"/>
                <w:spacing w:val="-2"/>
                <w:sz w:val="21"/>
                <w:szCs w:val="21"/>
              </w:rPr>
            </w:pPr>
            <w:r>
              <w:rPr>
                <w:rFonts w:ascii="Times New Roman" w:hAnsi="Times New Roman"/>
                <w:spacing w:val="-2"/>
                <w:sz w:val="21"/>
                <w:szCs w:val="21"/>
              </w:rPr>
              <w:t xml:space="preserve">(w mln zł, </w:t>
            </w:r>
          </w:p>
          <w:p w14:paraId="679B9668" w14:textId="77777777" w:rsidR="00C017C1" w:rsidRPr="00301959" w:rsidRDefault="00C017C1" w:rsidP="00C017C1">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6"/>
            <w:shd w:val="clear" w:color="auto" w:fill="FFFFFF"/>
          </w:tcPr>
          <w:p w14:paraId="56E611F6"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534BDFB6"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5"/>
            <w:shd w:val="clear" w:color="auto" w:fill="FFFFFF"/>
          </w:tcPr>
          <w:p w14:paraId="20D21EB0"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4"/>
            <w:shd w:val="clear" w:color="auto" w:fill="FFFFFF"/>
          </w:tcPr>
          <w:p w14:paraId="37F00A0C" w14:textId="77777777" w:rsidR="00C017C1" w:rsidRPr="00B37C80" w:rsidRDefault="00C017C1" w:rsidP="00C017C1">
            <w:pPr>
              <w:spacing w:line="240" w:lineRule="auto"/>
              <w:rPr>
                <w:rFonts w:ascii="Times New Roman" w:hAnsi="Times New Roman"/>
                <w:color w:val="000000"/>
                <w:sz w:val="21"/>
                <w:szCs w:val="21"/>
              </w:rPr>
            </w:pPr>
          </w:p>
        </w:tc>
        <w:tc>
          <w:tcPr>
            <w:tcW w:w="937" w:type="dxa"/>
            <w:gridSpan w:val="3"/>
            <w:shd w:val="clear" w:color="auto" w:fill="FFFFFF"/>
          </w:tcPr>
          <w:p w14:paraId="0EBE4C79"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4"/>
            <w:shd w:val="clear" w:color="auto" w:fill="FFFFFF"/>
          </w:tcPr>
          <w:p w14:paraId="358876D4"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3"/>
            <w:shd w:val="clear" w:color="auto" w:fill="FFFFFF"/>
          </w:tcPr>
          <w:p w14:paraId="4F4377AF" w14:textId="77777777" w:rsidR="00C017C1" w:rsidRPr="00B37C80" w:rsidRDefault="00C017C1" w:rsidP="00C017C1">
            <w:pPr>
              <w:spacing w:line="240" w:lineRule="auto"/>
              <w:rPr>
                <w:rFonts w:ascii="Times New Roman" w:hAnsi="Times New Roman"/>
                <w:color w:val="000000"/>
                <w:sz w:val="21"/>
                <w:szCs w:val="21"/>
              </w:rPr>
            </w:pPr>
          </w:p>
        </w:tc>
        <w:tc>
          <w:tcPr>
            <w:tcW w:w="1422" w:type="dxa"/>
            <w:shd w:val="clear" w:color="auto" w:fill="FFFFFF"/>
          </w:tcPr>
          <w:p w14:paraId="6A535827" w14:textId="77777777" w:rsidR="00C017C1" w:rsidRPr="00B37C80" w:rsidRDefault="00C017C1" w:rsidP="00C017C1">
            <w:pPr>
              <w:spacing w:line="240" w:lineRule="auto"/>
              <w:rPr>
                <w:rFonts w:ascii="Times New Roman" w:hAnsi="Times New Roman"/>
                <w:color w:val="000000"/>
                <w:spacing w:val="-2"/>
                <w:sz w:val="21"/>
                <w:szCs w:val="21"/>
              </w:rPr>
            </w:pPr>
          </w:p>
        </w:tc>
      </w:tr>
      <w:tr w:rsidR="00C017C1" w:rsidRPr="008B4FE6" w14:paraId="4B955990" w14:textId="77777777" w:rsidTr="00B236F6">
        <w:trPr>
          <w:gridAfter w:val="1"/>
          <w:wAfter w:w="10" w:type="dxa"/>
          <w:trHeight w:val="142"/>
        </w:trPr>
        <w:tc>
          <w:tcPr>
            <w:tcW w:w="1709" w:type="dxa"/>
            <w:vMerge/>
            <w:shd w:val="clear" w:color="auto" w:fill="FFFFFF"/>
          </w:tcPr>
          <w:p w14:paraId="64F925E2" w14:textId="77777777" w:rsidR="00C017C1" w:rsidRPr="00301959" w:rsidRDefault="00C017C1" w:rsidP="00C017C1">
            <w:pPr>
              <w:spacing w:line="240" w:lineRule="auto"/>
              <w:rPr>
                <w:rFonts w:ascii="Times New Roman" w:hAnsi="Times New Roman"/>
                <w:color w:val="000000"/>
                <w:sz w:val="21"/>
                <w:szCs w:val="21"/>
              </w:rPr>
            </w:pPr>
          </w:p>
        </w:tc>
        <w:tc>
          <w:tcPr>
            <w:tcW w:w="2293" w:type="dxa"/>
            <w:gridSpan w:val="6"/>
            <w:shd w:val="clear" w:color="auto" w:fill="FFFFFF"/>
          </w:tcPr>
          <w:p w14:paraId="452F4E08"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42D15735"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5"/>
            <w:shd w:val="clear" w:color="auto" w:fill="FFFFFF"/>
          </w:tcPr>
          <w:p w14:paraId="740B5EF9"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4"/>
            <w:shd w:val="clear" w:color="auto" w:fill="FFFFFF"/>
          </w:tcPr>
          <w:p w14:paraId="734764AC" w14:textId="77777777" w:rsidR="00C017C1" w:rsidRPr="00B37C80" w:rsidRDefault="00C017C1" w:rsidP="00C017C1">
            <w:pPr>
              <w:spacing w:line="240" w:lineRule="auto"/>
              <w:rPr>
                <w:rFonts w:ascii="Times New Roman" w:hAnsi="Times New Roman"/>
                <w:color w:val="000000"/>
                <w:sz w:val="21"/>
                <w:szCs w:val="21"/>
              </w:rPr>
            </w:pPr>
          </w:p>
        </w:tc>
        <w:tc>
          <w:tcPr>
            <w:tcW w:w="937" w:type="dxa"/>
            <w:gridSpan w:val="3"/>
            <w:shd w:val="clear" w:color="auto" w:fill="FFFFFF"/>
          </w:tcPr>
          <w:p w14:paraId="14EE222F"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4"/>
            <w:shd w:val="clear" w:color="auto" w:fill="FFFFFF"/>
          </w:tcPr>
          <w:p w14:paraId="0EA216C1" w14:textId="77777777" w:rsidR="00C017C1" w:rsidRPr="00B37C80" w:rsidRDefault="00C017C1" w:rsidP="00C017C1">
            <w:pPr>
              <w:spacing w:line="240" w:lineRule="auto"/>
              <w:rPr>
                <w:rFonts w:ascii="Times New Roman" w:hAnsi="Times New Roman"/>
                <w:color w:val="000000"/>
                <w:sz w:val="21"/>
                <w:szCs w:val="21"/>
              </w:rPr>
            </w:pPr>
          </w:p>
        </w:tc>
        <w:tc>
          <w:tcPr>
            <w:tcW w:w="938" w:type="dxa"/>
            <w:gridSpan w:val="3"/>
            <w:shd w:val="clear" w:color="auto" w:fill="FFFFFF"/>
          </w:tcPr>
          <w:p w14:paraId="7B4FADFF" w14:textId="77777777" w:rsidR="00C017C1" w:rsidRPr="00B37C80" w:rsidRDefault="00C017C1" w:rsidP="00C017C1">
            <w:pPr>
              <w:spacing w:line="240" w:lineRule="auto"/>
              <w:rPr>
                <w:rFonts w:ascii="Times New Roman" w:hAnsi="Times New Roman"/>
                <w:color w:val="000000"/>
                <w:sz w:val="21"/>
                <w:szCs w:val="21"/>
              </w:rPr>
            </w:pPr>
          </w:p>
        </w:tc>
        <w:tc>
          <w:tcPr>
            <w:tcW w:w="1422" w:type="dxa"/>
            <w:shd w:val="clear" w:color="auto" w:fill="FFFFFF"/>
          </w:tcPr>
          <w:p w14:paraId="3AD2FF35" w14:textId="77777777" w:rsidR="00C017C1" w:rsidRPr="00B37C80" w:rsidRDefault="00C017C1" w:rsidP="00C017C1">
            <w:pPr>
              <w:spacing w:line="240" w:lineRule="auto"/>
              <w:rPr>
                <w:rFonts w:ascii="Times New Roman" w:hAnsi="Times New Roman"/>
                <w:color w:val="000000"/>
                <w:spacing w:val="-2"/>
                <w:sz w:val="21"/>
                <w:szCs w:val="21"/>
              </w:rPr>
            </w:pPr>
          </w:p>
        </w:tc>
      </w:tr>
      <w:tr w:rsidR="00C017C1" w:rsidRPr="008B4FE6" w14:paraId="7660123D" w14:textId="77777777" w:rsidTr="00B236F6">
        <w:trPr>
          <w:gridAfter w:val="1"/>
          <w:wAfter w:w="10" w:type="dxa"/>
          <w:trHeight w:val="142"/>
        </w:trPr>
        <w:tc>
          <w:tcPr>
            <w:tcW w:w="1709" w:type="dxa"/>
            <w:vMerge/>
            <w:shd w:val="clear" w:color="auto" w:fill="FFFFFF"/>
          </w:tcPr>
          <w:p w14:paraId="3B99C3D4" w14:textId="77777777" w:rsidR="00C017C1" w:rsidRPr="00301959" w:rsidRDefault="00C017C1" w:rsidP="00C017C1">
            <w:pPr>
              <w:spacing w:line="240" w:lineRule="auto"/>
              <w:rPr>
                <w:rFonts w:ascii="Times New Roman" w:hAnsi="Times New Roman"/>
                <w:color w:val="000000"/>
                <w:sz w:val="21"/>
                <w:szCs w:val="21"/>
              </w:rPr>
            </w:pPr>
          </w:p>
        </w:tc>
        <w:tc>
          <w:tcPr>
            <w:tcW w:w="2293" w:type="dxa"/>
            <w:gridSpan w:val="6"/>
            <w:shd w:val="clear" w:color="auto" w:fill="FFFFFF"/>
          </w:tcPr>
          <w:p w14:paraId="14FA5FAE" w14:textId="77777777" w:rsidR="00C017C1" w:rsidRPr="00301959" w:rsidRDefault="00C017C1" w:rsidP="00C017C1">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64354A82"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6B78552F"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0268E4DD"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0D209E46"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7648873"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26D363E9" w14:textId="77777777" w:rsidR="00C017C1" w:rsidRPr="00B37C80" w:rsidRDefault="00C017C1" w:rsidP="00C017C1">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16AC986C" w14:textId="77777777" w:rsidR="00C017C1" w:rsidRPr="00B37C80" w:rsidRDefault="00C017C1" w:rsidP="00C017C1">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C017C1" w:rsidRPr="008B4FE6" w14:paraId="3290B07B" w14:textId="77777777" w:rsidTr="00B236F6">
        <w:trPr>
          <w:gridAfter w:val="1"/>
          <w:wAfter w:w="10" w:type="dxa"/>
          <w:trHeight w:val="142"/>
        </w:trPr>
        <w:tc>
          <w:tcPr>
            <w:tcW w:w="1709" w:type="dxa"/>
            <w:vMerge w:val="restart"/>
            <w:shd w:val="clear" w:color="auto" w:fill="FFFFFF"/>
          </w:tcPr>
          <w:p w14:paraId="5EA8B867"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09B72635"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52416A1D" w14:textId="77777777" w:rsidR="00C017C1" w:rsidRPr="00B37C80" w:rsidRDefault="00C017C1" w:rsidP="00C017C1">
            <w:pPr>
              <w:spacing w:line="240" w:lineRule="auto"/>
              <w:jc w:val="both"/>
              <w:rPr>
                <w:rFonts w:ascii="Times New Roman" w:hAnsi="Times New Roman"/>
                <w:color w:val="000000"/>
                <w:spacing w:val="-2"/>
                <w:sz w:val="21"/>
                <w:szCs w:val="21"/>
              </w:rPr>
            </w:pPr>
          </w:p>
        </w:tc>
      </w:tr>
      <w:tr w:rsidR="00C017C1" w:rsidRPr="008B4FE6" w14:paraId="046151D6" w14:textId="77777777" w:rsidTr="00B236F6">
        <w:trPr>
          <w:gridAfter w:val="1"/>
          <w:wAfter w:w="10" w:type="dxa"/>
          <w:trHeight w:val="142"/>
        </w:trPr>
        <w:tc>
          <w:tcPr>
            <w:tcW w:w="1709" w:type="dxa"/>
            <w:vMerge/>
            <w:shd w:val="clear" w:color="auto" w:fill="FFFFFF"/>
          </w:tcPr>
          <w:p w14:paraId="73CF1F45" w14:textId="77777777" w:rsidR="00C017C1" w:rsidRPr="00301959" w:rsidRDefault="00C017C1" w:rsidP="00C017C1">
            <w:pPr>
              <w:spacing w:line="240" w:lineRule="auto"/>
              <w:rPr>
                <w:rFonts w:ascii="Times New Roman" w:hAnsi="Times New Roman"/>
                <w:color w:val="000000"/>
                <w:sz w:val="21"/>
                <w:szCs w:val="21"/>
              </w:rPr>
            </w:pPr>
          </w:p>
        </w:tc>
        <w:tc>
          <w:tcPr>
            <w:tcW w:w="2293" w:type="dxa"/>
            <w:gridSpan w:val="6"/>
            <w:shd w:val="clear" w:color="auto" w:fill="FFFFFF"/>
          </w:tcPr>
          <w:p w14:paraId="6BEF89EF"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5F8B7701" w14:textId="77777777" w:rsidR="00C017C1" w:rsidRPr="00B37C80" w:rsidRDefault="00C017C1" w:rsidP="00C017C1">
            <w:pPr>
              <w:spacing w:line="240" w:lineRule="auto"/>
              <w:jc w:val="both"/>
              <w:rPr>
                <w:rFonts w:ascii="Times New Roman" w:hAnsi="Times New Roman"/>
                <w:color w:val="000000"/>
                <w:spacing w:val="-2"/>
                <w:sz w:val="21"/>
                <w:szCs w:val="21"/>
              </w:rPr>
            </w:pPr>
          </w:p>
        </w:tc>
      </w:tr>
      <w:tr w:rsidR="00C017C1" w:rsidRPr="008B4FE6" w14:paraId="04C5A197" w14:textId="77777777" w:rsidTr="00B236F6">
        <w:trPr>
          <w:gridAfter w:val="1"/>
          <w:wAfter w:w="10" w:type="dxa"/>
          <w:trHeight w:val="596"/>
        </w:trPr>
        <w:tc>
          <w:tcPr>
            <w:tcW w:w="1709" w:type="dxa"/>
            <w:vMerge/>
            <w:shd w:val="clear" w:color="auto" w:fill="FFFFFF"/>
          </w:tcPr>
          <w:p w14:paraId="248D2482" w14:textId="77777777" w:rsidR="00C017C1" w:rsidRPr="00301959" w:rsidRDefault="00C017C1" w:rsidP="00C017C1">
            <w:pPr>
              <w:spacing w:line="240" w:lineRule="auto"/>
              <w:rPr>
                <w:rFonts w:ascii="Times New Roman" w:hAnsi="Times New Roman"/>
                <w:color w:val="000000"/>
                <w:sz w:val="21"/>
                <w:szCs w:val="21"/>
              </w:rPr>
            </w:pPr>
          </w:p>
        </w:tc>
        <w:tc>
          <w:tcPr>
            <w:tcW w:w="2293" w:type="dxa"/>
            <w:gridSpan w:val="6"/>
            <w:shd w:val="clear" w:color="auto" w:fill="FFFFFF"/>
          </w:tcPr>
          <w:p w14:paraId="55BE57AE" w14:textId="77777777" w:rsidR="00C017C1" w:rsidRPr="00301959" w:rsidRDefault="00C017C1" w:rsidP="00C017C1">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14:paraId="0236A0DB" w14:textId="77777777" w:rsidR="00C017C1" w:rsidRDefault="00C017C1" w:rsidP="00C017C1">
            <w:pPr>
              <w:spacing w:line="240" w:lineRule="auto"/>
              <w:jc w:val="both"/>
              <w:rPr>
                <w:rFonts w:ascii="Times New Roman" w:hAnsi="Times New Roman"/>
                <w:color w:val="000000"/>
                <w:spacing w:val="-2"/>
                <w:sz w:val="21"/>
                <w:szCs w:val="21"/>
              </w:rPr>
            </w:pPr>
            <w:r w:rsidRPr="000F2593">
              <w:rPr>
                <w:rFonts w:ascii="Times New Roman" w:hAnsi="Times New Roman"/>
                <w:color w:val="000000"/>
                <w:spacing w:val="-2"/>
              </w:rPr>
              <w:t>Wejście w życie ustawy nie wpłynie na sytuację ekonomiczną i społeczną rodziny, a także osób niepełnosprawnych oraz osób starszych.</w:t>
            </w:r>
          </w:p>
        </w:tc>
      </w:tr>
      <w:tr w:rsidR="00C017C1" w:rsidRPr="008B4FE6" w14:paraId="122B360A" w14:textId="77777777" w:rsidTr="00B236F6">
        <w:trPr>
          <w:gridAfter w:val="1"/>
          <w:wAfter w:w="10" w:type="dxa"/>
          <w:trHeight w:val="142"/>
        </w:trPr>
        <w:tc>
          <w:tcPr>
            <w:tcW w:w="1709" w:type="dxa"/>
            <w:vMerge w:val="restart"/>
            <w:shd w:val="clear" w:color="auto" w:fill="FFFFFF"/>
          </w:tcPr>
          <w:p w14:paraId="2CD4E1E5"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7DEAD5F6"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 duże przedsiębiorstwa</w:t>
            </w:r>
          </w:p>
        </w:tc>
        <w:tc>
          <w:tcPr>
            <w:tcW w:w="7048" w:type="dxa"/>
            <w:gridSpan w:val="22"/>
            <w:shd w:val="clear" w:color="auto" w:fill="FFFFFF"/>
          </w:tcPr>
          <w:p w14:paraId="351F2FC6" w14:textId="77777777" w:rsidR="00E34DFE" w:rsidRDefault="00C017C1" w:rsidP="00C017C1">
            <w:pPr>
              <w:spacing w:line="240" w:lineRule="auto"/>
              <w:jc w:val="both"/>
              <w:rPr>
                <w:rFonts w:ascii="Times New Roman" w:eastAsia="Times New Roman" w:hAnsi="Times New Roman"/>
                <w:color w:val="000000"/>
                <w:spacing w:val="-2"/>
                <w:lang w:eastAsia="pl-PL"/>
              </w:rPr>
            </w:pPr>
            <w:r w:rsidRPr="002C027C">
              <w:rPr>
                <w:rFonts w:ascii="Times New Roman" w:eastAsia="Times New Roman" w:hAnsi="Times New Roman"/>
                <w:color w:val="000000"/>
                <w:spacing w:val="-2"/>
                <w:lang w:eastAsia="pl-PL"/>
              </w:rPr>
              <w:t>Zobowiązanie dużych przedsiębiorstw do zapewnienia ochrony sygnalistom poprzez obowiązek ustanowienia wewnętrznych procedur dokonywania zgłoszeń naruszeń.</w:t>
            </w:r>
            <w:r w:rsidR="00015DF5">
              <w:rPr>
                <w:rFonts w:ascii="Times New Roman" w:eastAsia="Times New Roman" w:hAnsi="Times New Roman"/>
                <w:color w:val="000000"/>
                <w:spacing w:val="-2"/>
                <w:lang w:eastAsia="pl-PL"/>
              </w:rPr>
              <w:t xml:space="preserve"> Polegać </w:t>
            </w:r>
            <w:r w:rsidR="000C6FB4">
              <w:rPr>
                <w:rFonts w:ascii="Times New Roman" w:eastAsia="Times New Roman" w:hAnsi="Times New Roman"/>
                <w:color w:val="000000"/>
                <w:spacing w:val="-2"/>
                <w:lang w:eastAsia="pl-PL"/>
              </w:rPr>
              <w:t>on</w:t>
            </w:r>
            <w:r w:rsidR="00015DF5">
              <w:rPr>
                <w:rFonts w:ascii="Times New Roman" w:eastAsia="Times New Roman" w:hAnsi="Times New Roman"/>
                <w:color w:val="000000"/>
                <w:spacing w:val="-2"/>
                <w:lang w:eastAsia="pl-PL"/>
              </w:rPr>
              <w:t xml:space="preserve"> będzie w szczególności na konieczności wyznaczenia wewnętrznej jednostki organizacyjnej lub osoby (osób) lub zawarcie umowy z podmiotem zewnętrznym, które będą przyjmowały zgłoszenia wewnętrzne oraz podejmowały działania następcze, jak również prowadziły rejestr zgłoszeń wewnętrznych. Dodatkowo, konieczne będzie stworzenie odpowiednich kanałów zgłoszeń (umożliwiających zgłoszenie ustne, pisemne lub w postaci elektronicznej) oraz stworzenie właściwych zabezpieczeń celem ochrony poufności tożsamości osoby dokonującej zgłoszenia, osoby, której dotyczy zgłoszeni</w:t>
            </w:r>
            <w:r w:rsidR="00E34DFE">
              <w:rPr>
                <w:rFonts w:ascii="Times New Roman" w:eastAsia="Times New Roman" w:hAnsi="Times New Roman"/>
                <w:color w:val="000000"/>
                <w:spacing w:val="-2"/>
                <w:lang w:eastAsia="pl-PL"/>
              </w:rPr>
              <w:t>e</w:t>
            </w:r>
            <w:r w:rsidR="00015DF5">
              <w:rPr>
                <w:rFonts w:ascii="Times New Roman" w:eastAsia="Times New Roman" w:hAnsi="Times New Roman"/>
                <w:color w:val="000000"/>
                <w:spacing w:val="-2"/>
                <w:lang w:eastAsia="pl-PL"/>
              </w:rPr>
              <w:t xml:space="preserve"> oraz </w:t>
            </w:r>
            <w:r w:rsidR="00E34DFE">
              <w:rPr>
                <w:rFonts w:ascii="Times New Roman" w:eastAsia="Times New Roman" w:hAnsi="Times New Roman"/>
                <w:color w:val="000000"/>
                <w:spacing w:val="-2"/>
                <w:lang w:eastAsia="pl-PL"/>
              </w:rPr>
              <w:t>osoby trzeciej wskazanej w zgłoszeniu. Procedura dokonywania zgłoszeń naruszeń będzie musiała zawierać wszystkie elementy określone w projekcie oraz zostać przekazan</w:t>
            </w:r>
            <w:r w:rsidR="000C6FB4">
              <w:rPr>
                <w:rFonts w:ascii="Times New Roman" w:eastAsia="Times New Roman" w:hAnsi="Times New Roman"/>
                <w:color w:val="000000"/>
                <w:spacing w:val="-2"/>
                <w:lang w:eastAsia="pl-PL"/>
              </w:rPr>
              <w:t>ą</w:t>
            </w:r>
            <w:r w:rsidR="00E34DFE">
              <w:rPr>
                <w:rFonts w:ascii="Times New Roman" w:eastAsia="Times New Roman" w:hAnsi="Times New Roman"/>
                <w:color w:val="000000"/>
                <w:spacing w:val="-2"/>
                <w:lang w:eastAsia="pl-PL"/>
              </w:rPr>
              <w:t xml:space="preserve"> w odpowiedni sposób do wiadomości osób wykonujących pracę w danym przedsiębiorstwie. </w:t>
            </w:r>
          </w:p>
          <w:p w14:paraId="0878824B" w14:textId="77777777" w:rsidR="00C017C1" w:rsidRPr="002C027C" w:rsidRDefault="00C017C1" w:rsidP="00C017C1">
            <w:pPr>
              <w:spacing w:before="120" w:line="240" w:lineRule="auto"/>
              <w:jc w:val="both"/>
              <w:rPr>
                <w:rFonts w:ascii="Times New Roman" w:eastAsia="Times New Roman" w:hAnsi="Times New Roman"/>
                <w:lang w:eastAsia="pl-PL"/>
              </w:rPr>
            </w:pPr>
            <w:r>
              <w:rPr>
                <w:rFonts w:ascii="Times New Roman" w:eastAsia="Times New Roman" w:hAnsi="Times New Roman"/>
                <w:lang w:eastAsia="pl-PL"/>
              </w:rPr>
              <w:t>Z uwagi na fakt, że projekt dotyczy wdrożenia przepisów dyrektywy, nie szacowano oddzielnie potencjalnych kosztów dla przedsiębiorców związanych z ustanowieniem takich mechanizmów. Poniżej, w sekcji „Dodatkowe informacje (...)” przedstawiono szacunki, które zostały zawarte w uzasadnieniu do projektu dyrektywy w 2018 r.</w:t>
            </w:r>
          </w:p>
        </w:tc>
      </w:tr>
      <w:tr w:rsidR="00C017C1" w:rsidRPr="008B4FE6" w14:paraId="19C1E09D" w14:textId="77777777" w:rsidTr="00B236F6">
        <w:trPr>
          <w:gridAfter w:val="1"/>
          <w:wAfter w:w="10" w:type="dxa"/>
          <w:trHeight w:val="142"/>
        </w:trPr>
        <w:tc>
          <w:tcPr>
            <w:tcW w:w="1709" w:type="dxa"/>
            <w:vMerge/>
            <w:shd w:val="clear" w:color="auto" w:fill="FFFFFF"/>
          </w:tcPr>
          <w:p w14:paraId="1EC4D95A" w14:textId="77777777" w:rsidR="00C017C1" w:rsidRPr="00301959" w:rsidRDefault="00C017C1" w:rsidP="00C017C1">
            <w:pPr>
              <w:spacing w:line="240" w:lineRule="auto"/>
              <w:rPr>
                <w:rFonts w:ascii="Times New Roman" w:hAnsi="Times New Roman"/>
                <w:color w:val="000000"/>
                <w:sz w:val="21"/>
                <w:szCs w:val="21"/>
              </w:rPr>
            </w:pPr>
          </w:p>
        </w:tc>
        <w:tc>
          <w:tcPr>
            <w:tcW w:w="2293" w:type="dxa"/>
            <w:gridSpan w:val="6"/>
            <w:shd w:val="clear" w:color="auto" w:fill="FFFFFF"/>
          </w:tcPr>
          <w:p w14:paraId="00D3229F" w14:textId="77777777" w:rsidR="00C017C1" w:rsidRPr="00301959" w:rsidDel="006616C2"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3EE3E7D5" w14:textId="77777777" w:rsidR="00E34DFE" w:rsidRDefault="00C017C1" w:rsidP="00E34DFE">
            <w:pPr>
              <w:spacing w:line="240" w:lineRule="auto"/>
              <w:jc w:val="both"/>
              <w:rPr>
                <w:rFonts w:ascii="Times New Roman" w:eastAsia="Times New Roman" w:hAnsi="Times New Roman"/>
                <w:color w:val="000000"/>
                <w:spacing w:val="-2"/>
                <w:lang w:eastAsia="pl-PL"/>
              </w:rPr>
            </w:pPr>
            <w:r w:rsidRPr="002C027C">
              <w:rPr>
                <w:rFonts w:ascii="Times New Roman" w:hAnsi="Times New Roman"/>
                <w:color w:val="000000"/>
                <w:spacing w:val="-2"/>
              </w:rPr>
              <w:t>Zobowiązanie niektórych przedsiębiorstw do zapewnienia ochrony sygnalistom poprzez obowiązek ustanowienia wewnętrznych procedur dokonywania zgłoszeń naruszeń.</w:t>
            </w:r>
            <w:r w:rsidR="00E34DFE">
              <w:rPr>
                <w:rFonts w:ascii="Times New Roman" w:hAnsi="Times New Roman"/>
                <w:color w:val="000000"/>
                <w:spacing w:val="-2"/>
              </w:rPr>
              <w:t xml:space="preserve"> </w:t>
            </w:r>
            <w:r w:rsidR="00E34DFE">
              <w:rPr>
                <w:rFonts w:ascii="Times New Roman" w:eastAsia="Times New Roman" w:hAnsi="Times New Roman"/>
                <w:color w:val="000000"/>
                <w:spacing w:val="-2"/>
                <w:lang w:eastAsia="pl-PL"/>
              </w:rPr>
              <w:t xml:space="preserve">Polegać </w:t>
            </w:r>
            <w:r w:rsidR="000C6FB4">
              <w:rPr>
                <w:rFonts w:ascii="Times New Roman" w:eastAsia="Times New Roman" w:hAnsi="Times New Roman"/>
                <w:color w:val="000000"/>
                <w:spacing w:val="-2"/>
                <w:lang w:eastAsia="pl-PL"/>
              </w:rPr>
              <w:t>on</w:t>
            </w:r>
            <w:r w:rsidR="00E34DFE">
              <w:rPr>
                <w:rFonts w:ascii="Times New Roman" w:eastAsia="Times New Roman" w:hAnsi="Times New Roman"/>
                <w:color w:val="000000"/>
                <w:spacing w:val="-2"/>
                <w:lang w:eastAsia="pl-PL"/>
              </w:rPr>
              <w:t xml:space="preserve"> będzie w szczególności na konieczności wyznaczenia wewnętrznej jednostki organizacyjnej lub osoby (osób) lub zawarcie umowy z podmiotem zewnętrznym, które będą przyjmowały zgłoszenia wewnętrzne oraz podejmowały działania następcze, jak również prowadziły rejestr zgłoszeń wewnętrznych. Dodatkowo, konieczne będzie stworzenie odpowiednich kanałów zgłoszeń (umożliwiających zgłoszenie ustne, pisemne lub w postaci elektronicznej) oraz stworzenie właściwych zabezpieczeń celem ochrony poufności tożsamości osoby dokonującej zgłoszenia, osoby, której dotyczy zgłoszenie oraz osoby trzeciej wskazanej w zgłoszeniu. Procedura dokonywania zgłoszeń naruszeń będzie musiała zawierać wszystkie elementy określone w projekcie oraz zostać przekazan</w:t>
            </w:r>
            <w:r w:rsidR="000C6FB4">
              <w:rPr>
                <w:rFonts w:ascii="Times New Roman" w:eastAsia="Times New Roman" w:hAnsi="Times New Roman"/>
                <w:color w:val="000000"/>
                <w:spacing w:val="-2"/>
                <w:lang w:eastAsia="pl-PL"/>
              </w:rPr>
              <w:t>ą</w:t>
            </w:r>
            <w:r w:rsidR="00E34DFE">
              <w:rPr>
                <w:rFonts w:ascii="Times New Roman" w:eastAsia="Times New Roman" w:hAnsi="Times New Roman"/>
                <w:color w:val="000000"/>
                <w:spacing w:val="-2"/>
                <w:lang w:eastAsia="pl-PL"/>
              </w:rPr>
              <w:t xml:space="preserve"> w odpowiedni sposób do wiadomości osób wykonujących pracę w danym przedsiębiorstwie. </w:t>
            </w:r>
          </w:p>
          <w:p w14:paraId="4841A774" w14:textId="77777777" w:rsidR="00C017C1" w:rsidRPr="002C027C" w:rsidRDefault="00C017C1" w:rsidP="00C017C1">
            <w:pPr>
              <w:spacing w:before="120" w:line="240" w:lineRule="auto"/>
              <w:jc w:val="both"/>
              <w:rPr>
                <w:rFonts w:ascii="Times New Roman" w:hAnsi="Times New Roman"/>
                <w:color w:val="000000"/>
                <w:spacing w:val="-2"/>
              </w:rPr>
            </w:pPr>
            <w:r>
              <w:rPr>
                <w:rFonts w:ascii="Times New Roman" w:eastAsia="Times New Roman" w:hAnsi="Times New Roman"/>
                <w:lang w:eastAsia="pl-PL"/>
              </w:rPr>
              <w:t xml:space="preserve">Z uwagi na fakt, że projekt dotyczy wdrożenia przepisów dyrektywy, nie szacowano oddzielnie potencjalnych kosztów dla przedsiębiorców związanych z ustanowieniem takich mechanizmów. Poniżej, w sekcji </w:t>
            </w:r>
            <w:r>
              <w:rPr>
                <w:rFonts w:ascii="Times New Roman" w:eastAsia="Times New Roman" w:hAnsi="Times New Roman"/>
                <w:lang w:eastAsia="pl-PL"/>
              </w:rPr>
              <w:lastRenderedPageBreak/>
              <w:t>„Dodatkowe informacje (...)” przedstawiono szacunki, które zostały zawarte w uzasadnieniu do projektu dyrektywy w 2018 r.</w:t>
            </w:r>
          </w:p>
        </w:tc>
      </w:tr>
      <w:tr w:rsidR="00C017C1" w:rsidRPr="00CD31EE" w14:paraId="574B8377" w14:textId="77777777" w:rsidTr="00B236F6">
        <w:trPr>
          <w:gridAfter w:val="1"/>
          <w:wAfter w:w="10" w:type="dxa"/>
          <w:trHeight w:val="1643"/>
        </w:trPr>
        <w:tc>
          <w:tcPr>
            <w:tcW w:w="2356" w:type="dxa"/>
            <w:gridSpan w:val="2"/>
            <w:shd w:val="clear" w:color="auto" w:fill="FFFFFF"/>
          </w:tcPr>
          <w:p w14:paraId="3DD2A7D9" w14:textId="77777777" w:rsidR="00C017C1" w:rsidRPr="00301959" w:rsidRDefault="00C017C1" w:rsidP="00C017C1">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 xml:space="preserve">Dodatkowe informacje, w tym wskazanie źródeł danych i przyjętych do obliczeń założeń </w:t>
            </w:r>
          </w:p>
        </w:tc>
        <w:tc>
          <w:tcPr>
            <w:tcW w:w="8694" w:type="dxa"/>
            <w:gridSpan w:val="27"/>
            <w:shd w:val="clear" w:color="auto" w:fill="FFFFFF"/>
            <w:vAlign w:val="center"/>
          </w:tcPr>
          <w:p w14:paraId="557E0E3E" w14:textId="77777777" w:rsidR="00C017C1" w:rsidRPr="00441047" w:rsidRDefault="00C017C1" w:rsidP="00C017C1">
            <w:pPr>
              <w:spacing w:line="240" w:lineRule="auto"/>
              <w:jc w:val="both"/>
              <w:rPr>
                <w:rFonts w:ascii="Times New Roman" w:hAnsi="Times New Roman"/>
                <w:color w:val="000000"/>
              </w:rPr>
            </w:pPr>
            <w:r w:rsidRPr="00441047">
              <w:rPr>
                <w:rFonts w:ascii="Times New Roman" w:hAnsi="Times New Roman"/>
                <w:color w:val="000000"/>
                <w:spacing w:val="-2"/>
              </w:rPr>
              <w:t>Wejście w życie ustawy nie spowoduje natychmiastowyc</w:t>
            </w:r>
            <w:r>
              <w:rPr>
                <w:rFonts w:ascii="Times New Roman" w:hAnsi="Times New Roman"/>
                <w:color w:val="000000"/>
                <w:spacing w:val="-2"/>
              </w:rPr>
              <w:t>h skutków dla gospodarki, ale w </w:t>
            </w:r>
            <w:r w:rsidRPr="00441047">
              <w:rPr>
                <w:rFonts w:ascii="Times New Roman" w:hAnsi="Times New Roman"/>
                <w:color w:val="000000"/>
                <w:spacing w:val="-2"/>
              </w:rPr>
              <w:t xml:space="preserve">dłuższej perspektywie powinna się poprawić wydajność przedsiębiorstw objętych regulacją spowodowana ograniczeniem nieprawidłowości. </w:t>
            </w:r>
          </w:p>
          <w:p w14:paraId="5FF53544" w14:textId="77777777" w:rsidR="00C017C1" w:rsidRPr="00441047" w:rsidRDefault="00C017C1" w:rsidP="00C017C1">
            <w:pPr>
              <w:spacing w:line="240" w:lineRule="auto"/>
              <w:jc w:val="both"/>
              <w:rPr>
                <w:rFonts w:ascii="Times New Roman" w:hAnsi="Times New Roman"/>
                <w:color w:val="000000"/>
              </w:rPr>
            </w:pPr>
            <w:r w:rsidRPr="00441047">
              <w:rPr>
                <w:rFonts w:ascii="Times New Roman" w:hAnsi="Times New Roman"/>
                <w:color w:val="000000"/>
              </w:rPr>
              <w:t xml:space="preserve">Wdrażanie w przedsiębiorstwach rozwiązań zawartych w dyrektywie </w:t>
            </w:r>
            <w:r w:rsidRPr="00441047">
              <w:rPr>
                <w:rFonts w:ascii="Times New Roman" w:hAnsi="Times New Roman"/>
              </w:rPr>
              <w:t xml:space="preserve">2019/1937 </w:t>
            </w:r>
            <w:r w:rsidRPr="00441047">
              <w:rPr>
                <w:rFonts w:ascii="Times New Roman" w:hAnsi="Times New Roman"/>
                <w:color w:val="000000"/>
              </w:rPr>
              <w:t xml:space="preserve">w zakresie kanałów wewnętrznych i rejestru zgłoszeń będzie się odbywało w ramach wdrażania i rozwoju systemów zarządzania zgodnością (compliance). </w:t>
            </w:r>
          </w:p>
          <w:p w14:paraId="5D095C40" w14:textId="77777777" w:rsidR="00C017C1" w:rsidRDefault="00C017C1" w:rsidP="00C017C1">
            <w:pPr>
              <w:spacing w:after="120" w:line="240" w:lineRule="auto"/>
              <w:jc w:val="both"/>
              <w:rPr>
                <w:rFonts w:ascii="Times New Roman" w:hAnsi="Times New Roman"/>
                <w:color w:val="000000"/>
              </w:rPr>
            </w:pPr>
            <w:r w:rsidRPr="00441047">
              <w:rPr>
                <w:rFonts w:ascii="Times New Roman" w:hAnsi="Times New Roman"/>
                <w:color w:val="000000"/>
              </w:rPr>
              <w:t>Zgodnie z raportem z 2018 r. z badania stanu compliance i systemów zarządzania zgodnością w działających w Polsce przedsiębiorstwach, przeprowadzonego przez Instytut Compliance we współpracy z EY, Wolters Kluwer oraz Viadrina Compliance Center działającym na Uniwersytecie Europejskim Viadrina we Frankfurcie nad Odrą, 65 proc. przedsiębiorstw wdrożyło już system compliance (ankietowane były średnie i duże przedsiębiorstwa). Czynią to dobrowolnie jako element budowania wizerunku i kultury organizacji.</w:t>
            </w:r>
          </w:p>
          <w:p w14:paraId="4B24E854" w14:textId="77777777" w:rsidR="00C017C1" w:rsidRDefault="00C017C1" w:rsidP="00C017C1">
            <w:pPr>
              <w:spacing w:line="240" w:lineRule="auto"/>
              <w:jc w:val="both"/>
              <w:rPr>
                <w:rFonts w:ascii="Times New Roman" w:hAnsi="Times New Roman"/>
              </w:rPr>
            </w:pPr>
            <w:r w:rsidRPr="00CD31EE">
              <w:rPr>
                <w:rFonts w:ascii="Times New Roman" w:hAnsi="Times New Roman"/>
              </w:rPr>
              <w:t>Na etapie prac nad projektem dyrektywy</w:t>
            </w:r>
            <w:r>
              <w:rPr>
                <w:rFonts w:ascii="Times New Roman" w:hAnsi="Times New Roman"/>
              </w:rPr>
              <w:t xml:space="preserve"> </w:t>
            </w:r>
            <w:r w:rsidRPr="00C7405D">
              <w:rPr>
                <w:rFonts w:ascii="Times New Roman" w:hAnsi="Times New Roman"/>
              </w:rPr>
              <w:t>2019/1937</w:t>
            </w:r>
            <w:r w:rsidRPr="00CD31EE">
              <w:rPr>
                <w:rStyle w:val="Odwoanieprzypisudolnego"/>
                <w:rFonts w:ascii="Times New Roman" w:hAnsi="Times New Roman"/>
              </w:rPr>
              <w:footnoteReference w:id="6"/>
            </w:r>
            <w:r w:rsidRPr="00CD31EE">
              <w:rPr>
                <w:rFonts w:ascii="Times New Roman" w:hAnsi="Times New Roman"/>
              </w:rPr>
              <w:t xml:space="preserve"> szacowano, że wprowadzenie rozbudowanego mechanizmu ochrony sygnalistów przyczyni się do poprawy warunków pracy 40% pracowników wchodzących w skład siły roboczej UE, którzy nie są obecnie chronieni przed odwetem, oraz zwiększy poziom ochrony niemal 20% pracowników wchodzących w skład tej siły roboczej. Mechanizm ten zwiększy integralność i przejrzystość sektora prywatnego i</w:t>
            </w:r>
            <w:r>
              <w:rPr>
                <w:rFonts w:ascii="Times New Roman" w:hAnsi="Times New Roman"/>
              </w:rPr>
              <w:t> </w:t>
            </w:r>
            <w:r w:rsidRPr="00CD31EE">
              <w:rPr>
                <w:rFonts w:ascii="Times New Roman" w:hAnsi="Times New Roman"/>
              </w:rPr>
              <w:t>publicznego oraz przyczyni się do zapewnienia uczciwej konkurencji i równych szans na jednolitym rynku. Oczekuje się, że koszty wdrożenia tego mechanizmu przez sektor publiczny na obszarze UE wyniosą 204,9 mln EUR w kosztach jednorazowych i 319,9 mln EUR w</w:t>
            </w:r>
            <w:r>
              <w:rPr>
                <w:rFonts w:ascii="Times New Roman" w:hAnsi="Times New Roman"/>
              </w:rPr>
              <w:t> </w:t>
            </w:r>
            <w:r w:rsidRPr="00CD31EE">
              <w:rPr>
                <w:rFonts w:ascii="Times New Roman" w:hAnsi="Times New Roman"/>
              </w:rPr>
              <w:t>rocznych kosztach operacyjnych. Jeżeli chodzi o sektor prywatny (średnie i duże przedsiębiorstwa), przewidywane łączne koszty na obszarze UE wyniosą 542,9 mln EUR w</w:t>
            </w:r>
            <w:r>
              <w:rPr>
                <w:rFonts w:ascii="Times New Roman" w:hAnsi="Times New Roman"/>
              </w:rPr>
              <w:t> </w:t>
            </w:r>
            <w:r w:rsidRPr="00CD31EE">
              <w:rPr>
                <w:rFonts w:ascii="Times New Roman" w:hAnsi="Times New Roman"/>
              </w:rPr>
              <w:t>kosztach jednorazowych i 1016,6 mln EUR w rocznych kosztach operacyjnych. Łączne koszty dla sektora publicznego i prywatnego wyniosą 747,8 mln EUR w kosztach jednorazowych oraz 1 336,6 mln EUR w rocznych kosztach operacyjnych.</w:t>
            </w:r>
          </w:p>
          <w:p w14:paraId="61F1B9A0" w14:textId="77777777" w:rsidR="00C017C1" w:rsidRDefault="00C017C1" w:rsidP="00C017C1">
            <w:pPr>
              <w:spacing w:line="240" w:lineRule="auto"/>
              <w:jc w:val="both"/>
              <w:rPr>
                <w:rFonts w:ascii="Times New Roman" w:hAnsi="Times New Roman"/>
              </w:rPr>
            </w:pPr>
          </w:p>
          <w:p w14:paraId="116B2A89" w14:textId="77777777" w:rsidR="00C017C1" w:rsidRPr="00CD31EE" w:rsidRDefault="00C017C1" w:rsidP="00C017C1">
            <w:pPr>
              <w:spacing w:line="240" w:lineRule="auto"/>
              <w:jc w:val="both"/>
              <w:rPr>
                <w:rFonts w:ascii="Times New Roman" w:hAnsi="Times New Roman"/>
                <w:color w:val="000000"/>
                <w:sz w:val="21"/>
                <w:szCs w:val="21"/>
              </w:rPr>
            </w:pPr>
            <w:r w:rsidRPr="00CD31EE">
              <w:rPr>
                <w:rFonts w:ascii="Times New Roman" w:hAnsi="Times New Roman"/>
              </w:rPr>
              <w:t>Aby należycie uwzględnić wielkość przedsiębiorstwa prywatnego</w:t>
            </w:r>
            <w:r>
              <w:rPr>
                <w:rFonts w:ascii="Times New Roman" w:hAnsi="Times New Roman"/>
              </w:rPr>
              <w:t xml:space="preserve"> </w:t>
            </w:r>
            <w:r w:rsidRPr="00CD31EE">
              <w:rPr>
                <w:rFonts w:ascii="Times New Roman" w:hAnsi="Times New Roman"/>
              </w:rPr>
              <w:t xml:space="preserve">przewidziano </w:t>
            </w:r>
            <w:r>
              <w:rPr>
                <w:rFonts w:ascii="Times New Roman" w:hAnsi="Times New Roman"/>
              </w:rPr>
              <w:t xml:space="preserve">w dyrektywie </w:t>
            </w:r>
            <w:r w:rsidRPr="00C7405D">
              <w:rPr>
                <w:rFonts w:ascii="Times New Roman" w:hAnsi="Times New Roman"/>
              </w:rPr>
              <w:t>2019/1937</w:t>
            </w:r>
            <w:r>
              <w:rPr>
                <w:rFonts w:ascii="Times New Roman" w:hAnsi="Times New Roman"/>
              </w:rPr>
              <w:t xml:space="preserve"> </w:t>
            </w:r>
            <w:r w:rsidRPr="00CD31EE">
              <w:rPr>
                <w:rFonts w:ascii="Times New Roman" w:hAnsi="Times New Roman"/>
              </w:rPr>
              <w:t>–</w:t>
            </w:r>
            <w:r>
              <w:rPr>
                <w:rFonts w:ascii="Times New Roman" w:hAnsi="Times New Roman"/>
              </w:rPr>
              <w:t xml:space="preserve"> </w:t>
            </w:r>
            <w:r w:rsidRPr="00CD31EE">
              <w:rPr>
                <w:rFonts w:ascii="Times New Roman" w:hAnsi="Times New Roman"/>
              </w:rPr>
              <w:t>jako zasadę ogólną –</w:t>
            </w:r>
            <w:r>
              <w:rPr>
                <w:rFonts w:ascii="Times New Roman" w:hAnsi="Times New Roman"/>
              </w:rPr>
              <w:t xml:space="preserve"> </w:t>
            </w:r>
            <w:r w:rsidRPr="00CD31EE">
              <w:rPr>
                <w:rFonts w:ascii="Times New Roman" w:hAnsi="Times New Roman"/>
              </w:rPr>
              <w:t>zwolnienie z</w:t>
            </w:r>
            <w:r>
              <w:rPr>
                <w:rFonts w:ascii="Times New Roman" w:hAnsi="Times New Roman"/>
              </w:rPr>
              <w:t xml:space="preserve"> </w:t>
            </w:r>
            <w:r w:rsidRPr="00CD31EE">
              <w:rPr>
                <w:rFonts w:ascii="Times New Roman" w:hAnsi="Times New Roman"/>
              </w:rPr>
              <w:t>obowiązku ustanowienia wewnętrznych kanałów zgłaszania nieprawidłowości dla mikroprzedsiębiorstw i</w:t>
            </w:r>
            <w:r>
              <w:rPr>
                <w:rFonts w:ascii="Times New Roman" w:hAnsi="Times New Roman"/>
              </w:rPr>
              <w:t xml:space="preserve"> </w:t>
            </w:r>
            <w:r w:rsidRPr="00CD31EE">
              <w:rPr>
                <w:rFonts w:ascii="Times New Roman" w:hAnsi="Times New Roman"/>
              </w:rPr>
              <w:t>małych przedsiębiorstw. Osoby zgłaszające pracujące w</w:t>
            </w:r>
            <w:r>
              <w:rPr>
                <w:rFonts w:ascii="Times New Roman" w:hAnsi="Times New Roman"/>
              </w:rPr>
              <w:t xml:space="preserve"> </w:t>
            </w:r>
            <w:r w:rsidRPr="00CD31EE">
              <w:rPr>
                <w:rFonts w:ascii="Times New Roman" w:hAnsi="Times New Roman"/>
              </w:rPr>
              <w:t>takich przedsiębiorstwach mogą zgłaszać nieprawidłowości bezpośrednio właściwym organom krajowym. Wspomniane ogólne zwolnienie nie ma zastosowania do małych przedsiębiorstw i</w:t>
            </w:r>
            <w:r>
              <w:rPr>
                <w:rFonts w:ascii="Times New Roman" w:hAnsi="Times New Roman"/>
              </w:rPr>
              <w:t xml:space="preserve"> </w:t>
            </w:r>
            <w:r w:rsidRPr="00CD31EE">
              <w:rPr>
                <w:rFonts w:ascii="Times New Roman" w:hAnsi="Times New Roman"/>
              </w:rPr>
              <w:t>mikroprzedsiębiorstw prowadzących działalność w</w:t>
            </w:r>
            <w:r>
              <w:rPr>
                <w:rFonts w:ascii="Times New Roman" w:hAnsi="Times New Roman"/>
              </w:rPr>
              <w:t> </w:t>
            </w:r>
            <w:r w:rsidRPr="00CD31EE">
              <w:rPr>
                <w:rFonts w:ascii="Times New Roman" w:hAnsi="Times New Roman"/>
              </w:rPr>
              <w:t>obszarze usług finansowych. Wszystkie tego rodzaju przedsiębiorstwa</w:t>
            </w:r>
            <w:r>
              <w:rPr>
                <w:rFonts w:ascii="Times New Roman" w:hAnsi="Times New Roman"/>
              </w:rPr>
              <w:t xml:space="preserve"> </w:t>
            </w:r>
            <w:r w:rsidRPr="00CD31EE">
              <w:rPr>
                <w:rFonts w:ascii="Times New Roman" w:hAnsi="Times New Roman"/>
              </w:rPr>
              <w:t>są zobowiązane do</w:t>
            </w:r>
            <w:r>
              <w:rPr>
                <w:rFonts w:ascii="Times New Roman" w:hAnsi="Times New Roman"/>
              </w:rPr>
              <w:t xml:space="preserve"> </w:t>
            </w:r>
            <w:r w:rsidRPr="00CD31EE">
              <w:rPr>
                <w:rFonts w:ascii="Times New Roman" w:hAnsi="Times New Roman"/>
              </w:rPr>
              <w:t>ustanowienia wewnętrznych kanałów zgłaszania nieprawidłowości zgodnie z</w:t>
            </w:r>
            <w:r>
              <w:rPr>
                <w:rFonts w:ascii="Times New Roman" w:hAnsi="Times New Roman"/>
              </w:rPr>
              <w:t xml:space="preserve"> </w:t>
            </w:r>
            <w:r w:rsidRPr="00CD31EE">
              <w:rPr>
                <w:rFonts w:ascii="Times New Roman" w:hAnsi="Times New Roman"/>
              </w:rPr>
              <w:t>aktualnie obowiązującymi wymogami przewidzianymi w</w:t>
            </w:r>
            <w:r>
              <w:rPr>
                <w:rFonts w:ascii="Times New Roman" w:hAnsi="Times New Roman"/>
              </w:rPr>
              <w:t xml:space="preserve"> </w:t>
            </w:r>
            <w:r w:rsidRPr="00CD31EE">
              <w:rPr>
                <w:rFonts w:ascii="Times New Roman" w:hAnsi="Times New Roman"/>
              </w:rPr>
              <w:t>przepisach U</w:t>
            </w:r>
            <w:r>
              <w:rPr>
                <w:rFonts w:ascii="Times New Roman" w:hAnsi="Times New Roman"/>
              </w:rPr>
              <w:t>E</w:t>
            </w:r>
            <w:r w:rsidRPr="00CD31EE">
              <w:rPr>
                <w:rFonts w:ascii="Times New Roman" w:hAnsi="Times New Roman"/>
              </w:rPr>
              <w:t xml:space="preserve"> w</w:t>
            </w:r>
            <w:r>
              <w:rPr>
                <w:rFonts w:ascii="Times New Roman" w:hAnsi="Times New Roman"/>
              </w:rPr>
              <w:t xml:space="preserve"> </w:t>
            </w:r>
            <w:r w:rsidRPr="00CD31EE">
              <w:rPr>
                <w:rFonts w:ascii="Times New Roman" w:hAnsi="Times New Roman"/>
              </w:rPr>
              <w:t>zakresie usług finansowych. Koszty ponoszone przez takie przedsiębiorstwa są minimalne (koszty utopione), ponieważ przedsiębiorstwa te są już zobowiązane do ustanowienia wewnętrznych kanałów zgłaszania nieprawidłowości zgodnie z</w:t>
            </w:r>
            <w:r>
              <w:rPr>
                <w:rFonts w:ascii="Times New Roman" w:hAnsi="Times New Roman"/>
              </w:rPr>
              <w:t xml:space="preserve"> </w:t>
            </w:r>
            <w:r w:rsidRPr="00CD31EE">
              <w:rPr>
                <w:rFonts w:ascii="Times New Roman" w:hAnsi="Times New Roman"/>
              </w:rPr>
              <w:t>aktualni</w:t>
            </w:r>
            <w:r>
              <w:rPr>
                <w:rFonts w:ascii="Times New Roman" w:hAnsi="Times New Roman"/>
              </w:rPr>
              <w:t>e obowiązującymi przepisami UE</w:t>
            </w:r>
            <w:r w:rsidRPr="00CD31EE">
              <w:rPr>
                <w:rFonts w:ascii="Times New Roman" w:hAnsi="Times New Roman"/>
              </w:rPr>
              <w:t>. Państwa członkowskie mogą –</w:t>
            </w:r>
            <w:r>
              <w:rPr>
                <w:rFonts w:ascii="Times New Roman" w:hAnsi="Times New Roman"/>
              </w:rPr>
              <w:t xml:space="preserve"> </w:t>
            </w:r>
            <w:r w:rsidRPr="00CD31EE">
              <w:rPr>
                <w:rFonts w:ascii="Times New Roman" w:hAnsi="Times New Roman"/>
              </w:rPr>
              <w:t>po przeprowadzeniu stosownej oceny ryzyka –</w:t>
            </w:r>
            <w:r>
              <w:rPr>
                <w:rFonts w:ascii="Times New Roman" w:hAnsi="Times New Roman"/>
              </w:rPr>
              <w:t xml:space="preserve"> </w:t>
            </w:r>
            <w:r w:rsidRPr="00CD31EE">
              <w:rPr>
                <w:rFonts w:ascii="Times New Roman" w:hAnsi="Times New Roman"/>
              </w:rPr>
              <w:t>zobowiązać małe przedsiębiorstwa prowadzące działalność w</w:t>
            </w:r>
            <w:r>
              <w:rPr>
                <w:rFonts w:ascii="Times New Roman" w:hAnsi="Times New Roman"/>
              </w:rPr>
              <w:t xml:space="preserve"> </w:t>
            </w:r>
            <w:r w:rsidRPr="00CD31EE">
              <w:rPr>
                <w:rFonts w:ascii="Times New Roman" w:hAnsi="Times New Roman"/>
              </w:rPr>
              <w:t>określonych sektorach do ustanowienia wewnętrznych kanałów zgłaszania nieprawidłowości, jeżeli uznają to za konieczne w</w:t>
            </w:r>
            <w:r>
              <w:rPr>
                <w:rFonts w:ascii="Times New Roman" w:hAnsi="Times New Roman"/>
              </w:rPr>
              <w:t xml:space="preserve"> </w:t>
            </w:r>
            <w:r w:rsidRPr="00CD31EE">
              <w:rPr>
                <w:rFonts w:ascii="Times New Roman" w:hAnsi="Times New Roman"/>
              </w:rPr>
              <w:t>świetle wyników przeprowadzonych przez siebie analiz oraz potrzeb występujących na szczeblu krajowym. W</w:t>
            </w:r>
            <w:r>
              <w:rPr>
                <w:rFonts w:ascii="Times New Roman" w:hAnsi="Times New Roman"/>
              </w:rPr>
              <w:t> </w:t>
            </w:r>
            <w:r w:rsidRPr="00CD31EE">
              <w:rPr>
                <w:rFonts w:ascii="Times New Roman" w:hAnsi="Times New Roman"/>
              </w:rPr>
              <w:t>ramach takiej oceny ryzyka bierze się pod uwagę specyfikę danego sektora oraz analizuje się ryzyko związane z</w:t>
            </w:r>
            <w:r>
              <w:rPr>
                <w:rFonts w:ascii="Times New Roman" w:hAnsi="Times New Roman"/>
              </w:rPr>
              <w:t xml:space="preserve"> </w:t>
            </w:r>
            <w:r w:rsidRPr="00CD31EE">
              <w:rPr>
                <w:rFonts w:ascii="Times New Roman" w:hAnsi="Times New Roman"/>
              </w:rPr>
              <w:t xml:space="preserve">wprowadzeniem obowiązku ustanowienia wewnętrznych kanałów zgłaszania nieprawidłowości, jak również potrzebę wprowadzenia tego obowiązku. </w:t>
            </w:r>
            <w:r>
              <w:rPr>
                <w:rFonts w:ascii="Times New Roman" w:hAnsi="Times New Roman"/>
              </w:rPr>
              <w:t>W</w:t>
            </w:r>
            <w:r w:rsidR="00937C94">
              <w:rPr>
                <w:rFonts w:ascii="Times New Roman" w:hAnsi="Times New Roman"/>
              </w:rPr>
              <w:t>edłu</w:t>
            </w:r>
            <w:r>
              <w:rPr>
                <w:rFonts w:ascii="Times New Roman" w:hAnsi="Times New Roman"/>
              </w:rPr>
              <w:t xml:space="preserve">g szacunków zawartych we wniosku dot. projektu dyrektywy </w:t>
            </w:r>
            <w:r w:rsidRPr="00C7405D">
              <w:rPr>
                <w:rFonts w:ascii="Times New Roman" w:hAnsi="Times New Roman"/>
              </w:rPr>
              <w:t>2019/1937</w:t>
            </w:r>
            <w:r>
              <w:rPr>
                <w:rFonts w:ascii="Times New Roman" w:hAnsi="Times New Roman"/>
              </w:rPr>
              <w:t>, ś</w:t>
            </w:r>
            <w:r w:rsidRPr="00CD31EE">
              <w:rPr>
                <w:rFonts w:ascii="Times New Roman" w:hAnsi="Times New Roman"/>
              </w:rPr>
              <w:t>rednie koszty ponoszone przez średnie przedsiębiorstwa wyniosą: szacowane koszty jednorazowego wdrożenia –</w:t>
            </w:r>
            <w:r>
              <w:rPr>
                <w:rFonts w:ascii="Times New Roman" w:hAnsi="Times New Roman"/>
              </w:rPr>
              <w:t xml:space="preserve"> </w:t>
            </w:r>
            <w:r w:rsidRPr="00CD31EE">
              <w:rPr>
                <w:rFonts w:ascii="Times New Roman" w:hAnsi="Times New Roman"/>
              </w:rPr>
              <w:t>1 374 EUR, szacowane średnie roczne koszty operacyjne –</w:t>
            </w:r>
            <w:r>
              <w:rPr>
                <w:rFonts w:ascii="Times New Roman" w:hAnsi="Times New Roman"/>
              </w:rPr>
              <w:t xml:space="preserve"> </w:t>
            </w:r>
            <w:r w:rsidRPr="00CD31EE">
              <w:rPr>
                <w:rFonts w:ascii="Times New Roman" w:hAnsi="Times New Roman"/>
              </w:rPr>
              <w:t xml:space="preserve">1 054,6 EUR rocznie. </w:t>
            </w:r>
          </w:p>
        </w:tc>
      </w:tr>
      <w:tr w:rsidR="00C017C1" w:rsidRPr="008B4FE6" w14:paraId="0966BB44" w14:textId="77777777" w:rsidTr="00B236F6">
        <w:trPr>
          <w:gridAfter w:val="1"/>
          <w:wAfter w:w="10" w:type="dxa"/>
          <w:trHeight w:val="342"/>
        </w:trPr>
        <w:tc>
          <w:tcPr>
            <w:tcW w:w="11050" w:type="dxa"/>
            <w:gridSpan w:val="29"/>
            <w:shd w:val="clear" w:color="auto" w:fill="99CCFF"/>
            <w:vAlign w:val="center"/>
          </w:tcPr>
          <w:p w14:paraId="06FF40D4"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CD31EE">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C017C1" w:rsidRPr="008B4FE6" w14:paraId="19DFBBC3" w14:textId="77777777" w:rsidTr="00B236F6">
        <w:trPr>
          <w:gridAfter w:val="1"/>
          <w:wAfter w:w="10" w:type="dxa"/>
          <w:trHeight w:val="151"/>
        </w:trPr>
        <w:tc>
          <w:tcPr>
            <w:tcW w:w="11050" w:type="dxa"/>
            <w:gridSpan w:val="29"/>
            <w:shd w:val="clear" w:color="auto" w:fill="FFFFFF"/>
          </w:tcPr>
          <w:p w14:paraId="452AE6A9" w14:textId="77777777" w:rsidR="00C017C1" w:rsidRPr="008B4FE6" w:rsidRDefault="00505613" w:rsidP="00C017C1">
            <w:pPr>
              <w:spacing w:line="240" w:lineRule="auto"/>
              <w:rPr>
                <w:rFonts w:ascii="Times New Roman" w:hAnsi="Times New Roman"/>
                <w:color w:val="000000"/>
              </w:rPr>
            </w:pPr>
            <w:sdt>
              <w:sdtPr>
                <w:rPr>
                  <w:rFonts w:ascii="Times New Roman" w:hAnsi="Times New Roman"/>
                  <w:color w:val="000000"/>
                  <w:spacing w:val="-2"/>
                </w:rPr>
                <w:id w:val="1930998347"/>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1A5FDA">
              <w:rPr>
                <w:rFonts w:ascii="Times New Roman" w:hAnsi="Times New Roman"/>
                <w:color w:val="000000"/>
                <w:spacing w:val="-2"/>
              </w:rPr>
              <w:t>nie dotyczy</w:t>
            </w:r>
          </w:p>
        </w:tc>
      </w:tr>
      <w:tr w:rsidR="00C017C1" w:rsidRPr="008B4FE6" w14:paraId="18902FE6" w14:textId="77777777" w:rsidTr="00B236F6">
        <w:trPr>
          <w:gridAfter w:val="1"/>
          <w:wAfter w:w="10" w:type="dxa"/>
          <w:trHeight w:val="946"/>
        </w:trPr>
        <w:tc>
          <w:tcPr>
            <w:tcW w:w="5224" w:type="dxa"/>
            <w:gridSpan w:val="11"/>
            <w:shd w:val="clear" w:color="auto" w:fill="FFFFFF"/>
          </w:tcPr>
          <w:p w14:paraId="3732DD90" w14:textId="77777777" w:rsidR="00C017C1" w:rsidRDefault="00C017C1" w:rsidP="00C017C1">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8"/>
            <w:shd w:val="clear" w:color="auto" w:fill="FFFFFF"/>
          </w:tcPr>
          <w:p w14:paraId="356AC038"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501432790"/>
              </w:sdtPr>
              <w:sdtEndPr/>
              <w:sdtContent>
                <w:sdt>
                  <w:sdtPr>
                    <w:rPr>
                      <w:rFonts w:ascii="Times New Roman" w:hAnsi="Times New Roman"/>
                      <w:color w:val="000000"/>
                    </w:rPr>
                    <w:id w:val="1894835"/>
                  </w:sdtPr>
                  <w:sdtEndPr/>
                  <w:sdtContent>
                    <w:r w:rsidR="00C017C1">
                      <w:rPr>
                        <w:rFonts w:ascii="MS Gothic" w:eastAsia="MS Gothic" w:hAnsi="MS Gothic" w:hint="eastAsia"/>
                        <w:color w:val="000000"/>
                      </w:rPr>
                      <w:t>☒</w:t>
                    </w:r>
                  </w:sdtContent>
                </w:sdt>
              </w:sdtContent>
            </w:sdt>
            <w:r w:rsidR="00C017C1">
              <w:rPr>
                <w:rFonts w:ascii="Times New Roman" w:hAnsi="Times New Roman"/>
                <w:color w:val="000000"/>
              </w:rPr>
              <w:t xml:space="preserve"> tak</w:t>
            </w:r>
          </w:p>
          <w:p w14:paraId="5B5CF531"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1774005171"/>
              </w:sdtPr>
              <w:sdtEndPr/>
              <w:sdtContent>
                <w:sdt>
                  <w:sdtPr>
                    <w:rPr>
                      <w:rFonts w:ascii="Times New Roman" w:hAnsi="Times New Roman"/>
                      <w:color w:val="000000"/>
                    </w:rPr>
                    <w:id w:val="5618396"/>
                  </w:sdtPr>
                  <w:sdtEndPr/>
                  <w:sdtContent>
                    <w:sdt>
                      <w:sdtPr>
                        <w:rPr>
                          <w:rFonts w:ascii="Times New Roman" w:hAnsi="Times New Roman"/>
                          <w:color w:val="000000"/>
                          <w:sz w:val="16"/>
                          <w:szCs w:val="16"/>
                        </w:rPr>
                        <w:id w:val="1894836"/>
                      </w:sdtPr>
                      <w:sdtEndPr/>
                      <w:sdtContent>
                        <w:r w:rsidR="00C017C1">
                          <w:rPr>
                            <w:rFonts w:ascii="MS Gothic" w:eastAsia="MS Gothic" w:hAnsi="MS Gothic" w:hint="eastAsia"/>
                            <w:color w:val="000000"/>
                          </w:rPr>
                          <w:t>☐</w:t>
                        </w:r>
                      </w:sdtContent>
                    </w:sdt>
                  </w:sdtContent>
                </w:sdt>
              </w:sdtContent>
            </w:sdt>
            <w:r w:rsidR="00C017C1">
              <w:rPr>
                <w:rFonts w:ascii="Times New Roman" w:hAnsi="Times New Roman"/>
                <w:color w:val="000000"/>
              </w:rPr>
              <w:t xml:space="preserve"> nie</w:t>
            </w:r>
          </w:p>
          <w:p w14:paraId="18373245" w14:textId="77777777" w:rsidR="00C017C1" w:rsidRDefault="00505613" w:rsidP="00C017C1">
            <w:pPr>
              <w:rPr>
                <w:rFonts w:ascii="Times New Roman" w:hAnsi="Times New Roman"/>
                <w:color w:val="000000"/>
              </w:rPr>
            </w:pPr>
            <w:sdt>
              <w:sdtPr>
                <w:rPr>
                  <w:rFonts w:ascii="Times New Roman" w:hAnsi="Times New Roman"/>
                  <w:color w:val="000000"/>
                  <w:sz w:val="16"/>
                  <w:szCs w:val="16"/>
                </w:rPr>
                <w:id w:val="351533669"/>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nie dotyczy</w:t>
            </w:r>
          </w:p>
        </w:tc>
      </w:tr>
      <w:tr w:rsidR="00C017C1" w:rsidRPr="008B4FE6" w14:paraId="2ECB11D2" w14:textId="77777777" w:rsidTr="00B236F6">
        <w:trPr>
          <w:gridAfter w:val="1"/>
          <w:wAfter w:w="10" w:type="dxa"/>
          <w:trHeight w:val="1245"/>
        </w:trPr>
        <w:tc>
          <w:tcPr>
            <w:tcW w:w="5224" w:type="dxa"/>
            <w:gridSpan w:val="11"/>
            <w:shd w:val="clear" w:color="auto" w:fill="FFFFFF"/>
          </w:tcPr>
          <w:p w14:paraId="6E8A522F"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spacing w:val="-2"/>
                  <w:sz w:val="16"/>
                  <w:szCs w:val="16"/>
                </w:rPr>
                <w:id w:val="-1646118103"/>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zmniejszenie liczby dokumentów</w:t>
            </w:r>
            <w:r w:rsidR="00C017C1">
              <w:rPr>
                <w:rFonts w:ascii="Times New Roman" w:hAnsi="Times New Roman"/>
                <w:color w:val="000000"/>
                <w:spacing w:val="-2"/>
              </w:rPr>
              <w:t xml:space="preserve"> </w:t>
            </w:r>
          </w:p>
          <w:p w14:paraId="4B7FC7CA"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1876505849"/>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zmniejszenie liczby procedur</w:t>
            </w:r>
          </w:p>
          <w:p w14:paraId="00206DD3" w14:textId="77777777" w:rsidR="00C017C1"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2082051990"/>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skrócenie czasu</w:t>
            </w:r>
            <w:r w:rsidR="00C017C1">
              <w:rPr>
                <w:rFonts w:ascii="Times New Roman" w:hAnsi="Times New Roman"/>
                <w:color w:val="000000"/>
                <w:spacing w:val="-2"/>
              </w:rPr>
              <w:t xml:space="preserve"> na załatwienie sprawy</w:t>
            </w:r>
          </w:p>
          <w:p w14:paraId="7721D82B" w14:textId="77777777" w:rsidR="00C017C1" w:rsidRPr="008B4FE6" w:rsidRDefault="00505613" w:rsidP="00C017C1">
            <w:pPr>
              <w:rPr>
                <w:rFonts w:ascii="Times New Roman" w:hAnsi="Times New Roman"/>
                <w:b/>
                <w:color w:val="000000"/>
                <w:spacing w:val="-2"/>
              </w:rPr>
            </w:pPr>
            <w:sdt>
              <w:sdtPr>
                <w:rPr>
                  <w:rFonts w:ascii="Times New Roman" w:hAnsi="Times New Roman"/>
                  <w:color w:val="000000"/>
                  <w:spacing w:val="-2"/>
                </w:rPr>
                <w:id w:val="2112540246"/>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inne:</w:t>
            </w:r>
            <w:r w:rsidR="00C017C1" w:rsidRPr="008B4FE6">
              <w:rPr>
                <w:rFonts w:ascii="Times New Roman" w:hAnsi="Times New Roman"/>
                <w:color w:val="000000"/>
              </w:rPr>
              <w:t xml:space="preserve"> </w:t>
            </w:r>
            <w:r w:rsidR="00C017C1">
              <w:rPr>
                <w:rFonts w:ascii="Times New Roman" w:hAnsi="Times New Roman"/>
                <w:color w:val="000000"/>
              </w:rPr>
              <w:t>…</w:t>
            </w:r>
          </w:p>
        </w:tc>
        <w:tc>
          <w:tcPr>
            <w:tcW w:w="5826" w:type="dxa"/>
            <w:gridSpan w:val="18"/>
            <w:shd w:val="clear" w:color="auto" w:fill="FFFFFF"/>
          </w:tcPr>
          <w:p w14:paraId="686EE361"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2104995084"/>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zwiększenie liczby dokumentów</w:t>
            </w:r>
          </w:p>
          <w:p w14:paraId="0115EEE9"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rPr>
                <w:id w:val="762415844"/>
              </w:sdtPr>
              <w:sdtEndPr/>
              <w:sdtContent>
                <w:sdt>
                  <w:sdtPr>
                    <w:rPr>
                      <w:rFonts w:ascii="Times New Roman" w:hAnsi="Times New Roman"/>
                      <w:color w:val="000000"/>
                    </w:rPr>
                    <w:id w:val="14516564"/>
                  </w:sdtPr>
                  <w:sdtEndPr/>
                  <w:sdtContent>
                    <w:r w:rsidR="00C017C1">
                      <w:rPr>
                        <w:rFonts w:ascii="MS Gothic" w:eastAsia="MS Gothic" w:hAnsi="MS Gothic" w:hint="eastAsia"/>
                        <w:color w:val="000000"/>
                      </w:rPr>
                      <w:t>☒</w:t>
                    </w:r>
                  </w:sdtContent>
                </w:sdt>
              </w:sdtContent>
            </w:sdt>
            <w:r w:rsidR="00C017C1">
              <w:rPr>
                <w:rFonts w:ascii="Times New Roman" w:hAnsi="Times New Roman"/>
                <w:color w:val="000000"/>
              </w:rPr>
              <w:t xml:space="preserve"> </w:t>
            </w:r>
            <w:r w:rsidR="00C017C1" w:rsidRPr="008B4FE6">
              <w:rPr>
                <w:rFonts w:ascii="Times New Roman" w:hAnsi="Times New Roman"/>
                <w:color w:val="000000"/>
                <w:spacing w:val="-2"/>
              </w:rPr>
              <w:t>zwiększenie liczby procedur</w:t>
            </w:r>
          </w:p>
          <w:p w14:paraId="417B1EFC"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357036351"/>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wydłużenie czasu</w:t>
            </w:r>
            <w:r w:rsidR="00C017C1">
              <w:rPr>
                <w:rFonts w:ascii="Times New Roman" w:hAnsi="Times New Roman"/>
                <w:color w:val="000000"/>
                <w:spacing w:val="-2"/>
              </w:rPr>
              <w:t xml:space="preserve"> na załatwienie sprawy</w:t>
            </w:r>
          </w:p>
          <w:p w14:paraId="2B60882F" w14:textId="77777777" w:rsidR="00C017C1" w:rsidRPr="008B4FE6" w:rsidRDefault="00505613" w:rsidP="00C017C1">
            <w:pPr>
              <w:spacing w:line="240" w:lineRule="auto"/>
              <w:rPr>
                <w:rFonts w:ascii="Times New Roman" w:hAnsi="Times New Roman"/>
                <w:color w:val="000000"/>
              </w:rPr>
            </w:pPr>
            <w:sdt>
              <w:sdtPr>
                <w:rPr>
                  <w:rFonts w:ascii="Times New Roman" w:hAnsi="Times New Roman"/>
                  <w:color w:val="000000"/>
                  <w:spacing w:val="-2"/>
                </w:rPr>
                <w:id w:val="1149557140"/>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inne:</w:t>
            </w:r>
            <w:r w:rsidR="00C017C1" w:rsidRPr="008B4FE6">
              <w:rPr>
                <w:rFonts w:ascii="Times New Roman" w:hAnsi="Times New Roman"/>
                <w:color w:val="000000"/>
              </w:rPr>
              <w:t xml:space="preserve"> </w:t>
            </w:r>
            <w:r w:rsidR="00C017C1">
              <w:rPr>
                <w:rFonts w:ascii="Times New Roman" w:hAnsi="Times New Roman"/>
                <w:color w:val="000000"/>
              </w:rPr>
              <w:t>…</w:t>
            </w:r>
          </w:p>
          <w:p w14:paraId="315541D3" w14:textId="77777777" w:rsidR="00C017C1" w:rsidRPr="008B4FE6" w:rsidRDefault="00C017C1" w:rsidP="00C017C1">
            <w:pPr>
              <w:spacing w:line="240" w:lineRule="auto"/>
              <w:rPr>
                <w:rFonts w:ascii="Times New Roman" w:hAnsi="Times New Roman"/>
                <w:color w:val="000000"/>
              </w:rPr>
            </w:pPr>
          </w:p>
        </w:tc>
      </w:tr>
      <w:tr w:rsidR="00C017C1" w:rsidRPr="008B4FE6" w14:paraId="429BB9FB" w14:textId="77777777" w:rsidTr="00B236F6">
        <w:trPr>
          <w:gridAfter w:val="1"/>
          <w:wAfter w:w="10" w:type="dxa"/>
          <w:trHeight w:val="870"/>
        </w:trPr>
        <w:tc>
          <w:tcPr>
            <w:tcW w:w="5224" w:type="dxa"/>
            <w:gridSpan w:val="11"/>
            <w:shd w:val="clear" w:color="auto" w:fill="FFFFFF"/>
          </w:tcPr>
          <w:p w14:paraId="3F777AC8" w14:textId="77777777" w:rsidR="00C017C1" w:rsidRPr="008B4FE6" w:rsidRDefault="00C017C1" w:rsidP="00C017C1">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8"/>
            <w:shd w:val="clear" w:color="auto" w:fill="FFFFFF"/>
          </w:tcPr>
          <w:p w14:paraId="65AE2E29"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5618408"/>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tak</w:t>
            </w:r>
          </w:p>
          <w:p w14:paraId="662DBD20"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1887021666"/>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nie</w:t>
            </w:r>
          </w:p>
          <w:p w14:paraId="03BD537D"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1904862519"/>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nie dotyczy</w:t>
            </w:r>
          </w:p>
          <w:p w14:paraId="1138943E" w14:textId="77777777" w:rsidR="00C017C1" w:rsidRPr="008B4FE6" w:rsidRDefault="00C017C1" w:rsidP="00C017C1">
            <w:pPr>
              <w:spacing w:line="240" w:lineRule="auto"/>
              <w:rPr>
                <w:rFonts w:ascii="Times New Roman" w:hAnsi="Times New Roman"/>
                <w:color w:val="000000"/>
              </w:rPr>
            </w:pPr>
          </w:p>
        </w:tc>
      </w:tr>
      <w:tr w:rsidR="00C017C1" w:rsidRPr="008B4FE6" w14:paraId="57E2800E" w14:textId="77777777" w:rsidTr="00B236F6">
        <w:trPr>
          <w:gridAfter w:val="1"/>
          <w:wAfter w:w="10" w:type="dxa"/>
          <w:trHeight w:val="630"/>
        </w:trPr>
        <w:tc>
          <w:tcPr>
            <w:tcW w:w="11050" w:type="dxa"/>
            <w:gridSpan w:val="29"/>
            <w:shd w:val="clear" w:color="auto" w:fill="FFFFFF"/>
          </w:tcPr>
          <w:p w14:paraId="74327C53" w14:textId="6FAD9514" w:rsidR="00F7369A" w:rsidRPr="00F7369A" w:rsidRDefault="00C017C1" w:rsidP="00F7369A">
            <w:pPr>
              <w:spacing w:after="120" w:line="240" w:lineRule="auto"/>
              <w:jc w:val="both"/>
              <w:rPr>
                <w:rFonts w:ascii="Times New Roman" w:hAnsi="Times New Roman"/>
              </w:rPr>
            </w:pPr>
            <w:r>
              <w:rPr>
                <w:rFonts w:ascii="Times New Roman" w:hAnsi="Times New Roman"/>
                <w:color w:val="000000"/>
              </w:rPr>
              <w:t xml:space="preserve">Komentarz: Projekt ustawy nakłada obowiązek utworzenia wewnętrznych kanałów dokonywania zgłoszeń przez podmioty </w:t>
            </w:r>
            <w:r w:rsidRPr="000752E6">
              <w:rPr>
                <w:rFonts w:ascii="Times New Roman" w:hAnsi="Times New Roman"/>
              </w:rPr>
              <w:t>sektora publicznego</w:t>
            </w:r>
            <w:r>
              <w:rPr>
                <w:rFonts w:ascii="Times New Roman" w:hAnsi="Times New Roman"/>
              </w:rPr>
              <w:t xml:space="preserve"> i prywatnego </w:t>
            </w:r>
            <w:r w:rsidR="00F7369A" w:rsidRPr="00F7369A">
              <w:rPr>
                <w:rFonts w:ascii="Times New Roman" w:hAnsi="Times New Roman"/>
              </w:rPr>
              <w:t>na rzecz któr</w:t>
            </w:r>
            <w:r w:rsidR="00F7369A">
              <w:rPr>
                <w:rFonts w:ascii="Times New Roman" w:hAnsi="Times New Roman"/>
              </w:rPr>
              <w:t>ych</w:t>
            </w:r>
            <w:r w:rsidR="00F7369A" w:rsidRPr="00F7369A">
              <w:rPr>
                <w:rFonts w:ascii="Times New Roman" w:hAnsi="Times New Roman"/>
              </w:rPr>
              <w:t xml:space="preserve"> wykonuje lub świadczy pracę co najmniej 50 osób.</w:t>
            </w:r>
          </w:p>
          <w:p w14:paraId="46EB9C93" w14:textId="77777777" w:rsidR="00C017C1" w:rsidRPr="008B4FE6" w:rsidRDefault="00C017C1" w:rsidP="00C017C1">
            <w:pPr>
              <w:jc w:val="both"/>
              <w:rPr>
                <w:rFonts w:ascii="Times New Roman" w:hAnsi="Times New Roman"/>
                <w:color w:val="000000"/>
              </w:rPr>
            </w:pPr>
            <w:r>
              <w:rPr>
                <w:rFonts w:ascii="Times New Roman" w:hAnsi="Times New Roman"/>
                <w:color w:val="000000"/>
              </w:rPr>
              <w:t xml:space="preserve">Informacje nt. kosztów wdrożenia kanałów szacowanych na etapie prac nad projektem dyrektywy </w:t>
            </w:r>
            <w:r w:rsidRPr="00C7405D">
              <w:rPr>
                <w:rFonts w:ascii="Times New Roman" w:hAnsi="Times New Roman"/>
              </w:rPr>
              <w:t>2019/1937</w:t>
            </w:r>
            <w:r>
              <w:rPr>
                <w:rFonts w:ascii="Times New Roman" w:hAnsi="Times New Roman"/>
                <w:color w:val="000000"/>
              </w:rPr>
              <w:t xml:space="preserve"> zostały przedstawione w pkt 7 OSR.</w:t>
            </w:r>
          </w:p>
        </w:tc>
      </w:tr>
      <w:tr w:rsidR="00C017C1" w:rsidRPr="008B4FE6" w14:paraId="5FD56BCC" w14:textId="77777777" w:rsidTr="00B236F6">
        <w:trPr>
          <w:gridAfter w:val="1"/>
          <w:wAfter w:w="10" w:type="dxa"/>
          <w:trHeight w:val="142"/>
        </w:trPr>
        <w:tc>
          <w:tcPr>
            <w:tcW w:w="11050" w:type="dxa"/>
            <w:gridSpan w:val="29"/>
            <w:shd w:val="clear" w:color="auto" w:fill="99CCFF"/>
          </w:tcPr>
          <w:p w14:paraId="27576BF5" w14:textId="77777777" w:rsidR="00C017C1" w:rsidRPr="008B4FE6" w:rsidRDefault="00C017C1" w:rsidP="00C017C1">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C017C1" w:rsidRPr="008B4FE6" w14:paraId="3761EC00" w14:textId="77777777" w:rsidTr="00B236F6">
        <w:trPr>
          <w:gridAfter w:val="1"/>
          <w:wAfter w:w="10" w:type="dxa"/>
          <w:trHeight w:val="142"/>
        </w:trPr>
        <w:tc>
          <w:tcPr>
            <w:tcW w:w="11050" w:type="dxa"/>
            <w:gridSpan w:val="29"/>
            <w:shd w:val="clear" w:color="auto" w:fill="auto"/>
          </w:tcPr>
          <w:p w14:paraId="19954A20" w14:textId="77777777" w:rsidR="00C017C1" w:rsidRPr="008B4FE6" w:rsidRDefault="00C017C1" w:rsidP="00C017C1">
            <w:pPr>
              <w:spacing w:line="240" w:lineRule="auto"/>
              <w:jc w:val="both"/>
              <w:rPr>
                <w:rFonts w:ascii="Times New Roman" w:hAnsi="Times New Roman"/>
                <w:color w:val="000000"/>
              </w:rPr>
            </w:pPr>
            <w:r>
              <w:rPr>
                <w:rFonts w:ascii="Times New Roman" w:hAnsi="Times New Roman"/>
                <w:color w:val="000000"/>
              </w:rPr>
              <w:t>Projekt ustawy będzie miał pozytywny wpływ na rynek pracy poprzez zwiększenie ochrony osób pracujących, niezależnie od podstawy zatrudnienia lub charakteru stosunku prawnego łączącego go z pracodawcą</w:t>
            </w:r>
            <w:r w:rsidR="00F85E0B">
              <w:rPr>
                <w:rFonts w:ascii="Times New Roman" w:hAnsi="Times New Roman"/>
                <w:color w:val="000000"/>
              </w:rPr>
              <w:t xml:space="preserve"> lub innym podmiotem</w:t>
            </w:r>
            <w:r>
              <w:rPr>
                <w:rFonts w:ascii="Times New Roman" w:hAnsi="Times New Roman"/>
                <w:color w:val="000000"/>
              </w:rPr>
              <w:t xml:space="preserve">, także jeśli stosunek </w:t>
            </w:r>
            <w:r w:rsidRPr="000752E6">
              <w:rPr>
                <w:rFonts w:ascii="Times New Roman" w:hAnsi="Times New Roman"/>
              </w:rPr>
              <w:t>ustał</w:t>
            </w:r>
            <w:r>
              <w:rPr>
                <w:rFonts w:ascii="Times New Roman" w:hAnsi="Times New Roman"/>
              </w:rPr>
              <w:t xml:space="preserve"> lub</w:t>
            </w:r>
            <w:r w:rsidRPr="000752E6">
              <w:rPr>
                <w:rFonts w:ascii="Times New Roman" w:hAnsi="Times New Roman"/>
              </w:rPr>
              <w:t xml:space="preserve"> dopiero ma zostać nawiązany</w:t>
            </w:r>
            <w:r>
              <w:rPr>
                <w:rFonts w:ascii="Times New Roman" w:hAnsi="Times New Roman"/>
              </w:rPr>
              <w:t>.</w:t>
            </w:r>
          </w:p>
          <w:p w14:paraId="0F497F60" w14:textId="0228E315" w:rsidR="00C017C1" w:rsidRPr="00AB044D" w:rsidRDefault="00C017C1" w:rsidP="00C017C1">
            <w:pPr>
              <w:spacing w:line="240" w:lineRule="auto"/>
              <w:jc w:val="both"/>
              <w:rPr>
                <w:rFonts w:ascii="Times New Roman" w:hAnsi="Times New Roman"/>
              </w:rPr>
            </w:pPr>
            <w:r w:rsidRPr="00AB044D">
              <w:rPr>
                <w:rFonts w:ascii="Times New Roman" w:hAnsi="Times New Roman"/>
              </w:rPr>
              <w:t>Organ wyznaczony jako zajmując</w:t>
            </w:r>
            <w:r w:rsidR="00F7369A">
              <w:rPr>
                <w:rFonts w:ascii="Times New Roman" w:hAnsi="Times New Roman"/>
              </w:rPr>
              <w:t>y</w:t>
            </w:r>
            <w:r w:rsidRPr="00AB044D">
              <w:rPr>
                <w:rFonts w:ascii="Times New Roman" w:hAnsi="Times New Roman"/>
              </w:rPr>
              <w:t xml:space="preserve"> się przyjmowaniem zgłoszeń i udzielaniem wsparcia osobom zgłaszającym naruszenia prawa </w:t>
            </w:r>
            <w:r w:rsidR="00F7369A">
              <w:rPr>
                <w:rFonts w:ascii="Times New Roman" w:hAnsi="Times New Roman"/>
              </w:rPr>
              <w:t xml:space="preserve">(RPO) </w:t>
            </w:r>
            <w:r w:rsidRPr="00AB044D">
              <w:rPr>
                <w:rFonts w:ascii="Times New Roman" w:hAnsi="Times New Roman"/>
              </w:rPr>
              <w:t>otrzyma 20 etatów.</w:t>
            </w:r>
          </w:p>
          <w:p w14:paraId="11A83FDF" w14:textId="77777777" w:rsidR="00C017C1" w:rsidRDefault="00C017C1" w:rsidP="00C017C1">
            <w:pPr>
              <w:spacing w:line="240" w:lineRule="auto"/>
              <w:jc w:val="both"/>
              <w:rPr>
                <w:rFonts w:ascii="Times New Roman" w:hAnsi="Times New Roman"/>
              </w:rPr>
            </w:pPr>
            <w:r w:rsidRPr="00AB044D">
              <w:rPr>
                <w:rFonts w:ascii="Times New Roman" w:hAnsi="Times New Roman"/>
              </w:rPr>
              <w:t xml:space="preserve">Nie przewiduje się zwiększenia zatrudnienia w organach </w:t>
            </w:r>
            <w:r w:rsidR="00F85E0B">
              <w:rPr>
                <w:rFonts w:ascii="Times New Roman" w:hAnsi="Times New Roman"/>
              </w:rPr>
              <w:t>publicznych</w:t>
            </w:r>
            <w:r w:rsidRPr="00AB044D">
              <w:rPr>
                <w:rFonts w:ascii="Times New Roman" w:hAnsi="Times New Roman"/>
              </w:rPr>
              <w:t>, które będą podejmowały działania następcze, w zakresie swojej właściwości, w wyniku otrzymania zgłoszenia o naruszeniu, ponieważ będą to robiły w ramach obecnych zadań i zwiększenie zasobów kadrowych nie jest konieczne.</w:t>
            </w:r>
          </w:p>
          <w:p w14:paraId="7EA7181D" w14:textId="77777777" w:rsidR="00C017C1" w:rsidRPr="003A1462" w:rsidRDefault="00C017C1" w:rsidP="00C017C1">
            <w:pPr>
              <w:spacing w:line="240" w:lineRule="auto"/>
              <w:jc w:val="both"/>
              <w:rPr>
                <w:rFonts w:ascii="Times New Roman" w:hAnsi="Times New Roman"/>
              </w:rPr>
            </w:pPr>
            <w:r w:rsidRPr="003A1462">
              <w:rPr>
                <w:rFonts w:ascii="Times New Roman" w:hAnsi="Times New Roman"/>
              </w:rPr>
              <w:t>Wykonanie ustawy nie zakłada, że konieczne będzie zwiększenie zatrudnienia na potrzeby obsługi zgłoszeń wewnętrznych przez podmioty w sektorze publicznym i prywatnym, gdyż zasadniczo może to nastąpić przy wykorzystaniu dotychczasowy</w:t>
            </w:r>
            <w:r>
              <w:rPr>
                <w:rFonts w:ascii="Times New Roman" w:hAnsi="Times New Roman"/>
              </w:rPr>
              <w:t>ch zasobów kadrowych pracodawcy</w:t>
            </w:r>
            <w:r w:rsidRPr="003A1462">
              <w:rPr>
                <w:rFonts w:ascii="Times New Roman" w:hAnsi="Times New Roman"/>
              </w:rPr>
              <w:t>. Ustawa może wpłynąć na zatrudnienie w tym obszarze. Skala nie jest możliwa do oszacowania.</w:t>
            </w:r>
          </w:p>
          <w:p w14:paraId="6B550306" w14:textId="77777777" w:rsidR="00C017C1" w:rsidRPr="008B4FE6" w:rsidRDefault="00C017C1" w:rsidP="00C017C1">
            <w:pPr>
              <w:spacing w:line="240" w:lineRule="auto"/>
              <w:jc w:val="both"/>
              <w:rPr>
                <w:rFonts w:ascii="Times New Roman" w:hAnsi="Times New Roman"/>
                <w:color w:val="000000"/>
              </w:rPr>
            </w:pPr>
          </w:p>
        </w:tc>
      </w:tr>
      <w:tr w:rsidR="00C017C1" w:rsidRPr="008B4FE6" w14:paraId="3026C20F" w14:textId="77777777" w:rsidTr="00B236F6">
        <w:trPr>
          <w:gridAfter w:val="1"/>
          <w:wAfter w:w="10" w:type="dxa"/>
          <w:trHeight w:val="142"/>
        </w:trPr>
        <w:tc>
          <w:tcPr>
            <w:tcW w:w="11050" w:type="dxa"/>
            <w:gridSpan w:val="29"/>
            <w:shd w:val="clear" w:color="auto" w:fill="99CCFF"/>
          </w:tcPr>
          <w:p w14:paraId="42A7885A" w14:textId="77777777" w:rsidR="00C017C1" w:rsidRPr="008B4FE6" w:rsidRDefault="00C017C1" w:rsidP="00C017C1">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C017C1" w:rsidRPr="008B4FE6" w14:paraId="2FD29346" w14:textId="77777777" w:rsidTr="00B236F6">
        <w:trPr>
          <w:gridAfter w:val="1"/>
          <w:wAfter w:w="10" w:type="dxa"/>
          <w:trHeight w:val="1031"/>
        </w:trPr>
        <w:tc>
          <w:tcPr>
            <w:tcW w:w="3660" w:type="dxa"/>
            <w:gridSpan w:val="5"/>
            <w:shd w:val="clear" w:color="auto" w:fill="FFFFFF"/>
          </w:tcPr>
          <w:p w14:paraId="59EF795D" w14:textId="77777777" w:rsidR="00C017C1" w:rsidRPr="008B4FE6" w:rsidRDefault="00C017C1" w:rsidP="00C017C1">
            <w:pPr>
              <w:spacing w:line="240" w:lineRule="auto"/>
              <w:rPr>
                <w:rFonts w:ascii="Times New Roman" w:hAnsi="Times New Roman"/>
                <w:color w:val="000000"/>
              </w:rPr>
            </w:pPr>
          </w:p>
          <w:p w14:paraId="530FBC4D"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rPr>
                <w:id w:val="365952688"/>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w:t>
            </w:r>
            <w:r w:rsidR="00C017C1" w:rsidRPr="008B4FE6">
              <w:rPr>
                <w:rFonts w:ascii="Times New Roman" w:hAnsi="Times New Roman"/>
                <w:color w:val="000000"/>
                <w:spacing w:val="-2"/>
              </w:rPr>
              <w:t>środowisko naturalne</w:t>
            </w:r>
          </w:p>
          <w:p w14:paraId="1DB7B5CF"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1888785328"/>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w:t>
            </w:r>
            <w:r w:rsidR="00C017C1" w:rsidRPr="008B4FE6">
              <w:rPr>
                <w:rFonts w:ascii="Times New Roman" w:hAnsi="Times New Roman"/>
                <w:color w:val="000000"/>
              </w:rPr>
              <w:t>sytuacja i rozwój regionalny</w:t>
            </w:r>
          </w:p>
          <w:p w14:paraId="2BC685E4" w14:textId="77777777" w:rsidR="00C017C1" w:rsidRPr="008B4FE6" w:rsidRDefault="00505613" w:rsidP="00E6559B">
            <w:pPr>
              <w:spacing w:line="240" w:lineRule="auto"/>
              <w:rPr>
                <w:rFonts w:ascii="Times New Roman" w:hAnsi="Times New Roman"/>
                <w:color w:val="000000"/>
                <w:spacing w:val="-2"/>
              </w:rPr>
            </w:pPr>
            <w:sdt>
              <w:sdtPr>
                <w:rPr>
                  <w:rFonts w:ascii="Times New Roman" w:hAnsi="Times New Roman"/>
                  <w:color w:val="000000"/>
                  <w:spacing w:val="-2"/>
                </w:rPr>
                <w:id w:val="-746416611"/>
              </w:sdtPr>
              <w:sdtEndPr/>
              <w:sdtContent>
                <w:sdt>
                  <w:sdtPr>
                    <w:rPr>
                      <w:rFonts w:ascii="Times New Roman" w:hAnsi="Times New Roman"/>
                      <w:color w:val="000000"/>
                    </w:rPr>
                    <w:id w:val="793642698"/>
                  </w:sdtPr>
                  <w:sdtEndPr/>
                  <w:sdtContent>
                    <w:r w:rsidR="00E6559B">
                      <w:rPr>
                        <w:rFonts w:ascii="MS Gothic" w:eastAsia="MS Gothic" w:hAnsi="MS Gothic" w:hint="eastAsia"/>
                        <w:color w:val="000000"/>
                      </w:rPr>
                      <w:t>☒</w:t>
                    </w:r>
                  </w:sdtContent>
                </w:sdt>
              </w:sdtContent>
            </w:sdt>
            <w:r w:rsidR="00E6559B">
              <w:rPr>
                <w:rFonts w:ascii="Times New Roman" w:hAnsi="Times New Roman"/>
                <w:color w:val="000000"/>
                <w:spacing w:val="-2"/>
              </w:rPr>
              <w:t xml:space="preserve"> sądy powszechne, administracyjne lub wojskowe</w:t>
            </w:r>
          </w:p>
        </w:tc>
        <w:tc>
          <w:tcPr>
            <w:tcW w:w="3687" w:type="dxa"/>
            <w:gridSpan w:val="15"/>
            <w:shd w:val="clear" w:color="auto" w:fill="FFFFFF"/>
          </w:tcPr>
          <w:p w14:paraId="7A0B3E70" w14:textId="77777777" w:rsidR="00C017C1" w:rsidRPr="008B4FE6" w:rsidRDefault="00C017C1" w:rsidP="00C017C1">
            <w:pPr>
              <w:spacing w:line="240" w:lineRule="auto"/>
              <w:rPr>
                <w:rFonts w:ascii="Times New Roman" w:hAnsi="Times New Roman"/>
                <w:color w:val="000000"/>
              </w:rPr>
            </w:pPr>
          </w:p>
          <w:p w14:paraId="1C673AE3" w14:textId="77777777" w:rsidR="00C017C1" w:rsidRPr="008B4FE6"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1170861332"/>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demografia</w:t>
            </w:r>
          </w:p>
          <w:p w14:paraId="3F4AD508" w14:textId="77777777" w:rsidR="00C017C1" w:rsidRDefault="00505613" w:rsidP="00C017C1">
            <w:pPr>
              <w:spacing w:line="240" w:lineRule="auto"/>
              <w:rPr>
                <w:rFonts w:ascii="Times New Roman" w:hAnsi="Times New Roman"/>
                <w:color w:val="000000"/>
              </w:rPr>
            </w:pPr>
            <w:sdt>
              <w:sdtPr>
                <w:rPr>
                  <w:rFonts w:ascii="Times New Roman" w:hAnsi="Times New Roman"/>
                  <w:color w:val="000000"/>
                </w:rPr>
                <w:id w:val="1090503991"/>
              </w:sdtPr>
              <w:sdtEndPr/>
              <w:sdtContent>
                <w:r w:rsidR="00C017C1">
                  <w:rPr>
                    <w:rFonts w:ascii="MS Gothic" w:eastAsia="MS Gothic" w:hAnsi="MS Gothic" w:hint="eastAsia"/>
                    <w:color w:val="000000"/>
                  </w:rPr>
                  <w:t>☐</w:t>
                </w:r>
              </w:sdtContent>
            </w:sdt>
            <w:r w:rsidR="00C017C1">
              <w:rPr>
                <w:rFonts w:ascii="Times New Roman" w:hAnsi="Times New Roman"/>
                <w:color w:val="000000"/>
              </w:rPr>
              <w:t xml:space="preserve"> mienie państwowe</w:t>
            </w:r>
          </w:p>
          <w:p w14:paraId="34DB6115" w14:textId="77777777" w:rsidR="00E6559B" w:rsidRPr="008B4FE6" w:rsidRDefault="00505613" w:rsidP="00C017C1">
            <w:pPr>
              <w:spacing w:line="240" w:lineRule="auto"/>
              <w:rPr>
                <w:rFonts w:ascii="Times New Roman" w:hAnsi="Times New Roman"/>
                <w:color w:val="000000"/>
              </w:rPr>
            </w:pPr>
            <w:sdt>
              <w:sdtPr>
                <w:rPr>
                  <w:rFonts w:ascii="Times New Roman" w:hAnsi="Times New Roman"/>
                  <w:color w:val="000000"/>
                  <w:spacing w:val="-2"/>
                </w:rPr>
                <w:id w:val="366884454"/>
              </w:sdtPr>
              <w:sdtEndPr/>
              <w:sdtContent>
                <w:sdt>
                  <w:sdtPr>
                    <w:rPr>
                      <w:rFonts w:ascii="Times New Roman" w:hAnsi="Times New Roman"/>
                      <w:color w:val="000000"/>
                    </w:rPr>
                    <w:id w:val="14516565"/>
                  </w:sdtPr>
                  <w:sdtEndPr/>
                  <w:sdtContent>
                    <w:r w:rsidR="00E6559B">
                      <w:rPr>
                        <w:rFonts w:ascii="MS Gothic" w:eastAsia="MS Gothic" w:hAnsi="MS Gothic" w:hint="eastAsia"/>
                        <w:color w:val="000000"/>
                      </w:rPr>
                      <w:t>☒</w:t>
                    </w:r>
                  </w:sdtContent>
                </w:sdt>
              </w:sdtContent>
            </w:sdt>
            <w:r w:rsidR="00E6559B">
              <w:rPr>
                <w:rFonts w:ascii="Times New Roman" w:hAnsi="Times New Roman"/>
                <w:color w:val="000000"/>
                <w:spacing w:val="-2"/>
              </w:rPr>
              <w:t xml:space="preserve"> </w:t>
            </w:r>
            <w:r w:rsidR="00E6559B" w:rsidRPr="008B4FE6">
              <w:rPr>
                <w:rFonts w:ascii="Times New Roman" w:hAnsi="Times New Roman"/>
                <w:color w:val="000000"/>
                <w:spacing w:val="-2"/>
              </w:rPr>
              <w:t xml:space="preserve">inne: </w:t>
            </w:r>
            <w:r w:rsidR="00E6559B" w:rsidRPr="00CD70B1">
              <w:rPr>
                <w:rFonts w:ascii="Times New Roman" w:hAnsi="Times New Roman"/>
              </w:rPr>
              <w:t>obszary objęte możliwością zgłasz</w:t>
            </w:r>
            <w:r w:rsidR="00E6559B">
              <w:rPr>
                <w:rFonts w:ascii="Times New Roman" w:hAnsi="Times New Roman"/>
              </w:rPr>
              <w:t>ania naruszeń</w:t>
            </w:r>
          </w:p>
        </w:tc>
        <w:tc>
          <w:tcPr>
            <w:tcW w:w="3703" w:type="dxa"/>
            <w:gridSpan w:val="9"/>
            <w:shd w:val="clear" w:color="auto" w:fill="FFFFFF"/>
          </w:tcPr>
          <w:p w14:paraId="5F283FEA" w14:textId="77777777" w:rsidR="00C017C1" w:rsidRPr="008B4FE6" w:rsidRDefault="00C017C1" w:rsidP="00C017C1">
            <w:pPr>
              <w:spacing w:line="240" w:lineRule="auto"/>
              <w:rPr>
                <w:rFonts w:ascii="Times New Roman" w:hAnsi="Times New Roman"/>
                <w:color w:val="000000"/>
              </w:rPr>
            </w:pPr>
          </w:p>
          <w:p w14:paraId="2628D352" w14:textId="77777777" w:rsidR="00C017C1" w:rsidRDefault="00505613" w:rsidP="00C017C1">
            <w:pPr>
              <w:spacing w:line="240" w:lineRule="auto"/>
              <w:rPr>
                <w:rFonts w:ascii="Times New Roman" w:hAnsi="Times New Roman"/>
                <w:color w:val="000000"/>
                <w:spacing w:val="-2"/>
              </w:rPr>
            </w:pPr>
            <w:sdt>
              <w:sdtPr>
                <w:rPr>
                  <w:rFonts w:ascii="Times New Roman" w:hAnsi="Times New Roman"/>
                  <w:color w:val="000000"/>
                  <w:spacing w:val="-2"/>
                </w:rPr>
                <w:id w:val="1485042436"/>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w:t>
            </w:r>
            <w:r w:rsidR="00C017C1" w:rsidRPr="008B4FE6">
              <w:rPr>
                <w:rFonts w:ascii="Times New Roman" w:hAnsi="Times New Roman"/>
                <w:color w:val="000000"/>
                <w:spacing w:val="-2"/>
              </w:rPr>
              <w:t>informatyzacja</w:t>
            </w:r>
          </w:p>
          <w:p w14:paraId="073FA611" w14:textId="77777777" w:rsidR="00C017C1" w:rsidRPr="008B4FE6" w:rsidRDefault="00505613" w:rsidP="00C017C1">
            <w:pPr>
              <w:spacing w:line="240" w:lineRule="auto"/>
              <w:rPr>
                <w:rFonts w:ascii="Times New Roman" w:hAnsi="Times New Roman"/>
                <w:color w:val="000000"/>
              </w:rPr>
            </w:pPr>
            <w:sdt>
              <w:sdtPr>
                <w:rPr>
                  <w:rFonts w:ascii="Times New Roman" w:hAnsi="Times New Roman"/>
                  <w:color w:val="000000"/>
                  <w:spacing w:val="-2"/>
                </w:rPr>
                <w:id w:val="-170105530"/>
              </w:sdtPr>
              <w:sdtEndPr/>
              <w:sdtContent>
                <w:r w:rsidR="00C017C1">
                  <w:rPr>
                    <w:rFonts w:ascii="MS Gothic" w:eastAsia="MS Gothic" w:hAnsi="MS Gothic" w:hint="eastAsia"/>
                    <w:color w:val="000000"/>
                    <w:spacing w:val="-2"/>
                  </w:rPr>
                  <w:t>☐</w:t>
                </w:r>
              </w:sdtContent>
            </w:sdt>
            <w:r w:rsidR="00C017C1">
              <w:rPr>
                <w:rFonts w:ascii="Times New Roman" w:hAnsi="Times New Roman"/>
                <w:color w:val="000000"/>
                <w:spacing w:val="-2"/>
              </w:rPr>
              <w:t xml:space="preserve"> zdrowie</w:t>
            </w:r>
          </w:p>
        </w:tc>
      </w:tr>
      <w:tr w:rsidR="00C017C1" w:rsidRPr="008B4FE6" w14:paraId="03B73DB7" w14:textId="77777777" w:rsidTr="00B236F6">
        <w:trPr>
          <w:gridAfter w:val="1"/>
          <w:wAfter w:w="10" w:type="dxa"/>
          <w:trHeight w:val="712"/>
        </w:trPr>
        <w:tc>
          <w:tcPr>
            <w:tcW w:w="2356" w:type="dxa"/>
            <w:gridSpan w:val="2"/>
            <w:shd w:val="clear" w:color="auto" w:fill="FFFFFF"/>
            <w:vAlign w:val="center"/>
          </w:tcPr>
          <w:p w14:paraId="3C68A7A4" w14:textId="77777777" w:rsidR="00C017C1" w:rsidRPr="008B4FE6" w:rsidRDefault="00C017C1" w:rsidP="00C017C1">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15F415CC" w14:textId="77777777" w:rsidR="00C017C1" w:rsidRPr="008B4FE6" w:rsidRDefault="00C017C1" w:rsidP="00C017C1">
            <w:pPr>
              <w:spacing w:line="240" w:lineRule="auto"/>
              <w:jc w:val="both"/>
              <w:rPr>
                <w:rFonts w:ascii="Times New Roman" w:hAnsi="Times New Roman"/>
                <w:color w:val="000000"/>
                <w:spacing w:val="-2"/>
              </w:rPr>
            </w:pPr>
            <w:r>
              <w:rPr>
                <w:rFonts w:ascii="Times New Roman" w:hAnsi="Times New Roman"/>
                <w:color w:val="000000"/>
                <w:spacing w:val="-2"/>
              </w:rPr>
              <w:t>Objęcie ochroną osób zgłaszających lub ujawniających informacje o naruszeniach prawa uzyskane w związku z pracą przyczyni się do zapobiegania szkodom i wykrywania zagrożeń dla interesu publicznego, które w przeciwnym wypadku pozostałyby niewykryte.</w:t>
            </w:r>
            <w:r>
              <w:t xml:space="preserve"> </w:t>
            </w:r>
            <w:r w:rsidRPr="00910D25">
              <w:rPr>
                <w:rFonts w:ascii="Times New Roman" w:hAnsi="Times New Roman"/>
              </w:rPr>
              <w:t xml:space="preserve">Dotyczy to wszystkich obszarów, co do których możliwe będzie zgłaszanie naruszeń, w szczególności tych objętych dyrektywą 2019/1937. </w:t>
            </w:r>
          </w:p>
          <w:p w14:paraId="4FF4F712" w14:textId="77777777" w:rsidR="00C017C1" w:rsidRPr="008B4FE6" w:rsidRDefault="00C017C1" w:rsidP="00C017C1">
            <w:pPr>
              <w:spacing w:line="240" w:lineRule="auto"/>
              <w:jc w:val="both"/>
              <w:rPr>
                <w:rFonts w:ascii="Times New Roman" w:hAnsi="Times New Roman"/>
                <w:color w:val="000000"/>
                <w:spacing w:val="-2"/>
              </w:rPr>
            </w:pPr>
          </w:p>
        </w:tc>
      </w:tr>
      <w:tr w:rsidR="00C017C1" w:rsidRPr="008B4FE6" w14:paraId="2551D924" w14:textId="77777777" w:rsidTr="00B236F6">
        <w:trPr>
          <w:gridAfter w:val="1"/>
          <w:wAfter w:w="10" w:type="dxa"/>
          <w:trHeight w:val="142"/>
        </w:trPr>
        <w:tc>
          <w:tcPr>
            <w:tcW w:w="11050" w:type="dxa"/>
            <w:gridSpan w:val="29"/>
            <w:shd w:val="clear" w:color="auto" w:fill="99CCFF"/>
          </w:tcPr>
          <w:p w14:paraId="27C75698" w14:textId="77777777" w:rsidR="00C017C1" w:rsidRPr="00627221" w:rsidRDefault="008B044E" w:rsidP="00C017C1">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 xml:space="preserve"> </w:t>
            </w:r>
            <w:r w:rsidR="00C017C1">
              <w:rPr>
                <w:rFonts w:ascii="Times New Roman" w:hAnsi="Times New Roman"/>
                <w:b/>
                <w:spacing w:val="-2"/>
                <w:sz w:val="21"/>
                <w:szCs w:val="21"/>
              </w:rPr>
              <w:t>Planowane w</w:t>
            </w:r>
            <w:r w:rsidR="00C017C1" w:rsidRPr="00627221">
              <w:rPr>
                <w:rFonts w:ascii="Times New Roman" w:hAnsi="Times New Roman"/>
                <w:b/>
                <w:spacing w:val="-2"/>
                <w:sz w:val="21"/>
                <w:szCs w:val="21"/>
              </w:rPr>
              <w:t>ykonani</w:t>
            </w:r>
            <w:r w:rsidR="00C017C1">
              <w:rPr>
                <w:rFonts w:ascii="Times New Roman" w:hAnsi="Times New Roman"/>
                <w:b/>
                <w:spacing w:val="-2"/>
                <w:sz w:val="21"/>
                <w:szCs w:val="21"/>
              </w:rPr>
              <w:t>e</w:t>
            </w:r>
            <w:r w:rsidR="00C017C1" w:rsidRPr="00627221">
              <w:rPr>
                <w:rFonts w:ascii="Times New Roman" w:hAnsi="Times New Roman"/>
                <w:b/>
                <w:spacing w:val="-2"/>
                <w:sz w:val="21"/>
                <w:szCs w:val="21"/>
              </w:rPr>
              <w:t xml:space="preserve"> przepisów aktu prawnego</w:t>
            </w:r>
          </w:p>
        </w:tc>
      </w:tr>
      <w:tr w:rsidR="00C017C1" w:rsidRPr="008B4FE6" w14:paraId="4441154A" w14:textId="77777777" w:rsidTr="00B236F6">
        <w:trPr>
          <w:gridAfter w:val="1"/>
          <w:wAfter w:w="10" w:type="dxa"/>
          <w:trHeight w:val="142"/>
        </w:trPr>
        <w:tc>
          <w:tcPr>
            <w:tcW w:w="11050" w:type="dxa"/>
            <w:gridSpan w:val="29"/>
            <w:shd w:val="clear" w:color="auto" w:fill="FFFFFF"/>
          </w:tcPr>
          <w:p w14:paraId="5003FE56" w14:textId="77777777" w:rsidR="00C017C1" w:rsidRPr="00B37C80" w:rsidRDefault="00C017C1" w:rsidP="008B044E">
            <w:pPr>
              <w:spacing w:line="240" w:lineRule="auto"/>
              <w:jc w:val="both"/>
              <w:rPr>
                <w:rFonts w:ascii="Times New Roman" w:hAnsi="Times New Roman"/>
                <w:spacing w:val="-2"/>
              </w:rPr>
            </w:pPr>
            <w:r w:rsidRPr="00A23E73">
              <w:rPr>
                <w:rFonts w:ascii="Times New Roman" w:hAnsi="Times New Roman"/>
                <w:spacing w:val="-2"/>
              </w:rPr>
              <w:t>Planowane wykonanie przepisów ustawy nast</w:t>
            </w:r>
            <w:r>
              <w:rPr>
                <w:rFonts w:ascii="Times New Roman" w:hAnsi="Times New Roman"/>
                <w:spacing w:val="-2"/>
              </w:rPr>
              <w:t xml:space="preserve">ąpi z </w:t>
            </w:r>
            <w:r w:rsidR="00B32DEA">
              <w:rPr>
                <w:rFonts w:ascii="Times New Roman" w:hAnsi="Times New Roman"/>
                <w:spacing w:val="-2"/>
              </w:rPr>
              <w:t xml:space="preserve">po upływie 2 miesięcy od dnia </w:t>
            </w:r>
            <w:r w:rsidR="00F85E0B">
              <w:rPr>
                <w:rFonts w:ascii="Times New Roman" w:hAnsi="Times New Roman"/>
                <w:spacing w:val="-2"/>
              </w:rPr>
              <w:t xml:space="preserve">jej </w:t>
            </w:r>
            <w:r w:rsidR="00B32DEA">
              <w:rPr>
                <w:rFonts w:ascii="Times New Roman" w:hAnsi="Times New Roman"/>
                <w:spacing w:val="-2"/>
              </w:rPr>
              <w:t>ogłoszenia</w:t>
            </w:r>
            <w:r>
              <w:rPr>
                <w:rFonts w:ascii="Times New Roman" w:hAnsi="Times New Roman"/>
                <w:spacing w:val="-2"/>
              </w:rPr>
              <w:t xml:space="preserve">, z uwzględnieniem okresu vacatio legis </w:t>
            </w:r>
            <w:r>
              <w:rPr>
                <w:rFonts w:ascii="Times New Roman" w:hAnsi="Times New Roman"/>
              </w:rPr>
              <w:t xml:space="preserve">dotyczącego </w:t>
            </w:r>
            <w:r w:rsidR="008B044E">
              <w:rPr>
                <w:rFonts w:ascii="Times New Roman" w:hAnsi="Times New Roman"/>
              </w:rPr>
              <w:t>obowiązku ustalenia procedury dokonywania zgłoszeń</w:t>
            </w:r>
            <w:r>
              <w:rPr>
                <w:rFonts w:ascii="Times New Roman" w:hAnsi="Times New Roman"/>
              </w:rPr>
              <w:t>, w tym w zakresie obowiązku ustanowienia wewnętrznych kanałów zgłaszania naruszeń</w:t>
            </w:r>
            <w:r w:rsidRPr="00F57058">
              <w:rPr>
                <w:rFonts w:ascii="Times New Roman" w:hAnsi="Times New Roman"/>
              </w:rPr>
              <w:t xml:space="preserve"> </w:t>
            </w:r>
            <w:r>
              <w:rPr>
                <w:rFonts w:ascii="Times New Roman" w:hAnsi="Times New Roman"/>
              </w:rPr>
              <w:t>przez podmioty w sektorze prywatnym</w:t>
            </w:r>
            <w:r w:rsidRPr="00F57058">
              <w:rPr>
                <w:rFonts w:ascii="Times New Roman" w:hAnsi="Times New Roman"/>
              </w:rPr>
              <w:t>, które zatrudniają od 50 do 249 pracowników</w:t>
            </w:r>
            <w:r>
              <w:rPr>
                <w:rFonts w:ascii="Times New Roman" w:hAnsi="Times New Roman"/>
              </w:rPr>
              <w:t>.</w:t>
            </w:r>
          </w:p>
        </w:tc>
      </w:tr>
      <w:tr w:rsidR="00C017C1" w:rsidRPr="008B4FE6" w14:paraId="4EA7FCCB" w14:textId="77777777" w:rsidTr="00B236F6">
        <w:trPr>
          <w:gridAfter w:val="1"/>
          <w:wAfter w:w="10" w:type="dxa"/>
          <w:trHeight w:val="142"/>
        </w:trPr>
        <w:tc>
          <w:tcPr>
            <w:tcW w:w="11050" w:type="dxa"/>
            <w:gridSpan w:val="29"/>
            <w:shd w:val="clear" w:color="auto" w:fill="99CCFF"/>
          </w:tcPr>
          <w:p w14:paraId="0FDA8EE1" w14:textId="77777777" w:rsidR="00C017C1" w:rsidRPr="008B4FE6" w:rsidRDefault="00C017C1" w:rsidP="00C017C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C017C1" w:rsidRPr="008B4FE6" w14:paraId="43FB6574" w14:textId="77777777" w:rsidTr="00B236F6">
        <w:trPr>
          <w:gridAfter w:val="1"/>
          <w:wAfter w:w="10" w:type="dxa"/>
          <w:trHeight w:val="142"/>
        </w:trPr>
        <w:tc>
          <w:tcPr>
            <w:tcW w:w="11050" w:type="dxa"/>
            <w:gridSpan w:val="29"/>
            <w:shd w:val="clear" w:color="auto" w:fill="FFFFFF"/>
          </w:tcPr>
          <w:p w14:paraId="1D99D449" w14:textId="77777777" w:rsidR="00C017C1" w:rsidRPr="00B37C80" w:rsidRDefault="00C017C1" w:rsidP="00C017C1">
            <w:pPr>
              <w:spacing w:line="240" w:lineRule="auto"/>
              <w:jc w:val="both"/>
              <w:rPr>
                <w:rFonts w:ascii="Times New Roman" w:hAnsi="Times New Roman"/>
                <w:color w:val="000000"/>
                <w:spacing w:val="-2"/>
              </w:rPr>
            </w:pPr>
            <w:r w:rsidRPr="00A23E73">
              <w:rPr>
                <w:rFonts w:ascii="Times New Roman" w:hAnsi="Times New Roman"/>
              </w:rPr>
              <w:t xml:space="preserve">Organy przyjmujące zgłoszenia </w:t>
            </w:r>
            <w:r>
              <w:rPr>
                <w:rFonts w:ascii="Times New Roman" w:hAnsi="Times New Roman"/>
              </w:rPr>
              <w:t xml:space="preserve">naruszeń prawa </w:t>
            </w:r>
            <w:r w:rsidR="009D0485">
              <w:rPr>
                <w:rFonts w:ascii="Times New Roman" w:hAnsi="Times New Roman"/>
              </w:rPr>
              <w:t xml:space="preserve">(organy publiczne oraz Rzecznik Praw obywatelskich) </w:t>
            </w:r>
            <w:r w:rsidRPr="00A23E73">
              <w:rPr>
                <w:rFonts w:ascii="Times New Roman" w:hAnsi="Times New Roman"/>
              </w:rPr>
              <w:t xml:space="preserve">raz na trzy lata będą dokonywały przeglądu procedur przyjmowania zgłoszeń oraz podejmowania działań następczych w związku z tymi zgłoszeniami. Dokonując przeglądu takich procedur, </w:t>
            </w:r>
            <w:r w:rsidR="009D0485">
              <w:rPr>
                <w:rFonts w:ascii="Times New Roman" w:hAnsi="Times New Roman"/>
              </w:rPr>
              <w:t xml:space="preserve">ww. </w:t>
            </w:r>
            <w:r w:rsidRPr="00A23E73">
              <w:rPr>
                <w:rFonts w:ascii="Times New Roman" w:hAnsi="Times New Roman"/>
              </w:rPr>
              <w:t>organy będą uwzględniały swoje doświadczenie, jak również doświadczenie innych właściwych</w:t>
            </w:r>
            <w:r>
              <w:rPr>
                <w:rFonts w:ascii="Times New Roman" w:hAnsi="Times New Roman"/>
              </w:rPr>
              <w:t xml:space="preserve"> organów i </w:t>
            </w:r>
            <w:r w:rsidRPr="00A23E73">
              <w:rPr>
                <w:rFonts w:ascii="Times New Roman" w:hAnsi="Times New Roman"/>
              </w:rPr>
              <w:t>odpowiednio dostosowywały swoje procedury.</w:t>
            </w:r>
          </w:p>
          <w:p w14:paraId="3171B482" w14:textId="77777777" w:rsidR="00C017C1" w:rsidRDefault="00C017C1" w:rsidP="00C017C1">
            <w:pPr>
              <w:spacing w:line="240" w:lineRule="auto"/>
              <w:jc w:val="both"/>
              <w:rPr>
                <w:rFonts w:ascii="Times New Roman" w:hAnsi="Times New Roman"/>
              </w:rPr>
            </w:pPr>
            <w:r>
              <w:rPr>
                <w:rFonts w:ascii="Times New Roman" w:hAnsi="Times New Roman"/>
              </w:rPr>
              <w:t xml:space="preserve">Ponadto co roku będą gromadzone i przekazywane do Komisji Europejskiej dane statystyczne dotyczące: </w:t>
            </w:r>
          </w:p>
          <w:p w14:paraId="7226BDB5" w14:textId="77777777" w:rsidR="00C017C1" w:rsidRDefault="009269B7" w:rsidP="00C017C1">
            <w:pPr>
              <w:spacing w:line="240" w:lineRule="auto"/>
              <w:jc w:val="both"/>
              <w:rPr>
                <w:rFonts w:ascii="Times New Roman" w:hAnsi="Times New Roman"/>
              </w:rPr>
            </w:pPr>
            <w:r>
              <w:rPr>
                <w:rFonts w:ascii="Times New Roman" w:hAnsi="Times New Roman"/>
              </w:rPr>
              <w:t xml:space="preserve">– </w:t>
            </w:r>
            <w:r w:rsidR="00C017C1">
              <w:rPr>
                <w:rFonts w:ascii="Times New Roman" w:hAnsi="Times New Roman"/>
              </w:rPr>
              <w:t xml:space="preserve">liczby zgłoszeń przyjętych przez organy </w:t>
            </w:r>
            <w:r w:rsidR="008B044E">
              <w:rPr>
                <w:rFonts w:ascii="Times New Roman" w:hAnsi="Times New Roman"/>
              </w:rPr>
              <w:t>publiczne</w:t>
            </w:r>
            <w:r w:rsidR="00C017C1">
              <w:rPr>
                <w:rFonts w:ascii="Times New Roman" w:hAnsi="Times New Roman"/>
              </w:rPr>
              <w:t xml:space="preserve">, </w:t>
            </w:r>
          </w:p>
          <w:p w14:paraId="5348CAD4" w14:textId="77777777" w:rsidR="00C017C1" w:rsidRDefault="009269B7" w:rsidP="00C017C1">
            <w:pPr>
              <w:spacing w:line="240" w:lineRule="auto"/>
              <w:jc w:val="both"/>
              <w:rPr>
                <w:rFonts w:ascii="Times New Roman" w:hAnsi="Times New Roman"/>
              </w:rPr>
            </w:pPr>
            <w:r>
              <w:rPr>
                <w:rFonts w:ascii="Times New Roman" w:hAnsi="Times New Roman"/>
              </w:rPr>
              <w:t xml:space="preserve">– </w:t>
            </w:r>
            <w:r w:rsidR="00C017C1">
              <w:rPr>
                <w:rFonts w:ascii="Times New Roman" w:hAnsi="Times New Roman"/>
              </w:rPr>
              <w:t>liczby postępowań wyjaśniających i postępowań wszczętych na podstawie zgłoszeń oraz ich wyniku,</w:t>
            </w:r>
          </w:p>
          <w:p w14:paraId="2A9A0D72" w14:textId="77777777" w:rsidR="00C017C1" w:rsidRDefault="009269B7" w:rsidP="00C017C1">
            <w:pPr>
              <w:spacing w:line="240" w:lineRule="auto"/>
              <w:jc w:val="both"/>
              <w:rPr>
                <w:rFonts w:ascii="Times New Roman" w:hAnsi="Times New Roman"/>
              </w:rPr>
            </w:pPr>
            <w:r>
              <w:rPr>
                <w:rFonts w:ascii="Times New Roman" w:hAnsi="Times New Roman"/>
              </w:rPr>
              <w:t xml:space="preserve">– </w:t>
            </w:r>
            <w:r w:rsidR="00C017C1">
              <w:rPr>
                <w:rFonts w:ascii="Times New Roman" w:hAnsi="Times New Roman"/>
              </w:rPr>
              <w:t>szacunkowej szkody majątkowej, jeżeli została stwierdzona, oraz kwoty odzyskanej w wyniku postępowań wyjaśniających i postępowań dotyczących naruszeń będących przedmiotem zgłoszenia</w:t>
            </w:r>
            <w:r w:rsidR="008B044E">
              <w:rPr>
                <w:rFonts w:ascii="Times New Roman" w:hAnsi="Times New Roman"/>
              </w:rPr>
              <w:t xml:space="preserve"> – o ile organ będzie posiadał takie dane</w:t>
            </w:r>
            <w:r w:rsidR="00C017C1">
              <w:rPr>
                <w:rFonts w:ascii="Times New Roman" w:hAnsi="Times New Roman"/>
              </w:rPr>
              <w:t>.</w:t>
            </w:r>
          </w:p>
          <w:p w14:paraId="73028D80" w14:textId="77777777" w:rsidR="00C017C1" w:rsidRPr="00B37C80" w:rsidRDefault="00C017C1" w:rsidP="00C017C1">
            <w:pPr>
              <w:spacing w:line="240" w:lineRule="auto"/>
              <w:jc w:val="both"/>
              <w:rPr>
                <w:rFonts w:ascii="Times New Roman" w:hAnsi="Times New Roman"/>
                <w:color w:val="000000"/>
                <w:spacing w:val="-2"/>
              </w:rPr>
            </w:pPr>
          </w:p>
        </w:tc>
      </w:tr>
      <w:tr w:rsidR="00C017C1" w:rsidRPr="008B4FE6" w14:paraId="48D7545A" w14:textId="77777777" w:rsidTr="00B236F6">
        <w:trPr>
          <w:gridAfter w:val="1"/>
          <w:wAfter w:w="10" w:type="dxa"/>
          <w:trHeight w:val="142"/>
        </w:trPr>
        <w:tc>
          <w:tcPr>
            <w:tcW w:w="11050" w:type="dxa"/>
            <w:gridSpan w:val="29"/>
            <w:shd w:val="clear" w:color="auto" w:fill="99CCFF"/>
          </w:tcPr>
          <w:p w14:paraId="1E6FFA05" w14:textId="77777777" w:rsidR="00C017C1" w:rsidRPr="008B4FE6" w:rsidRDefault="00D80B33" w:rsidP="00E6559B">
            <w:pPr>
              <w:numPr>
                <w:ilvl w:val="0"/>
                <w:numId w:val="3"/>
              </w:numPr>
              <w:spacing w:before="60" w:after="60" w:line="240" w:lineRule="auto"/>
              <w:ind w:left="318" w:hanging="284"/>
              <w:jc w:val="both"/>
              <w:rPr>
                <w:rFonts w:ascii="Times New Roman" w:hAnsi="Times New Roman"/>
                <w:b/>
                <w:color w:val="000000"/>
                <w:spacing w:val="-2"/>
              </w:rPr>
            </w:pPr>
            <w:r>
              <w:rPr>
                <w:rFonts w:ascii="Times New Roman" w:hAnsi="Times New Roman"/>
                <w:b/>
                <w:color w:val="000000"/>
                <w:spacing w:val="-2"/>
              </w:rPr>
              <w:t xml:space="preserve"> </w:t>
            </w:r>
            <w:r w:rsidR="00C017C1" w:rsidRPr="008B4FE6">
              <w:rPr>
                <w:rFonts w:ascii="Times New Roman" w:hAnsi="Times New Roman"/>
                <w:b/>
                <w:color w:val="000000"/>
                <w:spacing w:val="-2"/>
              </w:rPr>
              <w:t xml:space="preserve">Załączniki </w:t>
            </w:r>
            <w:r w:rsidR="00C017C1" w:rsidRPr="0063060B">
              <w:rPr>
                <w:rFonts w:ascii="Times New Roman" w:hAnsi="Times New Roman"/>
                <w:b/>
                <w:spacing w:val="-2"/>
                <w:sz w:val="21"/>
                <w:szCs w:val="21"/>
              </w:rPr>
              <w:t>(</w:t>
            </w:r>
            <w:r w:rsidR="00C017C1">
              <w:rPr>
                <w:rFonts w:ascii="Times New Roman" w:hAnsi="Times New Roman"/>
                <w:b/>
                <w:spacing w:val="-2"/>
                <w:sz w:val="21"/>
                <w:szCs w:val="21"/>
              </w:rPr>
              <w:t xml:space="preserve">istotne </w:t>
            </w:r>
            <w:r w:rsidR="00C017C1" w:rsidRPr="0063060B">
              <w:rPr>
                <w:rFonts w:ascii="Times New Roman" w:hAnsi="Times New Roman"/>
                <w:b/>
                <w:spacing w:val="-2"/>
                <w:sz w:val="21"/>
                <w:szCs w:val="21"/>
              </w:rPr>
              <w:t>dokumenty źródłowe,</w:t>
            </w:r>
            <w:r w:rsidR="00C017C1">
              <w:rPr>
                <w:rFonts w:ascii="Times New Roman" w:hAnsi="Times New Roman"/>
                <w:b/>
                <w:spacing w:val="-2"/>
                <w:sz w:val="21"/>
                <w:szCs w:val="21"/>
              </w:rPr>
              <w:t xml:space="preserve"> badania, analizy itp.</w:t>
            </w:r>
            <w:r w:rsidR="00C017C1" w:rsidRPr="008B4FE6">
              <w:rPr>
                <w:rFonts w:ascii="Times New Roman" w:hAnsi="Times New Roman"/>
                <w:b/>
                <w:color w:val="000000"/>
                <w:spacing w:val="-2"/>
              </w:rPr>
              <w:t xml:space="preserve">) </w:t>
            </w:r>
          </w:p>
        </w:tc>
      </w:tr>
      <w:tr w:rsidR="00C017C1" w:rsidRPr="008B4FE6" w14:paraId="284026D3" w14:textId="77777777" w:rsidTr="00B236F6">
        <w:trPr>
          <w:gridAfter w:val="1"/>
          <w:wAfter w:w="10" w:type="dxa"/>
          <w:trHeight w:val="142"/>
        </w:trPr>
        <w:tc>
          <w:tcPr>
            <w:tcW w:w="11050" w:type="dxa"/>
            <w:gridSpan w:val="29"/>
            <w:shd w:val="clear" w:color="auto" w:fill="FFFFFF"/>
          </w:tcPr>
          <w:p w14:paraId="07CBE5ED" w14:textId="77777777" w:rsidR="00C017C1" w:rsidRPr="007B11FE" w:rsidRDefault="00C017C1" w:rsidP="00C017C1">
            <w:pPr>
              <w:spacing w:line="240" w:lineRule="auto"/>
              <w:jc w:val="both"/>
              <w:rPr>
                <w:rFonts w:ascii="Times New Roman" w:hAnsi="Times New Roman"/>
                <w:color w:val="000000"/>
                <w:spacing w:val="-2"/>
              </w:rPr>
            </w:pPr>
            <w:r w:rsidRPr="007B11FE">
              <w:rPr>
                <w:rFonts w:ascii="Times New Roman" w:hAnsi="Times New Roman"/>
                <w:color w:val="000000"/>
                <w:spacing w:val="-2"/>
              </w:rPr>
              <w:lastRenderedPageBreak/>
              <w:t>Nie dotyczy.</w:t>
            </w:r>
          </w:p>
          <w:p w14:paraId="344077C9" w14:textId="77777777" w:rsidR="00C017C1" w:rsidRPr="00B37C80" w:rsidRDefault="00C017C1" w:rsidP="00C017C1">
            <w:pPr>
              <w:spacing w:line="240" w:lineRule="auto"/>
              <w:jc w:val="both"/>
              <w:rPr>
                <w:rFonts w:ascii="Times New Roman" w:hAnsi="Times New Roman"/>
                <w:color w:val="000000"/>
                <w:spacing w:val="-2"/>
              </w:rPr>
            </w:pPr>
          </w:p>
        </w:tc>
      </w:tr>
    </w:tbl>
    <w:p w14:paraId="401E2719" w14:textId="77777777" w:rsidR="006176ED" w:rsidRPr="00522D94" w:rsidRDefault="006176ED" w:rsidP="001C22EB">
      <w:pPr>
        <w:pStyle w:val="Nagwek1"/>
        <w:jc w:val="center"/>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3B714" w14:textId="77777777" w:rsidR="00505613" w:rsidRDefault="00505613" w:rsidP="00044739">
      <w:pPr>
        <w:spacing w:line="240" w:lineRule="auto"/>
      </w:pPr>
      <w:r>
        <w:separator/>
      </w:r>
    </w:p>
  </w:endnote>
  <w:endnote w:type="continuationSeparator" w:id="0">
    <w:p w14:paraId="676A52F0" w14:textId="77777777" w:rsidR="00505613" w:rsidRDefault="00505613"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60405020304"/>
    <w:charset w:val="EE"/>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21CA0" w14:textId="77777777" w:rsidR="00505613" w:rsidRDefault="00505613" w:rsidP="00044739">
      <w:pPr>
        <w:spacing w:line="240" w:lineRule="auto"/>
      </w:pPr>
      <w:r>
        <w:separator/>
      </w:r>
    </w:p>
  </w:footnote>
  <w:footnote w:type="continuationSeparator" w:id="0">
    <w:p w14:paraId="2721EFD1" w14:textId="77777777" w:rsidR="00505613" w:rsidRDefault="00505613" w:rsidP="00044739">
      <w:pPr>
        <w:spacing w:line="240" w:lineRule="auto"/>
      </w:pPr>
      <w:r>
        <w:continuationSeparator/>
      </w:r>
    </w:p>
  </w:footnote>
  <w:footnote w:id="1">
    <w:p w14:paraId="339FBE25" w14:textId="77777777" w:rsidR="00367BB9" w:rsidRPr="00E86800" w:rsidRDefault="00367BB9" w:rsidP="00F51E62">
      <w:pPr>
        <w:pStyle w:val="Tekstprzypisudolnego"/>
        <w:rPr>
          <w:sz w:val="18"/>
          <w:szCs w:val="18"/>
        </w:rPr>
      </w:pPr>
      <w:r>
        <w:rPr>
          <w:rStyle w:val="Odwoanieprzypisudolnego"/>
        </w:rPr>
        <w:footnoteRef/>
      </w:r>
      <w:r>
        <w:t xml:space="preserve"> </w:t>
      </w:r>
      <w:r w:rsidRPr="00E86800">
        <w:rPr>
          <w:rFonts w:ascii="Times New Roman" w:hAnsi="Times New Roman"/>
        </w:rPr>
        <w:t>„</w:t>
      </w:r>
      <w:r w:rsidRPr="00E86800">
        <w:rPr>
          <w:rFonts w:ascii="Times New Roman" w:hAnsi="Times New Roman"/>
          <w:sz w:val="18"/>
          <w:szCs w:val="18"/>
        </w:rPr>
        <w:t>Informacja o działalności Rzecznika Praw Obywatelskich oraz o stanie przestrzegania wolności i praw człowieka i obywatela w roku 2020”.</w:t>
      </w:r>
    </w:p>
  </w:footnote>
  <w:footnote w:id="2">
    <w:p w14:paraId="124E61FE" w14:textId="77777777" w:rsidR="00367BB9" w:rsidRDefault="00367BB9" w:rsidP="00F51E62">
      <w:pPr>
        <w:pStyle w:val="Tekstprzypisudolnego"/>
      </w:pPr>
      <w:r>
        <w:rPr>
          <w:rStyle w:val="Odwoanieprzypisudolnego"/>
        </w:rPr>
        <w:footnoteRef/>
      </w:r>
      <w:r>
        <w:t xml:space="preserve"> </w:t>
      </w:r>
      <w:r>
        <w:rPr>
          <w:rFonts w:ascii="Times New Roman" w:hAnsi="Times New Roman"/>
          <w:sz w:val="18"/>
          <w:szCs w:val="18"/>
        </w:rPr>
        <w:t>J</w:t>
      </w:r>
      <w:r w:rsidRPr="00E86800">
        <w:rPr>
          <w:rFonts w:ascii="Times New Roman" w:hAnsi="Times New Roman"/>
          <w:sz w:val="18"/>
          <w:szCs w:val="18"/>
        </w:rPr>
        <w:t>w.</w:t>
      </w:r>
    </w:p>
  </w:footnote>
  <w:footnote w:id="3">
    <w:p w14:paraId="64120ADD" w14:textId="77777777" w:rsidR="00367BB9" w:rsidRDefault="00367BB9" w:rsidP="00F51E62">
      <w:pPr>
        <w:pStyle w:val="Tekstprzypisudolnego"/>
      </w:pPr>
      <w:r>
        <w:rPr>
          <w:rStyle w:val="Odwoanieprzypisudolnego"/>
        </w:rPr>
        <w:footnoteRef/>
      </w:r>
      <w:r>
        <w:t xml:space="preserve"> </w:t>
      </w:r>
      <w:r w:rsidRPr="00453E01">
        <w:rPr>
          <w:rFonts w:ascii="Times New Roman" w:hAnsi="Times New Roman"/>
          <w:sz w:val="18"/>
          <w:szCs w:val="18"/>
        </w:rPr>
        <w:t xml:space="preserve">Zgodnie z </w:t>
      </w:r>
      <w:r>
        <w:rPr>
          <w:rFonts w:ascii="Times New Roman" w:hAnsi="Times New Roman"/>
          <w:sz w:val="18"/>
          <w:szCs w:val="18"/>
        </w:rPr>
        <w:t xml:space="preserve">kontrolą przeprowadzoną przez </w:t>
      </w:r>
      <w:r w:rsidRPr="00453E01">
        <w:rPr>
          <w:rFonts w:ascii="Times New Roman" w:hAnsi="Times New Roman"/>
          <w:sz w:val="18"/>
          <w:szCs w:val="18"/>
        </w:rPr>
        <w:t xml:space="preserve">Najwyższej Izby Kontroli </w:t>
      </w:r>
      <w:r>
        <w:rPr>
          <w:rFonts w:ascii="Times New Roman" w:hAnsi="Times New Roman"/>
          <w:sz w:val="18"/>
          <w:szCs w:val="18"/>
        </w:rPr>
        <w:t>„</w:t>
      </w:r>
      <w:r w:rsidRPr="000A1AFE">
        <w:rPr>
          <w:rFonts w:ascii="Times New Roman" w:hAnsi="Times New Roman"/>
          <w:sz w:val="18"/>
          <w:szCs w:val="18"/>
        </w:rPr>
        <w:t>Wykonanie budżetu państwa w 2019 r. w części 08 – Rzecznik Praw Obywatelskich</w:t>
      </w:r>
      <w:r>
        <w:rPr>
          <w:rFonts w:ascii="Times New Roman" w:hAnsi="Times New Roman"/>
          <w:sz w:val="18"/>
          <w:szCs w:val="18"/>
        </w:rPr>
        <w:t xml:space="preserve">” nr </w:t>
      </w:r>
      <w:r w:rsidRPr="000A1AFE">
        <w:rPr>
          <w:rFonts w:ascii="Times New Roman" w:hAnsi="Times New Roman"/>
          <w:sz w:val="18"/>
          <w:szCs w:val="18"/>
        </w:rPr>
        <w:t>KBF.430.008.2020</w:t>
      </w:r>
      <w:r>
        <w:rPr>
          <w:rFonts w:ascii="Times New Roman" w:hAnsi="Times New Roman"/>
          <w:sz w:val="18"/>
          <w:szCs w:val="18"/>
        </w:rPr>
        <w:t>.</w:t>
      </w:r>
    </w:p>
  </w:footnote>
  <w:footnote w:id="4">
    <w:p w14:paraId="2337A5F7" w14:textId="77777777" w:rsidR="00367BB9" w:rsidRDefault="00367BB9" w:rsidP="00F51E62">
      <w:pPr>
        <w:pStyle w:val="Tekstprzypisudolnego"/>
      </w:pPr>
      <w:r w:rsidRPr="00453E01">
        <w:rPr>
          <w:rStyle w:val="Odwoanieprzypisudolnego"/>
          <w:rFonts w:ascii="Times New Roman" w:hAnsi="Times New Roman"/>
          <w:sz w:val="18"/>
          <w:szCs w:val="18"/>
        </w:rPr>
        <w:footnoteRef/>
      </w:r>
      <w:r w:rsidRPr="00453E01">
        <w:rPr>
          <w:rFonts w:ascii="Times New Roman" w:hAnsi="Times New Roman"/>
          <w:sz w:val="18"/>
          <w:szCs w:val="18"/>
        </w:rPr>
        <w:t xml:space="preserve"> Dolna granica ilości zgłoszeń została oszacowana na podstawie ilości zgłoszeń jakie we własnym zakresie otrzymuje Urząd Ochrony Konkurencji i Konsumentów: https://www.prawo.pl/biznes/jak-powiadomic-uokik-o-zmowie-przedsiebiorcow,496510.html.</w:t>
      </w:r>
    </w:p>
  </w:footnote>
  <w:footnote w:id="5">
    <w:p w14:paraId="28E6BADD" w14:textId="77777777" w:rsidR="00367BB9" w:rsidRPr="000A1AFE" w:rsidRDefault="00367BB9" w:rsidP="00F51E62">
      <w:pPr>
        <w:pStyle w:val="Default"/>
      </w:pPr>
      <w:r w:rsidRPr="00453E01">
        <w:rPr>
          <w:rStyle w:val="Odwoanieprzypisudolnego"/>
          <w:rFonts w:ascii="Times New Roman" w:hAnsi="Times New Roman"/>
          <w:sz w:val="18"/>
          <w:szCs w:val="18"/>
        </w:rPr>
        <w:footnoteRef/>
      </w:r>
      <w:r w:rsidRPr="00453E01">
        <w:rPr>
          <w:rFonts w:ascii="Times New Roman" w:hAnsi="Times New Roman"/>
          <w:sz w:val="18"/>
          <w:szCs w:val="18"/>
        </w:rPr>
        <w:t xml:space="preserve"> Zgodnie z </w:t>
      </w:r>
      <w:r>
        <w:rPr>
          <w:rFonts w:ascii="Times New Roman" w:hAnsi="Times New Roman"/>
          <w:sz w:val="18"/>
          <w:szCs w:val="18"/>
        </w:rPr>
        <w:t xml:space="preserve">kontrolą przeprowadzoną przez </w:t>
      </w:r>
      <w:r w:rsidRPr="00453E01">
        <w:rPr>
          <w:rFonts w:ascii="Times New Roman" w:hAnsi="Times New Roman"/>
          <w:sz w:val="18"/>
          <w:szCs w:val="18"/>
        </w:rPr>
        <w:t xml:space="preserve">Najwyższej Izby Kontroli </w:t>
      </w:r>
      <w:r>
        <w:rPr>
          <w:rFonts w:ascii="Times New Roman" w:hAnsi="Times New Roman"/>
          <w:sz w:val="18"/>
          <w:szCs w:val="18"/>
        </w:rPr>
        <w:t>„</w:t>
      </w:r>
      <w:r w:rsidRPr="000A1AFE">
        <w:rPr>
          <w:rFonts w:ascii="Times New Roman" w:hAnsi="Times New Roman" w:cs="Times New Roman"/>
          <w:sz w:val="18"/>
          <w:szCs w:val="18"/>
        </w:rPr>
        <w:t>Wykonanie budżetu państwa w 2019 r. w części 08 – Rzecznik Praw Obywatelskich</w:t>
      </w:r>
      <w:r>
        <w:rPr>
          <w:rFonts w:ascii="Times New Roman" w:hAnsi="Times New Roman"/>
          <w:sz w:val="18"/>
          <w:szCs w:val="18"/>
        </w:rPr>
        <w:t xml:space="preserve">” nr </w:t>
      </w:r>
      <w:r w:rsidRPr="000A1AFE">
        <w:rPr>
          <w:rFonts w:ascii="Times New Roman" w:hAnsi="Times New Roman" w:cs="Times New Roman"/>
          <w:sz w:val="18"/>
          <w:szCs w:val="18"/>
        </w:rPr>
        <w:t>KBF.430.008.2020</w:t>
      </w:r>
      <w:r>
        <w:rPr>
          <w:rFonts w:ascii="Times New Roman" w:hAnsi="Times New Roman" w:cs="Times New Roman"/>
          <w:sz w:val="18"/>
          <w:szCs w:val="18"/>
        </w:rPr>
        <w:t>,</w:t>
      </w:r>
      <w:r>
        <w:rPr>
          <w:sz w:val="23"/>
          <w:szCs w:val="23"/>
        </w:rPr>
        <w:t xml:space="preserve"> </w:t>
      </w:r>
      <w:r w:rsidRPr="00453E01">
        <w:rPr>
          <w:rFonts w:ascii="Times New Roman" w:hAnsi="Times New Roman"/>
          <w:sz w:val="18"/>
          <w:szCs w:val="18"/>
        </w:rPr>
        <w:t>p</w:t>
      </w:r>
      <w:r w:rsidRPr="00453E01">
        <w:rPr>
          <w:rFonts w:ascii="Times New Roman" w:hAnsi="Times New Roman"/>
          <w:bCs/>
          <w:color w:val="202124"/>
          <w:sz w:val="18"/>
          <w:szCs w:val="18"/>
          <w:shd w:val="clear" w:color="auto" w:fill="FFFFFF"/>
        </w:rPr>
        <w:t>rzeciętne</w:t>
      </w:r>
      <w:r w:rsidRPr="00453E01">
        <w:rPr>
          <w:rFonts w:ascii="Times New Roman" w:hAnsi="Times New Roman"/>
          <w:color w:val="202124"/>
          <w:sz w:val="18"/>
          <w:szCs w:val="18"/>
          <w:shd w:val="clear" w:color="auto" w:fill="FFFFFF"/>
        </w:rPr>
        <w:t xml:space="preserve"> miesięczne </w:t>
      </w:r>
      <w:r w:rsidRPr="00453E01">
        <w:rPr>
          <w:rFonts w:ascii="Times New Roman" w:hAnsi="Times New Roman"/>
          <w:bCs/>
          <w:color w:val="202124"/>
          <w:sz w:val="18"/>
          <w:szCs w:val="18"/>
          <w:shd w:val="clear" w:color="auto" w:fill="FFFFFF"/>
        </w:rPr>
        <w:t>wynagrodzenie</w:t>
      </w:r>
      <w:r w:rsidRPr="00453E01">
        <w:rPr>
          <w:rFonts w:ascii="Times New Roman" w:hAnsi="Times New Roman"/>
          <w:color w:val="202124"/>
          <w:sz w:val="18"/>
          <w:szCs w:val="18"/>
          <w:shd w:val="clear" w:color="auto" w:fill="FFFFFF"/>
        </w:rPr>
        <w:t xml:space="preserve"> brutto na jednego pełnozatrudnionego w Biurze </w:t>
      </w:r>
      <w:r w:rsidRPr="00453E01">
        <w:rPr>
          <w:rFonts w:ascii="Times New Roman" w:hAnsi="Times New Roman"/>
          <w:bCs/>
          <w:color w:val="202124"/>
          <w:sz w:val="18"/>
          <w:szCs w:val="18"/>
          <w:shd w:val="clear" w:color="auto" w:fill="FFFFFF"/>
        </w:rPr>
        <w:t>RPO</w:t>
      </w:r>
      <w:r w:rsidRPr="00453E01">
        <w:rPr>
          <w:rFonts w:ascii="Times New Roman" w:hAnsi="Times New Roman"/>
          <w:color w:val="202124"/>
          <w:sz w:val="18"/>
          <w:szCs w:val="18"/>
          <w:shd w:val="clear" w:color="auto" w:fill="FFFFFF"/>
        </w:rPr>
        <w:t xml:space="preserve"> </w:t>
      </w:r>
      <w:r>
        <w:rPr>
          <w:rFonts w:ascii="Times New Roman" w:hAnsi="Times New Roman"/>
          <w:color w:val="202124"/>
          <w:sz w:val="18"/>
          <w:szCs w:val="18"/>
          <w:shd w:val="clear" w:color="auto" w:fill="FFFFFF"/>
        </w:rPr>
        <w:t xml:space="preserve">w 2019 r. </w:t>
      </w:r>
      <w:r w:rsidRPr="00453E01">
        <w:rPr>
          <w:rFonts w:ascii="Times New Roman" w:hAnsi="Times New Roman"/>
          <w:color w:val="202124"/>
          <w:sz w:val="18"/>
          <w:szCs w:val="18"/>
          <w:shd w:val="clear" w:color="auto" w:fill="FFFFFF"/>
        </w:rPr>
        <w:t xml:space="preserve">wyniosło 7352,5 zł: </w:t>
      </w:r>
    </w:p>
  </w:footnote>
  <w:footnote w:id="6">
    <w:p w14:paraId="369B8AB9" w14:textId="77777777" w:rsidR="00367BB9" w:rsidRDefault="00367BB9" w:rsidP="00E107BF">
      <w:pPr>
        <w:pStyle w:val="Tekstprzypisudolnego"/>
        <w:jc w:val="both"/>
        <w:rPr>
          <w:rFonts w:ascii="Times New Roman" w:hAnsi="Times New Roman"/>
          <w:sz w:val="18"/>
          <w:szCs w:val="18"/>
        </w:rPr>
      </w:pPr>
      <w:r>
        <w:rPr>
          <w:rStyle w:val="Odwoanieprzypisudolnego"/>
        </w:rPr>
        <w:footnoteRef/>
      </w:r>
      <w:r>
        <w:t xml:space="preserve"> </w:t>
      </w:r>
      <w:r w:rsidRPr="00E107BF">
        <w:rPr>
          <w:rFonts w:ascii="Times New Roman" w:hAnsi="Times New Roman"/>
          <w:sz w:val="18"/>
          <w:szCs w:val="18"/>
        </w:rPr>
        <w:t>Wniosek DYREKTYWA PARLAMENTU EUROPEJSKIEGO I RADY</w:t>
      </w:r>
      <w:r>
        <w:rPr>
          <w:rFonts w:ascii="Times New Roman" w:hAnsi="Times New Roman"/>
          <w:sz w:val="18"/>
          <w:szCs w:val="18"/>
        </w:rPr>
        <w:t xml:space="preserve"> </w:t>
      </w:r>
      <w:r w:rsidRPr="00E107BF">
        <w:rPr>
          <w:rFonts w:ascii="Times New Roman" w:hAnsi="Times New Roman"/>
          <w:sz w:val="18"/>
          <w:szCs w:val="18"/>
        </w:rPr>
        <w:t>w sprawie ochrony osób zgłaszających przypadki naruszenia prawa Unii (COM(2018) 218 final</w:t>
      </w:r>
      <w:r>
        <w:rPr>
          <w:rFonts w:ascii="Times New Roman" w:hAnsi="Times New Roman"/>
          <w:sz w:val="18"/>
          <w:szCs w:val="18"/>
        </w:rPr>
        <w:t xml:space="preserve"> </w:t>
      </w:r>
    </w:p>
    <w:p w14:paraId="0825BE44" w14:textId="77777777" w:rsidR="00367BB9" w:rsidRDefault="00367BB9" w:rsidP="00E107BF">
      <w:pPr>
        <w:pStyle w:val="Tekstprzypisudolnego"/>
        <w:jc w:val="both"/>
      </w:pPr>
      <w:r w:rsidRPr="00E107BF">
        <w:rPr>
          <w:rFonts w:ascii="Times New Roman" w:hAnsi="Times New Roman"/>
          <w:sz w:val="18"/>
          <w:szCs w:val="18"/>
        </w:rPr>
        <w:t>https://eur-lex.europa.eu/resource.html?uri=cellar:a4e61a49-46d2-11e8-be1d-01aa75ed71a1.0013.02/DOC_1&amp;format=PDF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7" w15:restartNumberingAfterBreak="0">
    <w:nsid w:val="24CE233F"/>
    <w:multiLevelType w:val="hybridMultilevel"/>
    <w:tmpl w:val="E2BE51C6"/>
    <w:lvl w:ilvl="0" w:tplc="55D0A6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C12980"/>
    <w:multiLevelType w:val="hybridMultilevel"/>
    <w:tmpl w:val="BCDE2266"/>
    <w:lvl w:ilvl="0" w:tplc="04150011">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505D69"/>
    <w:multiLevelType w:val="multilevel"/>
    <w:tmpl w:val="C296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3"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6" w15:restartNumberingAfterBreak="0">
    <w:nsid w:val="4E0E2FA6"/>
    <w:multiLevelType w:val="multilevel"/>
    <w:tmpl w:val="D1982F7A"/>
    <w:lvl w:ilvl="0">
      <w:start w:val="1"/>
      <w:numFmt w:val="decimal"/>
      <w:lvlText w:val="%1)"/>
      <w:lvlJc w:val="left"/>
      <w:pPr>
        <w:ind w:left="360" w:hanging="360"/>
      </w:pPr>
      <w:rPr>
        <w:rFonts w:ascii="Times New Roman" w:hAnsi="Times New Roman" w:cs="Times New Roman"/>
        <w:b w:val="0"/>
        <w:i w:val="0"/>
        <w:sz w:val="22"/>
      </w:rPr>
    </w:lvl>
    <w:lvl w:ilvl="1">
      <w:start w:val="1"/>
      <w:numFmt w:val="lowerLetter"/>
      <w:lvlText w:val="%2."/>
      <w:lvlJc w:val="left"/>
      <w:pPr>
        <w:ind w:left="0" w:hanging="360"/>
      </w:pPr>
    </w:lvl>
    <w:lvl w:ilvl="2">
      <w:start w:val="1"/>
      <w:numFmt w:val="lowerRoman"/>
      <w:lvlText w:val="%3."/>
      <w:lvlJc w:val="right"/>
      <w:pPr>
        <w:ind w:left="479" w:hanging="180"/>
      </w:pPr>
    </w:lvl>
    <w:lvl w:ilvl="3">
      <w:start w:val="1"/>
      <w:numFmt w:val="decimal"/>
      <w:lvlText w:val="%4."/>
      <w:lvlJc w:val="left"/>
      <w:pPr>
        <w:ind w:left="1199" w:hanging="360"/>
      </w:pPr>
    </w:lvl>
    <w:lvl w:ilvl="4">
      <w:start w:val="1"/>
      <w:numFmt w:val="lowerLetter"/>
      <w:lvlText w:val="%5."/>
      <w:lvlJc w:val="left"/>
      <w:pPr>
        <w:ind w:left="1919" w:hanging="360"/>
      </w:pPr>
    </w:lvl>
    <w:lvl w:ilvl="5">
      <w:start w:val="1"/>
      <w:numFmt w:val="lowerRoman"/>
      <w:lvlText w:val="%6."/>
      <w:lvlJc w:val="right"/>
      <w:pPr>
        <w:ind w:left="2639" w:hanging="180"/>
      </w:pPr>
    </w:lvl>
    <w:lvl w:ilvl="6">
      <w:start w:val="1"/>
      <w:numFmt w:val="decimal"/>
      <w:lvlText w:val="%7."/>
      <w:lvlJc w:val="left"/>
      <w:pPr>
        <w:ind w:left="3359" w:hanging="360"/>
      </w:pPr>
    </w:lvl>
    <w:lvl w:ilvl="7">
      <w:start w:val="1"/>
      <w:numFmt w:val="lowerLetter"/>
      <w:lvlText w:val="%8."/>
      <w:lvlJc w:val="left"/>
      <w:pPr>
        <w:ind w:left="4079" w:hanging="360"/>
      </w:pPr>
    </w:lvl>
    <w:lvl w:ilvl="8">
      <w:start w:val="1"/>
      <w:numFmt w:val="lowerRoman"/>
      <w:lvlText w:val="%9."/>
      <w:lvlJc w:val="right"/>
      <w:pPr>
        <w:ind w:left="4799" w:hanging="180"/>
      </w:pPr>
    </w:lvl>
  </w:abstractNum>
  <w:abstractNum w:abstractNumId="17"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3" w15:restartNumberingAfterBreak="0">
    <w:nsid w:val="66CA2090"/>
    <w:multiLevelType w:val="hybridMultilevel"/>
    <w:tmpl w:val="B1464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0"/>
  </w:num>
  <w:num w:numId="4">
    <w:abstractNumId w:val="21"/>
  </w:num>
  <w:num w:numId="5">
    <w:abstractNumId w:val="1"/>
  </w:num>
  <w:num w:numId="6">
    <w:abstractNumId w:val="8"/>
  </w:num>
  <w:num w:numId="7">
    <w:abstractNumId w:val="14"/>
  </w:num>
  <w:num w:numId="8">
    <w:abstractNumId w:val="4"/>
  </w:num>
  <w:num w:numId="9">
    <w:abstractNumId w:val="17"/>
  </w:num>
  <w:num w:numId="10">
    <w:abstractNumId w:val="13"/>
  </w:num>
  <w:num w:numId="11">
    <w:abstractNumId w:val="15"/>
  </w:num>
  <w:num w:numId="12">
    <w:abstractNumId w:val="2"/>
  </w:num>
  <w:num w:numId="13">
    <w:abstractNumId w:val="12"/>
  </w:num>
  <w:num w:numId="14">
    <w:abstractNumId w:val="22"/>
  </w:num>
  <w:num w:numId="15">
    <w:abstractNumId w:val="18"/>
  </w:num>
  <w:num w:numId="16">
    <w:abstractNumId w:val="20"/>
  </w:num>
  <w:num w:numId="17">
    <w:abstractNumId w:val="5"/>
  </w:num>
  <w:num w:numId="18">
    <w:abstractNumId w:val="24"/>
  </w:num>
  <w:num w:numId="19">
    <w:abstractNumId w:val="25"/>
  </w:num>
  <w:num w:numId="20">
    <w:abstractNumId w:val="19"/>
  </w:num>
  <w:num w:numId="21">
    <w:abstractNumId w:val="6"/>
  </w:num>
  <w:num w:numId="22">
    <w:abstractNumId w:val="16"/>
  </w:num>
  <w:num w:numId="23">
    <w:abstractNumId w:val="23"/>
  </w:num>
  <w:num w:numId="24">
    <w:abstractNumId w:val="11"/>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1DF"/>
    <w:rsid w:val="000015EE"/>
    <w:rsid w:val="000022D5"/>
    <w:rsid w:val="00004C6A"/>
    <w:rsid w:val="0000664D"/>
    <w:rsid w:val="00006F13"/>
    <w:rsid w:val="00012D11"/>
    <w:rsid w:val="00013EB5"/>
    <w:rsid w:val="00015DF5"/>
    <w:rsid w:val="00021F05"/>
    <w:rsid w:val="00023836"/>
    <w:rsid w:val="00030EC9"/>
    <w:rsid w:val="00033619"/>
    <w:rsid w:val="000349C9"/>
    <w:rsid w:val="0003526E"/>
    <w:rsid w:val="000356A9"/>
    <w:rsid w:val="00043D2B"/>
    <w:rsid w:val="00044138"/>
    <w:rsid w:val="00044739"/>
    <w:rsid w:val="00044E5C"/>
    <w:rsid w:val="0005069C"/>
    <w:rsid w:val="00051637"/>
    <w:rsid w:val="000559F4"/>
    <w:rsid w:val="00056681"/>
    <w:rsid w:val="00057A18"/>
    <w:rsid w:val="00061687"/>
    <w:rsid w:val="000648A7"/>
    <w:rsid w:val="00065B2B"/>
    <w:rsid w:val="0006618B"/>
    <w:rsid w:val="000670C0"/>
    <w:rsid w:val="000711E1"/>
    <w:rsid w:val="000714AC"/>
    <w:rsid w:val="00071B99"/>
    <w:rsid w:val="00073C65"/>
    <w:rsid w:val="000752E6"/>
    <w:rsid w:val="000756E5"/>
    <w:rsid w:val="00076BB2"/>
    <w:rsid w:val="0007704E"/>
    <w:rsid w:val="00077C45"/>
    <w:rsid w:val="00080619"/>
    <w:rsid w:val="00080EC8"/>
    <w:rsid w:val="00083045"/>
    <w:rsid w:val="000848C5"/>
    <w:rsid w:val="00094372"/>
    <w:rsid w:val="000944AC"/>
    <w:rsid w:val="00094CB9"/>
    <w:rsid w:val="000952DC"/>
    <w:rsid w:val="000956B2"/>
    <w:rsid w:val="000969E7"/>
    <w:rsid w:val="00096FF9"/>
    <w:rsid w:val="0009768E"/>
    <w:rsid w:val="000A1960"/>
    <w:rsid w:val="000A1AFE"/>
    <w:rsid w:val="000A1D66"/>
    <w:rsid w:val="000A23DE"/>
    <w:rsid w:val="000A3B9C"/>
    <w:rsid w:val="000A4020"/>
    <w:rsid w:val="000A464D"/>
    <w:rsid w:val="000A4C75"/>
    <w:rsid w:val="000A6591"/>
    <w:rsid w:val="000B07E5"/>
    <w:rsid w:val="000B25D9"/>
    <w:rsid w:val="000B275E"/>
    <w:rsid w:val="000B54FB"/>
    <w:rsid w:val="000B6690"/>
    <w:rsid w:val="000B6C8F"/>
    <w:rsid w:val="000B7F11"/>
    <w:rsid w:val="000C29B0"/>
    <w:rsid w:val="000C69FE"/>
    <w:rsid w:val="000C6FB4"/>
    <w:rsid w:val="000C76FC"/>
    <w:rsid w:val="000D04A0"/>
    <w:rsid w:val="000D10C7"/>
    <w:rsid w:val="000D248A"/>
    <w:rsid w:val="000D29AD"/>
    <w:rsid w:val="000D2C09"/>
    <w:rsid w:val="000D3316"/>
    <w:rsid w:val="000D38FC"/>
    <w:rsid w:val="000D3E72"/>
    <w:rsid w:val="000D4D90"/>
    <w:rsid w:val="000D7192"/>
    <w:rsid w:val="000E2D10"/>
    <w:rsid w:val="000E2E80"/>
    <w:rsid w:val="000E34BD"/>
    <w:rsid w:val="000E537C"/>
    <w:rsid w:val="000E67F3"/>
    <w:rsid w:val="000E6C00"/>
    <w:rsid w:val="000F2593"/>
    <w:rsid w:val="000F3204"/>
    <w:rsid w:val="00102023"/>
    <w:rsid w:val="00104F49"/>
    <w:rsid w:val="0010548B"/>
    <w:rsid w:val="001072D1"/>
    <w:rsid w:val="00113890"/>
    <w:rsid w:val="00113B54"/>
    <w:rsid w:val="00117017"/>
    <w:rsid w:val="00117265"/>
    <w:rsid w:val="00123A0F"/>
    <w:rsid w:val="00124622"/>
    <w:rsid w:val="00124623"/>
    <w:rsid w:val="00126123"/>
    <w:rsid w:val="00130E8E"/>
    <w:rsid w:val="0013216E"/>
    <w:rsid w:val="00132C4E"/>
    <w:rsid w:val="001401B5"/>
    <w:rsid w:val="001422B9"/>
    <w:rsid w:val="0014342D"/>
    <w:rsid w:val="0014665F"/>
    <w:rsid w:val="001514A9"/>
    <w:rsid w:val="001518CF"/>
    <w:rsid w:val="00153464"/>
    <w:rsid w:val="001541B3"/>
    <w:rsid w:val="00154C17"/>
    <w:rsid w:val="00155B15"/>
    <w:rsid w:val="00156FDF"/>
    <w:rsid w:val="0015707C"/>
    <w:rsid w:val="00157503"/>
    <w:rsid w:val="00160856"/>
    <w:rsid w:val="001618CC"/>
    <w:rsid w:val="001625BE"/>
    <w:rsid w:val="001643A4"/>
    <w:rsid w:val="00164B90"/>
    <w:rsid w:val="001727BB"/>
    <w:rsid w:val="00176700"/>
    <w:rsid w:val="0017681F"/>
    <w:rsid w:val="00180D25"/>
    <w:rsid w:val="0018318D"/>
    <w:rsid w:val="0018572C"/>
    <w:rsid w:val="00185E43"/>
    <w:rsid w:val="00187E79"/>
    <w:rsid w:val="00187F0D"/>
    <w:rsid w:val="00190F7B"/>
    <w:rsid w:val="00191D49"/>
    <w:rsid w:val="00192A0E"/>
    <w:rsid w:val="00192CC5"/>
    <w:rsid w:val="00193E2F"/>
    <w:rsid w:val="001956A7"/>
    <w:rsid w:val="00197DD0"/>
    <w:rsid w:val="001A118A"/>
    <w:rsid w:val="001A27F4"/>
    <w:rsid w:val="001A2D95"/>
    <w:rsid w:val="001B156D"/>
    <w:rsid w:val="001B3460"/>
    <w:rsid w:val="001B43B7"/>
    <w:rsid w:val="001B4CA1"/>
    <w:rsid w:val="001B5124"/>
    <w:rsid w:val="001B52F5"/>
    <w:rsid w:val="001B5AA7"/>
    <w:rsid w:val="001B7536"/>
    <w:rsid w:val="001B75D8"/>
    <w:rsid w:val="001C07C1"/>
    <w:rsid w:val="001C0844"/>
    <w:rsid w:val="001C1060"/>
    <w:rsid w:val="001C22EB"/>
    <w:rsid w:val="001C3C63"/>
    <w:rsid w:val="001D237C"/>
    <w:rsid w:val="001D4732"/>
    <w:rsid w:val="001D5872"/>
    <w:rsid w:val="001D5CFD"/>
    <w:rsid w:val="001D6A3C"/>
    <w:rsid w:val="001D6D51"/>
    <w:rsid w:val="001E01FF"/>
    <w:rsid w:val="001E1775"/>
    <w:rsid w:val="001E54E7"/>
    <w:rsid w:val="001E555A"/>
    <w:rsid w:val="001F0475"/>
    <w:rsid w:val="001F2B1B"/>
    <w:rsid w:val="001F6281"/>
    <w:rsid w:val="001F653A"/>
    <w:rsid w:val="001F6979"/>
    <w:rsid w:val="001F7579"/>
    <w:rsid w:val="00202B4F"/>
    <w:rsid w:val="00202BC6"/>
    <w:rsid w:val="002042CA"/>
    <w:rsid w:val="00205141"/>
    <w:rsid w:val="0020516B"/>
    <w:rsid w:val="0021061C"/>
    <w:rsid w:val="00213559"/>
    <w:rsid w:val="00213EFD"/>
    <w:rsid w:val="002171D0"/>
    <w:rsid w:val="002172F1"/>
    <w:rsid w:val="00220A79"/>
    <w:rsid w:val="00220B6F"/>
    <w:rsid w:val="00223C7B"/>
    <w:rsid w:val="00224AB1"/>
    <w:rsid w:val="0022687A"/>
    <w:rsid w:val="00230728"/>
    <w:rsid w:val="00232C59"/>
    <w:rsid w:val="00234040"/>
    <w:rsid w:val="00235CD2"/>
    <w:rsid w:val="00250878"/>
    <w:rsid w:val="002524BF"/>
    <w:rsid w:val="0025354B"/>
    <w:rsid w:val="00254DED"/>
    <w:rsid w:val="00255619"/>
    <w:rsid w:val="00255DAD"/>
    <w:rsid w:val="00256108"/>
    <w:rsid w:val="00256A9D"/>
    <w:rsid w:val="00257FD0"/>
    <w:rsid w:val="00260F33"/>
    <w:rsid w:val="002613BD"/>
    <w:rsid w:val="002624F1"/>
    <w:rsid w:val="002657C7"/>
    <w:rsid w:val="002670E6"/>
    <w:rsid w:val="00267C73"/>
    <w:rsid w:val="00270C81"/>
    <w:rsid w:val="00271558"/>
    <w:rsid w:val="0027237C"/>
    <w:rsid w:val="00273240"/>
    <w:rsid w:val="002732C9"/>
    <w:rsid w:val="00274862"/>
    <w:rsid w:val="002800AB"/>
    <w:rsid w:val="00282D72"/>
    <w:rsid w:val="00283402"/>
    <w:rsid w:val="002840F7"/>
    <w:rsid w:val="002851A8"/>
    <w:rsid w:val="00285F28"/>
    <w:rsid w:val="00290FD6"/>
    <w:rsid w:val="00292F64"/>
    <w:rsid w:val="00293567"/>
    <w:rsid w:val="00294259"/>
    <w:rsid w:val="002A2C81"/>
    <w:rsid w:val="002B1A75"/>
    <w:rsid w:val="002B3D1A"/>
    <w:rsid w:val="002B6891"/>
    <w:rsid w:val="002B7756"/>
    <w:rsid w:val="002C027C"/>
    <w:rsid w:val="002C27D0"/>
    <w:rsid w:val="002C2C9B"/>
    <w:rsid w:val="002C47A6"/>
    <w:rsid w:val="002D17D6"/>
    <w:rsid w:val="002D1807"/>
    <w:rsid w:val="002D18D7"/>
    <w:rsid w:val="002D21CE"/>
    <w:rsid w:val="002D3476"/>
    <w:rsid w:val="002D4668"/>
    <w:rsid w:val="002D62E0"/>
    <w:rsid w:val="002E2135"/>
    <w:rsid w:val="002E3DA3"/>
    <w:rsid w:val="002E450F"/>
    <w:rsid w:val="002E66A2"/>
    <w:rsid w:val="002E6B38"/>
    <w:rsid w:val="002E6D63"/>
    <w:rsid w:val="002E6E2B"/>
    <w:rsid w:val="002E74C5"/>
    <w:rsid w:val="002F40A5"/>
    <w:rsid w:val="002F500B"/>
    <w:rsid w:val="002F6875"/>
    <w:rsid w:val="00300991"/>
    <w:rsid w:val="00300C5C"/>
    <w:rsid w:val="00301959"/>
    <w:rsid w:val="00302B1E"/>
    <w:rsid w:val="00305B8A"/>
    <w:rsid w:val="00306EEF"/>
    <w:rsid w:val="0031061E"/>
    <w:rsid w:val="003118C4"/>
    <w:rsid w:val="003130B2"/>
    <w:rsid w:val="003168C0"/>
    <w:rsid w:val="00321A28"/>
    <w:rsid w:val="00330AD2"/>
    <w:rsid w:val="003311AC"/>
    <w:rsid w:val="00331BF9"/>
    <w:rsid w:val="0033495E"/>
    <w:rsid w:val="00334A79"/>
    <w:rsid w:val="00334D8D"/>
    <w:rsid w:val="00335D7F"/>
    <w:rsid w:val="00336E81"/>
    <w:rsid w:val="00337345"/>
    <w:rsid w:val="00337DD2"/>
    <w:rsid w:val="003404D1"/>
    <w:rsid w:val="00343183"/>
    <w:rsid w:val="003443FF"/>
    <w:rsid w:val="0035486C"/>
    <w:rsid w:val="0035551D"/>
    <w:rsid w:val="00355808"/>
    <w:rsid w:val="00362269"/>
    <w:rsid w:val="003623C7"/>
    <w:rsid w:val="00362C7E"/>
    <w:rsid w:val="00363309"/>
    <w:rsid w:val="00363601"/>
    <w:rsid w:val="00367BB9"/>
    <w:rsid w:val="003703CC"/>
    <w:rsid w:val="00371857"/>
    <w:rsid w:val="00373830"/>
    <w:rsid w:val="00375144"/>
    <w:rsid w:val="00376AC9"/>
    <w:rsid w:val="003771FA"/>
    <w:rsid w:val="00377D98"/>
    <w:rsid w:val="003812E3"/>
    <w:rsid w:val="0038273A"/>
    <w:rsid w:val="00385763"/>
    <w:rsid w:val="00386647"/>
    <w:rsid w:val="00386A24"/>
    <w:rsid w:val="00387872"/>
    <w:rsid w:val="0039179C"/>
    <w:rsid w:val="0039212F"/>
    <w:rsid w:val="00393032"/>
    <w:rsid w:val="00393DB4"/>
    <w:rsid w:val="00394B69"/>
    <w:rsid w:val="00397078"/>
    <w:rsid w:val="003A1462"/>
    <w:rsid w:val="003A57B0"/>
    <w:rsid w:val="003A6953"/>
    <w:rsid w:val="003A783C"/>
    <w:rsid w:val="003A796B"/>
    <w:rsid w:val="003B4ACB"/>
    <w:rsid w:val="003B5983"/>
    <w:rsid w:val="003B6083"/>
    <w:rsid w:val="003C0C4E"/>
    <w:rsid w:val="003C0FBD"/>
    <w:rsid w:val="003C3838"/>
    <w:rsid w:val="003C5847"/>
    <w:rsid w:val="003D0681"/>
    <w:rsid w:val="003D1275"/>
    <w:rsid w:val="003D12F6"/>
    <w:rsid w:val="003D1426"/>
    <w:rsid w:val="003D1671"/>
    <w:rsid w:val="003D3D25"/>
    <w:rsid w:val="003D70AA"/>
    <w:rsid w:val="003E2F4E"/>
    <w:rsid w:val="003E4B2E"/>
    <w:rsid w:val="003E6140"/>
    <w:rsid w:val="003E720A"/>
    <w:rsid w:val="003E78AE"/>
    <w:rsid w:val="003E7B29"/>
    <w:rsid w:val="003F6804"/>
    <w:rsid w:val="003F7B2C"/>
    <w:rsid w:val="004001D5"/>
    <w:rsid w:val="004030E9"/>
    <w:rsid w:val="00403E6E"/>
    <w:rsid w:val="00404C9B"/>
    <w:rsid w:val="0040625E"/>
    <w:rsid w:val="004129B4"/>
    <w:rsid w:val="00416924"/>
    <w:rsid w:val="00416F92"/>
    <w:rsid w:val="004177C9"/>
    <w:rsid w:val="00417EF0"/>
    <w:rsid w:val="00422181"/>
    <w:rsid w:val="00423099"/>
    <w:rsid w:val="004244A8"/>
    <w:rsid w:val="004247F9"/>
    <w:rsid w:val="00425CBB"/>
    <w:rsid w:val="00425F72"/>
    <w:rsid w:val="00427736"/>
    <w:rsid w:val="00432F65"/>
    <w:rsid w:val="00441047"/>
    <w:rsid w:val="00441787"/>
    <w:rsid w:val="00444F2D"/>
    <w:rsid w:val="00446358"/>
    <w:rsid w:val="004471ED"/>
    <w:rsid w:val="00452034"/>
    <w:rsid w:val="00452B55"/>
    <w:rsid w:val="00453912"/>
    <w:rsid w:val="00453AA0"/>
    <w:rsid w:val="00453B4E"/>
    <w:rsid w:val="00453E01"/>
    <w:rsid w:val="00455FA6"/>
    <w:rsid w:val="00457CA2"/>
    <w:rsid w:val="00457CCF"/>
    <w:rsid w:val="004644F7"/>
    <w:rsid w:val="00465EAD"/>
    <w:rsid w:val="00465FFD"/>
    <w:rsid w:val="00466C70"/>
    <w:rsid w:val="004702C9"/>
    <w:rsid w:val="00472E45"/>
    <w:rsid w:val="00473FEA"/>
    <w:rsid w:val="0047579D"/>
    <w:rsid w:val="00483262"/>
    <w:rsid w:val="004836A2"/>
    <w:rsid w:val="004840BB"/>
    <w:rsid w:val="00484107"/>
    <w:rsid w:val="00485A29"/>
    <w:rsid w:val="00485CC5"/>
    <w:rsid w:val="004919BF"/>
    <w:rsid w:val="00492062"/>
    <w:rsid w:val="0049343F"/>
    <w:rsid w:val="00494DB3"/>
    <w:rsid w:val="00495AE1"/>
    <w:rsid w:val="004964FC"/>
    <w:rsid w:val="00497E73"/>
    <w:rsid w:val="004A145E"/>
    <w:rsid w:val="004A1F15"/>
    <w:rsid w:val="004A237B"/>
    <w:rsid w:val="004A2A81"/>
    <w:rsid w:val="004A3CBA"/>
    <w:rsid w:val="004A4B46"/>
    <w:rsid w:val="004A7BD7"/>
    <w:rsid w:val="004B09E3"/>
    <w:rsid w:val="004B0E83"/>
    <w:rsid w:val="004B32A3"/>
    <w:rsid w:val="004B3BDB"/>
    <w:rsid w:val="004B47C1"/>
    <w:rsid w:val="004B76A3"/>
    <w:rsid w:val="004C15C2"/>
    <w:rsid w:val="004C36D8"/>
    <w:rsid w:val="004C6958"/>
    <w:rsid w:val="004D0EA0"/>
    <w:rsid w:val="004D1248"/>
    <w:rsid w:val="004D1E3C"/>
    <w:rsid w:val="004D23C5"/>
    <w:rsid w:val="004D4169"/>
    <w:rsid w:val="004D581C"/>
    <w:rsid w:val="004D60ED"/>
    <w:rsid w:val="004D6E14"/>
    <w:rsid w:val="004E1C26"/>
    <w:rsid w:val="004E2A39"/>
    <w:rsid w:val="004F0575"/>
    <w:rsid w:val="004F3F83"/>
    <w:rsid w:val="004F4E17"/>
    <w:rsid w:val="004F5983"/>
    <w:rsid w:val="004F6AE1"/>
    <w:rsid w:val="0050082F"/>
    <w:rsid w:val="00500C56"/>
    <w:rsid w:val="00501379"/>
    <w:rsid w:val="00501713"/>
    <w:rsid w:val="00504538"/>
    <w:rsid w:val="00505613"/>
    <w:rsid w:val="00506568"/>
    <w:rsid w:val="005127A1"/>
    <w:rsid w:val="0051551B"/>
    <w:rsid w:val="00515670"/>
    <w:rsid w:val="005164AA"/>
    <w:rsid w:val="00520C57"/>
    <w:rsid w:val="00520C72"/>
    <w:rsid w:val="00521963"/>
    <w:rsid w:val="00521E3A"/>
    <w:rsid w:val="00522D94"/>
    <w:rsid w:val="00525314"/>
    <w:rsid w:val="00527F96"/>
    <w:rsid w:val="005316C8"/>
    <w:rsid w:val="00533D89"/>
    <w:rsid w:val="005353E1"/>
    <w:rsid w:val="00536564"/>
    <w:rsid w:val="00537D89"/>
    <w:rsid w:val="0054450F"/>
    <w:rsid w:val="00544597"/>
    <w:rsid w:val="00544A4C"/>
    <w:rsid w:val="00544A79"/>
    <w:rsid w:val="00544FFE"/>
    <w:rsid w:val="005473F5"/>
    <w:rsid w:val="005477E7"/>
    <w:rsid w:val="00552794"/>
    <w:rsid w:val="00553FFB"/>
    <w:rsid w:val="00555545"/>
    <w:rsid w:val="00556DA5"/>
    <w:rsid w:val="005624AA"/>
    <w:rsid w:val="00563199"/>
    <w:rsid w:val="00564874"/>
    <w:rsid w:val="00566A51"/>
    <w:rsid w:val="00567963"/>
    <w:rsid w:val="0057009A"/>
    <w:rsid w:val="00571260"/>
    <w:rsid w:val="0057189C"/>
    <w:rsid w:val="005720F5"/>
    <w:rsid w:val="00573FC1"/>
    <w:rsid w:val="005741EE"/>
    <w:rsid w:val="00575E41"/>
    <w:rsid w:val="0057668A"/>
    <w:rsid w:val="0057668E"/>
    <w:rsid w:val="00581D6F"/>
    <w:rsid w:val="00595E83"/>
    <w:rsid w:val="00596530"/>
    <w:rsid w:val="005967BD"/>
    <w:rsid w:val="005967F3"/>
    <w:rsid w:val="005A06DF"/>
    <w:rsid w:val="005A1F84"/>
    <w:rsid w:val="005A2DE4"/>
    <w:rsid w:val="005A33EA"/>
    <w:rsid w:val="005A5527"/>
    <w:rsid w:val="005A5AE6"/>
    <w:rsid w:val="005B1206"/>
    <w:rsid w:val="005B1533"/>
    <w:rsid w:val="005B212A"/>
    <w:rsid w:val="005B37E8"/>
    <w:rsid w:val="005B4E63"/>
    <w:rsid w:val="005B53B8"/>
    <w:rsid w:val="005B6C08"/>
    <w:rsid w:val="005B78A3"/>
    <w:rsid w:val="005C0056"/>
    <w:rsid w:val="005C38C4"/>
    <w:rsid w:val="005C55B9"/>
    <w:rsid w:val="005D3CAD"/>
    <w:rsid w:val="005D61D6"/>
    <w:rsid w:val="005D651D"/>
    <w:rsid w:val="005D6A7A"/>
    <w:rsid w:val="005D7017"/>
    <w:rsid w:val="005D79AC"/>
    <w:rsid w:val="005E0D13"/>
    <w:rsid w:val="005E5047"/>
    <w:rsid w:val="005E50DF"/>
    <w:rsid w:val="005E7205"/>
    <w:rsid w:val="005E7371"/>
    <w:rsid w:val="005E7F03"/>
    <w:rsid w:val="005F0841"/>
    <w:rsid w:val="005F116C"/>
    <w:rsid w:val="005F1255"/>
    <w:rsid w:val="005F18AB"/>
    <w:rsid w:val="005F2131"/>
    <w:rsid w:val="005F403F"/>
    <w:rsid w:val="005F6D6A"/>
    <w:rsid w:val="006004C8"/>
    <w:rsid w:val="006011C6"/>
    <w:rsid w:val="00602B89"/>
    <w:rsid w:val="00605EF6"/>
    <w:rsid w:val="00606455"/>
    <w:rsid w:val="00611548"/>
    <w:rsid w:val="006117A6"/>
    <w:rsid w:val="00611A1A"/>
    <w:rsid w:val="00614929"/>
    <w:rsid w:val="00616511"/>
    <w:rsid w:val="006176ED"/>
    <w:rsid w:val="00617789"/>
    <w:rsid w:val="006202F3"/>
    <w:rsid w:val="0062097A"/>
    <w:rsid w:val="00621DA6"/>
    <w:rsid w:val="00622010"/>
    <w:rsid w:val="00622C0C"/>
    <w:rsid w:val="00623CFE"/>
    <w:rsid w:val="006248D0"/>
    <w:rsid w:val="00625466"/>
    <w:rsid w:val="00627221"/>
    <w:rsid w:val="00627223"/>
    <w:rsid w:val="00627EE8"/>
    <w:rsid w:val="00630E01"/>
    <w:rsid w:val="006316FA"/>
    <w:rsid w:val="0063275A"/>
    <w:rsid w:val="00632D5B"/>
    <w:rsid w:val="00633091"/>
    <w:rsid w:val="006370D2"/>
    <w:rsid w:val="0064072A"/>
    <w:rsid w:val="0064074F"/>
    <w:rsid w:val="00641F55"/>
    <w:rsid w:val="006447C1"/>
    <w:rsid w:val="006453E8"/>
    <w:rsid w:val="00645E4A"/>
    <w:rsid w:val="0065317A"/>
    <w:rsid w:val="00653688"/>
    <w:rsid w:val="00654344"/>
    <w:rsid w:val="00655F04"/>
    <w:rsid w:val="00656562"/>
    <w:rsid w:val="00657A16"/>
    <w:rsid w:val="0066091B"/>
    <w:rsid w:val="006616C2"/>
    <w:rsid w:val="006660E9"/>
    <w:rsid w:val="00666485"/>
    <w:rsid w:val="00667249"/>
    <w:rsid w:val="00667558"/>
    <w:rsid w:val="006675AE"/>
    <w:rsid w:val="00671523"/>
    <w:rsid w:val="00671D20"/>
    <w:rsid w:val="00672F6E"/>
    <w:rsid w:val="00673B8C"/>
    <w:rsid w:val="00673C65"/>
    <w:rsid w:val="006754EF"/>
    <w:rsid w:val="00676C8D"/>
    <w:rsid w:val="00676F1F"/>
    <w:rsid w:val="00677381"/>
    <w:rsid w:val="00677414"/>
    <w:rsid w:val="006776C9"/>
    <w:rsid w:val="006816E0"/>
    <w:rsid w:val="006832CF"/>
    <w:rsid w:val="006844A6"/>
    <w:rsid w:val="0068601E"/>
    <w:rsid w:val="00690571"/>
    <w:rsid w:val="0069486B"/>
    <w:rsid w:val="006A17C1"/>
    <w:rsid w:val="006A3B93"/>
    <w:rsid w:val="006A4904"/>
    <w:rsid w:val="006A548F"/>
    <w:rsid w:val="006A6C86"/>
    <w:rsid w:val="006A701A"/>
    <w:rsid w:val="006A7156"/>
    <w:rsid w:val="006B1205"/>
    <w:rsid w:val="006B2CE6"/>
    <w:rsid w:val="006B3511"/>
    <w:rsid w:val="006B64DC"/>
    <w:rsid w:val="006B7A91"/>
    <w:rsid w:val="006C2A7D"/>
    <w:rsid w:val="006D0405"/>
    <w:rsid w:val="006D1280"/>
    <w:rsid w:val="006D14F1"/>
    <w:rsid w:val="006D2508"/>
    <w:rsid w:val="006D2EE1"/>
    <w:rsid w:val="006D4704"/>
    <w:rsid w:val="006D520F"/>
    <w:rsid w:val="006D6A2D"/>
    <w:rsid w:val="006E1E18"/>
    <w:rsid w:val="006E2B0B"/>
    <w:rsid w:val="006E2B4A"/>
    <w:rsid w:val="006E31CE"/>
    <w:rsid w:val="006E34D3"/>
    <w:rsid w:val="006F0CF8"/>
    <w:rsid w:val="006F1435"/>
    <w:rsid w:val="006F3A55"/>
    <w:rsid w:val="006F5876"/>
    <w:rsid w:val="006F7221"/>
    <w:rsid w:val="006F78C4"/>
    <w:rsid w:val="007031A0"/>
    <w:rsid w:val="00703330"/>
    <w:rsid w:val="007035A4"/>
    <w:rsid w:val="007036F4"/>
    <w:rsid w:val="0070414B"/>
    <w:rsid w:val="00705A29"/>
    <w:rsid w:val="00705D40"/>
    <w:rsid w:val="007062E6"/>
    <w:rsid w:val="00707481"/>
    <w:rsid w:val="00707498"/>
    <w:rsid w:val="00711A65"/>
    <w:rsid w:val="00711D9E"/>
    <w:rsid w:val="00714133"/>
    <w:rsid w:val="00714DA4"/>
    <w:rsid w:val="007151F4"/>
    <w:rsid w:val="007158B2"/>
    <w:rsid w:val="00716081"/>
    <w:rsid w:val="007227FC"/>
    <w:rsid w:val="00722B48"/>
    <w:rsid w:val="007236FA"/>
    <w:rsid w:val="00724164"/>
    <w:rsid w:val="00725627"/>
    <w:rsid w:val="00725DE7"/>
    <w:rsid w:val="0072636A"/>
    <w:rsid w:val="00726B44"/>
    <w:rsid w:val="007318DD"/>
    <w:rsid w:val="00733167"/>
    <w:rsid w:val="00733AC5"/>
    <w:rsid w:val="00740D2C"/>
    <w:rsid w:val="007415D0"/>
    <w:rsid w:val="00742651"/>
    <w:rsid w:val="00744BF9"/>
    <w:rsid w:val="00752623"/>
    <w:rsid w:val="00753B21"/>
    <w:rsid w:val="00760F1F"/>
    <w:rsid w:val="00763FBA"/>
    <w:rsid w:val="0076423E"/>
    <w:rsid w:val="0076424D"/>
    <w:rsid w:val="007646CB"/>
    <w:rsid w:val="0076658F"/>
    <w:rsid w:val="0077040A"/>
    <w:rsid w:val="007719F6"/>
    <w:rsid w:val="00772D64"/>
    <w:rsid w:val="0077372F"/>
    <w:rsid w:val="00781E26"/>
    <w:rsid w:val="00783E56"/>
    <w:rsid w:val="00786B93"/>
    <w:rsid w:val="00792609"/>
    <w:rsid w:val="00792887"/>
    <w:rsid w:val="007941D5"/>
    <w:rsid w:val="007943E2"/>
    <w:rsid w:val="00794F2C"/>
    <w:rsid w:val="0079660E"/>
    <w:rsid w:val="007A03A7"/>
    <w:rsid w:val="007A3BC7"/>
    <w:rsid w:val="007A4EDE"/>
    <w:rsid w:val="007A55E5"/>
    <w:rsid w:val="007A5AC4"/>
    <w:rsid w:val="007B0FDD"/>
    <w:rsid w:val="007B11FE"/>
    <w:rsid w:val="007B2CE7"/>
    <w:rsid w:val="007B3FAF"/>
    <w:rsid w:val="007B4802"/>
    <w:rsid w:val="007B52E3"/>
    <w:rsid w:val="007B6668"/>
    <w:rsid w:val="007B6B33"/>
    <w:rsid w:val="007C0CDD"/>
    <w:rsid w:val="007C2701"/>
    <w:rsid w:val="007D1741"/>
    <w:rsid w:val="007D2192"/>
    <w:rsid w:val="007D2498"/>
    <w:rsid w:val="007D2E59"/>
    <w:rsid w:val="007D696E"/>
    <w:rsid w:val="007E0617"/>
    <w:rsid w:val="007E0838"/>
    <w:rsid w:val="007E2B4D"/>
    <w:rsid w:val="007E7527"/>
    <w:rsid w:val="007F0021"/>
    <w:rsid w:val="007F09BB"/>
    <w:rsid w:val="007F0CA4"/>
    <w:rsid w:val="007F2F52"/>
    <w:rsid w:val="007F39A9"/>
    <w:rsid w:val="008007EB"/>
    <w:rsid w:val="00800896"/>
    <w:rsid w:val="00801F71"/>
    <w:rsid w:val="0080303F"/>
    <w:rsid w:val="00805F28"/>
    <w:rsid w:val="008067E9"/>
    <w:rsid w:val="0080749F"/>
    <w:rsid w:val="00811D46"/>
    <w:rsid w:val="008125B0"/>
    <w:rsid w:val="008129E2"/>
    <w:rsid w:val="00812C88"/>
    <w:rsid w:val="008144CB"/>
    <w:rsid w:val="008155BB"/>
    <w:rsid w:val="008166FC"/>
    <w:rsid w:val="00821717"/>
    <w:rsid w:val="008235B8"/>
    <w:rsid w:val="0082376B"/>
    <w:rsid w:val="00824210"/>
    <w:rsid w:val="008263C0"/>
    <w:rsid w:val="008314F7"/>
    <w:rsid w:val="00832507"/>
    <w:rsid w:val="00832FA8"/>
    <w:rsid w:val="00836FFD"/>
    <w:rsid w:val="00841422"/>
    <w:rsid w:val="008416D3"/>
    <w:rsid w:val="00841D3B"/>
    <w:rsid w:val="0084314C"/>
    <w:rsid w:val="00843171"/>
    <w:rsid w:val="00845BA2"/>
    <w:rsid w:val="008471B3"/>
    <w:rsid w:val="008478FE"/>
    <w:rsid w:val="008524B7"/>
    <w:rsid w:val="0085284D"/>
    <w:rsid w:val="00855E19"/>
    <w:rsid w:val="00856799"/>
    <w:rsid w:val="008575C3"/>
    <w:rsid w:val="008625FE"/>
    <w:rsid w:val="00863D28"/>
    <w:rsid w:val="008648C3"/>
    <w:rsid w:val="0086516F"/>
    <w:rsid w:val="00867E64"/>
    <w:rsid w:val="00870930"/>
    <w:rsid w:val="008716B7"/>
    <w:rsid w:val="00873A03"/>
    <w:rsid w:val="00874C2B"/>
    <w:rsid w:val="00875712"/>
    <w:rsid w:val="00880F26"/>
    <w:rsid w:val="008854F7"/>
    <w:rsid w:val="0089024B"/>
    <w:rsid w:val="00890CE2"/>
    <w:rsid w:val="00893507"/>
    <w:rsid w:val="00896C2E"/>
    <w:rsid w:val="00897076"/>
    <w:rsid w:val="008A5095"/>
    <w:rsid w:val="008A608F"/>
    <w:rsid w:val="008A67D2"/>
    <w:rsid w:val="008A74A3"/>
    <w:rsid w:val="008B044E"/>
    <w:rsid w:val="008B15BB"/>
    <w:rsid w:val="008B1A9A"/>
    <w:rsid w:val="008B1EF8"/>
    <w:rsid w:val="008B4FE6"/>
    <w:rsid w:val="008B67CF"/>
    <w:rsid w:val="008B6C37"/>
    <w:rsid w:val="008C2B3B"/>
    <w:rsid w:val="008C3E8B"/>
    <w:rsid w:val="008D08C0"/>
    <w:rsid w:val="008D1388"/>
    <w:rsid w:val="008D3B98"/>
    <w:rsid w:val="008D70A4"/>
    <w:rsid w:val="008E18F7"/>
    <w:rsid w:val="008E1E10"/>
    <w:rsid w:val="008E291B"/>
    <w:rsid w:val="008E2B79"/>
    <w:rsid w:val="008E2D53"/>
    <w:rsid w:val="008E4F2F"/>
    <w:rsid w:val="008E7343"/>
    <w:rsid w:val="008E74B0"/>
    <w:rsid w:val="008F3153"/>
    <w:rsid w:val="008F397A"/>
    <w:rsid w:val="008F3C51"/>
    <w:rsid w:val="008F67AB"/>
    <w:rsid w:val="009008A8"/>
    <w:rsid w:val="00902513"/>
    <w:rsid w:val="009030FE"/>
    <w:rsid w:val="009063B0"/>
    <w:rsid w:val="00907106"/>
    <w:rsid w:val="00910556"/>
    <w:rsid w:val="009107FD"/>
    <w:rsid w:val="00910D25"/>
    <w:rsid w:val="0091137C"/>
    <w:rsid w:val="00911567"/>
    <w:rsid w:val="009115AB"/>
    <w:rsid w:val="009121D6"/>
    <w:rsid w:val="00912B11"/>
    <w:rsid w:val="00913A24"/>
    <w:rsid w:val="00914DB6"/>
    <w:rsid w:val="00916688"/>
    <w:rsid w:val="00917AAE"/>
    <w:rsid w:val="0092138E"/>
    <w:rsid w:val="00921A98"/>
    <w:rsid w:val="00921D7C"/>
    <w:rsid w:val="009251A9"/>
    <w:rsid w:val="009269B7"/>
    <w:rsid w:val="00930699"/>
    <w:rsid w:val="00931F69"/>
    <w:rsid w:val="0093399C"/>
    <w:rsid w:val="00934123"/>
    <w:rsid w:val="00934A06"/>
    <w:rsid w:val="00936C2F"/>
    <w:rsid w:val="00937766"/>
    <w:rsid w:val="00937C94"/>
    <w:rsid w:val="0094724F"/>
    <w:rsid w:val="00947D6B"/>
    <w:rsid w:val="0095525C"/>
    <w:rsid w:val="00955774"/>
    <w:rsid w:val="0095591B"/>
    <w:rsid w:val="009560B5"/>
    <w:rsid w:val="00956264"/>
    <w:rsid w:val="00956CA5"/>
    <w:rsid w:val="00956DA3"/>
    <w:rsid w:val="00963748"/>
    <w:rsid w:val="0096509E"/>
    <w:rsid w:val="00967CAF"/>
    <w:rsid w:val="009703D6"/>
    <w:rsid w:val="00970C99"/>
    <w:rsid w:val="0097181B"/>
    <w:rsid w:val="009723E8"/>
    <w:rsid w:val="00972E58"/>
    <w:rsid w:val="0097531E"/>
    <w:rsid w:val="00975EBB"/>
    <w:rsid w:val="00976DC5"/>
    <w:rsid w:val="009818C7"/>
    <w:rsid w:val="00982DD4"/>
    <w:rsid w:val="009841E5"/>
    <w:rsid w:val="0098479F"/>
    <w:rsid w:val="00984A8A"/>
    <w:rsid w:val="009857B6"/>
    <w:rsid w:val="00985A8D"/>
    <w:rsid w:val="00985EA5"/>
    <w:rsid w:val="00986610"/>
    <w:rsid w:val="009877DC"/>
    <w:rsid w:val="009879B9"/>
    <w:rsid w:val="009902FD"/>
    <w:rsid w:val="00991F96"/>
    <w:rsid w:val="009939FF"/>
    <w:rsid w:val="00993B36"/>
    <w:rsid w:val="00995025"/>
    <w:rsid w:val="009958D8"/>
    <w:rsid w:val="00996F0A"/>
    <w:rsid w:val="009A0658"/>
    <w:rsid w:val="009A1D86"/>
    <w:rsid w:val="009A297D"/>
    <w:rsid w:val="009A30FC"/>
    <w:rsid w:val="009A3EC0"/>
    <w:rsid w:val="009B049C"/>
    <w:rsid w:val="009B11C8"/>
    <w:rsid w:val="009B2637"/>
    <w:rsid w:val="009B2BCF"/>
    <w:rsid w:val="009B2FF8"/>
    <w:rsid w:val="009B4026"/>
    <w:rsid w:val="009B5BA3"/>
    <w:rsid w:val="009B61D6"/>
    <w:rsid w:val="009B62E6"/>
    <w:rsid w:val="009B692D"/>
    <w:rsid w:val="009C1AC2"/>
    <w:rsid w:val="009C3F58"/>
    <w:rsid w:val="009D0027"/>
    <w:rsid w:val="009D0485"/>
    <w:rsid w:val="009D0655"/>
    <w:rsid w:val="009D1E00"/>
    <w:rsid w:val="009D4F8D"/>
    <w:rsid w:val="009E1E98"/>
    <w:rsid w:val="009E264A"/>
    <w:rsid w:val="009E3ABE"/>
    <w:rsid w:val="009E3C4B"/>
    <w:rsid w:val="009E4198"/>
    <w:rsid w:val="009F0637"/>
    <w:rsid w:val="009F2783"/>
    <w:rsid w:val="009F62A6"/>
    <w:rsid w:val="009F674F"/>
    <w:rsid w:val="009F7021"/>
    <w:rsid w:val="009F799E"/>
    <w:rsid w:val="00A00988"/>
    <w:rsid w:val="00A02020"/>
    <w:rsid w:val="00A056CB"/>
    <w:rsid w:val="00A07A29"/>
    <w:rsid w:val="00A10FF1"/>
    <w:rsid w:val="00A121DB"/>
    <w:rsid w:val="00A12E3F"/>
    <w:rsid w:val="00A13C63"/>
    <w:rsid w:val="00A1506B"/>
    <w:rsid w:val="00A1693B"/>
    <w:rsid w:val="00A17CB2"/>
    <w:rsid w:val="00A23191"/>
    <w:rsid w:val="00A23E73"/>
    <w:rsid w:val="00A274F6"/>
    <w:rsid w:val="00A27DDF"/>
    <w:rsid w:val="00A31880"/>
    <w:rsid w:val="00A319C0"/>
    <w:rsid w:val="00A33560"/>
    <w:rsid w:val="00A33908"/>
    <w:rsid w:val="00A356E2"/>
    <w:rsid w:val="00A360C0"/>
    <w:rsid w:val="00A362F9"/>
    <w:rsid w:val="00A364E4"/>
    <w:rsid w:val="00A371A5"/>
    <w:rsid w:val="00A42DE9"/>
    <w:rsid w:val="00A45CA1"/>
    <w:rsid w:val="00A46064"/>
    <w:rsid w:val="00A47BDF"/>
    <w:rsid w:val="00A50557"/>
    <w:rsid w:val="00A51CD7"/>
    <w:rsid w:val="00A52ADB"/>
    <w:rsid w:val="00A533E8"/>
    <w:rsid w:val="00A542D9"/>
    <w:rsid w:val="00A56E64"/>
    <w:rsid w:val="00A6048A"/>
    <w:rsid w:val="00A622CD"/>
    <w:rsid w:val="00A624C3"/>
    <w:rsid w:val="00A63A4C"/>
    <w:rsid w:val="00A63BE5"/>
    <w:rsid w:val="00A65FD7"/>
    <w:rsid w:val="00A6610C"/>
    <w:rsid w:val="00A6641C"/>
    <w:rsid w:val="00A746BA"/>
    <w:rsid w:val="00A767D2"/>
    <w:rsid w:val="00A77616"/>
    <w:rsid w:val="00A805DA"/>
    <w:rsid w:val="00A811B4"/>
    <w:rsid w:val="00A83D36"/>
    <w:rsid w:val="00A8541A"/>
    <w:rsid w:val="00A85B7A"/>
    <w:rsid w:val="00A87CDE"/>
    <w:rsid w:val="00A91CDC"/>
    <w:rsid w:val="00A92BAF"/>
    <w:rsid w:val="00A9331A"/>
    <w:rsid w:val="00A93602"/>
    <w:rsid w:val="00A9409E"/>
    <w:rsid w:val="00A94737"/>
    <w:rsid w:val="00A94BA3"/>
    <w:rsid w:val="00A95A92"/>
    <w:rsid w:val="00A96CBA"/>
    <w:rsid w:val="00A97A74"/>
    <w:rsid w:val="00AA535D"/>
    <w:rsid w:val="00AB044D"/>
    <w:rsid w:val="00AB17E3"/>
    <w:rsid w:val="00AB1ACD"/>
    <w:rsid w:val="00AB277F"/>
    <w:rsid w:val="00AB4099"/>
    <w:rsid w:val="00AB449A"/>
    <w:rsid w:val="00AB6947"/>
    <w:rsid w:val="00AC4318"/>
    <w:rsid w:val="00AD0853"/>
    <w:rsid w:val="00AD14F9"/>
    <w:rsid w:val="00AD35D6"/>
    <w:rsid w:val="00AD43A2"/>
    <w:rsid w:val="00AD58C5"/>
    <w:rsid w:val="00AE125A"/>
    <w:rsid w:val="00AE315B"/>
    <w:rsid w:val="00AE36C4"/>
    <w:rsid w:val="00AE472C"/>
    <w:rsid w:val="00AE5375"/>
    <w:rsid w:val="00AE5A78"/>
    <w:rsid w:val="00AE6C5E"/>
    <w:rsid w:val="00AE6CF8"/>
    <w:rsid w:val="00AE7B4A"/>
    <w:rsid w:val="00AF20A2"/>
    <w:rsid w:val="00AF4CAC"/>
    <w:rsid w:val="00AF5707"/>
    <w:rsid w:val="00AF6899"/>
    <w:rsid w:val="00AF6C67"/>
    <w:rsid w:val="00B02DF3"/>
    <w:rsid w:val="00B03E0D"/>
    <w:rsid w:val="00B054F8"/>
    <w:rsid w:val="00B069FC"/>
    <w:rsid w:val="00B13496"/>
    <w:rsid w:val="00B153A0"/>
    <w:rsid w:val="00B211A1"/>
    <w:rsid w:val="00B2219A"/>
    <w:rsid w:val="00B236F6"/>
    <w:rsid w:val="00B2507F"/>
    <w:rsid w:val="00B309A8"/>
    <w:rsid w:val="00B31759"/>
    <w:rsid w:val="00B3217C"/>
    <w:rsid w:val="00B32DEA"/>
    <w:rsid w:val="00B3581B"/>
    <w:rsid w:val="00B36B81"/>
    <w:rsid w:val="00B36FEE"/>
    <w:rsid w:val="00B37BAC"/>
    <w:rsid w:val="00B37C80"/>
    <w:rsid w:val="00B40ADF"/>
    <w:rsid w:val="00B4278B"/>
    <w:rsid w:val="00B436E3"/>
    <w:rsid w:val="00B43BF6"/>
    <w:rsid w:val="00B44A2B"/>
    <w:rsid w:val="00B46BD5"/>
    <w:rsid w:val="00B5092B"/>
    <w:rsid w:val="00B5194E"/>
    <w:rsid w:val="00B51AF5"/>
    <w:rsid w:val="00B52656"/>
    <w:rsid w:val="00B527E0"/>
    <w:rsid w:val="00B531FC"/>
    <w:rsid w:val="00B53DA6"/>
    <w:rsid w:val="00B54049"/>
    <w:rsid w:val="00B54BC8"/>
    <w:rsid w:val="00B55347"/>
    <w:rsid w:val="00B55D63"/>
    <w:rsid w:val="00B57E5E"/>
    <w:rsid w:val="00B61F37"/>
    <w:rsid w:val="00B67484"/>
    <w:rsid w:val="00B74E36"/>
    <w:rsid w:val="00B7770F"/>
    <w:rsid w:val="00B77A89"/>
    <w:rsid w:val="00B77B27"/>
    <w:rsid w:val="00B8134E"/>
    <w:rsid w:val="00B81B55"/>
    <w:rsid w:val="00B84613"/>
    <w:rsid w:val="00B86787"/>
    <w:rsid w:val="00B87AF0"/>
    <w:rsid w:val="00B9037B"/>
    <w:rsid w:val="00B910BD"/>
    <w:rsid w:val="00B9189A"/>
    <w:rsid w:val="00B9189C"/>
    <w:rsid w:val="00B93834"/>
    <w:rsid w:val="00B95EF0"/>
    <w:rsid w:val="00B96469"/>
    <w:rsid w:val="00BA0DA2"/>
    <w:rsid w:val="00BA2981"/>
    <w:rsid w:val="00BA2BB7"/>
    <w:rsid w:val="00BA41A3"/>
    <w:rsid w:val="00BA42EE"/>
    <w:rsid w:val="00BA481B"/>
    <w:rsid w:val="00BA48F9"/>
    <w:rsid w:val="00BA599D"/>
    <w:rsid w:val="00BB0DCA"/>
    <w:rsid w:val="00BB2666"/>
    <w:rsid w:val="00BB26D0"/>
    <w:rsid w:val="00BB341D"/>
    <w:rsid w:val="00BB6B80"/>
    <w:rsid w:val="00BC0921"/>
    <w:rsid w:val="00BC3773"/>
    <w:rsid w:val="00BC381A"/>
    <w:rsid w:val="00BC577F"/>
    <w:rsid w:val="00BD0962"/>
    <w:rsid w:val="00BD1EED"/>
    <w:rsid w:val="00BD2DB2"/>
    <w:rsid w:val="00BD410E"/>
    <w:rsid w:val="00BD5DA3"/>
    <w:rsid w:val="00BD7673"/>
    <w:rsid w:val="00BF0DA2"/>
    <w:rsid w:val="00BF109C"/>
    <w:rsid w:val="00BF1287"/>
    <w:rsid w:val="00BF34FA"/>
    <w:rsid w:val="00BF3AB4"/>
    <w:rsid w:val="00BF44F7"/>
    <w:rsid w:val="00C00223"/>
    <w:rsid w:val="00C004B6"/>
    <w:rsid w:val="00C00B54"/>
    <w:rsid w:val="00C00D67"/>
    <w:rsid w:val="00C00FFE"/>
    <w:rsid w:val="00C017C1"/>
    <w:rsid w:val="00C02E8D"/>
    <w:rsid w:val="00C047A7"/>
    <w:rsid w:val="00C058ED"/>
    <w:rsid w:val="00C05DE5"/>
    <w:rsid w:val="00C079CF"/>
    <w:rsid w:val="00C1026F"/>
    <w:rsid w:val="00C1124A"/>
    <w:rsid w:val="00C12360"/>
    <w:rsid w:val="00C134AD"/>
    <w:rsid w:val="00C13E78"/>
    <w:rsid w:val="00C1575F"/>
    <w:rsid w:val="00C1633B"/>
    <w:rsid w:val="00C16728"/>
    <w:rsid w:val="00C178F5"/>
    <w:rsid w:val="00C250DA"/>
    <w:rsid w:val="00C27C9B"/>
    <w:rsid w:val="00C301ED"/>
    <w:rsid w:val="00C33027"/>
    <w:rsid w:val="00C33633"/>
    <w:rsid w:val="00C33B2F"/>
    <w:rsid w:val="00C363D7"/>
    <w:rsid w:val="00C3672D"/>
    <w:rsid w:val="00C37667"/>
    <w:rsid w:val="00C37E51"/>
    <w:rsid w:val="00C41384"/>
    <w:rsid w:val="00C435DB"/>
    <w:rsid w:val="00C44D73"/>
    <w:rsid w:val="00C50B42"/>
    <w:rsid w:val="00C516FF"/>
    <w:rsid w:val="00C52BFA"/>
    <w:rsid w:val="00C53D1D"/>
    <w:rsid w:val="00C53F26"/>
    <w:rsid w:val="00C540BC"/>
    <w:rsid w:val="00C5499D"/>
    <w:rsid w:val="00C5683B"/>
    <w:rsid w:val="00C61ADC"/>
    <w:rsid w:val="00C635E2"/>
    <w:rsid w:val="00C64F7D"/>
    <w:rsid w:val="00C67309"/>
    <w:rsid w:val="00C73590"/>
    <w:rsid w:val="00C7405D"/>
    <w:rsid w:val="00C745B5"/>
    <w:rsid w:val="00C7614E"/>
    <w:rsid w:val="00C76BD5"/>
    <w:rsid w:val="00C77BF1"/>
    <w:rsid w:val="00C80D60"/>
    <w:rsid w:val="00C82CA9"/>
    <w:rsid w:val="00C82FBD"/>
    <w:rsid w:val="00C851F9"/>
    <w:rsid w:val="00C85267"/>
    <w:rsid w:val="00C8721B"/>
    <w:rsid w:val="00C91DAF"/>
    <w:rsid w:val="00C9372C"/>
    <w:rsid w:val="00C94136"/>
    <w:rsid w:val="00C9470E"/>
    <w:rsid w:val="00C95CEB"/>
    <w:rsid w:val="00CA0B9B"/>
    <w:rsid w:val="00CA1054"/>
    <w:rsid w:val="00CA24EE"/>
    <w:rsid w:val="00CA2F62"/>
    <w:rsid w:val="00CA4E3E"/>
    <w:rsid w:val="00CA63EB"/>
    <w:rsid w:val="00CA69F1"/>
    <w:rsid w:val="00CB0638"/>
    <w:rsid w:val="00CB0C05"/>
    <w:rsid w:val="00CB10C2"/>
    <w:rsid w:val="00CB2879"/>
    <w:rsid w:val="00CB6991"/>
    <w:rsid w:val="00CC00F1"/>
    <w:rsid w:val="00CC0C9B"/>
    <w:rsid w:val="00CC3083"/>
    <w:rsid w:val="00CC6194"/>
    <w:rsid w:val="00CC6305"/>
    <w:rsid w:val="00CC78A5"/>
    <w:rsid w:val="00CC7C20"/>
    <w:rsid w:val="00CD0516"/>
    <w:rsid w:val="00CD281B"/>
    <w:rsid w:val="00CD31EE"/>
    <w:rsid w:val="00CD34AC"/>
    <w:rsid w:val="00CD3B7B"/>
    <w:rsid w:val="00CD70B1"/>
    <w:rsid w:val="00CD756B"/>
    <w:rsid w:val="00CE2BD1"/>
    <w:rsid w:val="00CE44C3"/>
    <w:rsid w:val="00CE734F"/>
    <w:rsid w:val="00CF112E"/>
    <w:rsid w:val="00CF5F4F"/>
    <w:rsid w:val="00D005CF"/>
    <w:rsid w:val="00D05E37"/>
    <w:rsid w:val="00D07962"/>
    <w:rsid w:val="00D126A6"/>
    <w:rsid w:val="00D13067"/>
    <w:rsid w:val="00D1494A"/>
    <w:rsid w:val="00D1534D"/>
    <w:rsid w:val="00D205F1"/>
    <w:rsid w:val="00D215A5"/>
    <w:rsid w:val="00D218DC"/>
    <w:rsid w:val="00D21F34"/>
    <w:rsid w:val="00D24283"/>
    <w:rsid w:val="00D24E56"/>
    <w:rsid w:val="00D26861"/>
    <w:rsid w:val="00D30305"/>
    <w:rsid w:val="00D31643"/>
    <w:rsid w:val="00D31AEB"/>
    <w:rsid w:val="00D32653"/>
    <w:rsid w:val="00D32ECD"/>
    <w:rsid w:val="00D33642"/>
    <w:rsid w:val="00D350F2"/>
    <w:rsid w:val="00D361E4"/>
    <w:rsid w:val="00D42A8F"/>
    <w:rsid w:val="00D43948"/>
    <w:rsid w:val="00D439F6"/>
    <w:rsid w:val="00D459C6"/>
    <w:rsid w:val="00D460A5"/>
    <w:rsid w:val="00D46336"/>
    <w:rsid w:val="00D50729"/>
    <w:rsid w:val="00D50C0C"/>
    <w:rsid w:val="00D50C19"/>
    <w:rsid w:val="00D51BBA"/>
    <w:rsid w:val="00D52E00"/>
    <w:rsid w:val="00D5379E"/>
    <w:rsid w:val="00D54DD6"/>
    <w:rsid w:val="00D5765A"/>
    <w:rsid w:val="00D62643"/>
    <w:rsid w:val="00D64A9D"/>
    <w:rsid w:val="00D64C0F"/>
    <w:rsid w:val="00D6612C"/>
    <w:rsid w:val="00D663D4"/>
    <w:rsid w:val="00D705EF"/>
    <w:rsid w:val="00D72EFE"/>
    <w:rsid w:val="00D76227"/>
    <w:rsid w:val="00D77DF1"/>
    <w:rsid w:val="00D80B33"/>
    <w:rsid w:val="00D85F16"/>
    <w:rsid w:val="00D86AFF"/>
    <w:rsid w:val="00D870EF"/>
    <w:rsid w:val="00D92A23"/>
    <w:rsid w:val="00D9300D"/>
    <w:rsid w:val="00D943AE"/>
    <w:rsid w:val="00D94DC7"/>
    <w:rsid w:val="00D95A44"/>
    <w:rsid w:val="00D95D16"/>
    <w:rsid w:val="00D96306"/>
    <w:rsid w:val="00D97C76"/>
    <w:rsid w:val="00DA7388"/>
    <w:rsid w:val="00DB02B4"/>
    <w:rsid w:val="00DB08DA"/>
    <w:rsid w:val="00DB346E"/>
    <w:rsid w:val="00DB3D45"/>
    <w:rsid w:val="00DB538D"/>
    <w:rsid w:val="00DB56B6"/>
    <w:rsid w:val="00DB7801"/>
    <w:rsid w:val="00DB7CFA"/>
    <w:rsid w:val="00DC1615"/>
    <w:rsid w:val="00DC2074"/>
    <w:rsid w:val="00DC2346"/>
    <w:rsid w:val="00DC275C"/>
    <w:rsid w:val="00DC399E"/>
    <w:rsid w:val="00DC4B0D"/>
    <w:rsid w:val="00DC67FB"/>
    <w:rsid w:val="00DC72D0"/>
    <w:rsid w:val="00DC7FE1"/>
    <w:rsid w:val="00DD0614"/>
    <w:rsid w:val="00DD2BB7"/>
    <w:rsid w:val="00DD2D8F"/>
    <w:rsid w:val="00DD3F3F"/>
    <w:rsid w:val="00DD4630"/>
    <w:rsid w:val="00DD5572"/>
    <w:rsid w:val="00DD64F9"/>
    <w:rsid w:val="00DE2C85"/>
    <w:rsid w:val="00DE4CED"/>
    <w:rsid w:val="00DE5D80"/>
    <w:rsid w:val="00DE762F"/>
    <w:rsid w:val="00DF188B"/>
    <w:rsid w:val="00DF3428"/>
    <w:rsid w:val="00DF58CD"/>
    <w:rsid w:val="00DF65DE"/>
    <w:rsid w:val="00E019A5"/>
    <w:rsid w:val="00E02868"/>
    <w:rsid w:val="00E02EC8"/>
    <w:rsid w:val="00E037F5"/>
    <w:rsid w:val="00E04ECB"/>
    <w:rsid w:val="00E05A09"/>
    <w:rsid w:val="00E066EF"/>
    <w:rsid w:val="00E068F2"/>
    <w:rsid w:val="00E06CA1"/>
    <w:rsid w:val="00E107BF"/>
    <w:rsid w:val="00E115AF"/>
    <w:rsid w:val="00E1681B"/>
    <w:rsid w:val="00E172B8"/>
    <w:rsid w:val="00E17FB4"/>
    <w:rsid w:val="00E20B75"/>
    <w:rsid w:val="00E214F2"/>
    <w:rsid w:val="00E2371E"/>
    <w:rsid w:val="00E24227"/>
    <w:rsid w:val="00E2456C"/>
    <w:rsid w:val="00E24BD7"/>
    <w:rsid w:val="00E26523"/>
    <w:rsid w:val="00E26809"/>
    <w:rsid w:val="00E27890"/>
    <w:rsid w:val="00E32D0A"/>
    <w:rsid w:val="00E337D2"/>
    <w:rsid w:val="00E3412D"/>
    <w:rsid w:val="00E34DFE"/>
    <w:rsid w:val="00E414D1"/>
    <w:rsid w:val="00E43D47"/>
    <w:rsid w:val="00E45457"/>
    <w:rsid w:val="00E47C46"/>
    <w:rsid w:val="00E505D1"/>
    <w:rsid w:val="00E528B6"/>
    <w:rsid w:val="00E54949"/>
    <w:rsid w:val="00E5561A"/>
    <w:rsid w:val="00E57322"/>
    <w:rsid w:val="00E628CB"/>
    <w:rsid w:val="00E62AD9"/>
    <w:rsid w:val="00E638C8"/>
    <w:rsid w:val="00E6559B"/>
    <w:rsid w:val="00E67833"/>
    <w:rsid w:val="00E732A7"/>
    <w:rsid w:val="00E73877"/>
    <w:rsid w:val="00E7509B"/>
    <w:rsid w:val="00E75E03"/>
    <w:rsid w:val="00E85358"/>
    <w:rsid w:val="00E86590"/>
    <w:rsid w:val="00E86800"/>
    <w:rsid w:val="00E87694"/>
    <w:rsid w:val="00E901D5"/>
    <w:rsid w:val="00E907FF"/>
    <w:rsid w:val="00E91094"/>
    <w:rsid w:val="00E91781"/>
    <w:rsid w:val="00E91E58"/>
    <w:rsid w:val="00E95F58"/>
    <w:rsid w:val="00E97B5F"/>
    <w:rsid w:val="00EA3965"/>
    <w:rsid w:val="00EA42D1"/>
    <w:rsid w:val="00EA42EF"/>
    <w:rsid w:val="00EA770C"/>
    <w:rsid w:val="00EB177B"/>
    <w:rsid w:val="00EB2DD1"/>
    <w:rsid w:val="00EB47AC"/>
    <w:rsid w:val="00EB6B37"/>
    <w:rsid w:val="00EB6C2F"/>
    <w:rsid w:val="00EC0FDB"/>
    <w:rsid w:val="00EC2881"/>
    <w:rsid w:val="00EC29FE"/>
    <w:rsid w:val="00EC3C70"/>
    <w:rsid w:val="00EC6AD9"/>
    <w:rsid w:val="00EC7440"/>
    <w:rsid w:val="00ED3A3D"/>
    <w:rsid w:val="00ED538A"/>
    <w:rsid w:val="00ED54CC"/>
    <w:rsid w:val="00ED691F"/>
    <w:rsid w:val="00ED6FBC"/>
    <w:rsid w:val="00EE1833"/>
    <w:rsid w:val="00EE1A60"/>
    <w:rsid w:val="00EE1ED9"/>
    <w:rsid w:val="00EE2F16"/>
    <w:rsid w:val="00EE2F6F"/>
    <w:rsid w:val="00EE3182"/>
    <w:rsid w:val="00EE354D"/>
    <w:rsid w:val="00EE381C"/>
    <w:rsid w:val="00EE3861"/>
    <w:rsid w:val="00EE3BF7"/>
    <w:rsid w:val="00EE5538"/>
    <w:rsid w:val="00EE5DCB"/>
    <w:rsid w:val="00EF1675"/>
    <w:rsid w:val="00EF290C"/>
    <w:rsid w:val="00EF2E73"/>
    <w:rsid w:val="00EF6FEA"/>
    <w:rsid w:val="00EF7683"/>
    <w:rsid w:val="00EF7A2D"/>
    <w:rsid w:val="00F030DC"/>
    <w:rsid w:val="00F04F8D"/>
    <w:rsid w:val="00F063DA"/>
    <w:rsid w:val="00F10AD0"/>
    <w:rsid w:val="00F116CC"/>
    <w:rsid w:val="00F12484"/>
    <w:rsid w:val="00F129BB"/>
    <w:rsid w:val="00F12BD1"/>
    <w:rsid w:val="00F13396"/>
    <w:rsid w:val="00F1507B"/>
    <w:rsid w:val="00F15327"/>
    <w:rsid w:val="00F168CF"/>
    <w:rsid w:val="00F22DF2"/>
    <w:rsid w:val="00F235E2"/>
    <w:rsid w:val="00F2361C"/>
    <w:rsid w:val="00F23959"/>
    <w:rsid w:val="00F2555C"/>
    <w:rsid w:val="00F31DF3"/>
    <w:rsid w:val="00F33221"/>
    <w:rsid w:val="00F33AE5"/>
    <w:rsid w:val="00F35515"/>
    <w:rsid w:val="00F3597D"/>
    <w:rsid w:val="00F37A55"/>
    <w:rsid w:val="00F4101E"/>
    <w:rsid w:val="00F4248B"/>
    <w:rsid w:val="00F4376D"/>
    <w:rsid w:val="00F45399"/>
    <w:rsid w:val="00F465EA"/>
    <w:rsid w:val="00F51E62"/>
    <w:rsid w:val="00F538EF"/>
    <w:rsid w:val="00F54E7B"/>
    <w:rsid w:val="00F55A88"/>
    <w:rsid w:val="00F57058"/>
    <w:rsid w:val="00F62AEE"/>
    <w:rsid w:val="00F67EF0"/>
    <w:rsid w:val="00F733B8"/>
    <w:rsid w:val="00F7369A"/>
    <w:rsid w:val="00F74005"/>
    <w:rsid w:val="00F748AF"/>
    <w:rsid w:val="00F753D3"/>
    <w:rsid w:val="00F76121"/>
    <w:rsid w:val="00F76884"/>
    <w:rsid w:val="00F83D24"/>
    <w:rsid w:val="00F83DD9"/>
    <w:rsid w:val="00F83F40"/>
    <w:rsid w:val="00F85E0B"/>
    <w:rsid w:val="00F93D8F"/>
    <w:rsid w:val="00F947F9"/>
    <w:rsid w:val="00F94BAE"/>
    <w:rsid w:val="00F97C6B"/>
    <w:rsid w:val="00FA0102"/>
    <w:rsid w:val="00FA117A"/>
    <w:rsid w:val="00FA3A1B"/>
    <w:rsid w:val="00FA5AAD"/>
    <w:rsid w:val="00FA5B77"/>
    <w:rsid w:val="00FB386A"/>
    <w:rsid w:val="00FB4137"/>
    <w:rsid w:val="00FB700A"/>
    <w:rsid w:val="00FC0786"/>
    <w:rsid w:val="00FC2518"/>
    <w:rsid w:val="00FC49EF"/>
    <w:rsid w:val="00FC4C15"/>
    <w:rsid w:val="00FC579C"/>
    <w:rsid w:val="00FD5398"/>
    <w:rsid w:val="00FD7686"/>
    <w:rsid w:val="00FD7894"/>
    <w:rsid w:val="00FD7BA4"/>
    <w:rsid w:val="00FE341B"/>
    <w:rsid w:val="00FE36E2"/>
    <w:rsid w:val="00FE50F4"/>
    <w:rsid w:val="00FF08CE"/>
    <w:rsid w:val="00FF11AD"/>
    <w:rsid w:val="00FF28A2"/>
    <w:rsid w:val="00FF2971"/>
    <w:rsid w:val="00FF34D4"/>
    <w:rsid w:val="00FF4168"/>
    <w:rsid w:val="00FF4EB2"/>
    <w:rsid w:val="00FF6195"/>
    <w:rsid w:val="00FF7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9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ED54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character" w:styleId="Pogrubienie">
    <w:name w:val="Strong"/>
    <w:basedOn w:val="Domylnaczcionkaakapitu"/>
    <w:uiPriority w:val="22"/>
    <w:qFormat/>
    <w:locked/>
    <w:rsid w:val="00FC579C"/>
    <w:rPr>
      <w:b/>
      <w:bCs/>
    </w:rPr>
  </w:style>
  <w:style w:type="paragraph" w:styleId="NormalnyWeb">
    <w:name w:val="Normal (Web)"/>
    <w:basedOn w:val="Normalny"/>
    <w:uiPriority w:val="99"/>
    <w:unhideWhenUsed/>
    <w:rsid w:val="00FC579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A8541A"/>
    <w:pPr>
      <w:autoSpaceDE w:val="0"/>
      <w:autoSpaceDN w:val="0"/>
      <w:adjustRightInd w:val="0"/>
    </w:pPr>
    <w:rPr>
      <w:rFonts w:cs="Calibri"/>
      <w:color w:val="000000"/>
      <w:sz w:val="24"/>
      <w:szCs w:val="24"/>
    </w:rPr>
  </w:style>
  <w:style w:type="paragraph" w:styleId="HTML-wstpniesformatowany">
    <w:name w:val="HTML Preformatted"/>
    <w:basedOn w:val="Normalny"/>
    <w:link w:val="HTML-wstpniesformatowanyZnak"/>
    <w:uiPriority w:val="99"/>
    <w:unhideWhenUsed/>
    <w:rsid w:val="00C73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73590"/>
    <w:rPr>
      <w:rFonts w:ascii="Courier New" w:eastAsia="Times New Roman" w:hAnsi="Courier New" w:cs="Courier New"/>
    </w:rPr>
  </w:style>
  <w:style w:type="paragraph" w:styleId="Poprawka">
    <w:name w:val="Revision"/>
    <w:hidden/>
    <w:uiPriority w:val="99"/>
    <w:semiHidden/>
    <w:rsid w:val="008524B7"/>
    <w:rPr>
      <w:sz w:val="22"/>
      <w:szCs w:val="22"/>
      <w:lang w:eastAsia="en-US"/>
    </w:rPr>
  </w:style>
  <w:style w:type="character" w:customStyle="1" w:styleId="bold">
    <w:name w:val="bold"/>
    <w:basedOn w:val="Domylnaczcionkaakapitu"/>
    <w:rsid w:val="00B46BD5"/>
  </w:style>
  <w:style w:type="paragraph" w:customStyle="1" w:styleId="Normalny1">
    <w:name w:val="Normalny1"/>
    <w:basedOn w:val="Normalny"/>
    <w:rsid w:val="000848C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semiHidden/>
    <w:rsid w:val="00ED54CC"/>
    <w:rPr>
      <w:rFonts w:asciiTheme="majorHAnsi" w:eastAsiaTheme="majorEastAsia" w:hAnsiTheme="majorHAnsi" w:cstheme="majorBidi"/>
      <w:b/>
      <w:bCs/>
      <w:color w:val="4F81BD" w:themeColor="accent1"/>
      <w:sz w:val="26"/>
      <w:szCs w:val="26"/>
      <w:lang w:eastAsia="en-US"/>
    </w:rPr>
  </w:style>
  <w:style w:type="paragraph" w:styleId="Tekstpodstawowy2">
    <w:name w:val="Body Text 2"/>
    <w:basedOn w:val="Normalny"/>
    <w:link w:val="Tekstpodstawowy2Znak"/>
    <w:uiPriority w:val="99"/>
    <w:unhideWhenUsed/>
    <w:rsid w:val="0097531E"/>
    <w:pPr>
      <w:spacing w:after="120" w:line="480" w:lineRule="auto"/>
    </w:pPr>
  </w:style>
  <w:style w:type="character" w:customStyle="1" w:styleId="Tekstpodstawowy2Znak">
    <w:name w:val="Tekst podstawowy 2 Znak"/>
    <w:basedOn w:val="Domylnaczcionkaakapitu"/>
    <w:link w:val="Tekstpodstawowy2"/>
    <w:uiPriority w:val="99"/>
    <w:rsid w:val="0097531E"/>
    <w:rPr>
      <w:sz w:val="22"/>
      <w:szCs w:val="22"/>
      <w:lang w:eastAsia="en-US"/>
    </w:rPr>
  </w:style>
  <w:style w:type="paragraph" w:styleId="Bezodstpw">
    <w:name w:val="No Spacing"/>
    <w:uiPriority w:val="1"/>
    <w:qFormat/>
    <w:rsid w:val="00C740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31465129">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56329156">
      <w:bodyDiv w:val="1"/>
      <w:marLeft w:val="0"/>
      <w:marRight w:val="0"/>
      <w:marTop w:val="0"/>
      <w:marBottom w:val="0"/>
      <w:divBdr>
        <w:top w:val="none" w:sz="0" w:space="0" w:color="auto"/>
        <w:left w:val="none" w:sz="0" w:space="0" w:color="auto"/>
        <w:bottom w:val="none" w:sz="0" w:space="0" w:color="auto"/>
        <w:right w:val="none" w:sz="0" w:space="0" w:color="auto"/>
      </w:divBdr>
    </w:div>
    <w:div w:id="258100727">
      <w:bodyDiv w:val="1"/>
      <w:marLeft w:val="0"/>
      <w:marRight w:val="0"/>
      <w:marTop w:val="0"/>
      <w:marBottom w:val="0"/>
      <w:divBdr>
        <w:top w:val="none" w:sz="0" w:space="0" w:color="auto"/>
        <w:left w:val="none" w:sz="0" w:space="0" w:color="auto"/>
        <w:bottom w:val="none" w:sz="0" w:space="0" w:color="auto"/>
        <w:right w:val="none" w:sz="0" w:space="0" w:color="auto"/>
      </w:divBdr>
    </w:div>
    <w:div w:id="284118939">
      <w:bodyDiv w:val="1"/>
      <w:marLeft w:val="0"/>
      <w:marRight w:val="0"/>
      <w:marTop w:val="0"/>
      <w:marBottom w:val="0"/>
      <w:divBdr>
        <w:top w:val="none" w:sz="0" w:space="0" w:color="auto"/>
        <w:left w:val="none" w:sz="0" w:space="0" w:color="auto"/>
        <w:bottom w:val="none" w:sz="0" w:space="0" w:color="auto"/>
        <w:right w:val="none" w:sz="0" w:space="0" w:color="auto"/>
      </w:divBdr>
    </w:div>
    <w:div w:id="458032028">
      <w:bodyDiv w:val="1"/>
      <w:marLeft w:val="0"/>
      <w:marRight w:val="0"/>
      <w:marTop w:val="0"/>
      <w:marBottom w:val="0"/>
      <w:divBdr>
        <w:top w:val="none" w:sz="0" w:space="0" w:color="auto"/>
        <w:left w:val="none" w:sz="0" w:space="0" w:color="auto"/>
        <w:bottom w:val="none" w:sz="0" w:space="0" w:color="auto"/>
        <w:right w:val="none" w:sz="0" w:space="0" w:color="auto"/>
      </w:divBdr>
    </w:div>
    <w:div w:id="466170704">
      <w:bodyDiv w:val="1"/>
      <w:marLeft w:val="0"/>
      <w:marRight w:val="0"/>
      <w:marTop w:val="0"/>
      <w:marBottom w:val="0"/>
      <w:divBdr>
        <w:top w:val="none" w:sz="0" w:space="0" w:color="auto"/>
        <w:left w:val="none" w:sz="0" w:space="0" w:color="auto"/>
        <w:bottom w:val="none" w:sz="0" w:space="0" w:color="auto"/>
        <w:right w:val="none" w:sz="0" w:space="0" w:color="auto"/>
      </w:divBdr>
    </w:div>
    <w:div w:id="513886305">
      <w:bodyDiv w:val="1"/>
      <w:marLeft w:val="0"/>
      <w:marRight w:val="0"/>
      <w:marTop w:val="0"/>
      <w:marBottom w:val="0"/>
      <w:divBdr>
        <w:top w:val="none" w:sz="0" w:space="0" w:color="auto"/>
        <w:left w:val="none" w:sz="0" w:space="0" w:color="auto"/>
        <w:bottom w:val="none" w:sz="0" w:space="0" w:color="auto"/>
        <w:right w:val="none" w:sz="0" w:space="0" w:color="auto"/>
      </w:divBdr>
    </w:div>
    <w:div w:id="522866441">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47859159">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63983940">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52964253">
      <w:bodyDiv w:val="1"/>
      <w:marLeft w:val="0"/>
      <w:marRight w:val="0"/>
      <w:marTop w:val="0"/>
      <w:marBottom w:val="0"/>
      <w:divBdr>
        <w:top w:val="none" w:sz="0" w:space="0" w:color="auto"/>
        <w:left w:val="none" w:sz="0" w:space="0" w:color="auto"/>
        <w:bottom w:val="none" w:sz="0" w:space="0" w:color="auto"/>
        <w:right w:val="none" w:sz="0" w:space="0" w:color="auto"/>
      </w:divBdr>
    </w:div>
    <w:div w:id="1750033241">
      <w:bodyDiv w:val="1"/>
      <w:marLeft w:val="0"/>
      <w:marRight w:val="0"/>
      <w:marTop w:val="0"/>
      <w:marBottom w:val="0"/>
      <w:divBdr>
        <w:top w:val="none" w:sz="0" w:space="0" w:color="auto"/>
        <w:left w:val="none" w:sz="0" w:space="0" w:color="auto"/>
        <w:bottom w:val="none" w:sz="0" w:space="0" w:color="auto"/>
        <w:right w:val="none" w:sz="0" w:space="0" w:color="auto"/>
      </w:divBdr>
    </w:div>
    <w:div w:id="1781024874">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80390171">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stanecki@mrip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537C4-1E35-4AAE-B835-2E33CD2A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10170</Words>
  <Characters>61022</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71050</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2022-07-05T13:51:00Z</dcterms:created>
  <dcterms:modified xsi:type="dcterms:W3CDTF">2022-07-05T13:51:00Z</dcterms:modified>
</cp:coreProperties>
</file>