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A7FD6" w14:textId="77777777" w:rsidR="007A5B04" w:rsidRDefault="007A5B04" w:rsidP="007A5B04">
      <w:pPr>
        <w:jc w:val="center"/>
        <w:rPr>
          <w:b/>
          <w:bCs/>
          <w:sz w:val="28"/>
          <w:szCs w:val="28"/>
        </w:rPr>
      </w:pPr>
    </w:p>
    <w:p w14:paraId="0187AC53" w14:textId="6FCDA7D6" w:rsidR="00972296" w:rsidRPr="0082609A" w:rsidRDefault="00972296" w:rsidP="00972296">
      <w:pPr>
        <w:pStyle w:val="paragraph"/>
        <w:spacing w:before="0" w:beforeAutospacing="0" w:after="0" w:afterAutospacing="0"/>
        <w:jc w:val="center"/>
        <w:textAlignment w:val="baseline"/>
        <w:rPr>
          <w:rFonts w:asciiTheme="minorHAnsi" w:hAnsiTheme="minorHAnsi" w:cs="Segoe UI"/>
          <w:sz w:val="18"/>
          <w:szCs w:val="18"/>
          <w:lang w:val="en-US"/>
        </w:rPr>
      </w:pPr>
      <w:r w:rsidRPr="0082609A">
        <w:rPr>
          <w:rStyle w:val="normaltextrun"/>
          <w:rFonts w:asciiTheme="minorHAnsi" w:hAnsiTheme="minorHAnsi" w:cs="Segoe UI"/>
          <w:color w:val="0E2841"/>
          <w:sz w:val="60"/>
          <w:szCs w:val="60"/>
          <w:lang w:val="en-US"/>
        </w:rPr>
        <w:t>OCENA Ś</w:t>
      </w:r>
      <w:r w:rsidR="00600631">
        <w:rPr>
          <w:rStyle w:val="normaltextrun"/>
          <w:rFonts w:asciiTheme="minorHAnsi" w:hAnsiTheme="minorHAnsi" w:cs="Segoe UI"/>
          <w:color w:val="0E2841"/>
          <w:sz w:val="60"/>
          <w:szCs w:val="60"/>
          <w:lang w:val="en-US"/>
        </w:rPr>
        <w:t>R</w:t>
      </w:r>
      <w:r w:rsidRPr="0082609A">
        <w:rPr>
          <w:rStyle w:val="normaltextrun"/>
          <w:rFonts w:asciiTheme="minorHAnsi" w:hAnsiTheme="minorHAnsi" w:cs="Segoe UI"/>
          <w:color w:val="0E2841"/>
          <w:sz w:val="60"/>
          <w:szCs w:val="60"/>
          <w:lang w:val="en-US"/>
        </w:rPr>
        <w:t>ODOWISKOWA I</w:t>
      </w:r>
      <w:r w:rsidRPr="0082609A">
        <w:rPr>
          <w:rStyle w:val="normaltextrun"/>
          <w:rFonts w:ascii="Arial" w:hAnsi="Arial" w:cs="Arial"/>
          <w:color w:val="0E2841"/>
          <w:sz w:val="60"/>
          <w:szCs w:val="60"/>
          <w:lang w:val="en-US"/>
        </w:rPr>
        <w:t> </w:t>
      </w:r>
      <w:r w:rsidRPr="0082609A">
        <w:rPr>
          <w:rStyle w:val="normaltextrun"/>
          <w:rFonts w:asciiTheme="minorHAnsi" w:hAnsiTheme="minorHAnsi" w:cs="Segoe UI"/>
          <w:color w:val="0E2841"/>
          <w:sz w:val="60"/>
          <w:szCs w:val="60"/>
          <w:lang w:val="en-US"/>
        </w:rPr>
        <w:t>SPO</w:t>
      </w:r>
      <w:r w:rsidRPr="0082609A">
        <w:rPr>
          <w:rStyle w:val="normaltextrun"/>
          <w:rFonts w:asciiTheme="minorHAnsi" w:hAnsiTheme="minorHAnsi" w:cs="Aptos"/>
          <w:color w:val="0E2841"/>
          <w:sz w:val="60"/>
          <w:szCs w:val="60"/>
          <w:lang w:val="en-US"/>
        </w:rPr>
        <w:t>Ł</w:t>
      </w:r>
      <w:r w:rsidRPr="0082609A">
        <w:rPr>
          <w:rStyle w:val="normaltextrun"/>
          <w:rFonts w:asciiTheme="minorHAnsi" w:hAnsiTheme="minorHAnsi" w:cs="Segoe UI"/>
          <w:color w:val="0E2841"/>
          <w:sz w:val="60"/>
          <w:szCs w:val="60"/>
          <w:lang w:val="en-US"/>
        </w:rPr>
        <w:t>ECZNA</w:t>
      </w:r>
    </w:p>
    <w:p w14:paraId="1AC4E014" w14:textId="77777777" w:rsidR="00051943" w:rsidRPr="0082609A" w:rsidRDefault="00972296" w:rsidP="00051943">
      <w:pPr>
        <w:pStyle w:val="paragraph"/>
        <w:spacing w:before="0" w:beforeAutospacing="0" w:after="0" w:afterAutospacing="0"/>
        <w:jc w:val="center"/>
        <w:textAlignment w:val="baseline"/>
        <w:rPr>
          <w:rStyle w:val="normaltextrun"/>
          <w:rFonts w:asciiTheme="minorHAnsi" w:hAnsiTheme="minorHAnsi" w:cs="Segoe UI"/>
          <w:color w:val="0E2841"/>
          <w:sz w:val="60"/>
          <w:szCs w:val="60"/>
          <w:lang w:val="en-US"/>
        </w:rPr>
      </w:pPr>
      <w:r w:rsidRPr="0082609A">
        <w:rPr>
          <w:rStyle w:val="normaltextrun"/>
          <w:rFonts w:asciiTheme="minorHAnsi" w:hAnsiTheme="minorHAnsi" w:cs="Segoe UI"/>
          <w:color w:val="0E2841"/>
          <w:sz w:val="60"/>
          <w:szCs w:val="60"/>
          <w:lang w:val="en-US"/>
        </w:rPr>
        <w:t>ENVIRONMENTAL AND SOCIAL IMPACT ASSESSMENT (ESIA)</w:t>
      </w:r>
    </w:p>
    <w:p w14:paraId="0B8B7FCE" w14:textId="77777777" w:rsidR="007A5B04" w:rsidRPr="0082609A" w:rsidRDefault="007A5B04" w:rsidP="00051943">
      <w:pPr>
        <w:pStyle w:val="paragraph"/>
        <w:spacing w:before="0" w:beforeAutospacing="0" w:after="0" w:afterAutospacing="0"/>
        <w:jc w:val="center"/>
        <w:textAlignment w:val="baseline"/>
        <w:rPr>
          <w:rFonts w:asciiTheme="minorHAnsi" w:hAnsiTheme="minorHAnsi" w:cs="Segoe UI"/>
          <w:sz w:val="18"/>
          <w:szCs w:val="18"/>
          <w:lang w:val="en-US"/>
        </w:rPr>
      </w:pPr>
    </w:p>
    <w:p w14:paraId="411BE1A3" w14:textId="77777777" w:rsidR="007A5B04" w:rsidRPr="0082609A" w:rsidRDefault="007A5B04" w:rsidP="007A5B04">
      <w:pPr>
        <w:jc w:val="center"/>
        <w:rPr>
          <w:rFonts w:asciiTheme="minorHAnsi" w:hAnsiTheme="minorHAnsi"/>
          <w:b/>
          <w:bCs/>
          <w:sz w:val="28"/>
          <w:szCs w:val="28"/>
          <w:lang w:val="en-US"/>
        </w:rPr>
      </w:pPr>
    </w:p>
    <w:p w14:paraId="0F735910" w14:textId="14BF8345" w:rsidR="009219D5" w:rsidRPr="0082609A" w:rsidRDefault="00516326" w:rsidP="007A5B04">
      <w:pPr>
        <w:jc w:val="center"/>
        <w:rPr>
          <w:rFonts w:asciiTheme="minorHAnsi" w:hAnsiTheme="minorHAnsi"/>
          <w:b/>
          <w:bCs/>
          <w:sz w:val="36"/>
          <w:szCs w:val="36"/>
        </w:rPr>
      </w:pPr>
      <w:proofErr w:type="spellStart"/>
      <w:r w:rsidRPr="0082609A">
        <w:rPr>
          <w:rFonts w:asciiTheme="minorHAnsi" w:hAnsiTheme="minorHAnsi"/>
          <w:b/>
          <w:bCs/>
          <w:sz w:val="36"/>
          <w:szCs w:val="36"/>
        </w:rPr>
        <w:t>Załacznik</w:t>
      </w:r>
      <w:proofErr w:type="spellEnd"/>
      <w:r w:rsidRPr="0082609A">
        <w:rPr>
          <w:rFonts w:asciiTheme="minorHAnsi" w:hAnsiTheme="minorHAnsi"/>
          <w:b/>
          <w:bCs/>
          <w:sz w:val="36"/>
          <w:szCs w:val="36"/>
        </w:rPr>
        <w:t xml:space="preserve"> 13.</w:t>
      </w:r>
      <w:r w:rsidR="00C46050" w:rsidRPr="0082609A">
        <w:rPr>
          <w:rFonts w:asciiTheme="minorHAnsi" w:hAnsiTheme="minorHAnsi"/>
          <w:b/>
          <w:bCs/>
          <w:sz w:val="36"/>
          <w:szCs w:val="36"/>
        </w:rPr>
        <w:t>7</w:t>
      </w:r>
      <w:r w:rsidR="007A5B04" w:rsidRPr="0082609A">
        <w:rPr>
          <w:rFonts w:asciiTheme="minorHAnsi" w:hAnsiTheme="minorHAnsi"/>
          <w:b/>
          <w:bCs/>
          <w:sz w:val="36"/>
          <w:szCs w:val="36"/>
        </w:rPr>
        <w:t xml:space="preserve"> </w:t>
      </w:r>
      <w:r w:rsidR="00BD14CA" w:rsidRPr="0082609A">
        <w:rPr>
          <w:rFonts w:asciiTheme="minorHAnsi" w:hAnsiTheme="minorHAnsi"/>
          <w:b/>
          <w:bCs/>
          <w:sz w:val="36"/>
          <w:szCs w:val="36"/>
        </w:rPr>
        <w:t xml:space="preserve">Plan Zarządzania </w:t>
      </w:r>
      <w:r w:rsidR="00890519" w:rsidRPr="0082609A">
        <w:rPr>
          <w:rFonts w:asciiTheme="minorHAnsi" w:hAnsiTheme="minorHAnsi"/>
          <w:b/>
          <w:bCs/>
          <w:sz w:val="36"/>
          <w:szCs w:val="36"/>
        </w:rPr>
        <w:t>Inwazyjnymi Gatunkami Obcymi</w:t>
      </w:r>
      <w:r w:rsidR="00BD14CA" w:rsidRPr="0082609A">
        <w:rPr>
          <w:rFonts w:asciiTheme="minorHAnsi" w:hAnsiTheme="minorHAnsi"/>
          <w:b/>
          <w:bCs/>
          <w:sz w:val="36"/>
          <w:szCs w:val="36"/>
        </w:rPr>
        <w:t xml:space="preserve"> </w:t>
      </w:r>
    </w:p>
    <w:p w14:paraId="774A6F8C" w14:textId="3ADB7063" w:rsidR="00BD14CA" w:rsidRPr="0082609A" w:rsidRDefault="00BD14CA" w:rsidP="00890519">
      <w:pPr>
        <w:ind w:firstLine="708"/>
        <w:jc w:val="center"/>
        <w:rPr>
          <w:rFonts w:asciiTheme="minorHAnsi" w:hAnsiTheme="minorHAnsi"/>
          <w:b/>
          <w:bCs/>
          <w:sz w:val="36"/>
          <w:szCs w:val="36"/>
          <w:lang w:val="en-US"/>
        </w:rPr>
      </w:pPr>
      <w:r w:rsidRPr="0082609A">
        <w:rPr>
          <w:rFonts w:asciiTheme="minorHAnsi" w:hAnsiTheme="minorHAnsi"/>
          <w:b/>
          <w:bCs/>
          <w:sz w:val="36"/>
          <w:szCs w:val="36"/>
          <w:lang w:val="en-US"/>
        </w:rPr>
        <w:t xml:space="preserve">(Invasive </w:t>
      </w:r>
      <w:r w:rsidR="00890519" w:rsidRPr="0082609A">
        <w:rPr>
          <w:rFonts w:asciiTheme="minorHAnsi" w:hAnsiTheme="minorHAnsi"/>
          <w:b/>
          <w:bCs/>
          <w:sz w:val="36"/>
          <w:szCs w:val="36"/>
          <w:lang w:val="en-US"/>
        </w:rPr>
        <w:t xml:space="preserve">Alien </w:t>
      </w:r>
      <w:r w:rsidRPr="0082609A">
        <w:rPr>
          <w:rFonts w:asciiTheme="minorHAnsi" w:hAnsiTheme="minorHAnsi"/>
          <w:b/>
          <w:bCs/>
          <w:sz w:val="36"/>
          <w:szCs w:val="36"/>
          <w:lang w:val="en-US"/>
        </w:rPr>
        <w:t>Species Management Plan - IASMP)</w:t>
      </w:r>
    </w:p>
    <w:p w14:paraId="452CAABA" w14:textId="77777777" w:rsidR="00972296" w:rsidRPr="0082609A" w:rsidRDefault="00972296" w:rsidP="00890519">
      <w:pPr>
        <w:ind w:firstLine="708"/>
        <w:jc w:val="center"/>
        <w:rPr>
          <w:rFonts w:asciiTheme="minorHAnsi" w:hAnsiTheme="minorHAnsi"/>
          <w:b/>
          <w:bCs/>
          <w:sz w:val="36"/>
          <w:szCs w:val="36"/>
          <w:lang w:val="en-US"/>
        </w:rPr>
      </w:pPr>
    </w:p>
    <w:p w14:paraId="266FB48E" w14:textId="2DAD7267" w:rsidR="00BD14CA" w:rsidRPr="0082609A" w:rsidRDefault="00BD14CA" w:rsidP="00051943">
      <w:pPr>
        <w:jc w:val="center"/>
        <w:rPr>
          <w:rFonts w:asciiTheme="minorHAnsi" w:hAnsiTheme="minorHAnsi"/>
          <w:b/>
          <w:bCs/>
          <w:sz w:val="36"/>
          <w:szCs w:val="36"/>
        </w:rPr>
      </w:pPr>
      <w:r w:rsidRPr="0082609A">
        <w:rPr>
          <w:rFonts w:asciiTheme="minorHAnsi" w:hAnsiTheme="minorHAnsi"/>
          <w:b/>
          <w:bCs/>
          <w:sz w:val="36"/>
          <w:szCs w:val="36"/>
        </w:rPr>
        <w:t>WERSJA DRAFT</w:t>
      </w:r>
    </w:p>
    <w:p w14:paraId="266E7278" w14:textId="77777777" w:rsidR="00051943" w:rsidRPr="0082609A" w:rsidRDefault="00051943" w:rsidP="00051943">
      <w:pPr>
        <w:jc w:val="center"/>
        <w:rPr>
          <w:rFonts w:asciiTheme="minorHAnsi" w:hAnsiTheme="minorHAnsi"/>
          <w:b/>
          <w:bCs/>
          <w:sz w:val="36"/>
          <w:szCs w:val="36"/>
        </w:rPr>
      </w:pPr>
    </w:p>
    <w:p w14:paraId="679E5AE5" w14:textId="70A2186C" w:rsidR="00051943" w:rsidRPr="0082609A" w:rsidRDefault="00051943" w:rsidP="00051943">
      <w:pPr>
        <w:pStyle w:val="paragraph"/>
        <w:spacing w:before="0" w:beforeAutospacing="0" w:after="0" w:afterAutospacing="0"/>
        <w:textAlignment w:val="baseline"/>
        <w:rPr>
          <w:rFonts w:asciiTheme="minorHAnsi" w:hAnsiTheme="minorHAnsi" w:cs="Segoe UI"/>
          <w:sz w:val="18"/>
          <w:szCs w:val="18"/>
        </w:rPr>
      </w:pPr>
    </w:p>
    <w:p w14:paraId="02A75B26" w14:textId="77777777" w:rsidR="00261868" w:rsidRPr="0082609A" w:rsidRDefault="00261868" w:rsidP="00261868">
      <w:pPr>
        <w:numPr>
          <w:ilvl w:val="1"/>
          <w:numId w:val="0"/>
        </w:numPr>
        <w:spacing w:before="120" w:after="120" w:line="257" w:lineRule="auto"/>
        <w:jc w:val="both"/>
        <w:rPr>
          <w:rFonts w:asciiTheme="minorHAnsi" w:eastAsia="MS Gothic" w:hAnsiTheme="minorHAnsi" w:cs="Times New Roman"/>
          <w:color w:val="595959"/>
          <w:spacing w:val="15"/>
          <w:sz w:val="28"/>
          <w:szCs w:val="28"/>
        </w:rPr>
      </w:pPr>
      <w:r w:rsidRPr="0082609A">
        <w:rPr>
          <w:rFonts w:asciiTheme="minorHAnsi" w:eastAsia="MS Gothic" w:hAnsiTheme="minorHAnsi" w:cs="Times New Roman"/>
          <w:b/>
          <w:bCs/>
          <w:color w:val="595959"/>
          <w:spacing w:val="15"/>
          <w:sz w:val="28"/>
          <w:szCs w:val="28"/>
        </w:rPr>
        <w:t>Kontrakt 5.10.1.</w:t>
      </w:r>
      <w:r w:rsidRPr="0082609A">
        <w:rPr>
          <w:rFonts w:asciiTheme="minorHAnsi" w:eastAsia="MS Gothic" w:hAnsiTheme="minorHAnsi" w:cs="Times New Roman"/>
          <w:color w:val="595959"/>
          <w:spacing w:val="15"/>
          <w:sz w:val="28"/>
          <w:szCs w:val="28"/>
        </w:rPr>
        <w:t xml:space="preserve"> Budowa zbiornika Kamieniec Ząbkowicki - Opracowanie dokumentacji projektowej wraz z uzyskaniem decyzji administracyjnych oraz przyszłym Nadzorem Autorskim wraz z opracowaniem dokumentacji przetargowej niezbędnej do wyłonienia Wykonawcy przyszłych robót budowlanych w ramach przyszłego Projektu Budowanie odporności na zmiany klimatu w gospodarce wodnej w Polsce (</w:t>
      </w:r>
      <w:proofErr w:type="spellStart"/>
      <w:r w:rsidRPr="0082609A">
        <w:rPr>
          <w:rFonts w:asciiTheme="minorHAnsi" w:eastAsia="MS Gothic" w:hAnsiTheme="minorHAnsi" w:cs="Times New Roman"/>
          <w:color w:val="595959"/>
          <w:spacing w:val="15"/>
          <w:sz w:val="28"/>
          <w:szCs w:val="28"/>
        </w:rPr>
        <w:t>future</w:t>
      </w:r>
      <w:proofErr w:type="spellEnd"/>
      <w:r w:rsidRPr="0082609A">
        <w:rPr>
          <w:rFonts w:asciiTheme="minorHAnsi" w:eastAsia="MS Gothic" w:hAnsiTheme="minorHAnsi" w:cs="Times New Roman"/>
          <w:color w:val="595959"/>
          <w:spacing w:val="15"/>
          <w:sz w:val="28"/>
          <w:szCs w:val="28"/>
        </w:rPr>
        <w:t xml:space="preserve"> POLAND’S </w:t>
      </w:r>
      <w:proofErr w:type="spellStart"/>
      <w:r w:rsidRPr="0082609A">
        <w:rPr>
          <w:rFonts w:asciiTheme="minorHAnsi" w:eastAsia="MS Gothic" w:hAnsiTheme="minorHAnsi" w:cs="Times New Roman"/>
          <w:color w:val="595959"/>
          <w:spacing w:val="15"/>
          <w:sz w:val="28"/>
          <w:szCs w:val="28"/>
        </w:rPr>
        <w:t>Building</w:t>
      </w:r>
      <w:proofErr w:type="spellEnd"/>
      <w:r w:rsidRPr="0082609A">
        <w:rPr>
          <w:rFonts w:asciiTheme="minorHAnsi" w:eastAsia="MS Gothic" w:hAnsiTheme="minorHAnsi" w:cs="Times New Roman"/>
          <w:color w:val="595959"/>
          <w:spacing w:val="15"/>
          <w:sz w:val="28"/>
          <w:szCs w:val="28"/>
        </w:rPr>
        <w:t xml:space="preserve"> </w:t>
      </w:r>
      <w:proofErr w:type="spellStart"/>
      <w:r w:rsidRPr="0082609A">
        <w:rPr>
          <w:rFonts w:asciiTheme="minorHAnsi" w:eastAsia="MS Gothic" w:hAnsiTheme="minorHAnsi" w:cs="Times New Roman"/>
          <w:color w:val="595959"/>
          <w:spacing w:val="15"/>
          <w:sz w:val="28"/>
          <w:szCs w:val="28"/>
        </w:rPr>
        <w:t>Climate</w:t>
      </w:r>
      <w:proofErr w:type="spellEnd"/>
      <w:r w:rsidRPr="0082609A">
        <w:rPr>
          <w:rFonts w:asciiTheme="minorHAnsi" w:eastAsia="MS Gothic" w:hAnsiTheme="minorHAnsi" w:cs="Times New Roman"/>
          <w:color w:val="595959"/>
          <w:spacing w:val="15"/>
          <w:sz w:val="28"/>
          <w:szCs w:val="28"/>
        </w:rPr>
        <w:t xml:space="preserve"> </w:t>
      </w:r>
      <w:proofErr w:type="spellStart"/>
      <w:r w:rsidRPr="0082609A">
        <w:rPr>
          <w:rFonts w:asciiTheme="minorHAnsi" w:eastAsia="MS Gothic" w:hAnsiTheme="minorHAnsi" w:cs="Times New Roman"/>
          <w:color w:val="595959"/>
          <w:spacing w:val="15"/>
          <w:sz w:val="28"/>
          <w:szCs w:val="28"/>
        </w:rPr>
        <w:t>Resilience</w:t>
      </w:r>
      <w:proofErr w:type="spellEnd"/>
      <w:r w:rsidRPr="0082609A">
        <w:rPr>
          <w:rFonts w:asciiTheme="minorHAnsi" w:eastAsia="MS Gothic" w:hAnsiTheme="minorHAnsi" w:cs="Times New Roman"/>
          <w:color w:val="595959"/>
          <w:spacing w:val="15"/>
          <w:sz w:val="28"/>
          <w:szCs w:val="28"/>
        </w:rPr>
        <w:t xml:space="preserve"> in </w:t>
      </w:r>
      <w:proofErr w:type="spellStart"/>
      <w:r w:rsidRPr="0082609A">
        <w:rPr>
          <w:rFonts w:asciiTheme="minorHAnsi" w:eastAsia="MS Gothic" w:hAnsiTheme="minorHAnsi" w:cs="Times New Roman"/>
          <w:color w:val="595959"/>
          <w:spacing w:val="15"/>
          <w:sz w:val="28"/>
          <w:szCs w:val="28"/>
        </w:rPr>
        <w:t>Water</w:t>
      </w:r>
      <w:proofErr w:type="spellEnd"/>
      <w:r w:rsidRPr="0082609A">
        <w:rPr>
          <w:rFonts w:asciiTheme="minorHAnsi" w:eastAsia="MS Gothic" w:hAnsiTheme="minorHAnsi" w:cs="Times New Roman"/>
          <w:color w:val="595959"/>
          <w:spacing w:val="15"/>
          <w:sz w:val="28"/>
          <w:szCs w:val="28"/>
        </w:rPr>
        <w:t xml:space="preserve"> Management Project)</w:t>
      </w:r>
      <w:r w:rsidRPr="0082609A">
        <w:rPr>
          <w:rFonts w:asciiTheme="minorHAnsi" w:eastAsia="MS Gothic" w:hAnsiTheme="minorHAnsi" w:cs="Times New Roman"/>
          <w:noProof/>
          <w:color w:val="595959"/>
          <w:spacing w:val="15"/>
          <w:sz w:val="28"/>
          <w:szCs w:val="28"/>
          <w:lang w:eastAsia="pl-PL"/>
        </w:rPr>
        <mc:AlternateContent>
          <mc:Choice Requires="wps">
            <w:drawing>
              <wp:anchor distT="0" distB="0" distL="114300" distR="114300" simplePos="0" relativeHeight="251658243" behindDoc="0" locked="0" layoutInCell="1" allowOverlap="1" wp14:anchorId="69607C12" wp14:editId="3584B262">
                <wp:simplePos x="0" y="0"/>
                <wp:positionH relativeFrom="column">
                  <wp:posOffset>-230505</wp:posOffset>
                </wp:positionH>
                <wp:positionV relativeFrom="paragraph">
                  <wp:posOffset>8596630</wp:posOffset>
                </wp:positionV>
                <wp:extent cx="6315075" cy="0"/>
                <wp:effectExtent l="0" t="0" r="9525" b="19050"/>
                <wp:wrapNone/>
                <wp:docPr id="923489301"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36FAF13A">
              <v:line id="Łącznik prostoliniowy 11"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strokeweight="1pt" from="-18.15pt,676.9pt" to="479.1pt,676.9pt" w14:anchorId="1987FA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">
                <v:stroke joinstyle="miter" dashstyle="longDash"/>
              </v:line>
            </w:pict>
          </mc:Fallback>
        </mc:AlternateContent>
      </w:r>
    </w:p>
    <w:p w14:paraId="1B85E10B" w14:textId="77777777" w:rsidR="00051943" w:rsidRDefault="00051943" w:rsidP="00BD14CA">
      <w:pPr>
        <w:jc w:val="both"/>
        <w:rPr>
          <w:rFonts w:asciiTheme="minorHAnsi" w:hAnsiTheme="minorHAnsi"/>
        </w:rPr>
      </w:pPr>
    </w:p>
    <w:p w14:paraId="13AEC186" w14:textId="77777777" w:rsidR="004764AC" w:rsidRDefault="004764AC" w:rsidP="00BD14CA">
      <w:pPr>
        <w:jc w:val="both"/>
        <w:rPr>
          <w:rFonts w:asciiTheme="minorHAnsi" w:hAnsiTheme="minorHAnsi"/>
        </w:rPr>
      </w:pPr>
    </w:p>
    <w:p w14:paraId="2F39DE28" w14:textId="77777777" w:rsidR="00CC5079" w:rsidRDefault="00CC5079" w:rsidP="00BD14CA">
      <w:pPr>
        <w:jc w:val="both"/>
        <w:rPr>
          <w:rFonts w:asciiTheme="minorHAnsi" w:hAnsiTheme="minorHAnsi"/>
        </w:rPr>
      </w:pPr>
    </w:p>
    <w:p w14:paraId="28A15EFE" w14:textId="77777777" w:rsidR="00CC5079" w:rsidRPr="0082609A" w:rsidRDefault="00CC5079" w:rsidP="00BD14CA">
      <w:pPr>
        <w:jc w:val="both"/>
        <w:rPr>
          <w:rFonts w:asciiTheme="minorHAnsi" w:hAnsiTheme="minorHAnsi"/>
        </w:rPr>
      </w:pPr>
    </w:p>
    <w:p w14:paraId="23C5C4C5" w14:textId="4AC3F5E3" w:rsidR="00792E33" w:rsidRPr="0082609A" w:rsidRDefault="00BD14CA" w:rsidP="00BD14CA">
      <w:pPr>
        <w:jc w:val="both"/>
        <w:rPr>
          <w:rFonts w:asciiTheme="minorHAnsi" w:hAnsiTheme="minorHAnsi"/>
        </w:rPr>
      </w:pPr>
      <w:r w:rsidRPr="0082609A">
        <w:rPr>
          <w:rFonts w:asciiTheme="minorHAnsi" w:hAnsiTheme="minorHAnsi"/>
          <w:noProof/>
          <w:lang w:eastAsia="pl-PL"/>
        </w:rPr>
        <mc:AlternateContent>
          <mc:Choice Requires="wps">
            <w:drawing>
              <wp:anchor distT="0" distB="0" distL="114300" distR="114300" simplePos="0" relativeHeight="251658242" behindDoc="0" locked="0" layoutInCell="1" allowOverlap="1" wp14:anchorId="33841E9F" wp14:editId="5CC42EB2">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ln w="12700">
                          <a:solidFill>
                            <a:schemeClr val="tx2"/>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2FC72B55">
              <v:line id="Łącznik prostoliniowy 11"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3215]" strokeweight="1pt" from="-18.15pt,676.9pt" to="479.1pt,676.9pt" w14:anchorId="454E2F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">
                <v:stroke joinstyle="miter" dashstyle="longDash"/>
              </v:line>
            </w:pict>
          </mc:Fallback>
        </mc:AlternateContent>
      </w:r>
    </w:p>
    <w:p w14:paraId="0ECF74D1" w14:textId="6FB93C2B" w:rsidR="0099402C" w:rsidRPr="0082609A" w:rsidRDefault="00BD14CA" w:rsidP="00792E33">
      <w:pPr>
        <w:jc w:val="center"/>
        <w:rPr>
          <w:rFonts w:asciiTheme="minorHAnsi" w:hAnsiTheme="minorHAnsi"/>
        </w:rPr>
      </w:pPr>
      <w:r w:rsidRPr="0082609A">
        <w:rPr>
          <w:rFonts w:asciiTheme="minorHAnsi" w:hAnsiTheme="minorHAnsi"/>
        </w:rPr>
        <w:t xml:space="preserve">Wrocław, </w:t>
      </w:r>
      <w:r w:rsidR="00E07446">
        <w:rPr>
          <w:rFonts w:asciiTheme="minorHAnsi" w:hAnsiTheme="minorHAnsi"/>
        </w:rPr>
        <w:t>październik</w:t>
      </w:r>
      <w:r w:rsidRPr="0082609A">
        <w:rPr>
          <w:rFonts w:asciiTheme="minorHAnsi" w:hAnsiTheme="minorHAnsi"/>
        </w:rPr>
        <w:t xml:space="preserve"> 2026</w:t>
      </w:r>
    </w:p>
    <w:sdt>
      <w:sdtPr>
        <w:rPr>
          <w:rFonts w:ascii="Arial" w:eastAsiaTheme="minorEastAsia" w:hAnsi="Arial" w:cs="Arial"/>
          <w:color w:val="auto"/>
          <w:kern w:val="2"/>
          <w:sz w:val="22"/>
          <w:szCs w:val="22"/>
          <w:lang w:eastAsia="en-US"/>
          <w14:ligatures w14:val="standardContextual"/>
        </w:rPr>
        <w:id w:val="-1532262764"/>
        <w:docPartObj>
          <w:docPartGallery w:val="Table of Contents"/>
          <w:docPartUnique/>
        </w:docPartObj>
      </w:sdtPr>
      <w:sdtEndPr>
        <w:rPr>
          <w:b/>
          <w:bCs/>
        </w:rPr>
      </w:sdtEndPr>
      <w:sdtContent>
        <w:p w14:paraId="1BBC31E9" w14:textId="64EC250A" w:rsidR="0099402C" w:rsidRDefault="0099402C">
          <w:pPr>
            <w:pStyle w:val="Nagwekspisutreci"/>
          </w:pPr>
          <w:r>
            <w:t>Spis treści</w:t>
          </w:r>
        </w:p>
        <w:p w14:paraId="200DB3FD" w14:textId="23621D9D" w:rsidR="00AE7F15" w:rsidRPr="00AE7F15" w:rsidRDefault="0099402C">
          <w:pPr>
            <w:pStyle w:val="Spistreci1"/>
            <w:tabs>
              <w:tab w:val="right" w:leader="dot" w:pos="9062"/>
            </w:tabs>
            <w:rPr>
              <w:rFonts w:asciiTheme="minorHAnsi" w:eastAsiaTheme="minorEastAsia" w:hAnsiTheme="minorHAnsi" w:cstheme="minorBidi"/>
              <w:noProof/>
              <w:color w:val="000000" w:themeColor="text1"/>
              <w:sz w:val="28"/>
              <w:szCs w:val="28"/>
              <w:lang w:eastAsia="pl-PL"/>
            </w:rPr>
          </w:pPr>
          <w:r>
            <w:fldChar w:fldCharType="begin"/>
          </w:r>
          <w:r>
            <w:instrText xml:space="preserve"> TOC \o "1-3" \h \z \u </w:instrText>
          </w:r>
          <w:r>
            <w:fldChar w:fldCharType="separate"/>
          </w:r>
          <w:hyperlink w:anchor="_Toc239940796" w:history="1">
            <w:r w:rsidR="00AE7F15" w:rsidRPr="00AE7F15">
              <w:rPr>
                <w:rStyle w:val="Hipercze"/>
                <w:rFonts w:asciiTheme="minorHAnsi" w:hAnsiTheme="minorHAnsi"/>
                <w:noProof/>
                <w:color w:val="000000" w:themeColor="text1"/>
                <w:sz w:val="24"/>
                <w:szCs w:val="24"/>
              </w:rPr>
              <w:t>1.Wprowadzenie</w:t>
            </w:r>
            <w:r w:rsidR="00AE7F15" w:rsidRPr="00AE7F15">
              <w:rPr>
                <w:rFonts w:asciiTheme="minorHAnsi" w:hAnsiTheme="minorHAnsi"/>
                <w:noProof/>
                <w:webHidden/>
                <w:color w:val="000000" w:themeColor="text1"/>
                <w:sz w:val="24"/>
                <w:szCs w:val="24"/>
              </w:rPr>
              <w:tab/>
            </w:r>
            <w:r w:rsidR="00AE7F15" w:rsidRPr="00AE7F15">
              <w:rPr>
                <w:rFonts w:asciiTheme="minorHAnsi" w:hAnsiTheme="minorHAnsi"/>
                <w:noProof/>
                <w:webHidden/>
                <w:color w:val="000000" w:themeColor="text1"/>
                <w:sz w:val="24"/>
                <w:szCs w:val="24"/>
              </w:rPr>
              <w:fldChar w:fldCharType="begin"/>
            </w:r>
            <w:r w:rsidR="00AE7F15" w:rsidRPr="00AE7F15">
              <w:rPr>
                <w:rFonts w:asciiTheme="minorHAnsi" w:hAnsiTheme="minorHAnsi"/>
                <w:noProof/>
                <w:webHidden/>
                <w:color w:val="000000" w:themeColor="text1"/>
                <w:sz w:val="24"/>
                <w:szCs w:val="24"/>
              </w:rPr>
              <w:instrText xml:space="preserve"> PAGEREF _Toc239940796 \h </w:instrText>
            </w:r>
            <w:r w:rsidR="00AE7F15" w:rsidRPr="00AE7F15">
              <w:rPr>
                <w:rFonts w:asciiTheme="minorHAnsi" w:hAnsiTheme="minorHAnsi"/>
                <w:noProof/>
                <w:webHidden/>
                <w:color w:val="000000" w:themeColor="text1"/>
                <w:sz w:val="24"/>
                <w:szCs w:val="24"/>
              </w:rPr>
            </w:r>
            <w:r w:rsidR="00AE7F15" w:rsidRPr="00AE7F15">
              <w:rPr>
                <w:rFonts w:asciiTheme="minorHAnsi" w:hAnsiTheme="minorHAnsi"/>
                <w:noProof/>
                <w:webHidden/>
                <w:color w:val="000000" w:themeColor="text1"/>
                <w:sz w:val="24"/>
                <w:szCs w:val="24"/>
              </w:rPr>
              <w:fldChar w:fldCharType="separate"/>
            </w:r>
            <w:r w:rsidR="00AE7F15" w:rsidRPr="00AE7F15">
              <w:rPr>
                <w:rFonts w:asciiTheme="minorHAnsi" w:hAnsiTheme="minorHAnsi"/>
                <w:noProof/>
                <w:webHidden/>
                <w:color w:val="000000" w:themeColor="text1"/>
                <w:sz w:val="24"/>
                <w:szCs w:val="24"/>
              </w:rPr>
              <w:t>3</w:t>
            </w:r>
            <w:r w:rsidR="00AE7F15" w:rsidRPr="00AE7F15">
              <w:rPr>
                <w:rFonts w:asciiTheme="minorHAnsi" w:hAnsiTheme="minorHAnsi"/>
                <w:noProof/>
                <w:webHidden/>
                <w:color w:val="000000" w:themeColor="text1"/>
                <w:sz w:val="24"/>
                <w:szCs w:val="24"/>
              </w:rPr>
              <w:fldChar w:fldCharType="end"/>
            </w:r>
          </w:hyperlink>
        </w:p>
        <w:p w14:paraId="48BEBEC3" w14:textId="37988DBD" w:rsidR="00AE7F15" w:rsidRPr="00AE7F15" w:rsidRDefault="00AE7F15">
          <w:pPr>
            <w:pStyle w:val="Spistreci1"/>
            <w:tabs>
              <w:tab w:val="right" w:leader="dot" w:pos="9062"/>
            </w:tabs>
            <w:rPr>
              <w:rFonts w:asciiTheme="minorHAnsi" w:eastAsiaTheme="minorEastAsia" w:hAnsiTheme="minorHAnsi" w:cstheme="minorBidi"/>
              <w:noProof/>
              <w:color w:val="000000" w:themeColor="text1"/>
              <w:sz w:val="28"/>
              <w:szCs w:val="28"/>
              <w:lang w:eastAsia="pl-PL"/>
            </w:rPr>
          </w:pPr>
          <w:hyperlink w:anchor="_Toc239940797" w:history="1">
            <w:r w:rsidRPr="00AE7F15">
              <w:rPr>
                <w:rStyle w:val="Hipercze"/>
                <w:rFonts w:asciiTheme="minorHAnsi" w:hAnsiTheme="minorHAnsi"/>
                <w:noProof/>
                <w:color w:val="000000" w:themeColor="text1"/>
                <w:sz w:val="24"/>
                <w:szCs w:val="24"/>
              </w:rPr>
              <w:t>2.Informacje o poszczególnych gatunkach inwazyjnych</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_Toc239940797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6</w:t>
            </w:r>
            <w:r w:rsidRPr="00AE7F15">
              <w:rPr>
                <w:rFonts w:asciiTheme="minorHAnsi" w:hAnsiTheme="minorHAnsi"/>
                <w:noProof/>
                <w:webHidden/>
                <w:color w:val="000000" w:themeColor="text1"/>
                <w:sz w:val="24"/>
                <w:szCs w:val="24"/>
              </w:rPr>
              <w:fldChar w:fldCharType="end"/>
            </w:r>
          </w:hyperlink>
        </w:p>
        <w:p w14:paraId="58A90E1D" w14:textId="0DD9040F"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798" w:history="1">
            <w:r w:rsidRPr="00AE7F15">
              <w:rPr>
                <w:rStyle w:val="Hipercze"/>
                <w:rFonts w:asciiTheme="minorHAnsi" w:hAnsiTheme="minorHAnsi"/>
                <w:noProof/>
                <w:color w:val="000000" w:themeColor="text1"/>
                <w:sz w:val="24"/>
                <w:szCs w:val="24"/>
              </w:rPr>
              <w:t>2.1. Rdestowce (</w:t>
            </w:r>
            <w:r w:rsidRPr="00AE7F15">
              <w:rPr>
                <w:rStyle w:val="Hipercze"/>
                <w:rFonts w:asciiTheme="minorHAnsi" w:hAnsiTheme="minorHAnsi"/>
                <w:i/>
                <w:iCs/>
                <w:noProof/>
                <w:color w:val="000000" w:themeColor="text1"/>
                <w:sz w:val="24"/>
                <w:szCs w:val="24"/>
              </w:rPr>
              <w:t xml:space="preserve">Reynoutria </w:t>
            </w:r>
            <w:r w:rsidRPr="00AE7F15">
              <w:rPr>
                <w:rStyle w:val="Hipercze"/>
                <w:rFonts w:asciiTheme="minorHAnsi" w:hAnsiTheme="minorHAnsi"/>
                <w:noProof/>
                <w:color w:val="000000" w:themeColor="text1"/>
                <w:sz w:val="24"/>
                <w:szCs w:val="24"/>
              </w:rPr>
              <w:t>sp.)</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_Toc239940798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6</w:t>
            </w:r>
            <w:r w:rsidRPr="00AE7F15">
              <w:rPr>
                <w:rFonts w:asciiTheme="minorHAnsi" w:hAnsiTheme="minorHAnsi"/>
                <w:noProof/>
                <w:webHidden/>
                <w:color w:val="000000" w:themeColor="text1"/>
                <w:sz w:val="24"/>
                <w:szCs w:val="24"/>
              </w:rPr>
              <w:fldChar w:fldCharType="end"/>
            </w:r>
          </w:hyperlink>
        </w:p>
        <w:p w14:paraId="688F4F1E" w14:textId="38FF797F"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799" w:history="1">
            <w:r w:rsidRPr="00AE7F15">
              <w:rPr>
                <w:rStyle w:val="Hipercze"/>
                <w:rFonts w:asciiTheme="minorHAnsi" w:hAnsiTheme="minorHAnsi"/>
                <w:noProof/>
                <w:color w:val="000000" w:themeColor="text1"/>
                <w:sz w:val="24"/>
                <w:szCs w:val="24"/>
              </w:rPr>
              <w:t>2.2. Róża pomarszczona (</w:t>
            </w:r>
            <w:r w:rsidRPr="00AE7F15">
              <w:rPr>
                <w:rStyle w:val="Hipercze"/>
                <w:rFonts w:asciiTheme="minorHAnsi" w:hAnsiTheme="minorHAnsi"/>
                <w:i/>
                <w:iCs/>
                <w:noProof/>
                <w:color w:val="000000" w:themeColor="text1"/>
                <w:sz w:val="24"/>
                <w:szCs w:val="24"/>
              </w:rPr>
              <w:t>Rosa rugosa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_Toc239940799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12</w:t>
            </w:r>
            <w:r w:rsidRPr="00AE7F15">
              <w:rPr>
                <w:rFonts w:asciiTheme="minorHAnsi" w:hAnsiTheme="minorHAnsi"/>
                <w:noProof/>
                <w:webHidden/>
                <w:color w:val="000000" w:themeColor="text1"/>
                <w:sz w:val="24"/>
                <w:szCs w:val="24"/>
              </w:rPr>
              <w:fldChar w:fldCharType="end"/>
            </w:r>
          </w:hyperlink>
        </w:p>
        <w:p w14:paraId="5CDB10E8" w14:textId="554BC42A"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0" w:history="1">
            <w:r w:rsidRPr="00AE7F15">
              <w:rPr>
                <w:rStyle w:val="Hipercze"/>
                <w:rFonts w:asciiTheme="minorHAnsi" w:hAnsiTheme="minorHAnsi"/>
                <w:noProof/>
                <w:color w:val="000000" w:themeColor="text1"/>
                <w:sz w:val="24"/>
                <w:szCs w:val="24"/>
              </w:rPr>
              <w:t>2.3. Niecierpek gruczołowaty (</w:t>
            </w:r>
            <w:r w:rsidRPr="00AE7F15">
              <w:rPr>
                <w:rStyle w:val="Hipercze"/>
                <w:rFonts w:asciiTheme="minorHAnsi" w:hAnsiTheme="minorHAnsi"/>
                <w:i/>
                <w:iCs/>
                <w:noProof/>
                <w:color w:val="000000" w:themeColor="text1"/>
                <w:sz w:val="24"/>
                <w:szCs w:val="24"/>
              </w:rPr>
              <w:t>Impatiens glandulifera)</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_Toc239940800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17</w:t>
            </w:r>
            <w:r w:rsidRPr="00AE7F15">
              <w:rPr>
                <w:rFonts w:asciiTheme="minorHAnsi" w:hAnsiTheme="minorHAnsi"/>
                <w:noProof/>
                <w:webHidden/>
                <w:color w:val="000000" w:themeColor="text1"/>
                <w:sz w:val="24"/>
                <w:szCs w:val="24"/>
              </w:rPr>
              <w:fldChar w:fldCharType="end"/>
            </w:r>
          </w:hyperlink>
        </w:p>
        <w:p w14:paraId="5B247A68" w14:textId="6D046221"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1" w:history="1">
            <w:r w:rsidRPr="00AE7F15">
              <w:rPr>
                <w:rStyle w:val="Hipercze"/>
                <w:rFonts w:asciiTheme="minorHAnsi" w:hAnsiTheme="minorHAnsi"/>
                <w:noProof/>
                <w:color w:val="000000" w:themeColor="text1"/>
                <w:sz w:val="24"/>
                <w:szCs w:val="24"/>
              </w:rPr>
              <w:t>2.4. Nawłoć późna (</w:t>
            </w:r>
            <w:r w:rsidRPr="00AE7F15">
              <w:rPr>
                <w:rStyle w:val="Hipercze"/>
                <w:rFonts w:asciiTheme="minorHAnsi" w:hAnsiTheme="minorHAnsi"/>
                <w:i/>
                <w:iCs/>
                <w:noProof/>
                <w:color w:val="000000" w:themeColor="text1"/>
                <w:sz w:val="24"/>
                <w:szCs w:val="24"/>
              </w:rPr>
              <w:t xml:space="preserve">Solidago gigantea) </w:t>
            </w:r>
            <w:r w:rsidRPr="00AE7F15">
              <w:rPr>
                <w:rStyle w:val="Hipercze"/>
                <w:rFonts w:asciiTheme="minorHAnsi" w:hAnsiTheme="minorHAnsi"/>
                <w:noProof/>
                <w:color w:val="000000" w:themeColor="text1"/>
                <w:sz w:val="24"/>
                <w:szCs w:val="24"/>
              </w:rPr>
              <w:t>i nawłoć kanadyjska (</w:t>
            </w:r>
            <w:r w:rsidRPr="00AE7F15">
              <w:rPr>
                <w:rStyle w:val="Hipercze"/>
                <w:rFonts w:asciiTheme="minorHAnsi" w:hAnsiTheme="minorHAnsi"/>
                <w:i/>
                <w:iCs/>
                <w:noProof/>
                <w:color w:val="000000" w:themeColor="text1"/>
                <w:sz w:val="24"/>
                <w:szCs w:val="24"/>
              </w:rPr>
              <w:t>Solidago canadensis)</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_Toc239940801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20</w:t>
            </w:r>
            <w:r w:rsidRPr="00AE7F15">
              <w:rPr>
                <w:rFonts w:asciiTheme="minorHAnsi" w:hAnsiTheme="minorHAnsi"/>
                <w:noProof/>
                <w:webHidden/>
                <w:color w:val="000000" w:themeColor="text1"/>
                <w:sz w:val="24"/>
                <w:szCs w:val="24"/>
              </w:rPr>
              <w:fldChar w:fldCharType="end"/>
            </w:r>
          </w:hyperlink>
        </w:p>
        <w:p w14:paraId="2178D7BA" w14:textId="0D3346D8"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2" w:history="1">
            <w:r w:rsidRPr="00AE7F15">
              <w:rPr>
                <w:rStyle w:val="Hipercze"/>
                <w:rFonts w:asciiTheme="minorHAnsi" w:hAnsiTheme="minorHAnsi"/>
                <w:noProof/>
                <w:color w:val="000000" w:themeColor="text1"/>
                <w:sz w:val="24"/>
                <w:szCs w:val="24"/>
              </w:rPr>
              <w:t>2.5. Łubin trwały (</w:t>
            </w:r>
            <w:r w:rsidRPr="00AE7F15">
              <w:rPr>
                <w:rStyle w:val="Hipercze"/>
                <w:rFonts w:asciiTheme="minorHAnsi" w:hAnsiTheme="minorHAnsi"/>
                <w:i/>
                <w:iCs/>
                <w:noProof/>
                <w:color w:val="000000" w:themeColor="text1"/>
                <w:sz w:val="24"/>
                <w:szCs w:val="24"/>
              </w:rPr>
              <w:t>Lupinus polyphyllus</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_Toc239940802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24</w:t>
            </w:r>
            <w:r w:rsidRPr="00AE7F15">
              <w:rPr>
                <w:rFonts w:asciiTheme="minorHAnsi" w:hAnsiTheme="minorHAnsi"/>
                <w:noProof/>
                <w:webHidden/>
                <w:color w:val="000000" w:themeColor="text1"/>
                <w:sz w:val="24"/>
                <w:szCs w:val="24"/>
              </w:rPr>
              <w:fldChar w:fldCharType="end"/>
            </w:r>
          </w:hyperlink>
        </w:p>
        <w:p w14:paraId="33F8BC49" w14:textId="1E6D886C"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3" w:history="1">
            <w:r w:rsidRPr="00AE7F15">
              <w:rPr>
                <w:rStyle w:val="Hipercze"/>
                <w:rFonts w:asciiTheme="minorHAnsi" w:hAnsiTheme="minorHAnsi"/>
                <w:noProof/>
                <w:color w:val="000000" w:themeColor="text1"/>
                <w:sz w:val="24"/>
                <w:szCs w:val="24"/>
              </w:rPr>
              <w:t>2.6. Kolczurka klapowana (</w:t>
            </w:r>
            <w:r w:rsidRPr="00AE7F15">
              <w:rPr>
                <w:rStyle w:val="Hipercze"/>
                <w:rFonts w:asciiTheme="minorHAnsi" w:hAnsiTheme="minorHAnsi"/>
                <w:i/>
                <w:iCs/>
                <w:noProof/>
                <w:color w:val="000000" w:themeColor="text1"/>
                <w:sz w:val="24"/>
                <w:szCs w:val="24"/>
              </w:rPr>
              <w:t>Echinocystis lobata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_Toc239940803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25</w:t>
            </w:r>
            <w:r w:rsidRPr="00AE7F15">
              <w:rPr>
                <w:rFonts w:asciiTheme="minorHAnsi" w:hAnsiTheme="minorHAnsi"/>
                <w:noProof/>
                <w:webHidden/>
                <w:color w:val="000000" w:themeColor="text1"/>
                <w:sz w:val="24"/>
                <w:szCs w:val="24"/>
              </w:rPr>
              <w:fldChar w:fldCharType="end"/>
            </w:r>
          </w:hyperlink>
        </w:p>
        <w:p w14:paraId="685BFB75" w14:textId="7AD30BAC"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4" w:history="1">
            <w:r w:rsidRPr="00AE7F15">
              <w:rPr>
                <w:rStyle w:val="Hipercze"/>
                <w:rFonts w:asciiTheme="minorHAnsi" w:hAnsiTheme="minorHAnsi"/>
                <w:noProof/>
                <w:color w:val="000000" w:themeColor="text1"/>
                <w:sz w:val="24"/>
                <w:szCs w:val="24"/>
              </w:rPr>
              <w:t>2.7. Szarłat szorstki (</w:t>
            </w:r>
            <w:r w:rsidRPr="00AE7F15">
              <w:rPr>
                <w:rStyle w:val="Hipercze"/>
                <w:rFonts w:asciiTheme="minorHAnsi" w:hAnsiTheme="minorHAnsi"/>
                <w:i/>
                <w:iCs/>
                <w:noProof/>
                <w:color w:val="000000" w:themeColor="text1"/>
                <w:sz w:val="24"/>
                <w:szCs w:val="24"/>
              </w:rPr>
              <w:t>Amaranthus retroflexus</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_Toc239940804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30</w:t>
            </w:r>
            <w:r w:rsidRPr="00AE7F15">
              <w:rPr>
                <w:rFonts w:asciiTheme="minorHAnsi" w:hAnsiTheme="minorHAnsi"/>
                <w:noProof/>
                <w:webHidden/>
                <w:color w:val="000000" w:themeColor="text1"/>
                <w:sz w:val="24"/>
                <w:szCs w:val="24"/>
              </w:rPr>
              <w:fldChar w:fldCharType="end"/>
            </w:r>
          </w:hyperlink>
        </w:p>
        <w:p w14:paraId="2BCAA786" w14:textId="2D00C7DC"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5" w:history="1">
            <w:r w:rsidRPr="00AE7F15">
              <w:rPr>
                <w:rStyle w:val="Hipercze"/>
                <w:rFonts w:asciiTheme="minorHAnsi" w:hAnsiTheme="minorHAnsi"/>
                <w:noProof/>
                <w:color w:val="000000" w:themeColor="text1"/>
                <w:sz w:val="24"/>
                <w:szCs w:val="24"/>
              </w:rPr>
              <w:t>2.8. Naparstnica purpurowa (</w:t>
            </w:r>
            <w:r w:rsidRPr="00AE7F15">
              <w:rPr>
                <w:rStyle w:val="Hipercze"/>
                <w:rFonts w:asciiTheme="minorHAnsi" w:hAnsiTheme="minorHAnsi"/>
                <w:i/>
                <w:iCs/>
                <w:noProof/>
                <w:color w:val="000000" w:themeColor="text1"/>
                <w:sz w:val="24"/>
                <w:szCs w:val="24"/>
              </w:rPr>
              <w:t>Digitalis purpurea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_Toc239940805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33</w:t>
            </w:r>
            <w:r w:rsidRPr="00AE7F15">
              <w:rPr>
                <w:rFonts w:asciiTheme="minorHAnsi" w:hAnsiTheme="minorHAnsi"/>
                <w:noProof/>
                <w:webHidden/>
                <w:color w:val="000000" w:themeColor="text1"/>
                <w:sz w:val="24"/>
                <w:szCs w:val="24"/>
              </w:rPr>
              <w:fldChar w:fldCharType="end"/>
            </w:r>
          </w:hyperlink>
        </w:p>
        <w:p w14:paraId="1889885D" w14:textId="264B79D2"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6" w:history="1">
            <w:r w:rsidRPr="00AE7F15">
              <w:rPr>
                <w:rStyle w:val="Hipercze"/>
                <w:rFonts w:asciiTheme="minorHAnsi" w:hAnsiTheme="minorHAnsi"/>
                <w:noProof/>
                <w:color w:val="000000" w:themeColor="text1"/>
                <w:sz w:val="24"/>
                <w:szCs w:val="24"/>
              </w:rPr>
              <w:t>2.9. Świdośliwa kłosowa (</w:t>
            </w:r>
            <w:r w:rsidRPr="00AE7F15">
              <w:rPr>
                <w:rStyle w:val="Hipercze"/>
                <w:rFonts w:asciiTheme="minorHAnsi" w:hAnsiTheme="minorHAnsi"/>
                <w:i/>
                <w:iCs/>
                <w:noProof/>
                <w:color w:val="000000" w:themeColor="text1"/>
                <w:sz w:val="24"/>
                <w:szCs w:val="24"/>
              </w:rPr>
              <w:t>Amelanchier spicata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_Toc239940806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35</w:t>
            </w:r>
            <w:r w:rsidRPr="00AE7F15">
              <w:rPr>
                <w:rFonts w:asciiTheme="minorHAnsi" w:hAnsiTheme="minorHAnsi"/>
                <w:noProof/>
                <w:webHidden/>
                <w:color w:val="000000" w:themeColor="text1"/>
                <w:sz w:val="24"/>
                <w:szCs w:val="24"/>
              </w:rPr>
              <w:fldChar w:fldCharType="end"/>
            </w:r>
          </w:hyperlink>
        </w:p>
        <w:p w14:paraId="6F41129A" w14:textId="1AFD9C0E"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7" w:history="1">
            <w:r w:rsidRPr="00AE7F15">
              <w:rPr>
                <w:rStyle w:val="Hipercze"/>
                <w:rFonts w:asciiTheme="minorHAnsi" w:hAnsiTheme="minorHAnsi"/>
                <w:noProof/>
                <w:color w:val="000000" w:themeColor="text1"/>
                <w:sz w:val="24"/>
                <w:szCs w:val="24"/>
              </w:rPr>
              <w:t>2.10. Tawuła kutnerowata (</w:t>
            </w:r>
            <w:r w:rsidRPr="00AE7F15">
              <w:rPr>
                <w:rStyle w:val="Hipercze"/>
                <w:rFonts w:asciiTheme="minorHAnsi" w:hAnsiTheme="minorHAnsi"/>
                <w:i/>
                <w:iCs/>
                <w:noProof/>
                <w:color w:val="000000" w:themeColor="text1"/>
                <w:sz w:val="24"/>
                <w:szCs w:val="24"/>
              </w:rPr>
              <w:t>Spiraea tomentosa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_Toc239940807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37</w:t>
            </w:r>
            <w:r w:rsidRPr="00AE7F15">
              <w:rPr>
                <w:rFonts w:asciiTheme="minorHAnsi" w:hAnsiTheme="minorHAnsi"/>
                <w:noProof/>
                <w:webHidden/>
                <w:color w:val="000000" w:themeColor="text1"/>
                <w:sz w:val="24"/>
                <w:szCs w:val="24"/>
              </w:rPr>
              <w:fldChar w:fldCharType="end"/>
            </w:r>
          </w:hyperlink>
        </w:p>
        <w:p w14:paraId="2E738E57" w14:textId="77127012"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8" w:history="1">
            <w:r w:rsidRPr="00AE7F15">
              <w:rPr>
                <w:rStyle w:val="Hipercze"/>
                <w:rFonts w:asciiTheme="minorHAnsi" w:hAnsiTheme="minorHAnsi"/>
                <w:noProof/>
                <w:color w:val="000000" w:themeColor="text1"/>
                <w:sz w:val="24"/>
                <w:szCs w:val="24"/>
              </w:rPr>
              <w:t>2.11. Tojeść kropkowana (</w:t>
            </w:r>
            <w:r w:rsidRPr="00AE7F15">
              <w:rPr>
                <w:rStyle w:val="Hipercze"/>
                <w:rFonts w:asciiTheme="minorHAnsi" w:hAnsiTheme="minorHAnsi"/>
                <w:i/>
                <w:iCs/>
                <w:noProof/>
                <w:color w:val="000000" w:themeColor="text1"/>
                <w:sz w:val="24"/>
                <w:szCs w:val="24"/>
              </w:rPr>
              <w:t>Lysimachia punctata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_Toc239940808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41</w:t>
            </w:r>
            <w:r w:rsidRPr="00AE7F15">
              <w:rPr>
                <w:rFonts w:asciiTheme="minorHAnsi" w:hAnsiTheme="minorHAnsi"/>
                <w:noProof/>
                <w:webHidden/>
                <w:color w:val="000000" w:themeColor="text1"/>
                <w:sz w:val="24"/>
                <w:szCs w:val="24"/>
              </w:rPr>
              <w:fldChar w:fldCharType="end"/>
            </w:r>
          </w:hyperlink>
        </w:p>
        <w:p w14:paraId="222864C4" w14:textId="6D9B4E64"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09" w:history="1">
            <w:r w:rsidRPr="00AE7F15">
              <w:rPr>
                <w:rStyle w:val="Hipercze"/>
                <w:rFonts w:asciiTheme="minorHAnsi" w:hAnsiTheme="minorHAnsi"/>
                <w:noProof/>
                <w:color w:val="000000" w:themeColor="text1"/>
                <w:sz w:val="24"/>
                <w:szCs w:val="24"/>
              </w:rPr>
              <w:t>2.12.Smotrawa okazała (</w:t>
            </w:r>
            <w:r w:rsidRPr="00AE7F15">
              <w:rPr>
                <w:rStyle w:val="Hipercze"/>
                <w:rFonts w:asciiTheme="minorHAnsi" w:hAnsiTheme="minorHAnsi"/>
                <w:i/>
                <w:iCs/>
                <w:noProof/>
                <w:color w:val="000000" w:themeColor="text1"/>
                <w:sz w:val="24"/>
                <w:szCs w:val="24"/>
              </w:rPr>
              <w:t>Telekia speciosa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_Toc239940809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43</w:t>
            </w:r>
            <w:r w:rsidRPr="00AE7F15">
              <w:rPr>
                <w:rFonts w:asciiTheme="minorHAnsi" w:hAnsiTheme="minorHAnsi"/>
                <w:noProof/>
                <w:webHidden/>
                <w:color w:val="000000" w:themeColor="text1"/>
                <w:sz w:val="24"/>
                <w:szCs w:val="24"/>
              </w:rPr>
              <w:fldChar w:fldCharType="end"/>
            </w:r>
          </w:hyperlink>
        </w:p>
        <w:p w14:paraId="02AE7FC9" w14:textId="057C1A42"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10" w:history="1">
            <w:r w:rsidRPr="00AE7F15">
              <w:rPr>
                <w:rStyle w:val="Hipercze"/>
                <w:rFonts w:asciiTheme="minorHAnsi" w:hAnsiTheme="minorHAnsi"/>
                <w:noProof/>
                <w:color w:val="000000" w:themeColor="text1"/>
                <w:sz w:val="24"/>
                <w:szCs w:val="24"/>
              </w:rPr>
              <w:t>2.13. Barszcz Sosnowskiego (</w:t>
            </w:r>
            <w:r w:rsidRPr="00AE7F15">
              <w:rPr>
                <w:rStyle w:val="Hipercze"/>
                <w:rFonts w:asciiTheme="minorHAnsi" w:hAnsiTheme="minorHAnsi"/>
                <w:i/>
                <w:iCs/>
                <w:noProof/>
                <w:color w:val="000000" w:themeColor="text1"/>
                <w:sz w:val="24"/>
                <w:szCs w:val="24"/>
              </w:rPr>
              <w:t>Heracleum sosnowskyi</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_Toc239940810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44</w:t>
            </w:r>
            <w:r w:rsidRPr="00AE7F15">
              <w:rPr>
                <w:rFonts w:asciiTheme="minorHAnsi" w:hAnsiTheme="minorHAnsi"/>
                <w:noProof/>
                <w:webHidden/>
                <w:color w:val="000000" w:themeColor="text1"/>
                <w:sz w:val="24"/>
                <w:szCs w:val="24"/>
              </w:rPr>
              <w:fldChar w:fldCharType="end"/>
            </w:r>
          </w:hyperlink>
        </w:p>
        <w:p w14:paraId="7B68E78E" w14:textId="1FB30093"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11" w:history="1">
            <w:r w:rsidRPr="00AE7F15">
              <w:rPr>
                <w:rStyle w:val="Hipercze"/>
                <w:rFonts w:asciiTheme="minorHAnsi" w:hAnsiTheme="minorHAnsi"/>
                <w:noProof/>
                <w:color w:val="000000" w:themeColor="text1"/>
                <w:sz w:val="24"/>
                <w:szCs w:val="24"/>
              </w:rPr>
              <w:t>2.14. Barszcz Mantegazziego (</w:t>
            </w:r>
            <w:r w:rsidRPr="00AE7F15">
              <w:rPr>
                <w:rStyle w:val="Hipercze"/>
                <w:rFonts w:asciiTheme="minorHAnsi" w:hAnsiTheme="minorHAnsi"/>
                <w:i/>
                <w:iCs/>
                <w:noProof/>
                <w:color w:val="000000" w:themeColor="text1"/>
                <w:sz w:val="24"/>
                <w:szCs w:val="24"/>
              </w:rPr>
              <w:t>Heracelum mantegazzianum</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_Toc239940811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50</w:t>
            </w:r>
            <w:r w:rsidRPr="00AE7F15">
              <w:rPr>
                <w:rFonts w:asciiTheme="minorHAnsi" w:hAnsiTheme="minorHAnsi"/>
                <w:noProof/>
                <w:webHidden/>
                <w:color w:val="000000" w:themeColor="text1"/>
                <w:sz w:val="24"/>
                <w:szCs w:val="24"/>
              </w:rPr>
              <w:fldChar w:fldCharType="end"/>
            </w:r>
          </w:hyperlink>
        </w:p>
        <w:p w14:paraId="028832DF" w14:textId="2B713EB4"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12" w:history="1">
            <w:r w:rsidRPr="00AE7F15">
              <w:rPr>
                <w:rStyle w:val="Hipercze"/>
                <w:rFonts w:asciiTheme="minorHAnsi" w:hAnsiTheme="minorHAnsi"/>
                <w:noProof/>
                <w:color w:val="000000" w:themeColor="text1"/>
                <w:sz w:val="24"/>
                <w:szCs w:val="24"/>
              </w:rPr>
              <w:t>2.15. Kroplik żółty (</w:t>
            </w:r>
            <w:r w:rsidRPr="00AE7F15">
              <w:rPr>
                <w:rStyle w:val="Hipercze"/>
                <w:rFonts w:asciiTheme="minorHAnsi" w:hAnsiTheme="minorHAnsi"/>
                <w:i/>
                <w:iCs/>
                <w:noProof/>
                <w:color w:val="000000" w:themeColor="text1"/>
                <w:sz w:val="24"/>
                <w:szCs w:val="24"/>
              </w:rPr>
              <w:t>Mimulus guttatus</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_Toc239940812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53</w:t>
            </w:r>
            <w:r w:rsidRPr="00AE7F15">
              <w:rPr>
                <w:rFonts w:asciiTheme="minorHAnsi" w:hAnsiTheme="minorHAnsi"/>
                <w:noProof/>
                <w:webHidden/>
                <w:color w:val="000000" w:themeColor="text1"/>
                <w:sz w:val="24"/>
                <w:szCs w:val="24"/>
              </w:rPr>
              <w:fldChar w:fldCharType="end"/>
            </w:r>
          </w:hyperlink>
        </w:p>
        <w:p w14:paraId="3E143801" w14:textId="559E3702"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13" w:history="1">
            <w:r w:rsidRPr="00AE7F15">
              <w:rPr>
                <w:rStyle w:val="Hipercze"/>
                <w:rFonts w:asciiTheme="minorHAnsi" w:hAnsiTheme="minorHAnsi"/>
                <w:noProof/>
                <w:color w:val="000000" w:themeColor="text1"/>
                <w:sz w:val="24"/>
                <w:szCs w:val="24"/>
              </w:rPr>
              <w:t>2.16. Rudbekia naga (</w:t>
            </w:r>
            <w:r w:rsidRPr="00AE7F15">
              <w:rPr>
                <w:rStyle w:val="Hipercze"/>
                <w:rFonts w:asciiTheme="minorHAnsi" w:hAnsiTheme="minorHAnsi"/>
                <w:i/>
                <w:iCs/>
                <w:noProof/>
                <w:color w:val="000000" w:themeColor="text1"/>
                <w:sz w:val="24"/>
                <w:szCs w:val="24"/>
              </w:rPr>
              <w:t>Rudbeckia laciniata</w:t>
            </w:r>
            <w:r w:rsidRPr="00AE7F15">
              <w:rPr>
                <w:rStyle w:val="Hipercze"/>
                <w:rFonts w:asciiTheme="minorHAnsi" w:hAnsiTheme="minorHAnsi"/>
                <w:noProof/>
                <w:color w:val="000000" w:themeColor="text1"/>
                <w:sz w:val="24"/>
                <w:szCs w:val="24"/>
              </w:rPr>
              <w:t>)</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_Toc239940813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54</w:t>
            </w:r>
            <w:r w:rsidRPr="00AE7F15">
              <w:rPr>
                <w:rFonts w:asciiTheme="minorHAnsi" w:hAnsiTheme="minorHAnsi"/>
                <w:noProof/>
                <w:webHidden/>
                <w:color w:val="000000" w:themeColor="text1"/>
                <w:sz w:val="24"/>
                <w:szCs w:val="24"/>
              </w:rPr>
              <w:fldChar w:fldCharType="end"/>
            </w:r>
          </w:hyperlink>
        </w:p>
        <w:p w14:paraId="28B5518A" w14:textId="74D73888" w:rsidR="00AE7F15" w:rsidRPr="00AE7F15" w:rsidRDefault="00AE7F15">
          <w:pPr>
            <w:pStyle w:val="Spistreci1"/>
            <w:tabs>
              <w:tab w:val="right" w:leader="dot" w:pos="9062"/>
            </w:tabs>
            <w:rPr>
              <w:rFonts w:asciiTheme="minorHAnsi" w:eastAsiaTheme="minorEastAsia" w:hAnsiTheme="minorHAnsi" w:cstheme="minorBidi"/>
              <w:noProof/>
              <w:color w:val="000000" w:themeColor="text1"/>
              <w:sz w:val="28"/>
              <w:szCs w:val="28"/>
              <w:lang w:eastAsia="pl-PL"/>
            </w:rPr>
          </w:pPr>
          <w:hyperlink w:anchor="_Toc239940814" w:history="1">
            <w:r w:rsidRPr="00AE7F15">
              <w:rPr>
                <w:rStyle w:val="Hipercze"/>
                <w:rFonts w:asciiTheme="minorHAnsi" w:hAnsiTheme="minorHAnsi"/>
                <w:noProof/>
                <w:color w:val="000000" w:themeColor="text1"/>
                <w:sz w:val="24"/>
                <w:szCs w:val="24"/>
              </w:rPr>
              <w:t>3.Zagospodarowanie biomasy IGO</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_Toc239940814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56</w:t>
            </w:r>
            <w:r w:rsidRPr="00AE7F15">
              <w:rPr>
                <w:rFonts w:asciiTheme="minorHAnsi" w:hAnsiTheme="minorHAnsi"/>
                <w:noProof/>
                <w:webHidden/>
                <w:color w:val="000000" w:themeColor="text1"/>
                <w:sz w:val="24"/>
                <w:szCs w:val="24"/>
              </w:rPr>
              <w:fldChar w:fldCharType="end"/>
            </w:r>
          </w:hyperlink>
        </w:p>
        <w:p w14:paraId="4F05D713" w14:textId="541FE5DE"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15" w:history="1">
            <w:r w:rsidRPr="00AE7F15">
              <w:rPr>
                <w:rStyle w:val="Hipercze"/>
                <w:rFonts w:asciiTheme="minorHAnsi" w:hAnsiTheme="minorHAnsi"/>
                <w:noProof/>
                <w:color w:val="000000" w:themeColor="text1"/>
                <w:sz w:val="24"/>
                <w:szCs w:val="24"/>
              </w:rPr>
              <w:t>3.1. Środki prawne</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_Toc239940815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56</w:t>
            </w:r>
            <w:r w:rsidRPr="00AE7F15">
              <w:rPr>
                <w:rFonts w:asciiTheme="minorHAnsi" w:hAnsiTheme="minorHAnsi"/>
                <w:noProof/>
                <w:webHidden/>
                <w:color w:val="000000" w:themeColor="text1"/>
                <w:sz w:val="24"/>
                <w:szCs w:val="24"/>
              </w:rPr>
              <w:fldChar w:fldCharType="end"/>
            </w:r>
          </w:hyperlink>
        </w:p>
        <w:p w14:paraId="2E18D9BB" w14:textId="46C3C7D7"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16" w:history="1">
            <w:r w:rsidRPr="00AE7F15">
              <w:rPr>
                <w:rStyle w:val="Hipercze"/>
                <w:rFonts w:asciiTheme="minorHAnsi" w:hAnsiTheme="minorHAnsi"/>
                <w:noProof/>
                <w:color w:val="000000" w:themeColor="text1"/>
                <w:sz w:val="24"/>
                <w:szCs w:val="24"/>
              </w:rPr>
              <w:t>3.2. Postępowanie z biomasą</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_Toc239940816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59</w:t>
            </w:r>
            <w:r w:rsidRPr="00AE7F15">
              <w:rPr>
                <w:rFonts w:asciiTheme="minorHAnsi" w:hAnsiTheme="minorHAnsi"/>
                <w:noProof/>
                <w:webHidden/>
                <w:color w:val="000000" w:themeColor="text1"/>
                <w:sz w:val="24"/>
                <w:szCs w:val="24"/>
              </w:rPr>
              <w:fldChar w:fldCharType="end"/>
            </w:r>
          </w:hyperlink>
        </w:p>
        <w:p w14:paraId="0A65AF02" w14:textId="4036A4E0" w:rsidR="00AE7F15" w:rsidRPr="00AE7F15" w:rsidRDefault="00AE7F15">
          <w:pPr>
            <w:pStyle w:val="Spistreci3"/>
            <w:tabs>
              <w:tab w:val="right" w:leader="dot" w:pos="9062"/>
            </w:tabs>
            <w:rPr>
              <w:rFonts w:asciiTheme="minorHAnsi" w:eastAsiaTheme="minorEastAsia" w:hAnsiTheme="minorHAnsi" w:cstheme="minorBidi"/>
              <w:noProof/>
              <w:color w:val="000000" w:themeColor="text1"/>
              <w:sz w:val="28"/>
              <w:szCs w:val="28"/>
              <w:lang w:eastAsia="pl-PL"/>
            </w:rPr>
          </w:pPr>
          <w:hyperlink w:anchor="_Toc239940817" w:history="1">
            <w:r w:rsidRPr="00AE7F15">
              <w:rPr>
                <w:rStyle w:val="Hipercze"/>
                <w:rFonts w:asciiTheme="minorHAnsi" w:hAnsiTheme="minorHAnsi"/>
                <w:noProof/>
                <w:color w:val="000000" w:themeColor="text1"/>
                <w:sz w:val="24"/>
                <w:szCs w:val="24"/>
              </w:rPr>
              <w:t>3.2.1. Zakopywanie</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_Toc239940817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64</w:t>
            </w:r>
            <w:r w:rsidRPr="00AE7F15">
              <w:rPr>
                <w:rFonts w:asciiTheme="minorHAnsi" w:hAnsiTheme="minorHAnsi"/>
                <w:noProof/>
                <w:webHidden/>
                <w:color w:val="000000" w:themeColor="text1"/>
                <w:sz w:val="24"/>
                <w:szCs w:val="24"/>
              </w:rPr>
              <w:fldChar w:fldCharType="end"/>
            </w:r>
          </w:hyperlink>
        </w:p>
        <w:p w14:paraId="79F78B8E" w14:textId="7D9DA956" w:rsidR="00AE7F15" w:rsidRPr="00AE7F15" w:rsidRDefault="00AE7F15">
          <w:pPr>
            <w:pStyle w:val="Spistreci3"/>
            <w:tabs>
              <w:tab w:val="right" w:leader="dot" w:pos="9062"/>
            </w:tabs>
            <w:rPr>
              <w:rFonts w:asciiTheme="minorHAnsi" w:eastAsiaTheme="minorEastAsia" w:hAnsiTheme="minorHAnsi" w:cstheme="minorBidi"/>
              <w:noProof/>
              <w:color w:val="000000" w:themeColor="text1"/>
              <w:sz w:val="28"/>
              <w:szCs w:val="28"/>
              <w:lang w:eastAsia="pl-PL"/>
            </w:rPr>
          </w:pPr>
          <w:hyperlink w:anchor="_Toc239940818" w:history="1">
            <w:r w:rsidRPr="00AE7F15">
              <w:rPr>
                <w:rStyle w:val="Hipercze"/>
                <w:rFonts w:asciiTheme="minorHAnsi" w:hAnsiTheme="minorHAnsi"/>
                <w:noProof/>
                <w:color w:val="000000" w:themeColor="text1"/>
                <w:sz w:val="24"/>
                <w:szCs w:val="24"/>
              </w:rPr>
              <w:t>3.2.2. Zbieranie biomasy w pryzmy w miejscach wyznaczonych zgodnie z przyjętymi kryteriami i pozostawienie do naturalnego rozkładu</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_Toc239940818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66</w:t>
            </w:r>
            <w:r w:rsidRPr="00AE7F15">
              <w:rPr>
                <w:rFonts w:asciiTheme="minorHAnsi" w:hAnsiTheme="minorHAnsi"/>
                <w:noProof/>
                <w:webHidden/>
                <w:color w:val="000000" w:themeColor="text1"/>
                <w:sz w:val="24"/>
                <w:szCs w:val="24"/>
              </w:rPr>
              <w:fldChar w:fldCharType="end"/>
            </w:r>
          </w:hyperlink>
        </w:p>
        <w:p w14:paraId="28B1D0C1" w14:textId="6A3BBE59" w:rsidR="00AE7F15" w:rsidRPr="00AE7F15" w:rsidRDefault="00AE7F15">
          <w:pPr>
            <w:pStyle w:val="Spistreci3"/>
            <w:tabs>
              <w:tab w:val="right" w:leader="dot" w:pos="9062"/>
            </w:tabs>
            <w:rPr>
              <w:rFonts w:asciiTheme="minorHAnsi" w:eastAsiaTheme="minorEastAsia" w:hAnsiTheme="minorHAnsi" w:cstheme="minorBidi"/>
              <w:noProof/>
              <w:color w:val="000000" w:themeColor="text1"/>
              <w:sz w:val="28"/>
              <w:szCs w:val="28"/>
              <w:lang w:eastAsia="pl-PL"/>
            </w:rPr>
          </w:pPr>
          <w:hyperlink w:anchor="_Toc239940819" w:history="1">
            <w:r w:rsidRPr="00AE7F15">
              <w:rPr>
                <w:rStyle w:val="Hipercze"/>
                <w:rFonts w:asciiTheme="minorHAnsi" w:hAnsiTheme="minorHAnsi"/>
                <w:noProof/>
                <w:color w:val="000000" w:themeColor="text1"/>
                <w:sz w:val="24"/>
                <w:szCs w:val="24"/>
              </w:rPr>
              <w:t>3.2.3. Transport do odpowiedniego zakładu jako bioodpady</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_Toc239940819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67</w:t>
            </w:r>
            <w:r w:rsidRPr="00AE7F15">
              <w:rPr>
                <w:rFonts w:asciiTheme="minorHAnsi" w:hAnsiTheme="minorHAnsi"/>
                <w:noProof/>
                <w:webHidden/>
                <w:color w:val="000000" w:themeColor="text1"/>
                <w:sz w:val="24"/>
                <w:szCs w:val="24"/>
              </w:rPr>
              <w:fldChar w:fldCharType="end"/>
            </w:r>
          </w:hyperlink>
        </w:p>
        <w:p w14:paraId="48A253DB" w14:textId="1E12DA14" w:rsidR="00AE7F15" w:rsidRPr="00AE7F15" w:rsidRDefault="00AE7F15">
          <w:pPr>
            <w:pStyle w:val="Spistreci3"/>
            <w:tabs>
              <w:tab w:val="right" w:leader="dot" w:pos="9062"/>
            </w:tabs>
            <w:rPr>
              <w:rFonts w:asciiTheme="minorHAnsi" w:eastAsiaTheme="minorEastAsia" w:hAnsiTheme="minorHAnsi" w:cstheme="minorBidi"/>
              <w:noProof/>
              <w:color w:val="000000" w:themeColor="text1"/>
              <w:sz w:val="28"/>
              <w:szCs w:val="28"/>
              <w:lang w:eastAsia="pl-PL"/>
            </w:rPr>
          </w:pPr>
          <w:hyperlink w:anchor="_Toc239940820" w:history="1">
            <w:r w:rsidRPr="00AE7F15">
              <w:rPr>
                <w:rStyle w:val="Hipercze"/>
                <w:rFonts w:asciiTheme="minorHAnsi" w:hAnsiTheme="minorHAnsi"/>
                <w:noProof/>
                <w:color w:val="000000" w:themeColor="text1"/>
                <w:sz w:val="24"/>
                <w:szCs w:val="24"/>
              </w:rPr>
              <w:t>3.2.4. Transport biomasy w czarnych plastikowych workach</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_Toc239940820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68</w:t>
            </w:r>
            <w:r w:rsidRPr="00AE7F15">
              <w:rPr>
                <w:rFonts w:asciiTheme="minorHAnsi" w:hAnsiTheme="minorHAnsi"/>
                <w:noProof/>
                <w:webHidden/>
                <w:color w:val="000000" w:themeColor="text1"/>
                <w:sz w:val="24"/>
                <w:szCs w:val="24"/>
              </w:rPr>
              <w:fldChar w:fldCharType="end"/>
            </w:r>
          </w:hyperlink>
        </w:p>
        <w:p w14:paraId="1677C6F0" w14:textId="761B8FBF" w:rsidR="00AE7F15" w:rsidRPr="00AE7F15" w:rsidRDefault="00AE7F15">
          <w:pPr>
            <w:pStyle w:val="Spistreci2"/>
            <w:tabs>
              <w:tab w:val="right" w:leader="dot" w:pos="9062"/>
            </w:tabs>
            <w:rPr>
              <w:rFonts w:asciiTheme="minorHAnsi" w:eastAsiaTheme="minorEastAsia" w:hAnsiTheme="minorHAnsi" w:cstheme="minorBidi"/>
              <w:noProof/>
              <w:color w:val="000000" w:themeColor="text1"/>
              <w:sz w:val="28"/>
              <w:szCs w:val="28"/>
              <w:lang w:eastAsia="pl-PL"/>
            </w:rPr>
          </w:pPr>
          <w:hyperlink w:anchor="_Toc239940821" w:history="1">
            <w:r w:rsidRPr="00AE7F15">
              <w:rPr>
                <w:rStyle w:val="Hipercze"/>
                <w:rFonts w:asciiTheme="minorHAnsi" w:hAnsiTheme="minorHAnsi"/>
                <w:noProof/>
                <w:color w:val="000000" w:themeColor="text1"/>
                <w:sz w:val="24"/>
                <w:szCs w:val="24"/>
              </w:rPr>
              <w:t>3.3. Działania monitorujące</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_Toc239940821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69</w:t>
            </w:r>
            <w:r w:rsidRPr="00AE7F15">
              <w:rPr>
                <w:rFonts w:asciiTheme="minorHAnsi" w:hAnsiTheme="minorHAnsi"/>
                <w:noProof/>
                <w:webHidden/>
                <w:color w:val="000000" w:themeColor="text1"/>
                <w:sz w:val="24"/>
                <w:szCs w:val="24"/>
              </w:rPr>
              <w:fldChar w:fldCharType="end"/>
            </w:r>
          </w:hyperlink>
        </w:p>
        <w:p w14:paraId="0C179884" w14:textId="6C09DCEA" w:rsidR="00AE7F15" w:rsidRPr="00AE7F15" w:rsidRDefault="00AE7F15">
          <w:pPr>
            <w:pStyle w:val="Spistreci1"/>
            <w:tabs>
              <w:tab w:val="right" w:leader="dot" w:pos="9062"/>
            </w:tabs>
            <w:rPr>
              <w:rFonts w:asciiTheme="minorHAnsi" w:eastAsiaTheme="minorEastAsia" w:hAnsiTheme="minorHAnsi" w:cstheme="minorBidi"/>
              <w:noProof/>
              <w:color w:val="000000" w:themeColor="text1"/>
              <w:sz w:val="28"/>
              <w:szCs w:val="28"/>
              <w:lang w:eastAsia="pl-PL"/>
            </w:rPr>
          </w:pPr>
          <w:hyperlink w:anchor="_Toc239940822" w:history="1">
            <w:r w:rsidRPr="00AE7F15">
              <w:rPr>
                <w:rStyle w:val="Hipercze"/>
                <w:rFonts w:asciiTheme="minorHAnsi" w:hAnsiTheme="minorHAnsi"/>
                <w:noProof/>
                <w:color w:val="000000" w:themeColor="text1"/>
                <w:sz w:val="24"/>
                <w:szCs w:val="24"/>
              </w:rPr>
              <w:t>Spis tabel</w:t>
            </w:r>
            <w:r w:rsidRPr="00AE7F15">
              <w:rPr>
                <w:rFonts w:asciiTheme="minorHAnsi" w:hAnsiTheme="minorHAnsi"/>
                <w:noProof/>
                <w:webHidden/>
                <w:color w:val="000000" w:themeColor="text1"/>
                <w:sz w:val="24"/>
                <w:szCs w:val="24"/>
              </w:rPr>
              <w:tab/>
            </w:r>
            <w:r w:rsidRPr="00AE7F15">
              <w:rPr>
                <w:rFonts w:asciiTheme="minorHAnsi" w:hAnsiTheme="minorHAnsi"/>
                <w:noProof/>
                <w:webHidden/>
                <w:color w:val="000000" w:themeColor="text1"/>
                <w:sz w:val="24"/>
                <w:szCs w:val="24"/>
              </w:rPr>
              <w:fldChar w:fldCharType="begin"/>
            </w:r>
            <w:r w:rsidRPr="00AE7F15">
              <w:rPr>
                <w:rFonts w:asciiTheme="minorHAnsi" w:hAnsiTheme="minorHAnsi"/>
                <w:noProof/>
                <w:webHidden/>
                <w:color w:val="000000" w:themeColor="text1"/>
                <w:sz w:val="24"/>
                <w:szCs w:val="24"/>
              </w:rPr>
              <w:instrText xml:space="preserve"> PAGEREF _Toc239940822 \h </w:instrText>
            </w:r>
            <w:r w:rsidRPr="00AE7F15">
              <w:rPr>
                <w:rFonts w:asciiTheme="minorHAnsi" w:hAnsiTheme="minorHAnsi"/>
                <w:noProof/>
                <w:webHidden/>
                <w:color w:val="000000" w:themeColor="text1"/>
                <w:sz w:val="24"/>
                <w:szCs w:val="24"/>
              </w:rPr>
            </w:r>
            <w:r w:rsidRPr="00AE7F15">
              <w:rPr>
                <w:rFonts w:asciiTheme="minorHAnsi" w:hAnsiTheme="minorHAnsi"/>
                <w:noProof/>
                <w:webHidden/>
                <w:color w:val="000000" w:themeColor="text1"/>
                <w:sz w:val="24"/>
                <w:szCs w:val="24"/>
              </w:rPr>
              <w:fldChar w:fldCharType="separate"/>
            </w:r>
            <w:r w:rsidRPr="00AE7F15">
              <w:rPr>
                <w:rFonts w:asciiTheme="minorHAnsi" w:hAnsiTheme="minorHAnsi"/>
                <w:noProof/>
                <w:webHidden/>
                <w:color w:val="000000" w:themeColor="text1"/>
                <w:sz w:val="24"/>
                <w:szCs w:val="24"/>
              </w:rPr>
              <w:t>76</w:t>
            </w:r>
            <w:r w:rsidRPr="00AE7F15">
              <w:rPr>
                <w:rFonts w:asciiTheme="minorHAnsi" w:hAnsiTheme="minorHAnsi"/>
                <w:noProof/>
                <w:webHidden/>
                <w:color w:val="000000" w:themeColor="text1"/>
                <w:sz w:val="24"/>
                <w:szCs w:val="24"/>
              </w:rPr>
              <w:fldChar w:fldCharType="end"/>
            </w:r>
          </w:hyperlink>
        </w:p>
        <w:p w14:paraId="1DD378D6" w14:textId="0042C3B1" w:rsidR="0099402C" w:rsidRDefault="0099402C">
          <w:r>
            <w:rPr>
              <w:b/>
              <w:bCs/>
            </w:rPr>
            <w:fldChar w:fldCharType="end"/>
          </w:r>
        </w:p>
      </w:sdtContent>
    </w:sdt>
    <w:p w14:paraId="0E0B2231" w14:textId="1EF01F78" w:rsidR="0099402C" w:rsidRDefault="0099402C">
      <w:r>
        <w:br w:type="page"/>
      </w:r>
    </w:p>
    <w:p w14:paraId="7C6A11AC" w14:textId="425C343D" w:rsidR="005E2C35" w:rsidRPr="0075257B" w:rsidRDefault="002F0704" w:rsidP="0075257B">
      <w:pPr>
        <w:pStyle w:val="Nagwek1"/>
        <w:spacing w:after="80" w:line="276" w:lineRule="auto"/>
        <w:rPr>
          <w:rFonts w:asciiTheme="majorHAnsi" w:hAnsiTheme="majorHAnsi"/>
          <w:sz w:val="36"/>
          <w:szCs w:val="36"/>
        </w:rPr>
      </w:pPr>
      <w:bookmarkStart w:id="0" w:name="_Toc239940796"/>
      <w:r w:rsidRPr="0075257B">
        <w:rPr>
          <w:rFonts w:asciiTheme="majorHAnsi" w:hAnsiTheme="majorHAnsi"/>
          <w:sz w:val="36"/>
          <w:szCs w:val="36"/>
        </w:rPr>
        <w:lastRenderedPageBreak/>
        <w:t>1.Wprowadzenie</w:t>
      </w:r>
      <w:bookmarkEnd w:id="0"/>
    </w:p>
    <w:p w14:paraId="3EB0DABE" w14:textId="01DEEF0B" w:rsidR="002F0704" w:rsidRPr="0075257B" w:rsidRDefault="002F0704" w:rsidP="0075257B">
      <w:pPr>
        <w:spacing w:after="120" w:line="276" w:lineRule="auto"/>
        <w:jc w:val="both"/>
        <w:rPr>
          <w:rFonts w:asciiTheme="minorHAnsi" w:hAnsiTheme="minorHAnsi"/>
          <w:sz w:val="24"/>
          <w:szCs w:val="24"/>
        </w:rPr>
      </w:pPr>
      <w:r w:rsidRPr="0075257B">
        <w:rPr>
          <w:rFonts w:asciiTheme="minorHAnsi" w:hAnsiTheme="minorHAnsi"/>
          <w:sz w:val="24"/>
          <w:szCs w:val="24"/>
        </w:rPr>
        <w:t>Niniejszy dokument stanowi załącznik do Planu Zarządzania Bioróżnorodnością projektu (BMP). Jego celem jest przedstawienie podstawowych informacji na temat inwazyjnych gatunków obcych roślin, które mogą zostać napotkane w związku z realizacją przedsięwzięcia, a także określenie zasad postępowania z nimi — od działań zapobiegawczych, poprzez właściwe zarządzanie biomasą, po skuteczny monitoring i raportowanie.</w:t>
      </w:r>
    </w:p>
    <w:p w14:paraId="07B76BAA" w14:textId="3A9507B9" w:rsidR="002F0704" w:rsidRPr="0075257B" w:rsidRDefault="002F0704" w:rsidP="0075257B">
      <w:pPr>
        <w:spacing w:after="120" w:line="276" w:lineRule="auto"/>
        <w:jc w:val="both"/>
        <w:rPr>
          <w:rFonts w:asciiTheme="minorHAnsi" w:hAnsiTheme="minorHAnsi"/>
          <w:sz w:val="24"/>
          <w:szCs w:val="24"/>
        </w:rPr>
      </w:pPr>
      <w:r w:rsidRPr="0075257B">
        <w:rPr>
          <w:rFonts w:asciiTheme="minorHAnsi" w:hAnsiTheme="minorHAnsi"/>
          <w:sz w:val="24"/>
          <w:szCs w:val="24"/>
        </w:rPr>
        <w:t xml:space="preserve">Załącznik obejmuje przede wszystkim główne rośliny inwazyjne, których obecność odnotowano w szerokim sąsiedztwie obszaru projektu, zgodnie z danymi GBIF — Global </w:t>
      </w:r>
      <w:proofErr w:type="spellStart"/>
      <w:r w:rsidRPr="0075257B">
        <w:rPr>
          <w:rFonts w:asciiTheme="minorHAnsi" w:hAnsiTheme="minorHAnsi"/>
          <w:sz w:val="24"/>
          <w:szCs w:val="24"/>
        </w:rPr>
        <w:t>Biodiversity</w:t>
      </w:r>
      <w:proofErr w:type="spellEnd"/>
      <w:r w:rsidRPr="0075257B">
        <w:rPr>
          <w:rFonts w:asciiTheme="minorHAnsi" w:hAnsiTheme="minorHAnsi"/>
          <w:sz w:val="24"/>
          <w:szCs w:val="24"/>
        </w:rPr>
        <w:t xml:space="preserve"> Information </w:t>
      </w:r>
      <w:proofErr w:type="spellStart"/>
      <w:r w:rsidRPr="0075257B">
        <w:rPr>
          <w:rFonts w:asciiTheme="minorHAnsi" w:hAnsiTheme="minorHAnsi"/>
          <w:sz w:val="24"/>
          <w:szCs w:val="24"/>
        </w:rPr>
        <w:t>Facility</w:t>
      </w:r>
      <w:proofErr w:type="spellEnd"/>
      <w:r w:rsidRPr="0075257B">
        <w:rPr>
          <w:rFonts w:asciiTheme="minorHAnsi" w:hAnsiTheme="minorHAnsi"/>
          <w:sz w:val="24"/>
          <w:szCs w:val="24"/>
        </w:rPr>
        <w:t>. Inwentaryzacje przyrodnicze wykonane na potrzeby uzyskania decyzji o środowiskowych uwarunkowaniach oraz inwentaryzacje prowadzone na etapie prac przygotowawczych wykazały występowanie kilku inwazyjnych gatunków obcych na terenie przedsięwzięcia. Nie można jednak wykluczyć możliwości zawleczenia kolejnych organizmów obcych z terenów sąsiednich, w szczególności w wyniku przemieszczania mas ziemnych, transportu materiałów, pracy sprzętu budowlanego lub innych działań prowadzonych w ramach realizacji inwestycji.</w:t>
      </w:r>
    </w:p>
    <w:p w14:paraId="70734DAA" w14:textId="61C2EC26" w:rsidR="002F0704" w:rsidRPr="0075257B" w:rsidRDefault="002F0704" w:rsidP="0075257B">
      <w:pPr>
        <w:spacing w:after="120" w:line="276" w:lineRule="auto"/>
        <w:jc w:val="both"/>
        <w:rPr>
          <w:rFonts w:asciiTheme="minorHAnsi" w:hAnsiTheme="minorHAnsi"/>
          <w:sz w:val="24"/>
          <w:szCs w:val="24"/>
        </w:rPr>
      </w:pPr>
      <w:r w:rsidRPr="0075257B">
        <w:rPr>
          <w:rFonts w:asciiTheme="minorHAnsi" w:hAnsiTheme="minorHAnsi"/>
          <w:sz w:val="24"/>
          <w:szCs w:val="24"/>
        </w:rPr>
        <w:t>Metody zapobiegania rozprzestrzenianiu się oraz zwalczania roślin inwazyjnych podano za Wytycznymi dotyczącymi postępowania z roślinami inwazyjnymi obcego pochodzenia — podręcznikiem przygotowanym dla Generalnej Dyrekcji Ochrony Środowiska (GDOŚ), materiałami edukacyjnymi Ogrodu Botanicznego Uniwersytetu Warszawskiego dotyczącymi roślin inwazyjnych, a także innymi kodeksami postępowania związanymi z inwazyjnymi gatunkami obcymi (IGO). Wykorzystano również zasoby wiedzy na temat IGO dostępne w Kompendium CABI.</w:t>
      </w:r>
    </w:p>
    <w:p w14:paraId="0A710554" w14:textId="0B127F4E" w:rsidR="002F0704" w:rsidRPr="0075257B" w:rsidRDefault="002F0704" w:rsidP="0075257B">
      <w:pPr>
        <w:spacing w:after="120" w:line="276" w:lineRule="auto"/>
        <w:jc w:val="both"/>
        <w:rPr>
          <w:rFonts w:asciiTheme="minorHAnsi" w:hAnsiTheme="minorHAnsi"/>
          <w:sz w:val="24"/>
          <w:szCs w:val="24"/>
        </w:rPr>
      </w:pPr>
      <w:r w:rsidRPr="0075257B">
        <w:rPr>
          <w:rFonts w:asciiTheme="minorHAnsi" w:hAnsiTheme="minorHAnsi"/>
          <w:sz w:val="24"/>
          <w:szCs w:val="24"/>
        </w:rPr>
        <w:t>Załącznik ma charakter praktyczny i ilustracyjny. Służy przede wszystkim umożliwieniu pracownikom budowy rozpoznawania podejrzanych roślin oraz niezwłocznego zgłaszania ich obecności kierownikowi. Opisane działania obejmują zarówno środki prewencyjne, mające na celu ograniczenie ryzyka zawleczenia i rozprzestrzeniania IGO, jak również zalecenia dotyczące tymczasowego przechowywania usuniętej biomasy, jej dalszego zagospodarowania lub unieszkodliwiania oraz prowadzenia monitoringu skuteczności podjętych działań.</w:t>
      </w:r>
    </w:p>
    <w:p w14:paraId="13C2E725" w14:textId="5FAA83D0" w:rsidR="002F0704" w:rsidRPr="0075257B" w:rsidRDefault="002F0704" w:rsidP="0075257B">
      <w:pPr>
        <w:spacing w:after="120" w:line="276" w:lineRule="auto"/>
        <w:jc w:val="both"/>
        <w:rPr>
          <w:rFonts w:asciiTheme="minorHAnsi" w:hAnsiTheme="minorHAnsi"/>
          <w:sz w:val="24"/>
          <w:szCs w:val="24"/>
        </w:rPr>
      </w:pPr>
      <w:r w:rsidRPr="0075257B">
        <w:rPr>
          <w:rFonts w:asciiTheme="minorHAnsi" w:hAnsiTheme="minorHAnsi"/>
          <w:sz w:val="24"/>
          <w:szCs w:val="24"/>
        </w:rPr>
        <w:t>Proponowane metody zwalczania, sposoby tymczasowego przechowywania usuniętych roślin na placu budowy, a także ostateczne metody usuwania lub utylizacji biomasy muszą każdorazowo zostać dostosowane przez botanika nadzoru przyrodniczego oraz kierownika, z uwzględnieniem gatunku, skali występowania, etapu rozwoju rośliny, lokalnych warunków siedliskowych oraz obowiązujących przepisów.</w:t>
      </w:r>
    </w:p>
    <w:p w14:paraId="699F36A2" w14:textId="5A094515" w:rsidR="002F0704" w:rsidRPr="0075257B" w:rsidRDefault="002F0704" w:rsidP="0075257B">
      <w:pPr>
        <w:spacing w:after="120" w:line="276" w:lineRule="auto"/>
        <w:jc w:val="both"/>
        <w:rPr>
          <w:rFonts w:asciiTheme="minorHAnsi" w:hAnsiTheme="minorHAnsi"/>
          <w:sz w:val="24"/>
          <w:szCs w:val="24"/>
        </w:rPr>
      </w:pPr>
      <w:r w:rsidRPr="0075257B">
        <w:rPr>
          <w:rFonts w:asciiTheme="minorHAnsi" w:hAnsiTheme="minorHAnsi"/>
          <w:sz w:val="24"/>
          <w:szCs w:val="24"/>
        </w:rPr>
        <w:lastRenderedPageBreak/>
        <w:t>Zaleca się również korzystanie z aktualnych zasobów GDOŚ w celu uzyskania obecnych oraz nowych kompendiów zwalczania inwazyjnych gatunków obcych. Obecnie przygotowanych jest 10 kompendiów dostępnych na stronie: https://www.gov.pl/web/gdos/kompendia-zwalczania-wybranych-igo. Obejmują one środki kontroli dla wybranych inwazyjnych gatunków obcych ujętych w niniejszym załączniku, takich jak: barszcze (</w:t>
      </w:r>
      <w:proofErr w:type="spellStart"/>
      <w:r w:rsidRPr="0075257B">
        <w:rPr>
          <w:rFonts w:asciiTheme="minorHAnsi" w:hAnsiTheme="minorHAnsi"/>
          <w:i/>
          <w:iCs/>
          <w:sz w:val="24"/>
          <w:szCs w:val="24"/>
        </w:rPr>
        <w:t>Heracleum</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sosnowskyi</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Heracleum</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mantegazzianum</w:t>
      </w:r>
      <w:proofErr w:type="spellEnd"/>
      <w:r w:rsidRPr="0075257B">
        <w:rPr>
          <w:rFonts w:asciiTheme="minorHAnsi" w:hAnsiTheme="minorHAnsi"/>
          <w:sz w:val="24"/>
          <w:szCs w:val="24"/>
        </w:rPr>
        <w:t xml:space="preserve">), </w:t>
      </w:r>
      <w:proofErr w:type="spellStart"/>
      <w:r w:rsidRPr="0075257B">
        <w:rPr>
          <w:rFonts w:asciiTheme="minorHAnsi" w:hAnsiTheme="minorHAnsi"/>
          <w:sz w:val="24"/>
          <w:szCs w:val="24"/>
        </w:rPr>
        <w:t>rdestowce</w:t>
      </w:r>
      <w:proofErr w:type="spellEnd"/>
      <w:r w:rsidRPr="0075257B">
        <w:rPr>
          <w:rFonts w:asciiTheme="minorHAnsi" w:hAnsiTheme="minorHAnsi"/>
          <w:sz w:val="24"/>
          <w:szCs w:val="24"/>
        </w:rPr>
        <w:t xml:space="preserve"> (</w:t>
      </w:r>
      <w:proofErr w:type="spellStart"/>
      <w:r w:rsidRPr="0075257B">
        <w:rPr>
          <w:rFonts w:asciiTheme="minorHAnsi" w:hAnsiTheme="minorHAnsi"/>
          <w:i/>
          <w:iCs/>
          <w:sz w:val="24"/>
          <w:szCs w:val="24"/>
        </w:rPr>
        <w:t>Reynoutria</w:t>
      </w:r>
      <w:proofErr w:type="spellEnd"/>
      <w:r w:rsidRPr="0075257B">
        <w:rPr>
          <w:rFonts w:asciiTheme="minorHAnsi" w:hAnsiTheme="minorHAnsi"/>
          <w:i/>
          <w:iCs/>
          <w:sz w:val="24"/>
          <w:szCs w:val="24"/>
        </w:rPr>
        <w:t xml:space="preserve"> / </w:t>
      </w:r>
      <w:proofErr w:type="spellStart"/>
      <w:r w:rsidRPr="0075257B">
        <w:rPr>
          <w:rFonts w:asciiTheme="minorHAnsi" w:hAnsiTheme="minorHAnsi"/>
          <w:i/>
          <w:iCs/>
          <w:sz w:val="24"/>
          <w:szCs w:val="24"/>
        </w:rPr>
        <w:t>Fallopia</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japonica</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Reynoutria</w:t>
      </w:r>
      <w:proofErr w:type="spellEnd"/>
      <w:r w:rsidRPr="0075257B">
        <w:rPr>
          <w:rFonts w:asciiTheme="minorHAnsi" w:hAnsiTheme="minorHAnsi"/>
          <w:i/>
          <w:iCs/>
          <w:sz w:val="24"/>
          <w:szCs w:val="24"/>
        </w:rPr>
        <w:t xml:space="preserve"> / </w:t>
      </w:r>
      <w:proofErr w:type="spellStart"/>
      <w:r w:rsidRPr="0075257B">
        <w:rPr>
          <w:rFonts w:asciiTheme="minorHAnsi" w:hAnsiTheme="minorHAnsi"/>
          <w:i/>
          <w:iCs/>
          <w:sz w:val="24"/>
          <w:szCs w:val="24"/>
        </w:rPr>
        <w:t>Fallopia</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sachalinensis</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Reynoutria</w:t>
      </w:r>
      <w:proofErr w:type="spellEnd"/>
      <w:r w:rsidRPr="0075257B">
        <w:rPr>
          <w:rFonts w:asciiTheme="minorHAnsi" w:hAnsiTheme="minorHAnsi"/>
          <w:i/>
          <w:iCs/>
          <w:sz w:val="24"/>
          <w:szCs w:val="24"/>
        </w:rPr>
        <w:t xml:space="preserve"> / </w:t>
      </w:r>
      <w:proofErr w:type="spellStart"/>
      <w:r w:rsidRPr="0075257B">
        <w:rPr>
          <w:rFonts w:asciiTheme="minorHAnsi" w:hAnsiTheme="minorHAnsi"/>
          <w:i/>
          <w:iCs/>
          <w:sz w:val="24"/>
          <w:szCs w:val="24"/>
        </w:rPr>
        <w:t>Fallopia</w:t>
      </w:r>
      <w:proofErr w:type="spellEnd"/>
      <w:r w:rsidRPr="0075257B">
        <w:rPr>
          <w:rFonts w:asciiTheme="minorHAnsi" w:hAnsiTheme="minorHAnsi"/>
          <w:i/>
          <w:iCs/>
          <w:sz w:val="24"/>
          <w:szCs w:val="24"/>
        </w:rPr>
        <w:t xml:space="preserve"> × </w:t>
      </w:r>
      <w:proofErr w:type="spellStart"/>
      <w:r w:rsidRPr="0075257B">
        <w:rPr>
          <w:rFonts w:asciiTheme="minorHAnsi" w:hAnsiTheme="minorHAnsi"/>
          <w:i/>
          <w:iCs/>
          <w:sz w:val="24"/>
          <w:szCs w:val="24"/>
        </w:rPr>
        <w:t>bohemica</w:t>
      </w:r>
      <w:proofErr w:type="spellEnd"/>
      <w:r w:rsidRPr="0075257B">
        <w:rPr>
          <w:rFonts w:asciiTheme="minorHAnsi" w:hAnsiTheme="minorHAnsi"/>
          <w:sz w:val="24"/>
          <w:szCs w:val="24"/>
        </w:rPr>
        <w:t>), niecierpki (</w:t>
      </w:r>
      <w:proofErr w:type="spellStart"/>
      <w:r w:rsidRPr="0075257B">
        <w:rPr>
          <w:rFonts w:asciiTheme="minorHAnsi" w:hAnsiTheme="minorHAnsi"/>
          <w:i/>
          <w:iCs/>
          <w:sz w:val="24"/>
          <w:szCs w:val="24"/>
        </w:rPr>
        <w:t>Impatiens</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glandulifera</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Impatiens</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capensis</w:t>
      </w:r>
      <w:proofErr w:type="spellEnd"/>
      <w:r w:rsidRPr="0075257B">
        <w:rPr>
          <w:rFonts w:asciiTheme="minorHAnsi" w:hAnsiTheme="minorHAnsi"/>
          <w:sz w:val="24"/>
          <w:szCs w:val="24"/>
        </w:rPr>
        <w:t>), tawuła kutnerowata (</w:t>
      </w:r>
      <w:proofErr w:type="spellStart"/>
      <w:r w:rsidRPr="0075257B">
        <w:rPr>
          <w:rFonts w:asciiTheme="minorHAnsi" w:hAnsiTheme="minorHAnsi"/>
          <w:i/>
          <w:iCs/>
          <w:sz w:val="24"/>
          <w:szCs w:val="24"/>
        </w:rPr>
        <w:t>Spiraea</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tomentosa</w:t>
      </w:r>
      <w:proofErr w:type="spellEnd"/>
      <w:r w:rsidRPr="0075257B">
        <w:rPr>
          <w:rFonts w:asciiTheme="minorHAnsi" w:hAnsiTheme="minorHAnsi"/>
          <w:i/>
          <w:iCs/>
          <w:sz w:val="24"/>
          <w:szCs w:val="24"/>
        </w:rPr>
        <w:t xml:space="preserve">) </w:t>
      </w:r>
      <w:r w:rsidRPr="0075257B">
        <w:rPr>
          <w:rFonts w:asciiTheme="minorHAnsi" w:hAnsiTheme="minorHAnsi"/>
          <w:sz w:val="24"/>
          <w:szCs w:val="24"/>
        </w:rPr>
        <w:t xml:space="preserve">oraz </w:t>
      </w:r>
      <w:proofErr w:type="spellStart"/>
      <w:r w:rsidRPr="0075257B">
        <w:rPr>
          <w:rFonts w:asciiTheme="minorHAnsi" w:hAnsiTheme="minorHAnsi"/>
          <w:sz w:val="24"/>
          <w:szCs w:val="24"/>
        </w:rPr>
        <w:t>kolczurka</w:t>
      </w:r>
      <w:proofErr w:type="spellEnd"/>
      <w:r w:rsidRPr="0075257B">
        <w:rPr>
          <w:rFonts w:asciiTheme="minorHAnsi" w:hAnsiTheme="minorHAnsi"/>
          <w:sz w:val="24"/>
          <w:szCs w:val="24"/>
        </w:rPr>
        <w:t xml:space="preserve"> klapowana (</w:t>
      </w:r>
      <w:proofErr w:type="spellStart"/>
      <w:r w:rsidRPr="0075257B">
        <w:rPr>
          <w:rFonts w:asciiTheme="minorHAnsi" w:hAnsiTheme="minorHAnsi"/>
          <w:i/>
          <w:iCs/>
          <w:sz w:val="24"/>
          <w:szCs w:val="24"/>
        </w:rPr>
        <w:t>Echinocystis</w:t>
      </w:r>
      <w:proofErr w:type="spellEnd"/>
      <w:r w:rsidRPr="0075257B">
        <w:rPr>
          <w:rFonts w:asciiTheme="minorHAnsi" w:hAnsiTheme="minorHAnsi"/>
          <w:i/>
          <w:iCs/>
          <w:sz w:val="24"/>
          <w:szCs w:val="24"/>
        </w:rPr>
        <w:t xml:space="preserve"> </w:t>
      </w:r>
      <w:proofErr w:type="spellStart"/>
      <w:r w:rsidRPr="0075257B">
        <w:rPr>
          <w:rFonts w:asciiTheme="minorHAnsi" w:hAnsiTheme="minorHAnsi"/>
          <w:i/>
          <w:iCs/>
          <w:sz w:val="24"/>
          <w:szCs w:val="24"/>
        </w:rPr>
        <w:t>lobata</w:t>
      </w:r>
      <w:proofErr w:type="spellEnd"/>
      <w:r w:rsidRPr="0075257B">
        <w:rPr>
          <w:rFonts w:asciiTheme="minorHAnsi" w:hAnsiTheme="minorHAnsi"/>
          <w:sz w:val="24"/>
          <w:szCs w:val="24"/>
        </w:rPr>
        <w:t>).</w:t>
      </w:r>
    </w:p>
    <w:p w14:paraId="301934C0" w14:textId="426F6A8F" w:rsidR="002F0704" w:rsidRPr="0075257B" w:rsidRDefault="002F0704" w:rsidP="0075257B">
      <w:pPr>
        <w:spacing w:after="120" w:line="276" w:lineRule="auto"/>
        <w:jc w:val="both"/>
        <w:rPr>
          <w:rFonts w:asciiTheme="minorHAnsi" w:hAnsiTheme="minorHAnsi"/>
          <w:sz w:val="24"/>
          <w:szCs w:val="24"/>
        </w:rPr>
      </w:pPr>
      <w:r w:rsidRPr="0075257B">
        <w:rPr>
          <w:rFonts w:asciiTheme="minorHAnsi" w:hAnsiTheme="minorHAnsi"/>
          <w:sz w:val="24"/>
          <w:szCs w:val="24"/>
        </w:rPr>
        <w:t>W rozdziale 3 przedstawiono zalecenia dotyczące zagospodarowania biomasy inwazyjnych gatunków obcych, w tym zasady ograniczania ryzyka dalszego rozprzestrzeniania się materiału roślinnego.</w:t>
      </w:r>
    </w:p>
    <w:p w14:paraId="2B28C301" w14:textId="0B152FC1" w:rsidR="00A86505" w:rsidRPr="0075257B" w:rsidRDefault="002F0704" w:rsidP="0075257B">
      <w:pPr>
        <w:spacing w:after="120" w:line="276" w:lineRule="auto"/>
        <w:jc w:val="both"/>
        <w:rPr>
          <w:rFonts w:asciiTheme="minorHAnsi" w:hAnsiTheme="minorHAnsi"/>
          <w:sz w:val="24"/>
          <w:szCs w:val="24"/>
        </w:rPr>
        <w:sectPr w:rsidR="00A86505" w:rsidRPr="0075257B" w:rsidSect="00051943">
          <w:headerReference w:type="default" r:id="rId11"/>
          <w:footerReference w:type="default" r:id="rId12"/>
          <w:pgSz w:w="11906" w:h="16838"/>
          <w:pgMar w:top="1417" w:right="1417" w:bottom="1417" w:left="1417" w:header="708" w:footer="708" w:gutter="0"/>
          <w:cols w:space="708"/>
          <w:titlePg/>
          <w:docGrid w:linePitch="360"/>
        </w:sectPr>
      </w:pPr>
      <w:r w:rsidRPr="0075257B">
        <w:rPr>
          <w:rFonts w:asciiTheme="minorHAnsi" w:hAnsiTheme="minorHAnsi"/>
          <w:sz w:val="24"/>
          <w:szCs w:val="24"/>
        </w:rPr>
        <w:t>Lista inwazyjnych gatunków obcych ujętych w niniejszym załączniku ma charakter otwarty i będzie aktualizowana w trakcie realizacji Zadania. W przypadku stwierdzenia na obszarze inwestycji lub w jego bezpośrednim sąsiedztwie kolejnych gatunków IGO, które nie zostały opisane w niniejszym dokumencie, załącznik zostanie uzupełniony o odpowiednie informacje dotyczące ich identyfikacji, potencjalnych zagrożeń, zalecanych działań zapobiegawczych, metod postępowania z biomasą oraz zasad monitoringu. Wszelkie nowe stwierdzenia podejrzanych gatunków powinny być niezwłocznie zgłaszane kierownikowi oraz botanikowi nadzoru przyrodniczego</w:t>
      </w:r>
      <w:r w:rsidR="006B496F" w:rsidRPr="0075257B">
        <w:rPr>
          <w:rFonts w:asciiTheme="minorHAnsi" w:hAnsiTheme="minorHAnsi"/>
          <w:sz w:val="24"/>
          <w:szCs w:val="24"/>
        </w:rPr>
        <w:t>.</w:t>
      </w:r>
      <w:r w:rsidR="00A86505" w:rsidRPr="0075257B">
        <w:rPr>
          <w:rFonts w:asciiTheme="minorHAnsi" w:hAnsiTheme="minorHAnsi"/>
          <w:sz w:val="24"/>
          <w:szCs w:val="24"/>
        </w:rPr>
        <w:t xml:space="preserve"> Rozmieszczenie potwierdzonych w terenie zadania gatunków inwazyjnych przedstawia poniższy obraz.</w:t>
      </w:r>
    </w:p>
    <w:p w14:paraId="55CDC1D9" w14:textId="4566E20C" w:rsidR="00A86505" w:rsidRDefault="4CCB674C" w:rsidP="002F0704">
      <w:pPr>
        <w:jc w:val="both"/>
        <w:sectPr w:rsidR="00A86505" w:rsidSect="00A86505">
          <w:pgSz w:w="16838" w:h="11906" w:orient="landscape"/>
          <w:pgMar w:top="1417" w:right="1417" w:bottom="1417" w:left="1417" w:header="708" w:footer="708" w:gutter="0"/>
          <w:cols w:space="708"/>
          <w:docGrid w:linePitch="360"/>
        </w:sectPr>
      </w:pPr>
      <w:r>
        <w:rPr>
          <w:noProof/>
        </w:rPr>
        <w:lastRenderedPageBreak/>
        <w:drawing>
          <wp:inline distT="0" distB="0" distL="0" distR="0" wp14:anchorId="09178D00" wp14:editId="282287AC">
            <wp:extent cx="8820150" cy="6232654"/>
            <wp:effectExtent l="19050" t="19050" r="19050" b="15875"/>
            <wp:docPr id="1009596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96997" name="Picture 1009596997"/>
                    <pic:cNvPicPr/>
                  </pic:nvPicPr>
                  <pic:blipFill>
                    <a:blip r:embed="rId13">
                      <a:extLst>
                        <a:ext uri="{28A0092B-C50C-407E-A947-70E740481C1C}">
                          <a14:useLocalDpi xmlns:a14="http://schemas.microsoft.com/office/drawing/2010/main"/>
                        </a:ext>
                      </a:extLst>
                    </a:blip>
                    <a:stretch>
                      <a:fillRect/>
                    </a:stretch>
                  </pic:blipFill>
                  <pic:spPr>
                    <a:xfrm>
                      <a:off x="0" y="0"/>
                      <a:ext cx="8827779" cy="6238045"/>
                    </a:xfrm>
                    <a:prstGeom prst="rect">
                      <a:avLst/>
                    </a:prstGeom>
                    <a:ln>
                      <a:solidFill>
                        <a:schemeClr val="tx1"/>
                      </a:solidFill>
                    </a:ln>
                  </pic:spPr>
                </pic:pic>
              </a:graphicData>
            </a:graphic>
          </wp:inline>
        </w:drawing>
      </w:r>
    </w:p>
    <w:p w14:paraId="1EDC4858" w14:textId="72FEE302" w:rsidR="006B496F" w:rsidRPr="0075257B" w:rsidRDefault="002F0704" w:rsidP="004C58AF">
      <w:pPr>
        <w:pStyle w:val="Nagwek1"/>
        <w:rPr>
          <w:rFonts w:asciiTheme="majorHAnsi" w:hAnsiTheme="majorHAnsi"/>
          <w:sz w:val="36"/>
          <w:szCs w:val="36"/>
        </w:rPr>
      </w:pPr>
      <w:bookmarkStart w:id="1" w:name="_Toc239940797"/>
      <w:r w:rsidRPr="0075257B">
        <w:rPr>
          <w:rFonts w:asciiTheme="majorHAnsi" w:hAnsiTheme="majorHAnsi"/>
          <w:sz w:val="36"/>
          <w:szCs w:val="36"/>
        </w:rPr>
        <w:lastRenderedPageBreak/>
        <w:t>2.Informacje o poszczególnych gatunkach inwazyjnych</w:t>
      </w:r>
      <w:bookmarkEnd w:id="1"/>
    </w:p>
    <w:p w14:paraId="27A22167" w14:textId="342943D3" w:rsidR="006B496F" w:rsidRPr="0075257B" w:rsidRDefault="006B496F" w:rsidP="00486DC4">
      <w:pPr>
        <w:pStyle w:val="Nagwek2"/>
        <w:spacing w:line="276" w:lineRule="auto"/>
      </w:pPr>
      <w:bookmarkStart w:id="2" w:name="_Toc239940798"/>
      <w:r w:rsidRPr="0075257B">
        <w:t xml:space="preserve">2.1. </w:t>
      </w:r>
      <w:proofErr w:type="spellStart"/>
      <w:r w:rsidRPr="0075257B">
        <w:t>Rdestowce</w:t>
      </w:r>
      <w:proofErr w:type="spellEnd"/>
      <w:r w:rsidRPr="0075257B">
        <w:t xml:space="preserve"> (</w:t>
      </w:r>
      <w:proofErr w:type="spellStart"/>
      <w:r w:rsidRPr="0075257B">
        <w:rPr>
          <w:i/>
          <w:iCs/>
        </w:rPr>
        <w:t>Reynoutria</w:t>
      </w:r>
      <w:proofErr w:type="spellEnd"/>
      <w:r w:rsidRPr="0075257B">
        <w:rPr>
          <w:i/>
          <w:iCs/>
        </w:rPr>
        <w:t xml:space="preserve"> </w:t>
      </w:r>
      <w:r w:rsidRPr="0075257B">
        <w:t>sp.)</w:t>
      </w:r>
      <w:bookmarkEnd w:id="2"/>
    </w:p>
    <w:p w14:paraId="1DA650A3" w14:textId="77777777" w:rsidR="006B496F" w:rsidRPr="00486DC4" w:rsidRDefault="006B496F" w:rsidP="00486DC4">
      <w:pPr>
        <w:spacing w:after="120" w:line="276" w:lineRule="auto"/>
        <w:jc w:val="both"/>
        <w:rPr>
          <w:rFonts w:asciiTheme="minorHAnsi" w:hAnsiTheme="minorHAnsi"/>
          <w:b/>
          <w:bCs/>
          <w:sz w:val="24"/>
          <w:szCs w:val="24"/>
        </w:rPr>
      </w:pPr>
      <w:r w:rsidRPr="00486DC4">
        <w:rPr>
          <w:rFonts w:asciiTheme="minorHAnsi" w:hAnsiTheme="minorHAnsi"/>
          <w:b/>
          <w:bCs/>
          <w:sz w:val="24"/>
          <w:szCs w:val="24"/>
        </w:rPr>
        <w:t>Charakterystyka gatunku</w:t>
      </w:r>
    </w:p>
    <w:p w14:paraId="10703A96" w14:textId="77777777" w:rsidR="006B496F" w:rsidRPr="00486DC4" w:rsidRDefault="006B496F" w:rsidP="00486DC4">
      <w:pPr>
        <w:spacing w:after="120" w:line="276" w:lineRule="auto"/>
        <w:jc w:val="both"/>
        <w:rPr>
          <w:rFonts w:asciiTheme="minorHAnsi" w:hAnsiTheme="minorHAnsi"/>
          <w:sz w:val="24"/>
          <w:szCs w:val="24"/>
        </w:rPr>
      </w:pPr>
      <w:bookmarkStart w:id="3" w:name="_Hlk164072032"/>
      <w:r w:rsidRPr="00486DC4">
        <w:rPr>
          <w:rFonts w:asciiTheme="minorHAnsi" w:hAnsiTheme="minorHAnsi"/>
          <w:sz w:val="24"/>
          <w:szCs w:val="24"/>
        </w:rPr>
        <w:t xml:space="preserve">Azjatyckie </w:t>
      </w:r>
      <w:proofErr w:type="spellStart"/>
      <w:r w:rsidRPr="00486DC4">
        <w:rPr>
          <w:rFonts w:asciiTheme="minorHAnsi" w:hAnsiTheme="minorHAnsi"/>
          <w:sz w:val="24"/>
          <w:szCs w:val="24"/>
        </w:rPr>
        <w:t>rdestowce</w:t>
      </w:r>
      <w:proofErr w:type="spellEnd"/>
      <w:r w:rsidRPr="00486DC4">
        <w:rPr>
          <w:rFonts w:asciiTheme="minorHAnsi" w:hAnsiTheme="minorHAnsi"/>
          <w:sz w:val="24"/>
          <w:szCs w:val="24"/>
        </w:rPr>
        <w:t xml:space="preserve"> to byliny – geofity kłączowe – o tęgich łodygach, dorastających do 3m (</w:t>
      </w:r>
      <w:proofErr w:type="spellStart"/>
      <w:r w:rsidRPr="00486DC4">
        <w:rPr>
          <w:rFonts w:asciiTheme="minorHAnsi" w:hAnsiTheme="minorHAnsi"/>
          <w:i/>
          <w:iCs/>
          <w:sz w:val="24"/>
          <w:szCs w:val="24"/>
        </w:rPr>
        <w:t>Reynoutria</w:t>
      </w:r>
      <w:proofErr w:type="spellEnd"/>
      <w:r w:rsidRPr="00486DC4">
        <w:rPr>
          <w:rFonts w:asciiTheme="minorHAnsi" w:hAnsiTheme="minorHAnsi"/>
          <w:i/>
          <w:iCs/>
          <w:sz w:val="24"/>
          <w:szCs w:val="24"/>
        </w:rPr>
        <w:t xml:space="preserve"> </w:t>
      </w:r>
      <w:proofErr w:type="spellStart"/>
      <w:r w:rsidRPr="00486DC4">
        <w:rPr>
          <w:rFonts w:asciiTheme="minorHAnsi" w:hAnsiTheme="minorHAnsi"/>
          <w:i/>
          <w:iCs/>
          <w:sz w:val="24"/>
          <w:szCs w:val="24"/>
        </w:rPr>
        <w:t>japonica</w:t>
      </w:r>
      <w:proofErr w:type="spellEnd"/>
      <w:r w:rsidRPr="00486DC4">
        <w:rPr>
          <w:rFonts w:asciiTheme="minorHAnsi" w:hAnsiTheme="minorHAnsi"/>
          <w:sz w:val="24"/>
          <w:szCs w:val="24"/>
        </w:rPr>
        <w:t>), 3,5 m (</w:t>
      </w:r>
      <w:proofErr w:type="spellStart"/>
      <w:r w:rsidRPr="00486DC4">
        <w:rPr>
          <w:rFonts w:asciiTheme="minorHAnsi" w:hAnsiTheme="minorHAnsi"/>
          <w:i/>
          <w:iCs/>
          <w:sz w:val="24"/>
          <w:szCs w:val="24"/>
        </w:rPr>
        <w:t>Reynoutria</w:t>
      </w:r>
      <w:proofErr w:type="spellEnd"/>
      <w:r w:rsidRPr="00486DC4">
        <w:rPr>
          <w:rFonts w:asciiTheme="minorHAnsi" w:hAnsiTheme="minorHAnsi"/>
          <w:sz w:val="24"/>
          <w:szCs w:val="24"/>
        </w:rPr>
        <w:t xml:space="preserve"> ×</w:t>
      </w:r>
      <w:proofErr w:type="spellStart"/>
      <w:r w:rsidRPr="00486DC4">
        <w:rPr>
          <w:rFonts w:asciiTheme="minorHAnsi" w:hAnsiTheme="minorHAnsi"/>
          <w:i/>
          <w:iCs/>
          <w:sz w:val="24"/>
          <w:szCs w:val="24"/>
        </w:rPr>
        <w:t>bohemica</w:t>
      </w:r>
      <w:proofErr w:type="spellEnd"/>
      <w:r w:rsidRPr="00486DC4">
        <w:rPr>
          <w:rFonts w:asciiTheme="minorHAnsi" w:hAnsiTheme="minorHAnsi"/>
          <w:sz w:val="24"/>
          <w:szCs w:val="24"/>
        </w:rPr>
        <w:t>), a nawet 4 (4,5) m (</w:t>
      </w:r>
      <w:proofErr w:type="spellStart"/>
      <w:r w:rsidRPr="00486DC4">
        <w:rPr>
          <w:rFonts w:asciiTheme="minorHAnsi" w:hAnsiTheme="minorHAnsi"/>
          <w:i/>
          <w:iCs/>
          <w:sz w:val="24"/>
          <w:szCs w:val="24"/>
        </w:rPr>
        <w:t>Reynoutria</w:t>
      </w:r>
      <w:proofErr w:type="spellEnd"/>
      <w:r w:rsidRPr="00486DC4">
        <w:rPr>
          <w:rFonts w:asciiTheme="minorHAnsi" w:hAnsiTheme="minorHAnsi"/>
          <w:i/>
          <w:iCs/>
          <w:sz w:val="24"/>
          <w:szCs w:val="24"/>
        </w:rPr>
        <w:t xml:space="preserve"> </w:t>
      </w:r>
      <w:proofErr w:type="spellStart"/>
      <w:r w:rsidRPr="00486DC4">
        <w:rPr>
          <w:rFonts w:asciiTheme="minorHAnsi" w:hAnsiTheme="minorHAnsi"/>
          <w:i/>
          <w:iCs/>
          <w:sz w:val="24"/>
          <w:szCs w:val="24"/>
        </w:rPr>
        <w:t>sachalinensis</w:t>
      </w:r>
      <w:proofErr w:type="spellEnd"/>
      <w:r w:rsidRPr="00486DC4">
        <w:rPr>
          <w:rFonts w:asciiTheme="minorHAnsi" w:hAnsiTheme="minorHAnsi"/>
          <w:sz w:val="24"/>
          <w:szCs w:val="24"/>
        </w:rPr>
        <w:t>) wysokości, zbliżone pokrojowo (Ryc. 2). Szczególnie jest to widoczne u rdestowca pośredniego R. ×</w:t>
      </w:r>
      <w:proofErr w:type="spellStart"/>
      <w:r w:rsidRPr="00486DC4">
        <w:rPr>
          <w:rFonts w:asciiTheme="minorHAnsi" w:hAnsiTheme="minorHAnsi"/>
          <w:sz w:val="24"/>
          <w:szCs w:val="24"/>
        </w:rPr>
        <w:t>bohemica</w:t>
      </w:r>
      <w:proofErr w:type="spellEnd"/>
      <w:r w:rsidRPr="00486DC4">
        <w:rPr>
          <w:rFonts w:asciiTheme="minorHAnsi" w:hAnsiTheme="minorHAnsi"/>
          <w:sz w:val="24"/>
          <w:szCs w:val="24"/>
        </w:rPr>
        <w:t xml:space="preserve">, który będąc mieszańcem rdestowca ostrokończystego R. </w:t>
      </w:r>
      <w:proofErr w:type="spellStart"/>
      <w:r w:rsidRPr="00486DC4">
        <w:rPr>
          <w:rFonts w:asciiTheme="minorHAnsi" w:hAnsiTheme="minorHAnsi"/>
          <w:sz w:val="24"/>
          <w:szCs w:val="24"/>
        </w:rPr>
        <w:t>japonica</w:t>
      </w:r>
      <w:proofErr w:type="spellEnd"/>
      <w:r w:rsidRPr="00486DC4">
        <w:rPr>
          <w:rFonts w:asciiTheme="minorHAnsi" w:hAnsiTheme="minorHAnsi"/>
          <w:sz w:val="24"/>
          <w:szCs w:val="24"/>
        </w:rPr>
        <w:t xml:space="preserve"> i sachalińskiego R. </w:t>
      </w:r>
      <w:proofErr w:type="spellStart"/>
      <w:r w:rsidRPr="00486DC4">
        <w:rPr>
          <w:rFonts w:asciiTheme="minorHAnsi" w:hAnsiTheme="minorHAnsi"/>
          <w:sz w:val="24"/>
          <w:szCs w:val="24"/>
        </w:rPr>
        <w:t>sachalinensis</w:t>
      </w:r>
      <w:proofErr w:type="spellEnd"/>
      <w:r w:rsidRPr="00486DC4">
        <w:rPr>
          <w:rFonts w:asciiTheme="minorHAnsi" w:hAnsiTheme="minorHAnsi"/>
          <w:sz w:val="24"/>
          <w:szCs w:val="24"/>
        </w:rPr>
        <w:t xml:space="preserve">, charakteryzuje się wieloma cechami morfologicznymi o charakterze pośrednim w stosunku do gatunków rodzicielskich. We wtórnym zasięgu występowania </w:t>
      </w:r>
      <w:proofErr w:type="spellStart"/>
      <w:r w:rsidRPr="00486DC4">
        <w:rPr>
          <w:rFonts w:asciiTheme="minorHAnsi" w:hAnsiTheme="minorHAnsi"/>
          <w:sz w:val="24"/>
          <w:szCs w:val="24"/>
        </w:rPr>
        <w:t>redestowce</w:t>
      </w:r>
      <w:proofErr w:type="spellEnd"/>
      <w:r w:rsidRPr="00486DC4">
        <w:rPr>
          <w:rFonts w:asciiTheme="minorHAnsi" w:hAnsiTheme="minorHAnsi"/>
          <w:sz w:val="24"/>
          <w:szCs w:val="24"/>
        </w:rPr>
        <w:t xml:space="preserve"> wykazują szerokie spektrum siedliskowe od siedlisk antropogenicznych (m.in. przydroża, nasypy kolejowe, różne typy nieużytków miejskich i poprzemysłowych, parki, cmentarze i ogrody przydomowe) do naturalnych (np. brzegi rzek, skraje lasów i zarośli)</w:t>
      </w:r>
      <w:r w:rsidRPr="00486DC4">
        <w:rPr>
          <w:rStyle w:val="Odwoanieprzypisudolnego"/>
          <w:rFonts w:asciiTheme="minorHAnsi" w:hAnsiTheme="minorHAnsi"/>
          <w:sz w:val="24"/>
          <w:szCs w:val="24"/>
        </w:rPr>
        <w:footnoteReference w:id="1"/>
      </w:r>
      <w:r w:rsidRPr="00486DC4">
        <w:rPr>
          <w:rFonts w:asciiTheme="minorHAnsi" w:hAnsiTheme="minorHAnsi"/>
          <w:sz w:val="24"/>
          <w:szCs w:val="24"/>
        </w:rPr>
        <w:t xml:space="preserve">. </w:t>
      </w:r>
    </w:p>
    <w:p w14:paraId="3C8436E7" w14:textId="77777777" w:rsidR="006B496F" w:rsidRPr="00486DC4" w:rsidRDefault="006B496F" w:rsidP="00486DC4">
      <w:pPr>
        <w:spacing w:after="120" w:line="276" w:lineRule="auto"/>
        <w:jc w:val="both"/>
        <w:rPr>
          <w:rFonts w:asciiTheme="minorHAnsi" w:hAnsiTheme="minorHAnsi"/>
          <w:sz w:val="24"/>
          <w:szCs w:val="24"/>
        </w:rPr>
      </w:pPr>
      <w:r w:rsidRPr="00486DC4">
        <w:rPr>
          <w:rFonts w:asciiTheme="minorHAnsi" w:hAnsiTheme="minorHAnsi"/>
          <w:sz w:val="24"/>
          <w:szCs w:val="24"/>
        </w:rPr>
        <w:t>Poszczególne taksony najłatwiej można odróżnić po kształcie liści. Liście rdestowca sachalińskiego są miękkie w dotyku, bardzo duże do 35 cm długości i 20 cm szerokości, mają sercowatą nasadę. Spodnia strona liści jest wyraźnie owłosiona, pokryta rozproszonymi, długimi i miękkimi włoskami.</w:t>
      </w:r>
    </w:p>
    <w:p w14:paraId="373B0E6A" w14:textId="77777777" w:rsidR="006B496F" w:rsidRPr="00486DC4" w:rsidRDefault="006B496F" w:rsidP="00486DC4">
      <w:pPr>
        <w:spacing w:after="120" w:line="276" w:lineRule="auto"/>
        <w:jc w:val="both"/>
        <w:rPr>
          <w:rFonts w:asciiTheme="minorHAnsi" w:hAnsiTheme="minorHAnsi"/>
          <w:sz w:val="24"/>
          <w:szCs w:val="24"/>
        </w:rPr>
      </w:pPr>
      <w:r w:rsidRPr="00486DC4">
        <w:rPr>
          <w:rFonts w:asciiTheme="minorHAnsi" w:hAnsiTheme="minorHAnsi"/>
          <w:sz w:val="24"/>
          <w:szCs w:val="24"/>
        </w:rPr>
        <w:t xml:space="preserve">Liście rdestowca ostrokończystego są sztywne, dużo mniejsze, do 15 cm długości i 10 cm szerokości, ucięte w nasadzie, a na szczycie z wyraźnym zwężeniem. Spodnia strona liści jest nieowłosiona, pokryta jedynie jednokomórkowymi, bardzo krótkimi, strukturami zwanymi </w:t>
      </w:r>
      <w:proofErr w:type="spellStart"/>
      <w:r w:rsidRPr="00486DC4">
        <w:rPr>
          <w:rFonts w:asciiTheme="minorHAnsi" w:hAnsiTheme="minorHAnsi"/>
          <w:sz w:val="24"/>
          <w:szCs w:val="24"/>
        </w:rPr>
        <w:t>papillami</w:t>
      </w:r>
      <w:proofErr w:type="spellEnd"/>
      <w:r w:rsidRPr="00486DC4">
        <w:rPr>
          <w:rFonts w:asciiTheme="minorHAnsi" w:hAnsiTheme="minorHAnsi"/>
          <w:sz w:val="24"/>
          <w:szCs w:val="24"/>
        </w:rPr>
        <w:t xml:space="preserve">. </w:t>
      </w:r>
    </w:p>
    <w:p w14:paraId="6FA4D1D2" w14:textId="77777777" w:rsidR="006B496F" w:rsidRPr="00486DC4" w:rsidRDefault="006B496F" w:rsidP="00486DC4">
      <w:pPr>
        <w:spacing w:after="120" w:line="276" w:lineRule="auto"/>
        <w:jc w:val="both"/>
        <w:rPr>
          <w:rFonts w:asciiTheme="minorHAnsi" w:hAnsiTheme="minorHAnsi"/>
          <w:sz w:val="24"/>
          <w:szCs w:val="24"/>
        </w:rPr>
      </w:pPr>
      <w:r w:rsidRPr="00486DC4">
        <w:rPr>
          <w:rFonts w:asciiTheme="minorHAnsi" w:hAnsiTheme="minorHAnsi"/>
          <w:sz w:val="24"/>
          <w:szCs w:val="24"/>
        </w:rPr>
        <w:t>Liście rdestowca pośredniego (mieszańca) są bardzo zróżnicowane co do wielkości, kształtu, ich wielkość maleje ku szczytowi. Często mają słabo sercowatą nasadę a szczyt liścia jest zaostrzony. Spodnia strona liści jest pokryta włoskami, szczególnie widocznymi na nerwach po przegięciu liścia.</w:t>
      </w:r>
    </w:p>
    <w:p w14:paraId="211252E9" w14:textId="77777777" w:rsidR="006B496F" w:rsidRPr="00486DC4" w:rsidRDefault="006B496F" w:rsidP="00486DC4">
      <w:pPr>
        <w:spacing w:after="120" w:line="276" w:lineRule="auto"/>
        <w:jc w:val="both"/>
        <w:rPr>
          <w:rFonts w:asciiTheme="minorHAnsi" w:hAnsiTheme="minorHAnsi"/>
          <w:sz w:val="24"/>
          <w:szCs w:val="24"/>
        </w:rPr>
      </w:pPr>
      <w:proofErr w:type="spellStart"/>
      <w:r w:rsidRPr="00486DC4">
        <w:rPr>
          <w:rFonts w:asciiTheme="minorHAnsi" w:hAnsiTheme="minorHAnsi"/>
          <w:sz w:val="24"/>
          <w:szCs w:val="24"/>
        </w:rPr>
        <w:t>Rdestowce</w:t>
      </w:r>
      <w:proofErr w:type="spellEnd"/>
      <w:r w:rsidRPr="00486DC4">
        <w:rPr>
          <w:rFonts w:asciiTheme="minorHAnsi" w:hAnsiTheme="minorHAnsi"/>
          <w:sz w:val="24"/>
          <w:szCs w:val="24"/>
        </w:rPr>
        <w:t xml:space="preserve"> to byliny zwykle przekraczające wysokość 2 m, a ich dzienny wzrost osiąga 3 cm. Pędy bardzo szybko wyrastają z kłączy, szczególnie w okresie wiosennym.</w:t>
      </w:r>
    </w:p>
    <w:p w14:paraId="57038498" w14:textId="1A88C608" w:rsidR="006B496F" w:rsidRPr="00486DC4" w:rsidRDefault="006B496F" w:rsidP="00486DC4">
      <w:pPr>
        <w:spacing w:after="120" w:line="276" w:lineRule="auto"/>
        <w:jc w:val="both"/>
        <w:rPr>
          <w:rFonts w:asciiTheme="minorHAnsi" w:hAnsiTheme="minorHAnsi"/>
          <w:sz w:val="24"/>
          <w:szCs w:val="24"/>
        </w:rPr>
      </w:pPr>
      <w:r w:rsidRPr="00486DC4">
        <w:rPr>
          <w:rFonts w:asciiTheme="minorHAnsi" w:hAnsiTheme="minorHAnsi"/>
          <w:sz w:val="24"/>
          <w:szCs w:val="24"/>
        </w:rPr>
        <w:t xml:space="preserve">Bardzo silne kłącza przebijają asfalt, rozsadzają mury i beton i rozrastają się w promieniu od 7 do ponad 20 metrów od macierzystej rośliny. Kłącza wrastają na głębokość 2-3 m, stąd duża trudność w usuwaniu </w:t>
      </w:r>
      <w:proofErr w:type="spellStart"/>
      <w:r w:rsidRPr="00486DC4">
        <w:rPr>
          <w:rFonts w:asciiTheme="minorHAnsi" w:hAnsiTheme="minorHAnsi"/>
          <w:sz w:val="24"/>
          <w:szCs w:val="24"/>
        </w:rPr>
        <w:t>rdestowców</w:t>
      </w:r>
      <w:proofErr w:type="spellEnd"/>
      <w:r w:rsidRPr="00486DC4">
        <w:rPr>
          <w:rFonts w:asciiTheme="minorHAnsi" w:hAnsiTheme="minorHAnsi"/>
          <w:sz w:val="24"/>
          <w:szCs w:val="24"/>
        </w:rPr>
        <w:t>, co wiążę się z oczywiście z ogromnymi kosztami zwalczania tych roślin.</w:t>
      </w:r>
    </w:p>
    <w:p w14:paraId="3D028DCA" w14:textId="77777777" w:rsidR="006B496F" w:rsidRPr="00486DC4" w:rsidRDefault="006B496F" w:rsidP="00486DC4">
      <w:pPr>
        <w:spacing w:after="120" w:line="276" w:lineRule="auto"/>
        <w:jc w:val="both"/>
        <w:rPr>
          <w:rFonts w:asciiTheme="minorHAnsi" w:hAnsiTheme="minorHAnsi"/>
          <w:sz w:val="24"/>
          <w:szCs w:val="24"/>
        </w:rPr>
      </w:pPr>
      <w:r w:rsidRPr="00486DC4">
        <w:rPr>
          <w:rFonts w:asciiTheme="minorHAnsi" w:hAnsiTheme="minorHAnsi"/>
          <w:sz w:val="24"/>
          <w:szCs w:val="24"/>
        </w:rPr>
        <w:t xml:space="preserve">Charakteryzują się dużą i szybką zdolnością regeneracji nawet z niewielkich, kilkucentymetrowych fragmentów kłącza czy pędu. Dostępne źródła podają, że wystarczy </w:t>
      </w:r>
      <w:r w:rsidRPr="00486DC4">
        <w:rPr>
          <w:rFonts w:asciiTheme="minorHAnsi" w:hAnsiTheme="minorHAnsi"/>
          <w:sz w:val="24"/>
          <w:szCs w:val="24"/>
        </w:rPr>
        <w:lastRenderedPageBreak/>
        <w:t xml:space="preserve">5-7 g kłącza, aby rośliny się zregenerowały. Niektórzy badacze twierdzą, że wystarczy około 0,7 g kłącza, aby mogła powstać nowa roślina. </w:t>
      </w:r>
    </w:p>
    <w:p w14:paraId="26065EAB" w14:textId="77777777" w:rsidR="006B496F" w:rsidRPr="00486DC4" w:rsidRDefault="006B496F" w:rsidP="00486DC4">
      <w:pPr>
        <w:spacing w:after="120" w:line="276" w:lineRule="auto"/>
        <w:jc w:val="both"/>
        <w:rPr>
          <w:rFonts w:asciiTheme="minorHAnsi" w:hAnsiTheme="minorHAnsi"/>
          <w:sz w:val="24"/>
          <w:szCs w:val="24"/>
        </w:rPr>
      </w:pPr>
      <w:r w:rsidRPr="00486DC4">
        <w:rPr>
          <w:rFonts w:asciiTheme="minorHAnsi" w:hAnsiTheme="minorHAnsi"/>
          <w:sz w:val="24"/>
          <w:szCs w:val="24"/>
        </w:rPr>
        <w:t xml:space="preserve">Kłącza </w:t>
      </w:r>
      <w:proofErr w:type="spellStart"/>
      <w:r w:rsidRPr="00486DC4">
        <w:rPr>
          <w:rFonts w:asciiTheme="minorHAnsi" w:hAnsiTheme="minorHAnsi"/>
          <w:sz w:val="24"/>
          <w:szCs w:val="24"/>
        </w:rPr>
        <w:t>rdestowców</w:t>
      </w:r>
      <w:proofErr w:type="spellEnd"/>
      <w:r w:rsidRPr="00486DC4">
        <w:rPr>
          <w:rFonts w:asciiTheme="minorHAnsi" w:hAnsiTheme="minorHAnsi"/>
          <w:sz w:val="24"/>
          <w:szCs w:val="24"/>
        </w:rPr>
        <w:t xml:space="preserve"> łatwo przenoszone są przez wodę, co sprzyja zarastaniu przez te rośliny dolin rzecznych i tworzeniu ogromnych skupisk </w:t>
      </w:r>
      <w:proofErr w:type="spellStart"/>
      <w:r w:rsidRPr="00486DC4">
        <w:rPr>
          <w:rFonts w:asciiTheme="minorHAnsi" w:hAnsiTheme="minorHAnsi"/>
          <w:sz w:val="24"/>
          <w:szCs w:val="24"/>
        </w:rPr>
        <w:t>rdestowców</w:t>
      </w:r>
      <w:proofErr w:type="spellEnd"/>
      <w:r w:rsidRPr="00486DC4">
        <w:rPr>
          <w:rFonts w:asciiTheme="minorHAnsi" w:hAnsiTheme="minorHAnsi"/>
          <w:sz w:val="24"/>
          <w:szCs w:val="24"/>
        </w:rPr>
        <w:t>, przeważnie ostrokończystego, a także pośredniego. Fragmenty roślin przenoszone są też z zanieczyszczoną nimi ziemią, np. podczas budowy dróg, utwardzania poboczy czy innych prac, a także z ziemią do ogrodów</w:t>
      </w:r>
      <w:r w:rsidRPr="00486DC4">
        <w:rPr>
          <w:rStyle w:val="Odwoanieprzypisudolnego"/>
          <w:rFonts w:asciiTheme="minorHAnsi" w:hAnsiTheme="minorHAnsi"/>
          <w:sz w:val="24"/>
          <w:szCs w:val="24"/>
        </w:rPr>
        <w:footnoteReference w:id="2"/>
      </w:r>
      <w:r w:rsidRPr="00486DC4">
        <w:rPr>
          <w:rFonts w:asciiTheme="minorHAnsi" w:hAnsiTheme="minorHAnsi"/>
          <w:sz w:val="24"/>
          <w:szCs w:val="24"/>
        </w:rPr>
        <w:t>.</w:t>
      </w:r>
    </w:p>
    <w:p w14:paraId="5B207939" w14:textId="77777777" w:rsidR="006B496F" w:rsidRPr="00F9646B" w:rsidRDefault="006B496F" w:rsidP="006B496F">
      <w:pPr>
        <w:jc w:val="both"/>
      </w:pPr>
      <w:r w:rsidRPr="00F9646B">
        <w:rPr>
          <w:noProof/>
        </w:rPr>
        <w:drawing>
          <wp:inline distT="0" distB="0" distL="0" distR="0" wp14:anchorId="4291C481" wp14:editId="4E2E50B3">
            <wp:extent cx="6037464" cy="3667125"/>
            <wp:effectExtent l="0" t="0" r="1905"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48473" cy="3673812"/>
                    </a:xfrm>
                    <a:prstGeom prst="rect">
                      <a:avLst/>
                    </a:prstGeom>
                  </pic:spPr>
                </pic:pic>
              </a:graphicData>
            </a:graphic>
          </wp:inline>
        </w:drawing>
      </w:r>
    </w:p>
    <w:p w14:paraId="0B028C93" w14:textId="77777777" w:rsidR="006B496F" w:rsidRDefault="006B496F" w:rsidP="006B496F">
      <w:pPr>
        <w:jc w:val="both"/>
        <w:rPr>
          <w:b/>
          <w:bCs/>
        </w:rPr>
      </w:pPr>
      <w:r w:rsidRPr="00F9646B">
        <w:rPr>
          <w:noProof/>
        </w:rPr>
        <w:drawing>
          <wp:inline distT="0" distB="0" distL="0" distR="0" wp14:anchorId="5BED1863" wp14:editId="6E6E3685">
            <wp:extent cx="5867870" cy="2047875"/>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80726" cy="2052362"/>
                    </a:xfrm>
                    <a:prstGeom prst="rect">
                      <a:avLst/>
                    </a:prstGeom>
                  </pic:spPr>
                </pic:pic>
              </a:graphicData>
            </a:graphic>
          </wp:inline>
        </w:drawing>
      </w:r>
    </w:p>
    <w:p w14:paraId="6EA99DF7" w14:textId="77777777" w:rsidR="006B496F" w:rsidRDefault="006B496F" w:rsidP="006B496F">
      <w:pPr>
        <w:jc w:val="both"/>
      </w:pPr>
      <w:r w:rsidRPr="00F9646B">
        <w:rPr>
          <w:noProof/>
        </w:rPr>
        <w:lastRenderedPageBreak/>
        <w:drawing>
          <wp:inline distT="0" distB="0" distL="0" distR="0" wp14:anchorId="32BA7CFD" wp14:editId="3192A233">
            <wp:extent cx="5756273" cy="2219325"/>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4941" cy="2222667"/>
                    </a:xfrm>
                    <a:prstGeom prst="rect">
                      <a:avLst/>
                    </a:prstGeom>
                  </pic:spPr>
                </pic:pic>
              </a:graphicData>
            </a:graphic>
          </wp:inline>
        </w:drawing>
      </w:r>
    </w:p>
    <w:p w14:paraId="55D51DBA" w14:textId="77777777" w:rsidR="006B496F" w:rsidRPr="00486DC4" w:rsidRDefault="006B496F" w:rsidP="00486DC4">
      <w:pPr>
        <w:spacing w:line="276" w:lineRule="auto"/>
        <w:jc w:val="both"/>
        <w:rPr>
          <w:rFonts w:asciiTheme="minorHAnsi" w:hAnsiTheme="minorHAnsi"/>
          <w:sz w:val="18"/>
          <w:szCs w:val="18"/>
        </w:rPr>
      </w:pPr>
      <w:r w:rsidRPr="00486DC4">
        <w:rPr>
          <w:rFonts w:asciiTheme="minorHAnsi" w:hAnsiTheme="minorHAnsi"/>
          <w:sz w:val="18"/>
          <w:szCs w:val="18"/>
        </w:rPr>
        <w:t xml:space="preserve">A – zgrubiała struktura („karpa”; ang. </w:t>
      </w:r>
      <w:proofErr w:type="spellStart"/>
      <w:r w:rsidRPr="00486DC4">
        <w:rPr>
          <w:rFonts w:asciiTheme="minorHAnsi" w:hAnsiTheme="minorHAnsi"/>
          <w:sz w:val="18"/>
          <w:szCs w:val="18"/>
        </w:rPr>
        <w:t>shoot</w:t>
      </w:r>
      <w:proofErr w:type="spellEnd"/>
      <w:r w:rsidRPr="00486DC4">
        <w:rPr>
          <w:rFonts w:asciiTheme="minorHAnsi" w:hAnsiTheme="minorHAnsi"/>
          <w:sz w:val="18"/>
          <w:szCs w:val="18"/>
        </w:rPr>
        <w:t xml:space="preserve"> </w:t>
      </w:r>
      <w:proofErr w:type="spellStart"/>
      <w:r w:rsidRPr="00486DC4">
        <w:rPr>
          <w:rFonts w:asciiTheme="minorHAnsi" w:hAnsiTheme="minorHAnsi"/>
          <w:sz w:val="18"/>
          <w:szCs w:val="18"/>
        </w:rPr>
        <w:t>clump</w:t>
      </w:r>
      <w:proofErr w:type="spellEnd"/>
      <w:r w:rsidRPr="00486DC4">
        <w:rPr>
          <w:rFonts w:asciiTheme="minorHAnsi" w:hAnsiTheme="minorHAnsi"/>
          <w:sz w:val="18"/>
          <w:szCs w:val="18"/>
        </w:rPr>
        <w:t xml:space="preserve">), z której wyrastają pędy tegoroczne; widoczne także miejsca po pędach obumarłych, z poprzednich sezonów wegetacyjnych; B – fragment odsłoniętego po powodzi poziomego kłącza z pąkami </w:t>
      </w:r>
    </w:p>
    <w:p w14:paraId="6BE24854" w14:textId="77777777" w:rsidR="006B496F" w:rsidRPr="00486DC4" w:rsidRDefault="006B496F" w:rsidP="00486DC4">
      <w:pPr>
        <w:spacing w:line="276" w:lineRule="auto"/>
        <w:jc w:val="both"/>
        <w:rPr>
          <w:rFonts w:asciiTheme="minorHAnsi" w:hAnsiTheme="minorHAnsi"/>
          <w:sz w:val="18"/>
          <w:szCs w:val="18"/>
        </w:rPr>
      </w:pPr>
      <w:r w:rsidRPr="00486DC4">
        <w:rPr>
          <w:rFonts w:asciiTheme="minorHAnsi" w:hAnsiTheme="minorHAnsi"/>
          <w:sz w:val="18"/>
          <w:szCs w:val="18"/>
        </w:rPr>
        <w:t>fot. Barbara Tokarska-Guzik</w:t>
      </w:r>
    </w:p>
    <w:p w14:paraId="74816AC1" w14:textId="77777777" w:rsidR="006B496F" w:rsidRPr="00F9646B" w:rsidRDefault="006B496F" w:rsidP="006B496F">
      <w:pPr>
        <w:jc w:val="both"/>
      </w:pPr>
      <w:r w:rsidRPr="00F9646B">
        <w:rPr>
          <w:noProof/>
        </w:rPr>
        <w:lastRenderedPageBreak/>
        <w:drawing>
          <wp:inline distT="0" distB="0" distL="0" distR="0" wp14:anchorId="096D227B" wp14:editId="4C1ABABC">
            <wp:extent cx="5695950" cy="5695950"/>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95950" cy="5695950"/>
                    </a:xfrm>
                    <a:prstGeom prst="rect">
                      <a:avLst/>
                    </a:prstGeom>
                  </pic:spPr>
                </pic:pic>
              </a:graphicData>
            </a:graphic>
          </wp:inline>
        </w:drawing>
      </w:r>
    </w:p>
    <w:p w14:paraId="4A5FCC05" w14:textId="77777777" w:rsidR="006B496F" w:rsidRPr="00486DC4" w:rsidRDefault="006B496F" w:rsidP="006B496F">
      <w:pPr>
        <w:jc w:val="both"/>
        <w:rPr>
          <w:rFonts w:ascii="Aptos" w:hAnsi="Aptos"/>
          <w:sz w:val="18"/>
          <w:szCs w:val="18"/>
        </w:rPr>
      </w:pPr>
      <w:r w:rsidRPr="00486DC4">
        <w:rPr>
          <w:rFonts w:ascii="Aptos" w:hAnsi="Aptos"/>
          <w:sz w:val="18"/>
          <w:szCs w:val="18"/>
        </w:rPr>
        <w:t xml:space="preserve">A – kwitnący pęd rdestowca ostrokończystego R. </w:t>
      </w:r>
      <w:proofErr w:type="spellStart"/>
      <w:r w:rsidRPr="00486DC4">
        <w:rPr>
          <w:rFonts w:ascii="Aptos" w:hAnsi="Aptos"/>
          <w:sz w:val="18"/>
          <w:szCs w:val="18"/>
        </w:rPr>
        <w:t>japonica</w:t>
      </w:r>
      <w:proofErr w:type="spellEnd"/>
      <w:r w:rsidRPr="00486DC4">
        <w:rPr>
          <w:rFonts w:ascii="Aptos" w:hAnsi="Aptos"/>
          <w:sz w:val="18"/>
          <w:szCs w:val="18"/>
        </w:rPr>
        <w:t xml:space="preserve">; z prawej zbliżenie kwiatów męsko-sterylnych („słupkowych”); B – kwitnące pędy </w:t>
      </w:r>
      <w:proofErr w:type="spellStart"/>
      <w:r w:rsidRPr="00486DC4">
        <w:rPr>
          <w:rFonts w:ascii="Aptos" w:hAnsi="Aptos"/>
          <w:sz w:val="18"/>
          <w:szCs w:val="18"/>
        </w:rPr>
        <w:t>rdestowca</w:t>
      </w:r>
      <w:proofErr w:type="spellEnd"/>
      <w:r w:rsidRPr="00486DC4">
        <w:rPr>
          <w:rFonts w:ascii="Aptos" w:hAnsi="Aptos"/>
          <w:sz w:val="18"/>
          <w:szCs w:val="18"/>
        </w:rPr>
        <w:t xml:space="preserve"> pośredniego R.×</w:t>
      </w:r>
      <w:proofErr w:type="spellStart"/>
      <w:r w:rsidRPr="00486DC4">
        <w:rPr>
          <w:rFonts w:ascii="Aptos" w:hAnsi="Aptos"/>
          <w:sz w:val="18"/>
          <w:szCs w:val="18"/>
        </w:rPr>
        <w:t>bohemica</w:t>
      </w:r>
      <w:proofErr w:type="spellEnd"/>
      <w:r w:rsidRPr="00486DC4">
        <w:rPr>
          <w:rFonts w:ascii="Aptos" w:hAnsi="Aptos"/>
          <w:sz w:val="18"/>
          <w:szCs w:val="18"/>
        </w:rPr>
        <w:t xml:space="preserve">; z lewej kwiatostany z kwiatami </w:t>
      </w:r>
      <w:proofErr w:type="spellStart"/>
      <w:r w:rsidRPr="00486DC4">
        <w:rPr>
          <w:rFonts w:ascii="Aptos" w:hAnsi="Aptos"/>
          <w:sz w:val="18"/>
          <w:szCs w:val="18"/>
        </w:rPr>
        <w:t>męskosterylnymi</w:t>
      </w:r>
      <w:proofErr w:type="spellEnd"/>
      <w:r w:rsidRPr="00486DC4">
        <w:rPr>
          <w:rFonts w:ascii="Aptos" w:hAnsi="Aptos"/>
          <w:sz w:val="18"/>
          <w:szCs w:val="18"/>
        </w:rPr>
        <w:t xml:space="preserve"> („słupkowymi”) z prawej z kwiatami </w:t>
      </w:r>
      <w:proofErr w:type="spellStart"/>
      <w:r w:rsidRPr="00486DC4">
        <w:rPr>
          <w:rFonts w:ascii="Aptos" w:hAnsi="Aptos"/>
          <w:sz w:val="18"/>
          <w:szCs w:val="18"/>
        </w:rPr>
        <w:t>męskopłod-nymi</w:t>
      </w:r>
      <w:proofErr w:type="spellEnd"/>
      <w:r w:rsidRPr="00486DC4">
        <w:rPr>
          <w:rFonts w:ascii="Aptos" w:hAnsi="Aptos"/>
          <w:sz w:val="18"/>
          <w:szCs w:val="18"/>
        </w:rPr>
        <w:t xml:space="preserve"> („pręcikowymi”); C – kwitnące pędy (z lewej) i pojedyncze kwiatostany (z prawej) rdestowca sachalińskiego R. </w:t>
      </w:r>
      <w:proofErr w:type="spellStart"/>
      <w:r w:rsidRPr="00486DC4">
        <w:rPr>
          <w:rFonts w:ascii="Aptos" w:hAnsi="Aptos"/>
          <w:sz w:val="18"/>
          <w:szCs w:val="18"/>
        </w:rPr>
        <w:t>sachalinensis</w:t>
      </w:r>
      <w:proofErr w:type="spellEnd"/>
      <w:r w:rsidRPr="00486DC4">
        <w:rPr>
          <w:rFonts w:ascii="Aptos" w:hAnsi="Aptos"/>
          <w:sz w:val="18"/>
          <w:szCs w:val="18"/>
        </w:rPr>
        <w:t xml:space="preserve">; na obu fotografiach z lewej strony kwiatostany z kwiatami </w:t>
      </w:r>
      <w:proofErr w:type="spellStart"/>
      <w:r w:rsidRPr="00486DC4">
        <w:rPr>
          <w:rFonts w:ascii="Aptos" w:hAnsi="Aptos"/>
          <w:sz w:val="18"/>
          <w:szCs w:val="18"/>
        </w:rPr>
        <w:t>męskosterylnymi</w:t>
      </w:r>
      <w:proofErr w:type="spellEnd"/>
      <w:r w:rsidRPr="00486DC4">
        <w:rPr>
          <w:rFonts w:ascii="Aptos" w:hAnsi="Aptos"/>
          <w:sz w:val="18"/>
          <w:szCs w:val="18"/>
        </w:rPr>
        <w:t xml:space="preserve"> („słupkowymi”), z prawej z kwiatami </w:t>
      </w:r>
      <w:proofErr w:type="spellStart"/>
      <w:r w:rsidRPr="00486DC4">
        <w:rPr>
          <w:rFonts w:ascii="Aptos" w:hAnsi="Aptos"/>
          <w:sz w:val="18"/>
          <w:szCs w:val="18"/>
        </w:rPr>
        <w:t>męskopłodnymi</w:t>
      </w:r>
      <w:proofErr w:type="spellEnd"/>
      <w:r w:rsidRPr="00486DC4">
        <w:rPr>
          <w:rFonts w:ascii="Aptos" w:hAnsi="Aptos"/>
          <w:sz w:val="18"/>
          <w:szCs w:val="18"/>
        </w:rPr>
        <w:t xml:space="preserve"> („pręcikowymi”) </w:t>
      </w:r>
    </w:p>
    <w:p w14:paraId="5822C71D" w14:textId="77777777" w:rsidR="006B496F" w:rsidRPr="00486DC4" w:rsidRDefault="006B496F" w:rsidP="006B496F">
      <w:pPr>
        <w:jc w:val="both"/>
        <w:rPr>
          <w:rFonts w:ascii="Aptos" w:hAnsi="Aptos"/>
          <w:sz w:val="18"/>
          <w:szCs w:val="18"/>
          <w:highlight w:val="green"/>
        </w:rPr>
      </w:pPr>
      <w:proofErr w:type="spellStart"/>
      <w:r w:rsidRPr="00486DC4">
        <w:rPr>
          <w:rFonts w:ascii="Aptos" w:hAnsi="Aptos"/>
          <w:sz w:val="18"/>
          <w:szCs w:val="18"/>
          <w:lang w:val="en-US"/>
        </w:rPr>
        <w:t>fot</w:t>
      </w:r>
      <w:proofErr w:type="spellEnd"/>
      <w:r w:rsidRPr="00486DC4">
        <w:rPr>
          <w:rFonts w:ascii="Aptos" w:hAnsi="Aptos"/>
          <w:sz w:val="18"/>
          <w:szCs w:val="18"/>
          <w:lang w:val="en-US"/>
        </w:rPr>
        <w:t>. Barbara Tokarska-Guzik</w:t>
      </w:r>
    </w:p>
    <w:p w14:paraId="493D8192" w14:textId="77777777" w:rsidR="006B496F" w:rsidRPr="00F9646B" w:rsidRDefault="006B496F" w:rsidP="006B496F">
      <w:pPr>
        <w:jc w:val="both"/>
      </w:pPr>
      <w:r w:rsidRPr="00F9646B">
        <w:rPr>
          <w:noProof/>
        </w:rPr>
        <w:lastRenderedPageBreak/>
        <w:drawing>
          <wp:inline distT="0" distB="0" distL="0" distR="0" wp14:anchorId="6B0A04A2" wp14:editId="41D1A259">
            <wp:extent cx="5753100" cy="5618325"/>
            <wp:effectExtent l="0" t="0" r="0" b="190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59167" cy="5624250"/>
                    </a:xfrm>
                    <a:prstGeom prst="rect">
                      <a:avLst/>
                    </a:prstGeom>
                  </pic:spPr>
                </pic:pic>
              </a:graphicData>
            </a:graphic>
          </wp:inline>
        </w:drawing>
      </w:r>
    </w:p>
    <w:p w14:paraId="57A0964E" w14:textId="77777777" w:rsidR="006B496F" w:rsidRPr="00486DC4" w:rsidRDefault="006B496F" w:rsidP="006B496F">
      <w:pPr>
        <w:jc w:val="both"/>
        <w:rPr>
          <w:rFonts w:asciiTheme="minorHAnsi" w:hAnsiTheme="minorHAnsi"/>
          <w:sz w:val="18"/>
          <w:szCs w:val="18"/>
        </w:rPr>
      </w:pPr>
      <w:r w:rsidRPr="00486DC4">
        <w:rPr>
          <w:rFonts w:asciiTheme="minorHAnsi" w:hAnsiTheme="minorHAnsi"/>
          <w:sz w:val="18"/>
          <w:szCs w:val="18"/>
        </w:rPr>
        <w:t xml:space="preserve">Oskrzydlone owoce (orzeszki) na pędach </w:t>
      </w:r>
      <w:proofErr w:type="spellStart"/>
      <w:r w:rsidRPr="00486DC4">
        <w:rPr>
          <w:rFonts w:asciiTheme="minorHAnsi" w:hAnsiTheme="minorHAnsi"/>
          <w:sz w:val="18"/>
          <w:szCs w:val="18"/>
        </w:rPr>
        <w:t>rdestowców</w:t>
      </w:r>
      <w:proofErr w:type="spellEnd"/>
      <w:r w:rsidRPr="00486DC4">
        <w:rPr>
          <w:rFonts w:asciiTheme="minorHAnsi" w:hAnsiTheme="minorHAnsi"/>
          <w:sz w:val="18"/>
          <w:szCs w:val="18"/>
        </w:rPr>
        <w:t xml:space="preserve">: r. ostrokończystego R. </w:t>
      </w:r>
      <w:proofErr w:type="spellStart"/>
      <w:r w:rsidRPr="00486DC4">
        <w:rPr>
          <w:rFonts w:asciiTheme="minorHAnsi" w:hAnsiTheme="minorHAnsi"/>
          <w:sz w:val="18"/>
          <w:szCs w:val="18"/>
        </w:rPr>
        <w:t>japonica</w:t>
      </w:r>
      <w:proofErr w:type="spellEnd"/>
      <w:r w:rsidRPr="00486DC4">
        <w:rPr>
          <w:rFonts w:asciiTheme="minorHAnsi" w:hAnsiTheme="minorHAnsi"/>
          <w:sz w:val="18"/>
          <w:szCs w:val="18"/>
        </w:rPr>
        <w:t xml:space="preserve"> (A) i r. sachalińskiego R. </w:t>
      </w:r>
      <w:proofErr w:type="spellStart"/>
      <w:r w:rsidRPr="00486DC4">
        <w:rPr>
          <w:rFonts w:asciiTheme="minorHAnsi" w:hAnsiTheme="minorHAnsi"/>
          <w:sz w:val="18"/>
          <w:szCs w:val="18"/>
        </w:rPr>
        <w:t>sachalinensis</w:t>
      </w:r>
      <w:proofErr w:type="spellEnd"/>
      <w:r w:rsidRPr="00486DC4">
        <w:rPr>
          <w:rFonts w:asciiTheme="minorHAnsi" w:hAnsiTheme="minorHAnsi"/>
          <w:sz w:val="18"/>
          <w:szCs w:val="18"/>
        </w:rPr>
        <w:t xml:space="preserve"> (B) oraz wyłuskane orzeszki r. ostrokończystego R. </w:t>
      </w:r>
      <w:proofErr w:type="spellStart"/>
      <w:r w:rsidRPr="00486DC4">
        <w:rPr>
          <w:rFonts w:asciiTheme="minorHAnsi" w:hAnsiTheme="minorHAnsi"/>
          <w:sz w:val="18"/>
          <w:szCs w:val="18"/>
        </w:rPr>
        <w:t>japonica</w:t>
      </w:r>
      <w:proofErr w:type="spellEnd"/>
      <w:r w:rsidRPr="00486DC4">
        <w:rPr>
          <w:rFonts w:asciiTheme="minorHAnsi" w:hAnsiTheme="minorHAnsi"/>
          <w:sz w:val="18"/>
          <w:szCs w:val="18"/>
        </w:rPr>
        <w:t xml:space="preserve"> (C), r. pośredniego R. ×</w:t>
      </w:r>
      <w:proofErr w:type="spellStart"/>
      <w:r w:rsidRPr="00486DC4">
        <w:rPr>
          <w:rFonts w:asciiTheme="minorHAnsi" w:hAnsiTheme="minorHAnsi"/>
          <w:sz w:val="18"/>
          <w:szCs w:val="18"/>
        </w:rPr>
        <w:t>bohemica</w:t>
      </w:r>
      <w:proofErr w:type="spellEnd"/>
      <w:r w:rsidRPr="00486DC4">
        <w:rPr>
          <w:rFonts w:asciiTheme="minorHAnsi" w:hAnsiTheme="minorHAnsi"/>
          <w:sz w:val="18"/>
          <w:szCs w:val="18"/>
        </w:rPr>
        <w:t xml:space="preserve"> (D) i r. sachalińskiego R. </w:t>
      </w:r>
      <w:proofErr w:type="spellStart"/>
      <w:r w:rsidRPr="00486DC4">
        <w:rPr>
          <w:rFonts w:asciiTheme="minorHAnsi" w:hAnsiTheme="minorHAnsi"/>
          <w:sz w:val="18"/>
          <w:szCs w:val="18"/>
        </w:rPr>
        <w:t>sachalinensis</w:t>
      </w:r>
      <w:proofErr w:type="spellEnd"/>
      <w:r w:rsidRPr="00486DC4">
        <w:rPr>
          <w:rFonts w:asciiTheme="minorHAnsi" w:hAnsiTheme="minorHAnsi"/>
          <w:sz w:val="18"/>
          <w:szCs w:val="18"/>
        </w:rPr>
        <w:t xml:space="preserve"> (E) </w:t>
      </w:r>
    </w:p>
    <w:p w14:paraId="46B30720" w14:textId="77777777" w:rsidR="006B496F" w:rsidRPr="00486DC4" w:rsidRDefault="006B496F" w:rsidP="006B496F">
      <w:pPr>
        <w:jc w:val="both"/>
        <w:rPr>
          <w:rFonts w:asciiTheme="minorHAnsi" w:hAnsiTheme="minorHAnsi"/>
          <w:sz w:val="18"/>
          <w:szCs w:val="18"/>
        </w:rPr>
      </w:pPr>
      <w:r w:rsidRPr="00486DC4">
        <w:rPr>
          <w:rFonts w:asciiTheme="minorHAnsi" w:hAnsiTheme="minorHAnsi"/>
          <w:sz w:val="18"/>
          <w:szCs w:val="18"/>
        </w:rPr>
        <w:t>fot. Barbara Tokarska-Guzik (A i B górne), Katarzyna Bzdęga (pozostałe)</w:t>
      </w:r>
    </w:p>
    <w:p w14:paraId="5D2539D4" w14:textId="77777777" w:rsidR="006B496F" w:rsidRPr="00F9646B" w:rsidRDefault="006B496F" w:rsidP="006B496F">
      <w:pPr>
        <w:jc w:val="both"/>
      </w:pPr>
      <w:r w:rsidRPr="00F9646B">
        <w:rPr>
          <w:noProof/>
        </w:rPr>
        <w:lastRenderedPageBreak/>
        <w:drawing>
          <wp:inline distT="0" distB="0" distL="0" distR="0" wp14:anchorId="6A45AD3B" wp14:editId="1CB611F9">
            <wp:extent cx="5792205" cy="2028825"/>
            <wp:effectExtent l="0" t="0" r="0" b="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95212" cy="2029878"/>
                    </a:xfrm>
                    <a:prstGeom prst="rect">
                      <a:avLst/>
                    </a:prstGeom>
                  </pic:spPr>
                </pic:pic>
              </a:graphicData>
            </a:graphic>
          </wp:inline>
        </w:drawing>
      </w:r>
    </w:p>
    <w:p w14:paraId="40FA29A4" w14:textId="77777777" w:rsidR="006B496F" w:rsidRPr="00494E04" w:rsidRDefault="006B496F" w:rsidP="00494E04">
      <w:pPr>
        <w:spacing w:line="276" w:lineRule="auto"/>
        <w:jc w:val="both"/>
        <w:rPr>
          <w:rFonts w:asciiTheme="minorHAnsi" w:hAnsiTheme="minorHAnsi"/>
          <w:sz w:val="18"/>
          <w:szCs w:val="18"/>
        </w:rPr>
      </w:pPr>
      <w:r w:rsidRPr="00494E04">
        <w:rPr>
          <w:rFonts w:asciiTheme="minorHAnsi" w:hAnsiTheme="minorHAnsi"/>
          <w:sz w:val="18"/>
          <w:szCs w:val="18"/>
        </w:rPr>
        <w:t xml:space="preserve">A – fragment powierzchni na której </w:t>
      </w:r>
      <w:proofErr w:type="spellStart"/>
      <w:r w:rsidRPr="00494E04">
        <w:rPr>
          <w:rFonts w:asciiTheme="minorHAnsi" w:hAnsiTheme="minorHAnsi"/>
          <w:sz w:val="18"/>
          <w:szCs w:val="18"/>
        </w:rPr>
        <w:t>rdestowce</w:t>
      </w:r>
      <w:proofErr w:type="spellEnd"/>
      <w:r w:rsidRPr="00494E04">
        <w:rPr>
          <w:rFonts w:asciiTheme="minorHAnsi" w:hAnsiTheme="minorHAnsi"/>
          <w:sz w:val="18"/>
          <w:szCs w:val="18"/>
        </w:rPr>
        <w:t xml:space="preserve"> regenerują się po </w:t>
      </w:r>
      <w:proofErr w:type="spellStart"/>
      <w:r w:rsidRPr="00494E04">
        <w:rPr>
          <w:rFonts w:asciiTheme="minorHAnsi" w:hAnsiTheme="minorHAnsi"/>
          <w:sz w:val="18"/>
          <w:szCs w:val="18"/>
        </w:rPr>
        <w:t>przeprowadzonch</w:t>
      </w:r>
      <w:proofErr w:type="spellEnd"/>
      <w:r w:rsidRPr="00494E04">
        <w:rPr>
          <w:rFonts w:asciiTheme="minorHAnsi" w:hAnsiTheme="minorHAnsi"/>
          <w:sz w:val="18"/>
          <w:szCs w:val="18"/>
        </w:rPr>
        <w:t xml:space="preserve"> pracach ziemnych (budowa kanalizacji); B – rośliny mogą regenerować się z niewielkich fragmentów kłączy </w:t>
      </w:r>
    </w:p>
    <w:p w14:paraId="581C4F6B" w14:textId="77777777" w:rsidR="006B496F" w:rsidRPr="00494E04" w:rsidRDefault="006B496F" w:rsidP="00494E04">
      <w:pPr>
        <w:spacing w:line="276" w:lineRule="auto"/>
        <w:jc w:val="both"/>
        <w:rPr>
          <w:rFonts w:asciiTheme="minorHAnsi" w:hAnsiTheme="minorHAnsi"/>
          <w:sz w:val="18"/>
          <w:szCs w:val="18"/>
        </w:rPr>
      </w:pPr>
      <w:r w:rsidRPr="00494E04">
        <w:rPr>
          <w:rFonts w:asciiTheme="minorHAnsi" w:hAnsiTheme="minorHAnsi"/>
          <w:sz w:val="18"/>
          <w:szCs w:val="18"/>
        </w:rPr>
        <w:t>fot. Barbara Tokarska-Guzik</w:t>
      </w:r>
    </w:p>
    <w:p w14:paraId="511FA9B7" w14:textId="77777777" w:rsidR="006B496F" w:rsidRPr="00F74A16" w:rsidRDefault="006B496F" w:rsidP="00F74A16">
      <w:pPr>
        <w:spacing w:after="120" w:line="276" w:lineRule="auto"/>
        <w:jc w:val="both"/>
        <w:rPr>
          <w:rFonts w:asciiTheme="minorHAnsi" w:hAnsiTheme="minorHAnsi"/>
          <w:b/>
          <w:bCs/>
          <w:sz w:val="24"/>
          <w:szCs w:val="24"/>
        </w:rPr>
      </w:pPr>
      <w:r w:rsidRPr="00F74A16">
        <w:rPr>
          <w:rFonts w:asciiTheme="minorHAnsi" w:hAnsiTheme="minorHAnsi"/>
          <w:b/>
          <w:bCs/>
          <w:sz w:val="24"/>
          <w:szCs w:val="24"/>
        </w:rPr>
        <w:t>Działania służące eliminacji</w:t>
      </w:r>
    </w:p>
    <w:p w14:paraId="46BEB642" w14:textId="71C4FAFA"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t xml:space="preserve">Zgodnie z GDOŚ </w:t>
      </w:r>
      <w:proofErr w:type="spellStart"/>
      <w:r w:rsidRPr="00F74A16">
        <w:rPr>
          <w:rFonts w:asciiTheme="minorHAnsi" w:hAnsiTheme="minorHAnsi"/>
          <w:sz w:val="24"/>
          <w:szCs w:val="24"/>
        </w:rPr>
        <w:t>Guidelines</w:t>
      </w:r>
      <w:proofErr w:type="spellEnd"/>
      <w:r w:rsidRPr="00F74A16">
        <w:rPr>
          <w:rFonts w:asciiTheme="minorHAnsi" w:hAnsiTheme="minorHAnsi"/>
          <w:sz w:val="24"/>
          <w:szCs w:val="24"/>
        </w:rPr>
        <w:t xml:space="preserve"> for the </w:t>
      </w:r>
      <w:proofErr w:type="spellStart"/>
      <w:r w:rsidRPr="00F74A16">
        <w:rPr>
          <w:rFonts w:asciiTheme="minorHAnsi" w:hAnsiTheme="minorHAnsi"/>
          <w:sz w:val="24"/>
          <w:szCs w:val="24"/>
        </w:rPr>
        <w:t>control</w:t>
      </w:r>
      <w:proofErr w:type="spellEnd"/>
      <w:r w:rsidRPr="00F74A16">
        <w:rPr>
          <w:rFonts w:asciiTheme="minorHAnsi" w:hAnsiTheme="minorHAnsi"/>
          <w:sz w:val="24"/>
          <w:szCs w:val="24"/>
        </w:rPr>
        <w:t xml:space="preserve"> of </w:t>
      </w:r>
      <w:proofErr w:type="spellStart"/>
      <w:r w:rsidRPr="00F74A16">
        <w:rPr>
          <w:rFonts w:asciiTheme="minorHAnsi" w:hAnsiTheme="minorHAnsi"/>
          <w:sz w:val="24"/>
          <w:szCs w:val="24"/>
        </w:rPr>
        <w:t>knotweed</w:t>
      </w:r>
      <w:proofErr w:type="spellEnd"/>
      <w:r w:rsidRPr="00F74A16">
        <w:rPr>
          <w:rFonts w:asciiTheme="minorHAnsi" w:hAnsiTheme="minorHAnsi"/>
          <w:sz w:val="24"/>
          <w:szCs w:val="24"/>
        </w:rPr>
        <w:t xml:space="preserve"> in Poland (GDOŚ, 2015), eliminowanie stanowisk </w:t>
      </w:r>
      <w:proofErr w:type="spellStart"/>
      <w:r w:rsidRPr="00F74A16">
        <w:rPr>
          <w:rFonts w:asciiTheme="minorHAnsi" w:hAnsiTheme="minorHAnsi"/>
          <w:sz w:val="24"/>
          <w:szCs w:val="24"/>
        </w:rPr>
        <w:t>rdestowców</w:t>
      </w:r>
      <w:proofErr w:type="spellEnd"/>
      <w:r w:rsidRPr="00F74A16">
        <w:rPr>
          <w:rFonts w:asciiTheme="minorHAnsi" w:hAnsiTheme="minorHAnsi"/>
          <w:sz w:val="24"/>
          <w:szCs w:val="24"/>
        </w:rPr>
        <w:t xml:space="preserve"> prowadzone bywa różnymi metodami, w zależności od rozmiarów populacji i jej lokalizacji (np. na terenach objętych ochroną, w dolinach rzecznych, na terenach zabudowanych). Strategia zwalczania wynika także z biologii tych roślin. Są to byliny o silnie rozwiniętym systemie podziemnych kłączy, rozmnażające się głównie wegetatywnie. Z tych względów ich zwalczanie polega przede wszystkim na mechanicznym usuwaniu roślin (części nadziemnych i podziemnych) i/lub traktowaniu ich środkami chemicznymi.</w:t>
      </w:r>
    </w:p>
    <w:p w14:paraId="1D62E795" w14:textId="77777777"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t xml:space="preserve">Do stosowanych należą metody: mechaniczne, chemiczne, mieszane/kombinowane (mechaniczno-chemiczne) oraz biologiczne. </w:t>
      </w:r>
    </w:p>
    <w:p w14:paraId="765AFE4A" w14:textId="77777777"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t xml:space="preserve">Wybór metody powinien uwzględniać w pierwszej kolejności: </w:t>
      </w:r>
    </w:p>
    <w:p w14:paraId="1BDA61CF" w14:textId="77777777" w:rsidR="006B496F" w:rsidRPr="00F74A16" w:rsidRDefault="006B496F" w:rsidP="00F74A16">
      <w:pPr>
        <w:pStyle w:val="Akapitzlist"/>
        <w:numPr>
          <w:ilvl w:val="0"/>
          <w:numId w:val="1"/>
        </w:numPr>
        <w:spacing w:after="120" w:line="276" w:lineRule="auto"/>
        <w:contextualSpacing w:val="0"/>
        <w:jc w:val="both"/>
        <w:rPr>
          <w:rFonts w:asciiTheme="minorHAnsi" w:hAnsiTheme="minorHAnsi"/>
          <w:sz w:val="24"/>
          <w:szCs w:val="24"/>
        </w:rPr>
      </w:pPr>
      <w:r w:rsidRPr="00F74A16">
        <w:rPr>
          <w:rFonts w:asciiTheme="minorHAnsi" w:hAnsiTheme="minorHAnsi"/>
          <w:sz w:val="24"/>
          <w:szCs w:val="24"/>
        </w:rPr>
        <w:t xml:space="preserve">jej wpływ na środowisko przyrodnicze (koszty środowiskowe) a ponadto </w:t>
      </w:r>
    </w:p>
    <w:p w14:paraId="23E6FEAB" w14:textId="77777777" w:rsidR="006B496F" w:rsidRPr="00F74A16" w:rsidRDefault="006B496F" w:rsidP="00F74A16">
      <w:pPr>
        <w:pStyle w:val="Akapitzlist"/>
        <w:numPr>
          <w:ilvl w:val="0"/>
          <w:numId w:val="1"/>
        </w:numPr>
        <w:spacing w:after="120" w:line="276" w:lineRule="auto"/>
        <w:contextualSpacing w:val="0"/>
        <w:jc w:val="both"/>
        <w:rPr>
          <w:rFonts w:asciiTheme="minorHAnsi" w:hAnsiTheme="minorHAnsi"/>
          <w:sz w:val="24"/>
          <w:szCs w:val="24"/>
          <w:lang w:val="en-US"/>
        </w:rPr>
      </w:pPr>
      <w:proofErr w:type="spellStart"/>
      <w:r w:rsidRPr="00F74A16">
        <w:rPr>
          <w:rFonts w:asciiTheme="minorHAnsi" w:hAnsiTheme="minorHAnsi"/>
          <w:sz w:val="24"/>
          <w:szCs w:val="24"/>
          <w:lang w:val="en-US"/>
        </w:rPr>
        <w:t>przypuszczalną</w:t>
      </w:r>
      <w:proofErr w:type="spellEnd"/>
      <w:r w:rsidRPr="00F74A16">
        <w:rPr>
          <w:rFonts w:asciiTheme="minorHAnsi" w:hAnsiTheme="minorHAnsi"/>
          <w:sz w:val="24"/>
          <w:szCs w:val="24"/>
          <w:lang w:val="en-US"/>
        </w:rPr>
        <w:t xml:space="preserve"> </w:t>
      </w:r>
      <w:proofErr w:type="spellStart"/>
      <w:r w:rsidRPr="00F74A16">
        <w:rPr>
          <w:rFonts w:asciiTheme="minorHAnsi" w:hAnsiTheme="minorHAnsi"/>
          <w:sz w:val="24"/>
          <w:szCs w:val="24"/>
          <w:lang w:val="en-US"/>
        </w:rPr>
        <w:t>skuteczność</w:t>
      </w:r>
      <w:proofErr w:type="spellEnd"/>
      <w:r w:rsidRPr="00F74A16">
        <w:rPr>
          <w:rFonts w:asciiTheme="minorHAnsi" w:hAnsiTheme="minorHAnsi"/>
          <w:sz w:val="24"/>
          <w:szCs w:val="24"/>
          <w:lang w:val="en-US"/>
        </w:rPr>
        <w:t xml:space="preserve"> </w:t>
      </w:r>
    </w:p>
    <w:p w14:paraId="6FC4AFFF" w14:textId="77777777" w:rsidR="006B496F" w:rsidRPr="00F74A16" w:rsidRDefault="006B496F" w:rsidP="00F74A16">
      <w:pPr>
        <w:pStyle w:val="Akapitzlist"/>
        <w:numPr>
          <w:ilvl w:val="0"/>
          <w:numId w:val="1"/>
        </w:numPr>
        <w:spacing w:after="120" w:line="276" w:lineRule="auto"/>
        <w:contextualSpacing w:val="0"/>
        <w:jc w:val="both"/>
        <w:rPr>
          <w:rFonts w:asciiTheme="minorHAnsi" w:hAnsiTheme="minorHAnsi"/>
          <w:sz w:val="24"/>
          <w:szCs w:val="24"/>
        </w:rPr>
      </w:pPr>
      <w:proofErr w:type="spellStart"/>
      <w:r w:rsidRPr="00F74A16">
        <w:rPr>
          <w:rFonts w:asciiTheme="minorHAnsi" w:hAnsiTheme="minorHAnsi"/>
          <w:sz w:val="24"/>
          <w:szCs w:val="24"/>
          <w:lang w:val="en-US"/>
        </w:rPr>
        <w:t>koszty</w:t>
      </w:r>
      <w:proofErr w:type="spellEnd"/>
      <w:r w:rsidRPr="00F74A16">
        <w:rPr>
          <w:rFonts w:asciiTheme="minorHAnsi" w:hAnsiTheme="minorHAnsi"/>
          <w:sz w:val="24"/>
          <w:szCs w:val="24"/>
          <w:lang w:val="en-US"/>
        </w:rPr>
        <w:t xml:space="preserve"> </w:t>
      </w:r>
      <w:proofErr w:type="spellStart"/>
      <w:r w:rsidRPr="00F74A16">
        <w:rPr>
          <w:rFonts w:asciiTheme="minorHAnsi" w:hAnsiTheme="minorHAnsi"/>
          <w:sz w:val="24"/>
          <w:szCs w:val="24"/>
          <w:lang w:val="en-US"/>
        </w:rPr>
        <w:t>finansowe</w:t>
      </w:r>
      <w:proofErr w:type="spellEnd"/>
    </w:p>
    <w:p w14:paraId="67A0CD95" w14:textId="77777777"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t>Okres prowadzenia zabiegów i ich częstotliwość wiążą się z wybraną metodą i zależą od rozmiarów i lokalizacji populacji</w:t>
      </w:r>
      <w:r w:rsidRPr="00F74A16">
        <w:rPr>
          <w:rStyle w:val="Odwoanieprzypisudolnego"/>
          <w:rFonts w:asciiTheme="minorHAnsi" w:hAnsiTheme="minorHAnsi"/>
          <w:sz w:val="24"/>
          <w:szCs w:val="24"/>
          <w:vertAlign w:val="baseline"/>
        </w:rPr>
        <w:t xml:space="preserve"> </w:t>
      </w:r>
      <w:r w:rsidRPr="00F74A16">
        <w:rPr>
          <w:rStyle w:val="Odwoanieprzypisudolnego"/>
          <w:rFonts w:asciiTheme="minorHAnsi" w:hAnsiTheme="minorHAnsi"/>
          <w:sz w:val="24"/>
          <w:szCs w:val="24"/>
        </w:rPr>
        <w:footnoteReference w:id="3"/>
      </w:r>
      <w:r w:rsidRPr="00F74A16">
        <w:rPr>
          <w:rFonts w:asciiTheme="minorHAnsi" w:hAnsiTheme="minorHAnsi"/>
          <w:sz w:val="24"/>
          <w:szCs w:val="24"/>
        </w:rPr>
        <w:t xml:space="preserve">.  </w:t>
      </w:r>
    </w:p>
    <w:p w14:paraId="1EFBC863" w14:textId="77777777"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b/>
          <w:bCs/>
          <w:sz w:val="24"/>
          <w:szCs w:val="24"/>
        </w:rPr>
        <w:t>W przypadku występowania rdestowca zaleca się</w:t>
      </w:r>
      <w:r w:rsidRPr="00F74A16">
        <w:rPr>
          <w:rFonts w:asciiTheme="minorHAnsi" w:hAnsiTheme="minorHAnsi"/>
          <w:sz w:val="24"/>
          <w:szCs w:val="24"/>
        </w:rPr>
        <w:t>:</w:t>
      </w:r>
    </w:p>
    <w:p w14:paraId="3C435016" w14:textId="77777777" w:rsidR="006B496F" w:rsidRPr="00F74A16" w:rsidRDefault="006B496F" w:rsidP="00F74A16">
      <w:pPr>
        <w:pStyle w:val="Akapitzlist"/>
        <w:numPr>
          <w:ilvl w:val="0"/>
          <w:numId w:val="2"/>
        </w:numPr>
        <w:spacing w:after="120" w:line="276" w:lineRule="auto"/>
        <w:contextualSpacing w:val="0"/>
        <w:jc w:val="both"/>
        <w:rPr>
          <w:rFonts w:asciiTheme="minorHAnsi" w:hAnsiTheme="minorHAnsi"/>
          <w:sz w:val="24"/>
          <w:szCs w:val="24"/>
        </w:rPr>
      </w:pPr>
      <w:r w:rsidRPr="00F74A16">
        <w:rPr>
          <w:rFonts w:asciiTheme="minorHAnsi" w:hAnsiTheme="minorHAnsi"/>
          <w:sz w:val="24"/>
          <w:szCs w:val="24"/>
        </w:rPr>
        <w:t xml:space="preserve">dokładnie określić, jak daleko rozprzestrzeniły się kłącza. Można to zrobić poprzez wykopanie serii próbnych wykopów i dokładne ich zbadanie </w:t>
      </w:r>
    </w:p>
    <w:p w14:paraId="7D6438D3" w14:textId="2586D9D3" w:rsidR="006B496F" w:rsidRPr="00F74A16" w:rsidRDefault="006B496F" w:rsidP="00F74A16">
      <w:pPr>
        <w:pStyle w:val="Akapitzlist"/>
        <w:numPr>
          <w:ilvl w:val="0"/>
          <w:numId w:val="2"/>
        </w:numPr>
        <w:spacing w:after="120" w:line="276" w:lineRule="auto"/>
        <w:contextualSpacing w:val="0"/>
        <w:jc w:val="both"/>
        <w:rPr>
          <w:rFonts w:asciiTheme="minorHAnsi" w:hAnsiTheme="minorHAnsi"/>
          <w:sz w:val="24"/>
          <w:szCs w:val="24"/>
        </w:rPr>
      </w:pPr>
      <w:r w:rsidRPr="00F74A16">
        <w:rPr>
          <w:rFonts w:asciiTheme="minorHAnsi" w:hAnsiTheme="minorHAnsi"/>
          <w:sz w:val="24"/>
          <w:szCs w:val="24"/>
        </w:rPr>
        <w:lastRenderedPageBreak/>
        <w:t xml:space="preserve">wzniesienie ogrodzenia, które będzie wyraźnie widoczne, powinno oznaczać obszar (obszary) występowania gatunku, w tym podziemną sieć kłączy. </w:t>
      </w:r>
      <w:r w:rsidR="000A4295" w:rsidRPr="00F74A16">
        <w:rPr>
          <w:rFonts w:asciiTheme="minorHAnsi" w:hAnsiTheme="minorHAnsi"/>
          <w:sz w:val="24"/>
          <w:szCs w:val="24"/>
        </w:rPr>
        <w:t>Znaki powinny ostrzegać ludzi o występowaniu rdestowca oraz o ryzyku rozprzestrzeniania jego kłączy i fragmentów roślin.</w:t>
      </w:r>
    </w:p>
    <w:p w14:paraId="08E4F8E2" w14:textId="77777777" w:rsidR="006B496F" w:rsidRPr="00F74A16" w:rsidRDefault="006B496F" w:rsidP="00F74A16">
      <w:pPr>
        <w:pStyle w:val="Akapitzlist"/>
        <w:numPr>
          <w:ilvl w:val="0"/>
          <w:numId w:val="2"/>
        </w:numPr>
        <w:spacing w:after="120" w:line="276" w:lineRule="auto"/>
        <w:contextualSpacing w:val="0"/>
        <w:jc w:val="both"/>
        <w:rPr>
          <w:rFonts w:asciiTheme="minorHAnsi" w:hAnsiTheme="minorHAnsi"/>
          <w:sz w:val="24"/>
          <w:szCs w:val="24"/>
        </w:rPr>
      </w:pPr>
      <w:r w:rsidRPr="00F74A16">
        <w:rPr>
          <w:rFonts w:asciiTheme="minorHAnsi" w:hAnsiTheme="minorHAnsi"/>
          <w:sz w:val="24"/>
          <w:szCs w:val="24"/>
        </w:rPr>
        <w:t xml:space="preserve">w przypadku, gdy składowane masy ziemne są zanieczyszczone </w:t>
      </w:r>
      <w:proofErr w:type="spellStart"/>
      <w:r w:rsidRPr="00F74A16">
        <w:rPr>
          <w:rFonts w:asciiTheme="minorHAnsi" w:hAnsiTheme="minorHAnsi"/>
          <w:sz w:val="24"/>
          <w:szCs w:val="24"/>
        </w:rPr>
        <w:t>rdestowcem</w:t>
      </w:r>
      <w:proofErr w:type="spellEnd"/>
      <w:r w:rsidRPr="00F74A16">
        <w:rPr>
          <w:rFonts w:asciiTheme="minorHAnsi" w:hAnsiTheme="minorHAnsi"/>
          <w:sz w:val="24"/>
          <w:szCs w:val="24"/>
        </w:rPr>
        <w:t xml:space="preserve">, należy je również opatrzyć odpowiednimi znakami i odizolować ogrodzeniem, </w:t>
      </w:r>
    </w:p>
    <w:p w14:paraId="532C9DE3" w14:textId="77777777" w:rsidR="006B496F" w:rsidRPr="00F74A16" w:rsidRDefault="006B496F" w:rsidP="00F74A16">
      <w:pPr>
        <w:pStyle w:val="Akapitzlist"/>
        <w:numPr>
          <w:ilvl w:val="0"/>
          <w:numId w:val="2"/>
        </w:numPr>
        <w:spacing w:after="120" w:line="276" w:lineRule="auto"/>
        <w:contextualSpacing w:val="0"/>
        <w:jc w:val="both"/>
        <w:rPr>
          <w:rFonts w:asciiTheme="minorHAnsi" w:hAnsiTheme="minorHAnsi"/>
          <w:sz w:val="24"/>
          <w:szCs w:val="24"/>
        </w:rPr>
      </w:pPr>
      <w:r w:rsidRPr="00F74A16">
        <w:rPr>
          <w:rFonts w:asciiTheme="minorHAnsi" w:hAnsiTheme="minorHAnsi"/>
          <w:sz w:val="24"/>
          <w:szCs w:val="24"/>
        </w:rPr>
        <w:t>unikanie korzystania z pojazdów gąsienicowych na obszarze występowania gatunku</w:t>
      </w:r>
      <w:r w:rsidRPr="00F74A16">
        <w:rPr>
          <w:rStyle w:val="Odwoanieprzypisudolnego"/>
          <w:rFonts w:asciiTheme="minorHAnsi" w:hAnsiTheme="minorHAnsi"/>
          <w:sz w:val="24"/>
          <w:szCs w:val="24"/>
        </w:rPr>
        <w:footnoteReference w:id="4"/>
      </w:r>
    </w:p>
    <w:p w14:paraId="3AA74E3C" w14:textId="3179EF5A" w:rsidR="006B496F" w:rsidRPr="00F74A16" w:rsidRDefault="006B496F" w:rsidP="00F74A16">
      <w:pPr>
        <w:pStyle w:val="Akapitzlist"/>
        <w:numPr>
          <w:ilvl w:val="0"/>
          <w:numId w:val="2"/>
        </w:numPr>
        <w:spacing w:after="120" w:line="276" w:lineRule="auto"/>
        <w:contextualSpacing w:val="0"/>
        <w:jc w:val="both"/>
        <w:rPr>
          <w:rFonts w:asciiTheme="minorHAnsi" w:hAnsiTheme="minorHAnsi"/>
          <w:sz w:val="24"/>
          <w:szCs w:val="24"/>
        </w:rPr>
      </w:pPr>
      <w:r w:rsidRPr="00F74A16">
        <w:rPr>
          <w:rFonts w:asciiTheme="minorHAnsi" w:hAnsiTheme="minorHAnsi"/>
          <w:sz w:val="24"/>
          <w:szCs w:val="24"/>
        </w:rPr>
        <w:t>masy ziemne nie powinny być przemieszczane z obszarów oznaczonych jako skupiska roślin inwazyjnych, z wyjątkiem przemieszczania w celu utylizacji. Gleba z miejsca występowania rdestowca zawierająca nasiona i kłącza tego rodzaju powinna zostać przekazana do utylizacji.</w:t>
      </w:r>
    </w:p>
    <w:p w14:paraId="069C776A" w14:textId="108F6A74" w:rsidR="00223A26" w:rsidRPr="00F74A16" w:rsidRDefault="00835417" w:rsidP="00F74A16">
      <w:pPr>
        <w:pStyle w:val="Akapitzlist"/>
        <w:numPr>
          <w:ilvl w:val="0"/>
          <w:numId w:val="2"/>
        </w:numPr>
        <w:spacing w:after="120" w:line="276" w:lineRule="auto"/>
        <w:contextualSpacing w:val="0"/>
        <w:jc w:val="both"/>
        <w:rPr>
          <w:rFonts w:asciiTheme="minorHAnsi" w:hAnsiTheme="minorHAnsi"/>
          <w:sz w:val="24"/>
          <w:szCs w:val="24"/>
        </w:rPr>
      </w:pPr>
      <w:r w:rsidRPr="00F74A16">
        <w:rPr>
          <w:rFonts w:asciiTheme="minorHAnsi" w:hAnsiTheme="minorHAnsi"/>
          <w:sz w:val="24"/>
          <w:szCs w:val="24"/>
        </w:rPr>
        <w:t xml:space="preserve">ze względu na udokumentowaną ograniczoną skuteczność wyłącznego stosowania metod mechanicznych w zwalczaniu </w:t>
      </w:r>
      <w:proofErr w:type="spellStart"/>
      <w:r w:rsidRPr="00F74A16">
        <w:rPr>
          <w:rFonts w:asciiTheme="minorHAnsi" w:hAnsiTheme="minorHAnsi"/>
          <w:sz w:val="24"/>
          <w:szCs w:val="24"/>
        </w:rPr>
        <w:t>rdestowców</w:t>
      </w:r>
      <w:proofErr w:type="spellEnd"/>
      <w:r w:rsidRPr="00F74A16">
        <w:rPr>
          <w:rFonts w:asciiTheme="minorHAnsi" w:hAnsiTheme="minorHAnsi"/>
          <w:sz w:val="24"/>
          <w:szCs w:val="24"/>
        </w:rPr>
        <w:t xml:space="preserve"> zaleca się rozważenie </w:t>
      </w:r>
      <w:r w:rsidR="000A4295" w:rsidRPr="00F74A16">
        <w:rPr>
          <w:rFonts w:asciiTheme="minorHAnsi" w:hAnsiTheme="minorHAnsi"/>
          <w:sz w:val="24"/>
          <w:szCs w:val="24"/>
        </w:rPr>
        <w:t>zastosowania</w:t>
      </w:r>
      <w:r w:rsidRPr="00F74A16">
        <w:rPr>
          <w:rFonts w:asciiTheme="minorHAnsi" w:hAnsiTheme="minorHAnsi"/>
          <w:sz w:val="24"/>
          <w:szCs w:val="24"/>
        </w:rPr>
        <w:t xml:space="preserve"> jako elementu zintegrowanej metody zwalczania, selektywnych zabiegów chemicznych — wyłącznie z użyciem środka dopuszczonego do obrotu i stosowania w Polsce, zgodnie z jego aktualną etykietą, w szczególności zakresem zastosowania, dawkowaniem, warunkami wykonywania zabiegu oraz wymaganymi odległościami od wód i innych obiektów chronionych. Przed wykonaniem zabiegu należy sprawdzić, czy teren nie znajduje się w strefie ochronnej ujęcia wody, na obszarze objętym szczególnymi formami ochrony przyrody lub innymi ograniczeniami prawnymi. W przypadku braku możliwości legalnego i bezpiecznego zastosowania środków chemicznych należy stosować długotrwałe, zintegrowane działania mechaniczne i prowadzić systematyczny monitoring odrostów.</w:t>
      </w:r>
    </w:p>
    <w:p w14:paraId="5D1D27EE" w14:textId="11BACC97" w:rsidR="006B496F" w:rsidRPr="00F74A16" w:rsidRDefault="006B496F" w:rsidP="00F74A16">
      <w:pPr>
        <w:spacing w:after="120" w:line="276" w:lineRule="auto"/>
        <w:jc w:val="both"/>
        <w:rPr>
          <w:rFonts w:asciiTheme="minorHAnsi" w:hAnsiTheme="minorHAnsi"/>
          <w:b/>
          <w:bCs/>
          <w:sz w:val="24"/>
          <w:szCs w:val="24"/>
        </w:rPr>
      </w:pPr>
      <w:r w:rsidRPr="00F74A16">
        <w:rPr>
          <w:rFonts w:asciiTheme="minorHAnsi" w:hAnsiTheme="minorHAnsi"/>
          <w:b/>
          <w:bCs/>
          <w:sz w:val="24"/>
          <w:szCs w:val="24"/>
        </w:rPr>
        <w:t>Zalecenia odnośnie do zagospodarowania biomasy podano w rozdziale 3.</w:t>
      </w:r>
    </w:p>
    <w:p w14:paraId="7B4A4E12" w14:textId="38AF8B24" w:rsidR="006B496F" w:rsidRPr="00F74A16" w:rsidRDefault="006B496F" w:rsidP="006B496F">
      <w:pPr>
        <w:pStyle w:val="Nagwek2"/>
      </w:pPr>
      <w:bookmarkStart w:id="4" w:name="_Toc239940799"/>
      <w:bookmarkEnd w:id="3"/>
      <w:r w:rsidRPr="00F74A16">
        <w:t>2.2. Róża pomarszczona (</w:t>
      </w:r>
      <w:r w:rsidRPr="00F74A16">
        <w:rPr>
          <w:i/>
          <w:iCs/>
        </w:rPr>
        <w:t xml:space="preserve">Rosa </w:t>
      </w:r>
      <w:proofErr w:type="spellStart"/>
      <w:r w:rsidRPr="00F74A16">
        <w:rPr>
          <w:i/>
          <w:iCs/>
        </w:rPr>
        <w:t>rugosa</w:t>
      </w:r>
      <w:proofErr w:type="spellEnd"/>
      <w:r w:rsidRPr="00F74A16">
        <w:t>)</w:t>
      </w:r>
      <w:bookmarkEnd w:id="4"/>
    </w:p>
    <w:p w14:paraId="0A9FE7A0" w14:textId="77777777" w:rsidR="006B496F" w:rsidRPr="00F74A16" w:rsidRDefault="006B496F" w:rsidP="00F74A16">
      <w:pPr>
        <w:spacing w:after="120" w:line="276" w:lineRule="auto"/>
        <w:rPr>
          <w:rFonts w:asciiTheme="minorHAnsi" w:hAnsiTheme="minorHAnsi"/>
          <w:b/>
          <w:bCs/>
          <w:sz w:val="24"/>
          <w:szCs w:val="24"/>
        </w:rPr>
      </w:pPr>
      <w:r w:rsidRPr="00F74A16">
        <w:rPr>
          <w:rFonts w:asciiTheme="minorHAnsi" w:hAnsiTheme="minorHAnsi"/>
          <w:b/>
          <w:bCs/>
          <w:sz w:val="24"/>
          <w:szCs w:val="24"/>
        </w:rPr>
        <w:t>Charakterystyka gatunku</w:t>
      </w:r>
    </w:p>
    <w:p w14:paraId="3385ABC9" w14:textId="0DB4C942"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t xml:space="preserve">Róża pomarszczona to krzew o wyprostowanych, pokrytych kolcami pędach i intensywnie pachnących kwiatach. Rozmnaża się przede wszystkim za pomocą podziemnych pędów (rozłogów), jak również za pomocą nasion znajdujących się w mięsistych owocach. Nasiona rozprzestrzeniane są przez wodę (owoce mogą być unoszone przez wodę nawet przez 40 tygodni) oraz ptaki. </w:t>
      </w:r>
    </w:p>
    <w:p w14:paraId="2A1BFC83" w14:textId="77777777"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lastRenderedPageBreak/>
        <w:t>Preferuje miejsca nasłonecznione oraz gleby piaszczyste, świeże lub suche. Wytrzymały na zanieczyszczenia powietrza, zasolenie, suszę oraz mróz. Róża pomarszczona tworzy zwarte kępy, które silnie zacieniają podłoże i ograniczają rozwój rodzimej roślinności. W szybkim tempie potrafi opanować wydmy nadmorskie, stanowiąc tam zagrożenie zarówno dla rodzimych gatunków roślin, np. wierzby piaskowej, rokitnika zwyczajnego, jak i owadów, które związane są z tym siedliskiem. Może krzyżować się z rodzimymi gatunkami róż. Trudna do usunięcia.</w:t>
      </w:r>
    </w:p>
    <w:p w14:paraId="0EB2F3CD" w14:textId="77777777"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t xml:space="preserve">Stanowi szczególne zagrożenie dla wydm i solnisk nadmorskich oraz wydm śródlądowych i muraw kserotermicznych. </w:t>
      </w:r>
    </w:p>
    <w:p w14:paraId="023FBA85" w14:textId="77777777" w:rsidR="006B496F" w:rsidRPr="00F74A16" w:rsidRDefault="006B496F" w:rsidP="00F74A16">
      <w:pPr>
        <w:spacing w:after="120" w:line="276" w:lineRule="auto"/>
        <w:jc w:val="both"/>
        <w:rPr>
          <w:rFonts w:asciiTheme="minorHAnsi" w:hAnsiTheme="minorHAnsi"/>
          <w:sz w:val="24"/>
          <w:szCs w:val="24"/>
        </w:rPr>
      </w:pPr>
      <w:r w:rsidRPr="00F74A16">
        <w:rPr>
          <w:rFonts w:asciiTheme="minorHAnsi" w:hAnsiTheme="minorHAnsi"/>
          <w:sz w:val="24"/>
          <w:szCs w:val="24"/>
        </w:rPr>
        <w:t xml:space="preserve">We wtórnym zasięgu róża pomarszczona występuje na bardziej zróżnicowanych siedliskach: na różnych typach wydm, kamienistych plażach, klifach, murawach </w:t>
      </w:r>
      <w:proofErr w:type="spellStart"/>
      <w:r w:rsidRPr="00F74A16">
        <w:rPr>
          <w:rFonts w:asciiTheme="minorHAnsi" w:hAnsiTheme="minorHAnsi"/>
          <w:sz w:val="24"/>
          <w:szCs w:val="24"/>
        </w:rPr>
        <w:t>napiaskowych</w:t>
      </w:r>
      <w:proofErr w:type="spellEnd"/>
      <w:r w:rsidRPr="00F74A16">
        <w:rPr>
          <w:rFonts w:asciiTheme="minorHAnsi" w:hAnsiTheme="minorHAnsi"/>
          <w:sz w:val="24"/>
          <w:szCs w:val="24"/>
        </w:rPr>
        <w:t>, obrzeżach lasów, a także wzdłuż dróg i torów kolejowych, na składowiskach odpadów i w innych siedliskach antropogenicznych</w:t>
      </w:r>
      <w:r w:rsidRPr="00F74A16">
        <w:rPr>
          <w:rStyle w:val="Odwoanieprzypisudolnego"/>
          <w:rFonts w:asciiTheme="minorHAnsi" w:hAnsiTheme="minorHAnsi"/>
          <w:sz w:val="24"/>
          <w:szCs w:val="24"/>
        </w:rPr>
        <w:footnoteReference w:id="5"/>
      </w:r>
      <w:r w:rsidRPr="00F74A16">
        <w:rPr>
          <w:rFonts w:asciiTheme="minorHAnsi" w:hAnsiTheme="minorHAnsi"/>
          <w:sz w:val="24"/>
          <w:szCs w:val="24"/>
        </w:rPr>
        <w:t xml:space="preserve">. </w:t>
      </w:r>
    </w:p>
    <w:p w14:paraId="650A3BA0" w14:textId="77777777" w:rsidR="006B496F" w:rsidRPr="00F9646B" w:rsidRDefault="006B496F" w:rsidP="006B496F">
      <w:bookmarkStart w:id="5" w:name="_Hlk163732722"/>
      <w:r w:rsidRPr="00F9646B">
        <w:rPr>
          <w:noProof/>
        </w:rPr>
        <w:lastRenderedPageBreak/>
        <w:drawing>
          <wp:inline distT="0" distB="0" distL="0" distR="0" wp14:anchorId="5F838037" wp14:editId="6DF856C5">
            <wp:extent cx="5629275" cy="7000509"/>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34196" cy="7006629"/>
                    </a:xfrm>
                    <a:prstGeom prst="rect">
                      <a:avLst/>
                    </a:prstGeom>
                  </pic:spPr>
                </pic:pic>
              </a:graphicData>
            </a:graphic>
          </wp:inline>
        </w:drawing>
      </w:r>
    </w:p>
    <w:p w14:paraId="549E4DD4" w14:textId="77777777" w:rsidR="006B496F" w:rsidRPr="00F9646B" w:rsidRDefault="006B496F" w:rsidP="006B496F">
      <w:pPr>
        <w:rPr>
          <w:lang w:val="en-US"/>
        </w:rPr>
      </w:pPr>
      <w:r w:rsidRPr="00F9646B">
        <w:rPr>
          <w:noProof/>
          <w:lang w:val="en-US"/>
        </w:rPr>
        <w:lastRenderedPageBreak/>
        <w:drawing>
          <wp:inline distT="0" distB="0" distL="0" distR="0" wp14:anchorId="2860B50E" wp14:editId="0DB2CB71">
            <wp:extent cx="5667375" cy="6779895"/>
            <wp:effectExtent l="0" t="0" r="9525" b="1905"/>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72841" cy="6786434"/>
                    </a:xfrm>
                    <a:prstGeom prst="rect">
                      <a:avLst/>
                    </a:prstGeom>
                  </pic:spPr>
                </pic:pic>
              </a:graphicData>
            </a:graphic>
          </wp:inline>
        </w:drawing>
      </w:r>
    </w:p>
    <w:p w14:paraId="581C9CA6" w14:textId="77777777" w:rsidR="006B496F" w:rsidRPr="00F9646B" w:rsidRDefault="006B496F" w:rsidP="009E1A5F">
      <w:pPr>
        <w:spacing w:after="0"/>
      </w:pPr>
      <w:r w:rsidRPr="00F9646B">
        <w:rPr>
          <w:noProof/>
        </w:rPr>
        <w:lastRenderedPageBreak/>
        <w:drawing>
          <wp:inline distT="0" distB="0" distL="0" distR="0" wp14:anchorId="4ACECBA4" wp14:editId="11D5C05B">
            <wp:extent cx="5659859" cy="40671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66502" cy="4071949"/>
                    </a:xfrm>
                    <a:prstGeom prst="rect">
                      <a:avLst/>
                    </a:prstGeom>
                  </pic:spPr>
                </pic:pic>
              </a:graphicData>
            </a:graphic>
          </wp:inline>
        </w:drawing>
      </w:r>
    </w:p>
    <w:p w14:paraId="5CB275F4" w14:textId="77777777" w:rsidR="006B496F" w:rsidRPr="009E1A5F" w:rsidRDefault="006B496F" w:rsidP="009E1A5F">
      <w:pPr>
        <w:jc w:val="center"/>
        <w:rPr>
          <w:rFonts w:asciiTheme="minorHAnsi" w:hAnsiTheme="minorHAnsi"/>
          <w:sz w:val="18"/>
          <w:szCs w:val="18"/>
          <w:lang w:val="en-US"/>
        </w:rPr>
      </w:pPr>
      <w:r w:rsidRPr="009E1A5F">
        <w:rPr>
          <w:rFonts w:asciiTheme="minorHAnsi" w:hAnsiTheme="minorHAnsi"/>
          <w:sz w:val="18"/>
          <w:szCs w:val="18"/>
          <w:lang w:val="en-US"/>
        </w:rPr>
        <w:t xml:space="preserve">GDOŚ Guidelines 2016. Autor </w:t>
      </w:r>
      <w:proofErr w:type="spellStart"/>
      <w:r w:rsidRPr="009E1A5F">
        <w:rPr>
          <w:rFonts w:asciiTheme="minorHAnsi" w:hAnsiTheme="minorHAnsi"/>
          <w:sz w:val="18"/>
          <w:szCs w:val="18"/>
          <w:lang w:val="en-US"/>
        </w:rPr>
        <w:t>fot</w:t>
      </w:r>
      <w:proofErr w:type="spellEnd"/>
      <w:r w:rsidRPr="009E1A5F">
        <w:rPr>
          <w:rFonts w:asciiTheme="minorHAnsi" w:hAnsiTheme="minorHAnsi"/>
          <w:sz w:val="18"/>
          <w:szCs w:val="18"/>
          <w:lang w:val="en-US"/>
        </w:rPr>
        <w:t>.: B. Rohm</w:t>
      </w:r>
    </w:p>
    <w:p w14:paraId="4563EFD3" w14:textId="77777777" w:rsidR="006B496F" w:rsidRPr="009E1A5F" w:rsidRDefault="006B496F" w:rsidP="009E1A5F">
      <w:pPr>
        <w:spacing w:after="120" w:line="276" w:lineRule="auto"/>
        <w:jc w:val="both"/>
        <w:rPr>
          <w:rFonts w:asciiTheme="minorHAnsi" w:hAnsiTheme="minorHAnsi"/>
          <w:b/>
          <w:bCs/>
          <w:sz w:val="24"/>
          <w:szCs w:val="24"/>
        </w:rPr>
      </w:pPr>
      <w:r w:rsidRPr="009E1A5F">
        <w:rPr>
          <w:rFonts w:asciiTheme="minorHAnsi" w:hAnsiTheme="minorHAnsi"/>
          <w:b/>
          <w:bCs/>
          <w:sz w:val="24"/>
          <w:szCs w:val="24"/>
        </w:rPr>
        <w:t>Działania służące eliminacji</w:t>
      </w:r>
    </w:p>
    <w:bookmarkEnd w:id="5"/>
    <w:p w14:paraId="25F457DB" w14:textId="77777777" w:rsidR="006B496F" w:rsidRPr="009E1A5F" w:rsidRDefault="006B496F" w:rsidP="009E1A5F">
      <w:pPr>
        <w:pStyle w:val="Akapitzlist"/>
        <w:numPr>
          <w:ilvl w:val="0"/>
          <w:numId w:val="4"/>
        </w:numPr>
        <w:spacing w:after="120" w:line="276" w:lineRule="auto"/>
        <w:contextualSpacing w:val="0"/>
        <w:jc w:val="both"/>
        <w:rPr>
          <w:rFonts w:asciiTheme="minorHAnsi" w:hAnsiTheme="minorHAnsi"/>
          <w:sz w:val="24"/>
          <w:szCs w:val="24"/>
        </w:rPr>
      </w:pPr>
      <w:r w:rsidRPr="009E1A5F">
        <w:rPr>
          <w:rFonts w:asciiTheme="minorHAnsi" w:hAnsiTheme="minorHAnsi"/>
          <w:sz w:val="24"/>
          <w:szCs w:val="24"/>
        </w:rPr>
        <w:t>Koszenie ogranicza jej rozwój, jeśli jest powtarzane (jednorazowe odmładza zarośla). Po usunięciu organów nadziemnych, łatwo odrasta, często tworząc bardziej zwarte zarośla.</w:t>
      </w:r>
    </w:p>
    <w:p w14:paraId="29DB3D1C" w14:textId="77777777" w:rsidR="006B496F" w:rsidRPr="009E1A5F" w:rsidRDefault="006B496F" w:rsidP="009E1A5F">
      <w:pPr>
        <w:pStyle w:val="Akapitzlist"/>
        <w:numPr>
          <w:ilvl w:val="0"/>
          <w:numId w:val="4"/>
        </w:numPr>
        <w:spacing w:after="120" w:line="276" w:lineRule="auto"/>
        <w:contextualSpacing w:val="0"/>
        <w:jc w:val="both"/>
        <w:rPr>
          <w:rFonts w:asciiTheme="minorHAnsi" w:hAnsiTheme="minorHAnsi"/>
          <w:sz w:val="24"/>
          <w:szCs w:val="24"/>
        </w:rPr>
      </w:pPr>
      <w:r w:rsidRPr="009E1A5F">
        <w:rPr>
          <w:rFonts w:asciiTheme="minorHAnsi" w:hAnsiTheme="minorHAnsi"/>
          <w:sz w:val="24"/>
          <w:szCs w:val="24"/>
        </w:rPr>
        <w:t>wykopywanie młodych roślin pozostawienie nawet fragmentów korzeni może spowodować pojawienie się nowych odrostów).</w:t>
      </w:r>
    </w:p>
    <w:p w14:paraId="5AC418C3" w14:textId="77777777" w:rsidR="006B496F" w:rsidRPr="009E1A5F" w:rsidRDefault="006B496F" w:rsidP="009E1A5F">
      <w:pPr>
        <w:pStyle w:val="Akapitzlist"/>
        <w:numPr>
          <w:ilvl w:val="0"/>
          <w:numId w:val="4"/>
        </w:numPr>
        <w:spacing w:after="120" w:line="276" w:lineRule="auto"/>
        <w:contextualSpacing w:val="0"/>
        <w:jc w:val="both"/>
        <w:rPr>
          <w:rFonts w:asciiTheme="minorHAnsi" w:hAnsiTheme="minorHAnsi"/>
          <w:sz w:val="24"/>
          <w:szCs w:val="24"/>
        </w:rPr>
      </w:pPr>
      <w:r w:rsidRPr="009E1A5F">
        <w:rPr>
          <w:rFonts w:asciiTheme="minorHAnsi" w:hAnsiTheme="minorHAnsi"/>
          <w:sz w:val="24"/>
          <w:szCs w:val="24"/>
        </w:rPr>
        <w:t xml:space="preserve">W ostateczności chemiczne zwalczanie rośliny na terenach, w których dopuszczalne jest stosowanie herbicydów. Rośliny wraz z organami podziemnymi niszczy zastosowanie herbicydów zawierających </w:t>
      </w:r>
      <w:proofErr w:type="spellStart"/>
      <w:r w:rsidRPr="009E1A5F">
        <w:rPr>
          <w:rFonts w:asciiTheme="minorHAnsi" w:hAnsiTheme="minorHAnsi"/>
          <w:sz w:val="24"/>
          <w:szCs w:val="24"/>
        </w:rPr>
        <w:t>glifosat</w:t>
      </w:r>
      <w:proofErr w:type="spellEnd"/>
      <w:r w:rsidRPr="009E1A5F">
        <w:rPr>
          <w:rFonts w:asciiTheme="minorHAnsi" w:hAnsiTheme="minorHAnsi"/>
          <w:sz w:val="24"/>
          <w:szCs w:val="24"/>
        </w:rPr>
        <w:t>, najlepiej w sierpniu</w:t>
      </w:r>
      <w:r w:rsidRPr="009E1A5F">
        <w:rPr>
          <w:rStyle w:val="Odwoanieprzypisudolnego"/>
          <w:rFonts w:asciiTheme="minorHAnsi" w:hAnsiTheme="minorHAnsi"/>
          <w:b/>
          <w:bCs/>
          <w:sz w:val="24"/>
          <w:szCs w:val="24"/>
        </w:rPr>
        <w:footnoteReference w:id="6"/>
      </w:r>
      <w:r w:rsidRPr="009E1A5F">
        <w:rPr>
          <w:rFonts w:asciiTheme="minorHAnsi" w:hAnsiTheme="minorHAnsi"/>
          <w:sz w:val="24"/>
          <w:szCs w:val="24"/>
        </w:rPr>
        <w:t>.</w:t>
      </w:r>
    </w:p>
    <w:p w14:paraId="2FF6D685" w14:textId="77777777" w:rsidR="006B496F" w:rsidRPr="009E1A5F" w:rsidRDefault="006B496F" w:rsidP="009E1A5F">
      <w:pPr>
        <w:pStyle w:val="Akapitzlist"/>
        <w:numPr>
          <w:ilvl w:val="0"/>
          <w:numId w:val="4"/>
        </w:numPr>
        <w:spacing w:after="120" w:line="276" w:lineRule="auto"/>
        <w:contextualSpacing w:val="0"/>
        <w:jc w:val="both"/>
        <w:rPr>
          <w:rFonts w:asciiTheme="minorHAnsi" w:hAnsiTheme="minorHAnsi"/>
          <w:sz w:val="24"/>
          <w:szCs w:val="24"/>
        </w:rPr>
      </w:pPr>
      <w:r w:rsidRPr="009E1A5F">
        <w:rPr>
          <w:rFonts w:asciiTheme="minorHAnsi" w:hAnsiTheme="minorHAnsi"/>
          <w:sz w:val="24"/>
          <w:szCs w:val="24"/>
        </w:rPr>
        <w:t xml:space="preserve">Zwalczanie ściętych lub skoszonych roślin za pomocą </w:t>
      </w:r>
      <w:proofErr w:type="spellStart"/>
      <w:r w:rsidRPr="009E1A5F">
        <w:rPr>
          <w:rFonts w:asciiTheme="minorHAnsi" w:hAnsiTheme="minorHAnsi"/>
          <w:sz w:val="24"/>
          <w:szCs w:val="24"/>
        </w:rPr>
        <w:t>glifosatu</w:t>
      </w:r>
      <w:proofErr w:type="spellEnd"/>
      <w:r w:rsidRPr="009E1A5F">
        <w:rPr>
          <w:rFonts w:asciiTheme="minorHAnsi" w:hAnsiTheme="minorHAnsi"/>
          <w:sz w:val="24"/>
          <w:szCs w:val="24"/>
        </w:rPr>
        <w:t xml:space="preserve"> okazuje się skuteczne, jeśli jest powtarzane, przy użyciu pędzla lub mazacza do chwastów na małych obszarach lub opryskiwaczy plecakowych lub ciągnikowych na większych obszarach. Nawet jeśli cała tkanka nadziemna zostanie zniszczona, energiczny wzrost pędów często pojawia się ponownie w następnym roku, wymagając </w:t>
      </w:r>
      <w:r w:rsidRPr="009E1A5F">
        <w:rPr>
          <w:rFonts w:asciiTheme="minorHAnsi" w:hAnsiTheme="minorHAnsi"/>
          <w:sz w:val="24"/>
          <w:szCs w:val="24"/>
        </w:rPr>
        <w:lastRenderedPageBreak/>
        <w:t xml:space="preserve">dalszego zwalczania, chociaż uważa się, że </w:t>
      </w:r>
      <w:proofErr w:type="spellStart"/>
      <w:r w:rsidRPr="009E1A5F">
        <w:rPr>
          <w:rFonts w:asciiTheme="minorHAnsi" w:hAnsiTheme="minorHAnsi"/>
          <w:sz w:val="24"/>
          <w:szCs w:val="24"/>
        </w:rPr>
        <w:t>glifosat</w:t>
      </w:r>
      <w:proofErr w:type="spellEnd"/>
      <w:r w:rsidRPr="009E1A5F">
        <w:rPr>
          <w:rFonts w:asciiTheme="minorHAnsi" w:hAnsiTheme="minorHAnsi"/>
          <w:sz w:val="24"/>
          <w:szCs w:val="24"/>
        </w:rPr>
        <w:t xml:space="preserve"> zastosowany w sierpniu uszkadza również kłącza i korzenie (</w:t>
      </w:r>
      <w:proofErr w:type="spellStart"/>
      <w:r w:rsidRPr="009E1A5F">
        <w:rPr>
          <w:rFonts w:asciiTheme="minorHAnsi" w:hAnsiTheme="minorHAnsi"/>
          <w:i/>
          <w:iCs/>
          <w:sz w:val="24"/>
          <w:szCs w:val="24"/>
        </w:rPr>
        <w:t>Bruun</w:t>
      </w:r>
      <w:proofErr w:type="spellEnd"/>
      <w:r w:rsidRPr="009E1A5F">
        <w:rPr>
          <w:rFonts w:asciiTheme="minorHAnsi" w:hAnsiTheme="minorHAnsi"/>
          <w:i/>
          <w:iCs/>
          <w:sz w:val="24"/>
          <w:szCs w:val="24"/>
        </w:rPr>
        <w:t>, 2005</w:t>
      </w:r>
      <w:r w:rsidRPr="009E1A5F">
        <w:rPr>
          <w:rFonts w:asciiTheme="minorHAnsi" w:hAnsiTheme="minorHAnsi"/>
          <w:sz w:val="24"/>
          <w:szCs w:val="24"/>
        </w:rPr>
        <w:t>)</w:t>
      </w:r>
      <w:r w:rsidRPr="009E1A5F">
        <w:rPr>
          <w:rStyle w:val="Odwoanieprzypisudolnego"/>
          <w:rFonts w:asciiTheme="minorHAnsi" w:hAnsiTheme="minorHAnsi"/>
          <w:sz w:val="24"/>
          <w:szCs w:val="24"/>
        </w:rPr>
        <w:footnoteReference w:id="7"/>
      </w:r>
    </w:p>
    <w:p w14:paraId="00AF96A2" w14:textId="3B78AA37" w:rsidR="00651F3F" w:rsidRPr="009E1A5F" w:rsidRDefault="006B496F" w:rsidP="009E1A5F">
      <w:pPr>
        <w:spacing w:after="120" w:line="276" w:lineRule="auto"/>
        <w:jc w:val="both"/>
        <w:rPr>
          <w:rFonts w:asciiTheme="minorHAnsi" w:hAnsiTheme="minorHAnsi"/>
          <w:b/>
          <w:bCs/>
          <w:sz w:val="24"/>
          <w:szCs w:val="24"/>
        </w:rPr>
      </w:pPr>
      <w:r w:rsidRPr="009E1A5F">
        <w:rPr>
          <w:rFonts w:asciiTheme="minorHAnsi" w:hAnsiTheme="minorHAnsi"/>
          <w:b/>
          <w:bCs/>
          <w:sz w:val="24"/>
          <w:szCs w:val="24"/>
        </w:rPr>
        <w:t xml:space="preserve">Zalecenia </w:t>
      </w:r>
      <w:r w:rsidR="00651F3F" w:rsidRPr="009E1A5F">
        <w:rPr>
          <w:rFonts w:asciiTheme="minorHAnsi" w:hAnsiTheme="minorHAnsi"/>
          <w:b/>
          <w:bCs/>
          <w:sz w:val="24"/>
          <w:szCs w:val="24"/>
        </w:rPr>
        <w:t>odnośnie do</w:t>
      </w:r>
      <w:r w:rsidRPr="009E1A5F">
        <w:rPr>
          <w:rFonts w:asciiTheme="minorHAnsi" w:hAnsiTheme="minorHAnsi"/>
          <w:b/>
          <w:bCs/>
          <w:sz w:val="24"/>
          <w:szCs w:val="24"/>
        </w:rPr>
        <w:t xml:space="preserve"> zagospodarowania biomasy podano w rozdziale 3.</w:t>
      </w:r>
    </w:p>
    <w:p w14:paraId="1E629E9D" w14:textId="77777777" w:rsidR="00651F3F" w:rsidRPr="00F9646B" w:rsidRDefault="00651F3F" w:rsidP="006B496F">
      <w:pPr>
        <w:spacing w:before="240"/>
        <w:rPr>
          <w:b/>
          <w:bCs/>
        </w:rPr>
      </w:pPr>
    </w:p>
    <w:p w14:paraId="778E857F" w14:textId="0D526090" w:rsidR="006B496F" w:rsidRDefault="00651F3F" w:rsidP="00651F3F">
      <w:pPr>
        <w:pStyle w:val="Nagwek2"/>
      </w:pPr>
      <w:bookmarkStart w:id="6" w:name="_Toc239940800"/>
      <w:r>
        <w:t>2.3. Niecierpek gruczołowaty (</w:t>
      </w:r>
      <w:proofErr w:type="spellStart"/>
      <w:r>
        <w:rPr>
          <w:i/>
          <w:iCs/>
        </w:rPr>
        <w:t>Impatiens</w:t>
      </w:r>
      <w:proofErr w:type="spellEnd"/>
      <w:r>
        <w:rPr>
          <w:i/>
          <w:iCs/>
        </w:rPr>
        <w:t xml:space="preserve"> </w:t>
      </w:r>
      <w:proofErr w:type="spellStart"/>
      <w:r>
        <w:rPr>
          <w:i/>
          <w:iCs/>
        </w:rPr>
        <w:t>glandulifera</w:t>
      </w:r>
      <w:proofErr w:type="spellEnd"/>
      <w:r>
        <w:rPr>
          <w:i/>
          <w:iCs/>
        </w:rPr>
        <w:t>)</w:t>
      </w:r>
      <w:bookmarkEnd w:id="6"/>
    </w:p>
    <w:p w14:paraId="3C3027EE" w14:textId="77777777" w:rsidR="00651F3F" w:rsidRPr="009E1A5F" w:rsidRDefault="00651F3F" w:rsidP="009E1A5F">
      <w:pPr>
        <w:spacing w:after="120" w:line="276" w:lineRule="auto"/>
        <w:rPr>
          <w:rFonts w:asciiTheme="minorHAnsi" w:hAnsiTheme="minorHAnsi"/>
          <w:b/>
          <w:bCs/>
          <w:sz w:val="24"/>
          <w:szCs w:val="24"/>
        </w:rPr>
      </w:pPr>
      <w:r w:rsidRPr="009E1A5F">
        <w:rPr>
          <w:rFonts w:asciiTheme="minorHAnsi" w:hAnsiTheme="minorHAnsi"/>
          <w:b/>
          <w:bCs/>
          <w:sz w:val="24"/>
          <w:szCs w:val="24"/>
        </w:rPr>
        <w:t>Charakterystyka gatunku</w:t>
      </w:r>
    </w:p>
    <w:p w14:paraId="1E78AA35" w14:textId="77777777" w:rsidR="00651F3F" w:rsidRPr="009E1A5F" w:rsidRDefault="00651F3F" w:rsidP="009E1A5F">
      <w:pPr>
        <w:spacing w:after="120" w:line="276" w:lineRule="auto"/>
        <w:jc w:val="both"/>
        <w:rPr>
          <w:rFonts w:asciiTheme="minorHAnsi" w:hAnsiTheme="minorHAnsi"/>
          <w:sz w:val="24"/>
          <w:szCs w:val="24"/>
        </w:rPr>
      </w:pPr>
      <w:bookmarkStart w:id="7" w:name="_Hlk163733633"/>
      <w:r w:rsidRPr="009E1A5F">
        <w:rPr>
          <w:rFonts w:asciiTheme="minorHAnsi" w:hAnsiTheme="minorHAnsi"/>
          <w:sz w:val="24"/>
          <w:szCs w:val="24"/>
        </w:rPr>
        <w:t xml:space="preserve">Niecierpek gruczołowaty </w:t>
      </w:r>
      <w:proofErr w:type="spellStart"/>
      <w:r w:rsidRPr="009E1A5F">
        <w:rPr>
          <w:rFonts w:asciiTheme="minorHAnsi" w:hAnsiTheme="minorHAnsi"/>
          <w:i/>
          <w:iCs/>
          <w:sz w:val="24"/>
          <w:szCs w:val="24"/>
        </w:rPr>
        <w:t>Impatiens</w:t>
      </w:r>
      <w:proofErr w:type="spellEnd"/>
      <w:r w:rsidRPr="009E1A5F">
        <w:rPr>
          <w:rFonts w:asciiTheme="minorHAnsi" w:hAnsiTheme="minorHAnsi"/>
          <w:i/>
          <w:iCs/>
          <w:sz w:val="24"/>
          <w:szCs w:val="24"/>
        </w:rPr>
        <w:t xml:space="preserve"> </w:t>
      </w:r>
      <w:proofErr w:type="spellStart"/>
      <w:r w:rsidRPr="009E1A5F">
        <w:rPr>
          <w:rFonts w:asciiTheme="minorHAnsi" w:hAnsiTheme="minorHAnsi"/>
          <w:i/>
          <w:iCs/>
          <w:sz w:val="24"/>
          <w:szCs w:val="24"/>
        </w:rPr>
        <w:t>glandulifera</w:t>
      </w:r>
      <w:proofErr w:type="spellEnd"/>
      <w:r w:rsidRPr="009E1A5F">
        <w:rPr>
          <w:rFonts w:asciiTheme="minorHAnsi" w:hAnsiTheme="minorHAnsi"/>
          <w:sz w:val="24"/>
          <w:szCs w:val="24"/>
        </w:rPr>
        <w:t xml:space="preserve">: osiąga wysokość do 3 m. Łodygę ma czerwonawą, pustą w środku. Liście są lancetowate, piłkowane, z gruczołami u nasady (stąd nazwa). Kwiaty są okazałe, wielkości ok. 3-4 cm, różowe lub purpurowe, zakończone krótką ostrogą, zebrane w obfite grona. Owocem jest torebka, pękająca eksplozywnie pięcioma klapami. </w:t>
      </w:r>
    </w:p>
    <w:p w14:paraId="16267771" w14:textId="1F26C1B2" w:rsidR="00651F3F" w:rsidRPr="009E1A5F" w:rsidRDefault="00651F3F" w:rsidP="009E1A5F">
      <w:pPr>
        <w:spacing w:after="120" w:line="276" w:lineRule="auto"/>
        <w:jc w:val="both"/>
        <w:rPr>
          <w:rFonts w:asciiTheme="minorHAnsi" w:hAnsiTheme="minorHAnsi"/>
          <w:sz w:val="24"/>
          <w:szCs w:val="24"/>
        </w:rPr>
      </w:pPr>
      <w:r w:rsidRPr="009E1A5F">
        <w:rPr>
          <w:rFonts w:asciiTheme="minorHAnsi" w:hAnsiTheme="minorHAnsi"/>
          <w:sz w:val="24"/>
          <w:szCs w:val="24"/>
        </w:rPr>
        <w:t>Dojrzałe owoce niecierpka gruczołowatego samoistnie wyrzucają nasiona na odległość nawet 6 m, co sprzyja rozprzestrzenianiu się gatunku. Nasiona mogą być również przenoszone przez wodę na duże odległości, co pozwala na kolonizowanie nowych, często bardzo odległych, obszarów. Większość nasion niecierpka kiełkuje jednocześnie wczesną wiosną, co sprzyja inwazji, bo ogranicza innym roślinom dostęp do światła</w:t>
      </w:r>
      <w:r w:rsidRPr="009E1A5F">
        <w:rPr>
          <w:rStyle w:val="Odwoanieprzypisudolnego"/>
          <w:rFonts w:asciiTheme="minorHAnsi" w:hAnsiTheme="minorHAnsi"/>
          <w:sz w:val="24"/>
          <w:szCs w:val="24"/>
        </w:rPr>
        <w:footnoteReference w:id="8"/>
      </w:r>
      <w:r w:rsidRPr="009E1A5F">
        <w:rPr>
          <w:rFonts w:asciiTheme="minorHAnsi" w:hAnsiTheme="minorHAnsi"/>
          <w:sz w:val="24"/>
          <w:szCs w:val="24"/>
        </w:rPr>
        <w:t>.</w:t>
      </w:r>
    </w:p>
    <w:bookmarkEnd w:id="7"/>
    <w:p w14:paraId="6FAE8250" w14:textId="77777777" w:rsidR="00651F3F" w:rsidRPr="00F9646B" w:rsidRDefault="00651F3F" w:rsidP="00651F3F">
      <w:r w:rsidRPr="00F9646B">
        <w:rPr>
          <w:noProof/>
        </w:rPr>
        <w:lastRenderedPageBreak/>
        <w:drawing>
          <wp:inline distT="0" distB="0" distL="0" distR="0" wp14:anchorId="360A8743" wp14:editId="4CF3F76C">
            <wp:extent cx="4499610" cy="5167630"/>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99610" cy="5167630"/>
                    </a:xfrm>
                    <a:prstGeom prst="rect">
                      <a:avLst/>
                    </a:prstGeom>
                  </pic:spPr>
                </pic:pic>
              </a:graphicData>
            </a:graphic>
          </wp:inline>
        </w:drawing>
      </w:r>
    </w:p>
    <w:p w14:paraId="14CA3279" w14:textId="77777777" w:rsidR="00651F3F" w:rsidRPr="00F9646B" w:rsidRDefault="00651F3F" w:rsidP="00F13B61">
      <w:pPr>
        <w:jc w:val="center"/>
      </w:pPr>
      <w:r w:rsidRPr="00F9646B">
        <w:rPr>
          <w:noProof/>
        </w:rPr>
        <w:lastRenderedPageBreak/>
        <w:drawing>
          <wp:inline distT="0" distB="0" distL="0" distR="0" wp14:anchorId="4667BB28" wp14:editId="1483CDF8">
            <wp:extent cx="4499610" cy="5433695"/>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99610" cy="5433695"/>
                    </a:xfrm>
                    <a:prstGeom prst="rect">
                      <a:avLst/>
                    </a:prstGeom>
                  </pic:spPr>
                </pic:pic>
              </a:graphicData>
            </a:graphic>
          </wp:inline>
        </w:drawing>
      </w:r>
    </w:p>
    <w:p w14:paraId="2BFF05BA" w14:textId="77777777" w:rsidR="00651F3F" w:rsidRPr="00F13B61" w:rsidRDefault="00651F3F" w:rsidP="00F13B61">
      <w:pPr>
        <w:spacing w:after="120" w:line="276" w:lineRule="auto"/>
        <w:rPr>
          <w:rFonts w:asciiTheme="minorHAnsi" w:hAnsiTheme="minorHAnsi"/>
          <w:b/>
          <w:bCs/>
          <w:sz w:val="24"/>
          <w:szCs w:val="24"/>
        </w:rPr>
      </w:pPr>
      <w:bookmarkStart w:id="8" w:name="_Hlk163733914"/>
      <w:r w:rsidRPr="00F13B61">
        <w:rPr>
          <w:rFonts w:asciiTheme="minorHAnsi" w:hAnsiTheme="minorHAnsi"/>
          <w:b/>
          <w:bCs/>
          <w:sz w:val="24"/>
          <w:szCs w:val="24"/>
        </w:rPr>
        <w:t>Działania służące eliminacji</w:t>
      </w:r>
    </w:p>
    <w:p w14:paraId="718B8C21" w14:textId="77777777" w:rsidR="00651F3F" w:rsidRPr="00F13B61" w:rsidRDefault="00651F3F" w:rsidP="00F13B61">
      <w:pPr>
        <w:spacing w:after="120" w:line="276" w:lineRule="auto"/>
        <w:jc w:val="both"/>
        <w:rPr>
          <w:rFonts w:asciiTheme="minorHAnsi" w:hAnsiTheme="minorHAnsi"/>
          <w:sz w:val="24"/>
          <w:szCs w:val="24"/>
        </w:rPr>
      </w:pPr>
      <w:r w:rsidRPr="00F13B61">
        <w:rPr>
          <w:rFonts w:asciiTheme="minorHAnsi" w:hAnsiTheme="minorHAnsi"/>
          <w:sz w:val="24"/>
          <w:szCs w:val="24"/>
        </w:rPr>
        <w:t>Poniżej przedstawiono ogólny przegląd środków zwalczania gatunku. Przy wyborze metody zaleca się zapoznanie z Kompendium metod zwalczania niecierpków opublikowanym przez GDOŚ w 2022 r.</w:t>
      </w:r>
      <w:r w:rsidRPr="00F13B61">
        <w:rPr>
          <w:rStyle w:val="Odwoanieprzypisudolnego"/>
          <w:rFonts w:asciiTheme="minorHAnsi" w:hAnsiTheme="minorHAnsi"/>
          <w:sz w:val="24"/>
          <w:szCs w:val="24"/>
        </w:rPr>
        <w:footnoteReference w:id="9"/>
      </w:r>
      <w:r w:rsidRPr="00F13B61">
        <w:rPr>
          <w:rFonts w:asciiTheme="minorHAnsi" w:hAnsiTheme="minorHAnsi"/>
          <w:sz w:val="24"/>
          <w:szCs w:val="24"/>
        </w:rPr>
        <w:t>. W Kompendium dokonano przeglądu metod zwalczania niecierpka pomarańczowego i gruczołowatego zalecanych do stosowania w Polsce.</w:t>
      </w:r>
    </w:p>
    <w:p w14:paraId="118BCCD8" w14:textId="0634AB6A" w:rsidR="00651F3F" w:rsidRPr="00F13B61" w:rsidRDefault="00651F3F" w:rsidP="00F13B61">
      <w:pPr>
        <w:pStyle w:val="Akapitzlist"/>
        <w:numPr>
          <w:ilvl w:val="0"/>
          <w:numId w:val="5"/>
        </w:numPr>
        <w:spacing w:after="120" w:line="276" w:lineRule="auto"/>
        <w:contextualSpacing w:val="0"/>
        <w:jc w:val="both"/>
        <w:rPr>
          <w:rFonts w:asciiTheme="minorHAnsi" w:hAnsiTheme="minorHAnsi"/>
          <w:sz w:val="24"/>
          <w:szCs w:val="24"/>
        </w:rPr>
      </w:pPr>
      <w:bookmarkStart w:id="9" w:name="_Hlk163734211"/>
      <w:r w:rsidRPr="00F13B61">
        <w:rPr>
          <w:rFonts w:asciiTheme="minorHAnsi" w:hAnsiTheme="minorHAnsi"/>
          <w:sz w:val="24"/>
          <w:szCs w:val="24"/>
        </w:rPr>
        <w:t xml:space="preserve">Jest rośliną roczną, dlatego nie wolno dopuścić do wytworzenia przez roślinę kwiatów i owoców (dojrzewają bardzo szybko!). Najlepszą metodą jest wyrywanie całych osobników, a w kolejnym roku – usuwanie pojawiających się na wiosnę </w:t>
      </w:r>
      <w:r w:rsidRPr="00F13B61">
        <w:rPr>
          <w:rFonts w:asciiTheme="minorHAnsi" w:hAnsiTheme="minorHAnsi"/>
          <w:sz w:val="24"/>
          <w:szCs w:val="24"/>
        </w:rPr>
        <w:lastRenderedPageBreak/>
        <w:t>młodych siewek. Po usunięciu roślin należy dalej obserwować, czy w kolejnych latach nie pojawią się nowe rośliny</w:t>
      </w:r>
      <w:r w:rsidRPr="00F13B61">
        <w:rPr>
          <w:rStyle w:val="Odwoanieprzypisudolnego"/>
          <w:rFonts w:asciiTheme="minorHAnsi" w:hAnsiTheme="minorHAnsi"/>
          <w:b/>
          <w:bCs/>
          <w:sz w:val="24"/>
          <w:szCs w:val="24"/>
        </w:rPr>
        <w:footnoteReference w:id="10"/>
      </w:r>
      <w:r w:rsidRPr="00F13B61">
        <w:rPr>
          <w:rFonts w:asciiTheme="minorHAnsi" w:hAnsiTheme="minorHAnsi"/>
          <w:sz w:val="24"/>
          <w:szCs w:val="24"/>
        </w:rPr>
        <w:t>.</w:t>
      </w:r>
    </w:p>
    <w:bookmarkEnd w:id="8"/>
    <w:bookmarkEnd w:id="9"/>
    <w:p w14:paraId="5E720C2F" w14:textId="4CF6C602" w:rsidR="00651F3F" w:rsidRPr="00F13B61" w:rsidRDefault="00651F3F" w:rsidP="00F13B61">
      <w:pPr>
        <w:pStyle w:val="Akapitzlist"/>
        <w:numPr>
          <w:ilvl w:val="0"/>
          <w:numId w:val="5"/>
        </w:numPr>
        <w:spacing w:after="120" w:line="276" w:lineRule="auto"/>
        <w:contextualSpacing w:val="0"/>
        <w:jc w:val="both"/>
        <w:rPr>
          <w:rFonts w:asciiTheme="minorHAnsi" w:hAnsiTheme="minorHAnsi"/>
          <w:sz w:val="24"/>
          <w:szCs w:val="24"/>
        </w:rPr>
      </w:pPr>
      <w:r w:rsidRPr="00F13B61">
        <w:rPr>
          <w:rFonts w:asciiTheme="minorHAnsi" w:hAnsiTheme="minorHAnsi"/>
          <w:sz w:val="24"/>
          <w:szCs w:val="24"/>
        </w:rPr>
        <w:t>Każda metoda zwalczania winna mieć na celu zapobieganie tworzenia się nasion rośliny. Najlepsze wyniki osiąga się stosując zwalczanie mechaniczne pod koniec sezonu, tj. gdy rośliny kwitną lub zaczynają kwitnąć. Wczesne cięcie roślin poniżej pierwszego węzła może kontrolować populacje, choć jest to pracochłonne. W Niemczech przetestowano kilka metod mechanicznych (</w:t>
      </w:r>
      <w:r w:rsidRPr="00F13B61">
        <w:rPr>
          <w:rFonts w:asciiTheme="minorHAnsi" w:hAnsiTheme="minorHAnsi"/>
          <w:i/>
          <w:iCs/>
          <w:sz w:val="24"/>
          <w:szCs w:val="24"/>
        </w:rPr>
        <w:t>Hartmann i in., 1995</w:t>
      </w:r>
      <w:r w:rsidRPr="00F13B61">
        <w:rPr>
          <w:rFonts w:asciiTheme="minorHAnsi" w:hAnsiTheme="minorHAnsi"/>
          <w:sz w:val="24"/>
          <w:szCs w:val="24"/>
        </w:rPr>
        <w:t xml:space="preserve">), a koszenie z lub bez usuwania materiału roślinnego, ściółkowanie lub uprawa gleby okazały się skuteczne. Przy większych powierzchniach porastanych gatunkiem i tam, gdzie pozwalają na to warunki glebowe, można stosować maszyny rolnicze. Tam, gdzie gleba jest mokra i miękka, ciężkie maszyny uszkodzą glebę i zapewnią otwarte przestrzenie idealne do ponownego zasiedlenia. Przy mniejszych powierzchniach można stosować ręczne </w:t>
      </w:r>
      <w:proofErr w:type="spellStart"/>
      <w:r w:rsidRPr="00F13B61">
        <w:rPr>
          <w:rFonts w:asciiTheme="minorHAnsi" w:hAnsiTheme="minorHAnsi"/>
          <w:sz w:val="24"/>
          <w:szCs w:val="24"/>
        </w:rPr>
        <w:t>wykaszarki</w:t>
      </w:r>
      <w:proofErr w:type="spellEnd"/>
      <w:r w:rsidRPr="00F13B61">
        <w:rPr>
          <w:rFonts w:asciiTheme="minorHAnsi" w:hAnsiTheme="minorHAnsi"/>
          <w:sz w:val="24"/>
          <w:szCs w:val="24"/>
        </w:rPr>
        <w:t xml:space="preserve"> do zarośli, a także wyrywać rośliny ręczne. W takich przypadkach należy uważać, aby wyrwane rośliny nie miały szansy na ponowny wzrost w miejscu, w którym zostały zdeponowane. Aby osiągnąć trwały sukces, obszar powinien być monitorowany pod kątem ponownego wzrostu</w:t>
      </w:r>
      <w:r w:rsidRPr="00F13B61">
        <w:rPr>
          <w:rStyle w:val="Odwoanieprzypisudolnego"/>
          <w:rFonts w:asciiTheme="minorHAnsi" w:hAnsiTheme="minorHAnsi"/>
          <w:sz w:val="24"/>
          <w:szCs w:val="24"/>
        </w:rPr>
        <w:footnoteReference w:id="11"/>
      </w:r>
      <w:r w:rsidRPr="00F13B61">
        <w:rPr>
          <w:rFonts w:asciiTheme="minorHAnsi" w:hAnsiTheme="minorHAnsi"/>
          <w:sz w:val="24"/>
          <w:szCs w:val="24"/>
        </w:rPr>
        <w:t>.</w:t>
      </w:r>
    </w:p>
    <w:p w14:paraId="584A50CC" w14:textId="754F9136" w:rsidR="00651F3F" w:rsidRPr="00F13B61" w:rsidRDefault="00651F3F" w:rsidP="00F13B61">
      <w:pPr>
        <w:spacing w:after="120" w:line="276" w:lineRule="auto"/>
        <w:rPr>
          <w:rFonts w:asciiTheme="minorHAnsi" w:hAnsiTheme="minorHAnsi"/>
          <w:b/>
          <w:bCs/>
          <w:sz w:val="24"/>
          <w:szCs w:val="24"/>
        </w:rPr>
      </w:pPr>
      <w:r w:rsidRPr="00F13B61">
        <w:rPr>
          <w:rFonts w:asciiTheme="minorHAnsi" w:hAnsiTheme="minorHAnsi"/>
          <w:b/>
          <w:bCs/>
          <w:sz w:val="24"/>
          <w:szCs w:val="24"/>
        </w:rPr>
        <w:t>Zalecenia odnośnie do zagospodarowania biomasy podano w rozdziale 3.</w:t>
      </w:r>
    </w:p>
    <w:p w14:paraId="75BBAAC6" w14:textId="509840CB" w:rsidR="00651F3F" w:rsidRDefault="00651F3F" w:rsidP="00F13B61">
      <w:pPr>
        <w:pStyle w:val="Nagwek2"/>
        <w:spacing w:line="276" w:lineRule="auto"/>
        <w:jc w:val="both"/>
      </w:pPr>
      <w:bookmarkStart w:id="10" w:name="_Toc239940801"/>
      <w:r>
        <w:t>2.4. Nawłoć późna (</w:t>
      </w:r>
      <w:proofErr w:type="spellStart"/>
      <w:r>
        <w:rPr>
          <w:i/>
          <w:iCs/>
        </w:rPr>
        <w:t>Solidago</w:t>
      </w:r>
      <w:proofErr w:type="spellEnd"/>
      <w:r>
        <w:rPr>
          <w:i/>
          <w:iCs/>
        </w:rPr>
        <w:t xml:space="preserve"> </w:t>
      </w:r>
      <w:proofErr w:type="spellStart"/>
      <w:r>
        <w:rPr>
          <w:i/>
          <w:iCs/>
        </w:rPr>
        <w:t>gigantea</w:t>
      </w:r>
      <w:proofErr w:type="spellEnd"/>
      <w:r>
        <w:rPr>
          <w:i/>
          <w:iCs/>
        </w:rPr>
        <w:t xml:space="preserve">) </w:t>
      </w:r>
      <w:r>
        <w:t>i nawłoć kanadyjska (</w:t>
      </w:r>
      <w:proofErr w:type="spellStart"/>
      <w:r>
        <w:rPr>
          <w:i/>
          <w:iCs/>
        </w:rPr>
        <w:t>Solidago</w:t>
      </w:r>
      <w:proofErr w:type="spellEnd"/>
      <w:r>
        <w:rPr>
          <w:i/>
          <w:iCs/>
        </w:rPr>
        <w:t xml:space="preserve"> </w:t>
      </w:r>
      <w:proofErr w:type="spellStart"/>
      <w:r>
        <w:rPr>
          <w:i/>
          <w:iCs/>
        </w:rPr>
        <w:t>canadensis</w:t>
      </w:r>
      <w:proofErr w:type="spellEnd"/>
      <w:r>
        <w:rPr>
          <w:i/>
          <w:iCs/>
        </w:rPr>
        <w:t>)</w:t>
      </w:r>
      <w:bookmarkEnd w:id="10"/>
    </w:p>
    <w:p w14:paraId="17DBD76D" w14:textId="77777777" w:rsidR="00651F3F" w:rsidRPr="00F13B61" w:rsidRDefault="00651F3F" w:rsidP="00F13B61">
      <w:pPr>
        <w:spacing w:after="120" w:line="276" w:lineRule="auto"/>
        <w:jc w:val="both"/>
        <w:rPr>
          <w:rFonts w:asciiTheme="minorHAnsi" w:hAnsiTheme="minorHAnsi"/>
          <w:b/>
          <w:bCs/>
          <w:sz w:val="24"/>
          <w:szCs w:val="24"/>
        </w:rPr>
      </w:pPr>
      <w:bookmarkStart w:id="11" w:name="_Hlk163735705"/>
      <w:r w:rsidRPr="00F13B61">
        <w:rPr>
          <w:rFonts w:asciiTheme="minorHAnsi" w:hAnsiTheme="minorHAnsi"/>
          <w:b/>
          <w:bCs/>
          <w:sz w:val="24"/>
          <w:szCs w:val="24"/>
        </w:rPr>
        <w:t>Charakterystyka gatunku</w:t>
      </w:r>
    </w:p>
    <w:bookmarkEnd w:id="11"/>
    <w:p w14:paraId="67E4408B" w14:textId="77777777" w:rsidR="00651F3F" w:rsidRPr="00F13B61" w:rsidRDefault="00651F3F" w:rsidP="00F13B61">
      <w:pPr>
        <w:spacing w:after="120" w:line="276" w:lineRule="auto"/>
        <w:jc w:val="both"/>
        <w:rPr>
          <w:rFonts w:asciiTheme="minorHAnsi" w:hAnsiTheme="minorHAnsi"/>
          <w:sz w:val="24"/>
          <w:szCs w:val="24"/>
        </w:rPr>
      </w:pPr>
      <w:r w:rsidRPr="00F13B61">
        <w:rPr>
          <w:rFonts w:asciiTheme="minorHAnsi" w:hAnsiTheme="minorHAnsi"/>
          <w:sz w:val="24"/>
          <w:szCs w:val="24"/>
        </w:rPr>
        <w:t xml:space="preserve">Nawłoć kanadyjska </w:t>
      </w:r>
      <w:proofErr w:type="spellStart"/>
      <w:r w:rsidRPr="00F13B61">
        <w:rPr>
          <w:rFonts w:asciiTheme="minorHAnsi" w:hAnsiTheme="minorHAnsi"/>
          <w:i/>
          <w:iCs/>
          <w:sz w:val="24"/>
          <w:szCs w:val="24"/>
        </w:rPr>
        <w:t>Solidago</w:t>
      </w:r>
      <w:proofErr w:type="spellEnd"/>
      <w:r w:rsidRPr="00F13B61">
        <w:rPr>
          <w:rFonts w:asciiTheme="minorHAnsi" w:hAnsiTheme="minorHAnsi"/>
          <w:i/>
          <w:iCs/>
          <w:sz w:val="24"/>
          <w:szCs w:val="24"/>
        </w:rPr>
        <w:t xml:space="preserve"> </w:t>
      </w:r>
      <w:proofErr w:type="spellStart"/>
      <w:r w:rsidRPr="00F13B61">
        <w:rPr>
          <w:rFonts w:asciiTheme="minorHAnsi" w:hAnsiTheme="minorHAnsi"/>
          <w:i/>
          <w:iCs/>
          <w:sz w:val="24"/>
          <w:szCs w:val="24"/>
        </w:rPr>
        <w:t>canadensis</w:t>
      </w:r>
      <w:proofErr w:type="spellEnd"/>
      <w:r w:rsidRPr="00F13B61">
        <w:rPr>
          <w:rFonts w:asciiTheme="minorHAnsi" w:hAnsiTheme="minorHAnsi"/>
          <w:sz w:val="24"/>
          <w:szCs w:val="24"/>
        </w:rPr>
        <w:t xml:space="preserve"> i nawłoć późna zwana także olbrzymią </w:t>
      </w:r>
      <w:proofErr w:type="spellStart"/>
      <w:r w:rsidRPr="00F13B61">
        <w:rPr>
          <w:rFonts w:asciiTheme="minorHAnsi" w:hAnsiTheme="minorHAnsi"/>
          <w:i/>
          <w:iCs/>
          <w:sz w:val="24"/>
          <w:szCs w:val="24"/>
        </w:rPr>
        <w:t>Solidago</w:t>
      </w:r>
      <w:proofErr w:type="spellEnd"/>
      <w:r w:rsidRPr="00F13B61">
        <w:rPr>
          <w:rFonts w:asciiTheme="minorHAnsi" w:hAnsiTheme="minorHAnsi"/>
          <w:i/>
          <w:iCs/>
          <w:sz w:val="24"/>
          <w:szCs w:val="24"/>
        </w:rPr>
        <w:t xml:space="preserve"> </w:t>
      </w:r>
      <w:proofErr w:type="spellStart"/>
      <w:r w:rsidRPr="00F13B61">
        <w:rPr>
          <w:rFonts w:asciiTheme="minorHAnsi" w:hAnsiTheme="minorHAnsi"/>
          <w:i/>
          <w:iCs/>
          <w:sz w:val="24"/>
          <w:szCs w:val="24"/>
        </w:rPr>
        <w:t>gigantea</w:t>
      </w:r>
      <w:proofErr w:type="spellEnd"/>
      <w:r w:rsidRPr="00F13B61">
        <w:rPr>
          <w:rFonts w:asciiTheme="minorHAnsi" w:hAnsiTheme="minorHAnsi"/>
          <w:sz w:val="24"/>
          <w:szCs w:val="24"/>
        </w:rPr>
        <w:t xml:space="preserve"> to dwa inwazyjne gatunki obce występujące w Polsce, które zostały zawleczone do Europy z Ameryki Północnej. Rośliny te są bardzo do siebie podobne – nawłoć kanadyjska w odróżnieniu od nawłoci późnej, ma łodygę owłosioną na całej długości (łodyga u nawłoci późnej owłosiona tylko w obrębie kwiatostanu).</w:t>
      </w:r>
    </w:p>
    <w:p w14:paraId="3A8D0D6E" w14:textId="77777777" w:rsidR="00651F3F" w:rsidRPr="00F13B61" w:rsidRDefault="00651F3F" w:rsidP="00F13B61">
      <w:pPr>
        <w:spacing w:after="120" w:line="276" w:lineRule="auto"/>
        <w:jc w:val="both"/>
        <w:rPr>
          <w:rFonts w:asciiTheme="minorHAnsi" w:hAnsiTheme="minorHAnsi"/>
          <w:sz w:val="24"/>
          <w:szCs w:val="24"/>
        </w:rPr>
      </w:pPr>
      <w:r w:rsidRPr="00F13B61">
        <w:rPr>
          <w:rFonts w:asciiTheme="minorHAnsi" w:hAnsiTheme="minorHAnsi"/>
          <w:sz w:val="24"/>
          <w:szCs w:val="24"/>
        </w:rPr>
        <w:t xml:space="preserve">Nawłoć kanadyjska to wieloletnia bylina dorastająca do 150 cm. Pędy są dołem nagie, a od połowy szorstko, odstająco owłosione. Na łodydze znajdują się skrętolegle ustawione, lancetowate liście, długo zaostrzone, ostro ząbkowane, o 6–13 cm długości, spodem owłosione na nerwach. Kwiaty żółte. Są one zebrane w drobne, koszyczkowate kwiatostany, o okrywie do 2,8 mm długości, zestawione w piramidalne wiechowate grona 15–30 cm długie. Owocem jest niełupka opatrzona krótkim, do 2,5 mm długości puchem kielichowym. Nawłoć kanadyjska kwitnie od lipca do nawet października, najbardziej </w:t>
      </w:r>
      <w:r w:rsidRPr="00F13B61">
        <w:rPr>
          <w:rFonts w:asciiTheme="minorHAnsi" w:hAnsiTheme="minorHAnsi"/>
          <w:sz w:val="24"/>
          <w:szCs w:val="24"/>
        </w:rPr>
        <w:lastRenderedPageBreak/>
        <w:t>intensywnie od połowy sierpnia do końca września. Rośliny zakwitają każdego roku począwszy od pierwszego roku życia.</w:t>
      </w:r>
    </w:p>
    <w:p w14:paraId="5049153E" w14:textId="77777777" w:rsidR="00651F3F" w:rsidRPr="00F13B61" w:rsidRDefault="00651F3F" w:rsidP="00F13B61">
      <w:pPr>
        <w:spacing w:after="120" w:line="276" w:lineRule="auto"/>
        <w:jc w:val="both"/>
        <w:rPr>
          <w:rFonts w:asciiTheme="minorHAnsi" w:hAnsiTheme="minorHAnsi"/>
          <w:sz w:val="24"/>
          <w:szCs w:val="24"/>
        </w:rPr>
      </w:pPr>
      <w:r w:rsidRPr="00F13B61">
        <w:rPr>
          <w:rFonts w:asciiTheme="minorHAnsi" w:hAnsiTheme="minorHAnsi"/>
          <w:sz w:val="24"/>
          <w:szCs w:val="24"/>
        </w:rPr>
        <w:t>Nawłoć późna jest byliną osiągającą wysokość od 50 do 250 cm. Posiada sztywną, wzniesioną łodygę, w dolnej części nagą, pokrytą woskiem, pod kwiatostanem nieznacznie owłosioną. Łodygi często przybierają barwę czerwono-purpurową, jednak ta cecha nie jest obserwowana u roślin rosnących w cieniu, lub w gęstych łanach. Liście kształtu lancetowatego o zaostrzonym zakończeniu i brzegach ostro piłkowanych. Powierzchnia blaszki liściowej naga, zaś od spodu włoski spotykane są na nerwach liściowych. Kwiaty, żółte, małe, zebrane w dzwonkowate koszyczki osadzone na krótkich szypułkach. Koszyczki zgrupowane są w jednostronne wiechokształtne kwiatostany, widoczne z daleka. Kwitnie w sierpniu i wrześniu.</w:t>
      </w:r>
    </w:p>
    <w:p w14:paraId="1EC0D506" w14:textId="77777777" w:rsidR="00651F3F" w:rsidRPr="00F13B61" w:rsidRDefault="00651F3F" w:rsidP="00F13B61">
      <w:pPr>
        <w:spacing w:after="120" w:line="276" w:lineRule="auto"/>
        <w:jc w:val="both"/>
        <w:rPr>
          <w:rFonts w:asciiTheme="minorHAnsi" w:hAnsiTheme="minorHAnsi"/>
          <w:sz w:val="24"/>
          <w:szCs w:val="24"/>
        </w:rPr>
      </w:pPr>
      <w:r w:rsidRPr="00F13B61">
        <w:rPr>
          <w:rFonts w:asciiTheme="minorHAnsi" w:hAnsiTheme="minorHAnsi"/>
          <w:sz w:val="24"/>
          <w:szCs w:val="24"/>
        </w:rPr>
        <w:t>We wtórnym zasięgu występowania nawłocie wykazują szeroką amplitudę ekologiczną i spektrum siedliskowe. Posiadają dużą tolerancję wobec wymagań glebowych, ale wymaga pełnego światła.</w:t>
      </w:r>
    </w:p>
    <w:p w14:paraId="65C49F0A" w14:textId="2F137D93" w:rsidR="00651F3F" w:rsidRPr="00F13B61" w:rsidRDefault="00651F3F" w:rsidP="00F13B61">
      <w:pPr>
        <w:spacing w:after="120" w:line="276" w:lineRule="auto"/>
        <w:jc w:val="both"/>
        <w:rPr>
          <w:rFonts w:asciiTheme="minorHAnsi" w:hAnsiTheme="minorHAnsi"/>
          <w:sz w:val="24"/>
          <w:szCs w:val="24"/>
        </w:rPr>
      </w:pPr>
      <w:r w:rsidRPr="00F13B61">
        <w:rPr>
          <w:rFonts w:asciiTheme="minorHAnsi" w:hAnsiTheme="minorHAnsi"/>
          <w:sz w:val="24"/>
          <w:szCs w:val="24"/>
        </w:rPr>
        <w:t>Nawłocie spotykane są w szczególności na nieużytkowanych łąkach i pastwiskach, a także porzuconych polach uprawnych, przydrożach, brzegach lasów, przypłociach i na siedliskach zaburzonych przez człowieka</w:t>
      </w:r>
      <w:r w:rsidRPr="00F13B61">
        <w:rPr>
          <w:rStyle w:val="Odwoanieprzypisudolnego"/>
          <w:rFonts w:asciiTheme="minorHAnsi" w:hAnsiTheme="minorHAnsi"/>
          <w:sz w:val="24"/>
          <w:szCs w:val="24"/>
        </w:rPr>
        <w:footnoteReference w:id="12"/>
      </w:r>
      <w:r w:rsidRPr="00F13B61">
        <w:rPr>
          <w:rFonts w:asciiTheme="minorHAnsi" w:hAnsiTheme="minorHAnsi"/>
          <w:sz w:val="24"/>
          <w:szCs w:val="24"/>
        </w:rPr>
        <w:t>.</w:t>
      </w:r>
    </w:p>
    <w:p w14:paraId="431638CB" w14:textId="0FD8DE40" w:rsidR="00651F3F" w:rsidRPr="00F9646B" w:rsidRDefault="00651F3F" w:rsidP="00F13B61">
      <w:pPr>
        <w:spacing w:after="0"/>
        <w:jc w:val="center"/>
        <w:rPr>
          <w:noProof/>
        </w:rPr>
      </w:pPr>
      <w:r w:rsidRPr="00F9646B">
        <w:rPr>
          <w:noProof/>
        </w:rPr>
        <w:lastRenderedPageBreak/>
        <w:drawing>
          <wp:inline distT="0" distB="0" distL="0" distR="0" wp14:anchorId="0E5A06B0" wp14:editId="2EBF3A26">
            <wp:extent cx="4458951" cy="5706094"/>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10041"/>
                    <a:stretch/>
                  </pic:blipFill>
                  <pic:spPr bwMode="auto">
                    <a:xfrm>
                      <a:off x="0" y="0"/>
                      <a:ext cx="4462692" cy="5710882"/>
                    </a:xfrm>
                    <a:prstGeom prst="rect">
                      <a:avLst/>
                    </a:prstGeom>
                    <a:ln>
                      <a:noFill/>
                    </a:ln>
                    <a:extLst>
                      <a:ext uri="{53640926-AAD7-44D8-BBD7-CCE9431645EC}">
                        <a14:shadowObscured xmlns:a14="http://schemas.microsoft.com/office/drawing/2010/main"/>
                      </a:ext>
                    </a:extLst>
                  </pic:spPr>
                </pic:pic>
              </a:graphicData>
            </a:graphic>
          </wp:inline>
        </w:drawing>
      </w:r>
    </w:p>
    <w:p w14:paraId="468DAEBE" w14:textId="77777777" w:rsidR="00651F3F" w:rsidRPr="00F13B61" w:rsidRDefault="00651F3F" w:rsidP="00F13B61">
      <w:pPr>
        <w:jc w:val="center"/>
        <w:rPr>
          <w:rFonts w:asciiTheme="minorHAnsi" w:hAnsiTheme="minorHAnsi"/>
          <w:noProof/>
          <w:sz w:val="18"/>
          <w:szCs w:val="18"/>
        </w:rPr>
      </w:pPr>
      <w:proofErr w:type="spellStart"/>
      <w:r w:rsidRPr="00F13B61">
        <w:rPr>
          <w:rFonts w:asciiTheme="minorHAnsi" w:hAnsiTheme="minorHAnsi"/>
          <w:i/>
          <w:iCs/>
          <w:sz w:val="18"/>
          <w:szCs w:val="18"/>
        </w:rPr>
        <w:t>Solidago</w:t>
      </w:r>
      <w:proofErr w:type="spellEnd"/>
      <w:r w:rsidRPr="00F13B61">
        <w:rPr>
          <w:rFonts w:asciiTheme="minorHAnsi" w:hAnsiTheme="minorHAnsi"/>
          <w:i/>
          <w:iCs/>
          <w:sz w:val="18"/>
          <w:szCs w:val="18"/>
        </w:rPr>
        <w:t xml:space="preserve"> </w:t>
      </w:r>
      <w:proofErr w:type="spellStart"/>
      <w:r w:rsidRPr="00F13B61">
        <w:rPr>
          <w:rFonts w:asciiTheme="minorHAnsi" w:hAnsiTheme="minorHAnsi"/>
          <w:i/>
          <w:iCs/>
          <w:sz w:val="18"/>
          <w:szCs w:val="18"/>
        </w:rPr>
        <w:t>gigantea</w:t>
      </w:r>
      <w:proofErr w:type="spellEnd"/>
      <w:r w:rsidRPr="00F13B61">
        <w:rPr>
          <w:rFonts w:asciiTheme="minorHAnsi" w:hAnsiTheme="minorHAnsi"/>
          <w:sz w:val="18"/>
          <w:szCs w:val="18"/>
        </w:rPr>
        <w:t xml:space="preserve"> https://www.ogrod.uw.edu.pl/</w:t>
      </w:r>
    </w:p>
    <w:p w14:paraId="4475978C" w14:textId="77777777" w:rsidR="00651F3F" w:rsidRPr="00F9646B" w:rsidRDefault="00651F3F" w:rsidP="00651F3F">
      <w:pPr>
        <w:rPr>
          <w:noProof/>
        </w:rPr>
      </w:pPr>
    </w:p>
    <w:p w14:paraId="6E43BE9B" w14:textId="77777777" w:rsidR="00651F3F" w:rsidRPr="00F9646B" w:rsidRDefault="00651F3F" w:rsidP="0084365D">
      <w:pPr>
        <w:spacing w:after="0"/>
        <w:jc w:val="center"/>
      </w:pPr>
      <w:r w:rsidRPr="00F9646B">
        <w:rPr>
          <w:noProof/>
        </w:rPr>
        <w:lastRenderedPageBreak/>
        <w:drawing>
          <wp:inline distT="0" distB="0" distL="0" distR="0" wp14:anchorId="79267DB9" wp14:editId="54B20BB5">
            <wp:extent cx="4499610" cy="5611091"/>
            <wp:effectExtent l="0" t="0" r="0" b="889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b="7337"/>
                    <a:stretch/>
                  </pic:blipFill>
                  <pic:spPr bwMode="auto">
                    <a:xfrm>
                      <a:off x="0" y="0"/>
                      <a:ext cx="4499610" cy="5611091"/>
                    </a:xfrm>
                    <a:prstGeom prst="rect">
                      <a:avLst/>
                    </a:prstGeom>
                    <a:ln>
                      <a:noFill/>
                    </a:ln>
                    <a:extLst>
                      <a:ext uri="{53640926-AAD7-44D8-BBD7-CCE9431645EC}">
                        <a14:shadowObscured xmlns:a14="http://schemas.microsoft.com/office/drawing/2010/main"/>
                      </a:ext>
                    </a:extLst>
                  </pic:spPr>
                </pic:pic>
              </a:graphicData>
            </a:graphic>
          </wp:inline>
        </w:drawing>
      </w:r>
    </w:p>
    <w:p w14:paraId="37F43DF7" w14:textId="77777777" w:rsidR="00651F3F" w:rsidRPr="0084365D" w:rsidRDefault="00651F3F" w:rsidP="0084365D">
      <w:pPr>
        <w:jc w:val="center"/>
        <w:rPr>
          <w:rFonts w:asciiTheme="minorHAnsi" w:hAnsiTheme="minorHAnsi"/>
          <w:noProof/>
          <w:sz w:val="18"/>
          <w:szCs w:val="18"/>
          <w:lang w:val="en-US"/>
        </w:rPr>
      </w:pPr>
      <w:r w:rsidRPr="0084365D">
        <w:rPr>
          <w:rFonts w:asciiTheme="minorHAnsi" w:hAnsiTheme="minorHAnsi"/>
          <w:i/>
          <w:iCs/>
          <w:sz w:val="18"/>
          <w:szCs w:val="18"/>
          <w:lang w:val="en-US"/>
        </w:rPr>
        <w:t>Solidago canadensis</w:t>
      </w:r>
      <w:r w:rsidRPr="0084365D">
        <w:rPr>
          <w:rFonts w:asciiTheme="minorHAnsi" w:hAnsiTheme="minorHAnsi"/>
          <w:sz w:val="18"/>
          <w:szCs w:val="18"/>
          <w:lang w:val="en-US"/>
        </w:rPr>
        <w:t xml:space="preserve"> https://www.ogrod.uw.edu.pl/</w:t>
      </w:r>
    </w:p>
    <w:p w14:paraId="2FF9F7BC" w14:textId="77777777" w:rsidR="00651F3F" w:rsidRPr="0084365D" w:rsidRDefault="00651F3F" w:rsidP="0084365D">
      <w:pPr>
        <w:spacing w:after="120" w:line="276" w:lineRule="auto"/>
        <w:jc w:val="both"/>
        <w:rPr>
          <w:rFonts w:asciiTheme="minorHAnsi" w:hAnsiTheme="minorHAnsi"/>
          <w:b/>
          <w:bCs/>
          <w:sz w:val="24"/>
          <w:szCs w:val="24"/>
        </w:rPr>
      </w:pPr>
      <w:r w:rsidRPr="0084365D">
        <w:rPr>
          <w:rFonts w:asciiTheme="minorHAnsi" w:hAnsiTheme="minorHAnsi"/>
          <w:b/>
          <w:bCs/>
          <w:sz w:val="24"/>
          <w:szCs w:val="24"/>
        </w:rPr>
        <w:t>Działania służące eliminacji</w:t>
      </w:r>
    </w:p>
    <w:p w14:paraId="23A1BA52" w14:textId="77777777" w:rsidR="00651F3F" w:rsidRPr="0084365D" w:rsidRDefault="00651F3F" w:rsidP="0084365D">
      <w:pPr>
        <w:pStyle w:val="Akapitzlist"/>
        <w:numPr>
          <w:ilvl w:val="0"/>
          <w:numId w:val="6"/>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 xml:space="preserve">Ograniczanie występowania nawłoci jest trudnym i pracochłonnym procesem. </w:t>
      </w:r>
    </w:p>
    <w:p w14:paraId="0E759929" w14:textId="77777777" w:rsidR="00651F3F" w:rsidRPr="0084365D" w:rsidRDefault="00651F3F" w:rsidP="0084365D">
      <w:pPr>
        <w:pStyle w:val="Akapitzlist"/>
        <w:numPr>
          <w:ilvl w:val="0"/>
          <w:numId w:val="6"/>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Jeżeli ich rozprzestrzenienie nie jest jeszcze duże na danym obszarze, to należy wykopywać poszczególne kępy.</w:t>
      </w:r>
    </w:p>
    <w:p w14:paraId="5081644E" w14:textId="77777777" w:rsidR="00651F3F" w:rsidRPr="0084365D" w:rsidRDefault="00651F3F" w:rsidP="0084365D">
      <w:pPr>
        <w:pStyle w:val="Akapitzlist"/>
        <w:numPr>
          <w:ilvl w:val="0"/>
          <w:numId w:val="6"/>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 xml:space="preserve">Jeżeli natomiast zajęte są większe obszary, np. łąk lub nieużytków, a warunki siedliskowe nie pozwalają na użycie ciężkiego sprzętu do wyorania kłączy, to </w:t>
      </w:r>
      <w:r w:rsidRPr="0084365D">
        <w:rPr>
          <w:rFonts w:asciiTheme="minorHAnsi" w:hAnsiTheme="minorHAnsi"/>
          <w:sz w:val="24"/>
          <w:szCs w:val="24"/>
        </w:rPr>
        <w:lastRenderedPageBreak/>
        <w:t>najprostszym sposobem ograniczenia ekspansji nawłoci jest regularne koszenie (nawet kilka razy w roku) przed okresem ich kwitnienia.</w:t>
      </w:r>
      <w:r w:rsidRPr="0084365D">
        <w:rPr>
          <w:rStyle w:val="Odwoanieprzypisudolnego"/>
          <w:rFonts w:asciiTheme="minorHAnsi" w:hAnsiTheme="minorHAnsi"/>
          <w:sz w:val="24"/>
          <w:szCs w:val="24"/>
        </w:rPr>
        <w:footnoteReference w:id="13"/>
      </w:r>
      <w:r w:rsidRPr="0084365D">
        <w:rPr>
          <w:rFonts w:asciiTheme="minorHAnsi" w:hAnsiTheme="minorHAnsi"/>
          <w:sz w:val="24"/>
          <w:szCs w:val="24"/>
        </w:rPr>
        <w:t>.</w:t>
      </w:r>
    </w:p>
    <w:p w14:paraId="0EF1D6D6" w14:textId="77777777" w:rsidR="00651F3F" w:rsidRPr="0084365D" w:rsidRDefault="00651F3F" w:rsidP="0084365D">
      <w:pPr>
        <w:pStyle w:val="Akapitzlist"/>
        <w:numPr>
          <w:ilvl w:val="0"/>
          <w:numId w:val="6"/>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W początkowej fazie ekspansji dobre rezultaty daje punktowe niszczenie roślin (wyrywanie lub wykopywanie)</w:t>
      </w:r>
      <w:r w:rsidRPr="0084365D">
        <w:rPr>
          <w:rStyle w:val="Odwoanieprzypisudolnego"/>
          <w:rFonts w:asciiTheme="minorHAnsi" w:hAnsiTheme="minorHAnsi"/>
          <w:sz w:val="24"/>
          <w:szCs w:val="24"/>
        </w:rPr>
        <w:footnoteReference w:id="14"/>
      </w:r>
      <w:r w:rsidRPr="0084365D">
        <w:rPr>
          <w:rFonts w:asciiTheme="minorHAnsi" w:hAnsiTheme="minorHAnsi"/>
          <w:sz w:val="24"/>
          <w:szCs w:val="24"/>
        </w:rPr>
        <w:t xml:space="preserve"> </w:t>
      </w:r>
    </w:p>
    <w:p w14:paraId="6ECB82B1" w14:textId="3D9082CC" w:rsidR="00651F3F" w:rsidRPr="0084365D" w:rsidRDefault="00651F3F" w:rsidP="0084365D">
      <w:pPr>
        <w:pStyle w:val="Akapitzlist"/>
        <w:numPr>
          <w:ilvl w:val="0"/>
          <w:numId w:val="5"/>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 xml:space="preserve">Kiełkujące i młode rośliny są wrażliwe na herbicydy doglebowe, ale później, w okresie wegetacji, herbicydy doglebowe są nieskuteczne. Do zwalczania roślin do wysokości 10-15 cm nadają się </w:t>
      </w:r>
      <w:proofErr w:type="spellStart"/>
      <w:r w:rsidRPr="0084365D">
        <w:rPr>
          <w:rFonts w:asciiTheme="minorHAnsi" w:hAnsiTheme="minorHAnsi"/>
          <w:sz w:val="24"/>
          <w:szCs w:val="24"/>
        </w:rPr>
        <w:t>glifosat</w:t>
      </w:r>
      <w:proofErr w:type="spellEnd"/>
      <w:r w:rsidRPr="0084365D">
        <w:rPr>
          <w:rFonts w:asciiTheme="minorHAnsi" w:hAnsiTheme="minorHAnsi"/>
          <w:sz w:val="24"/>
          <w:szCs w:val="24"/>
        </w:rPr>
        <w:t>, 2,4-D i kilka herbicydów kontaktowych</w:t>
      </w:r>
      <w:r w:rsidRPr="0084365D">
        <w:rPr>
          <w:rStyle w:val="Odwoanieprzypisudolnego"/>
          <w:rFonts w:asciiTheme="minorHAnsi" w:hAnsiTheme="minorHAnsi"/>
          <w:sz w:val="24"/>
          <w:szCs w:val="24"/>
        </w:rPr>
        <w:footnoteReference w:id="15"/>
      </w:r>
      <w:r w:rsidRPr="0084365D">
        <w:rPr>
          <w:rFonts w:asciiTheme="minorHAnsi" w:hAnsiTheme="minorHAnsi"/>
          <w:sz w:val="24"/>
          <w:szCs w:val="24"/>
        </w:rPr>
        <w:t>.</w:t>
      </w:r>
    </w:p>
    <w:p w14:paraId="1061ADED" w14:textId="6E36C7F6" w:rsidR="00651F3F" w:rsidRPr="0084365D" w:rsidRDefault="00651F3F" w:rsidP="0084365D">
      <w:pPr>
        <w:spacing w:after="120" w:line="276" w:lineRule="auto"/>
        <w:jc w:val="both"/>
        <w:rPr>
          <w:rFonts w:asciiTheme="minorHAnsi" w:hAnsiTheme="minorHAnsi"/>
          <w:b/>
          <w:bCs/>
          <w:sz w:val="24"/>
          <w:szCs w:val="24"/>
        </w:rPr>
      </w:pPr>
      <w:r w:rsidRPr="0084365D">
        <w:rPr>
          <w:rFonts w:asciiTheme="minorHAnsi" w:hAnsiTheme="minorHAnsi"/>
          <w:b/>
          <w:bCs/>
          <w:sz w:val="24"/>
          <w:szCs w:val="24"/>
        </w:rPr>
        <w:t>Zalecenia odnośnie do zagospodarowania biomasy podano w rozdziale 3.</w:t>
      </w:r>
    </w:p>
    <w:p w14:paraId="537F2D33" w14:textId="7938E4D5" w:rsidR="00651F3F" w:rsidRDefault="00651F3F" w:rsidP="00651F3F">
      <w:pPr>
        <w:pStyle w:val="Nagwek2"/>
      </w:pPr>
      <w:bookmarkStart w:id="12" w:name="_Toc239940802"/>
      <w:r>
        <w:t>2.5. Łubin trwały (</w:t>
      </w:r>
      <w:proofErr w:type="spellStart"/>
      <w:r>
        <w:rPr>
          <w:i/>
          <w:iCs/>
        </w:rPr>
        <w:t>Lupinus</w:t>
      </w:r>
      <w:proofErr w:type="spellEnd"/>
      <w:r>
        <w:rPr>
          <w:i/>
          <w:iCs/>
        </w:rPr>
        <w:t xml:space="preserve"> </w:t>
      </w:r>
      <w:proofErr w:type="spellStart"/>
      <w:r>
        <w:rPr>
          <w:i/>
          <w:iCs/>
        </w:rPr>
        <w:t>polyphyllus</w:t>
      </w:r>
      <w:proofErr w:type="spellEnd"/>
      <w:r>
        <w:t>)</w:t>
      </w:r>
      <w:bookmarkEnd w:id="12"/>
    </w:p>
    <w:p w14:paraId="53425A0D" w14:textId="77777777" w:rsidR="00651F3F" w:rsidRPr="0084365D" w:rsidRDefault="00651F3F" w:rsidP="0084365D">
      <w:pPr>
        <w:spacing w:after="120" w:line="276" w:lineRule="auto"/>
        <w:jc w:val="both"/>
        <w:rPr>
          <w:rFonts w:asciiTheme="minorHAnsi" w:hAnsiTheme="minorHAnsi"/>
          <w:b/>
          <w:bCs/>
          <w:sz w:val="24"/>
          <w:szCs w:val="24"/>
        </w:rPr>
      </w:pPr>
      <w:r w:rsidRPr="0084365D">
        <w:rPr>
          <w:rFonts w:asciiTheme="minorHAnsi" w:hAnsiTheme="minorHAnsi"/>
          <w:b/>
          <w:bCs/>
          <w:sz w:val="24"/>
          <w:szCs w:val="24"/>
        </w:rPr>
        <w:t>Charakterystyka gatunku</w:t>
      </w:r>
    </w:p>
    <w:p w14:paraId="33857BF1" w14:textId="77777777" w:rsidR="00651F3F" w:rsidRPr="0084365D" w:rsidRDefault="00651F3F" w:rsidP="0084365D">
      <w:pPr>
        <w:spacing w:after="120" w:line="276" w:lineRule="auto"/>
        <w:jc w:val="both"/>
        <w:rPr>
          <w:rFonts w:asciiTheme="minorHAnsi" w:hAnsiTheme="minorHAnsi"/>
          <w:sz w:val="24"/>
          <w:szCs w:val="24"/>
        </w:rPr>
      </w:pPr>
      <w:r w:rsidRPr="0084365D">
        <w:rPr>
          <w:rFonts w:asciiTheme="minorHAnsi" w:hAnsiTheme="minorHAnsi"/>
          <w:sz w:val="24"/>
          <w:szCs w:val="24"/>
        </w:rPr>
        <w:t>Łubin trwały</w:t>
      </w:r>
      <w:r w:rsidRPr="0084365D">
        <w:rPr>
          <w:rFonts w:asciiTheme="minorHAnsi" w:hAnsiTheme="minorHAnsi"/>
          <w:i/>
          <w:iCs/>
          <w:sz w:val="24"/>
          <w:szCs w:val="24"/>
        </w:rPr>
        <w:t xml:space="preserve"> </w:t>
      </w:r>
      <w:proofErr w:type="spellStart"/>
      <w:r w:rsidRPr="0084365D">
        <w:rPr>
          <w:rFonts w:asciiTheme="minorHAnsi" w:hAnsiTheme="minorHAnsi"/>
          <w:i/>
          <w:iCs/>
          <w:sz w:val="24"/>
          <w:szCs w:val="24"/>
        </w:rPr>
        <w:t>Lupinus</w:t>
      </w:r>
      <w:proofErr w:type="spellEnd"/>
      <w:r w:rsidRPr="0084365D">
        <w:rPr>
          <w:rFonts w:asciiTheme="minorHAnsi" w:hAnsiTheme="minorHAnsi"/>
          <w:i/>
          <w:iCs/>
          <w:sz w:val="24"/>
          <w:szCs w:val="24"/>
        </w:rPr>
        <w:t xml:space="preserve"> </w:t>
      </w:r>
      <w:proofErr w:type="spellStart"/>
      <w:r w:rsidRPr="0084365D">
        <w:rPr>
          <w:rFonts w:asciiTheme="minorHAnsi" w:hAnsiTheme="minorHAnsi"/>
          <w:i/>
          <w:iCs/>
          <w:sz w:val="24"/>
          <w:szCs w:val="24"/>
        </w:rPr>
        <w:t>polyphyllus</w:t>
      </w:r>
      <w:proofErr w:type="spellEnd"/>
      <w:r w:rsidRPr="0084365D">
        <w:rPr>
          <w:rFonts w:asciiTheme="minorHAnsi" w:hAnsiTheme="minorHAnsi"/>
          <w:sz w:val="24"/>
          <w:szCs w:val="24"/>
        </w:rPr>
        <w:t xml:space="preserve"> to bylina o ozdobnych kwiatostanach. Roślina ta użyźnia glebę, ponieważ żyje w symbiozie z bakteriami wiążącymi azot atmosferyczny. Rozmnaża się głównie za pomocą nasion, ale również przez kłącza (podziemne pędy). Łubin preferuje miejsca słoneczne, może rosnąć nawet na glebach ubogich. Ma wpływ na rodzimą roślinność poprzez konkurencję, jak również pogorszenie warunków rozwoju dla roślin przystosowanych do wzrostu na glebach o niewielkiej zawartości azotu. </w:t>
      </w:r>
    </w:p>
    <w:p w14:paraId="22F09083" w14:textId="77777777" w:rsidR="00651F3F" w:rsidRPr="0084365D" w:rsidRDefault="00651F3F" w:rsidP="0084365D">
      <w:pPr>
        <w:spacing w:after="120" w:line="276" w:lineRule="auto"/>
        <w:jc w:val="both"/>
        <w:rPr>
          <w:rFonts w:asciiTheme="minorHAnsi" w:hAnsiTheme="minorHAnsi"/>
          <w:sz w:val="24"/>
          <w:szCs w:val="24"/>
        </w:rPr>
      </w:pPr>
      <w:r w:rsidRPr="0084365D">
        <w:rPr>
          <w:rFonts w:asciiTheme="minorHAnsi" w:hAnsiTheme="minorHAnsi"/>
          <w:sz w:val="24"/>
          <w:szCs w:val="24"/>
        </w:rPr>
        <w:t>W przyrodzie rozprzestrzenia się w prześwietlonych lasach, na przydrożach i łąkach</w:t>
      </w:r>
      <w:r w:rsidRPr="0084365D">
        <w:rPr>
          <w:rStyle w:val="Odwoanieprzypisudolnego"/>
          <w:rFonts w:asciiTheme="minorHAnsi" w:hAnsiTheme="minorHAnsi"/>
          <w:sz w:val="24"/>
          <w:szCs w:val="24"/>
        </w:rPr>
        <w:footnoteReference w:id="16"/>
      </w:r>
      <w:r w:rsidRPr="0084365D">
        <w:rPr>
          <w:rFonts w:asciiTheme="minorHAnsi" w:hAnsiTheme="minorHAnsi"/>
          <w:sz w:val="24"/>
          <w:szCs w:val="24"/>
        </w:rPr>
        <w:t>.</w:t>
      </w:r>
    </w:p>
    <w:p w14:paraId="3FEA3D51" w14:textId="77777777" w:rsidR="00651F3F" w:rsidRPr="00F9646B" w:rsidRDefault="00651F3F" w:rsidP="0084365D">
      <w:pPr>
        <w:spacing w:after="120"/>
        <w:jc w:val="center"/>
        <w:rPr>
          <w:lang w:val="en-US"/>
        </w:rPr>
      </w:pPr>
      <w:r w:rsidRPr="00F9646B">
        <w:rPr>
          <w:noProof/>
          <w:lang w:val="en-US"/>
        </w:rPr>
        <w:lastRenderedPageBreak/>
        <w:drawing>
          <wp:inline distT="0" distB="0" distL="0" distR="0" wp14:anchorId="1177F2A2" wp14:editId="41A3F4F6">
            <wp:extent cx="4499610" cy="3108960"/>
            <wp:effectExtent l="0" t="0" r="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499610" cy="3108960"/>
                    </a:xfrm>
                    <a:prstGeom prst="rect">
                      <a:avLst/>
                    </a:prstGeom>
                  </pic:spPr>
                </pic:pic>
              </a:graphicData>
            </a:graphic>
          </wp:inline>
        </w:drawing>
      </w:r>
    </w:p>
    <w:p w14:paraId="183F205A" w14:textId="77777777" w:rsidR="00651F3F" w:rsidRPr="0084365D" w:rsidRDefault="00651F3F" w:rsidP="0084365D">
      <w:pPr>
        <w:jc w:val="center"/>
        <w:rPr>
          <w:rFonts w:asciiTheme="minorHAnsi" w:hAnsiTheme="minorHAnsi"/>
          <w:sz w:val="18"/>
          <w:szCs w:val="18"/>
          <w:lang w:val="en-US"/>
        </w:rPr>
      </w:pPr>
      <w:r w:rsidRPr="0084365D">
        <w:rPr>
          <w:rFonts w:asciiTheme="minorHAnsi" w:hAnsiTheme="minorHAnsi"/>
          <w:sz w:val="18"/>
          <w:szCs w:val="18"/>
          <w:lang w:val="en-US"/>
        </w:rPr>
        <w:t xml:space="preserve">GDOŚ Guidelines 2016. Autor </w:t>
      </w:r>
      <w:proofErr w:type="spellStart"/>
      <w:r w:rsidRPr="0084365D">
        <w:rPr>
          <w:rFonts w:asciiTheme="minorHAnsi" w:hAnsiTheme="minorHAnsi"/>
          <w:sz w:val="18"/>
          <w:szCs w:val="18"/>
          <w:lang w:val="en-US"/>
        </w:rPr>
        <w:t>fot</w:t>
      </w:r>
      <w:proofErr w:type="spellEnd"/>
      <w:r w:rsidRPr="0084365D">
        <w:rPr>
          <w:rFonts w:asciiTheme="minorHAnsi" w:hAnsiTheme="minorHAnsi"/>
          <w:sz w:val="18"/>
          <w:szCs w:val="18"/>
          <w:lang w:val="en-US"/>
        </w:rPr>
        <w:t>.: B. Tokarska-Guzik</w:t>
      </w:r>
    </w:p>
    <w:p w14:paraId="48C8D198" w14:textId="77777777" w:rsidR="00651F3F" w:rsidRPr="0084365D" w:rsidRDefault="00651F3F" w:rsidP="0084365D">
      <w:pPr>
        <w:spacing w:after="120" w:line="276" w:lineRule="auto"/>
        <w:jc w:val="both"/>
        <w:rPr>
          <w:rFonts w:asciiTheme="minorHAnsi" w:hAnsiTheme="minorHAnsi"/>
          <w:b/>
          <w:bCs/>
          <w:sz w:val="24"/>
          <w:szCs w:val="24"/>
          <w:lang w:val="en-US"/>
        </w:rPr>
      </w:pPr>
      <w:bookmarkStart w:id="13" w:name="_Hlk163737122"/>
      <w:proofErr w:type="spellStart"/>
      <w:r w:rsidRPr="0084365D">
        <w:rPr>
          <w:rFonts w:asciiTheme="minorHAnsi" w:hAnsiTheme="minorHAnsi"/>
          <w:b/>
          <w:bCs/>
          <w:sz w:val="24"/>
          <w:szCs w:val="24"/>
          <w:lang w:val="en-US"/>
        </w:rPr>
        <w:t>Działania</w:t>
      </w:r>
      <w:proofErr w:type="spellEnd"/>
      <w:r w:rsidRPr="0084365D">
        <w:rPr>
          <w:rFonts w:asciiTheme="minorHAnsi" w:hAnsiTheme="minorHAnsi"/>
          <w:b/>
          <w:bCs/>
          <w:sz w:val="24"/>
          <w:szCs w:val="24"/>
          <w:lang w:val="en-US"/>
        </w:rPr>
        <w:t xml:space="preserve"> </w:t>
      </w:r>
      <w:proofErr w:type="spellStart"/>
      <w:r w:rsidRPr="0084365D">
        <w:rPr>
          <w:rFonts w:asciiTheme="minorHAnsi" w:hAnsiTheme="minorHAnsi"/>
          <w:b/>
          <w:bCs/>
          <w:sz w:val="24"/>
          <w:szCs w:val="24"/>
          <w:lang w:val="en-US"/>
        </w:rPr>
        <w:t>służące</w:t>
      </w:r>
      <w:proofErr w:type="spellEnd"/>
      <w:r w:rsidRPr="0084365D">
        <w:rPr>
          <w:rFonts w:asciiTheme="minorHAnsi" w:hAnsiTheme="minorHAnsi"/>
          <w:b/>
          <w:bCs/>
          <w:sz w:val="24"/>
          <w:szCs w:val="24"/>
          <w:lang w:val="en-US"/>
        </w:rPr>
        <w:t xml:space="preserve"> </w:t>
      </w:r>
      <w:proofErr w:type="spellStart"/>
      <w:r w:rsidRPr="0084365D">
        <w:rPr>
          <w:rFonts w:asciiTheme="minorHAnsi" w:hAnsiTheme="minorHAnsi"/>
          <w:b/>
          <w:bCs/>
          <w:sz w:val="24"/>
          <w:szCs w:val="24"/>
          <w:lang w:val="en-US"/>
        </w:rPr>
        <w:t>eliminacji</w:t>
      </w:r>
      <w:proofErr w:type="spellEnd"/>
    </w:p>
    <w:p w14:paraId="5B1D9733" w14:textId="77777777" w:rsidR="00651F3F" w:rsidRPr="0084365D" w:rsidRDefault="00651F3F" w:rsidP="0084365D">
      <w:pPr>
        <w:pStyle w:val="Akapitzlist"/>
        <w:numPr>
          <w:ilvl w:val="0"/>
          <w:numId w:val="7"/>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Regularne koszenie lub wykopywanie młodych roślin</w:t>
      </w:r>
      <w:r w:rsidRPr="0084365D">
        <w:rPr>
          <w:rStyle w:val="Odwoanieprzypisudolnego"/>
          <w:rFonts w:asciiTheme="minorHAnsi" w:hAnsiTheme="minorHAnsi"/>
          <w:sz w:val="24"/>
          <w:szCs w:val="24"/>
        </w:rPr>
        <w:footnoteReference w:id="17"/>
      </w:r>
      <w:r w:rsidRPr="0084365D">
        <w:rPr>
          <w:rFonts w:asciiTheme="minorHAnsi" w:hAnsiTheme="minorHAnsi"/>
          <w:sz w:val="24"/>
          <w:szCs w:val="24"/>
        </w:rPr>
        <w:t>,</w:t>
      </w:r>
    </w:p>
    <w:bookmarkEnd w:id="13"/>
    <w:p w14:paraId="193E5759" w14:textId="77777777" w:rsidR="00651F3F" w:rsidRPr="0084365D" w:rsidRDefault="00651F3F" w:rsidP="0084365D">
      <w:pPr>
        <w:pStyle w:val="Akapitzlist"/>
        <w:numPr>
          <w:ilvl w:val="0"/>
          <w:numId w:val="5"/>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Ręczne wyrywanie może być stosowane w przypadku małych stanowisk (</w:t>
      </w:r>
      <w:proofErr w:type="spellStart"/>
      <w:r w:rsidRPr="0084365D">
        <w:rPr>
          <w:rFonts w:asciiTheme="minorHAnsi" w:hAnsiTheme="minorHAnsi"/>
          <w:i/>
          <w:iCs/>
          <w:sz w:val="24"/>
          <w:szCs w:val="24"/>
        </w:rPr>
        <w:t>Timmins</w:t>
      </w:r>
      <w:proofErr w:type="spellEnd"/>
      <w:r w:rsidRPr="0084365D">
        <w:rPr>
          <w:rFonts w:asciiTheme="minorHAnsi" w:hAnsiTheme="minorHAnsi"/>
          <w:i/>
          <w:iCs/>
          <w:sz w:val="24"/>
          <w:szCs w:val="24"/>
        </w:rPr>
        <w:t xml:space="preserve"> i Mackenzie, 1995</w:t>
      </w:r>
      <w:r w:rsidRPr="0084365D">
        <w:rPr>
          <w:rFonts w:asciiTheme="minorHAnsi" w:hAnsiTheme="minorHAnsi"/>
          <w:sz w:val="24"/>
          <w:szCs w:val="24"/>
        </w:rPr>
        <w:t>). Regularne koszenie lub wypas przed dojrzewaniem nasion jest zalecane w przypadku większych stanowisk w celu zmniejszenia produkcji nasion (</w:t>
      </w:r>
      <w:r w:rsidRPr="0084365D">
        <w:rPr>
          <w:rFonts w:asciiTheme="minorHAnsi" w:hAnsiTheme="minorHAnsi"/>
          <w:i/>
          <w:iCs/>
          <w:sz w:val="24"/>
          <w:szCs w:val="24"/>
        </w:rPr>
        <w:t>NOBANIS, 2015</w:t>
      </w:r>
      <w:r w:rsidRPr="0084365D">
        <w:rPr>
          <w:rFonts w:asciiTheme="minorHAnsi" w:hAnsiTheme="minorHAnsi"/>
          <w:sz w:val="24"/>
          <w:szCs w:val="24"/>
        </w:rPr>
        <w:t>). Jednakże koszenie nie zwalcza rośliny. Zdolność</w:t>
      </w:r>
      <w:r w:rsidRPr="0084365D">
        <w:rPr>
          <w:rFonts w:asciiTheme="minorHAnsi" w:hAnsiTheme="minorHAnsi"/>
          <w:i/>
          <w:iCs/>
          <w:sz w:val="24"/>
          <w:szCs w:val="24"/>
        </w:rPr>
        <w:t xml:space="preserve"> L. </w:t>
      </w:r>
      <w:proofErr w:type="spellStart"/>
      <w:r w:rsidRPr="0084365D">
        <w:rPr>
          <w:rFonts w:asciiTheme="minorHAnsi" w:hAnsiTheme="minorHAnsi"/>
          <w:i/>
          <w:iCs/>
          <w:sz w:val="24"/>
          <w:szCs w:val="24"/>
        </w:rPr>
        <w:t>polyphyllus</w:t>
      </w:r>
      <w:proofErr w:type="spellEnd"/>
      <w:r w:rsidRPr="0084365D">
        <w:rPr>
          <w:rFonts w:asciiTheme="minorHAnsi" w:hAnsiTheme="minorHAnsi"/>
          <w:i/>
          <w:iCs/>
          <w:sz w:val="24"/>
          <w:szCs w:val="24"/>
        </w:rPr>
        <w:t xml:space="preserve"> </w:t>
      </w:r>
      <w:r w:rsidRPr="0084365D">
        <w:rPr>
          <w:rFonts w:asciiTheme="minorHAnsi" w:hAnsiTheme="minorHAnsi"/>
          <w:sz w:val="24"/>
          <w:szCs w:val="24"/>
        </w:rPr>
        <w:t>do rozmnażania wegetatywnego może utrudniać mechaniczne metody zwalczania (</w:t>
      </w:r>
      <w:proofErr w:type="spellStart"/>
      <w:r w:rsidRPr="0084365D">
        <w:rPr>
          <w:rFonts w:asciiTheme="minorHAnsi" w:hAnsiTheme="minorHAnsi"/>
          <w:i/>
          <w:iCs/>
          <w:sz w:val="24"/>
          <w:szCs w:val="24"/>
        </w:rPr>
        <w:t>Pergl</w:t>
      </w:r>
      <w:proofErr w:type="spellEnd"/>
      <w:r w:rsidRPr="0084365D">
        <w:rPr>
          <w:rFonts w:asciiTheme="minorHAnsi" w:hAnsiTheme="minorHAnsi"/>
          <w:i/>
          <w:iCs/>
          <w:sz w:val="24"/>
          <w:szCs w:val="24"/>
        </w:rPr>
        <w:t>, 2015</w:t>
      </w:r>
      <w:r w:rsidRPr="0084365D">
        <w:rPr>
          <w:rFonts w:asciiTheme="minorHAnsi" w:hAnsiTheme="minorHAnsi"/>
          <w:sz w:val="24"/>
          <w:szCs w:val="24"/>
        </w:rPr>
        <w:t>)</w:t>
      </w:r>
      <w:r w:rsidRPr="0084365D">
        <w:rPr>
          <w:rStyle w:val="Odwoanieprzypisudolnego"/>
          <w:rFonts w:asciiTheme="minorHAnsi" w:hAnsiTheme="minorHAnsi"/>
          <w:sz w:val="24"/>
          <w:szCs w:val="24"/>
        </w:rPr>
        <w:footnoteReference w:id="18"/>
      </w:r>
      <w:r w:rsidRPr="0084365D">
        <w:rPr>
          <w:rFonts w:asciiTheme="minorHAnsi" w:hAnsiTheme="minorHAnsi"/>
          <w:sz w:val="24"/>
          <w:szCs w:val="24"/>
        </w:rPr>
        <w:t>.</w:t>
      </w:r>
    </w:p>
    <w:p w14:paraId="07A9A051" w14:textId="77777777" w:rsidR="00651F3F" w:rsidRPr="0084365D" w:rsidRDefault="00651F3F" w:rsidP="0084365D">
      <w:pPr>
        <w:pStyle w:val="Akapitzlist"/>
        <w:numPr>
          <w:ilvl w:val="0"/>
          <w:numId w:val="5"/>
        </w:numPr>
        <w:spacing w:after="120" w:line="276" w:lineRule="auto"/>
        <w:contextualSpacing w:val="0"/>
        <w:jc w:val="both"/>
        <w:rPr>
          <w:rFonts w:asciiTheme="minorHAnsi" w:hAnsiTheme="minorHAnsi"/>
          <w:sz w:val="24"/>
          <w:szCs w:val="24"/>
        </w:rPr>
      </w:pPr>
      <w:r w:rsidRPr="0084365D">
        <w:rPr>
          <w:rFonts w:asciiTheme="minorHAnsi" w:hAnsiTheme="minorHAnsi"/>
          <w:sz w:val="24"/>
          <w:szCs w:val="24"/>
        </w:rPr>
        <w:t xml:space="preserve">Zwalczanie chemiczne. Skuteczne może być opryskiwanie herbicydem, takim jak </w:t>
      </w:r>
      <w:proofErr w:type="spellStart"/>
      <w:r w:rsidRPr="0084365D">
        <w:rPr>
          <w:rFonts w:asciiTheme="minorHAnsi" w:hAnsiTheme="minorHAnsi"/>
          <w:sz w:val="24"/>
          <w:szCs w:val="24"/>
        </w:rPr>
        <w:t>glifosat</w:t>
      </w:r>
      <w:proofErr w:type="spellEnd"/>
      <w:r w:rsidRPr="0084365D">
        <w:rPr>
          <w:rFonts w:asciiTheme="minorHAnsi" w:hAnsiTheme="minorHAnsi"/>
          <w:sz w:val="24"/>
          <w:szCs w:val="24"/>
        </w:rPr>
        <w:t>, (</w:t>
      </w:r>
      <w:r w:rsidRPr="0084365D">
        <w:rPr>
          <w:rFonts w:asciiTheme="minorHAnsi" w:hAnsiTheme="minorHAnsi"/>
          <w:i/>
          <w:iCs/>
          <w:sz w:val="24"/>
          <w:szCs w:val="24"/>
        </w:rPr>
        <w:t>NOBANIS, 2015; Anderson et al. 2014; USDA-NRCS, 2015</w:t>
      </w:r>
      <w:r w:rsidRPr="0084365D">
        <w:rPr>
          <w:rFonts w:asciiTheme="minorHAnsi" w:hAnsiTheme="minorHAnsi"/>
          <w:sz w:val="24"/>
          <w:szCs w:val="24"/>
        </w:rPr>
        <w:t>)</w:t>
      </w:r>
      <w:r w:rsidRPr="0084365D">
        <w:rPr>
          <w:rStyle w:val="Odwoanieprzypisudolnego"/>
          <w:rFonts w:asciiTheme="minorHAnsi" w:hAnsiTheme="minorHAnsi"/>
          <w:sz w:val="24"/>
          <w:szCs w:val="24"/>
        </w:rPr>
        <w:t xml:space="preserve"> </w:t>
      </w:r>
      <w:r w:rsidRPr="0084365D">
        <w:rPr>
          <w:rStyle w:val="Odwoanieprzypisudolnego"/>
          <w:rFonts w:asciiTheme="minorHAnsi" w:hAnsiTheme="minorHAnsi"/>
          <w:sz w:val="24"/>
          <w:szCs w:val="24"/>
        </w:rPr>
        <w:footnoteReference w:id="19"/>
      </w:r>
    </w:p>
    <w:p w14:paraId="1B1D1FBF" w14:textId="71390414" w:rsidR="00651F3F" w:rsidRDefault="00651F3F" w:rsidP="00651F3F">
      <w:pPr>
        <w:pStyle w:val="Nagwek2"/>
      </w:pPr>
      <w:bookmarkStart w:id="14" w:name="_Toc239940803"/>
      <w:r>
        <w:t xml:space="preserve">2.6. </w:t>
      </w:r>
      <w:proofErr w:type="spellStart"/>
      <w:r>
        <w:t>Kolczurka</w:t>
      </w:r>
      <w:proofErr w:type="spellEnd"/>
      <w:r>
        <w:t xml:space="preserve"> klapowana (</w:t>
      </w:r>
      <w:proofErr w:type="spellStart"/>
      <w:r>
        <w:rPr>
          <w:i/>
          <w:iCs/>
        </w:rPr>
        <w:t>Echinocystis</w:t>
      </w:r>
      <w:proofErr w:type="spellEnd"/>
      <w:r>
        <w:rPr>
          <w:i/>
          <w:iCs/>
        </w:rPr>
        <w:t xml:space="preserve"> </w:t>
      </w:r>
      <w:proofErr w:type="spellStart"/>
      <w:r>
        <w:rPr>
          <w:i/>
          <w:iCs/>
        </w:rPr>
        <w:t>lobata</w:t>
      </w:r>
      <w:proofErr w:type="spellEnd"/>
      <w:r>
        <w:t>)</w:t>
      </w:r>
      <w:bookmarkEnd w:id="14"/>
    </w:p>
    <w:p w14:paraId="009E73B8" w14:textId="77777777" w:rsidR="00651F3F" w:rsidRPr="0084365D" w:rsidRDefault="00651F3F" w:rsidP="0084365D">
      <w:pPr>
        <w:spacing w:after="120" w:line="276" w:lineRule="auto"/>
        <w:jc w:val="both"/>
        <w:rPr>
          <w:rFonts w:asciiTheme="minorHAnsi" w:hAnsiTheme="minorHAnsi"/>
          <w:b/>
          <w:bCs/>
          <w:sz w:val="24"/>
          <w:szCs w:val="24"/>
        </w:rPr>
      </w:pPr>
      <w:r w:rsidRPr="0084365D">
        <w:rPr>
          <w:rFonts w:asciiTheme="minorHAnsi" w:hAnsiTheme="minorHAnsi"/>
          <w:b/>
          <w:bCs/>
          <w:sz w:val="24"/>
          <w:szCs w:val="24"/>
        </w:rPr>
        <w:t>Charakterystyka gatunku</w:t>
      </w:r>
    </w:p>
    <w:p w14:paraId="59CA11F7" w14:textId="77777777" w:rsidR="00651F3F" w:rsidRPr="0084365D" w:rsidRDefault="00651F3F" w:rsidP="0084365D">
      <w:pPr>
        <w:spacing w:after="120" w:line="276" w:lineRule="auto"/>
        <w:jc w:val="both"/>
        <w:rPr>
          <w:rFonts w:asciiTheme="minorHAnsi" w:hAnsiTheme="minorHAnsi"/>
          <w:sz w:val="24"/>
          <w:szCs w:val="24"/>
        </w:rPr>
      </w:pPr>
      <w:proofErr w:type="spellStart"/>
      <w:r w:rsidRPr="0084365D">
        <w:rPr>
          <w:rFonts w:asciiTheme="minorHAnsi" w:hAnsiTheme="minorHAnsi"/>
          <w:sz w:val="24"/>
          <w:szCs w:val="24"/>
        </w:rPr>
        <w:t>Kolczurka</w:t>
      </w:r>
      <w:proofErr w:type="spellEnd"/>
      <w:r w:rsidRPr="0084365D">
        <w:rPr>
          <w:rFonts w:asciiTheme="minorHAnsi" w:hAnsiTheme="minorHAnsi"/>
          <w:sz w:val="24"/>
          <w:szCs w:val="24"/>
        </w:rPr>
        <w:t xml:space="preserve"> klapowana </w:t>
      </w:r>
      <w:proofErr w:type="spellStart"/>
      <w:r w:rsidRPr="0084365D">
        <w:rPr>
          <w:rFonts w:asciiTheme="minorHAnsi" w:hAnsiTheme="minorHAnsi"/>
          <w:i/>
          <w:iCs/>
          <w:sz w:val="24"/>
          <w:szCs w:val="24"/>
        </w:rPr>
        <w:t>Echinocystis</w:t>
      </w:r>
      <w:proofErr w:type="spellEnd"/>
      <w:r w:rsidRPr="0084365D">
        <w:rPr>
          <w:rFonts w:asciiTheme="minorHAnsi" w:hAnsiTheme="minorHAnsi"/>
          <w:i/>
          <w:iCs/>
          <w:sz w:val="24"/>
          <w:szCs w:val="24"/>
        </w:rPr>
        <w:t xml:space="preserve"> </w:t>
      </w:r>
      <w:proofErr w:type="spellStart"/>
      <w:r w:rsidRPr="0084365D">
        <w:rPr>
          <w:rFonts w:asciiTheme="minorHAnsi" w:hAnsiTheme="minorHAnsi"/>
          <w:i/>
          <w:iCs/>
          <w:sz w:val="24"/>
          <w:szCs w:val="24"/>
        </w:rPr>
        <w:t>lobata</w:t>
      </w:r>
      <w:proofErr w:type="spellEnd"/>
      <w:r w:rsidRPr="0084365D">
        <w:rPr>
          <w:rFonts w:asciiTheme="minorHAnsi" w:hAnsiTheme="minorHAnsi"/>
          <w:sz w:val="24"/>
          <w:szCs w:val="24"/>
        </w:rPr>
        <w:t xml:space="preserve"> jest rośliną roczną o pnącej, wijącej się łodydze, dorastającej do kilkunastu metrów długości, zaopatrzonej w liczne rozgałęzione wąsy czepne pochodzenia liściowego. Dzięki nim </w:t>
      </w:r>
      <w:proofErr w:type="spellStart"/>
      <w:r w:rsidRPr="0084365D">
        <w:rPr>
          <w:rFonts w:asciiTheme="minorHAnsi" w:hAnsiTheme="minorHAnsi"/>
          <w:sz w:val="24"/>
          <w:szCs w:val="24"/>
        </w:rPr>
        <w:t>kolczurka</w:t>
      </w:r>
      <w:proofErr w:type="spellEnd"/>
      <w:r w:rsidRPr="0084365D">
        <w:rPr>
          <w:rFonts w:asciiTheme="minorHAnsi" w:hAnsiTheme="minorHAnsi"/>
          <w:sz w:val="24"/>
          <w:szCs w:val="24"/>
        </w:rPr>
        <w:t xml:space="preserve"> może sprawnie wspinać się po innych roślinach czy sztucznych podporach, ogrodzeniach, słupach itp.</w:t>
      </w:r>
    </w:p>
    <w:p w14:paraId="38200C72" w14:textId="77777777" w:rsidR="00651F3F" w:rsidRPr="0084365D" w:rsidRDefault="00651F3F" w:rsidP="0084365D">
      <w:pPr>
        <w:spacing w:after="120" w:line="276" w:lineRule="auto"/>
        <w:jc w:val="both"/>
        <w:rPr>
          <w:rFonts w:asciiTheme="minorHAnsi" w:hAnsiTheme="minorHAnsi"/>
          <w:sz w:val="24"/>
          <w:szCs w:val="24"/>
        </w:rPr>
      </w:pPr>
      <w:r w:rsidRPr="0084365D">
        <w:rPr>
          <w:rFonts w:asciiTheme="minorHAnsi" w:hAnsiTheme="minorHAnsi"/>
          <w:sz w:val="24"/>
          <w:szCs w:val="24"/>
        </w:rPr>
        <w:lastRenderedPageBreak/>
        <w:t>Możemy ją spotkać na przypłociach, przychaciach, przydrożach, w okolicach wysypisk śmieci, ogródków działkowych, cmentarzach, na ugorach i miedzach śródpolnych. Z tych wszystkim miejsc łatwo przedostaje się dalej, porastając brzegi kanałów melioracyjnych, rzek, jezior, wilgotne łąki i skraje lasów łęgowych.</w:t>
      </w:r>
    </w:p>
    <w:p w14:paraId="408A3CF1" w14:textId="77777777" w:rsidR="00651F3F" w:rsidRPr="0084365D" w:rsidRDefault="00651F3F" w:rsidP="0084365D">
      <w:pPr>
        <w:spacing w:after="120" w:line="276" w:lineRule="auto"/>
        <w:jc w:val="both"/>
        <w:rPr>
          <w:rFonts w:asciiTheme="minorHAnsi" w:hAnsiTheme="minorHAnsi"/>
          <w:sz w:val="24"/>
          <w:szCs w:val="24"/>
        </w:rPr>
      </w:pPr>
      <w:r w:rsidRPr="0084365D">
        <w:rPr>
          <w:rFonts w:asciiTheme="minorHAnsi" w:hAnsiTheme="minorHAnsi"/>
          <w:sz w:val="24"/>
          <w:szCs w:val="24"/>
        </w:rPr>
        <w:t xml:space="preserve">Owocem </w:t>
      </w:r>
      <w:proofErr w:type="spellStart"/>
      <w:r w:rsidRPr="0084365D">
        <w:rPr>
          <w:rFonts w:asciiTheme="minorHAnsi" w:hAnsiTheme="minorHAnsi"/>
          <w:sz w:val="24"/>
          <w:szCs w:val="24"/>
        </w:rPr>
        <w:t>kolczurki</w:t>
      </w:r>
      <w:proofErr w:type="spellEnd"/>
      <w:r w:rsidRPr="0084365D">
        <w:rPr>
          <w:rFonts w:asciiTheme="minorHAnsi" w:hAnsiTheme="minorHAnsi"/>
          <w:sz w:val="24"/>
          <w:szCs w:val="24"/>
        </w:rPr>
        <w:t xml:space="preserve"> jest mięsista torebka, która po dojrzeniu pęka na szczycie i uwalnia stosunkowo duże nasiona.</w:t>
      </w:r>
    </w:p>
    <w:p w14:paraId="1250C6FD" w14:textId="77777777" w:rsidR="00651F3F" w:rsidRPr="0084365D" w:rsidRDefault="00651F3F" w:rsidP="0084365D">
      <w:pPr>
        <w:spacing w:after="120" w:line="276" w:lineRule="auto"/>
        <w:jc w:val="both"/>
        <w:rPr>
          <w:rFonts w:asciiTheme="minorHAnsi" w:hAnsiTheme="minorHAnsi"/>
          <w:sz w:val="24"/>
          <w:szCs w:val="24"/>
        </w:rPr>
      </w:pPr>
      <w:r w:rsidRPr="0084365D">
        <w:rPr>
          <w:rFonts w:asciiTheme="minorHAnsi" w:hAnsiTheme="minorHAnsi"/>
          <w:sz w:val="24"/>
          <w:szCs w:val="24"/>
        </w:rPr>
        <w:t>Kolczurka klapowana zaliczana jest do grupy tzw. „</w:t>
      </w:r>
      <w:proofErr w:type="spellStart"/>
      <w:r w:rsidRPr="0084365D">
        <w:rPr>
          <w:rFonts w:asciiTheme="minorHAnsi" w:hAnsiTheme="minorHAnsi"/>
          <w:sz w:val="24"/>
          <w:szCs w:val="24"/>
        </w:rPr>
        <w:t>transformers</w:t>
      </w:r>
      <w:proofErr w:type="spellEnd"/>
      <w:r w:rsidRPr="0084365D">
        <w:rPr>
          <w:rFonts w:asciiTheme="minorHAnsi" w:hAnsiTheme="minorHAnsi"/>
          <w:sz w:val="24"/>
          <w:szCs w:val="24"/>
        </w:rPr>
        <w:t>”, czyli roślin przekształcających opanowane zbiorowiska.</w:t>
      </w:r>
    </w:p>
    <w:p w14:paraId="3FEE9ECB" w14:textId="77777777" w:rsidR="00651F3F" w:rsidRPr="0084365D" w:rsidRDefault="00651F3F" w:rsidP="0084365D">
      <w:pPr>
        <w:spacing w:after="120" w:line="276" w:lineRule="auto"/>
        <w:jc w:val="both"/>
        <w:rPr>
          <w:rFonts w:asciiTheme="minorHAnsi" w:hAnsiTheme="minorHAnsi"/>
          <w:sz w:val="24"/>
          <w:szCs w:val="24"/>
        </w:rPr>
      </w:pPr>
      <w:r w:rsidRPr="0084365D">
        <w:rPr>
          <w:rFonts w:asciiTheme="minorHAnsi" w:hAnsiTheme="minorHAnsi"/>
          <w:sz w:val="24"/>
          <w:szCs w:val="24"/>
        </w:rPr>
        <w:t xml:space="preserve">Nasiona, zachowują żywotność powyżej roku i po wysuszeniu z łatwością przenoszone są z wiatrem czy wodą. Szczególnie jest to niebezpieczne, gdy </w:t>
      </w:r>
      <w:proofErr w:type="spellStart"/>
      <w:r w:rsidRPr="0084365D">
        <w:rPr>
          <w:rFonts w:asciiTheme="minorHAnsi" w:hAnsiTheme="minorHAnsi"/>
          <w:sz w:val="24"/>
          <w:szCs w:val="24"/>
        </w:rPr>
        <w:t>kolczurka</w:t>
      </w:r>
      <w:proofErr w:type="spellEnd"/>
      <w:r w:rsidRPr="0084365D">
        <w:rPr>
          <w:rFonts w:asciiTheme="minorHAnsi" w:hAnsiTheme="minorHAnsi"/>
          <w:sz w:val="24"/>
          <w:szCs w:val="24"/>
        </w:rPr>
        <w:t xml:space="preserve"> pojawi się nad zbiornikami i ciekami wodnymi. </w:t>
      </w:r>
    </w:p>
    <w:p w14:paraId="404EA524" w14:textId="77777777" w:rsidR="00651F3F" w:rsidRPr="0084365D" w:rsidRDefault="00651F3F" w:rsidP="0084365D">
      <w:pPr>
        <w:spacing w:after="120" w:line="276" w:lineRule="auto"/>
        <w:jc w:val="both"/>
        <w:rPr>
          <w:rFonts w:asciiTheme="minorHAnsi" w:hAnsiTheme="minorHAnsi"/>
          <w:sz w:val="24"/>
          <w:szCs w:val="24"/>
        </w:rPr>
      </w:pPr>
      <w:r w:rsidRPr="0084365D">
        <w:rPr>
          <w:rFonts w:asciiTheme="minorHAnsi" w:hAnsiTheme="minorHAnsi"/>
          <w:sz w:val="24"/>
          <w:szCs w:val="24"/>
        </w:rPr>
        <w:t>Kolczurka jest szczególnie łatwa do zauważenia w momencie kwitnienia (od lipca do września), kiedy wytwarza liczne, biało-zielone kwiaty – męskie zebrane w wielokwiatowe wiechy i kwiaty żeńskie, wyrastające pojedynczo lub po dwa w kątach tych samych, co kwiatostany męskie, liści</w:t>
      </w:r>
      <w:r w:rsidRPr="0084365D">
        <w:rPr>
          <w:rStyle w:val="Odwoanieprzypisudolnego"/>
          <w:rFonts w:asciiTheme="minorHAnsi" w:hAnsiTheme="minorHAnsi"/>
          <w:sz w:val="24"/>
          <w:szCs w:val="24"/>
        </w:rPr>
        <w:footnoteReference w:id="20"/>
      </w:r>
      <w:r w:rsidRPr="0084365D">
        <w:rPr>
          <w:rFonts w:asciiTheme="minorHAnsi" w:hAnsiTheme="minorHAnsi"/>
          <w:sz w:val="24"/>
          <w:szCs w:val="24"/>
        </w:rPr>
        <w:t>.</w:t>
      </w:r>
    </w:p>
    <w:p w14:paraId="2422364A" w14:textId="04444C20" w:rsidR="00651F3F" w:rsidRPr="00F9646B" w:rsidRDefault="00651F3F" w:rsidP="0084365D">
      <w:pPr>
        <w:keepNext/>
        <w:jc w:val="center"/>
      </w:pPr>
      <w:r w:rsidRPr="00F9646B">
        <w:rPr>
          <w:noProof/>
        </w:rPr>
        <w:lastRenderedPageBreak/>
        <w:drawing>
          <wp:inline distT="0" distB="0" distL="0" distR="0" wp14:anchorId="34847C09" wp14:editId="5997324B">
            <wp:extent cx="4499610" cy="3787775"/>
            <wp:effectExtent l="0" t="0" r="0" b="317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499610" cy="3787775"/>
                    </a:xfrm>
                    <a:prstGeom prst="rect">
                      <a:avLst/>
                    </a:prstGeom>
                  </pic:spPr>
                </pic:pic>
              </a:graphicData>
            </a:graphic>
          </wp:inline>
        </w:drawing>
      </w:r>
      <w:r w:rsidRPr="00F9646B">
        <w:rPr>
          <w:noProof/>
        </w:rPr>
        <w:lastRenderedPageBreak/>
        <w:drawing>
          <wp:inline distT="0" distB="0" distL="0" distR="0" wp14:anchorId="18715CF6" wp14:editId="50080A8E">
            <wp:extent cx="3099460" cy="4531532"/>
            <wp:effectExtent l="0" t="0" r="5715" b="254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101284" cy="4534199"/>
                    </a:xfrm>
                    <a:prstGeom prst="rect">
                      <a:avLst/>
                    </a:prstGeom>
                  </pic:spPr>
                </pic:pic>
              </a:graphicData>
            </a:graphic>
          </wp:inline>
        </w:drawing>
      </w:r>
      <w:r w:rsidRPr="00F9646B">
        <w:rPr>
          <w:noProof/>
        </w:rPr>
        <w:t xml:space="preserve"> </w:t>
      </w:r>
      <w:r w:rsidRPr="00F9646B">
        <w:rPr>
          <w:noProof/>
        </w:rPr>
        <w:drawing>
          <wp:inline distT="0" distB="0" distL="0" distR="0" wp14:anchorId="5F89C479" wp14:editId="43433C76">
            <wp:extent cx="4499610" cy="3441700"/>
            <wp:effectExtent l="0" t="0" r="0" b="635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99610" cy="3441700"/>
                    </a:xfrm>
                    <a:prstGeom prst="rect">
                      <a:avLst/>
                    </a:prstGeom>
                  </pic:spPr>
                </pic:pic>
              </a:graphicData>
            </a:graphic>
          </wp:inline>
        </w:drawing>
      </w:r>
    </w:p>
    <w:p w14:paraId="21426B5D" w14:textId="77777777" w:rsidR="004906D8" w:rsidRDefault="004906D8" w:rsidP="00651F3F">
      <w:pPr>
        <w:rPr>
          <w:b/>
          <w:bCs/>
        </w:rPr>
      </w:pPr>
    </w:p>
    <w:p w14:paraId="4F89710D" w14:textId="414222EB" w:rsidR="00651F3F" w:rsidRPr="004906D8" w:rsidRDefault="00651F3F" w:rsidP="004906D8">
      <w:pPr>
        <w:spacing w:after="120" w:line="276" w:lineRule="auto"/>
        <w:jc w:val="both"/>
        <w:rPr>
          <w:rFonts w:asciiTheme="minorHAnsi" w:hAnsiTheme="minorHAnsi"/>
          <w:b/>
          <w:bCs/>
          <w:sz w:val="24"/>
          <w:szCs w:val="24"/>
        </w:rPr>
      </w:pPr>
      <w:r w:rsidRPr="004906D8">
        <w:rPr>
          <w:rFonts w:asciiTheme="minorHAnsi" w:hAnsiTheme="minorHAnsi"/>
          <w:b/>
          <w:bCs/>
          <w:sz w:val="24"/>
          <w:szCs w:val="24"/>
        </w:rPr>
        <w:lastRenderedPageBreak/>
        <w:t>Działania służące eliminacji</w:t>
      </w:r>
    </w:p>
    <w:p w14:paraId="66C2D417" w14:textId="2CA6D275" w:rsidR="00651F3F" w:rsidRPr="004906D8" w:rsidRDefault="00651F3F" w:rsidP="004906D8">
      <w:pPr>
        <w:spacing w:after="120" w:line="276" w:lineRule="auto"/>
        <w:jc w:val="both"/>
        <w:rPr>
          <w:rFonts w:asciiTheme="minorHAnsi" w:hAnsiTheme="minorHAnsi"/>
          <w:sz w:val="24"/>
          <w:szCs w:val="24"/>
        </w:rPr>
      </w:pPr>
      <w:r w:rsidRPr="004906D8">
        <w:rPr>
          <w:rFonts w:asciiTheme="minorHAnsi" w:hAnsiTheme="minorHAnsi"/>
          <w:sz w:val="24"/>
          <w:szCs w:val="24"/>
        </w:rPr>
        <w:t xml:space="preserve">Kolczurka bywa też nieumyślnie wprowadzana i rozpowszechniana przez człowieka. Nasiona mogą być przenoszone wraz z transportowaną ziemią, zwłaszcza podczas prac związanych z umacnianiem brzegów rzek, czy modernizacją wałów przeciwpowodziowych. Według Kompendium </w:t>
      </w:r>
      <w:proofErr w:type="spellStart"/>
      <w:r w:rsidRPr="004906D8">
        <w:rPr>
          <w:rFonts w:asciiTheme="minorHAnsi" w:hAnsiTheme="minorHAnsi"/>
          <w:sz w:val="24"/>
          <w:szCs w:val="24"/>
        </w:rPr>
        <w:t>Cabi</w:t>
      </w:r>
      <w:proofErr w:type="spellEnd"/>
      <w:r w:rsidRPr="004906D8">
        <w:rPr>
          <w:rFonts w:asciiTheme="minorHAnsi" w:hAnsiTheme="minorHAnsi"/>
          <w:sz w:val="24"/>
          <w:szCs w:val="24"/>
        </w:rPr>
        <w:t xml:space="preserve"> "Jak dotąd celowe działania mające na celu zwalczanie </w:t>
      </w:r>
      <w:r w:rsidRPr="004906D8">
        <w:rPr>
          <w:rFonts w:asciiTheme="minorHAnsi" w:hAnsiTheme="minorHAnsi"/>
          <w:i/>
          <w:iCs/>
          <w:sz w:val="24"/>
          <w:szCs w:val="24"/>
        </w:rPr>
        <w:t xml:space="preserve">E. </w:t>
      </w:r>
      <w:proofErr w:type="spellStart"/>
      <w:r w:rsidRPr="004906D8">
        <w:rPr>
          <w:rFonts w:asciiTheme="minorHAnsi" w:hAnsiTheme="minorHAnsi"/>
          <w:i/>
          <w:iCs/>
          <w:sz w:val="24"/>
          <w:szCs w:val="24"/>
        </w:rPr>
        <w:t>lobata</w:t>
      </w:r>
      <w:proofErr w:type="spellEnd"/>
      <w:r w:rsidRPr="004906D8">
        <w:rPr>
          <w:rFonts w:asciiTheme="minorHAnsi" w:hAnsiTheme="minorHAnsi"/>
          <w:sz w:val="24"/>
          <w:szCs w:val="24"/>
        </w:rPr>
        <w:t xml:space="preserve"> nie były podejmowane na dużą skalę. Pośrednio roślina ta może być usuwana podczas zabiegów zwalczania innych gatunków inwazyjnych, np. </w:t>
      </w:r>
      <w:proofErr w:type="spellStart"/>
      <w:r w:rsidRPr="004906D8">
        <w:rPr>
          <w:rFonts w:asciiTheme="minorHAnsi" w:hAnsiTheme="minorHAnsi"/>
          <w:sz w:val="24"/>
          <w:szCs w:val="24"/>
        </w:rPr>
        <w:t>rdestowców</w:t>
      </w:r>
      <w:proofErr w:type="spellEnd"/>
      <w:r w:rsidRPr="004906D8">
        <w:rPr>
          <w:rFonts w:asciiTheme="minorHAnsi" w:hAnsiTheme="minorHAnsi"/>
          <w:sz w:val="24"/>
          <w:szCs w:val="24"/>
        </w:rPr>
        <w:t xml:space="preserve"> (</w:t>
      </w:r>
      <w:proofErr w:type="spellStart"/>
      <w:r w:rsidR="000D5C18" w:rsidRPr="004906D8">
        <w:rPr>
          <w:rFonts w:asciiTheme="minorHAnsi" w:hAnsiTheme="minorHAnsi"/>
          <w:i/>
          <w:iCs/>
          <w:sz w:val="24"/>
          <w:szCs w:val="24"/>
        </w:rPr>
        <w:t>Reynoutria</w:t>
      </w:r>
      <w:proofErr w:type="spellEnd"/>
      <w:r w:rsidRPr="004906D8">
        <w:rPr>
          <w:rFonts w:asciiTheme="minorHAnsi" w:hAnsiTheme="minorHAnsi"/>
          <w:sz w:val="24"/>
          <w:szCs w:val="24"/>
        </w:rPr>
        <w:t xml:space="preserve"> </w:t>
      </w:r>
      <w:proofErr w:type="spellStart"/>
      <w:r w:rsidRPr="004906D8">
        <w:rPr>
          <w:rFonts w:asciiTheme="minorHAnsi" w:hAnsiTheme="minorHAnsi"/>
          <w:sz w:val="24"/>
          <w:szCs w:val="24"/>
        </w:rPr>
        <w:t>spp</w:t>
      </w:r>
      <w:proofErr w:type="spellEnd"/>
      <w:r w:rsidRPr="004906D8">
        <w:rPr>
          <w:rFonts w:asciiTheme="minorHAnsi" w:hAnsiTheme="minorHAnsi"/>
          <w:sz w:val="24"/>
          <w:szCs w:val="24"/>
        </w:rPr>
        <w:t xml:space="preserve">.) na brzegach wód. Ze względu na charakter takich siedlisk, działania mające na celu ochronę cennych przyrodniczo obszarów powinny polegać na wyrywaniu, wycinaniu lub koszeniu dziko rosnącej </w:t>
      </w:r>
      <w:proofErr w:type="spellStart"/>
      <w:r w:rsidRPr="004906D8">
        <w:rPr>
          <w:rFonts w:asciiTheme="minorHAnsi" w:hAnsiTheme="minorHAnsi"/>
          <w:sz w:val="24"/>
          <w:szCs w:val="24"/>
        </w:rPr>
        <w:t>kolczurki</w:t>
      </w:r>
      <w:proofErr w:type="spellEnd"/>
      <w:r w:rsidRPr="004906D8">
        <w:rPr>
          <w:rFonts w:asciiTheme="minorHAnsi" w:hAnsiTheme="minorHAnsi"/>
          <w:sz w:val="24"/>
          <w:szCs w:val="24"/>
        </w:rPr>
        <w:t xml:space="preserve"> klapowanej (</w:t>
      </w:r>
      <w:proofErr w:type="spellStart"/>
      <w:r w:rsidRPr="004906D8">
        <w:rPr>
          <w:rFonts w:asciiTheme="minorHAnsi" w:hAnsiTheme="minorHAnsi"/>
          <w:i/>
          <w:iCs/>
          <w:sz w:val="24"/>
          <w:szCs w:val="24"/>
        </w:rPr>
        <w:t>Dajdok</w:t>
      </w:r>
      <w:proofErr w:type="spellEnd"/>
      <w:r w:rsidRPr="004906D8">
        <w:rPr>
          <w:rFonts w:asciiTheme="minorHAnsi" w:hAnsiTheme="minorHAnsi"/>
          <w:i/>
          <w:iCs/>
          <w:sz w:val="24"/>
          <w:szCs w:val="24"/>
        </w:rPr>
        <w:t xml:space="preserve"> i Kącki, 2009</w:t>
      </w:r>
      <w:r w:rsidRPr="004906D8">
        <w:rPr>
          <w:rFonts w:asciiTheme="minorHAnsi" w:hAnsiTheme="minorHAnsi"/>
          <w:sz w:val="24"/>
          <w:szCs w:val="24"/>
        </w:rPr>
        <w:t>). Możliwość stosowania środków chemicznych musi być dostosowana do warunków i lokalnych przepisów (w wielu krajach stosowanie środków chemicznych takich jak herbicydy w pobliżu wód jest zabronione)</w:t>
      </w:r>
      <w:r w:rsidRPr="004906D8">
        <w:rPr>
          <w:rStyle w:val="Odwoanieprzypisudolnego"/>
          <w:rFonts w:asciiTheme="minorHAnsi" w:hAnsiTheme="minorHAnsi"/>
          <w:sz w:val="24"/>
          <w:szCs w:val="24"/>
        </w:rPr>
        <w:footnoteReference w:id="21"/>
      </w:r>
      <w:r w:rsidRPr="004906D8">
        <w:rPr>
          <w:rFonts w:asciiTheme="minorHAnsi" w:hAnsiTheme="minorHAnsi"/>
          <w:sz w:val="24"/>
          <w:szCs w:val="24"/>
        </w:rPr>
        <w:t xml:space="preserve">”. </w:t>
      </w:r>
    </w:p>
    <w:p w14:paraId="5B4F646C" w14:textId="77777777" w:rsidR="00651F3F" w:rsidRPr="004906D8" w:rsidRDefault="00651F3F" w:rsidP="004906D8">
      <w:pPr>
        <w:spacing w:after="120" w:line="276" w:lineRule="auto"/>
        <w:jc w:val="both"/>
        <w:rPr>
          <w:rFonts w:asciiTheme="minorHAnsi" w:hAnsiTheme="minorHAnsi"/>
          <w:sz w:val="24"/>
          <w:szCs w:val="24"/>
        </w:rPr>
      </w:pPr>
      <w:r w:rsidRPr="004906D8">
        <w:rPr>
          <w:rFonts w:asciiTheme="minorHAnsi" w:hAnsiTheme="minorHAnsi"/>
          <w:sz w:val="24"/>
          <w:szCs w:val="24"/>
        </w:rPr>
        <w:t>Polskie źródła wspominają o następujących metodach zwalczania gatunku:</w:t>
      </w:r>
    </w:p>
    <w:p w14:paraId="0FCC7CEC" w14:textId="77777777" w:rsidR="00651F3F" w:rsidRPr="004906D8" w:rsidRDefault="00651F3F" w:rsidP="004906D8">
      <w:pPr>
        <w:pStyle w:val="Akapitzlist"/>
        <w:numPr>
          <w:ilvl w:val="0"/>
          <w:numId w:val="8"/>
        </w:numPr>
        <w:spacing w:after="120" w:line="276" w:lineRule="auto"/>
        <w:contextualSpacing w:val="0"/>
        <w:jc w:val="both"/>
        <w:rPr>
          <w:rFonts w:asciiTheme="minorHAnsi" w:hAnsiTheme="minorHAnsi"/>
          <w:sz w:val="24"/>
          <w:szCs w:val="24"/>
          <w:lang w:val="en-US"/>
        </w:rPr>
      </w:pPr>
      <w:r w:rsidRPr="004906D8">
        <w:rPr>
          <w:rFonts w:asciiTheme="minorHAnsi" w:hAnsiTheme="minorHAnsi"/>
          <w:sz w:val="24"/>
          <w:szCs w:val="24"/>
        </w:rPr>
        <w:t xml:space="preserve">Zwalczanie </w:t>
      </w:r>
      <w:proofErr w:type="spellStart"/>
      <w:r w:rsidRPr="004906D8">
        <w:rPr>
          <w:rFonts w:asciiTheme="minorHAnsi" w:hAnsiTheme="minorHAnsi"/>
          <w:sz w:val="24"/>
          <w:szCs w:val="24"/>
        </w:rPr>
        <w:t>kolczurki</w:t>
      </w:r>
      <w:proofErr w:type="spellEnd"/>
      <w:r w:rsidRPr="004906D8">
        <w:rPr>
          <w:rFonts w:asciiTheme="minorHAnsi" w:hAnsiTheme="minorHAnsi"/>
          <w:sz w:val="24"/>
          <w:szCs w:val="24"/>
        </w:rPr>
        <w:t xml:space="preserve"> polega na ogół na mechanicznym usuwaniu: wyrywaniu lub koszeniu roślin przed wydaniem nasion. Najlepsze efekty daje wyrywanie siewek wiosną (zaczyna kiełkować na przełomie kwietnia i maja). </w:t>
      </w:r>
      <w:proofErr w:type="spellStart"/>
      <w:r w:rsidRPr="004906D8">
        <w:rPr>
          <w:rFonts w:asciiTheme="minorHAnsi" w:hAnsiTheme="minorHAnsi"/>
          <w:sz w:val="24"/>
          <w:szCs w:val="24"/>
          <w:lang w:val="en-US"/>
        </w:rPr>
        <w:t>Są</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łatwe</w:t>
      </w:r>
      <w:proofErr w:type="spellEnd"/>
      <w:r w:rsidRPr="004906D8">
        <w:rPr>
          <w:rFonts w:asciiTheme="minorHAnsi" w:hAnsiTheme="minorHAnsi"/>
          <w:sz w:val="24"/>
          <w:szCs w:val="24"/>
          <w:lang w:val="en-US"/>
        </w:rPr>
        <w:t xml:space="preserve"> do </w:t>
      </w:r>
      <w:proofErr w:type="spellStart"/>
      <w:r w:rsidRPr="004906D8">
        <w:rPr>
          <w:rFonts w:asciiTheme="minorHAnsi" w:hAnsiTheme="minorHAnsi"/>
          <w:sz w:val="24"/>
          <w:szCs w:val="24"/>
          <w:lang w:val="en-US"/>
        </w:rPr>
        <w:t>zidentyfikowania</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i</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można</w:t>
      </w:r>
      <w:proofErr w:type="spellEnd"/>
      <w:r w:rsidRPr="004906D8">
        <w:rPr>
          <w:rFonts w:asciiTheme="minorHAnsi" w:hAnsiTheme="minorHAnsi"/>
          <w:sz w:val="24"/>
          <w:szCs w:val="24"/>
          <w:lang w:val="en-US"/>
        </w:rPr>
        <w:t xml:space="preserve"> je </w:t>
      </w:r>
      <w:proofErr w:type="spellStart"/>
      <w:r w:rsidRPr="004906D8">
        <w:rPr>
          <w:rFonts w:asciiTheme="minorHAnsi" w:hAnsiTheme="minorHAnsi"/>
          <w:sz w:val="24"/>
          <w:szCs w:val="24"/>
          <w:lang w:val="en-US"/>
        </w:rPr>
        <w:t>skutecznie</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wyeliminować</w:t>
      </w:r>
      <w:proofErr w:type="spellEnd"/>
      <w:r w:rsidRPr="004906D8">
        <w:rPr>
          <w:rFonts w:asciiTheme="minorHAnsi" w:hAnsiTheme="minorHAnsi"/>
          <w:sz w:val="24"/>
          <w:szCs w:val="24"/>
          <w:lang w:val="en-US"/>
        </w:rPr>
        <w:t>.</w:t>
      </w:r>
    </w:p>
    <w:p w14:paraId="32E11C9D" w14:textId="77777777" w:rsidR="00651F3F" w:rsidRPr="004906D8" w:rsidRDefault="00651F3F" w:rsidP="004906D8">
      <w:pPr>
        <w:pStyle w:val="Akapitzlist"/>
        <w:numPr>
          <w:ilvl w:val="0"/>
          <w:numId w:val="8"/>
        </w:numPr>
        <w:spacing w:after="120" w:line="276" w:lineRule="auto"/>
        <w:contextualSpacing w:val="0"/>
        <w:jc w:val="both"/>
        <w:rPr>
          <w:rFonts w:asciiTheme="minorHAnsi" w:hAnsiTheme="minorHAnsi"/>
          <w:sz w:val="24"/>
          <w:szCs w:val="24"/>
        </w:rPr>
      </w:pPr>
      <w:r w:rsidRPr="004906D8">
        <w:rPr>
          <w:rFonts w:asciiTheme="minorHAnsi" w:hAnsiTheme="minorHAnsi"/>
          <w:sz w:val="24"/>
          <w:szCs w:val="24"/>
        </w:rPr>
        <w:t xml:space="preserve">Zabiegi te należy powtarzać corocznie, przez kilka sezonów. Koszenie czy wyrywanie w momencie owocowania musi być połączone z utylizacją (np. spaleniem w dozwolonym miejscu). Skuteczne są również metody chemiczne, oprysk lub smarowanie liści preparatami zawierającymi </w:t>
      </w:r>
      <w:proofErr w:type="spellStart"/>
      <w:r w:rsidRPr="004906D8">
        <w:rPr>
          <w:rFonts w:asciiTheme="minorHAnsi" w:hAnsiTheme="minorHAnsi"/>
          <w:sz w:val="24"/>
          <w:szCs w:val="24"/>
        </w:rPr>
        <w:t>glifosat</w:t>
      </w:r>
      <w:proofErr w:type="spellEnd"/>
      <w:r w:rsidRPr="004906D8">
        <w:rPr>
          <w:rStyle w:val="Odwoanieprzypisudolnego"/>
          <w:rFonts w:asciiTheme="minorHAnsi" w:hAnsiTheme="minorHAnsi"/>
          <w:sz w:val="24"/>
          <w:szCs w:val="24"/>
        </w:rPr>
        <w:footnoteReference w:id="22"/>
      </w:r>
      <w:r w:rsidRPr="004906D8">
        <w:rPr>
          <w:rFonts w:asciiTheme="minorHAnsi" w:hAnsiTheme="minorHAnsi"/>
          <w:sz w:val="24"/>
          <w:szCs w:val="24"/>
        </w:rPr>
        <w:t>.</w:t>
      </w:r>
    </w:p>
    <w:p w14:paraId="01137354" w14:textId="77777777" w:rsidR="00651F3F" w:rsidRPr="004906D8" w:rsidRDefault="00651F3F" w:rsidP="004906D8">
      <w:pPr>
        <w:pStyle w:val="Akapitzlist"/>
        <w:numPr>
          <w:ilvl w:val="0"/>
          <w:numId w:val="8"/>
        </w:numPr>
        <w:spacing w:after="120" w:line="276" w:lineRule="auto"/>
        <w:contextualSpacing w:val="0"/>
        <w:jc w:val="both"/>
        <w:rPr>
          <w:rFonts w:asciiTheme="minorHAnsi" w:hAnsiTheme="minorHAnsi"/>
          <w:sz w:val="24"/>
          <w:szCs w:val="24"/>
        </w:rPr>
      </w:pPr>
      <w:r w:rsidRPr="004906D8">
        <w:rPr>
          <w:rFonts w:asciiTheme="minorHAnsi" w:hAnsiTheme="minorHAnsi"/>
          <w:sz w:val="24"/>
          <w:szCs w:val="24"/>
        </w:rPr>
        <w:t xml:space="preserve">Kompendium metod zwalczania </w:t>
      </w:r>
      <w:proofErr w:type="spellStart"/>
      <w:r w:rsidRPr="004906D8">
        <w:rPr>
          <w:rFonts w:asciiTheme="minorHAnsi" w:hAnsiTheme="minorHAnsi"/>
          <w:sz w:val="24"/>
          <w:szCs w:val="24"/>
        </w:rPr>
        <w:t>kolczurki</w:t>
      </w:r>
      <w:proofErr w:type="spellEnd"/>
      <w:r w:rsidRPr="004906D8">
        <w:rPr>
          <w:rFonts w:asciiTheme="minorHAnsi" w:hAnsiTheme="minorHAnsi"/>
          <w:sz w:val="24"/>
          <w:szCs w:val="24"/>
        </w:rPr>
        <w:t xml:space="preserve"> klapowanej opublikowane przez GDOŚ w 2022 r.</w:t>
      </w:r>
      <w:r w:rsidRPr="004906D8">
        <w:rPr>
          <w:rStyle w:val="Odwoanieprzypisudolnego"/>
          <w:rFonts w:asciiTheme="minorHAnsi" w:hAnsiTheme="minorHAnsi"/>
          <w:sz w:val="24"/>
          <w:szCs w:val="24"/>
        </w:rPr>
        <w:footnoteReference w:id="23"/>
      </w:r>
      <w:r w:rsidRPr="004906D8">
        <w:rPr>
          <w:rFonts w:asciiTheme="minorHAnsi" w:hAnsiTheme="minorHAnsi"/>
          <w:sz w:val="24"/>
          <w:szCs w:val="24"/>
        </w:rPr>
        <w:t xml:space="preserve"> zaleca takie metody, jak wyrywanie przed kwitnieniem, wyrywanie w trakcie kwitnienia, cięcie w trakcie kwitnienia, wyrywanie i cięcie przed kwitnieniem. Kompendium zawiera szczegółową specyfikację każdej metody, w tym charakterystykę obszarów, w których metoda powinna być preferowana. Porównuje również metody, biorąc pod uwagę kwestie organizacyjne (sposób przeprowadzania działania, czas trwania, bezpieczeństwo dla ludzi, kwestie ekonomiczne (pracochłonność, koszty wdrożenia), kwestie środowiskowe (wpływ na środowisko naturalne, ekosystem).</w:t>
      </w:r>
    </w:p>
    <w:p w14:paraId="623C0B25" w14:textId="1A467A21" w:rsidR="00651F3F" w:rsidRPr="004906D8" w:rsidRDefault="00651F3F" w:rsidP="004906D8">
      <w:pPr>
        <w:spacing w:after="120" w:line="276" w:lineRule="auto"/>
        <w:jc w:val="both"/>
        <w:rPr>
          <w:rFonts w:asciiTheme="minorHAnsi" w:hAnsiTheme="minorHAnsi"/>
          <w:b/>
          <w:bCs/>
          <w:sz w:val="24"/>
          <w:szCs w:val="24"/>
        </w:rPr>
      </w:pPr>
      <w:r w:rsidRPr="004906D8">
        <w:rPr>
          <w:rFonts w:asciiTheme="minorHAnsi" w:hAnsiTheme="minorHAnsi"/>
          <w:b/>
          <w:bCs/>
          <w:sz w:val="24"/>
          <w:szCs w:val="24"/>
        </w:rPr>
        <w:t xml:space="preserve">Zalecenia </w:t>
      </w:r>
      <w:r w:rsidR="000D5C18" w:rsidRPr="004906D8">
        <w:rPr>
          <w:rFonts w:asciiTheme="minorHAnsi" w:hAnsiTheme="minorHAnsi"/>
          <w:b/>
          <w:bCs/>
          <w:sz w:val="24"/>
          <w:szCs w:val="24"/>
        </w:rPr>
        <w:t>odnośnie do</w:t>
      </w:r>
      <w:r w:rsidRPr="004906D8">
        <w:rPr>
          <w:rFonts w:asciiTheme="minorHAnsi" w:hAnsiTheme="minorHAnsi"/>
          <w:b/>
          <w:bCs/>
          <w:sz w:val="24"/>
          <w:szCs w:val="24"/>
        </w:rPr>
        <w:t xml:space="preserve"> zagospodarowania biomasy podano w rozdziale 3.</w:t>
      </w:r>
    </w:p>
    <w:p w14:paraId="49865415" w14:textId="530CF632" w:rsidR="00651F3F" w:rsidRDefault="000D5C18" w:rsidP="000D5C18">
      <w:pPr>
        <w:pStyle w:val="Nagwek2"/>
      </w:pPr>
      <w:bookmarkStart w:id="16" w:name="_Toc239940804"/>
      <w:r>
        <w:lastRenderedPageBreak/>
        <w:t>2.7. Szarłat szorstki (</w:t>
      </w:r>
      <w:proofErr w:type="spellStart"/>
      <w:r>
        <w:rPr>
          <w:i/>
          <w:iCs/>
        </w:rPr>
        <w:t>Amaranthus</w:t>
      </w:r>
      <w:proofErr w:type="spellEnd"/>
      <w:r>
        <w:rPr>
          <w:i/>
          <w:iCs/>
        </w:rPr>
        <w:t xml:space="preserve"> </w:t>
      </w:r>
      <w:proofErr w:type="spellStart"/>
      <w:r>
        <w:rPr>
          <w:i/>
          <w:iCs/>
        </w:rPr>
        <w:t>retroflexus</w:t>
      </w:r>
      <w:proofErr w:type="spellEnd"/>
      <w:r>
        <w:t>)</w:t>
      </w:r>
      <w:bookmarkEnd w:id="16"/>
      <w:r>
        <w:t xml:space="preserve"> </w:t>
      </w:r>
    </w:p>
    <w:p w14:paraId="50960F19" w14:textId="77777777" w:rsidR="000D5C18" w:rsidRPr="004906D8" w:rsidRDefault="000D5C18" w:rsidP="004906D8">
      <w:pPr>
        <w:spacing w:after="120" w:line="276" w:lineRule="auto"/>
        <w:jc w:val="both"/>
        <w:rPr>
          <w:rFonts w:asciiTheme="minorHAnsi" w:hAnsiTheme="minorHAnsi"/>
          <w:b/>
          <w:bCs/>
          <w:sz w:val="24"/>
          <w:szCs w:val="24"/>
        </w:rPr>
      </w:pPr>
      <w:r w:rsidRPr="004906D8">
        <w:rPr>
          <w:rFonts w:asciiTheme="minorHAnsi" w:hAnsiTheme="minorHAnsi"/>
          <w:b/>
          <w:bCs/>
          <w:sz w:val="24"/>
          <w:szCs w:val="24"/>
        </w:rPr>
        <w:t>Charakterystyka gatunku</w:t>
      </w:r>
    </w:p>
    <w:p w14:paraId="27CE2433" w14:textId="77777777" w:rsidR="000D5C18" w:rsidRPr="004906D8" w:rsidRDefault="000D5C18" w:rsidP="004906D8">
      <w:pPr>
        <w:spacing w:after="120" w:line="276" w:lineRule="auto"/>
        <w:jc w:val="both"/>
        <w:rPr>
          <w:rFonts w:asciiTheme="minorHAnsi" w:hAnsiTheme="minorHAnsi"/>
          <w:sz w:val="24"/>
          <w:szCs w:val="24"/>
        </w:rPr>
      </w:pPr>
      <w:r w:rsidRPr="004906D8">
        <w:rPr>
          <w:rFonts w:asciiTheme="minorHAnsi" w:hAnsiTheme="minorHAnsi"/>
          <w:sz w:val="24"/>
          <w:szCs w:val="24"/>
        </w:rPr>
        <w:t>Szarłat szorstki</w:t>
      </w:r>
      <w:r w:rsidRPr="004906D8">
        <w:rPr>
          <w:rFonts w:asciiTheme="minorHAnsi" w:hAnsiTheme="minorHAnsi"/>
          <w:i/>
          <w:iCs/>
          <w:sz w:val="24"/>
          <w:szCs w:val="24"/>
        </w:rPr>
        <w:t xml:space="preserve"> </w:t>
      </w:r>
      <w:proofErr w:type="spellStart"/>
      <w:r w:rsidRPr="004906D8">
        <w:rPr>
          <w:rFonts w:asciiTheme="minorHAnsi" w:hAnsiTheme="minorHAnsi"/>
          <w:i/>
          <w:iCs/>
          <w:sz w:val="24"/>
          <w:szCs w:val="24"/>
        </w:rPr>
        <w:t>Amaranthus</w:t>
      </w:r>
      <w:proofErr w:type="spellEnd"/>
      <w:r w:rsidRPr="004906D8">
        <w:rPr>
          <w:rFonts w:asciiTheme="minorHAnsi" w:hAnsiTheme="minorHAnsi"/>
          <w:i/>
          <w:iCs/>
          <w:sz w:val="24"/>
          <w:szCs w:val="24"/>
        </w:rPr>
        <w:t xml:space="preserve"> </w:t>
      </w:r>
      <w:proofErr w:type="spellStart"/>
      <w:r w:rsidRPr="004906D8">
        <w:rPr>
          <w:rFonts w:asciiTheme="minorHAnsi" w:hAnsiTheme="minorHAnsi"/>
          <w:i/>
          <w:iCs/>
          <w:sz w:val="24"/>
          <w:szCs w:val="24"/>
        </w:rPr>
        <w:t>retroflexus</w:t>
      </w:r>
      <w:proofErr w:type="spellEnd"/>
      <w:r w:rsidRPr="004906D8">
        <w:rPr>
          <w:rFonts w:asciiTheme="minorHAnsi" w:hAnsiTheme="minorHAnsi"/>
          <w:sz w:val="24"/>
          <w:szCs w:val="24"/>
        </w:rPr>
        <w:t xml:space="preserve"> w Polsce jest pospolity na nizinach. Występuje też w niższych położeniach górskich. Bardzo często spotykany jest na siedliskach ruderalnych, takich jak: przydroża, przychacia, nieużytki, wysypiska, gruzowiska. Pospolity jest jako chwast w ogrodach, uprawach okopowych i nieco rzadziej – w uprawach zbożowych. Jest gatunkiem światłolubnym i azotolubnym.</w:t>
      </w:r>
    </w:p>
    <w:p w14:paraId="2A4F8482" w14:textId="77777777" w:rsidR="000D5C18" w:rsidRPr="004906D8" w:rsidRDefault="000D5C18" w:rsidP="004906D8">
      <w:pPr>
        <w:spacing w:after="120" w:line="276" w:lineRule="auto"/>
        <w:jc w:val="both"/>
        <w:rPr>
          <w:rFonts w:asciiTheme="minorHAnsi" w:hAnsiTheme="minorHAnsi"/>
          <w:sz w:val="24"/>
          <w:szCs w:val="24"/>
        </w:rPr>
      </w:pPr>
      <w:r w:rsidRPr="004906D8">
        <w:rPr>
          <w:rFonts w:asciiTheme="minorHAnsi" w:hAnsiTheme="minorHAnsi"/>
          <w:sz w:val="24"/>
          <w:szCs w:val="24"/>
        </w:rPr>
        <w:t xml:space="preserve">Szarłat szorstki jest rośliną roczną, bardzo zmienną pod względem wysokości (od 10 do 120 cm), pokroju, stopnia rozgałęzienia, wielkości liści. Łodygę ma bruzdowaną, szorstko owłosioną (stąd polska nazwa gatunkowa). Kwiaty ma zebrane w </w:t>
      </w:r>
      <w:proofErr w:type="spellStart"/>
      <w:r w:rsidRPr="004906D8">
        <w:rPr>
          <w:rFonts w:asciiTheme="minorHAnsi" w:hAnsiTheme="minorHAnsi"/>
          <w:sz w:val="24"/>
          <w:szCs w:val="24"/>
        </w:rPr>
        <w:t>kłębiki</w:t>
      </w:r>
      <w:proofErr w:type="spellEnd"/>
      <w:r w:rsidRPr="004906D8">
        <w:rPr>
          <w:rFonts w:asciiTheme="minorHAnsi" w:hAnsiTheme="minorHAnsi"/>
          <w:sz w:val="24"/>
          <w:szCs w:val="24"/>
        </w:rPr>
        <w:t xml:space="preserve">, zestawione w szerokie, kłosokształtne kwiatostany na szczycie łodygi i </w:t>
      </w:r>
      <w:proofErr w:type="spellStart"/>
      <w:r w:rsidRPr="004906D8">
        <w:rPr>
          <w:rFonts w:asciiTheme="minorHAnsi" w:hAnsiTheme="minorHAnsi"/>
          <w:sz w:val="24"/>
          <w:szCs w:val="24"/>
        </w:rPr>
        <w:t>odgałęzień</w:t>
      </w:r>
      <w:proofErr w:type="spellEnd"/>
      <w:r w:rsidRPr="004906D8">
        <w:rPr>
          <w:rFonts w:asciiTheme="minorHAnsi" w:hAnsiTheme="minorHAnsi"/>
          <w:sz w:val="24"/>
          <w:szCs w:val="24"/>
        </w:rPr>
        <w:t xml:space="preserve"> bocznych. Część kłębków znajduje się w kątach liści. Kwiaty są jednopłciowe, ale rośliny są jednopienne. Szarłat szorstki kwitnie zazwyczaj od lipca do października.</w:t>
      </w:r>
    </w:p>
    <w:p w14:paraId="479B29BF" w14:textId="77777777" w:rsidR="000D5C18" w:rsidRPr="004906D8" w:rsidRDefault="000D5C18" w:rsidP="004906D8">
      <w:pPr>
        <w:spacing w:after="120" w:line="276" w:lineRule="auto"/>
        <w:jc w:val="both"/>
        <w:rPr>
          <w:rFonts w:asciiTheme="minorHAnsi" w:hAnsiTheme="minorHAnsi"/>
          <w:sz w:val="24"/>
          <w:szCs w:val="24"/>
          <w:highlight w:val="yellow"/>
        </w:rPr>
      </w:pPr>
      <w:r w:rsidRPr="004906D8">
        <w:rPr>
          <w:rFonts w:asciiTheme="minorHAnsi" w:hAnsiTheme="minorHAnsi"/>
          <w:sz w:val="24"/>
          <w:szCs w:val="24"/>
        </w:rPr>
        <w:t>Owocem jest torebka pękająca poprzeczną szczeliną, otwierająca się wieczkiem. Nasiona są bardzo liczne, małe (o średnicy ok. 1 mm), soczewkowate, czarne i błyszczące. Jedna silna roślina jest w stanie wyprodukować od 230 000 do 500 000 nasion. Są przenoszone przez wiatr, zwierzęta oraz jako zanieczyszczenia nasion roślin uprawnych lub maszyn rolniczych. Najnowsze badania sugerują, że kiełkowanie jest stymulowane przez światło i wysokie temperatury. Nasiona mogą pozostać żywotne w glebie wiele lat.</w:t>
      </w:r>
      <w:r w:rsidRPr="004906D8">
        <w:rPr>
          <w:rStyle w:val="Odwoanieprzypisudolnego"/>
          <w:rFonts w:asciiTheme="minorHAnsi" w:hAnsiTheme="minorHAnsi"/>
          <w:sz w:val="24"/>
          <w:szCs w:val="24"/>
        </w:rPr>
        <w:footnoteReference w:id="24"/>
      </w:r>
      <w:r w:rsidRPr="004906D8">
        <w:rPr>
          <w:rFonts w:asciiTheme="minorHAnsi" w:hAnsiTheme="minorHAnsi"/>
          <w:sz w:val="24"/>
          <w:szCs w:val="24"/>
        </w:rPr>
        <w:t>.</w:t>
      </w:r>
    </w:p>
    <w:p w14:paraId="7D6891EC" w14:textId="77777777" w:rsidR="000D5C18" w:rsidRPr="00F9646B" w:rsidRDefault="000D5C18" w:rsidP="004906D8">
      <w:pPr>
        <w:jc w:val="center"/>
      </w:pPr>
      <w:r w:rsidRPr="00F9646B">
        <w:rPr>
          <w:noProof/>
          <w:lang w:val="en-US"/>
        </w:rPr>
        <w:lastRenderedPageBreak/>
        <w:drawing>
          <wp:inline distT="0" distB="0" distL="0" distR="0" wp14:anchorId="51D9204D" wp14:editId="11B909F5">
            <wp:extent cx="2936084" cy="3633850"/>
            <wp:effectExtent l="0" t="0" r="0" b="508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40535" cy="3639358"/>
                    </a:xfrm>
                    <a:prstGeom prst="rect">
                      <a:avLst/>
                    </a:prstGeom>
                  </pic:spPr>
                </pic:pic>
              </a:graphicData>
            </a:graphic>
          </wp:inline>
        </w:drawing>
      </w:r>
    </w:p>
    <w:p w14:paraId="2FB2FC2D" w14:textId="77777777" w:rsidR="000D5C18" w:rsidRPr="00F9646B" w:rsidRDefault="000D5C18" w:rsidP="004906D8">
      <w:pPr>
        <w:jc w:val="center"/>
      </w:pPr>
      <w:r w:rsidRPr="00F9646B">
        <w:rPr>
          <w:noProof/>
        </w:rPr>
        <w:drawing>
          <wp:inline distT="0" distB="0" distL="0" distR="0" wp14:anchorId="02BFC9A2" wp14:editId="12A70639">
            <wp:extent cx="3217545" cy="4227615"/>
            <wp:effectExtent l="0" t="0" r="1905" b="190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b="16220"/>
                    <a:stretch/>
                  </pic:blipFill>
                  <pic:spPr bwMode="auto">
                    <a:xfrm>
                      <a:off x="0" y="0"/>
                      <a:ext cx="3220043" cy="4230897"/>
                    </a:xfrm>
                    <a:prstGeom prst="rect">
                      <a:avLst/>
                    </a:prstGeom>
                    <a:ln>
                      <a:noFill/>
                    </a:ln>
                    <a:extLst>
                      <a:ext uri="{53640926-AAD7-44D8-BBD7-CCE9431645EC}">
                        <a14:shadowObscured xmlns:a14="http://schemas.microsoft.com/office/drawing/2010/main"/>
                      </a:ext>
                    </a:extLst>
                  </pic:spPr>
                </pic:pic>
              </a:graphicData>
            </a:graphic>
          </wp:inline>
        </w:drawing>
      </w:r>
      <w:r w:rsidRPr="00F9646B">
        <w:rPr>
          <w:noProof/>
        </w:rPr>
        <w:drawing>
          <wp:anchor distT="0" distB="0" distL="114300" distR="114300" simplePos="0" relativeHeight="251658240" behindDoc="0" locked="0" layoutInCell="1" allowOverlap="1" wp14:anchorId="2CA67F4B" wp14:editId="0A6E2EC6">
            <wp:simplePos x="0" y="0"/>
            <wp:positionH relativeFrom="margin">
              <wp:posOffset>0</wp:posOffset>
            </wp:positionH>
            <wp:positionV relativeFrom="margin">
              <wp:posOffset>8032115</wp:posOffset>
            </wp:positionV>
            <wp:extent cx="2381003" cy="698239"/>
            <wp:effectExtent l="0" t="0" r="635" b="6985"/>
            <wp:wrapSquare wrapText="bothSides"/>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381003" cy="698239"/>
                    </a:xfrm>
                    <a:prstGeom prst="rect">
                      <a:avLst/>
                    </a:prstGeom>
                  </pic:spPr>
                </pic:pic>
              </a:graphicData>
            </a:graphic>
          </wp:anchor>
        </w:drawing>
      </w:r>
    </w:p>
    <w:p w14:paraId="0081247E" w14:textId="77777777" w:rsidR="000D5C18" w:rsidRPr="00F9646B" w:rsidRDefault="000D5C18" w:rsidP="004906D8">
      <w:pPr>
        <w:jc w:val="center"/>
        <w:rPr>
          <w:lang w:val="en-US"/>
        </w:rPr>
      </w:pPr>
      <w:r w:rsidRPr="00F9646B">
        <w:rPr>
          <w:noProof/>
          <w:lang w:val="en-US"/>
        </w:rPr>
        <w:lastRenderedPageBreak/>
        <w:drawing>
          <wp:inline distT="0" distB="0" distL="0" distR="0" wp14:anchorId="40052331" wp14:editId="2023F0A9">
            <wp:extent cx="3123211" cy="5396640"/>
            <wp:effectExtent l="0" t="0" r="127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27073" cy="5403314"/>
                    </a:xfrm>
                    <a:prstGeom prst="rect">
                      <a:avLst/>
                    </a:prstGeom>
                  </pic:spPr>
                </pic:pic>
              </a:graphicData>
            </a:graphic>
          </wp:inline>
        </w:drawing>
      </w:r>
    </w:p>
    <w:p w14:paraId="75619697" w14:textId="77777777" w:rsidR="000D5C18" w:rsidRPr="004906D8" w:rsidRDefault="000D5C18" w:rsidP="004906D8">
      <w:pPr>
        <w:spacing w:after="120" w:line="276" w:lineRule="auto"/>
        <w:rPr>
          <w:rFonts w:asciiTheme="minorHAnsi" w:hAnsiTheme="minorHAnsi"/>
          <w:b/>
          <w:bCs/>
          <w:sz w:val="24"/>
          <w:szCs w:val="24"/>
        </w:rPr>
      </w:pPr>
      <w:r w:rsidRPr="004906D8">
        <w:rPr>
          <w:rFonts w:asciiTheme="minorHAnsi" w:hAnsiTheme="minorHAnsi"/>
          <w:b/>
          <w:bCs/>
          <w:sz w:val="24"/>
          <w:szCs w:val="24"/>
        </w:rPr>
        <w:t>Działania służące eliminacji</w:t>
      </w:r>
    </w:p>
    <w:p w14:paraId="3BDB0E20" w14:textId="77777777" w:rsidR="000D5C18" w:rsidRPr="004906D8" w:rsidRDefault="000D5C18" w:rsidP="004906D8">
      <w:pPr>
        <w:spacing w:after="120" w:line="276" w:lineRule="auto"/>
        <w:rPr>
          <w:rFonts w:asciiTheme="minorHAnsi" w:hAnsiTheme="minorHAnsi"/>
          <w:sz w:val="24"/>
          <w:szCs w:val="24"/>
        </w:rPr>
      </w:pPr>
      <w:r w:rsidRPr="004906D8">
        <w:rPr>
          <w:rFonts w:asciiTheme="minorHAnsi" w:hAnsiTheme="minorHAnsi"/>
          <w:sz w:val="24"/>
          <w:szCs w:val="24"/>
        </w:rPr>
        <w:t>Szarłat szorstki jest rośliną roczną, która kwitnie zazwyczaj od lipca do października. Nasiona są przenoszone przez wiatr, zwierzęta oraz jako zanieczyszczenia nasion roślin uprawnych lub maszyn rolniczych.</w:t>
      </w:r>
    </w:p>
    <w:p w14:paraId="5DB9BCF6" w14:textId="77777777" w:rsidR="000D5C18" w:rsidRPr="004906D8" w:rsidRDefault="000D5C18" w:rsidP="004906D8">
      <w:pPr>
        <w:pStyle w:val="Akapitzlist"/>
        <w:numPr>
          <w:ilvl w:val="0"/>
          <w:numId w:val="8"/>
        </w:numPr>
        <w:spacing w:after="120" w:line="276" w:lineRule="auto"/>
        <w:contextualSpacing w:val="0"/>
        <w:jc w:val="both"/>
        <w:rPr>
          <w:rFonts w:asciiTheme="minorHAnsi" w:hAnsiTheme="minorHAnsi"/>
          <w:sz w:val="24"/>
          <w:szCs w:val="24"/>
        </w:rPr>
      </w:pPr>
      <w:r w:rsidRPr="004906D8">
        <w:rPr>
          <w:rFonts w:asciiTheme="minorHAnsi" w:hAnsiTheme="minorHAnsi"/>
          <w:sz w:val="24"/>
          <w:szCs w:val="24"/>
        </w:rPr>
        <w:t>Powinniśmy zwalczać obecność rośliny i nie pozwalać jej się rozprzestrzeniać. Jest to roślina jednoroczna, więc nie należy pozwalać jej na wytwarzanie kwiatów i owoców.</w:t>
      </w:r>
    </w:p>
    <w:p w14:paraId="39931351" w14:textId="77777777" w:rsidR="000D5C18" w:rsidRPr="004906D8" w:rsidRDefault="000D5C18" w:rsidP="004906D8">
      <w:pPr>
        <w:pStyle w:val="Akapitzlist"/>
        <w:numPr>
          <w:ilvl w:val="0"/>
          <w:numId w:val="8"/>
        </w:numPr>
        <w:spacing w:after="120" w:line="276" w:lineRule="auto"/>
        <w:contextualSpacing w:val="0"/>
        <w:jc w:val="both"/>
        <w:rPr>
          <w:rFonts w:asciiTheme="minorHAnsi" w:hAnsiTheme="minorHAnsi"/>
          <w:sz w:val="24"/>
          <w:szCs w:val="24"/>
          <w:lang w:val="en-US"/>
        </w:rPr>
      </w:pPr>
      <w:r w:rsidRPr="004906D8">
        <w:rPr>
          <w:rFonts w:asciiTheme="minorHAnsi" w:hAnsiTheme="minorHAnsi"/>
          <w:sz w:val="24"/>
          <w:szCs w:val="24"/>
        </w:rPr>
        <w:t xml:space="preserve">Zwalczanie rośliny zazwyczaj polega na mechanicznym usuwaniu: wyrywaniu lub koszeniu roślin przed uwolnieniem nasion. </w:t>
      </w:r>
      <w:proofErr w:type="spellStart"/>
      <w:r w:rsidRPr="004906D8">
        <w:rPr>
          <w:rFonts w:asciiTheme="minorHAnsi" w:hAnsiTheme="minorHAnsi"/>
          <w:sz w:val="24"/>
          <w:szCs w:val="24"/>
          <w:lang w:val="en-US"/>
        </w:rPr>
        <w:t>Zabiegi</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te</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należy</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powtarzać</w:t>
      </w:r>
      <w:proofErr w:type="spellEnd"/>
      <w:r w:rsidRPr="004906D8">
        <w:rPr>
          <w:rFonts w:asciiTheme="minorHAnsi" w:hAnsiTheme="minorHAnsi"/>
          <w:sz w:val="24"/>
          <w:szCs w:val="24"/>
          <w:lang w:val="en-US"/>
        </w:rPr>
        <w:t xml:space="preserve"> co </w:t>
      </w:r>
      <w:proofErr w:type="spellStart"/>
      <w:r w:rsidRPr="004906D8">
        <w:rPr>
          <w:rFonts w:asciiTheme="minorHAnsi" w:hAnsiTheme="minorHAnsi"/>
          <w:sz w:val="24"/>
          <w:szCs w:val="24"/>
          <w:lang w:val="en-US"/>
        </w:rPr>
        <w:t>roku</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przez</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kilka</w:t>
      </w:r>
      <w:proofErr w:type="spellEnd"/>
      <w:r w:rsidRPr="004906D8">
        <w:rPr>
          <w:rFonts w:asciiTheme="minorHAnsi" w:hAnsiTheme="minorHAnsi"/>
          <w:sz w:val="24"/>
          <w:szCs w:val="24"/>
          <w:lang w:val="en-US"/>
        </w:rPr>
        <w:t xml:space="preserve"> </w:t>
      </w:r>
      <w:proofErr w:type="spellStart"/>
      <w:r w:rsidRPr="004906D8">
        <w:rPr>
          <w:rFonts w:asciiTheme="minorHAnsi" w:hAnsiTheme="minorHAnsi"/>
          <w:sz w:val="24"/>
          <w:szCs w:val="24"/>
          <w:lang w:val="en-US"/>
        </w:rPr>
        <w:t>sezonów</w:t>
      </w:r>
      <w:proofErr w:type="spellEnd"/>
      <w:r w:rsidRPr="004906D8">
        <w:rPr>
          <w:rFonts w:asciiTheme="minorHAnsi" w:hAnsiTheme="minorHAnsi"/>
          <w:sz w:val="24"/>
          <w:szCs w:val="24"/>
          <w:lang w:val="en-US"/>
        </w:rPr>
        <w:t>.</w:t>
      </w:r>
    </w:p>
    <w:p w14:paraId="5A58DE1F" w14:textId="77777777" w:rsidR="000D5C18" w:rsidRPr="004906D8" w:rsidRDefault="000D5C18" w:rsidP="004906D8">
      <w:pPr>
        <w:pStyle w:val="Akapitzlist"/>
        <w:numPr>
          <w:ilvl w:val="0"/>
          <w:numId w:val="8"/>
        </w:numPr>
        <w:spacing w:after="120" w:line="276" w:lineRule="auto"/>
        <w:contextualSpacing w:val="0"/>
        <w:jc w:val="both"/>
        <w:rPr>
          <w:rFonts w:asciiTheme="minorHAnsi" w:hAnsiTheme="minorHAnsi"/>
          <w:sz w:val="24"/>
          <w:szCs w:val="24"/>
        </w:rPr>
      </w:pPr>
      <w:r w:rsidRPr="004906D8">
        <w:rPr>
          <w:rFonts w:asciiTheme="minorHAnsi" w:hAnsiTheme="minorHAnsi"/>
          <w:sz w:val="24"/>
          <w:szCs w:val="24"/>
        </w:rPr>
        <w:lastRenderedPageBreak/>
        <w:t xml:space="preserve">Siewki mogą być zwalczane przez uprawę, ale starsze rośliny często regenerują się po uszkodzeniach mechanicznych i wytwarzają kwiatostany. Solaryzacja gleby pod folią może zwalczać </w:t>
      </w:r>
      <w:r w:rsidRPr="004906D8">
        <w:rPr>
          <w:rFonts w:asciiTheme="minorHAnsi" w:hAnsiTheme="minorHAnsi"/>
          <w:i/>
          <w:iCs/>
          <w:sz w:val="24"/>
          <w:szCs w:val="24"/>
        </w:rPr>
        <w:t xml:space="preserve">A. </w:t>
      </w:r>
      <w:proofErr w:type="spellStart"/>
      <w:r w:rsidRPr="004906D8">
        <w:rPr>
          <w:rFonts w:asciiTheme="minorHAnsi" w:hAnsiTheme="minorHAnsi"/>
          <w:i/>
          <w:iCs/>
          <w:sz w:val="24"/>
          <w:szCs w:val="24"/>
        </w:rPr>
        <w:t>retroflexus</w:t>
      </w:r>
      <w:proofErr w:type="spellEnd"/>
      <w:r w:rsidRPr="004906D8">
        <w:rPr>
          <w:rFonts w:asciiTheme="minorHAnsi" w:hAnsiTheme="minorHAnsi"/>
          <w:sz w:val="24"/>
          <w:szCs w:val="24"/>
        </w:rPr>
        <w:t>, jeśli przez dłuższy czas osiągane są wysokie temperatury pod folią (</w:t>
      </w:r>
      <w:r w:rsidRPr="004906D8">
        <w:rPr>
          <w:rFonts w:asciiTheme="minorHAnsi" w:hAnsiTheme="minorHAnsi"/>
          <w:i/>
          <w:iCs/>
          <w:sz w:val="24"/>
          <w:szCs w:val="24"/>
        </w:rPr>
        <w:t xml:space="preserve">Mas and </w:t>
      </w:r>
      <w:proofErr w:type="spellStart"/>
      <w:r w:rsidRPr="004906D8">
        <w:rPr>
          <w:rFonts w:asciiTheme="minorHAnsi" w:hAnsiTheme="minorHAnsi"/>
          <w:i/>
          <w:iCs/>
          <w:sz w:val="24"/>
          <w:szCs w:val="24"/>
        </w:rPr>
        <w:t>Verdu</w:t>
      </w:r>
      <w:proofErr w:type="spellEnd"/>
      <w:r w:rsidRPr="004906D8">
        <w:rPr>
          <w:rFonts w:asciiTheme="minorHAnsi" w:hAnsiTheme="minorHAnsi"/>
          <w:i/>
          <w:iCs/>
          <w:sz w:val="24"/>
          <w:szCs w:val="24"/>
        </w:rPr>
        <w:t>, 1996</w:t>
      </w:r>
      <w:r w:rsidRPr="004906D8">
        <w:rPr>
          <w:rFonts w:asciiTheme="minorHAnsi" w:hAnsiTheme="minorHAnsi"/>
          <w:sz w:val="24"/>
          <w:szCs w:val="24"/>
        </w:rPr>
        <w:t>)</w:t>
      </w:r>
      <w:r w:rsidRPr="004906D8">
        <w:rPr>
          <w:rStyle w:val="Odwoanieprzypisudolnego"/>
          <w:rFonts w:asciiTheme="minorHAnsi" w:hAnsiTheme="minorHAnsi"/>
          <w:sz w:val="24"/>
          <w:szCs w:val="24"/>
        </w:rPr>
        <w:footnoteReference w:id="25"/>
      </w:r>
      <w:r w:rsidRPr="004906D8">
        <w:rPr>
          <w:rFonts w:asciiTheme="minorHAnsi" w:hAnsiTheme="minorHAnsi"/>
          <w:sz w:val="24"/>
          <w:szCs w:val="24"/>
        </w:rPr>
        <w:t>.</w:t>
      </w:r>
    </w:p>
    <w:p w14:paraId="1E4E20FB" w14:textId="77777777" w:rsidR="000D5C18" w:rsidRPr="004906D8" w:rsidRDefault="000D5C18" w:rsidP="004906D8">
      <w:pPr>
        <w:pStyle w:val="Akapitzlist"/>
        <w:numPr>
          <w:ilvl w:val="0"/>
          <w:numId w:val="8"/>
        </w:numPr>
        <w:spacing w:after="120" w:line="276" w:lineRule="auto"/>
        <w:contextualSpacing w:val="0"/>
        <w:jc w:val="both"/>
        <w:rPr>
          <w:rFonts w:asciiTheme="minorHAnsi" w:hAnsiTheme="minorHAnsi"/>
          <w:sz w:val="24"/>
          <w:szCs w:val="24"/>
        </w:rPr>
      </w:pPr>
      <w:r w:rsidRPr="004906D8">
        <w:rPr>
          <w:rFonts w:asciiTheme="minorHAnsi" w:hAnsiTheme="minorHAnsi"/>
          <w:sz w:val="24"/>
          <w:szCs w:val="24"/>
        </w:rPr>
        <w:t xml:space="preserve">A. </w:t>
      </w:r>
      <w:proofErr w:type="spellStart"/>
      <w:r w:rsidRPr="004906D8">
        <w:rPr>
          <w:rFonts w:asciiTheme="minorHAnsi" w:hAnsiTheme="minorHAnsi"/>
          <w:sz w:val="24"/>
          <w:szCs w:val="24"/>
        </w:rPr>
        <w:t>retroflexus</w:t>
      </w:r>
      <w:proofErr w:type="spellEnd"/>
      <w:r w:rsidRPr="004906D8">
        <w:rPr>
          <w:rFonts w:asciiTheme="minorHAnsi" w:hAnsiTheme="minorHAnsi"/>
          <w:sz w:val="24"/>
          <w:szCs w:val="24"/>
        </w:rPr>
        <w:t xml:space="preserve"> jest łatwo zwalczany przez większość herbicydów hamujących fotosyntezę, takich jak </w:t>
      </w:r>
      <w:proofErr w:type="spellStart"/>
      <w:r w:rsidRPr="004906D8">
        <w:rPr>
          <w:rFonts w:asciiTheme="minorHAnsi" w:hAnsiTheme="minorHAnsi"/>
          <w:sz w:val="24"/>
          <w:szCs w:val="24"/>
        </w:rPr>
        <w:t>atrazyna</w:t>
      </w:r>
      <w:proofErr w:type="spellEnd"/>
      <w:r w:rsidRPr="004906D8">
        <w:rPr>
          <w:rFonts w:asciiTheme="minorHAnsi" w:hAnsiTheme="minorHAnsi"/>
          <w:sz w:val="24"/>
          <w:szCs w:val="24"/>
        </w:rPr>
        <w:t xml:space="preserve">, </w:t>
      </w:r>
      <w:proofErr w:type="spellStart"/>
      <w:r w:rsidRPr="004906D8">
        <w:rPr>
          <w:rFonts w:asciiTheme="minorHAnsi" w:hAnsiTheme="minorHAnsi"/>
          <w:sz w:val="24"/>
          <w:szCs w:val="24"/>
        </w:rPr>
        <w:t>symazyna</w:t>
      </w:r>
      <w:proofErr w:type="spellEnd"/>
      <w:r w:rsidRPr="004906D8">
        <w:rPr>
          <w:rFonts w:asciiTheme="minorHAnsi" w:hAnsiTheme="minorHAnsi"/>
          <w:sz w:val="24"/>
          <w:szCs w:val="24"/>
        </w:rPr>
        <w:t xml:space="preserve">, </w:t>
      </w:r>
      <w:proofErr w:type="spellStart"/>
      <w:r w:rsidRPr="004906D8">
        <w:rPr>
          <w:rFonts w:asciiTheme="minorHAnsi" w:hAnsiTheme="minorHAnsi"/>
          <w:sz w:val="24"/>
          <w:szCs w:val="24"/>
        </w:rPr>
        <w:t>metrybuzyna</w:t>
      </w:r>
      <w:proofErr w:type="spellEnd"/>
      <w:r w:rsidRPr="004906D8">
        <w:rPr>
          <w:rFonts w:asciiTheme="minorHAnsi" w:hAnsiTheme="minorHAnsi"/>
          <w:sz w:val="24"/>
          <w:szCs w:val="24"/>
        </w:rPr>
        <w:t xml:space="preserve">, </w:t>
      </w:r>
      <w:proofErr w:type="spellStart"/>
      <w:r w:rsidRPr="004906D8">
        <w:rPr>
          <w:rFonts w:asciiTheme="minorHAnsi" w:hAnsiTheme="minorHAnsi"/>
          <w:sz w:val="24"/>
          <w:szCs w:val="24"/>
        </w:rPr>
        <w:t>linuron</w:t>
      </w:r>
      <w:proofErr w:type="spellEnd"/>
      <w:r w:rsidRPr="004906D8">
        <w:rPr>
          <w:rFonts w:asciiTheme="minorHAnsi" w:hAnsiTheme="minorHAnsi"/>
          <w:sz w:val="24"/>
          <w:szCs w:val="24"/>
        </w:rPr>
        <w:t xml:space="preserve"> i </w:t>
      </w:r>
      <w:proofErr w:type="spellStart"/>
      <w:r w:rsidRPr="004906D8">
        <w:rPr>
          <w:rFonts w:asciiTheme="minorHAnsi" w:hAnsiTheme="minorHAnsi"/>
          <w:sz w:val="24"/>
          <w:szCs w:val="24"/>
        </w:rPr>
        <w:t>bromoksynil</w:t>
      </w:r>
      <w:proofErr w:type="spellEnd"/>
      <w:r w:rsidRPr="004906D8">
        <w:rPr>
          <w:rFonts w:asciiTheme="minorHAnsi" w:hAnsiTheme="minorHAnsi"/>
          <w:sz w:val="24"/>
          <w:szCs w:val="24"/>
        </w:rPr>
        <w:t xml:space="preserve">. Jest również bardzo podatny na syntetyczne herbicydy </w:t>
      </w:r>
      <w:proofErr w:type="spellStart"/>
      <w:r w:rsidRPr="004906D8">
        <w:rPr>
          <w:rFonts w:asciiTheme="minorHAnsi" w:hAnsiTheme="minorHAnsi"/>
          <w:sz w:val="24"/>
          <w:szCs w:val="24"/>
        </w:rPr>
        <w:t>auksynowe</w:t>
      </w:r>
      <w:proofErr w:type="spellEnd"/>
      <w:r w:rsidRPr="004906D8">
        <w:rPr>
          <w:rFonts w:asciiTheme="minorHAnsi" w:hAnsiTheme="minorHAnsi"/>
          <w:sz w:val="24"/>
          <w:szCs w:val="24"/>
        </w:rPr>
        <w:t xml:space="preserve">, takie jak 2,4-D lub </w:t>
      </w:r>
      <w:proofErr w:type="spellStart"/>
      <w:r w:rsidRPr="004906D8">
        <w:rPr>
          <w:rFonts w:asciiTheme="minorHAnsi" w:hAnsiTheme="minorHAnsi"/>
          <w:sz w:val="24"/>
          <w:szCs w:val="24"/>
        </w:rPr>
        <w:t>dikamba</w:t>
      </w:r>
      <w:proofErr w:type="spellEnd"/>
      <w:r w:rsidRPr="004906D8">
        <w:rPr>
          <w:rFonts w:asciiTheme="minorHAnsi" w:hAnsiTheme="minorHAnsi"/>
          <w:sz w:val="24"/>
          <w:szCs w:val="24"/>
        </w:rPr>
        <w:t xml:space="preserve">, oraz herbicydy </w:t>
      </w:r>
      <w:proofErr w:type="spellStart"/>
      <w:r w:rsidRPr="004906D8">
        <w:rPr>
          <w:rFonts w:asciiTheme="minorHAnsi" w:hAnsiTheme="minorHAnsi"/>
          <w:sz w:val="24"/>
          <w:szCs w:val="24"/>
        </w:rPr>
        <w:t>sulfonylomocznikowe</w:t>
      </w:r>
      <w:proofErr w:type="spellEnd"/>
      <w:r w:rsidRPr="004906D8">
        <w:rPr>
          <w:rFonts w:asciiTheme="minorHAnsi" w:hAnsiTheme="minorHAnsi"/>
          <w:sz w:val="24"/>
          <w:szCs w:val="24"/>
        </w:rPr>
        <w:t xml:space="preserve"> i </w:t>
      </w:r>
      <w:proofErr w:type="spellStart"/>
      <w:r w:rsidRPr="004906D8">
        <w:rPr>
          <w:rFonts w:asciiTheme="minorHAnsi" w:hAnsiTheme="minorHAnsi"/>
          <w:sz w:val="24"/>
          <w:szCs w:val="24"/>
        </w:rPr>
        <w:t>imidizolinonowe</w:t>
      </w:r>
      <w:proofErr w:type="spellEnd"/>
      <w:r w:rsidRPr="004906D8">
        <w:rPr>
          <w:rFonts w:asciiTheme="minorHAnsi" w:hAnsiTheme="minorHAnsi"/>
          <w:sz w:val="24"/>
          <w:szCs w:val="24"/>
        </w:rPr>
        <w:t xml:space="preserve">, takie jak </w:t>
      </w:r>
      <w:proofErr w:type="spellStart"/>
      <w:r w:rsidRPr="004906D8">
        <w:rPr>
          <w:rFonts w:asciiTheme="minorHAnsi" w:hAnsiTheme="minorHAnsi"/>
          <w:sz w:val="24"/>
          <w:szCs w:val="24"/>
        </w:rPr>
        <w:t>imazetapyr</w:t>
      </w:r>
      <w:proofErr w:type="spellEnd"/>
      <w:r w:rsidRPr="004906D8">
        <w:rPr>
          <w:rFonts w:asciiTheme="minorHAnsi" w:hAnsiTheme="minorHAnsi"/>
          <w:sz w:val="24"/>
          <w:szCs w:val="24"/>
        </w:rPr>
        <w:t xml:space="preserve">, </w:t>
      </w:r>
      <w:proofErr w:type="spellStart"/>
      <w:r w:rsidRPr="004906D8">
        <w:rPr>
          <w:rFonts w:asciiTheme="minorHAnsi" w:hAnsiTheme="minorHAnsi"/>
          <w:sz w:val="24"/>
          <w:szCs w:val="24"/>
        </w:rPr>
        <w:t>tifensulfuron</w:t>
      </w:r>
      <w:proofErr w:type="spellEnd"/>
      <w:r w:rsidRPr="004906D8">
        <w:rPr>
          <w:rFonts w:asciiTheme="minorHAnsi" w:hAnsiTheme="minorHAnsi"/>
          <w:sz w:val="24"/>
          <w:szCs w:val="24"/>
        </w:rPr>
        <w:t xml:space="preserve"> metylowy, </w:t>
      </w:r>
      <w:proofErr w:type="spellStart"/>
      <w:r w:rsidRPr="004906D8">
        <w:rPr>
          <w:rFonts w:asciiTheme="minorHAnsi" w:hAnsiTheme="minorHAnsi"/>
          <w:sz w:val="24"/>
          <w:szCs w:val="24"/>
        </w:rPr>
        <w:t>rimsulfuron</w:t>
      </w:r>
      <w:proofErr w:type="spellEnd"/>
      <w:r w:rsidRPr="004906D8">
        <w:rPr>
          <w:rFonts w:asciiTheme="minorHAnsi" w:hAnsiTheme="minorHAnsi"/>
          <w:sz w:val="24"/>
          <w:szCs w:val="24"/>
        </w:rPr>
        <w:t xml:space="preserve"> i </w:t>
      </w:r>
      <w:proofErr w:type="spellStart"/>
      <w:r w:rsidRPr="004906D8">
        <w:rPr>
          <w:rFonts w:asciiTheme="minorHAnsi" w:hAnsiTheme="minorHAnsi"/>
          <w:sz w:val="24"/>
          <w:szCs w:val="24"/>
        </w:rPr>
        <w:t>nikosulfuron</w:t>
      </w:r>
      <w:proofErr w:type="spellEnd"/>
      <w:r w:rsidRPr="004906D8">
        <w:rPr>
          <w:rFonts w:asciiTheme="minorHAnsi" w:hAnsiTheme="minorHAnsi"/>
          <w:sz w:val="24"/>
          <w:szCs w:val="24"/>
        </w:rPr>
        <w:t xml:space="preserve">. Skuteczna jest także większość innych herbicydów do zwalczania chwastów szerokolistnych, w tym </w:t>
      </w:r>
      <w:proofErr w:type="spellStart"/>
      <w:r w:rsidRPr="004906D8">
        <w:rPr>
          <w:rFonts w:asciiTheme="minorHAnsi" w:hAnsiTheme="minorHAnsi"/>
          <w:sz w:val="24"/>
          <w:szCs w:val="24"/>
        </w:rPr>
        <w:t>acifluorfen</w:t>
      </w:r>
      <w:proofErr w:type="spellEnd"/>
      <w:r w:rsidRPr="004906D8">
        <w:rPr>
          <w:rFonts w:asciiTheme="minorHAnsi" w:hAnsiTheme="minorHAnsi"/>
          <w:sz w:val="24"/>
          <w:szCs w:val="24"/>
        </w:rPr>
        <w:t xml:space="preserve">, </w:t>
      </w:r>
      <w:proofErr w:type="spellStart"/>
      <w:r w:rsidRPr="004906D8">
        <w:rPr>
          <w:rFonts w:asciiTheme="minorHAnsi" w:hAnsiTheme="minorHAnsi"/>
          <w:sz w:val="24"/>
          <w:szCs w:val="24"/>
        </w:rPr>
        <w:t>fomesafen</w:t>
      </w:r>
      <w:proofErr w:type="spellEnd"/>
      <w:r w:rsidRPr="004906D8">
        <w:rPr>
          <w:rFonts w:asciiTheme="minorHAnsi" w:hAnsiTheme="minorHAnsi"/>
          <w:sz w:val="24"/>
          <w:szCs w:val="24"/>
        </w:rPr>
        <w:t xml:space="preserve"> i </w:t>
      </w:r>
      <w:proofErr w:type="spellStart"/>
      <w:r w:rsidRPr="004906D8">
        <w:rPr>
          <w:rFonts w:asciiTheme="minorHAnsi" w:hAnsiTheme="minorHAnsi"/>
          <w:sz w:val="24"/>
          <w:szCs w:val="24"/>
        </w:rPr>
        <w:t>pendimetalina</w:t>
      </w:r>
      <w:proofErr w:type="spellEnd"/>
      <w:r w:rsidRPr="004906D8">
        <w:rPr>
          <w:rFonts w:asciiTheme="minorHAnsi" w:hAnsiTheme="minorHAnsi"/>
          <w:i/>
          <w:iCs/>
          <w:sz w:val="24"/>
          <w:szCs w:val="24"/>
        </w:rPr>
        <w:t xml:space="preserve"> </w:t>
      </w:r>
      <w:r w:rsidRPr="004906D8">
        <w:rPr>
          <w:rFonts w:asciiTheme="minorHAnsi" w:hAnsiTheme="minorHAnsi"/>
          <w:sz w:val="24"/>
          <w:szCs w:val="24"/>
        </w:rPr>
        <w:t>(</w:t>
      </w:r>
      <w:proofErr w:type="spellStart"/>
      <w:r w:rsidRPr="004906D8">
        <w:rPr>
          <w:rFonts w:asciiTheme="minorHAnsi" w:hAnsiTheme="minorHAnsi"/>
          <w:i/>
          <w:iCs/>
          <w:sz w:val="24"/>
          <w:szCs w:val="24"/>
        </w:rPr>
        <w:t>Weaver</w:t>
      </w:r>
      <w:proofErr w:type="spellEnd"/>
      <w:r w:rsidRPr="004906D8">
        <w:rPr>
          <w:rFonts w:asciiTheme="minorHAnsi" w:hAnsiTheme="minorHAnsi"/>
          <w:i/>
          <w:iCs/>
          <w:sz w:val="24"/>
          <w:szCs w:val="24"/>
        </w:rPr>
        <w:t xml:space="preserve"> and </w:t>
      </w:r>
      <w:proofErr w:type="spellStart"/>
      <w:r w:rsidRPr="004906D8">
        <w:rPr>
          <w:rFonts w:asciiTheme="minorHAnsi" w:hAnsiTheme="minorHAnsi"/>
          <w:i/>
          <w:iCs/>
          <w:sz w:val="24"/>
          <w:szCs w:val="24"/>
        </w:rPr>
        <w:t>McWilliams</w:t>
      </w:r>
      <w:proofErr w:type="spellEnd"/>
      <w:r w:rsidRPr="004906D8">
        <w:rPr>
          <w:rFonts w:asciiTheme="minorHAnsi" w:hAnsiTheme="minorHAnsi"/>
          <w:i/>
          <w:iCs/>
          <w:sz w:val="24"/>
          <w:szCs w:val="24"/>
        </w:rPr>
        <w:t xml:space="preserve"> 1980; Bauer et al. 1995; Carey and </w:t>
      </w:r>
      <w:proofErr w:type="spellStart"/>
      <w:r w:rsidRPr="004906D8">
        <w:rPr>
          <w:rFonts w:asciiTheme="minorHAnsi" w:hAnsiTheme="minorHAnsi"/>
          <w:i/>
          <w:iCs/>
          <w:sz w:val="24"/>
          <w:szCs w:val="24"/>
        </w:rPr>
        <w:t>Kells</w:t>
      </w:r>
      <w:proofErr w:type="spellEnd"/>
      <w:r w:rsidRPr="004906D8">
        <w:rPr>
          <w:rFonts w:asciiTheme="minorHAnsi" w:hAnsiTheme="minorHAnsi"/>
          <w:i/>
          <w:iCs/>
          <w:sz w:val="24"/>
          <w:szCs w:val="24"/>
        </w:rPr>
        <w:t xml:space="preserve"> 1995; </w:t>
      </w:r>
      <w:proofErr w:type="spellStart"/>
      <w:r w:rsidRPr="004906D8">
        <w:rPr>
          <w:rFonts w:asciiTheme="minorHAnsi" w:hAnsiTheme="minorHAnsi"/>
          <w:i/>
          <w:iCs/>
          <w:sz w:val="24"/>
          <w:szCs w:val="24"/>
        </w:rPr>
        <w:t>Mamarot</w:t>
      </w:r>
      <w:proofErr w:type="spellEnd"/>
      <w:r w:rsidRPr="004906D8">
        <w:rPr>
          <w:rFonts w:asciiTheme="minorHAnsi" w:hAnsiTheme="minorHAnsi"/>
          <w:i/>
          <w:iCs/>
          <w:sz w:val="24"/>
          <w:szCs w:val="24"/>
        </w:rPr>
        <w:t xml:space="preserve"> and Rodriguez, 1997</w:t>
      </w:r>
      <w:r w:rsidRPr="004906D8">
        <w:rPr>
          <w:rFonts w:asciiTheme="minorHAnsi" w:hAnsiTheme="minorHAnsi"/>
          <w:sz w:val="24"/>
          <w:szCs w:val="24"/>
        </w:rPr>
        <w:t xml:space="preserve">). Na polach silnie zainfekowanych konieczne jest stosowanie herbicydów doglebowych lub sekwencyjnych zabiegów </w:t>
      </w:r>
      <w:proofErr w:type="spellStart"/>
      <w:r w:rsidRPr="004906D8">
        <w:rPr>
          <w:rFonts w:asciiTheme="minorHAnsi" w:hAnsiTheme="minorHAnsi"/>
          <w:sz w:val="24"/>
          <w:szCs w:val="24"/>
        </w:rPr>
        <w:t>powschodowych</w:t>
      </w:r>
      <w:proofErr w:type="spellEnd"/>
      <w:r w:rsidRPr="004906D8">
        <w:rPr>
          <w:rFonts w:asciiTheme="minorHAnsi" w:hAnsiTheme="minorHAnsi"/>
          <w:sz w:val="24"/>
          <w:szCs w:val="24"/>
        </w:rPr>
        <w:t xml:space="preserve"> z uwagi na przerywane kiełkowanie tych </w:t>
      </w:r>
      <w:proofErr w:type="spellStart"/>
      <w:r w:rsidRPr="004906D8">
        <w:rPr>
          <w:rFonts w:asciiTheme="minorHAnsi" w:hAnsiTheme="minorHAnsi"/>
          <w:sz w:val="24"/>
          <w:szCs w:val="24"/>
        </w:rPr>
        <w:t>rosalin</w:t>
      </w:r>
      <w:proofErr w:type="spellEnd"/>
      <w:r w:rsidRPr="004906D8">
        <w:rPr>
          <w:rFonts w:asciiTheme="minorHAnsi" w:hAnsiTheme="minorHAnsi"/>
          <w:sz w:val="24"/>
          <w:szCs w:val="24"/>
        </w:rPr>
        <w:t xml:space="preserve"> przez cały sezon wegetacyjny. </w:t>
      </w:r>
      <w:r w:rsidRPr="004906D8">
        <w:rPr>
          <w:rFonts w:asciiTheme="minorHAnsi" w:hAnsiTheme="minorHAnsi"/>
          <w:i/>
          <w:iCs/>
          <w:sz w:val="24"/>
          <w:szCs w:val="24"/>
        </w:rPr>
        <w:t xml:space="preserve">A. </w:t>
      </w:r>
      <w:proofErr w:type="spellStart"/>
      <w:r w:rsidRPr="004906D8">
        <w:rPr>
          <w:rFonts w:asciiTheme="minorHAnsi" w:hAnsiTheme="minorHAnsi"/>
          <w:i/>
          <w:iCs/>
          <w:sz w:val="24"/>
          <w:szCs w:val="24"/>
        </w:rPr>
        <w:t>retroflexus</w:t>
      </w:r>
      <w:proofErr w:type="spellEnd"/>
      <w:r w:rsidRPr="004906D8">
        <w:rPr>
          <w:rFonts w:asciiTheme="minorHAnsi" w:hAnsiTheme="minorHAnsi"/>
          <w:sz w:val="24"/>
          <w:szCs w:val="24"/>
        </w:rPr>
        <w:t xml:space="preserve"> może być zwalczany za pomocą fumigantu glebowego - jodku metylu  (</w:t>
      </w:r>
      <w:proofErr w:type="spellStart"/>
      <w:r w:rsidRPr="004906D8">
        <w:rPr>
          <w:rFonts w:asciiTheme="minorHAnsi" w:hAnsiTheme="minorHAnsi"/>
          <w:i/>
          <w:iCs/>
          <w:sz w:val="24"/>
          <w:szCs w:val="24"/>
        </w:rPr>
        <w:t>Zhang</w:t>
      </w:r>
      <w:proofErr w:type="spellEnd"/>
      <w:r w:rsidRPr="004906D8">
        <w:rPr>
          <w:rFonts w:asciiTheme="minorHAnsi" w:hAnsiTheme="minorHAnsi"/>
          <w:i/>
          <w:iCs/>
          <w:sz w:val="24"/>
          <w:szCs w:val="24"/>
        </w:rPr>
        <w:t xml:space="preserve"> et al., 1997</w:t>
      </w:r>
      <w:r w:rsidRPr="004906D8">
        <w:rPr>
          <w:rFonts w:asciiTheme="minorHAnsi" w:hAnsiTheme="minorHAnsi"/>
          <w:sz w:val="24"/>
          <w:szCs w:val="24"/>
        </w:rPr>
        <w:t>)</w:t>
      </w:r>
      <w:r w:rsidRPr="004906D8">
        <w:rPr>
          <w:rStyle w:val="Odwoanieprzypisudolnego"/>
          <w:rFonts w:asciiTheme="minorHAnsi" w:hAnsiTheme="minorHAnsi"/>
          <w:sz w:val="24"/>
          <w:szCs w:val="24"/>
        </w:rPr>
        <w:t xml:space="preserve"> </w:t>
      </w:r>
      <w:r w:rsidRPr="004906D8">
        <w:rPr>
          <w:rStyle w:val="Odwoanieprzypisudolnego"/>
          <w:rFonts w:asciiTheme="minorHAnsi" w:hAnsiTheme="minorHAnsi"/>
          <w:sz w:val="24"/>
          <w:szCs w:val="24"/>
        </w:rPr>
        <w:footnoteReference w:id="26"/>
      </w:r>
    </w:p>
    <w:p w14:paraId="36540F3B" w14:textId="4CC15235" w:rsidR="000D5C18" w:rsidRPr="004906D8" w:rsidRDefault="000D5C18" w:rsidP="004906D8">
      <w:pPr>
        <w:spacing w:after="120" w:line="276" w:lineRule="auto"/>
        <w:rPr>
          <w:rFonts w:asciiTheme="minorHAnsi" w:hAnsiTheme="minorHAnsi"/>
          <w:b/>
          <w:bCs/>
          <w:sz w:val="24"/>
          <w:szCs w:val="24"/>
        </w:rPr>
      </w:pPr>
      <w:r w:rsidRPr="004906D8">
        <w:rPr>
          <w:rFonts w:asciiTheme="minorHAnsi" w:hAnsiTheme="minorHAnsi"/>
          <w:b/>
          <w:bCs/>
          <w:sz w:val="24"/>
          <w:szCs w:val="24"/>
        </w:rPr>
        <w:t>Zalecenia odnośnie do zagospodarowania biomasy podano w rozdziale 3.</w:t>
      </w:r>
    </w:p>
    <w:p w14:paraId="49A4DB01" w14:textId="2BA83C94" w:rsidR="000D5C18" w:rsidRDefault="000D5C18" w:rsidP="000D5C18">
      <w:pPr>
        <w:pStyle w:val="Nagwek2"/>
      </w:pPr>
      <w:bookmarkStart w:id="17" w:name="_Toc239940805"/>
      <w:r>
        <w:t>2.8. Naparstnica purpurowa (</w:t>
      </w:r>
      <w:r>
        <w:rPr>
          <w:i/>
          <w:iCs/>
        </w:rPr>
        <w:t xml:space="preserve">Digitalis </w:t>
      </w:r>
      <w:proofErr w:type="spellStart"/>
      <w:r>
        <w:rPr>
          <w:i/>
          <w:iCs/>
        </w:rPr>
        <w:t>purpurea</w:t>
      </w:r>
      <w:proofErr w:type="spellEnd"/>
      <w:r>
        <w:t>)</w:t>
      </w:r>
      <w:bookmarkEnd w:id="17"/>
    </w:p>
    <w:p w14:paraId="5168B796" w14:textId="77777777" w:rsidR="000D5C18" w:rsidRPr="004906D8" w:rsidRDefault="000D5C18" w:rsidP="004906D8">
      <w:pPr>
        <w:spacing w:after="120" w:line="276" w:lineRule="auto"/>
        <w:jc w:val="both"/>
        <w:rPr>
          <w:rFonts w:asciiTheme="minorHAnsi" w:hAnsiTheme="minorHAnsi"/>
          <w:b/>
          <w:bCs/>
          <w:sz w:val="24"/>
          <w:szCs w:val="24"/>
        </w:rPr>
      </w:pPr>
      <w:r w:rsidRPr="004906D8">
        <w:rPr>
          <w:rFonts w:asciiTheme="minorHAnsi" w:hAnsiTheme="minorHAnsi"/>
          <w:b/>
          <w:bCs/>
          <w:sz w:val="24"/>
          <w:szCs w:val="24"/>
        </w:rPr>
        <w:t>Charakterystyka gatunku</w:t>
      </w:r>
    </w:p>
    <w:p w14:paraId="3957CEA8" w14:textId="77777777" w:rsidR="000D5C18" w:rsidRPr="004906D8" w:rsidRDefault="000D5C18" w:rsidP="004906D8">
      <w:pPr>
        <w:spacing w:after="120" w:line="276" w:lineRule="auto"/>
        <w:jc w:val="both"/>
        <w:rPr>
          <w:rFonts w:asciiTheme="minorHAnsi" w:hAnsiTheme="minorHAnsi"/>
          <w:sz w:val="24"/>
          <w:szCs w:val="24"/>
        </w:rPr>
      </w:pPr>
      <w:r w:rsidRPr="004906D8">
        <w:rPr>
          <w:rFonts w:asciiTheme="minorHAnsi" w:hAnsiTheme="minorHAnsi"/>
          <w:sz w:val="24"/>
          <w:szCs w:val="24"/>
        </w:rPr>
        <w:t>Naparstnica purpurowa</w:t>
      </w:r>
      <w:r w:rsidRPr="004906D8">
        <w:rPr>
          <w:rFonts w:asciiTheme="minorHAnsi" w:hAnsiTheme="minorHAnsi"/>
          <w:i/>
          <w:iCs/>
          <w:sz w:val="24"/>
          <w:szCs w:val="24"/>
        </w:rPr>
        <w:t xml:space="preserve"> Digitalis </w:t>
      </w:r>
      <w:proofErr w:type="spellStart"/>
      <w:r w:rsidRPr="004906D8">
        <w:rPr>
          <w:rFonts w:asciiTheme="minorHAnsi" w:hAnsiTheme="minorHAnsi"/>
          <w:i/>
          <w:iCs/>
          <w:sz w:val="24"/>
          <w:szCs w:val="24"/>
        </w:rPr>
        <w:t>purpurea</w:t>
      </w:r>
      <w:proofErr w:type="spellEnd"/>
      <w:r w:rsidRPr="004906D8">
        <w:rPr>
          <w:rFonts w:asciiTheme="minorHAnsi" w:hAnsiTheme="minorHAnsi"/>
          <w:sz w:val="24"/>
          <w:szCs w:val="24"/>
        </w:rPr>
        <w:t xml:space="preserve"> to roślina dwuletnia lub bylina. Rozmnaża się przez liczne drobne nasiona. Preferuje stanowiska słoneczne lub </w:t>
      </w:r>
      <w:proofErr w:type="spellStart"/>
      <w:r w:rsidRPr="004906D8">
        <w:rPr>
          <w:rFonts w:asciiTheme="minorHAnsi" w:hAnsiTheme="minorHAnsi"/>
          <w:sz w:val="24"/>
          <w:szCs w:val="24"/>
        </w:rPr>
        <w:t>półcieniste</w:t>
      </w:r>
      <w:proofErr w:type="spellEnd"/>
      <w:r w:rsidRPr="004906D8">
        <w:rPr>
          <w:rFonts w:asciiTheme="minorHAnsi" w:hAnsiTheme="minorHAnsi"/>
          <w:sz w:val="24"/>
          <w:szCs w:val="24"/>
        </w:rPr>
        <w:t xml:space="preserve"> oraz gleby wilgotne o odczynie obojętnym lub lekko kwaśnym. Tworząc zwarte łany, może mieć wpływ na ograniczenie rozwoju roślin rodzimych.</w:t>
      </w:r>
    </w:p>
    <w:p w14:paraId="789FE2B6" w14:textId="77777777" w:rsidR="000D5C18" w:rsidRPr="004906D8" w:rsidRDefault="000D5C18" w:rsidP="004906D8">
      <w:pPr>
        <w:spacing w:after="120" w:line="276" w:lineRule="auto"/>
        <w:jc w:val="both"/>
        <w:rPr>
          <w:rFonts w:asciiTheme="minorHAnsi" w:hAnsiTheme="minorHAnsi"/>
          <w:sz w:val="24"/>
          <w:szCs w:val="24"/>
        </w:rPr>
      </w:pPr>
      <w:r w:rsidRPr="004906D8">
        <w:rPr>
          <w:rFonts w:asciiTheme="minorHAnsi" w:hAnsiTheme="minorHAnsi"/>
          <w:sz w:val="24"/>
          <w:szCs w:val="24"/>
        </w:rPr>
        <w:t>W przyrodzie rozprzestrzenia się w miejscach nasłonecznionych: w lasach, w szczególności w lasach świerkowych i kwaśnych buczynach, np. na zrębach i polanach śródleśnych, w zaroślach kosodrzewiny i na łąkach</w:t>
      </w:r>
      <w:r w:rsidRPr="004906D8">
        <w:rPr>
          <w:rStyle w:val="Odwoanieprzypisudolnego"/>
          <w:rFonts w:asciiTheme="minorHAnsi" w:hAnsiTheme="minorHAnsi"/>
          <w:sz w:val="24"/>
          <w:szCs w:val="24"/>
        </w:rPr>
        <w:footnoteReference w:id="27"/>
      </w:r>
      <w:r w:rsidRPr="004906D8">
        <w:rPr>
          <w:rFonts w:asciiTheme="minorHAnsi" w:hAnsiTheme="minorHAnsi"/>
          <w:sz w:val="24"/>
          <w:szCs w:val="24"/>
        </w:rPr>
        <w:t>. Naparstnica purpurowa jest w Polsce klasyfikowana gatunek zadomowiony, inwazyjny</w:t>
      </w:r>
      <w:r w:rsidRPr="004906D8">
        <w:rPr>
          <w:rStyle w:val="Odwoanieprzypisudolnego"/>
          <w:rFonts w:asciiTheme="minorHAnsi" w:hAnsiTheme="minorHAnsi"/>
          <w:sz w:val="24"/>
          <w:szCs w:val="24"/>
        </w:rPr>
        <w:footnoteReference w:id="28"/>
      </w:r>
      <w:r w:rsidRPr="004906D8">
        <w:rPr>
          <w:rFonts w:asciiTheme="minorHAnsi" w:hAnsiTheme="minorHAnsi"/>
          <w:sz w:val="24"/>
          <w:szCs w:val="24"/>
        </w:rPr>
        <w:t>. Główne typy siedlisk przyrodniczych o znaczeniu dla Wspólnoty Europejskiej, do których wnika gatunek to 3220; 9110; 9410</w:t>
      </w:r>
      <w:r w:rsidRPr="004906D8">
        <w:rPr>
          <w:rStyle w:val="Odwoanieprzypisudolnego"/>
          <w:rFonts w:asciiTheme="minorHAnsi" w:hAnsiTheme="minorHAnsi"/>
          <w:sz w:val="24"/>
          <w:szCs w:val="24"/>
        </w:rPr>
        <w:footnoteReference w:id="29"/>
      </w:r>
      <w:r w:rsidRPr="004906D8">
        <w:rPr>
          <w:rFonts w:asciiTheme="minorHAnsi" w:hAnsiTheme="minorHAnsi"/>
          <w:sz w:val="24"/>
          <w:szCs w:val="24"/>
        </w:rPr>
        <w:t xml:space="preserve">. Zgodnie z Kodeksem dobrych praktyk „Ogrodnictwo wobec roślin inwazyjnych obcego pochodzenia” (GDOŚ 2016) gatunek jest inwazyjny regionalnie i </w:t>
      </w:r>
      <w:r w:rsidRPr="004906D8">
        <w:rPr>
          <w:rFonts w:asciiTheme="minorHAnsi" w:hAnsiTheme="minorHAnsi"/>
          <w:sz w:val="24"/>
          <w:szCs w:val="24"/>
        </w:rPr>
        <w:lastRenderedPageBreak/>
        <w:t xml:space="preserve">stopniowo zajmuje nowe stanowiska. Sklasyfikowany w Polsce jako gatunek inwazyjny kategorii II. Kodeks GDOŚ zawiera następujące zalecenia dotyczące uprawy naparstnicy purpurowej: </w:t>
      </w:r>
    </w:p>
    <w:p w14:paraId="28C95E99" w14:textId="77777777" w:rsidR="000D5C18" w:rsidRPr="004906D8" w:rsidRDefault="000D5C18" w:rsidP="004906D8">
      <w:pPr>
        <w:spacing w:after="120" w:line="276" w:lineRule="auto"/>
        <w:jc w:val="both"/>
        <w:rPr>
          <w:rFonts w:asciiTheme="minorHAnsi" w:hAnsiTheme="minorHAnsi"/>
          <w:i/>
          <w:iCs/>
          <w:sz w:val="24"/>
          <w:szCs w:val="24"/>
        </w:rPr>
      </w:pPr>
      <w:r w:rsidRPr="004906D8">
        <w:rPr>
          <w:rFonts w:asciiTheme="minorHAnsi" w:hAnsiTheme="minorHAnsi"/>
          <w:sz w:val="24"/>
          <w:szCs w:val="24"/>
        </w:rPr>
        <w:t>“</w:t>
      </w:r>
      <w:r w:rsidRPr="004906D8">
        <w:rPr>
          <w:rFonts w:asciiTheme="minorHAnsi" w:hAnsiTheme="minorHAnsi"/>
          <w:i/>
          <w:iCs/>
          <w:sz w:val="24"/>
          <w:szCs w:val="24"/>
        </w:rPr>
        <w:t>Obszary, na których nie należy uprawiać gatunku:</w:t>
      </w:r>
    </w:p>
    <w:p w14:paraId="503EDE6F" w14:textId="77777777" w:rsidR="000D5C18" w:rsidRPr="004906D8" w:rsidRDefault="000D5C18" w:rsidP="004906D8">
      <w:pPr>
        <w:pStyle w:val="Akapitzlist"/>
        <w:numPr>
          <w:ilvl w:val="0"/>
          <w:numId w:val="9"/>
        </w:numPr>
        <w:spacing w:after="120" w:line="276" w:lineRule="auto"/>
        <w:contextualSpacing w:val="0"/>
        <w:jc w:val="both"/>
        <w:rPr>
          <w:rFonts w:asciiTheme="minorHAnsi" w:hAnsiTheme="minorHAnsi"/>
          <w:i/>
          <w:iCs/>
          <w:sz w:val="24"/>
          <w:szCs w:val="24"/>
        </w:rPr>
      </w:pPr>
      <w:r w:rsidRPr="004906D8">
        <w:rPr>
          <w:rFonts w:asciiTheme="minorHAnsi" w:hAnsiTheme="minorHAnsi"/>
          <w:i/>
          <w:iCs/>
          <w:sz w:val="24"/>
          <w:szCs w:val="24"/>
        </w:rPr>
        <w:t>w pobliżu lasów i cieków wodnych,</w:t>
      </w:r>
    </w:p>
    <w:p w14:paraId="16E833C6" w14:textId="77777777" w:rsidR="000D5C18" w:rsidRPr="004906D8" w:rsidRDefault="000D5C18" w:rsidP="004906D8">
      <w:pPr>
        <w:pStyle w:val="Akapitzlist"/>
        <w:numPr>
          <w:ilvl w:val="0"/>
          <w:numId w:val="9"/>
        </w:numPr>
        <w:spacing w:after="120" w:line="276" w:lineRule="auto"/>
        <w:contextualSpacing w:val="0"/>
        <w:jc w:val="both"/>
        <w:rPr>
          <w:rFonts w:asciiTheme="minorHAnsi" w:hAnsiTheme="minorHAnsi"/>
          <w:i/>
          <w:iCs/>
          <w:sz w:val="24"/>
          <w:szCs w:val="24"/>
          <w:lang w:val="en-US"/>
        </w:rPr>
      </w:pPr>
      <w:proofErr w:type="spellStart"/>
      <w:r w:rsidRPr="004906D8">
        <w:rPr>
          <w:rFonts w:asciiTheme="minorHAnsi" w:hAnsiTheme="minorHAnsi"/>
          <w:i/>
          <w:iCs/>
          <w:sz w:val="24"/>
          <w:szCs w:val="24"/>
          <w:lang w:val="en-US"/>
        </w:rPr>
        <w:t>otwartym</w:t>
      </w:r>
      <w:proofErr w:type="spellEnd"/>
      <w:r w:rsidRPr="004906D8">
        <w:rPr>
          <w:rFonts w:asciiTheme="minorHAnsi" w:hAnsiTheme="minorHAnsi"/>
          <w:i/>
          <w:iCs/>
          <w:sz w:val="24"/>
          <w:szCs w:val="24"/>
          <w:lang w:val="en-US"/>
        </w:rPr>
        <w:t xml:space="preserve"> </w:t>
      </w:r>
      <w:proofErr w:type="spellStart"/>
      <w:r w:rsidRPr="004906D8">
        <w:rPr>
          <w:rFonts w:asciiTheme="minorHAnsi" w:hAnsiTheme="minorHAnsi"/>
          <w:i/>
          <w:iCs/>
          <w:sz w:val="24"/>
          <w:szCs w:val="24"/>
          <w:lang w:val="en-US"/>
        </w:rPr>
        <w:t>krajobrazie</w:t>
      </w:r>
      <w:proofErr w:type="spellEnd"/>
      <w:r w:rsidRPr="004906D8">
        <w:rPr>
          <w:rFonts w:asciiTheme="minorHAnsi" w:hAnsiTheme="minorHAnsi"/>
          <w:i/>
          <w:iCs/>
          <w:sz w:val="24"/>
          <w:szCs w:val="24"/>
          <w:lang w:val="en-US"/>
        </w:rPr>
        <w:t xml:space="preserve">, </w:t>
      </w:r>
    </w:p>
    <w:p w14:paraId="6516F889" w14:textId="77777777" w:rsidR="000D5C18" w:rsidRPr="004906D8" w:rsidRDefault="000D5C18" w:rsidP="004906D8">
      <w:pPr>
        <w:pStyle w:val="Akapitzlist"/>
        <w:numPr>
          <w:ilvl w:val="0"/>
          <w:numId w:val="9"/>
        </w:numPr>
        <w:spacing w:after="120" w:line="276" w:lineRule="auto"/>
        <w:contextualSpacing w:val="0"/>
        <w:jc w:val="both"/>
        <w:rPr>
          <w:rFonts w:asciiTheme="minorHAnsi" w:hAnsiTheme="minorHAnsi"/>
          <w:i/>
          <w:iCs/>
          <w:sz w:val="24"/>
          <w:szCs w:val="24"/>
        </w:rPr>
      </w:pPr>
      <w:r w:rsidRPr="004906D8">
        <w:rPr>
          <w:rFonts w:asciiTheme="minorHAnsi" w:hAnsiTheme="minorHAnsi"/>
          <w:i/>
          <w:iCs/>
          <w:sz w:val="24"/>
          <w:szCs w:val="24"/>
        </w:rPr>
        <w:t>na obszarach chronionych i w ich otulinie.</w:t>
      </w:r>
    </w:p>
    <w:p w14:paraId="3D499628" w14:textId="77777777" w:rsidR="000D5C18" w:rsidRPr="004906D8" w:rsidRDefault="000D5C18" w:rsidP="004906D8">
      <w:pPr>
        <w:spacing w:after="120" w:line="276" w:lineRule="auto"/>
        <w:jc w:val="both"/>
        <w:rPr>
          <w:rFonts w:asciiTheme="minorHAnsi" w:hAnsiTheme="minorHAnsi"/>
          <w:i/>
          <w:iCs/>
          <w:sz w:val="24"/>
          <w:szCs w:val="24"/>
        </w:rPr>
      </w:pPr>
      <w:r w:rsidRPr="004906D8">
        <w:rPr>
          <w:rFonts w:asciiTheme="minorHAnsi" w:hAnsiTheme="minorHAnsi"/>
          <w:i/>
          <w:iCs/>
          <w:sz w:val="24"/>
          <w:szCs w:val="24"/>
        </w:rPr>
        <w:t>Zaleca się rezygnację z uprawy lub wprowadzenie poniższych sposobów zminimalizowania ryzyka rozprzestrzeniania się rośliny poza miejsce uprawy:</w:t>
      </w:r>
    </w:p>
    <w:p w14:paraId="4B125612" w14:textId="77777777" w:rsidR="000D5C18" w:rsidRPr="004906D8" w:rsidRDefault="000D5C18" w:rsidP="004906D8">
      <w:pPr>
        <w:pStyle w:val="Akapitzlist"/>
        <w:numPr>
          <w:ilvl w:val="0"/>
          <w:numId w:val="10"/>
        </w:numPr>
        <w:spacing w:after="120" w:line="276" w:lineRule="auto"/>
        <w:contextualSpacing w:val="0"/>
        <w:jc w:val="both"/>
        <w:rPr>
          <w:rFonts w:asciiTheme="minorHAnsi" w:hAnsiTheme="minorHAnsi"/>
          <w:i/>
          <w:iCs/>
          <w:sz w:val="24"/>
          <w:szCs w:val="24"/>
        </w:rPr>
      </w:pPr>
      <w:r w:rsidRPr="004906D8">
        <w:rPr>
          <w:rFonts w:asciiTheme="minorHAnsi" w:hAnsiTheme="minorHAnsi"/>
          <w:i/>
          <w:iCs/>
          <w:sz w:val="24"/>
          <w:szCs w:val="24"/>
        </w:rPr>
        <w:t>regularne koszenie, wyrywanie lub wykopywanie młodych roślin z obszarów sąsiadujących z miejscem uprawy,</w:t>
      </w:r>
    </w:p>
    <w:p w14:paraId="197CCCB4" w14:textId="77777777" w:rsidR="000D5C18" w:rsidRPr="004906D8" w:rsidRDefault="000D5C18" w:rsidP="004906D8">
      <w:pPr>
        <w:pStyle w:val="Akapitzlist"/>
        <w:numPr>
          <w:ilvl w:val="0"/>
          <w:numId w:val="10"/>
        </w:numPr>
        <w:spacing w:after="120" w:line="276" w:lineRule="auto"/>
        <w:contextualSpacing w:val="0"/>
        <w:jc w:val="both"/>
        <w:rPr>
          <w:rFonts w:asciiTheme="minorHAnsi" w:hAnsiTheme="minorHAnsi"/>
          <w:i/>
          <w:iCs/>
          <w:sz w:val="24"/>
          <w:szCs w:val="24"/>
        </w:rPr>
      </w:pPr>
      <w:r w:rsidRPr="004906D8">
        <w:rPr>
          <w:rFonts w:asciiTheme="minorHAnsi" w:hAnsiTheme="minorHAnsi"/>
          <w:i/>
          <w:iCs/>
          <w:sz w:val="24"/>
          <w:szCs w:val="24"/>
        </w:rPr>
        <w:t>ścinanie kwiatostanów po przekwitnięciu i ich utylizację,</w:t>
      </w:r>
    </w:p>
    <w:p w14:paraId="381EE2A5" w14:textId="7AFF28CA" w:rsidR="000D5C18" w:rsidRPr="004906D8" w:rsidRDefault="000D5C18" w:rsidP="004906D8">
      <w:pPr>
        <w:pStyle w:val="Akapitzlist"/>
        <w:numPr>
          <w:ilvl w:val="0"/>
          <w:numId w:val="10"/>
        </w:numPr>
        <w:spacing w:after="120" w:line="276" w:lineRule="auto"/>
        <w:contextualSpacing w:val="0"/>
        <w:jc w:val="both"/>
        <w:rPr>
          <w:rFonts w:asciiTheme="minorHAnsi" w:hAnsiTheme="minorHAnsi"/>
          <w:sz w:val="24"/>
          <w:szCs w:val="24"/>
        </w:rPr>
      </w:pPr>
      <w:r w:rsidRPr="004906D8">
        <w:rPr>
          <w:rFonts w:asciiTheme="minorHAnsi" w:hAnsiTheme="minorHAnsi"/>
          <w:i/>
          <w:iCs/>
          <w:sz w:val="24"/>
          <w:szCs w:val="24"/>
        </w:rPr>
        <w:t>usunięcie rośliny po zakończeniu uprawy</w:t>
      </w:r>
      <w:r w:rsidRPr="004906D8">
        <w:rPr>
          <w:rFonts w:asciiTheme="minorHAnsi" w:hAnsiTheme="minorHAnsi"/>
          <w:sz w:val="24"/>
          <w:szCs w:val="24"/>
        </w:rPr>
        <w:t>”</w:t>
      </w:r>
      <w:r w:rsidRPr="004906D8">
        <w:rPr>
          <w:rStyle w:val="Odwoanieprzypisudolnego"/>
          <w:rFonts w:asciiTheme="minorHAnsi" w:hAnsiTheme="minorHAnsi"/>
          <w:sz w:val="24"/>
          <w:szCs w:val="24"/>
        </w:rPr>
        <w:footnoteReference w:id="30"/>
      </w:r>
      <w:r w:rsidRPr="004906D8">
        <w:rPr>
          <w:rFonts w:asciiTheme="minorHAnsi" w:hAnsiTheme="minorHAnsi"/>
          <w:sz w:val="24"/>
          <w:szCs w:val="24"/>
        </w:rPr>
        <w:t>.</w:t>
      </w:r>
    </w:p>
    <w:p w14:paraId="30344E09" w14:textId="0088E32F" w:rsidR="000D5C18" w:rsidRDefault="000D5C18" w:rsidP="004906D8">
      <w:pPr>
        <w:spacing w:after="0"/>
        <w:jc w:val="center"/>
      </w:pPr>
      <w:r w:rsidRPr="00F9646B">
        <w:rPr>
          <w:noProof/>
          <w:lang w:val="en-US"/>
        </w:rPr>
        <w:drawing>
          <wp:inline distT="0" distB="0" distL="0" distR="0" wp14:anchorId="4E40B729" wp14:editId="23BF80C7">
            <wp:extent cx="4499610" cy="4109085"/>
            <wp:effectExtent l="0" t="0" r="0" b="5715"/>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499610" cy="4109085"/>
                    </a:xfrm>
                    <a:prstGeom prst="rect">
                      <a:avLst/>
                    </a:prstGeom>
                  </pic:spPr>
                </pic:pic>
              </a:graphicData>
            </a:graphic>
          </wp:inline>
        </w:drawing>
      </w:r>
    </w:p>
    <w:p w14:paraId="06BCA355" w14:textId="61A274F3" w:rsidR="000D5C18" w:rsidRPr="004906D8" w:rsidRDefault="000D5C18" w:rsidP="004906D8">
      <w:pPr>
        <w:jc w:val="center"/>
        <w:rPr>
          <w:rFonts w:asciiTheme="minorHAnsi" w:hAnsiTheme="minorHAnsi"/>
          <w:sz w:val="18"/>
          <w:szCs w:val="18"/>
        </w:rPr>
      </w:pPr>
      <w:r w:rsidRPr="004906D8">
        <w:rPr>
          <w:rFonts w:asciiTheme="minorHAnsi" w:hAnsiTheme="minorHAnsi"/>
          <w:sz w:val="18"/>
          <w:szCs w:val="18"/>
        </w:rPr>
        <w:t>Autor zdjęcia: B. Tokarska-Guzik</w:t>
      </w:r>
    </w:p>
    <w:p w14:paraId="0DD2A6E9" w14:textId="77777777" w:rsidR="000D5C18" w:rsidRPr="004906D8" w:rsidRDefault="000D5C18" w:rsidP="004906D8">
      <w:pPr>
        <w:spacing w:after="120" w:line="276" w:lineRule="auto"/>
        <w:jc w:val="both"/>
        <w:rPr>
          <w:rFonts w:asciiTheme="minorHAnsi" w:hAnsiTheme="minorHAnsi"/>
          <w:b/>
          <w:bCs/>
          <w:sz w:val="24"/>
          <w:szCs w:val="24"/>
        </w:rPr>
      </w:pPr>
      <w:r w:rsidRPr="004906D8">
        <w:rPr>
          <w:rFonts w:asciiTheme="minorHAnsi" w:hAnsiTheme="minorHAnsi"/>
          <w:b/>
          <w:bCs/>
          <w:sz w:val="24"/>
          <w:szCs w:val="24"/>
        </w:rPr>
        <w:lastRenderedPageBreak/>
        <w:t>Działania służące eliminacji</w:t>
      </w:r>
    </w:p>
    <w:p w14:paraId="6559E081" w14:textId="77777777" w:rsidR="000D5C18" w:rsidRPr="004906D8" w:rsidRDefault="000D5C18" w:rsidP="004906D8">
      <w:pPr>
        <w:pStyle w:val="Akapitzlist"/>
        <w:numPr>
          <w:ilvl w:val="0"/>
          <w:numId w:val="8"/>
        </w:numPr>
        <w:spacing w:after="120" w:line="276" w:lineRule="auto"/>
        <w:contextualSpacing w:val="0"/>
        <w:jc w:val="both"/>
        <w:rPr>
          <w:rFonts w:asciiTheme="minorHAnsi" w:hAnsiTheme="minorHAnsi"/>
          <w:sz w:val="24"/>
          <w:szCs w:val="24"/>
        </w:rPr>
      </w:pPr>
      <w:r w:rsidRPr="004906D8">
        <w:rPr>
          <w:rFonts w:asciiTheme="minorHAnsi" w:hAnsiTheme="minorHAnsi"/>
          <w:sz w:val="24"/>
          <w:szCs w:val="24"/>
        </w:rPr>
        <w:t>Zwalczanie naparstnicy purpurowej zazwyczaj obejmuje mechaniczne usuwanie: wyrywanie lub koszenie roślin przed uwolnieniem nasion.</w:t>
      </w:r>
    </w:p>
    <w:p w14:paraId="4406A6FB" w14:textId="77777777" w:rsidR="000D5C18" w:rsidRPr="004906D8" w:rsidRDefault="000D5C18" w:rsidP="004906D8">
      <w:pPr>
        <w:spacing w:after="120" w:line="276" w:lineRule="auto"/>
        <w:jc w:val="both"/>
        <w:rPr>
          <w:rFonts w:asciiTheme="minorHAnsi" w:hAnsiTheme="minorHAnsi"/>
          <w:b/>
          <w:bCs/>
          <w:sz w:val="24"/>
          <w:szCs w:val="24"/>
        </w:rPr>
      </w:pPr>
      <w:r w:rsidRPr="004906D8">
        <w:rPr>
          <w:rFonts w:asciiTheme="minorHAnsi" w:hAnsiTheme="minorHAnsi"/>
          <w:b/>
          <w:bCs/>
          <w:sz w:val="24"/>
          <w:szCs w:val="24"/>
        </w:rPr>
        <w:t>Zalecenia odnośnie zagospodarowania biomasy podano w rozdziale 3.</w:t>
      </w:r>
    </w:p>
    <w:p w14:paraId="694D92D9" w14:textId="34029E7C" w:rsidR="000D5C18" w:rsidRDefault="000D5C18" w:rsidP="000D5C18">
      <w:pPr>
        <w:pStyle w:val="Nagwek2"/>
      </w:pPr>
      <w:bookmarkStart w:id="18" w:name="_Toc239940806"/>
      <w:r>
        <w:t xml:space="preserve">2.9. </w:t>
      </w:r>
      <w:proofErr w:type="spellStart"/>
      <w:r>
        <w:t>Świdośliwa</w:t>
      </w:r>
      <w:proofErr w:type="spellEnd"/>
      <w:r>
        <w:t xml:space="preserve"> kłosowa (</w:t>
      </w:r>
      <w:proofErr w:type="spellStart"/>
      <w:r>
        <w:rPr>
          <w:i/>
          <w:iCs/>
        </w:rPr>
        <w:t>Amelanchier</w:t>
      </w:r>
      <w:proofErr w:type="spellEnd"/>
      <w:r>
        <w:rPr>
          <w:i/>
          <w:iCs/>
        </w:rPr>
        <w:t xml:space="preserve"> </w:t>
      </w:r>
      <w:proofErr w:type="spellStart"/>
      <w:r>
        <w:rPr>
          <w:i/>
          <w:iCs/>
        </w:rPr>
        <w:t>spicata</w:t>
      </w:r>
      <w:proofErr w:type="spellEnd"/>
      <w:r>
        <w:t>)</w:t>
      </w:r>
      <w:bookmarkEnd w:id="18"/>
    </w:p>
    <w:p w14:paraId="03DAF377" w14:textId="77777777" w:rsidR="000D5C18" w:rsidRPr="004906D8" w:rsidRDefault="000D5C18" w:rsidP="004906D8">
      <w:pPr>
        <w:spacing w:after="120" w:line="276" w:lineRule="auto"/>
        <w:jc w:val="both"/>
        <w:rPr>
          <w:rFonts w:asciiTheme="minorHAnsi" w:hAnsiTheme="minorHAnsi"/>
          <w:b/>
          <w:bCs/>
          <w:sz w:val="24"/>
          <w:szCs w:val="24"/>
        </w:rPr>
      </w:pPr>
      <w:r w:rsidRPr="004906D8">
        <w:rPr>
          <w:rFonts w:asciiTheme="minorHAnsi" w:hAnsiTheme="minorHAnsi"/>
          <w:b/>
          <w:bCs/>
          <w:sz w:val="24"/>
          <w:szCs w:val="24"/>
        </w:rPr>
        <w:t>Charakterystyka gatunku</w:t>
      </w:r>
    </w:p>
    <w:p w14:paraId="01BAC4C5" w14:textId="77777777" w:rsidR="000D5C18" w:rsidRPr="004906D8" w:rsidRDefault="000D5C18" w:rsidP="004906D8">
      <w:pPr>
        <w:spacing w:after="120" w:line="276" w:lineRule="auto"/>
        <w:jc w:val="both"/>
        <w:rPr>
          <w:rFonts w:asciiTheme="minorHAnsi" w:hAnsiTheme="minorHAnsi"/>
          <w:sz w:val="24"/>
          <w:szCs w:val="24"/>
        </w:rPr>
      </w:pPr>
      <w:proofErr w:type="spellStart"/>
      <w:r w:rsidRPr="004906D8">
        <w:rPr>
          <w:rFonts w:asciiTheme="minorHAnsi" w:hAnsiTheme="minorHAnsi"/>
          <w:sz w:val="24"/>
          <w:szCs w:val="24"/>
        </w:rPr>
        <w:t>Świdośliwa</w:t>
      </w:r>
      <w:proofErr w:type="spellEnd"/>
      <w:r w:rsidRPr="004906D8">
        <w:rPr>
          <w:rFonts w:asciiTheme="minorHAnsi" w:hAnsiTheme="minorHAnsi"/>
          <w:sz w:val="24"/>
          <w:szCs w:val="24"/>
        </w:rPr>
        <w:t xml:space="preserve"> kłosowa</w:t>
      </w:r>
      <w:r w:rsidRPr="004906D8">
        <w:rPr>
          <w:rFonts w:asciiTheme="minorHAnsi" w:hAnsiTheme="minorHAnsi"/>
          <w:i/>
          <w:iCs/>
          <w:sz w:val="24"/>
          <w:szCs w:val="24"/>
        </w:rPr>
        <w:t xml:space="preserve"> </w:t>
      </w:r>
      <w:proofErr w:type="spellStart"/>
      <w:r w:rsidRPr="004906D8">
        <w:rPr>
          <w:rFonts w:asciiTheme="minorHAnsi" w:hAnsiTheme="minorHAnsi"/>
          <w:i/>
          <w:iCs/>
          <w:sz w:val="24"/>
          <w:szCs w:val="24"/>
        </w:rPr>
        <w:t>Amelanchier</w:t>
      </w:r>
      <w:proofErr w:type="spellEnd"/>
      <w:r w:rsidRPr="004906D8">
        <w:rPr>
          <w:rFonts w:asciiTheme="minorHAnsi" w:hAnsiTheme="minorHAnsi"/>
          <w:i/>
          <w:iCs/>
          <w:sz w:val="24"/>
          <w:szCs w:val="24"/>
        </w:rPr>
        <w:t xml:space="preserve"> </w:t>
      </w:r>
      <w:proofErr w:type="spellStart"/>
      <w:r w:rsidRPr="004906D8">
        <w:rPr>
          <w:rFonts w:asciiTheme="minorHAnsi" w:hAnsiTheme="minorHAnsi"/>
          <w:i/>
          <w:iCs/>
          <w:sz w:val="24"/>
          <w:szCs w:val="24"/>
        </w:rPr>
        <w:t>spicata</w:t>
      </w:r>
      <w:proofErr w:type="spellEnd"/>
      <w:r w:rsidRPr="004906D8">
        <w:rPr>
          <w:rFonts w:asciiTheme="minorHAnsi" w:hAnsiTheme="minorHAnsi"/>
          <w:sz w:val="24"/>
          <w:szCs w:val="24"/>
        </w:rPr>
        <w:t xml:space="preserve"> to wysoki krzew lub niewielkie drzewo. Rozmnaża się za pomocą nasion. Owoce są chętnie zjadane przez ptaki, a nasiona przenoszone są na znaczne odległości. Preferuje gleby kwaśne, piaszczyste. Może mieć wpływ na rodzimą przyrodę poprzez ograniczenie rozwoju innych roślin.</w:t>
      </w:r>
    </w:p>
    <w:p w14:paraId="751B774E" w14:textId="77777777" w:rsidR="000D5C18" w:rsidRPr="004906D8" w:rsidRDefault="000D5C18" w:rsidP="004906D8">
      <w:pPr>
        <w:spacing w:after="120" w:line="276" w:lineRule="auto"/>
        <w:jc w:val="both"/>
        <w:rPr>
          <w:rFonts w:asciiTheme="minorHAnsi" w:hAnsiTheme="minorHAnsi"/>
          <w:sz w:val="24"/>
          <w:szCs w:val="24"/>
        </w:rPr>
      </w:pPr>
      <w:r w:rsidRPr="004906D8">
        <w:rPr>
          <w:rFonts w:asciiTheme="minorHAnsi" w:hAnsiTheme="minorHAnsi"/>
          <w:sz w:val="24"/>
          <w:szCs w:val="24"/>
        </w:rPr>
        <w:t>W przyrodzie występuje przede wszystkim na terenach leśnych, w zaroślach i w pobliżu obszarów miejskich</w:t>
      </w:r>
      <w:r w:rsidRPr="004906D8">
        <w:rPr>
          <w:rStyle w:val="Odwoanieprzypisudolnego"/>
          <w:rFonts w:asciiTheme="minorHAnsi" w:hAnsiTheme="minorHAnsi"/>
          <w:sz w:val="24"/>
          <w:szCs w:val="24"/>
        </w:rPr>
        <w:footnoteReference w:id="31"/>
      </w:r>
      <w:r w:rsidRPr="004906D8">
        <w:rPr>
          <w:rFonts w:asciiTheme="minorHAnsi" w:hAnsiTheme="minorHAnsi"/>
          <w:sz w:val="24"/>
          <w:szCs w:val="24"/>
        </w:rPr>
        <w:t>.</w:t>
      </w:r>
    </w:p>
    <w:p w14:paraId="1DC20B89" w14:textId="095933BE" w:rsidR="000D5C18" w:rsidRPr="004906D8" w:rsidRDefault="000D5C18" w:rsidP="004906D8">
      <w:pPr>
        <w:spacing w:after="120" w:line="276" w:lineRule="auto"/>
        <w:jc w:val="both"/>
        <w:rPr>
          <w:rFonts w:asciiTheme="minorHAnsi" w:hAnsiTheme="minorHAnsi"/>
          <w:sz w:val="24"/>
          <w:szCs w:val="24"/>
        </w:rPr>
      </w:pPr>
      <w:r w:rsidRPr="004906D8">
        <w:rPr>
          <w:rFonts w:asciiTheme="minorHAnsi" w:hAnsiTheme="minorHAnsi"/>
          <w:sz w:val="24"/>
          <w:szCs w:val="24"/>
        </w:rPr>
        <w:t>Gatunek ten jest opisywany jako kłączowy, intensywnie odrostowy, zdolny do tworzenia gęstych zarośli (</w:t>
      </w:r>
      <w:r w:rsidRPr="004906D8">
        <w:rPr>
          <w:rFonts w:asciiTheme="minorHAnsi" w:hAnsiTheme="minorHAnsi"/>
          <w:i/>
          <w:iCs/>
          <w:sz w:val="24"/>
          <w:szCs w:val="24"/>
        </w:rPr>
        <w:t xml:space="preserve">Flora of </w:t>
      </w:r>
      <w:proofErr w:type="spellStart"/>
      <w:r w:rsidRPr="004906D8">
        <w:rPr>
          <w:rFonts w:asciiTheme="minorHAnsi" w:hAnsiTheme="minorHAnsi"/>
          <w:i/>
          <w:iCs/>
          <w:sz w:val="24"/>
          <w:szCs w:val="24"/>
        </w:rPr>
        <w:t>North</w:t>
      </w:r>
      <w:proofErr w:type="spellEnd"/>
      <w:r w:rsidRPr="004906D8">
        <w:rPr>
          <w:rFonts w:asciiTheme="minorHAnsi" w:hAnsiTheme="minorHAnsi"/>
          <w:i/>
          <w:iCs/>
          <w:sz w:val="24"/>
          <w:szCs w:val="24"/>
        </w:rPr>
        <w:t xml:space="preserve"> </w:t>
      </w:r>
      <w:proofErr w:type="spellStart"/>
      <w:r w:rsidRPr="004906D8">
        <w:rPr>
          <w:rFonts w:asciiTheme="minorHAnsi" w:hAnsiTheme="minorHAnsi"/>
          <w:i/>
          <w:iCs/>
          <w:sz w:val="24"/>
          <w:szCs w:val="24"/>
        </w:rPr>
        <w:t>America</w:t>
      </w:r>
      <w:proofErr w:type="spellEnd"/>
      <w:r w:rsidRPr="004906D8">
        <w:rPr>
          <w:rFonts w:asciiTheme="minorHAnsi" w:hAnsiTheme="minorHAnsi"/>
          <w:i/>
          <w:iCs/>
          <w:sz w:val="24"/>
          <w:szCs w:val="24"/>
        </w:rPr>
        <w:t xml:space="preserve"> 2020; Go </w:t>
      </w:r>
      <w:proofErr w:type="spellStart"/>
      <w:r w:rsidRPr="004906D8">
        <w:rPr>
          <w:rFonts w:asciiTheme="minorHAnsi" w:hAnsiTheme="minorHAnsi"/>
          <w:i/>
          <w:iCs/>
          <w:sz w:val="24"/>
          <w:szCs w:val="24"/>
        </w:rPr>
        <w:t>Botany</w:t>
      </w:r>
      <w:proofErr w:type="spellEnd"/>
      <w:r w:rsidRPr="004906D8">
        <w:rPr>
          <w:rFonts w:asciiTheme="minorHAnsi" w:hAnsiTheme="minorHAnsi"/>
          <w:i/>
          <w:iCs/>
          <w:sz w:val="24"/>
          <w:szCs w:val="24"/>
        </w:rPr>
        <w:t xml:space="preserve"> Native Plant Trust (New England) (2020)</w:t>
      </w:r>
      <w:r w:rsidRPr="004906D8">
        <w:rPr>
          <w:rFonts w:asciiTheme="minorHAnsi" w:hAnsiTheme="minorHAnsi"/>
          <w:sz w:val="24"/>
          <w:szCs w:val="24"/>
        </w:rPr>
        <w:t>). Potencjał rozprzestrzeniania się wegetatywnego poprzez kłącza utrudnia zwalczanie gatunku, w przypadku braku jego wykrycia dłużej niż kilka lat, gdy osiągną duży zasięg i ugruntowaną pozycję</w:t>
      </w:r>
      <w:r w:rsidRPr="004906D8">
        <w:rPr>
          <w:rStyle w:val="Odwoanieprzypisudolnego"/>
          <w:rFonts w:asciiTheme="minorHAnsi" w:hAnsiTheme="minorHAnsi"/>
          <w:sz w:val="24"/>
          <w:szCs w:val="24"/>
        </w:rPr>
        <w:footnoteReference w:id="32"/>
      </w:r>
      <w:r w:rsidRPr="004906D8">
        <w:rPr>
          <w:rFonts w:asciiTheme="minorHAnsi" w:hAnsiTheme="minorHAnsi"/>
          <w:sz w:val="24"/>
          <w:szCs w:val="24"/>
        </w:rPr>
        <w:t>.</w:t>
      </w:r>
    </w:p>
    <w:p w14:paraId="70663709" w14:textId="751CA4D7" w:rsidR="000D5C18" w:rsidRPr="00BF28E0" w:rsidRDefault="000D5C18" w:rsidP="00BF28E0">
      <w:pPr>
        <w:jc w:val="center"/>
        <w:rPr>
          <w:sz w:val="18"/>
          <w:szCs w:val="18"/>
        </w:rPr>
      </w:pPr>
      <w:r w:rsidRPr="00F9646B">
        <w:rPr>
          <w:noProof/>
          <w:lang w:val="en-US"/>
        </w:rPr>
        <w:lastRenderedPageBreak/>
        <w:drawing>
          <wp:inline distT="0" distB="0" distL="0" distR="0" wp14:anchorId="19B80A11" wp14:editId="0587C059">
            <wp:extent cx="5438899" cy="7710864"/>
            <wp:effectExtent l="0" t="0" r="9525" b="4445"/>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47788" cy="7723466"/>
                    </a:xfrm>
                    <a:prstGeom prst="rect">
                      <a:avLst/>
                    </a:prstGeom>
                  </pic:spPr>
                </pic:pic>
              </a:graphicData>
            </a:graphic>
          </wp:inline>
        </w:drawing>
      </w:r>
      <w:r w:rsidRPr="004906D8">
        <w:rPr>
          <w:rFonts w:asciiTheme="minorHAnsi" w:hAnsiTheme="minorHAnsi"/>
          <w:sz w:val="18"/>
          <w:szCs w:val="18"/>
        </w:rPr>
        <w:t>Źródło: B. Tokarska-Guzik, Z. Dajdok, M. Zając, A. Zając, A. Urbisz, W. Danielewicz: Rośliny obcego pochodzenia</w:t>
      </w:r>
      <w:r w:rsidRPr="00F9646B">
        <w:rPr>
          <w:sz w:val="18"/>
          <w:szCs w:val="18"/>
        </w:rPr>
        <w:t xml:space="preserve"> w Polsce ze szczególnym uwzględnieniem gatunków inwazyjnych. Warszawa: Generalna Dyrekcja Ochrony Środowiska, 2012. ISBN 978-83-62940-34-9</w:t>
      </w:r>
    </w:p>
    <w:p w14:paraId="3DFBFFAA" w14:textId="46FCEEE9" w:rsidR="000D5C18" w:rsidRPr="00BF28E0" w:rsidRDefault="000D5C18"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lastRenderedPageBreak/>
        <w:t>Działania służące eliminacji</w:t>
      </w:r>
    </w:p>
    <w:p w14:paraId="078BF8A0" w14:textId="77777777" w:rsidR="000D5C18" w:rsidRPr="00BF28E0" w:rsidRDefault="000D5C18" w:rsidP="00BF28E0">
      <w:pPr>
        <w:pStyle w:val="Akapitzlist"/>
        <w:numPr>
          <w:ilvl w:val="0"/>
          <w:numId w:val="8"/>
        </w:numPr>
        <w:spacing w:after="120" w:line="276" w:lineRule="auto"/>
        <w:contextualSpacing w:val="0"/>
        <w:jc w:val="both"/>
        <w:rPr>
          <w:rFonts w:asciiTheme="minorHAnsi" w:hAnsiTheme="minorHAnsi"/>
          <w:sz w:val="24"/>
          <w:szCs w:val="24"/>
        </w:rPr>
      </w:pPr>
      <w:r w:rsidRPr="00BF28E0">
        <w:rPr>
          <w:rFonts w:asciiTheme="minorHAnsi" w:hAnsiTheme="minorHAnsi"/>
          <w:sz w:val="24"/>
          <w:szCs w:val="24"/>
        </w:rPr>
        <w:t xml:space="preserve">Zwalczanie </w:t>
      </w:r>
      <w:proofErr w:type="spellStart"/>
      <w:r w:rsidRPr="00BF28E0">
        <w:rPr>
          <w:rFonts w:asciiTheme="minorHAnsi" w:hAnsiTheme="minorHAnsi"/>
          <w:sz w:val="24"/>
          <w:szCs w:val="24"/>
        </w:rPr>
        <w:t>świdośliwy</w:t>
      </w:r>
      <w:proofErr w:type="spellEnd"/>
      <w:r w:rsidRPr="00BF28E0">
        <w:rPr>
          <w:rFonts w:asciiTheme="minorHAnsi" w:hAnsiTheme="minorHAnsi"/>
          <w:sz w:val="24"/>
          <w:szCs w:val="24"/>
        </w:rPr>
        <w:t xml:space="preserve"> kłosowej zazwyczaj obejmuje regularne koszenie lub wyrywanie młodych roślin.</w:t>
      </w:r>
    </w:p>
    <w:p w14:paraId="1FCDB9C4" w14:textId="77777777" w:rsidR="000D5C18" w:rsidRPr="00BF28E0" w:rsidRDefault="000D5C18" w:rsidP="00BF28E0">
      <w:pPr>
        <w:pStyle w:val="Akapitzlist"/>
        <w:numPr>
          <w:ilvl w:val="0"/>
          <w:numId w:val="8"/>
        </w:numPr>
        <w:spacing w:after="120" w:line="276" w:lineRule="auto"/>
        <w:contextualSpacing w:val="0"/>
        <w:jc w:val="both"/>
        <w:rPr>
          <w:rFonts w:asciiTheme="minorHAnsi" w:hAnsiTheme="minorHAnsi"/>
          <w:sz w:val="24"/>
          <w:szCs w:val="24"/>
        </w:rPr>
      </w:pPr>
      <w:r w:rsidRPr="00BF28E0">
        <w:rPr>
          <w:rFonts w:asciiTheme="minorHAnsi" w:hAnsiTheme="minorHAnsi"/>
          <w:sz w:val="24"/>
          <w:szCs w:val="24"/>
        </w:rPr>
        <w:t xml:space="preserve">Wegetatywne rozprzestrzenianie się i ponowne odrastanie rośliny utrudnia jej zwalczanie, ponieważ konieczne będą powtarzane zabiegi ręcznego cięcia. </w:t>
      </w:r>
      <w:proofErr w:type="spellStart"/>
      <w:r w:rsidRPr="00BF28E0">
        <w:rPr>
          <w:rFonts w:asciiTheme="minorHAnsi" w:hAnsiTheme="minorHAnsi"/>
          <w:i/>
          <w:iCs/>
          <w:sz w:val="24"/>
          <w:szCs w:val="24"/>
        </w:rPr>
        <w:t>Kabuce</w:t>
      </w:r>
      <w:proofErr w:type="spellEnd"/>
      <w:r w:rsidRPr="00BF28E0">
        <w:rPr>
          <w:rFonts w:asciiTheme="minorHAnsi" w:hAnsiTheme="minorHAnsi"/>
          <w:i/>
          <w:iCs/>
          <w:sz w:val="24"/>
          <w:szCs w:val="24"/>
        </w:rPr>
        <w:t xml:space="preserve"> &amp; </w:t>
      </w:r>
      <w:proofErr w:type="spellStart"/>
      <w:r w:rsidRPr="00BF28E0">
        <w:rPr>
          <w:rFonts w:asciiTheme="minorHAnsi" w:hAnsiTheme="minorHAnsi"/>
          <w:i/>
          <w:iCs/>
          <w:sz w:val="24"/>
          <w:szCs w:val="24"/>
        </w:rPr>
        <w:t>Pieder</w:t>
      </w:r>
      <w:proofErr w:type="spellEnd"/>
      <w:r w:rsidRPr="00BF28E0">
        <w:rPr>
          <w:rFonts w:asciiTheme="minorHAnsi" w:hAnsiTheme="minorHAnsi"/>
          <w:i/>
          <w:iCs/>
          <w:sz w:val="24"/>
          <w:szCs w:val="24"/>
        </w:rPr>
        <w:t xml:space="preserve"> (2010)</w:t>
      </w:r>
      <w:r w:rsidRPr="00BF28E0">
        <w:rPr>
          <w:rFonts w:asciiTheme="minorHAnsi" w:hAnsiTheme="minorHAnsi"/>
          <w:sz w:val="24"/>
          <w:szCs w:val="24"/>
        </w:rPr>
        <w:t xml:space="preserve"> i odniesienia do nich opisują szybkie tempo odrastania pędów z pędów już ściętych w poprzednim roku (52% pędów regeneruje się); pędy mogą produkować owoce w 3-4 roku życia</w:t>
      </w:r>
      <w:r w:rsidRPr="00BF28E0">
        <w:rPr>
          <w:rStyle w:val="Odwoanieprzypisudolnego"/>
          <w:rFonts w:asciiTheme="minorHAnsi" w:hAnsiTheme="minorHAnsi"/>
          <w:sz w:val="24"/>
          <w:szCs w:val="24"/>
        </w:rPr>
        <w:footnoteReference w:id="33"/>
      </w:r>
      <w:r w:rsidRPr="00BF28E0">
        <w:rPr>
          <w:rFonts w:asciiTheme="minorHAnsi" w:hAnsiTheme="minorHAnsi"/>
          <w:sz w:val="24"/>
          <w:szCs w:val="24"/>
        </w:rPr>
        <w:t>.</w:t>
      </w:r>
    </w:p>
    <w:p w14:paraId="325C4B0D" w14:textId="525AD6B2" w:rsidR="000D5C18" w:rsidRPr="00BF28E0" w:rsidRDefault="000D5C18"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Zalecenia odnośnie do zagospodarowania biomasy podano w rozdziale 3.</w:t>
      </w:r>
    </w:p>
    <w:p w14:paraId="43F898C9" w14:textId="4778EAAC" w:rsidR="000D5C18" w:rsidRDefault="008B6E13" w:rsidP="008B6E13">
      <w:pPr>
        <w:pStyle w:val="Nagwek2"/>
      </w:pPr>
      <w:bookmarkStart w:id="19" w:name="_Toc239940807"/>
      <w:r>
        <w:t>2.10. Tawuła kutnerowata (</w:t>
      </w:r>
      <w:proofErr w:type="spellStart"/>
      <w:r>
        <w:rPr>
          <w:i/>
          <w:iCs/>
        </w:rPr>
        <w:t>Spiraea</w:t>
      </w:r>
      <w:proofErr w:type="spellEnd"/>
      <w:r>
        <w:rPr>
          <w:i/>
          <w:iCs/>
        </w:rPr>
        <w:t xml:space="preserve"> </w:t>
      </w:r>
      <w:proofErr w:type="spellStart"/>
      <w:r>
        <w:rPr>
          <w:i/>
          <w:iCs/>
        </w:rPr>
        <w:t>tomentosa</w:t>
      </w:r>
      <w:proofErr w:type="spellEnd"/>
      <w:r>
        <w:t>)</w:t>
      </w:r>
      <w:bookmarkEnd w:id="19"/>
    </w:p>
    <w:p w14:paraId="667A8174" w14:textId="77777777" w:rsidR="008B6E13" w:rsidRPr="00BF28E0" w:rsidRDefault="008B6E13"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Charakterystyka gatunku</w:t>
      </w:r>
    </w:p>
    <w:p w14:paraId="04C51C5B" w14:textId="77777777"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t>Tawuła kutnerowata</w:t>
      </w:r>
      <w:r w:rsidRPr="00BF28E0">
        <w:rPr>
          <w:rFonts w:asciiTheme="minorHAnsi" w:hAnsiTheme="minorHAnsi"/>
          <w:i/>
          <w:iCs/>
          <w:sz w:val="24"/>
          <w:szCs w:val="24"/>
        </w:rPr>
        <w:t xml:space="preserve"> </w:t>
      </w:r>
      <w:proofErr w:type="spellStart"/>
      <w:r w:rsidRPr="00BF28E0">
        <w:rPr>
          <w:rFonts w:asciiTheme="minorHAnsi" w:hAnsiTheme="minorHAnsi"/>
          <w:i/>
          <w:iCs/>
          <w:sz w:val="24"/>
          <w:szCs w:val="24"/>
        </w:rPr>
        <w:t>Spiraea</w:t>
      </w:r>
      <w:proofErr w:type="spellEnd"/>
      <w:r w:rsidRPr="00BF28E0">
        <w:rPr>
          <w:rFonts w:asciiTheme="minorHAnsi" w:hAnsiTheme="minorHAnsi"/>
          <w:i/>
          <w:iCs/>
          <w:sz w:val="24"/>
          <w:szCs w:val="24"/>
        </w:rPr>
        <w:t xml:space="preserve"> </w:t>
      </w:r>
      <w:proofErr w:type="spellStart"/>
      <w:r w:rsidRPr="00BF28E0">
        <w:rPr>
          <w:rFonts w:asciiTheme="minorHAnsi" w:hAnsiTheme="minorHAnsi"/>
          <w:i/>
          <w:iCs/>
          <w:sz w:val="24"/>
          <w:szCs w:val="24"/>
        </w:rPr>
        <w:t>tomentosa</w:t>
      </w:r>
      <w:proofErr w:type="spellEnd"/>
      <w:r w:rsidRPr="00BF28E0">
        <w:rPr>
          <w:rFonts w:asciiTheme="minorHAnsi" w:hAnsiTheme="minorHAnsi"/>
          <w:sz w:val="24"/>
          <w:szCs w:val="24"/>
        </w:rPr>
        <w:t xml:space="preserve"> jest wyprostowanym krzewem, osiągającym wysokość do 3m (przeciętnie 0,8-1,5m), o nierozgałęzionych pędach oraz licznych podziemnych rozłogach. Pędy pokryte są wełnistym, rdzawym kutnerem, a liście jajowate (3-7 cm długości) z góry ciemnozielone, od dołu szarozielone, owłosione gęstym kutnerem. Kwiaty tworzą stożkowate wiechy (do 15 cm długości) koloru różowego, umiejscowione na końcach tegorocznych pędów. Owoce są drobne, typu mieszek, a nasiona są lekkie i posiadają skrzydełka; mieszki z nasionami mogą utrzymywać się na pędach również w zimie. Najczęściej pojawia się na torfowiskach niskich i przejściowych, wilgotnych wrzosowiskach, a rzadziej w olsach, łęgach, brzezinach bagiennych czy na porzuconych łąkach. Kwiaty tawuły kutnerowatej, zbudowane z 5 działek, 5 płatków, 5 słupków i licznych pręcików, są różowe i zebrane w szczytowe, stożkowate wiechy o długości do 20 cm. Kwitnienie trwa od lipca do sierpnia, a nasiona dojrzewają na przełomie października i listopada. Owocem krzewu jest </w:t>
      </w:r>
      <w:proofErr w:type="spellStart"/>
      <w:r w:rsidRPr="00BF28E0">
        <w:rPr>
          <w:rFonts w:asciiTheme="minorHAnsi" w:hAnsiTheme="minorHAnsi"/>
          <w:sz w:val="24"/>
          <w:szCs w:val="24"/>
        </w:rPr>
        <w:t>wielomieszek</w:t>
      </w:r>
      <w:proofErr w:type="spellEnd"/>
      <w:r w:rsidRPr="00BF28E0">
        <w:rPr>
          <w:rFonts w:asciiTheme="minorHAnsi" w:hAnsiTheme="minorHAnsi"/>
          <w:sz w:val="24"/>
          <w:szCs w:val="24"/>
        </w:rPr>
        <w:t xml:space="preserve"> złożony z 5 suchych, pękających wzdłuż szwu brzusznego mieszków, w których znajduje się od 2 do 10 nasion, z jednego kwiatu może powstać zatem do 50 nasion rocznie. Dojrzałe nasiona osiągające długość ok. 2 mm i szerokość ok. 0,2 mm, charakteryzują się dużą zdolnością do kiełkowania i są przystosowane do rozprzestrzeniania przez wodę (hydrochoria). W sprzyjających warunkach tawuła kutnerowata osiąga dojrzałość w trzecim lub czwartym sezonie wegetacyjnym. Usuwanie tawuły z reguły jest trudne, najczęściej kłącza pozostają w gruncie, kruszą się i rwą. Nawet w przypadku pojedynczych kęp (niezależnie od podłoża) są one na tyle zwarte, że ich wyrwanie przysparza duże trudności</w:t>
      </w:r>
      <w:r w:rsidRPr="00BF28E0">
        <w:rPr>
          <w:rStyle w:val="Odwoanieprzypisudolnego"/>
          <w:rFonts w:asciiTheme="minorHAnsi" w:hAnsiTheme="minorHAnsi"/>
          <w:sz w:val="24"/>
          <w:szCs w:val="24"/>
        </w:rPr>
        <w:footnoteReference w:id="34"/>
      </w:r>
      <w:r w:rsidRPr="00BF28E0">
        <w:rPr>
          <w:rFonts w:asciiTheme="minorHAnsi" w:hAnsiTheme="minorHAnsi"/>
          <w:sz w:val="24"/>
          <w:szCs w:val="24"/>
        </w:rPr>
        <w:t>.</w:t>
      </w:r>
    </w:p>
    <w:p w14:paraId="04AC1608" w14:textId="21B70C47"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lastRenderedPageBreak/>
        <w:t xml:space="preserve">Ekspansję krzewu ułatwiać mogą również regularnie powtarzane zabiegi polegające m.in. na wykaszaniu lub wyrywaniu roślinności przywodnej oraz pogłębianiu cieków połączonym z usuwaniem mułu i jego składowaniem na skarpach cieków. Szczególnie wrażliwe na osiedlanie się gatunków obcych są bowiem te siedliska, w obrębie których występują płaty odsłoniętych gleb, zwłaszcza gdy równocześnie dochodzi do ich eutrofizacji. najbardziej podatne na jego ekspansję są zbiorowiska silnie prześwietlone. Tawuła kutnerowata najczęściej kolonizuje zatem ekosystemy </w:t>
      </w:r>
      <w:proofErr w:type="spellStart"/>
      <w:r w:rsidRPr="00BF28E0">
        <w:rPr>
          <w:rFonts w:asciiTheme="minorHAnsi" w:hAnsiTheme="minorHAnsi"/>
          <w:sz w:val="24"/>
          <w:szCs w:val="24"/>
        </w:rPr>
        <w:t>mokradłowe</w:t>
      </w:r>
      <w:proofErr w:type="spellEnd"/>
      <w:r w:rsidRPr="00BF28E0">
        <w:rPr>
          <w:rFonts w:asciiTheme="minorHAnsi" w:hAnsiTheme="minorHAnsi"/>
          <w:sz w:val="24"/>
          <w:szCs w:val="24"/>
        </w:rPr>
        <w:t>, a wśród nich zwłaszcza mikrosiedliska liniowe, jak obrzeża rowów, stawów oraz naturalnych cieków. Często wkracza również na niekoszone łąki, gdzie jej populacje osiągają duże zwarcie (około 60% stanowisk tej rośliny w zbiorowiskach łąkowych stanowią agregacje, które przyjmują formę przerywanych lub zwartych łanów). Jego stanowiska stwierdzane są także na obrzeżach lasów, na brzegach stawów i liniach oddziałowych, na terenach położonych pod liniami wysokiego napięcia i na obrzeżach naturalnych cieków</w:t>
      </w:r>
      <w:r w:rsidRPr="00BF28E0">
        <w:rPr>
          <w:rStyle w:val="Odwoanieprzypisudolnego"/>
          <w:rFonts w:asciiTheme="minorHAnsi" w:hAnsiTheme="minorHAnsi"/>
          <w:sz w:val="24"/>
          <w:szCs w:val="24"/>
        </w:rPr>
        <w:footnoteReference w:id="35"/>
      </w:r>
      <w:r w:rsidRPr="00BF28E0">
        <w:rPr>
          <w:rFonts w:asciiTheme="minorHAnsi" w:hAnsiTheme="minorHAnsi"/>
          <w:sz w:val="24"/>
          <w:szCs w:val="24"/>
        </w:rPr>
        <w:t>.</w:t>
      </w:r>
    </w:p>
    <w:p w14:paraId="58D5E9A0" w14:textId="77777777" w:rsidR="008B6E13" w:rsidRPr="00F9646B" w:rsidRDefault="008B6E13" w:rsidP="00BF28E0">
      <w:pPr>
        <w:jc w:val="center"/>
        <w:rPr>
          <w:lang w:val="en-US"/>
        </w:rPr>
      </w:pPr>
      <w:r w:rsidRPr="00F9646B">
        <w:rPr>
          <w:noProof/>
        </w:rPr>
        <w:lastRenderedPageBreak/>
        <w:drawing>
          <wp:inline distT="0" distB="0" distL="0" distR="0" wp14:anchorId="1C896E6D" wp14:editId="30E62D02">
            <wp:extent cx="3438525" cy="3271596"/>
            <wp:effectExtent l="0" t="0" r="0" b="508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449837" cy="3282359"/>
                    </a:xfrm>
                    <a:prstGeom prst="rect">
                      <a:avLst/>
                    </a:prstGeom>
                  </pic:spPr>
                </pic:pic>
              </a:graphicData>
            </a:graphic>
          </wp:inline>
        </w:drawing>
      </w:r>
      <w:r w:rsidRPr="00F9646B">
        <w:rPr>
          <w:noProof/>
          <w:lang w:val="en-US"/>
        </w:rPr>
        <w:drawing>
          <wp:inline distT="0" distB="0" distL="0" distR="0" wp14:anchorId="37CC8282" wp14:editId="3BB79762">
            <wp:extent cx="2807840" cy="4465122"/>
            <wp:effectExtent l="0" t="0" r="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813558" cy="4474215"/>
                    </a:xfrm>
                    <a:prstGeom prst="rect">
                      <a:avLst/>
                    </a:prstGeom>
                  </pic:spPr>
                </pic:pic>
              </a:graphicData>
            </a:graphic>
          </wp:inline>
        </w:drawing>
      </w:r>
    </w:p>
    <w:p w14:paraId="21708C39" w14:textId="77777777" w:rsidR="008B6E13" w:rsidRPr="00F9646B" w:rsidRDefault="008B6E13" w:rsidP="00BF28E0">
      <w:pPr>
        <w:jc w:val="center"/>
        <w:rPr>
          <w:lang w:val="en-US"/>
        </w:rPr>
      </w:pPr>
      <w:r w:rsidRPr="00F9646B">
        <w:rPr>
          <w:noProof/>
          <w:lang w:val="en-US"/>
        </w:rPr>
        <w:lastRenderedPageBreak/>
        <w:drawing>
          <wp:inline distT="0" distB="0" distL="0" distR="0" wp14:anchorId="0D37627F" wp14:editId="20CA5816">
            <wp:extent cx="4499610" cy="3570605"/>
            <wp:effectExtent l="0" t="0" r="0" b="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499610" cy="3570605"/>
                    </a:xfrm>
                    <a:prstGeom prst="rect">
                      <a:avLst/>
                    </a:prstGeom>
                  </pic:spPr>
                </pic:pic>
              </a:graphicData>
            </a:graphic>
          </wp:inline>
        </w:drawing>
      </w:r>
    </w:p>
    <w:p w14:paraId="75C02C2A" w14:textId="77777777" w:rsidR="008B6E13" w:rsidRPr="00BF28E0" w:rsidRDefault="008B6E13"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Działania służące eliminacji</w:t>
      </w:r>
    </w:p>
    <w:p w14:paraId="686B2FB5" w14:textId="77777777"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t xml:space="preserve">Dotychczasowe działania służące eliminacji, kontroli lub izolacji analizowanego gatunku Ze względu na właściwości tawuły kutnerowatej związane głównie z bardzo dużym potencjałem generatywnym i jej zdolnością do szybkiej regeneracji po mechanicznym uszkodzeniu, ograniczanie ekspansji tego gatunku </w:t>
      </w:r>
      <w:r w:rsidRPr="00BF28E0">
        <w:rPr>
          <w:rFonts w:asciiTheme="minorHAnsi" w:hAnsiTheme="minorHAnsi"/>
          <w:b/>
          <w:bCs/>
          <w:sz w:val="24"/>
          <w:szCs w:val="24"/>
        </w:rPr>
        <w:t>jest wyjątkowo trudne</w:t>
      </w:r>
      <w:r w:rsidRPr="00BF28E0">
        <w:rPr>
          <w:rFonts w:asciiTheme="minorHAnsi" w:hAnsiTheme="minorHAnsi"/>
          <w:sz w:val="24"/>
          <w:szCs w:val="24"/>
        </w:rPr>
        <w:t xml:space="preserve">. </w:t>
      </w:r>
    </w:p>
    <w:p w14:paraId="731214AF" w14:textId="77777777"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t xml:space="preserve">W Polsce próby jego zwalczania podejmowane są głównie na terenie Puszczy Drawskiej. Jako metody zwalczania tawuły wypróbowano jej wykaszanie oraz wyrywanie. Koszenie kosą mechaniczną okazało się zupełnie nieskuteczne, gdyż krzew odrasta, po kilku miesiącach odtwarzając pierwotne zagęszczenie. Pozytywnych rezultatów nie przyniosło także dwukrotne wykaszanie jego pędów. </w:t>
      </w:r>
    </w:p>
    <w:p w14:paraId="17B066ED" w14:textId="557295C0"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t xml:space="preserve">Skuteczne okazało się natomiast wyrywanie poszczególnych krzewów, pod warunkiem, że ich zagęszczenie nie jest duże (płaty z pojedynczymi, rozproszonymi osobnikami), a zabieg jest powtarzany w kolejnych latach od 4 do 5 razy. W przypadku zwartych populacji gatunku skuteczność zwalczania jest niska. Ograniczenie zwarcia w wyniku jednorazowego przeprowadzenia zabiegu było nie większe niż 20% do 40%, a widoczny efekt przyniosło dopiero jego pięciokrotne powtórzenie. Zaobserwowano też, że okazy wyrwane i odwrócone bryłą korzeniową do góry zwykle zamierają, a ich pozostawienie w pryzmach nieco ogranicza odrastanie, pod warunkiem, że zabieg jest powtarzany w kolejnych latach, wydaje się to racjonalną alternatywą dla wyrywania i wynoszenia pozostałości poza obszar występowania. W niektórych przypadkach, na rozrzedzenie </w:t>
      </w:r>
      <w:r w:rsidRPr="00BF28E0">
        <w:rPr>
          <w:rFonts w:asciiTheme="minorHAnsi" w:hAnsiTheme="minorHAnsi"/>
          <w:sz w:val="24"/>
          <w:szCs w:val="24"/>
        </w:rPr>
        <w:lastRenderedPageBreak/>
        <w:t>populacji krzewu wpłynęło też podniesienie się poziomu wód gruntowych. W Borach Dolnośląskich wtórne uwodnienie jednego z torfowisk nie doprowadziło jednak do osłabienia kondycji tawuły kutnerowatej</w:t>
      </w:r>
      <w:r w:rsidRPr="00BF28E0">
        <w:rPr>
          <w:rStyle w:val="Odwoanieprzypisudolnego"/>
          <w:rFonts w:asciiTheme="minorHAnsi" w:hAnsiTheme="minorHAnsi"/>
          <w:sz w:val="24"/>
          <w:szCs w:val="24"/>
        </w:rPr>
        <w:footnoteReference w:id="36"/>
      </w:r>
      <w:r w:rsidRPr="00BF28E0">
        <w:rPr>
          <w:rFonts w:asciiTheme="minorHAnsi" w:hAnsiTheme="minorHAnsi"/>
          <w:sz w:val="24"/>
          <w:szCs w:val="24"/>
        </w:rPr>
        <w:t>.</w:t>
      </w:r>
    </w:p>
    <w:p w14:paraId="6569548F" w14:textId="27E7BBDF"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t>Przy wyborze metody zwalczania zaleca się również zapoznanie się z Kompendium metod zwalczania wydanym przez GDOŚ w 2022 roku</w:t>
      </w:r>
      <w:r w:rsidRPr="00BF28E0">
        <w:rPr>
          <w:rStyle w:val="Odwoanieprzypisudolnego"/>
          <w:rFonts w:asciiTheme="minorHAnsi" w:hAnsiTheme="minorHAnsi"/>
          <w:sz w:val="24"/>
          <w:szCs w:val="24"/>
        </w:rPr>
        <w:footnoteReference w:id="37"/>
      </w:r>
      <w:r w:rsidRPr="00BF28E0">
        <w:rPr>
          <w:rFonts w:asciiTheme="minorHAnsi" w:hAnsiTheme="minorHAnsi"/>
          <w:sz w:val="24"/>
          <w:szCs w:val="24"/>
        </w:rPr>
        <w:t>. W Kompendium dokonano przeglądu metod zwalczania tawuły kutnerowatej zalecanych do stosowania w Polsce.</w:t>
      </w:r>
    </w:p>
    <w:p w14:paraId="14DDD036" w14:textId="77777777" w:rsidR="008B6E13" w:rsidRPr="00BF28E0" w:rsidRDefault="008B6E13"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Zalecenia odnośnie zagospodarowania biomasy podano w rozdziale 3.</w:t>
      </w:r>
    </w:p>
    <w:p w14:paraId="2A48B635" w14:textId="60ADA9C2" w:rsidR="008B6E13" w:rsidRDefault="008B6E13" w:rsidP="008B6E13">
      <w:pPr>
        <w:pStyle w:val="Nagwek2"/>
      </w:pPr>
      <w:bookmarkStart w:id="20" w:name="_Toc239940808"/>
      <w:r>
        <w:t>2.11. Tojeść kropkowana (</w:t>
      </w:r>
      <w:proofErr w:type="spellStart"/>
      <w:r>
        <w:rPr>
          <w:i/>
          <w:iCs/>
        </w:rPr>
        <w:t>Lysimachia</w:t>
      </w:r>
      <w:proofErr w:type="spellEnd"/>
      <w:r>
        <w:rPr>
          <w:i/>
          <w:iCs/>
        </w:rPr>
        <w:t xml:space="preserve"> </w:t>
      </w:r>
      <w:proofErr w:type="spellStart"/>
      <w:r>
        <w:rPr>
          <w:i/>
          <w:iCs/>
        </w:rPr>
        <w:t>punctata</w:t>
      </w:r>
      <w:proofErr w:type="spellEnd"/>
      <w:r>
        <w:t>)</w:t>
      </w:r>
      <w:bookmarkEnd w:id="20"/>
    </w:p>
    <w:p w14:paraId="57918BAC" w14:textId="77777777" w:rsidR="008B6E13" w:rsidRPr="00BF28E0" w:rsidRDefault="008B6E13"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Charakterystyka gatunku</w:t>
      </w:r>
    </w:p>
    <w:p w14:paraId="05A820C0" w14:textId="77777777"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t>Tojeść kropkowana</w:t>
      </w:r>
      <w:r w:rsidRPr="00BF28E0">
        <w:rPr>
          <w:rFonts w:asciiTheme="minorHAnsi" w:hAnsiTheme="minorHAnsi"/>
          <w:i/>
          <w:iCs/>
          <w:sz w:val="24"/>
          <w:szCs w:val="24"/>
        </w:rPr>
        <w:t xml:space="preserve"> </w:t>
      </w:r>
      <w:proofErr w:type="spellStart"/>
      <w:r w:rsidRPr="00BF28E0">
        <w:rPr>
          <w:rFonts w:asciiTheme="minorHAnsi" w:hAnsiTheme="minorHAnsi"/>
          <w:i/>
          <w:iCs/>
          <w:sz w:val="24"/>
          <w:szCs w:val="24"/>
        </w:rPr>
        <w:t>Lysimachia</w:t>
      </w:r>
      <w:proofErr w:type="spellEnd"/>
      <w:r w:rsidRPr="00BF28E0">
        <w:rPr>
          <w:rFonts w:asciiTheme="minorHAnsi" w:hAnsiTheme="minorHAnsi"/>
          <w:i/>
          <w:iCs/>
          <w:sz w:val="24"/>
          <w:szCs w:val="24"/>
        </w:rPr>
        <w:t xml:space="preserve"> </w:t>
      </w:r>
      <w:proofErr w:type="spellStart"/>
      <w:r w:rsidRPr="00BF28E0">
        <w:rPr>
          <w:rFonts w:asciiTheme="minorHAnsi" w:hAnsiTheme="minorHAnsi"/>
          <w:i/>
          <w:iCs/>
          <w:sz w:val="24"/>
          <w:szCs w:val="24"/>
        </w:rPr>
        <w:t>punctata</w:t>
      </w:r>
      <w:proofErr w:type="spellEnd"/>
      <w:r w:rsidRPr="00BF28E0">
        <w:rPr>
          <w:rFonts w:asciiTheme="minorHAnsi" w:hAnsiTheme="minorHAnsi"/>
          <w:sz w:val="24"/>
          <w:szCs w:val="24"/>
        </w:rPr>
        <w:t xml:space="preserve"> to bylina o ozdobnych żółtych kwiatostanach. Rozmnaża się za pomocą podziemnych pędów (kłączy) oraz nasion. Preferuje gleby świeże lub wilgotne. Może tworzyć zwarte kępy i w ten sposób ograniczać rozwój rodzimej roślinności.</w:t>
      </w:r>
    </w:p>
    <w:p w14:paraId="1DFD225F" w14:textId="77777777" w:rsidR="008B6E13" w:rsidRPr="00BF28E0" w:rsidRDefault="008B6E13" w:rsidP="00BF28E0">
      <w:pPr>
        <w:spacing w:after="120" w:line="276" w:lineRule="auto"/>
        <w:jc w:val="both"/>
        <w:rPr>
          <w:rFonts w:asciiTheme="minorHAnsi" w:hAnsiTheme="minorHAnsi"/>
          <w:sz w:val="24"/>
          <w:szCs w:val="24"/>
        </w:rPr>
      </w:pPr>
      <w:r w:rsidRPr="00BF28E0">
        <w:rPr>
          <w:rFonts w:asciiTheme="minorHAnsi" w:hAnsiTheme="minorHAnsi"/>
          <w:sz w:val="24"/>
          <w:szCs w:val="24"/>
        </w:rPr>
        <w:t>Roślina ta występuje na wilgotnych łąkach, torfowiskach, w nadrzecznych zbiorowiskach bylin (ziołoroślach), zaroślach oraz lasach łęgowych</w:t>
      </w:r>
      <w:r w:rsidRPr="00BF28E0">
        <w:rPr>
          <w:rStyle w:val="Odwoanieprzypisudolnego"/>
          <w:rFonts w:asciiTheme="minorHAnsi" w:hAnsiTheme="minorHAnsi"/>
          <w:sz w:val="24"/>
          <w:szCs w:val="24"/>
        </w:rPr>
        <w:footnoteReference w:id="38"/>
      </w:r>
      <w:r w:rsidRPr="00BF28E0">
        <w:rPr>
          <w:rFonts w:asciiTheme="minorHAnsi" w:hAnsiTheme="minorHAnsi"/>
          <w:sz w:val="24"/>
          <w:szCs w:val="24"/>
        </w:rPr>
        <w:t>.</w:t>
      </w:r>
    </w:p>
    <w:p w14:paraId="131C47F8" w14:textId="77777777" w:rsidR="008B6E13" w:rsidRPr="00BF28E0" w:rsidRDefault="008B6E13" w:rsidP="00BF28E0">
      <w:pPr>
        <w:spacing w:after="120" w:line="276" w:lineRule="auto"/>
        <w:jc w:val="both"/>
        <w:rPr>
          <w:rFonts w:asciiTheme="minorHAnsi" w:hAnsiTheme="minorHAnsi"/>
          <w:sz w:val="24"/>
          <w:szCs w:val="24"/>
        </w:rPr>
      </w:pPr>
      <w:proofErr w:type="spellStart"/>
      <w:r w:rsidRPr="00BF28E0">
        <w:rPr>
          <w:rFonts w:asciiTheme="minorHAnsi" w:hAnsiTheme="minorHAnsi"/>
          <w:i/>
          <w:iCs/>
          <w:sz w:val="24"/>
          <w:szCs w:val="24"/>
        </w:rPr>
        <w:t>Lysimachia</w:t>
      </w:r>
      <w:proofErr w:type="spellEnd"/>
      <w:r w:rsidRPr="00BF28E0">
        <w:rPr>
          <w:rFonts w:asciiTheme="minorHAnsi" w:hAnsiTheme="minorHAnsi"/>
          <w:i/>
          <w:iCs/>
          <w:sz w:val="24"/>
          <w:szCs w:val="24"/>
        </w:rPr>
        <w:t xml:space="preserve"> </w:t>
      </w:r>
      <w:proofErr w:type="spellStart"/>
      <w:r w:rsidRPr="00BF28E0">
        <w:rPr>
          <w:rFonts w:asciiTheme="minorHAnsi" w:hAnsiTheme="minorHAnsi"/>
          <w:i/>
          <w:iCs/>
          <w:sz w:val="24"/>
          <w:szCs w:val="24"/>
        </w:rPr>
        <w:t>punctata</w:t>
      </w:r>
      <w:proofErr w:type="spellEnd"/>
      <w:r w:rsidRPr="00BF28E0">
        <w:rPr>
          <w:rFonts w:asciiTheme="minorHAnsi" w:hAnsiTheme="minorHAnsi"/>
          <w:i/>
          <w:iCs/>
          <w:sz w:val="24"/>
          <w:szCs w:val="24"/>
        </w:rPr>
        <w:t xml:space="preserve"> </w:t>
      </w:r>
      <w:r w:rsidRPr="00BF28E0">
        <w:rPr>
          <w:rFonts w:asciiTheme="minorHAnsi" w:hAnsiTheme="minorHAnsi"/>
          <w:sz w:val="24"/>
          <w:szCs w:val="24"/>
        </w:rPr>
        <w:t>jest w Polsce klasyfikowana jako gatunek zadomowiony, inwazyjny</w:t>
      </w:r>
      <w:r w:rsidRPr="00BF28E0">
        <w:rPr>
          <w:rStyle w:val="Odwoanieprzypisudolnego"/>
          <w:rFonts w:asciiTheme="minorHAnsi" w:hAnsiTheme="minorHAnsi"/>
          <w:sz w:val="24"/>
          <w:szCs w:val="24"/>
        </w:rPr>
        <w:footnoteReference w:id="39"/>
      </w:r>
      <w:r w:rsidRPr="00BF28E0">
        <w:rPr>
          <w:rFonts w:asciiTheme="minorHAnsi" w:hAnsiTheme="minorHAnsi"/>
          <w:sz w:val="24"/>
          <w:szCs w:val="24"/>
        </w:rPr>
        <w:t>. Główne typy siedlisk przyrodniczych będące przedmiotem zainteresowania Wspólnoty Europejskiej, do których wnika gatunek: 6430</w:t>
      </w:r>
      <w:r w:rsidRPr="00BF28E0">
        <w:rPr>
          <w:rStyle w:val="Odwoanieprzypisudolnego"/>
          <w:rFonts w:asciiTheme="minorHAnsi" w:hAnsiTheme="minorHAnsi"/>
          <w:sz w:val="24"/>
          <w:szCs w:val="24"/>
        </w:rPr>
        <w:footnoteReference w:id="40"/>
      </w:r>
      <w:r w:rsidRPr="00BF28E0">
        <w:rPr>
          <w:rFonts w:asciiTheme="minorHAnsi" w:hAnsiTheme="minorHAnsi"/>
          <w:sz w:val="24"/>
          <w:szCs w:val="24"/>
        </w:rPr>
        <w:t xml:space="preserve">. Zgodnie z Kodeksem dobrych praktyk w ogrodnictwie wobec roślin inwazyjnych obcego pochodzenia (GDOŚ 2016) gatunek jest inwazyjny regionalnie i stopniowo zajmuje nowe stanowiska. Sklasyfikowany w Polsce jako gatunek inwazyjny kategorii I. Kodeks GDOŚ zawiera następujące zalecenia dotyczące uprawy gatunku: </w:t>
      </w:r>
    </w:p>
    <w:p w14:paraId="3F01A413" w14:textId="77777777" w:rsidR="008B6E13" w:rsidRPr="00BF28E0" w:rsidRDefault="008B6E13" w:rsidP="00BF28E0">
      <w:pPr>
        <w:spacing w:after="120" w:line="276" w:lineRule="auto"/>
        <w:jc w:val="both"/>
        <w:rPr>
          <w:rFonts w:asciiTheme="minorHAnsi" w:hAnsiTheme="minorHAnsi"/>
          <w:i/>
          <w:iCs/>
          <w:sz w:val="24"/>
          <w:szCs w:val="24"/>
        </w:rPr>
      </w:pPr>
      <w:r w:rsidRPr="00BF28E0">
        <w:rPr>
          <w:rFonts w:asciiTheme="minorHAnsi" w:hAnsiTheme="minorHAnsi"/>
          <w:sz w:val="24"/>
          <w:szCs w:val="24"/>
        </w:rPr>
        <w:t>“</w:t>
      </w:r>
      <w:r w:rsidRPr="00BF28E0">
        <w:rPr>
          <w:rFonts w:asciiTheme="minorHAnsi" w:hAnsiTheme="minorHAnsi"/>
          <w:i/>
          <w:iCs/>
          <w:sz w:val="24"/>
          <w:szCs w:val="24"/>
        </w:rPr>
        <w:t>Obszary, na których nie należy uprawiać gatunku:</w:t>
      </w:r>
    </w:p>
    <w:p w14:paraId="3D004279" w14:textId="77777777" w:rsidR="008B6E13" w:rsidRPr="00BF28E0" w:rsidRDefault="008B6E13" w:rsidP="00BF28E0">
      <w:pPr>
        <w:pStyle w:val="Akapitzlist"/>
        <w:numPr>
          <w:ilvl w:val="0"/>
          <w:numId w:val="9"/>
        </w:numPr>
        <w:spacing w:after="120" w:line="276" w:lineRule="auto"/>
        <w:contextualSpacing w:val="0"/>
        <w:jc w:val="both"/>
        <w:rPr>
          <w:rFonts w:asciiTheme="minorHAnsi" w:hAnsiTheme="minorHAnsi"/>
          <w:i/>
          <w:iCs/>
          <w:sz w:val="24"/>
          <w:szCs w:val="24"/>
        </w:rPr>
      </w:pPr>
      <w:r w:rsidRPr="00BF28E0">
        <w:rPr>
          <w:rFonts w:asciiTheme="minorHAnsi" w:hAnsiTheme="minorHAnsi"/>
          <w:i/>
          <w:iCs/>
          <w:sz w:val="24"/>
          <w:szCs w:val="24"/>
        </w:rPr>
        <w:t>pobliżu lasów, torfowisk i cieków wodnych,</w:t>
      </w:r>
    </w:p>
    <w:p w14:paraId="4E02E011" w14:textId="77777777" w:rsidR="008B6E13" w:rsidRPr="00BF28E0" w:rsidRDefault="008B6E13" w:rsidP="00BF28E0">
      <w:pPr>
        <w:pStyle w:val="Akapitzlist"/>
        <w:numPr>
          <w:ilvl w:val="0"/>
          <w:numId w:val="9"/>
        </w:numPr>
        <w:spacing w:after="120" w:line="276" w:lineRule="auto"/>
        <w:contextualSpacing w:val="0"/>
        <w:jc w:val="both"/>
        <w:rPr>
          <w:rFonts w:asciiTheme="minorHAnsi" w:hAnsiTheme="minorHAnsi"/>
          <w:i/>
          <w:iCs/>
          <w:sz w:val="24"/>
          <w:szCs w:val="24"/>
          <w:lang w:val="en-US"/>
        </w:rPr>
      </w:pPr>
      <w:proofErr w:type="spellStart"/>
      <w:r w:rsidRPr="00BF28E0">
        <w:rPr>
          <w:rFonts w:asciiTheme="minorHAnsi" w:hAnsiTheme="minorHAnsi"/>
          <w:i/>
          <w:iCs/>
          <w:sz w:val="24"/>
          <w:szCs w:val="24"/>
          <w:lang w:val="en-US"/>
        </w:rPr>
        <w:t>otwartym</w:t>
      </w:r>
      <w:proofErr w:type="spellEnd"/>
      <w:r w:rsidRPr="00BF28E0">
        <w:rPr>
          <w:rFonts w:asciiTheme="minorHAnsi" w:hAnsiTheme="minorHAnsi"/>
          <w:i/>
          <w:iCs/>
          <w:sz w:val="24"/>
          <w:szCs w:val="24"/>
          <w:lang w:val="en-US"/>
        </w:rPr>
        <w:t xml:space="preserve"> </w:t>
      </w:r>
      <w:proofErr w:type="spellStart"/>
      <w:r w:rsidRPr="00BF28E0">
        <w:rPr>
          <w:rFonts w:asciiTheme="minorHAnsi" w:hAnsiTheme="minorHAnsi"/>
          <w:i/>
          <w:iCs/>
          <w:sz w:val="24"/>
          <w:szCs w:val="24"/>
          <w:lang w:val="en-US"/>
        </w:rPr>
        <w:t>krajobrazie</w:t>
      </w:r>
      <w:proofErr w:type="spellEnd"/>
      <w:r w:rsidRPr="00BF28E0">
        <w:rPr>
          <w:rFonts w:asciiTheme="minorHAnsi" w:hAnsiTheme="minorHAnsi"/>
          <w:i/>
          <w:iCs/>
          <w:sz w:val="24"/>
          <w:szCs w:val="24"/>
          <w:lang w:val="en-US"/>
        </w:rPr>
        <w:t xml:space="preserve">, </w:t>
      </w:r>
    </w:p>
    <w:p w14:paraId="5F5ACA49" w14:textId="77777777" w:rsidR="008B6E13" w:rsidRPr="00BF28E0" w:rsidRDefault="008B6E13" w:rsidP="00BF28E0">
      <w:pPr>
        <w:pStyle w:val="Akapitzlist"/>
        <w:numPr>
          <w:ilvl w:val="0"/>
          <w:numId w:val="9"/>
        </w:numPr>
        <w:spacing w:after="120" w:line="276" w:lineRule="auto"/>
        <w:contextualSpacing w:val="0"/>
        <w:jc w:val="both"/>
        <w:rPr>
          <w:rFonts w:asciiTheme="minorHAnsi" w:hAnsiTheme="minorHAnsi"/>
          <w:i/>
          <w:iCs/>
          <w:sz w:val="24"/>
          <w:szCs w:val="24"/>
        </w:rPr>
      </w:pPr>
      <w:r w:rsidRPr="00BF28E0">
        <w:rPr>
          <w:rFonts w:asciiTheme="minorHAnsi" w:hAnsiTheme="minorHAnsi"/>
          <w:i/>
          <w:iCs/>
          <w:sz w:val="24"/>
          <w:szCs w:val="24"/>
        </w:rPr>
        <w:t>na obszarach chronionych i w ich otulinie.</w:t>
      </w:r>
    </w:p>
    <w:p w14:paraId="390F31C1" w14:textId="77777777" w:rsidR="008B6E13" w:rsidRPr="00BF28E0" w:rsidRDefault="008B6E13" w:rsidP="00BF28E0">
      <w:pPr>
        <w:spacing w:after="120" w:line="276" w:lineRule="auto"/>
        <w:jc w:val="both"/>
        <w:rPr>
          <w:rFonts w:asciiTheme="minorHAnsi" w:hAnsiTheme="minorHAnsi"/>
          <w:i/>
          <w:iCs/>
          <w:sz w:val="24"/>
          <w:szCs w:val="24"/>
        </w:rPr>
      </w:pPr>
      <w:r w:rsidRPr="00BF28E0">
        <w:rPr>
          <w:rFonts w:asciiTheme="minorHAnsi" w:hAnsiTheme="minorHAnsi"/>
          <w:i/>
          <w:iCs/>
          <w:sz w:val="24"/>
          <w:szCs w:val="24"/>
        </w:rPr>
        <w:lastRenderedPageBreak/>
        <w:t>Zaleca się rezygnację z uprawy lub wprowadzenie poniższych sposobów zminimalizowania ryzyka rozprzestrzeniania się rośliny poza miejsce uprawy:</w:t>
      </w:r>
    </w:p>
    <w:p w14:paraId="16F48DC9" w14:textId="77777777" w:rsidR="008B6E13" w:rsidRPr="00BF28E0" w:rsidRDefault="008B6E13" w:rsidP="00BF28E0">
      <w:pPr>
        <w:pStyle w:val="Akapitzlist"/>
        <w:numPr>
          <w:ilvl w:val="0"/>
          <w:numId w:val="10"/>
        </w:numPr>
        <w:spacing w:after="120" w:line="276" w:lineRule="auto"/>
        <w:contextualSpacing w:val="0"/>
        <w:jc w:val="both"/>
        <w:rPr>
          <w:rFonts w:asciiTheme="minorHAnsi" w:hAnsiTheme="minorHAnsi"/>
          <w:i/>
          <w:iCs/>
          <w:sz w:val="24"/>
          <w:szCs w:val="24"/>
        </w:rPr>
      </w:pPr>
      <w:r w:rsidRPr="00BF28E0">
        <w:rPr>
          <w:rFonts w:asciiTheme="minorHAnsi" w:hAnsiTheme="minorHAnsi"/>
          <w:i/>
          <w:iCs/>
          <w:sz w:val="24"/>
          <w:szCs w:val="24"/>
        </w:rPr>
        <w:t>regularne wykopywanie młodych roślin z obszarów sąsiadujących z miejscem uprawy (ponieważ może odrastać z fragmentów kłączy),</w:t>
      </w:r>
    </w:p>
    <w:p w14:paraId="3EF0153D" w14:textId="77777777" w:rsidR="008B6E13" w:rsidRPr="00BF28E0" w:rsidRDefault="008B6E13" w:rsidP="00BF28E0">
      <w:pPr>
        <w:pStyle w:val="Akapitzlist"/>
        <w:numPr>
          <w:ilvl w:val="0"/>
          <w:numId w:val="10"/>
        </w:numPr>
        <w:spacing w:after="120" w:line="276" w:lineRule="auto"/>
        <w:contextualSpacing w:val="0"/>
        <w:jc w:val="both"/>
        <w:rPr>
          <w:rFonts w:asciiTheme="minorHAnsi" w:hAnsiTheme="minorHAnsi"/>
          <w:i/>
          <w:iCs/>
          <w:sz w:val="24"/>
          <w:szCs w:val="24"/>
        </w:rPr>
      </w:pPr>
      <w:r w:rsidRPr="00BF28E0">
        <w:rPr>
          <w:rFonts w:asciiTheme="minorHAnsi" w:hAnsiTheme="minorHAnsi"/>
          <w:i/>
          <w:iCs/>
          <w:sz w:val="24"/>
          <w:szCs w:val="24"/>
        </w:rPr>
        <w:t xml:space="preserve">ścinanie kwiatostanów po przekwitnięciu i ich utylizację, </w:t>
      </w:r>
    </w:p>
    <w:p w14:paraId="1B6B8800" w14:textId="77777777" w:rsidR="008B6E13" w:rsidRPr="00BF28E0" w:rsidRDefault="008B6E13" w:rsidP="00BF28E0">
      <w:pPr>
        <w:pStyle w:val="Akapitzlist"/>
        <w:numPr>
          <w:ilvl w:val="0"/>
          <w:numId w:val="10"/>
        </w:numPr>
        <w:spacing w:after="120" w:line="276" w:lineRule="auto"/>
        <w:contextualSpacing w:val="0"/>
        <w:jc w:val="both"/>
        <w:rPr>
          <w:rFonts w:asciiTheme="minorHAnsi" w:hAnsiTheme="minorHAnsi"/>
          <w:sz w:val="24"/>
          <w:szCs w:val="24"/>
        </w:rPr>
      </w:pPr>
      <w:r w:rsidRPr="00BF28E0">
        <w:rPr>
          <w:rFonts w:asciiTheme="minorHAnsi" w:hAnsiTheme="minorHAnsi"/>
          <w:i/>
          <w:iCs/>
          <w:sz w:val="24"/>
          <w:szCs w:val="24"/>
        </w:rPr>
        <w:t>usunięcie rośliny po zakończeniu uprawy</w:t>
      </w:r>
      <w:r w:rsidRPr="00BF28E0">
        <w:rPr>
          <w:rFonts w:asciiTheme="minorHAnsi" w:hAnsiTheme="minorHAnsi"/>
          <w:sz w:val="24"/>
          <w:szCs w:val="24"/>
        </w:rPr>
        <w:t>”</w:t>
      </w:r>
      <w:r w:rsidRPr="00BF28E0">
        <w:rPr>
          <w:rStyle w:val="Odwoanieprzypisudolnego"/>
          <w:rFonts w:asciiTheme="minorHAnsi" w:hAnsiTheme="minorHAnsi"/>
          <w:sz w:val="24"/>
          <w:szCs w:val="24"/>
        </w:rPr>
        <w:footnoteReference w:id="41"/>
      </w:r>
      <w:r w:rsidRPr="00BF28E0">
        <w:rPr>
          <w:rFonts w:asciiTheme="minorHAnsi" w:hAnsiTheme="minorHAnsi"/>
          <w:sz w:val="24"/>
          <w:szCs w:val="24"/>
        </w:rPr>
        <w:t>.</w:t>
      </w:r>
    </w:p>
    <w:p w14:paraId="0BFB285B" w14:textId="77777777" w:rsidR="008B6E13" w:rsidRPr="00F9646B" w:rsidRDefault="008B6E13" w:rsidP="00BF28E0">
      <w:pPr>
        <w:jc w:val="center"/>
      </w:pPr>
      <w:r w:rsidRPr="00F9646B">
        <w:rPr>
          <w:noProof/>
        </w:rPr>
        <w:drawing>
          <wp:inline distT="0" distB="0" distL="0" distR="0" wp14:anchorId="0A7A2F7F" wp14:editId="0C7CC1BA">
            <wp:extent cx="4499610" cy="430530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499610" cy="4305300"/>
                    </a:xfrm>
                    <a:prstGeom prst="rect">
                      <a:avLst/>
                    </a:prstGeom>
                  </pic:spPr>
                </pic:pic>
              </a:graphicData>
            </a:graphic>
          </wp:inline>
        </w:drawing>
      </w:r>
    </w:p>
    <w:p w14:paraId="3D47D76B" w14:textId="77777777" w:rsidR="008B6E13" w:rsidRPr="00F9646B" w:rsidRDefault="008B6E13" w:rsidP="008B6E13">
      <w:pPr>
        <w:jc w:val="both"/>
        <w:rPr>
          <w:sz w:val="18"/>
          <w:szCs w:val="18"/>
          <w:lang w:val="en-US"/>
        </w:rPr>
      </w:pPr>
      <w:proofErr w:type="spellStart"/>
      <w:r w:rsidRPr="00F9646B">
        <w:rPr>
          <w:sz w:val="18"/>
          <w:szCs w:val="18"/>
          <w:lang w:val="en-US"/>
        </w:rPr>
        <w:t>Żródło</w:t>
      </w:r>
      <w:proofErr w:type="spellEnd"/>
      <w:r w:rsidRPr="00F9646B">
        <w:rPr>
          <w:sz w:val="18"/>
          <w:szCs w:val="18"/>
          <w:lang w:val="en-US"/>
        </w:rPr>
        <w:t xml:space="preserve">: GDOŚ Guidelines 2016 (Autor </w:t>
      </w:r>
      <w:proofErr w:type="spellStart"/>
      <w:r w:rsidRPr="00F9646B">
        <w:rPr>
          <w:sz w:val="18"/>
          <w:szCs w:val="18"/>
          <w:lang w:val="en-US"/>
        </w:rPr>
        <w:t>fot</w:t>
      </w:r>
      <w:proofErr w:type="spellEnd"/>
      <w:r w:rsidRPr="00F9646B">
        <w:rPr>
          <w:sz w:val="18"/>
          <w:szCs w:val="18"/>
          <w:lang w:val="en-US"/>
        </w:rPr>
        <w:t>.: Stefan Didam-</w:t>
      </w:r>
      <w:proofErr w:type="spellStart"/>
      <w:r w:rsidRPr="00F9646B">
        <w:rPr>
          <w:sz w:val="18"/>
          <w:szCs w:val="18"/>
          <w:lang w:val="en-US"/>
        </w:rPr>
        <w:t>Schmallenberg</w:t>
      </w:r>
      <w:proofErr w:type="spellEnd"/>
      <w:r w:rsidRPr="00F9646B">
        <w:rPr>
          <w:sz w:val="18"/>
          <w:szCs w:val="18"/>
          <w:lang w:val="en-US"/>
        </w:rPr>
        <w:t xml:space="preserve"> („Selbst </w:t>
      </w:r>
      <w:proofErr w:type="spellStart"/>
      <w:r w:rsidRPr="00F9646B">
        <w:rPr>
          <w:sz w:val="18"/>
          <w:szCs w:val="18"/>
          <w:lang w:val="en-US"/>
        </w:rPr>
        <w:t>fotografiert</w:t>
      </w:r>
      <w:proofErr w:type="spellEnd"/>
      <w:r w:rsidRPr="00F9646B">
        <w:rPr>
          <w:sz w:val="18"/>
          <w:szCs w:val="18"/>
          <w:lang w:val="en-US"/>
        </w:rPr>
        <w:t xml:space="preserve"> – own work”) [GFDL (http://www.gnu.org/copyleft/fdl.html) </w:t>
      </w:r>
      <w:proofErr w:type="spellStart"/>
      <w:r w:rsidRPr="00F9646B">
        <w:rPr>
          <w:sz w:val="18"/>
          <w:szCs w:val="18"/>
          <w:lang w:val="en-US"/>
        </w:rPr>
        <w:t>lub</w:t>
      </w:r>
      <w:proofErr w:type="spellEnd"/>
      <w:r w:rsidRPr="00F9646B">
        <w:rPr>
          <w:sz w:val="18"/>
          <w:szCs w:val="18"/>
          <w:lang w:val="en-US"/>
        </w:rPr>
        <w:t xml:space="preserve"> CC-BY-SA-3.0-2.5-2.0-1.0 (http://creativecommons.org/licenses/by-sa/3.0)], undefined</w:t>
      </w:r>
    </w:p>
    <w:p w14:paraId="081FEBBB" w14:textId="77777777" w:rsidR="008B6E13" w:rsidRPr="00BF28E0" w:rsidRDefault="008B6E13"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Działania służące eliminacji</w:t>
      </w:r>
    </w:p>
    <w:p w14:paraId="4BA31FD4" w14:textId="77777777" w:rsidR="008B6E13" w:rsidRPr="00BF28E0" w:rsidRDefault="008B6E13" w:rsidP="00BF28E0">
      <w:pPr>
        <w:pStyle w:val="Akapitzlist"/>
        <w:numPr>
          <w:ilvl w:val="0"/>
          <w:numId w:val="8"/>
        </w:numPr>
        <w:spacing w:after="120" w:line="276" w:lineRule="auto"/>
        <w:contextualSpacing w:val="0"/>
        <w:jc w:val="both"/>
        <w:rPr>
          <w:rFonts w:asciiTheme="minorHAnsi" w:hAnsiTheme="minorHAnsi"/>
          <w:sz w:val="24"/>
          <w:szCs w:val="24"/>
        </w:rPr>
      </w:pPr>
      <w:r w:rsidRPr="00BF28E0">
        <w:rPr>
          <w:rFonts w:asciiTheme="minorHAnsi" w:hAnsiTheme="minorHAnsi"/>
          <w:sz w:val="24"/>
          <w:szCs w:val="24"/>
        </w:rPr>
        <w:t>Zwalczanie obejmuje zazwyczaj regularne wykopywanie młodych roślin z obszarów sąsiadujących z miejscem uprawy (ponieważ może odrastać z fragmentów kłączy)</w:t>
      </w:r>
      <w:r w:rsidRPr="00BF28E0">
        <w:rPr>
          <w:rStyle w:val="Odwoanieprzypisudolnego"/>
          <w:rFonts w:asciiTheme="minorHAnsi" w:hAnsiTheme="minorHAnsi"/>
          <w:sz w:val="24"/>
          <w:szCs w:val="24"/>
        </w:rPr>
        <w:footnoteReference w:id="42"/>
      </w:r>
      <w:r w:rsidRPr="00BF28E0">
        <w:rPr>
          <w:rFonts w:asciiTheme="minorHAnsi" w:hAnsiTheme="minorHAnsi"/>
          <w:sz w:val="24"/>
          <w:szCs w:val="24"/>
        </w:rPr>
        <w:t>.</w:t>
      </w:r>
    </w:p>
    <w:p w14:paraId="4C08D903" w14:textId="3EC1EFCA" w:rsidR="008B6E13" w:rsidRPr="00BF28E0" w:rsidRDefault="008B6E13"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Zalecenia odnośnie do zagospodarowania biomasy podano w rozdziale 3.</w:t>
      </w:r>
    </w:p>
    <w:p w14:paraId="67E79D2E" w14:textId="203D83EE" w:rsidR="008B6E13" w:rsidRDefault="006F7B36" w:rsidP="006F7B36">
      <w:pPr>
        <w:pStyle w:val="Nagwek2"/>
      </w:pPr>
      <w:bookmarkStart w:id="21" w:name="_Toc239940809"/>
      <w:r>
        <w:lastRenderedPageBreak/>
        <w:t>2.12.Smotrawa okazała (</w:t>
      </w:r>
      <w:proofErr w:type="spellStart"/>
      <w:r>
        <w:rPr>
          <w:i/>
          <w:iCs/>
        </w:rPr>
        <w:t>Telekia</w:t>
      </w:r>
      <w:proofErr w:type="spellEnd"/>
      <w:r>
        <w:rPr>
          <w:i/>
          <w:iCs/>
        </w:rPr>
        <w:t xml:space="preserve"> </w:t>
      </w:r>
      <w:proofErr w:type="spellStart"/>
      <w:r>
        <w:rPr>
          <w:i/>
          <w:iCs/>
        </w:rPr>
        <w:t>speciosa</w:t>
      </w:r>
      <w:proofErr w:type="spellEnd"/>
      <w:r>
        <w:t>)</w:t>
      </w:r>
      <w:bookmarkEnd w:id="21"/>
    </w:p>
    <w:p w14:paraId="223255DC" w14:textId="77777777" w:rsidR="006F7B36" w:rsidRPr="00BF28E0" w:rsidRDefault="006F7B36"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Charakterystyka gatunku</w:t>
      </w:r>
    </w:p>
    <w:p w14:paraId="00148D14" w14:textId="77777777" w:rsidR="006F7B36" w:rsidRPr="00BF28E0" w:rsidRDefault="006F7B36" w:rsidP="00BF28E0">
      <w:pPr>
        <w:spacing w:after="120" w:line="276" w:lineRule="auto"/>
        <w:jc w:val="both"/>
        <w:rPr>
          <w:rFonts w:asciiTheme="minorHAnsi" w:hAnsiTheme="minorHAnsi"/>
          <w:sz w:val="24"/>
          <w:szCs w:val="24"/>
        </w:rPr>
      </w:pPr>
      <w:r w:rsidRPr="00BF28E0">
        <w:rPr>
          <w:rFonts w:asciiTheme="minorHAnsi" w:hAnsiTheme="minorHAnsi"/>
          <w:sz w:val="24"/>
          <w:szCs w:val="24"/>
        </w:rPr>
        <w:t>Smotrawa okazała</w:t>
      </w:r>
      <w:r w:rsidRPr="00BF28E0">
        <w:rPr>
          <w:rFonts w:asciiTheme="minorHAnsi" w:hAnsiTheme="minorHAnsi"/>
          <w:i/>
          <w:iCs/>
          <w:sz w:val="24"/>
          <w:szCs w:val="24"/>
        </w:rPr>
        <w:t xml:space="preserve"> </w:t>
      </w:r>
      <w:proofErr w:type="spellStart"/>
      <w:r w:rsidRPr="00BF28E0">
        <w:rPr>
          <w:rFonts w:asciiTheme="minorHAnsi" w:hAnsiTheme="minorHAnsi"/>
          <w:i/>
          <w:iCs/>
          <w:sz w:val="24"/>
          <w:szCs w:val="24"/>
        </w:rPr>
        <w:t>Telekia</w:t>
      </w:r>
      <w:proofErr w:type="spellEnd"/>
      <w:r w:rsidRPr="00BF28E0">
        <w:rPr>
          <w:rFonts w:asciiTheme="minorHAnsi" w:hAnsiTheme="minorHAnsi"/>
          <w:i/>
          <w:iCs/>
          <w:sz w:val="24"/>
          <w:szCs w:val="24"/>
        </w:rPr>
        <w:t xml:space="preserve"> </w:t>
      </w:r>
      <w:proofErr w:type="spellStart"/>
      <w:r w:rsidRPr="00BF28E0">
        <w:rPr>
          <w:rFonts w:asciiTheme="minorHAnsi" w:hAnsiTheme="minorHAnsi"/>
          <w:i/>
          <w:iCs/>
          <w:sz w:val="24"/>
          <w:szCs w:val="24"/>
        </w:rPr>
        <w:t>speciosa</w:t>
      </w:r>
      <w:proofErr w:type="spellEnd"/>
      <w:r w:rsidRPr="00BF28E0">
        <w:rPr>
          <w:rFonts w:asciiTheme="minorHAnsi" w:hAnsiTheme="minorHAnsi"/>
          <w:sz w:val="24"/>
          <w:szCs w:val="24"/>
        </w:rPr>
        <w:t xml:space="preserve"> to bylina o żółtych kwiatach. Rozmnaża się za pomocą nasion. Roślina odporna na zacienienie, preferuje gleby gliniaste, wilgotne i zasobne w azot. Tworzy zwarte, wysokie łany (nawet do 2 m) i w ten sposób ogranicza rozwój rodzimych roślin oraz zmienia strukturę roślinności. </w:t>
      </w:r>
    </w:p>
    <w:p w14:paraId="2F74D590" w14:textId="77777777" w:rsidR="006F7B36" w:rsidRPr="00BF28E0" w:rsidRDefault="006F7B36" w:rsidP="00BF28E0">
      <w:pPr>
        <w:spacing w:after="120" w:line="276" w:lineRule="auto"/>
        <w:jc w:val="both"/>
        <w:rPr>
          <w:rFonts w:asciiTheme="minorHAnsi" w:hAnsiTheme="minorHAnsi"/>
          <w:sz w:val="24"/>
          <w:szCs w:val="24"/>
        </w:rPr>
      </w:pPr>
      <w:r w:rsidRPr="00BF28E0">
        <w:rPr>
          <w:rFonts w:asciiTheme="minorHAnsi" w:hAnsiTheme="minorHAnsi"/>
          <w:sz w:val="24"/>
          <w:szCs w:val="24"/>
        </w:rPr>
        <w:t>Rozprzestrzenia się m.in. na zrębach, na obrzeżach lasów, na terenach zdegradowanych i przy szlakach komunikacyjnych. Stanowi zagrożenie szczególnie dla roślinności nad brzegami rzek i jezior (m.in. ziołorośli) oraz wilgotnych łąk</w:t>
      </w:r>
      <w:r w:rsidRPr="00BF28E0">
        <w:rPr>
          <w:rStyle w:val="Odwoanieprzypisudolnego"/>
          <w:rFonts w:asciiTheme="minorHAnsi" w:hAnsiTheme="minorHAnsi"/>
          <w:sz w:val="24"/>
          <w:szCs w:val="24"/>
        </w:rPr>
        <w:footnoteReference w:id="43"/>
      </w:r>
      <w:r w:rsidRPr="00BF28E0">
        <w:rPr>
          <w:rFonts w:asciiTheme="minorHAnsi" w:hAnsiTheme="minorHAnsi"/>
          <w:sz w:val="24"/>
          <w:szCs w:val="24"/>
        </w:rPr>
        <w:t>.</w:t>
      </w:r>
    </w:p>
    <w:p w14:paraId="0204890F" w14:textId="77777777" w:rsidR="006F7B36" w:rsidRPr="00F9646B" w:rsidRDefault="006F7B36" w:rsidP="00BF28E0">
      <w:pPr>
        <w:jc w:val="center"/>
      </w:pPr>
      <w:r w:rsidRPr="00F9646B">
        <w:rPr>
          <w:noProof/>
        </w:rPr>
        <w:drawing>
          <wp:inline distT="0" distB="0" distL="0" distR="0" wp14:anchorId="31827441" wp14:editId="74B2AD83">
            <wp:extent cx="4499610" cy="3917315"/>
            <wp:effectExtent l="0" t="0" r="0" b="6985"/>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499610" cy="3917315"/>
                    </a:xfrm>
                    <a:prstGeom prst="rect">
                      <a:avLst/>
                    </a:prstGeom>
                  </pic:spPr>
                </pic:pic>
              </a:graphicData>
            </a:graphic>
          </wp:inline>
        </w:drawing>
      </w:r>
    </w:p>
    <w:p w14:paraId="030AB2C2" w14:textId="77777777" w:rsidR="006F7B36" w:rsidRPr="00BF28E0" w:rsidRDefault="006F7B36" w:rsidP="006F7B36">
      <w:pPr>
        <w:rPr>
          <w:rFonts w:asciiTheme="minorHAnsi" w:hAnsiTheme="minorHAnsi"/>
          <w:sz w:val="18"/>
          <w:szCs w:val="18"/>
        </w:rPr>
      </w:pPr>
      <w:r w:rsidRPr="00BF28E0">
        <w:rPr>
          <w:rFonts w:asciiTheme="minorHAnsi" w:hAnsiTheme="minorHAnsi"/>
          <w:sz w:val="18"/>
          <w:szCs w:val="18"/>
        </w:rPr>
        <w:t>Kodeks: Autor zdjęcia: Jerzy Opioła (Praca własna) [CC BY-SA 4.0 (http://creativecommons.org/licenses/by-sa/4.0)]</w:t>
      </w:r>
    </w:p>
    <w:p w14:paraId="4C7879B2" w14:textId="77777777" w:rsidR="006F7B36" w:rsidRPr="00BF28E0" w:rsidRDefault="006F7B36" w:rsidP="00BF28E0">
      <w:pPr>
        <w:spacing w:line="276" w:lineRule="auto"/>
        <w:rPr>
          <w:rFonts w:asciiTheme="minorHAnsi" w:hAnsiTheme="minorHAnsi"/>
          <w:b/>
          <w:bCs/>
          <w:sz w:val="24"/>
          <w:szCs w:val="24"/>
        </w:rPr>
      </w:pPr>
      <w:bookmarkStart w:id="22" w:name="_Hlk170983588"/>
      <w:r w:rsidRPr="00BF28E0">
        <w:rPr>
          <w:rFonts w:asciiTheme="minorHAnsi" w:hAnsiTheme="minorHAnsi"/>
          <w:b/>
          <w:bCs/>
          <w:sz w:val="24"/>
          <w:szCs w:val="24"/>
        </w:rPr>
        <w:t>Działania służące eliminacji</w:t>
      </w:r>
      <w:bookmarkEnd w:id="22"/>
    </w:p>
    <w:p w14:paraId="44E17B80" w14:textId="77777777" w:rsidR="006F7B36" w:rsidRPr="00BF28E0" w:rsidRDefault="006F7B36" w:rsidP="00BF28E0">
      <w:pPr>
        <w:pStyle w:val="Akapitzlist"/>
        <w:numPr>
          <w:ilvl w:val="0"/>
          <w:numId w:val="11"/>
        </w:numPr>
        <w:spacing w:after="0" w:line="276" w:lineRule="auto"/>
        <w:rPr>
          <w:rFonts w:asciiTheme="minorHAnsi" w:hAnsiTheme="minorHAnsi"/>
          <w:sz w:val="24"/>
          <w:szCs w:val="24"/>
        </w:rPr>
      </w:pPr>
      <w:r w:rsidRPr="00BF28E0">
        <w:rPr>
          <w:rFonts w:asciiTheme="minorHAnsi" w:hAnsiTheme="minorHAnsi"/>
          <w:sz w:val="24"/>
          <w:szCs w:val="24"/>
        </w:rPr>
        <w:t>Zwalczanie zazwyczaj obejmuje regularne koszenie roślin w sezonie wegetacyjnym (przed zawiązaniem owoców).</w:t>
      </w:r>
    </w:p>
    <w:p w14:paraId="0666D192" w14:textId="77777777" w:rsidR="006F7B36" w:rsidRPr="00BF28E0" w:rsidRDefault="006F7B36" w:rsidP="00BF28E0">
      <w:pPr>
        <w:spacing w:before="240" w:line="276" w:lineRule="auto"/>
        <w:rPr>
          <w:rFonts w:asciiTheme="minorHAnsi" w:hAnsiTheme="minorHAnsi"/>
          <w:b/>
          <w:bCs/>
          <w:sz w:val="24"/>
          <w:szCs w:val="24"/>
        </w:rPr>
      </w:pPr>
      <w:r w:rsidRPr="00BF28E0">
        <w:rPr>
          <w:rFonts w:asciiTheme="minorHAnsi" w:hAnsiTheme="minorHAnsi"/>
          <w:b/>
          <w:bCs/>
          <w:sz w:val="24"/>
          <w:szCs w:val="24"/>
        </w:rPr>
        <w:t>Zalecenia odnośnie zagospodarowania biomasy podano w rozdziale 3.</w:t>
      </w:r>
    </w:p>
    <w:p w14:paraId="259B32EC" w14:textId="2A5829A1" w:rsidR="006F7B36" w:rsidRDefault="006F7B36" w:rsidP="006F7B36">
      <w:pPr>
        <w:pStyle w:val="Nagwek2"/>
      </w:pPr>
      <w:bookmarkStart w:id="23" w:name="_Toc239940810"/>
      <w:r>
        <w:lastRenderedPageBreak/>
        <w:t>2.13. Barszcz Sosnowskiego (</w:t>
      </w:r>
      <w:proofErr w:type="spellStart"/>
      <w:r>
        <w:rPr>
          <w:i/>
          <w:iCs/>
        </w:rPr>
        <w:t>Heracleum</w:t>
      </w:r>
      <w:proofErr w:type="spellEnd"/>
      <w:r>
        <w:rPr>
          <w:i/>
          <w:iCs/>
        </w:rPr>
        <w:t xml:space="preserve"> </w:t>
      </w:r>
      <w:proofErr w:type="spellStart"/>
      <w:r>
        <w:rPr>
          <w:i/>
          <w:iCs/>
        </w:rPr>
        <w:t>sosnowskyi</w:t>
      </w:r>
      <w:proofErr w:type="spellEnd"/>
      <w:r>
        <w:t>)</w:t>
      </w:r>
      <w:bookmarkEnd w:id="23"/>
    </w:p>
    <w:p w14:paraId="16C91F09" w14:textId="77777777" w:rsidR="006F7B36" w:rsidRPr="00BF28E0" w:rsidRDefault="006F7B36" w:rsidP="00BF28E0">
      <w:pPr>
        <w:spacing w:after="120" w:line="276" w:lineRule="auto"/>
        <w:jc w:val="both"/>
        <w:rPr>
          <w:rFonts w:asciiTheme="minorHAnsi" w:hAnsiTheme="minorHAnsi"/>
          <w:b/>
          <w:bCs/>
          <w:sz w:val="24"/>
          <w:szCs w:val="24"/>
        </w:rPr>
      </w:pPr>
      <w:r w:rsidRPr="00BF28E0">
        <w:rPr>
          <w:rFonts w:asciiTheme="minorHAnsi" w:hAnsiTheme="minorHAnsi"/>
          <w:b/>
          <w:bCs/>
          <w:sz w:val="24"/>
          <w:szCs w:val="24"/>
        </w:rPr>
        <w:t>Charakterystyka gatunku</w:t>
      </w:r>
    </w:p>
    <w:p w14:paraId="0856475A" w14:textId="48A11A95" w:rsidR="006F7B36" w:rsidRPr="00BF28E0" w:rsidRDefault="006F7B36" w:rsidP="00BF28E0">
      <w:pPr>
        <w:spacing w:after="120" w:line="276" w:lineRule="auto"/>
        <w:jc w:val="both"/>
        <w:rPr>
          <w:rFonts w:asciiTheme="minorHAnsi" w:hAnsiTheme="minorHAnsi"/>
          <w:sz w:val="24"/>
          <w:szCs w:val="24"/>
        </w:rPr>
      </w:pPr>
      <w:r w:rsidRPr="00BF28E0">
        <w:rPr>
          <w:rFonts w:asciiTheme="minorHAnsi" w:hAnsiTheme="minorHAnsi"/>
          <w:sz w:val="24"/>
          <w:szCs w:val="24"/>
        </w:rPr>
        <w:t xml:space="preserve">H. </w:t>
      </w:r>
      <w:proofErr w:type="spellStart"/>
      <w:r w:rsidRPr="00BF28E0">
        <w:rPr>
          <w:rFonts w:asciiTheme="minorHAnsi" w:hAnsiTheme="minorHAnsi"/>
          <w:sz w:val="24"/>
          <w:szCs w:val="24"/>
        </w:rPr>
        <w:t>sosnowskyi</w:t>
      </w:r>
      <w:proofErr w:type="spellEnd"/>
      <w:r w:rsidRPr="00BF28E0">
        <w:rPr>
          <w:rFonts w:asciiTheme="minorHAnsi" w:hAnsiTheme="minorHAnsi"/>
          <w:sz w:val="24"/>
          <w:szCs w:val="24"/>
        </w:rPr>
        <w:t xml:space="preserve"> jest jednołodygową rośliną dwuletnią lub wieloletnią. Wysokość w jest często podawana jako 100-300 cm, chociaż w oryginalnym opisie z terenu rodzimego zasięgu wynosi ona "tylko" 100-150 cm (</w:t>
      </w:r>
      <w:proofErr w:type="spellStart"/>
      <w:r w:rsidRPr="00BF28E0">
        <w:rPr>
          <w:rFonts w:asciiTheme="minorHAnsi" w:hAnsiTheme="minorHAnsi"/>
          <w:i/>
          <w:iCs/>
          <w:sz w:val="24"/>
          <w:szCs w:val="24"/>
        </w:rPr>
        <w:t>Mandenova</w:t>
      </w:r>
      <w:proofErr w:type="spellEnd"/>
      <w:r w:rsidRPr="00BF28E0">
        <w:rPr>
          <w:rFonts w:asciiTheme="minorHAnsi" w:hAnsiTheme="minorHAnsi"/>
          <w:i/>
          <w:iCs/>
          <w:sz w:val="24"/>
          <w:szCs w:val="24"/>
        </w:rPr>
        <w:t>, 1950</w:t>
      </w:r>
      <w:r w:rsidRPr="00BF28E0">
        <w:rPr>
          <w:rFonts w:asciiTheme="minorHAnsi" w:hAnsiTheme="minorHAnsi"/>
          <w:sz w:val="24"/>
          <w:szCs w:val="24"/>
        </w:rPr>
        <w:t>). Łodyga jest prążkowana i słabo owłosiona z fioletowymi plamami. Liście dojrzałych roślin są podzielone w różnym stopniu, albo na trzy w przybliżeniu równe części, które mogą być podobnie podzielone (trójdzielne), albo na więcej niż trzy listki ułożone w rzędach wzdłuż centralnej łodygi liścia (pierzastodzielne). Brzegi liści mają krótkie, zaokrąglone ząbki. Na górnej powierzchni liście są bezwłose, a poniżej lekko owłosione. Kwiaty są białe, czasem różowawe. Zewnętrzne płatki są promieniste, o długości 9-10 mm. Kwiaty zebrane są w lekko wypukłe, złożone baldachy o średnicy 30-50 cm. Baldachy mają 30-75 promieni z krótkimi włoskami. Kwitnienie trwa zazwyczaj od czerwca do sierpnia. Owoce są jajowate lub owalne; 9-16 mm długości, 5-9 mm szerokości, gęsto owłosione, gdy są niedojrzałe. Dojrzałe owoce mają skrzydełka z licznymi kolcami umieszczonymi na małych kulistych lub jajowatych zgrubieniach. Owoce mają bardzo wyraźne kanały olejowe, które nie sięgają do podstawy owocu (</w:t>
      </w:r>
      <w:proofErr w:type="spellStart"/>
      <w:r w:rsidRPr="00BF28E0">
        <w:rPr>
          <w:rFonts w:asciiTheme="minorHAnsi" w:hAnsiTheme="minorHAnsi"/>
          <w:sz w:val="24"/>
          <w:szCs w:val="24"/>
        </w:rPr>
        <w:t>Nielsenet</w:t>
      </w:r>
      <w:proofErr w:type="spellEnd"/>
      <w:r w:rsidRPr="00BF28E0">
        <w:rPr>
          <w:rFonts w:asciiTheme="minorHAnsi" w:hAnsiTheme="minorHAnsi"/>
          <w:sz w:val="24"/>
          <w:szCs w:val="24"/>
        </w:rPr>
        <w:t xml:space="preserve"> al., 2005). Cała roślina zawiera fotouczulające </w:t>
      </w:r>
      <w:proofErr w:type="spellStart"/>
      <w:r w:rsidRPr="00BF28E0">
        <w:rPr>
          <w:rFonts w:asciiTheme="minorHAnsi" w:hAnsiTheme="minorHAnsi"/>
          <w:sz w:val="24"/>
          <w:szCs w:val="24"/>
        </w:rPr>
        <w:t>furanokumaryny</w:t>
      </w:r>
      <w:proofErr w:type="spellEnd"/>
      <w:r w:rsidRPr="00BF28E0">
        <w:rPr>
          <w:rFonts w:asciiTheme="minorHAnsi" w:hAnsiTheme="minorHAnsi"/>
          <w:sz w:val="24"/>
          <w:szCs w:val="24"/>
        </w:rPr>
        <w:t>, które mogą powodować oparzenia i/lub pęcherze na ludzkiej skórze (po kontakcie z sokiem roślinnym i późniejszym napromieniowaniu UV).</w:t>
      </w:r>
      <w:r w:rsidRPr="00BF28E0">
        <w:rPr>
          <w:rStyle w:val="Odwoanieprzypisudolnego"/>
          <w:rFonts w:asciiTheme="minorHAnsi" w:hAnsiTheme="minorHAnsi"/>
          <w:sz w:val="24"/>
          <w:szCs w:val="24"/>
        </w:rPr>
        <w:t xml:space="preserve"> </w:t>
      </w:r>
      <w:r w:rsidRPr="00BF28E0">
        <w:rPr>
          <w:rStyle w:val="Odwoanieprzypisudolnego"/>
          <w:rFonts w:asciiTheme="minorHAnsi" w:hAnsiTheme="minorHAnsi"/>
          <w:sz w:val="24"/>
          <w:szCs w:val="24"/>
        </w:rPr>
        <w:footnoteReference w:id="44"/>
      </w:r>
    </w:p>
    <w:p w14:paraId="70FC0090" w14:textId="77777777" w:rsidR="006F7B36" w:rsidRPr="00F9646B" w:rsidRDefault="006F7B36" w:rsidP="00BF28E0">
      <w:pPr>
        <w:jc w:val="center"/>
      </w:pPr>
      <w:r w:rsidRPr="00F9646B">
        <w:rPr>
          <w:noProof/>
        </w:rPr>
        <w:lastRenderedPageBreak/>
        <w:drawing>
          <wp:inline distT="0" distB="0" distL="0" distR="0" wp14:anchorId="7C53CC17" wp14:editId="35C99860">
            <wp:extent cx="4499610" cy="5544820"/>
            <wp:effectExtent l="0" t="0" r="0" b="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499610" cy="5544820"/>
                    </a:xfrm>
                    <a:prstGeom prst="rect">
                      <a:avLst/>
                    </a:prstGeom>
                  </pic:spPr>
                </pic:pic>
              </a:graphicData>
            </a:graphic>
          </wp:inline>
        </w:drawing>
      </w:r>
    </w:p>
    <w:p w14:paraId="0EAE8F59" w14:textId="77777777" w:rsidR="006F7B36" w:rsidRPr="00F9646B" w:rsidRDefault="006F7B36" w:rsidP="00BF28E0">
      <w:pPr>
        <w:jc w:val="center"/>
        <w:rPr>
          <w:lang w:val="en-US"/>
        </w:rPr>
      </w:pPr>
      <w:r w:rsidRPr="00F9646B">
        <w:rPr>
          <w:noProof/>
          <w:lang w:val="en-US"/>
        </w:rPr>
        <w:lastRenderedPageBreak/>
        <w:drawing>
          <wp:inline distT="0" distB="0" distL="0" distR="0" wp14:anchorId="11E764D5" wp14:editId="7513FD91">
            <wp:extent cx="5068636" cy="6057900"/>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71540" cy="6061371"/>
                    </a:xfrm>
                    <a:prstGeom prst="rect">
                      <a:avLst/>
                    </a:prstGeom>
                  </pic:spPr>
                </pic:pic>
              </a:graphicData>
            </a:graphic>
          </wp:inline>
        </w:drawing>
      </w:r>
    </w:p>
    <w:p w14:paraId="59BE06B2" w14:textId="77777777" w:rsidR="006F7B36" w:rsidRPr="00F9646B" w:rsidRDefault="006F7B36" w:rsidP="00BF28E0">
      <w:pPr>
        <w:jc w:val="center"/>
        <w:rPr>
          <w:lang w:val="en-US"/>
        </w:rPr>
      </w:pPr>
      <w:r w:rsidRPr="00F9646B">
        <w:rPr>
          <w:noProof/>
          <w:lang w:val="en-US"/>
        </w:rPr>
        <w:lastRenderedPageBreak/>
        <w:drawing>
          <wp:inline distT="0" distB="0" distL="0" distR="0" wp14:anchorId="1AF39ABD" wp14:editId="0E841044">
            <wp:extent cx="4600575" cy="4975841"/>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03833" cy="4979364"/>
                    </a:xfrm>
                    <a:prstGeom prst="rect">
                      <a:avLst/>
                    </a:prstGeom>
                  </pic:spPr>
                </pic:pic>
              </a:graphicData>
            </a:graphic>
          </wp:inline>
        </w:drawing>
      </w:r>
    </w:p>
    <w:p w14:paraId="6A13D1CC" w14:textId="77777777" w:rsidR="006F7B36" w:rsidRPr="00BF28E0" w:rsidRDefault="006F7B36" w:rsidP="006F7B36">
      <w:pPr>
        <w:jc w:val="both"/>
        <w:rPr>
          <w:rFonts w:asciiTheme="minorHAnsi" w:hAnsiTheme="minorHAnsi"/>
          <w:sz w:val="18"/>
          <w:szCs w:val="18"/>
        </w:rPr>
      </w:pPr>
      <w:r w:rsidRPr="00BF28E0">
        <w:rPr>
          <w:rFonts w:asciiTheme="minorHAnsi" w:hAnsiTheme="minorHAnsi"/>
          <w:sz w:val="18"/>
          <w:szCs w:val="18"/>
        </w:rPr>
        <w:t>Źródło: Kompendium. Metody zwalczania barszczy kaukaskich, GDOŚ, Warszawa 2022 (https://www.gov.pl/web/gdos/kompendia-zwalczania-wybranych-igo)</w:t>
      </w:r>
    </w:p>
    <w:p w14:paraId="156477F9" w14:textId="77777777" w:rsidR="006F7B36" w:rsidRPr="00DD39FA" w:rsidRDefault="006F7B36"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 xml:space="preserve">Działania służące eliminacji </w:t>
      </w:r>
    </w:p>
    <w:p w14:paraId="4A5B3E68" w14:textId="63C0D873"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Przedstawiony poniżej przegląd metod kontroli i zwalczania opiera się na Kompendium CABI. Zaleca się także zapoznanie się z Kompendium metod zwalczania barszczy karpackich opublikowanym przez GDOŚ w 2022 r.</w:t>
      </w:r>
      <w:r w:rsidRPr="00DD39FA">
        <w:rPr>
          <w:rStyle w:val="Odwoanieprzypisudolnego"/>
          <w:rFonts w:asciiTheme="minorHAnsi" w:hAnsiTheme="minorHAnsi"/>
          <w:sz w:val="24"/>
          <w:szCs w:val="24"/>
        </w:rPr>
        <w:footnoteReference w:id="45"/>
      </w:r>
      <w:r w:rsidRPr="00DD39FA">
        <w:rPr>
          <w:rFonts w:asciiTheme="minorHAnsi" w:hAnsiTheme="minorHAnsi"/>
          <w:sz w:val="24"/>
          <w:szCs w:val="24"/>
        </w:rPr>
        <w:t>.</w:t>
      </w:r>
    </w:p>
    <w:p w14:paraId="29760967" w14:textId="77777777" w:rsidR="006F7B36" w:rsidRPr="00DD39FA" w:rsidRDefault="006F7B36" w:rsidP="00DD39FA">
      <w:pPr>
        <w:spacing w:after="120" w:line="276" w:lineRule="auto"/>
        <w:jc w:val="both"/>
        <w:rPr>
          <w:rFonts w:asciiTheme="minorHAnsi" w:hAnsiTheme="minorHAnsi"/>
          <w:sz w:val="24"/>
          <w:szCs w:val="24"/>
          <w:lang w:val="en-US"/>
        </w:rPr>
      </w:pPr>
      <w:r w:rsidRPr="00DD39FA">
        <w:rPr>
          <w:rFonts w:asciiTheme="minorHAnsi" w:hAnsiTheme="minorHAnsi"/>
          <w:sz w:val="24"/>
          <w:szCs w:val="24"/>
          <w:lang w:val="en-US"/>
        </w:rPr>
        <w:t xml:space="preserve">Metody </w:t>
      </w:r>
      <w:proofErr w:type="spellStart"/>
      <w:r w:rsidRPr="00DD39FA">
        <w:rPr>
          <w:rFonts w:asciiTheme="minorHAnsi" w:hAnsiTheme="minorHAnsi"/>
          <w:sz w:val="24"/>
          <w:szCs w:val="24"/>
          <w:lang w:val="en-US"/>
        </w:rPr>
        <w:t>zwalczania</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fizyczne</w:t>
      </w:r>
      <w:proofErr w:type="spellEnd"/>
      <w:r w:rsidRPr="00DD39FA">
        <w:rPr>
          <w:rFonts w:asciiTheme="minorHAnsi" w:hAnsiTheme="minorHAnsi"/>
          <w:sz w:val="24"/>
          <w:szCs w:val="24"/>
          <w:lang w:val="en-US"/>
        </w:rPr>
        <w:t>/</w:t>
      </w:r>
      <w:proofErr w:type="spellStart"/>
      <w:r w:rsidRPr="00DD39FA">
        <w:rPr>
          <w:rFonts w:asciiTheme="minorHAnsi" w:hAnsiTheme="minorHAnsi"/>
          <w:sz w:val="24"/>
          <w:szCs w:val="24"/>
          <w:lang w:val="en-US"/>
        </w:rPr>
        <w:t>mechaniczne</w:t>
      </w:r>
      <w:proofErr w:type="spellEnd"/>
      <w:r w:rsidRPr="00DD39FA">
        <w:rPr>
          <w:rStyle w:val="Odwoanieprzypisudolnego"/>
          <w:rFonts w:asciiTheme="minorHAnsi" w:hAnsiTheme="minorHAnsi"/>
          <w:sz w:val="24"/>
          <w:szCs w:val="24"/>
        </w:rPr>
        <w:footnoteReference w:id="46"/>
      </w:r>
    </w:p>
    <w:p w14:paraId="3053844B" w14:textId="77777777" w:rsidR="006F7B36" w:rsidRPr="00DD39FA" w:rsidRDefault="006F7B36" w:rsidP="00DD39FA">
      <w:pPr>
        <w:pStyle w:val="Akapitzlist"/>
        <w:numPr>
          <w:ilvl w:val="0"/>
          <w:numId w:val="12"/>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Ręczne i mechaniczne metody zwalczania </w:t>
      </w:r>
      <w:r w:rsidRPr="00DD39FA">
        <w:rPr>
          <w:rFonts w:asciiTheme="minorHAnsi" w:hAnsiTheme="minorHAnsi"/>
          <w:i/>
          <w:iCs/>
          <w:sz w:val="24"/>
          <w:szCs w:val="24"/>
        </w:rPr>
        <w:t xml:space="preserve">H. </w:t>
      </w:r>
      <w:proofErr w:type="spellStart"/>
      <w:r w:rsidRPr="00DD39FA">
        <w:rPr>
          <w:rFonts w:asciiTheme="minorHAnsi" w:hAnsiTheme="minorHAnsi"/>
          <w:i/>
          <w:iCs/>
          <w:sz w:val="24"/>
          <w:szCs w:val="24"/>
        </w:rPr>
        <w:t>sosnowskyi</w:t>
      </w:r>
      <w:proofErr w:type="spellEnd"/>
      <w:r w:rsidRPr="00DD39FA">
        <w:rPr>
          <w:rFonts w:asciiTheme="minorHAnsi" w:hAnsiTheme="minorHAnsi"/>
          <w:sz w:val="24"/>
          <w:szCs w:val="24"/>
        </w:rPr>
        <w:t xml:space="preserve"> obejmują takie techniki, jak wycinanie korzeni, ścinanie roślin, koszenie, usuwanie baldachów i orka. Z wyjątkiem cięcia korzeni, mechaniczne zwalczanie nie powoduje natychmiastowego wyplenienia roślin. Wypełnienie następuje po 2-3 zabiegach </w:t>
      </w:r>
      <w:r w:rsidRPr="00DD39FA">
        <w:rPr>
          <w:rFonts w:asciiTheme="minorHAnsi" w:hAnsiTheme="minorHAnsi"/>
          <w:sz w:val="24"/>
          <w:szCs w:val="24"/>
        </w:rPr>
        <w:lastRenderedPageBreak/>
        <w:t xml:space="preserve">rocznie w ciągu kilku sezonów wegetacyjnych w wyniku wyczerpania rezerw składników odżywczych. </w:t>
      </w:r>
    </w:p>
    <w:p w14:paraId="0F06FCDA" w14:textId="77777777" w:rsidR="006F7B36" w:rsidRPr="00DD39FA" w:rsidRDefault="006F7B36" w:rsidP="00DD39FA">
      <w:pPr>
        <w:pStyle w:val="Akapitzlist"/>
        <w:numPr>
          <w:ilvl w:val="0"/>
          <w:numId w:val="12"/>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Przycinanie korzeni (lub wykopywanie) jest skuteczne, ale pracochłonne i jest zalecane dla pojedynczych roślin lub małych stanowisk &lt;200 roślin). Zazwyczaj wykonuje się je zwykłym szpadlem z zaostrzonym ostrzem. Cięcie należy przeprowadzić wczesną wiosną i powtórzyć w połowie lata. Zaleca się, aby korzeń był przycięty co najmniej 10 cm poniżej poziomu gleby (lub do 25 cm w przypadku, gdy dodatkowe warstwy gleby mogą przykrywać rośliny). Przycięte części roślin są wyciągane z gleby i albo niszczone, albo pozostawiane do wyschnięcia. </w:t>
      </w:r>
    </w:p>
    <w:p w14:paraId="1A1EF53D" w14:textId="77777777" w:rsidR="006F7B36" w:rsidRPr="00DD39FA" w:rsidRDefault="006F7B36" w:rsidP="00DD39FA">
      <w:pPr>
        <w:pStyle w:val="Akapitzlist"/>
        <w:numPr>
          <w:ilvl w:val="0"/>
          <w:numId w:val="12"/>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W przypadku dużych zaatakowanych obszarów sprawdza się mechaniczne koszenie, na przykład kosiarką bijakową. Rośliny szybko odrastają, a koszenie należy powtórzyć 2-3 razy w sezonie wegetacyjnym, aby uniemożliwić roślinom odrastającym gromadzenie składników odżywczych w korzeniach, a następnie kwitnienie i zawiązywanie nasion. </w:t>
      </w:r>
    </w:p>
    <w:p w14:paraId="30B2E7EC" w14:textId="77777777" w:rsidR="006F7B36" w:rsidRPr="00DD39FA" w:rsidRDefault="006F7B36" w:rsidP="00DD39FA">
      <w:pPr>
        <w:pStyle w:val="Akapitzlist"/>
        <w:numPr>
          <w:ilvl w:val="0"/>
          <w:numId w:val="12"/>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Jeśli populacja jest niewielka lub znajduje się w miejscu nieodpowiednim do koszenia mechanicznego, np. wzdłuż rzek lub na zboczach, rośliny można ścinać ręcznie za pomocą kosy lub </w:t>
      </w:r>
      <w:proofErr w:type="spellStart"/>
      <w:r w:rsidRPr="00DD39FA">
        <w:rPr>
          <w:rFonts w:asciiTheme="minorHAnsi" w:hAnsiTheme="minorHAnsi"/>
          <w:sz w:val="24"/>
          <w:szCs w:val="24"/>
        </w:rPr>
        <w:t>podkaszarki</w:t>
      </w:r>
      <w:proofErr w:type="spellEnd"/>
      <w:r w:rsidRPr="00DD39FA">
        <w:rPr>
          <w:rFonts w:asciiTheme="minorHAnsi" w:hAnsiTheme="minorHAnsi"/>
          <w:sz w:val="24"/>
          <w:szCs w:val="24"/>
        </w:rPr>
        <w:t xml:space="preserve">. Jedną ze strategii koszenia jest wycinanie tylko kwitnących roślin w połowie fazy kwitnienia. Zapobiegnie to produkcji nowych nasion, a rośliny wegetatywne będą się wzajemnie zacieniać. Przy starannym powtarzaniu ta strategia powinna przy najmniejszym zaangażowaniu pracy wyeliminować populację w ciągu kilku lat. </w:t>
      </w:r>
    </w:p>
    <w:p w14:paraId="5A781C81" w14:textId="77777777" w:rsidR="006F7B36" w:rsidRPr="00DD39FA" w:rsidRDefault="006F7B36" w:rsidP="00DD39FA">
      <w:pPr>
        <w:pStyle w:val="Akapitzlist"/>
        <w:numPr>
          <w:ilvl w:val="0"/>
          <w:numId w:val="12"/>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Usuwanie baldachów może być równie skuteczne jak ścinanie całych roślin, ale ta metoda zwalczania często nie zapobiega produkcji nasion ze względu na wysoki potencjał regeneracyjny. Rośliny poddane usunięciu kwiatostanów mogą łatwo się regenerować i wytwarzać nowe kwiaty oraz żywotne nasiona o normalnej wielkości, które dobrze kiełkują. Metoda ta powinna być traktowana wyłącznie jako improwizowane rozwiązanie do zwalczania roślin na stanowiskach, na których wcześniej nie podjęto żadnych innych prób zwalczania. Czas usunięcia ma kluczowe znaczenie, ponieważ jeśli zabieg zostanie zastosowany zbyt wcześnie w sezonie (przed pełnym kwiatostanem), regeneracja jest bardzo energiczna i wytwarzana jest jeszcze większa liczba nasion. Jeśli zabieg zostanie wykonany zbyt późno (na początku zawiązywania nasion), istnieje ryzyko, że nasiona dojrzeją nawet na ściętych baldachach, które pozostaną na ziemi. Ścięte baldachy należy zebrać i zniszczyć. Usuwanie baldachów jest najbardziej skuteczne, gdy baldachy końcowe dopiero zaczynają kwitnąć. Nawet wtedy dochodzi do pewnej regeneracji, a stanowiska poddane zabiegowi muszą być sprawdzane w czasie </w:t>
      </w:r>
      <w:r w:rsidRPr="00DD39FA">
        <w:rPr>
          <w:rFonts w:asciiTheme="minorHAnsi" w:hAnsiTheme="minorHAnsi"/>
          <w:sz w:val="24"/>
          <w:szCs w:val="24"/>
        </w:rPr>
        <w:lastRenderedPageBreak/>
        <w:t>dojrzewania nasion, aby zapobiec uwolnieniu nasion powstałych w wyniku regeneracji (</w:t>
      </w:r>
      <w:proofErr w:type="spellStart"/>
      <w:r w:rsidRPr="00DD39FA">
        <w:rPr>
          <w:rFonts w:asciiTheme="minorHAnsi" w:hAnsiTheme="minorHAnsi"/>
          <w:i/>
          <w:iCs/>
          <w:sz w:val="24"/>
          <w:szCs w:val="24"/>
        </w:rPr>
        <w:t>Nielsenet</w:t>
      </w:r>
      <w:proofErr w:type="spellEnd"/>
      <w:r w:rsidRPr="00DD39FA">
        <w:rPr>
          <w:rFonts w:asciiTheme="minorHAnsi" w:hAnsiTheme="minorHAnsi"/>
          <w:i/>
          <w:iCs/>
          <w:sz w:val="24"/>
          <w:szCs w:val="24"/>
        </w:rPr>
        <w:t xml:space="preserve"> al., 2005; </w:t>
      </w:r>
      <w:proofErr w:type="spellStart"/>
      <w:r w:rsidRPr="00DD39FA">
        <w:rPr>
          <w:rFonts w:asciiTheme="minorHAnsi" w:hAnsiTheme="minorHAnsi"/>
          <w:i/>
          <w:iCs/>
          <w:sz w:val="24"/>
          <w:szCs w:val="24"/>
        </w:rPr>
        <w:t>Pyšeket</w:t>
      </w:r>
      <w:proofErr w:type="spellEnd"/>
      <w:r w:rsidRPr="00DD39FA">
        <w:rPr>
          <w:rFonts w:asciiTheme="minorHAnsi" w:hAnsiTheme="minorHAnsi"/>
          <w:i/>
          <w:iCs/>
          <w:sz w:val="24"/>
          <w:szCs w:val="24"/>
        </w:rPr>
        <w:t xml:space="preserve"> al., 2007</w:t>
      </w:r>
      <w:r w:rsidRPr="00DD39FA">
        <w:rPr>
          <w:rFonts w:asciiTheme="minorHAnsi" w:hAnsiTheme="minorHAnsi"/>
          <w:sz w:val="24"/>
          <w:szCs w:val="24"/>
        </w:rPr>
        <w:t xml:space="preserve">).   </w:t>
      </w:r>
    </w:p>
    <w:p w14:paraId="4CEA5D8D" w14:textId="77777777" w:rsidR="006F7B36" w:rsidRPr="00DD39FA" w:rsidRDefault="006F7B36" w:rsidP="00DD39FA">
      <w:pPr>
        <w:pStyle w:val="Akapitzlist"/>
        <w:numPr>
          <w:ilvl w:val="0"/>
          <w:numId w:val="12"/>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Orka może kontrolować inwazję H. </w:t>
      </w:r>
      <w:proofErr w:type="spellStart"/>
      <w:r w:rsidRPr="00DD39FA">
        <w:rPr>
          <w:rFonts w:asciiTheme="minorHAnsi" w:hAnsiTheme="minorHAnsi"/>
          <w:sz w:val="24"/>
          <w:szCs w:val="24"/>
        </w:rPr>
        <w:t>sosnowskyi</w:t>
      </w:r>
      <w:proofErr w:type="spellEnd"/>
      <w:r w:rsidRPr="00DD39FA">
        <w:rPr>
          <w:rFonts w:asciiTheme="minorHAnsi" w:hAnsiTheme="minorHAnsi"/>
          <w:sz w:val="24"/>
          <w:szCs w:val="24"/>
        </w:rPr>
        <w:t xml:space="preserve"> na gruntach rolnych. Głęboka orka gleby (do 24 cm) znacznie ograniczy kiełkowanie nasion barszczu ze względu na zasypanie górnej warstwy gleby (gdzie koncentruje się większość nasion). Najlepsze wyniki uzyskuje się, jeśli przed orką zastosuje się metody mechaniczne lub chemiczne (</w:t>
      </w:r>
      <w:proofErr w:type="spellStart"/>
      <w:r w:rsidRPr="00DD39FA">
        <w:rPr>
          <w:rFonts w:asciiTheme="minorHAnsi" w:hAnsiTheme="minorHAnsi"/>
          <w:i/>
          <w:iCs/>
          <w:sz w:val="24"/>
          <w:szCs w:val="24"/>
        </w:rPr>
        <w:t>Nielsenet</w:t>
      </w:r>
      <w:proofErr w:type="spellEnd"/>
      <w:r w:rsidRPr="00DD39FA">
        <w:rPr>
          <w:rFonts w:asciiTheme="minorHAnsi" w:hAnsiTheme="minorHAnsi"/>
          <w:i/>
          <w:iCs/>
          <w:sz w:val="24"/>
          <w:szCs w:val="24"/>
        </w:rPr>
        <w:t xml:space="preserve"> al., 2005</w:t>
      </w:r>
      <w:r w:rsidRPr="00DD39FA">
        <w:rPr>
          <w:rFonts w:asciiTheme="minorHAnsi" w:hAnsiTheme="minorHAnsi"/>
          <w:sz w:val="24"/>
          <w:szCs w:val="24"/>
        </w:rPr>
        <w:t xml:space="preserve">).  </w:t>
      </w:r>
    </w:p>
    <w:p w14:paraId="5613B826" w14:textId="77777777" w:rsidR="006F7B36" w:rsidRPr="00DD39FA" w:rsidRDefault="006F7B36" w:rsidP="00DD39FA">
      <w:pPr>
        <w:spacing w:after="120" w:line="276" w:lineRule="auto"/>
        <w:jc w:val="both"/>
        <w:rPr>
          <w:rFonts w:asciiTheme="minorHAnsi" w:hAnsiTheme="minorHAnsi"/>
          <w:sz w:val="24"/>
          <w:szCs w:val="24"/>
          <w:lang w:val="en-US"/>
        </w:rPr>
      </w:pPr>
      <w:r w:rsidRPr="00DD39FA">
        <w:rPr>
          <w:rFonts w:asciiTheme="minorHAnsi" w:hAnsiTheme="minorHAnsi"/>
          <w:sz w:val="24"/>
          <w:szCs w:val="24"/>
          <w:lang w:val="en-US"/>
        </w:rPr>
        <w:t xml:space="preserve">Metody </w:t>
      </w:r>
      <w:proofErr w:type="spellStart"/>
      <w:r w:rsidRPr="00DD39FA">
        <w:rPr>
          <w:rFonts w:asciiTheme="minorHAnsi" w:hAnsiTheme="minorHAnsi"/>
          <w:sz w:val="24"/>
          <w:szCs w:val="24"/>
          <w:lang w:val="en-US"/>
        </w:rPr>
        <w:t>chemiczne</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zwalczania</w:t>
      </w:r>
      <w:proofErr w:type="spellEnd"/>
      <w:r w:rsidRPr="00DD39FA">
        <w:rPr>
          <w:rStyle w:val="Odwoanieprzypisudolnego"/>
          <w:rFonts w:asciiTheme="minorHAnsi" w:hAnsiTheme="minorHAnsi"/>
          <w:sz w:val="24"/>
          <w:szCs w:val="24"/>
        </w:rPr>
        <w:footnoteReference w:id="47"/>
      </w:r>
    </w:p>
    <w:p w14:paraId="4D8C600C" w14:textId="77777777" w:rsidR="006F7B36" w:rsidRPr="00DD39FA" w:rsidRDefault="006F7B36" w:rsidP="00DD39FA">
      <w:pPr>
        <w:pStyle w:val="Akapitzlist"/>
        <w:numPr>
          <w:ilvl w:val="0"/>
          <w:numId w:val="13"/>
        </w:numPr>
        <w:spacing w:after="120" w:line="276" w:lineRule="auto"/>
        <w:contextualSpacing w:val="0"/>
        <w:jc w:val="both"/>
        <w:rPr>
          <w:rFonts w:asciiTheme="minorHAnsi" w:hAnsiTheme="minorHAnsi"/>
          <w:sz w:val="24"/>
          <w:szCs w:val="24"/>
        </w:rPr>
      </w:pPr>
      <w:r w:rsidRPr="00DD39FA">
        <w:rPr>
          <w:rFonts w:asciiTheme="minorHAnsi" w:hAnsiTheme="minorHAnsi"/>
          <w:i/>
          <w:iCs/>
          <w:sz w:val="24"/>
          <w:szCs w:val="24"/>
        </w:rPr>
        <w:t xml:space="preserve">H . </w:t>
      </w:r>
      <w:proofErr w:type="spellStart"/>
      <w:r w:rsidRPr="00DD39FA">
        <w:rPr>
          <w:rFonts w:asciiTheme="minorHAnsi" w:hAnsiTheme="minorHAnsi"/>
          <w:i/>
          <w:iCs/>
          <w:sz w:val="24"/>
          <w:szCs w:val="24"/>
        </w:rPr>
        <w:t>sosnowskyi</w:t>
      </w:r>
      <w:proofErr w:type="spellEnd"/>
      <w:r w:rsidRPr="00DD39FA">
        <w:rPr>
          <w:rFonts w:asciiTheme="minorHAnsi" w:hAnsiTheme="minorHAnsi"/>
          <w:sz w:val="24"/>
          <w:szCs w:val="24"/>
        </w:rPr>
        <w:t xml:space="preserve"> (podobnie jak inne inwazyjne gatunki </w:t>
      </w:r>
      <w:proofErr w:type="spellStart"/>
      <w:r w:rsidRPr="00DD39FA">
        <w:rPr>
          <w:rFonts w:asciiTheme="minorHAnsi" w:hAnsiTheme="minorHAnsi"/>
          <w:i/>
          <w:iCs/>
          <w:sz w:val="24"/>
          <w:szCs w:val="24"/>
        </w:rPr>
        <w:t>Heracleum</w:t>
      </w:r>
      <w:proofErr w:type="spellEnd"/>
      <w:r w:rsidRPr="00DD39FA">
        <w:rPr>
          <w:rFonts w:asciiTheme="minorHAnsi" w:hAnsiTheme="minorHAnsi"/>
          <w:sz w:val="24"/>
          <w:szCs w:val="24"/>
        </w:rPr>
        <w:t xml:space="preserve">) jest podatny na herbicydy ogólnoustrojowe, takie jak </w:t>
      </w:r>
      <w:proofErr w:type="spellStart"/>
      <w:r w:rsidRPr="00DD39FA">
        <w:rPr>
          <w:rFonts w:asciiTheme="minorHAnsi" w:hAnsiTheme="minorHAnsi"/>
          <w:sz w:val="24"/>
          <w:szCs w:val="24"/>
        </w:rPr>
        <w:t>glifosat</w:t>
      </w:r>
      <w:proofErr w:type="spellEnd"/>
      <w:r w:rsidRPr="00DD39FA">
        <w:rPr>
          <w:rFonts w:asciiTheme="minorHAnsi" w:hAnsiTheme="minorHAnsi"/>
          <w:sz w:val="24"/>
          <w:szCs w:val="24"/>
        </w:rPr>
        <w:t xml:space="preserve">, </w:t>
      </w:r>
      <w:proofErr w:type="spellStart"/>
      <w:r w:rsidRPr="00DD39FA">
        <w:rPr>
          <w:rFonts w:asciiTheme="minorHAnsi" w:hAnsiTheme="minorHAnsi"/>
          <w:sz w:val="24"/>
          <w:szCs w:val="24"/>
        </w:rPr>
        <w:t>triklopyr</w:t>
      </w:r>
      <w:proofErr w:type="spellEnd"/>
      <w:r w:rsidRPr="00DD39FA">
        <w:rPr>
          <w:rFonts w:asciiTheme="minorHAnsi" w:hAnsiTheme="minorHAnsi"/>
          <w:sz w:val="24"/>
          <w:szCs w:val="24"/>
        </w:rPr>
        <w:t xml:space="preserve"> i </w:t>
      </w:r>
      <w:proofErr w:type="spellStart"/>
      <w:r w:rsidRPr="00DD39FA">
        <w:rPr>
          <w:rFonts w:asciiTheme="minorHAnsi" w:hAnsiTheme="minorHAnsi"/>
          <w:sz w:val="24"/>
          <w:szCs w:val="24"/>
        </w:rPr>
        <w:t>imazapyr</w:t>
      </w:r>
      <w:proofErr w:type="spellEnd"/>
      <w:r w:rsidRPr="00DD39FA">
        <w:rPr>
          <w:rFonts w:asciiTheme="minorHAnsi" w:hAnsiTheme="minorHAnsi"/>
          <w:sz w:val="24"/>
          <w:szCs w:val="24"/>
        </w:rPr>
        <w:t xml:space="preserve">. </w:t>
      </w:r>
      <w:proofErr w:type="spellStart"/>
      <w:r w:rsidRPr="00DD39FA">
        <w:rPr>
          <w:rFonts w:asciiTheme="minorHAnsi" w:hAnsiTheme="minorHAnsi"/>
          <w:sz w:val="24"/>
          <w:szCs w:val="24"/>
        </w:rPr>
        <w:t>Glifosat</w:t>
      </w:r>
      <w:proofErr w:type="spellEnd"/>
      <w:r w:rsidRPr="00DD39FA">
        <w:rPr>
          <w:rFonts w:asciiTheme="minorHAnsi" w:hAnsiTheme="minorHAnsi"/>
          <w:sz w:val="24"/>
          <w:szCs w:val="24"/>
        </w:rPr>
        <w:t xml:space="preserve"> jest najczęściej stosowanym związkiem, ale ze względu na ryzyko toksyczności dla ryb i glonów, nieopryskana strefa buforowa o szerokości 2 m powinna przylegać do każdej rzeki lub innego zbiornika wodnego (</w:t>
      </w:r>
      <w:proofErr w:type="spellStart"/>
      <w:r w:rsidRPr="00DD39FA">
        <w:rPr>
          <w:rFonts w:asciiTheme="minorHAnsi" w:hAnsiTheme="minorHAnsi"/>
          <w:i/>
          <w:iCs/>
          <w:sz w:val="24"/>
          <w:szCs w:val="24"/>
        </w:rPr>
        <w:t>Marcher</w:t>
      </w:r>
      <w:proofErr w:type="spellEnd"/>
      <w:r w:rsidRPr="00DD39FA">
        <w:rPr>
          <w:rFonts w:asciiTheme="minorHAnsi" w:hAnsiTheme="minorHAnsi"/>
          <w:i/>
          <w:iCs/>
          <w:sz w:val="24"/>
          <w:szCs w:val="24"/>
        </w:rPr>
        <w:t>, 2001</w:t>
      </w:r>
      <w:r w:rsidRPr="00DD39FA">
        <w:rPr>
          <w:rFonts w:asciiTheme="minorHAnsi" w:hAnsiTheme="minorHAnsi"/>
          <w:sz w:val="24"/>
          <w:szCs w:val="24"/>
        </w:rPr>
        <w:t xml:space="preserve">). </w:t>
      </w:r>
    </w:p>
    <w:p w14:paraId="1D4D88D3" w14:textId="77777777" w:rsidR="006F7B36" w:rsidRPr="00DD39FA" w:rsidRDefault="006F7B36" w:rsidP="00DD39FA">
      <w:pPr>
        <w:pStyle w:val="Akapitzlist"/>
        <w:numPr>
          <w:ilvl w:val="0"/>
          <w:numId w:val="13"/>
        </w:numPr>
        <w:spacing w:after="120" w:line="276" w:lineRule="auto"/>
        <w:contextualSpacing w:val="0"/>
        <w:jc w:val="both"/>
        <w:rPr>
          <w:rFonts w:asciiTheme="minorHAnsi" w:hAnsiTheme="minorHAnsi"/>
          <w:sz w:val="24"/>
          <w:szCs w:val="24"/>
        </w:rPr>
      </w:pPr>
      <w:proofErr w:type="spellStart"/>
      <w:r w:rsidRPr="00DD39FA">
        <w:rPr>
          <w:rFonts w:asciiTheme="minorHAnsi" w:hAnsiTheme="minorHAnsi"/>
          <w:sz w:val="24"/>
          <w:szCs w:val="24"/>
        </w:rPr>
        <w:t>Triklopyr</w:t>
      </w:r>
      <w:proofErr w:type="spellEnd"/>
      <w:r w:rsidRPr="00DD39FA">
        <w:rPr>
          <w:rFonts w:asciiTheme="minorHAnsi" w:hAnsiTheme="minorHAnsi"/>
          <w:sz w:val="24"/>
          <w:szCs w:val="24"/>
        </w:rPr>
        <w:t xml:space="preserve"> nie ma wpływu na kiełkujące trawy i jest przydatny w zwalczaniu szeregu gatunków liściastych. </w:t>
      </w:r>
      <w:proofErr w:type="spellStart"/>
      <w:r w:rsidRPr="00DD39FA">
        <w:rPr>
          <w:rFonts w:asciiTheme="minorHAnsi" w:hAnsiTheme="minorHAnsi"/>
          <w:sz w:val="24"/>
          <w:szCs w:val="24"/>
        </w:rPr>
        <w:t>Imazapyr</w:t>
      </w:r>
      <w:proofErr w:type="spellEnd"/>
      <w:r w:rsidRPr="00DD39FA">
        <w:rPr>
          <w:rFonts w:asciiTheme="minorHAnsi" w:hAnsiTheme="minorHAnsi"/>
          <w:sz w:val="24"/>
          <w:szCs w:val="24"/>
        </w:rPr>
        <w:t xml:space="preserve"> ma działanie resztkowe w glebie, które zapobiega dalszemu kiełkowaniu, ale może również wpływać na gatunki inne niż docelowe</w:t>
      </w:r>
      <w:r w:rsidRPr="00DD39FA">
        <w:rPr>
          <w:rFonts w:asciiTheme="minorHAnsi" w:hAnsiTheme="minorHAnsi"/>
          <w:i/>
          <w:iCs/>
          <w:sz w:val="24"/>
          <w:szCs w:val="24"/>
        </w:rPr>
        <w:t xml:space="preserve"> </w:t>
      </w:r>
      <w:r w:rsidRPr="00DD39FA">
        <w:rPr>
          <w:rFonts w:asciiTheme="minorHAnsi" w:hAnsiTheme="minorHAnsi"/>
          <w:sz w:val="24"/>
          <w:szCs w:val="24"/>
        </w:rPr>
        <w:t>(</w:t>
      </w:r>
      <w:r w:rsidRPr="00DD39FA">
        <w:rPr>
          <w:rFonts w:asciiTheme="minorHAnsi" w:hAnsiTheme="minorHAnsi"/>
          <w:i/>
          <w:iCs/>
          <w:sz w:val="24"/>
          <w:szCs w:val="24"/>
        </w:rPr>
        <w:t>EPPO, 2008</w:t>
      </w:r>
      <w:r w:rsidRPr="00DD39FA">
        <w:rPr>
          <w:rFonts w:asciiTheme="minorHAnsi" w:hAnsiTheme="minorHAnsi"/>
          <w:sz w:val="24"/>
          <w:szCs w:val="24"/>
        </w:rPr>
        <w:t xml:space="preserve">). </w:t>
      </w:r>
    </w:p>
    <w:p w14:paraId="4286BFAC" w14:textId="77777777" w:rsidR="006F7B36" w:rsidRPr="00DD39FA" w:rsidRDefault="006F7B36" w:rsidP="00DD39FA">
      <w:pPr>
        <w:pStyle w:val="Akapitzlist"/>
        <w:numPr>
          <w:ilvl w:val="0"/>
          <w:numId w:val="13"/>
        </w:numPr>
        <w:spacing w:after="120" w:line="276" w:lineRule="auto"/>
        <w:contextualSpacing w:val="0"/>
        <w:jc w:val="both"/>
        <w:rPr>
          <w:rFonts w:asciiTheme="minorHAnsi" w:hAnsiTheme="minorHAnsi"/>
          <w:sz w:val="24"/>
          <w:szCs w:val="24"/>
          <w:lang w:val="en-US"/>
        </w:rPr>
      </w:pPr>
      <w:r w:rsidRPr="00DD39FA">
        <w:rPr>
          <w:rFonts w:asciiTheme="minorHAnsi" w:hAnsiTheme="minorHAnsi"/>
          <w:sz w:val="24"/>
          <w:szCs w:val="24"/>
        </w:rPr>
        <w:t xml:space="preserve">Przed zastosowaniem herbicydów należy zapoznać się z polityką UE oraz krajowymi przepisami i wytycznymi. Opryski należy przeprowadzać przy suchej i spokojnej pogodzie. Jeśli herbicydy mają być stosowane, zdecydowanie zaleca się, aby stosowano go wczesną wiosną, gdy rośliny osiągną wysokość 20-50 cm, a dostęp do środka kolonii jest nadal możliwy. Przed końcem maja może być konieczne wykonanie oprysku uzupełniającego w celu zwalczania nowych siewek. </w:t>
      </w:r>
      <w:r w:rsidRPr="00DD39FA">
        <w:rPr>
          <w:rFonts w:asciiTheme="minorHAnsi" w:hAnsiTheme="minorHAnsi"/>
          <w:sz w:val="24"/>
          <w:szCs w:val="24"/>
          <w:lang w:val="en-US"/>
        </w:rPr>
        <w:t xml:space="preserve">Ten </w:t>
      </w:r>
      <w:proofErr w:type="spellStart"/>
      <w:r w:rsidRPr="00DD39FA">
        <w:rPr>
          <w:rFonts w:asciiTheme="minorHAnsi" w:hAnsiTheme="minorHAnsi"/>
          <w:sz w:val="24"/>
          <w:szCs w:val="24"/>
          <w:lang w:val="en-US"/>
        </w:rPr>
        <w:t>drugi</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oprysk</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można</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zastąpić</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koszeniem</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lub</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przycinaniem</w:t>
      </w:r>
      <w:proofErr w:type="spellEnd"/>
      <w:r w:rsidRPr="00DD39FA">
        <w:rPr>
          <w:rFonts w:asciiTheme="minorHAnsi" w:hAnsiTheme="minorHAnsi"/>
          <w:sz w:val="24"/>
          <w:szCs w:val="24"/>
          <w:lang w:val="en-US"/>
        </w:rPr>
        <w:t xml:space="preserve">.  </w:t>
      </w:r>
    </w:p>
    <w:p w14:paraId="46740C17" w14:textId="77777777" w:rsidR="006F7B36" w:rsidRPr="00DD39FA" w:rsidRDefault="006F7B36" w:rsidP="00DD39FA">
      <w:pPr>
        <w:spacing w:after="120" w:line="276" w:lineRule="auto"/>
        <w:jc w:val="both"/>
        <w:rPr>
          <w:rFonts w:asciiTheme="minorHAnsi" w:hAnsiTheme="minorHAnsi"/>
          <w:sz w:val="24"/>
          <w:szCs w:val="24"/>
          <w:lang w:val="en-US"/>
        </w:rPr>
      </w:pPr>
      <w:r w:rsidRPr="00DD39FA">
        <w:rPr>
          <w:rFonts w:asciiTheme="minorHAnsi" w:hAnsiTheme="minorHAnsi"/>
          <w:sz w:val="24"/>
          <w:szCs w:val="24"/>
          <w:lang w:val="en-US"/>
        </w:rPr>
        <w:t xml:space="preserve">Metody </w:t>
      </w:r>
      <w:proofErr w:type="spellStart"/>
      <w:r w:rsidRPr="00DD39FA">
        <w:rPr>
          <w:rFonts w:asciiTheme="minorHAnsi" w:hAnsiTheme="minorHAnsi"/>
          <w:sz w:val="24"/>
          <w:szCs w:val="24"/>
          <w:lang w:val="en-US"/>
        </w:rPr>
        <w:t>zintegrowane</w:t>
      </w:r>
      <w:proofErr w:type="spellEnd"/>
      <w:r w:rsidRPr="00DD39FA">
        <w:rPr>
          <w:rFonts w:asciiTheme="minorHAnsi" w:hAnsiTheme="minorHAnsi"/>
          <w:sz w:val="24"/>
          <w:szCs w:val="24"/>
          <w:lang w:val="en-US"/>
        </w:rPr>
        <w:t xml:space="preserve"> (IPM)</w:t>
      </w:r>
      <w:r w:rsidRPr="00DD39FA">
        <w:rPr>
          <w:rStyle w:val="Odwoanieprzypisudolnego"/>
          <w:rFonts w:asciiTheme="minorHAnsi" w:hAnsiTheme="minorHAnsi"/>
          <w:sz w:val="24"/>
          <w:szCs w:val="24"/>
        </w:rPr>
        <w:footnoteReference w:id="48"/>
      </w:r>
    </w:p>
    <w:p w14:paraId="6D00A9B1" w14:textId="77777777" w:rsidR="006F7B36" w:rsidRPr="00DD39FA" w:rsidRDefault="006F7B36" w:rsidP="00DD39FA">
      <w:pPr>
        <w:pStyle w:val="Akapitzlist"/>
        <w:numPr>
          <w:ilvl w:val="0"/>
          <w:numId w:val="14"/>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Preferowana winna być strategia zintegrowanej ochrony, która powinna koncentrować się na optymalnym zarządzaniu w odniesieniu do skuteczności, ekologii i ekonomii. Taki program powinien zawierać jasno określone cele (np. zwalczanie lub powstrzymywanie), identyfikację wszystkich stanowisk roślin na danym obszarze i siedlisk podatnych na inwazję oraz dostępność zasobów. Wybór metody (metod) zwalczania zależy od wielu czynników i często połączenie dwóch lub więcej metod może być bardziej skuteczne. Niezależnie od metody zwalczania, zarządzanie zwykle wymaga wielokrotnego i prawidłowego stosowania w celu uzyskania zadowalających wyników. W celu optymalizacji działań, zwalczanie </w:t>
      </w:r>
      <w:r w:rsidRPr="00DD39FA">
        <w:rPr>
          <w:rFonts w:asciiTheme="minorHAnsi" w:hAnsiTheme="minorHAnsi"/>
          <w:sz w:val="24"/>
          <w:szCs w:val="24"/>
        </w:rPr>
        <w:lastRenderedPageBreak/>
        <w:t>roślin należy rozpocząć na początku sezonu wegetacyjnego i kontynuować przez kilka lat, aż bank nasion w glebie zostanie wyczerpany, a system korzeniowy obumrze. Ze względu na prawdopodobne rozprzestrzenianie się nasion w dół rzeki, ważne jest, aby upewnić się, że inwazje w górnym biegu rzeki zostały zwalczone przed podjęciem próby zwalczania gatunku (</w:t>
      </w:r>
      <w:proofErr w:type="spellStart"/>
      <w:r w:rsidRPr="00DD39FA">
        <w:rPr>
          <w:rFonts w:asciiTheme="minorHAnsi" w:hAnsiTheme="minorHAnsi"/>
          <w:i/>
          <w:iCs/>
          <w:sz w:val="24"/>
          <w:szCs w:val="24"/>
        </w:rPr>
        <w:t>Caffrey</w:t>
      </w:r>
      <w:proofErr w:type="spellEnd"/>
      <w:r w:rsidRPr="00DD39FA">
        <w:rPr>
          <w:rFonts w:asciiTheme="minorHAnsi" w:hAnsiTheme="minorHAnsi"/>
          <w:i/>
          <w:iCs/>
          <w:sz w:val="24"/>
          <w:szCs w:val="24"/>
        </w:rPr>
        <w:t xml:space="preserve"> and </w:t>
      </w:r>
      <w:proofErr w:type="spellStart"/>
      <w:r w:rsidRPr="00DD39FA">
        <w:rPr>
          <w:rFonts w:asciiTheme="minorHAnsi" w:hAnsiTheme="minorHAnsi"/>
          <w:i/>
          <w:iCs/>
          <w:sz w:val="24"/>
          <w:szCs w:val="24"/>
        </w:rPr>
        <w:t>Madsen</w:t>
      </w:r>
      <w:proofErr w:type="spellEnd"/>
      <w:r w:rsidRPr="00DD39FA">
        <w:rPr>
          <w:rFonts w:asciiTheme="minorHAnsi" w:hAnsiTheme="minorHAnsi"/>
          <w:i/>
          <w:iCs/>
          <w:sz w:val="24"/>
          <w:szCs w:val="24"/>
        </w:rPr>
        <w:t xml:space="preserve">, 2001; </w:t>
      </w:r>
      <w:proofErr w:type="spellStart"/>
      <w:r w:rsidRPr="00DD39FA">
        <w:rPr>
          <w:rFonts w:asciiTheme="minorHAnsi" w:hAnsiTheme="minorHAnsi"/>
          <w:i/>
          <w:iCs/>
          <w:sz w:val="24"/>
          <w:szCs w:val="24"/>
        </w:rPr>
        <w:t>Nielsenet</w:t>
      </w:r>
      <w:proofErr w:type="spellEnd"/>
      <w:r w:rsidRPr="00DD39FA">
        <w:rPr>
          <w:rFonts w:asciiTheme="minorHAnsi" w:hAnsiTheme="minorHAnsi"/>
          <w:i/>
          <w:iCs/>
          <w:sz w:val="24"/>
          <w:szCs w:val="24"/>
        </w:rPr>
        <w:t xml:space="preserve"> al., 2005, 2007; EPPO, 2008</w:t>
      </w:r>
      <w:r w:rsidRPr="00DD39FA">
        <w:rPr>
          <w:rFonts w:asciiTheme="minorHAnsi" w:hAnsiTheme="minorHAnsi"/>
          <w:sz w:val="24"/>
          <w:szCs w:val="24"/>
        </w:rPr>
        <w:t>).</w:t>
      </w:r>
    </w:p>
    <w:p w14:paraId="4D7AD540" w14:textId="77777777" w:rsidR="006F7B36" w:rsidRPr="00DD39FA" w:rsidRDefault="006F7B36"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Zalecenia odnośnie zagospodarowania biomasy podano w rozdziale 3.</w:t>
      </w:r>
    </w:p>
    <w:p w14:paraId="5FBA1B5A" w14:textId="5B1A5F45" w:rsidR="006F7B36" w:rsidRDefault="006F7B36" w:rsidP="006F7B36">
      <w:pPr>
        <w:pStyle w:val="Nagwek2"/>
      </w:pPr>
      <w:bookmarkStart w:id="24" w:name="_Toc239940811"/>
      <w:r>
        <w:t xml:space="preserve">2.14. Barszcz </w:t>
      </w:r>
      <w:proofErr w:type="spellStart"/>
      <w:r>
        <w:t>Mantegazziego</w:t>
      </w:r>
      <w:proofErr w:type="spellEnd"/>
      <w:r>
        <w:t xml:space="preserve"> (</w:t>
      </w:r>
      <w:proofErr w:type="spellStart"/>
      <w:r>
        <w:rPr>
          <w:i/>
          <w:iCs/>
        </w:rPr>
        <w:t>Heracelum</w:t>
      </w:r>
      <w:proofErr w:type="spellEnd"/>
      <w:r>
        <w:rPr>
          <w:i/>
          <w:iCs/>
        </w:rPr>
        <w:t xml:space="preserve"> </w:t>
      </w:r>
      <w:proofErr w:type="spellStart"/>
      <w:r>
        <w:rPr>
          <w:i/>
          <w:iCs/>
        </w:rPr>
        <w:t>mantegazzianum</w:t>
      </w:r>
      <w:proofErr w:type="spellEnd"/>
      <w:r>
        <w:t>)</w:t>
      </w:r>
      <w:bookmarkEnd w:id="24"/>
    </w:p>
    <w:p w14:paraId="114440AF" w14:textId="77777777" w:rsidR="006F7B36" w:rsidRPr="00DD39FA" w:rsidRDefault="006F7B36"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Charakterystyka gatunku</w:t>
      </w:r>
    </w:p>
    <w:p w14:paraId="02723359" w14:textId="77777777" w:rsidR="006F7B36" w:rsidRPr="00DD39FA" w:rsidRDefault="006F7B36" w:rsidP="00DD39FA">
      <w:pPr>
        <w:spacing w:after="120" w:line="276" w:lineRule="auto"/>
        <w:jc w:val="both"/>
        <w:rPr>
          <w:rFonts w:asciiTheme="minorHAnsi" w:hAnsiTheme="minorHAnsi"/>
          <w:sz w:val="24"/>
          <w:szCs w:val="24"/>
        </w:rPr>
      </w:pPr>
      <w:proofErr w:type="spellStart"/>
      <w:r w:rsidRPr="00DD39FA">
        <w:rPr>
          <w:rFonts w:asciiTheme="minorHAnsi" w:hAnsiTheme="minorHAnsi"/>
          <w:i/>
          <w:iCs/>
          <w:sz w:val="24"/>
          <w:szCs w:val="24"/>
        </w:rPr>
        <w:t>Heracleum</w:t>
      </w:r>
      <w:proofErr w:type="spellEnd"/>
      <w:r w:rsidRPr="00DD39FA">
        <w:rPr>
          <w:rFonts w:asciiTheme="minorHAnsi" w:hAnsiTheme="minorHAnsi"/>
          <w:i/>
          <w:iCs/>
          <w:sz w:val="24"/>
          <w:szCs w:val="24"/>
        </w:rPr>
        <w:t xml:space="preserve"> </w:t>
      </w:r>
      <w:proofErr w:type="spellStart"/>
      <w:r w:rsidRPr="00DD39FA">
        <w:rPr>
          <w:rFonts w:asciiTheme="minorHAnsi" w:hAnsiTheme="minorHAnsi"/>
          <w:i/>
          <w:iCs/>
          <w:sz w:val="24"/>
          <w:szCs w:val="24"/>
        </w:rPr>
        <w:t>mantegazzianum</w:t>
      </w:r>
      <w:proofErr w:type="spellEnd"/>
      <w:r w:rsidRPr="00DD39FA">
        <w:rPr>
          <w:rFonts w:asciiTheme="minorHAnsi" w:hAnsiTheme="minorHAnsi"/>
          <w:sz w:val="24"/>
          <w:szCs w:val="24"/>
        </w:rPr>
        <w:t xml:space="preserve"> to jednołodygowa bylina, wyrastająca z żółtego, rozgałęzionego systemu korzeniowego o głębokości 40-60 cm i średnicy do 15 cm w koronie, gdy jest dojrzała. Korzeń jest nieco kurczliwy, ciągnąc koronę do około 10 cm poniżej powierzchni gleby. Podczas wegetacji roślina posiada rozetę liści, która z roku na rok powiększa się. Są one naprzemianległe, najniższe z nich osiągają do 3 m długości i do 1,7 m szerokości, są trójdzielnie lub pierzastodzielnie i grubo ząbkowane. Górne liście na kwitnącej łodydze są stopniowo mniejsze. Górna powierzchnia liścia jest naga, ale spód i ogonek liściowy są pokryte włoskami. Gdy w końcu zakwitnie, zwykle po 3-5 latach, pojawia się pojedyncza pusta łodyga o wysokości do 2-5 m i średnicy 10 cm. Łodyga jest prążkowana, z fioletowymi plamami i pokryta krostowatymi szczecinkami. Głównym kwiatostanem jest końcowy baldach złożony o średnicy do 80 cm z około 100 nierównymi owłosionymi promieniami, każdy o długości 10-40 cm. Istnieje również do ośmiu baldachów satelitarnych, które górują nad głównym, a inne rozwijają się na gałęziach poniżej. Główny baldach jest hermafrodytą; niższe, dojrzewające wcześniej, mogą być tylko męskie. Kwiaty na szypułkach o długości 10-20 mm są białe lub różowawe z płatkami o długości do 12 mm. Liczne owoce spłaszczone, eliptyczne, 6-18 mm długości i 4-10 mm szerokości, wąsko oskrzydlone, większe owoce występują na głównym kwiatostanie, a mniejsze na satelitach; nagie do kosmatych, podzielone na dwa słupki, każdy z 3-5 wydłużonymi kanałami olejowymi. Przez kilka pierwszych lat wzrost nadziemny obumiera każdej zimy. Po zakwitnięciu roślina całkowicie obumiera (</w:t>
      </w:r>
      <w:r w:rsidRPr="00DD39FA">
        <w:rPr>
          <w:rFonts w:asciiTheme="minorHAnsi" w:hAnsiTheme="minorHAnsi"/>
          <w:i/>
          <w:iCs/>
          <w:sz w:val="24"/>
          <w:szCs w:val="24"/>
        </w:rPr>
        <w:t xml:space="preserve">za </w:t>
      </w:r>
      <w:proofErr w:type="spellStart"/>
      <w:r w:rsidRPr="00DD39FA">
        <w:rPr>
          <w:rFonts w:asciiTheme="minorHAnsi" w:hAnsiTheme="minorHAnsi"/>
          <w:i/>
          <w:iCs/>
          <w:sz w:val="24"/>
          <w:szCs w:val="24"/>
        </w:rPr>
        <w:t>Tiley</w:t>
      </w:r>
      <w:proofErr w:type="spellEnd"/>
      <w:r w:rsidRPr="00DD39FA">
        <w:rPr>
          <w:rFonts w:asciiTheme="minorHAnsi" w:hAnsiTheme="minorHAnsi"/>
          <w:i/>
          <w:iCs/>
          <w:sz w:val="24"/>
          <w:szCs w:val="24"/>
        </w:rPr>
        <w:t xml:space="preserve"> et al., 1996</w:t>
      </w:r>
      <w:r w:rsidRPr="00DD39FA">
        <w:rPr>
          <w:rFonts w:asciiTheme="minorHAnsi" w:hAnsiTheme="minorHAnsi"/>
          <w:sz w:val="24"/>
          <w:szCs w:val="24"/>
        </w:rPr>
        <w:t xml:space="preserve">). </w:t>
      </w:r>
      <w:r w:rsidRPr="00DD39FA">
        <w:rPr>
          <w:rFonts w:asciiTheme="minorHAnsi" w:hAnsiTheme="minorHAnsi"/>
          <w:i/>
          <w:iCs/>
          <w:sz w:val="24"/>
          <w:szCs w:val="24"/>
        </w:rPr>
        <w:t>Nielsen et al. (2005)</w:t>
      </w:r>
      <w:r w:rsidRPr="00DD39FA">
        <w:rPr>
          <w:rFonts w:asciiTheme="minorHAnsi" w:hAnsiTheme="minorHAnsi"/>
          <w:sz w:val="24"/>
          <w:szCs w:val="24"/>
        </w:rPr>
        <w:t xml:space="preserve"> posiadają doskonałe rysunki </w:t>
      </w:r>
      <w:r w:rsidRPr="00DD39FA">
        <w:rPr>
          <w:rFonts w:asciiTheme="minorHAnsi" w:hAnsiTheme="minorHAnsi"/>
          <w:i/>
          <w:iCs/>
          <w:sz w:val="24"/>
          <w:szCs w:val="24"/>
        </w:rPr>
        <w:t xml:space="preserve">H. </w:t>
      </w:r>
      <w:proofErr w:type="spellStart"/>
      <w:r w:rsidRPr="00DD39FA">
        <w:rPr>
          <w:rFonts w:asciiTheme="minorHAnsi" w:hAnsiTheme="minorHAnsi"/>
          <w:i/>
          <w:iCs/>
          <w:sz w:val="24"/>
          <w:szCs w:val="24"/>
        </w:rPr>
        <w:t>mantegazzianum</w:t>
      </w:r>
      <w:proofErr w:type="spellEnd"/>
      <w:r w:rsidRPr="00DD39FA">
        <w:rPr>
          <w:rFonts w:asciiTheme="minorHAnsi" w:hAnsiTheme="minorHAnsi"/>
          <w:sz w:val="24"/>
          <w:szCs w:val="24"/>
        </w:rPr>
        <w:t xml:space="preserve"> i gatunków pokrewnych.</w:t>
      </w:r>
      <w:r w:rsidRPr="00DD39FA">
        <w:rPr>
          <w:rStyle w:val="Odwoanieprzypisudolnego"/>
          <w:rFonts w:asciiTheme="minorHAnsi" w:hAnsiTheme="minorHAnsi"/>
          <w:sz w:val="24"/>
          <w:szCs w:val="24"/>
        </w:rPr>
        <w:t xml:space="preserve"> </w:t>
      </w:r>
      <w:r w:rsidRPr="00DD39FA">
        <w:rPr>
          <w:rStyle w:val="Odwoanieprzypisudolnego"/>
          <w:rFonts w:asciiTheme="minorHAnsi" w:hAnsiTheme="minorHAnsi"/>
          <w:sz w:val="24"/>
          <w:szCs w:val="24"/>
        </w:rPr>
        <w:footnoteReference w:id="49"/>
      </w:r>
    </w:p>
    <w:p w14:paraId="198A43E7" w14:textId="3A0E7626"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Zarówno barszcz Sosnowskiego (patrz p. 15 powyżej jak i barszcz </w:t>
      </w:r>
      <w:proofErr w:type="spellStart"/>
      <w:r w:rsidRPr="00DD39FA">
        <w:rPr>
          <w:rFonts w:asciiTheme="minorHAnsi" w:hAnsiTheme="minorHAnsi"/>
          <w:sz w:val="24"/>
          <w:szCs w:val="24"/>
        </w:rPr>
        <w:t>Mantegazziego</w:t>
      </w:r>
      <w:proofErr w:type="spellEnd"/>
      <w:r w:rsidRPr="00DD39FA">
        <w:rPr>
          <w:rFonts w:asciiTheme="minorHAnsi" w:hAnsiTheme="minorHAnsi"/>
          <w:sz w:val="24"/>
          <w:szCs w:val="24"/>
        </w:rPr>
        <w:t xml:space="preserve"> są dużymi bylinami, osiągającymi zwykle wysokość 2-3 m (maksymalnie 450-500 cm). Oba gatunki są do siebie podobne, a wskazywane w literaturze różnice w morfologii są w praktyce trudne do zaobserwowania. Ze względu na problemy w ich rozróżnieniu oraz podobne właściwości inwazyjne i toksyczne, często są mylone lub traktowane jako jeden </w:t>
      </w:r>
      <w:r w:rsidRPr="00DD39FA">
        <w:rPr>
          <w:rFonts w:asciiTheme="minorHAnsi" w:hAnsiTheme="minorHAnsi"/>
          <w:sz w:val="24"/>
          <w:szCs w:val="24"/>
        </w:rPr>
        <w:lastRenderedPageBreak/>
        <w:t>gatunek. Oba gatunki zwykle identyfikuje się nad podstawie cech morfologicznych liści, kwiatów i owoców</w:t>
      </w:r>
      <w:r w:rsidRPr="00DD39FA">
        <w:rPr>
          <w:rStyle w:val="Odwoanieprzypisudolnego"/>
          <w:rFonts w:asciiTheme="minorHAnsi" w:hAnsiTheme="minorHAnsi"/>
          <w:sz w:val="24"/>
          <w:szCs w:val="24"/>
          <w:lang w:val="en-US"/>
        </w:rPr>
        <w:footnoteReference w:id="50"/>
      </w:r>
      <w:r w:rsidRPr="00DD39FA">
        <w:rPr>
          <w:rFonts w:asciiTheme="minorHAnsi" w:hAnsiTheme="minorHAnsi"/>
          <w:sz w:val="24"/>
          <w:szCs w:val="24"/>
        </w:rPr>
        <w:t>. Szczegółowe informacje na temat rozróżniania gatunków barszczy zawarte są w cytowanym Kompendium metod zwalczania barszczy kaukaskich GDOŚ. (Kompendium. Metody zwalczania barszczy kaukaskich, GDOŚ, Warszawa 2022 (https://www.gov.pl/web/gdos/kompendia-zwalczania-wybranych-igo).</w:t>
      </w:r>
    </w:p>
    <w:p w14:paraId="2004749B" w14:textId="77777777" w:rsidR="006F7B36" w:rsidRPr="00F9646B" w:rsidRDefault="006F7B36" w:rsidP="00DD39FA">
      <w:pPr>
        <w:jc w:val="center"/>
        <w:rPr>
          <w:b/>
          <w:bCs/>
        </w:rPr>
      </w:pPr>
      <w:r w:rsidRPr="00F9646B">
        <w:rPr>
          <w:b/>
          <w:bCs/>
          <w:noProof/>
        </w:rPr>
        <w:drawing>
          <wp:inline distT="0" distB="0" distL="0" distR="0" wp14:anchorId="0FFD1447" wp14:editId="7AFFA7EE">
            <wp:extent cx="4499610" cy="5983605"/>
            <wp:effectExtent l="0" t="0" r="0" b="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99610" cy="5983605"/>
                    </a:xfrm>
                    <a:prstGeom prst="rect">
                      <a:avLst/>
                    </a:prstGeom>
                  </pic:spPr>
                </pic:pic>
              </a:graphicData>
            </a:graphic>
          </wp:inline>
        </w:drawing>
      </w:r>
    </w:p>
    <w:p w14:paraId="65FA269D" w14:textId="1AFFCC9D" w:rsidR="006F7B36" w:rsidRPr="00DD39FA" w:rsidRDefault="005B232C" w:rsidP="006F7B36">
      <w:pPr>
        <w:jc w:val="both"/>
        <w:rPr>
          <w:sz w:val="18"/>
          <w:szCs w:val="18"/>
        </w:rPr>
      </w:pPr>
      <w:r w:rsidRPr="00DD39FA">
        <w:rPr>
          <w:b/>
          <w:bCs/>
          <w:sz w:val="18"/>
          <w:szCs w:val="18"/>
        </w:rPr>
        <w:t>Źródło</w:t>
      </w:r>
      <w:r w:rsidR="006F7B36" w:rsidRPr="00DD39FA">
        <w:rPr>
          <w:b/>
          <w:bCs/>
          <w:sz w:val="18"/>
          <w:szCs w:val="18"/>
        </w:rPr>
        <w:t xml:space="preserve">: </w:t>
      </w:r>
      <w:r w:rsidR="006F7B36" w:rsidRPr="00DD39FA">
        <w:rPr>
          <w:sz w:val="18"/>
          <w:szCs w:val="18"/>
        </w:rPr>
        <w:t>Kompendium. Metody zwalczania barszczy kaukaskich, GDOŚ, Warszawa 2022 (</w:t>
      </w:r>
      <w:hyperlink r:id="rId46" w:history="1">
        <w:r w:rsidR="006F7B36" w:rsidRPr="00DD39FA">
          <w:rPr>
            <w:rStyle w:val="Hipercze"/>
            <w:color w:val="auto"/>
            <w:sz w:val="18"/>
            <w:szCs w:val="18"/>
          </w:rPr>
          <w:t>https://www.gov.pl/web/gdos/kompendia-zwalczania-wybranych-igo</w:t>
        </w:r>
      </w:hyperlink>
      <w:r w:rsidR="006F7B36" w:rsidRPr="00DD39FA">
        <w:rPr>
          <w:sz w:val="18"/>
          <w:szCs w:val="18"/>
        </w:rPr>
        <w:t>)</w:t>
      </w:r>
    </w:p>
    <w:p w14:paraId="48A839BD" w14:textId="62595C21" w:rsidR="006F7B36" w:rsidRPr="00F9646B" w:rsidRDefault="006F7B36" w:rsidP="006F7B36">
      <w:pPr>
        <w:jc w:val="both"/>
        <w:rPr>
          <w:b/>
          <w:bCs/>
        </w:rPr>
      </w:pPr>
    </w:p>
    <w:tbl>
      <w:tblPr>
        <w:tblStyle w:val="Swecotable"/>
        <w:tblW w:w="7086" w:type="dxa"/>
        <w:tblInd w:w="-5" w:type="dxa"/>
        <w:tblBorders>
          <w:left w:val="single" w:sz="4" w:space="0" w:color="auto"/>
          <w:right w:val="single" w:sz="4" w:space="0" w:color="auto"/>
        </w:tblBorders>
        <w:tblLook w:val="04A0" w:firstRow="1" w:lastRow="0" w:firstColumn="1" w:lastColumn="0" w:noHBand="0" w:noVBand="1"/>
      </w:tblPr>
      <w:tblGrid>
        <w:gridCol w:w="4260"/>
        <w:gridCol w:w="4327"/>
      </w:tblGrid>
      <w:tr w:rsidR="006F7B36" w:rsidRPr="00F9646B" w14:paraId="26EE9387" w14:textId="77777777" w:rsidTr="001B40C0">
        <w:trPr>
          <w:cnfStyle w:val="100000000000" w:firstRow="1" w:lastRow="0" w:firstColumn="0" w:lastColumn="0" w:oddVBand="0" w:evenVBand="0" w:oddHBand="0" w:evenHBand="0" w:firstRowFirstColumn="0" w:firstRowLastColumn="0" w:lastRowFirstColumn="0" w:lastRowLastColumn="0"/>
        </w:trPr>
        <w:tc>
          <w:tcPr>
            <w:tcW w:w="3516" w:type="dxa"/>
            <w:shd w:val="clear" w:color="auto" w:fill="auto"/>
          </w:tcPr>
          <w:p w14:paraId="78BBE64B" w14:textId="77777777" w:rsidR="006F7B36" w:rsidRPr="00F9646B" w:rsidRDefault="006F7B36" w:rsidP="00DD39FA">
            <w:pPr>
              <w:jc w:val="center"/>
              <w:rPr>
                <w:b/>
                <w:bCs/>
                <w:lang w:val="en-US"/>
              </w:rPr>
            </w:pPr>
            <w:r w:rsidRPr="00F9646B">
              <w:rPr>
                <w:b/>
                <w:bCs/>
                <w:noProof/>
                <w:lang w:val="en-US"/>
              </w:rPr>
              <w:drawing>
                <wp:inline distT="0" distB="0" distL="0" distR="0" wp14:anchorId="3CDA41E2" wp14:editId="135478D3">
                  <wp:extent cx="2628900" cy="3569211"/>
                  <wp:effectExtent l="0" t="0" r="0" b="0"/>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649825" cy="3597621"/>
                          </a:xfrm>
                          <a:prstGeom prst="rect">
                            <a:avLst/>
                          </a:prstGeom>
                        </pic:spPr>
                      </pic:pic>
                    </a:graphicData>
                  </a:graphic>
                </wp:inline>
              </w:drawing>
            </w:r>
          </w:p>
        </w:tc>
        <w:tc>
          <w:tcPr>
            <w:tcW w:w="3570" w:type="dxa"/>
            <w:shd w:val="clear" w:color="auto" w:fill="auto"/>
          </w:tcPr>
          <w:p w14:paraId="5B7EB4E5" w14:textId="77777777" w:rsidR="006F7B36" w:rsidRPr="00F9646B" w:rsidRDefault="006F7B36" w:rsidP="006F7B36">
            <w:pPr>
              <w:jc w:val="both"/>
              <w:rPr>
                <w:b/>
                <w:bCs/>
                <w:lang w:val="en-US"/>
              </w:rPr>
            </w:pPr>
            <w:r w:rsidRPr="00F9646B">
              <w:rPr>
                <w:b/>
                <w:bCs/>
                <w:noProof/>
                <w:lang w:val="en-US"/>
              </w:rPr>
              <w:drawing>
                <wp:inline distT="0" distB="0" distL="0" distR="0" wp14:anchorId="51BBFE16" wp14:editId="68F27F67">
                  <wp:extent cx="2671502" cy="3568700"/>
                  <wp:effectExtent l="0" t="0" r="0" b="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699440" cy="3606020"/>
                          </a:xfrm>
                          <a:prstGeom prst="rect">
                            <a:avLst/>
                          </a:prstGeom>
                        </pic:spPr>
                      </pic:pic>
                    </a:graphicData>
                  </a:graphic>
                </wp:inline>
              </w:drawing>
            </w:r>
          </w:p>
        </w:tc>
      </w:tr>
      <w:tr w:rsidR="006F7B36" w:rsidRPr="00F9646B" w14:paraId="020F12ED" w14:textId="77777777" w:rsidTr="001B40C0">
        <w:tc>
          <w:tcPr>
            <w:tcW w:w="3516" w:type="dxa"/>
          </w:tcPr>
          <w:p w14:paraId="299E6FD2" w14:textId="77777777" w:rsidR="006F7B36" w:rsidRPr="00F9646B" w:rsidRDefault="006F7B36" w:rsidP="006F7B36">
            <w:pPr>
              <w:jc w:val="both"/>
              <w:rPr>
                <w:b/>
                <w:bCs/>
                <w:noProof/>
                <w:lang w:val="en-US"/>
              </w:rPr>
            </w:pPr>
            <w:proofErr w:type="spellStart"/>
            <w:r w:rsidRPr="00F9646B">
              <w:rPr>
                <w:b/>
                <w:bCs/>
                <w:lang w:val="en-US"/>
              </w:rPr>
              <w:t>Sosnowskyi's</w:t>
            </w:r>
            <w:proofErr w:type="spellEnd"/>
            <w:r w:rsidRPr="00F9646B">
              <w:rPr>
                <w:b/>
                <w:bCs/>
                <w:lang w:val="en-US"/>
              </w:rPr>
              <w:t xml:space="preserve"> hogweed</w:t>
            </w:r>
          </w:p>
        </w:tc>
        <w:tc>
          <w:tcPr>
            <w:tcW w:w="3570" w:type="dxa"/>
          </w:tcPr>
          <w:p w14:paraId="3E349398" w14:textId="77777777" w:rsidR="006F7B36" w:rsidRPr="00F9646B" w:rsidRDefault="006F7B36" w:rsidP="006F7B36">
            <w:pPr>
              <w:jc w:val="both"/>
              <w:rPr>
                <w:b/>
                <w:bCs/>
                <w:noProof/>
                <w:lang w:val="en-US"/>
              </w:rPr>
            </w:pPr>
            <w:r w:rsidRPr="00F9646B">
              <w:rPr>
                <w:b/>
                <w:bCs/>
                <w:lang w:val="en-US"/>
              </w:rPr>
              <w:t>Giant hogweed</w:t>
            </w:r>
          </w:p>
        </w:tc>
      </w:tr>
    </w:tbl>
    <w:p w14:paraId="1755C65F" w14:textId="185AFA54" w:rsidR="006F7B36" w:rsidRPr="00DD39FA" w:rsidRDefault="005B232C" w:rsidP="006F7B36">
      <w:pPr>
        <w:jc w:val="both"/>
        <w:rPr>
          <w:rFonts w:asciiTheme="minorHAnsi" w:hAnsiTheme="minorHAnsi"/>
          <w:sz w:val="18"/>
          <w:szCs w:val="18"/>
        </w:rPr>
      </w:pPr>
      <w:r w:rsidRPr="00DD39FA">
        <w:rPr>
          <w:rFonts w:asciiTheme="minorHAnsi" w:hAnsiTheme="minorHAnsi"/>
          <w:b/>
          <w:bCs/>
          <w:sz w:val="18"/>
          <w:szCs w:val="18"/>
        </w:rPr>
        <w:t>Źródło</w:t>
      </w:r>
      <w:r w:rsidR="006F7B36" w:rsidRPr="00DD39FA">
        <w:rPr>
          <w:rFonts w:asciiTheme="minorHAnsi" w:hAnsiTheme="minorHAnsi"/>
          <w:b/>
          <w:bCs/>
          <w:sz w:val="18"/>
          <w:szCs w:val="18"/>
        </w:rPr>
        <w:t xml:space="preserve">: </w:t>
      </w:r>
      <w:r w:rsidR="006F7B36" w:rsidRPr="00DD39FA">
        <w:rPr>
          <w:rFonts w:asciiTheme="minorHAnsi" w:hAnsiTheme="minorHAnsi"/>
          <w:sz w:val="18"/>
          <w:szCs w:val="18"/>
        </w:rPr>
        <w:t>Kompendium. Metody zwalczania barszczy kaukaskich, GDOŚ, Warszawa 2022 (</w:t>
      </w:r>
      <w:hyperlink r:id="rId49" w:history="1">
        <w:r w:rsidR="006F7B36" w:rsidRPr="00DD39FA">
          <w:rPr>
            <w:rStyle w:val="Hipercze"/>
            <w:rFonts w:asciiTheme="minorHAnsi" w:hAnsiTheme="minorHAnsi"/>
            <w:color w:val="auto"/>
            <w:sz w:val="18"/>
            <w:szCs w:val="18"/>
          </w:rPr>
          <w:t>https://www.gov.pl/web/gdos/kompendia-zwalczania-wybranych-igo</w:t>
        </w:r>
      </w:hyperlink>
      <w:r w:rsidR="006F7B36" w:rsidRPr="00DD39FA">
        <w:rPr>
          <w:rFonts w:asciiTheme="minorHAnsi" w:hAnsiTheme="minorHAnsi"/>
          <w:sz w:val="18"/>
          <w:szCs w:val="18"/>
        </w:rPr>
        <w:t>)</w:t>
      </w:r>
    </w:p>
    <w:p w14:paraId="50A7EDCD" w14:textId="77777777" w:rsidR="006F7B36" w:rsidRPr="00DD39FA" w:rsidRDefault="006F7B36"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 xml:space="preserve">Działania służące eliminacji </w:t>
      </w:r>
    </w:p>
    <w:p w14:paraId="555AA04C" w14:textId="4DE4A661"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Przedstawiony poniżej przegląd metod kontroli i zwalczania opiera się na Kompendium CABI. Zaleca się także zapoznanie się z Kompendium metod zwalczania barszczy karpackich opublikowanym przez GDOŚ w 2022 r.</w:t>
      </w:r>
      <w:r w:rsidRPr="00DD39FA">
        <w:rPr>
          <w:rStyle w:val="Odwoanieprzypisudolnego"/>
          <w:rFonts w:asciiTheme="minorHAnsi" w:hAnsiTheme="minorHAnsi"/>
          <w:sz w:val="24"/>
          <w:szCs w:val="24"/>
        </w:rPr>
        <w:footnoteReference w:id="51"/>
      </w:r>
    </w:p>
    <w:p w14:paraId="10C460C0" w14:textId="77777777" w:rsidR="006F7B36" w:rsidRPr="00DD39FA" w:rsidRDefault="006F7B36" w:rsidP="00DD39FA">
      <w:pPr>
        <w:spacing w:after="120" w:line="276" w:lineRule="auto"/>
        <w:jc w:val="both"/>
        <w:rPr>
          <w:rFonts w:asciiTheme="minorHAnsi" w:hAnsiTheme="minorHAnsi"/>
          <w:sz w:val="24"/>
          <w:szCs w:val="24"/>
          <w:lang w:val="en-US"/>
        </w:rPr>
      </w:pPr>
      <w:r w:rsidRPr="00DD39FA">
        <w:rPr>
          <w:rFonts w:asciiTheme="minorHAnsi" w:hAnsiTheme="minorHAnsi"/>
          <w:sz w:val="24"/>
          <w:szCs w:val="24"/>
          <w:lang w:val="en-US"/>
        </w:rPr>
        <w:t xml:space="preserve">Metody </w:t>
      </w:r>
      <w:proofErr w:type="spellStart"/>
      <w:r w:rsidRPr="00DD39FA">
        <w:rPr>
          <w:rFonts w:asciiTheme="minorHAnsi" w:hAnsiTheme="minorHAnsi"/>
          <w:sz w:val="24"/>
          <w:szCs w:val="24"/>
          <w:lang w:val="en-US"/>
        </w:rPr>
        <w:t>zwalczania</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fizyczne</w:t>
      </w:r>
      <w:proofErr w:type="spellEnd"/>
      <w:r w:rsidRPr="00DD39FA">
        <w:rPr>
          <w:rFonts w:asciiTheme="minorHAnsi" w:hAnsiTheme="minorHAnsi"/>
          <w:sz w:val="24"/>
          <w:szCs w:val="24"/>
          <w:lang w:val="en-US"/>
        </w:rPr>
        <w:t>/</w:t>
      </w:r>
      <w:proofErr w:type="spellStart"/>
      <w:r w:rsidRPr="00DD39FA">
        <w:rPr>
          <w:rFonts w:asciiTheme="minorHAnsi" w:hAnsiTheme="minorHAnsi"/>
          <w:sz w:val="24"/>
          <w:szCs w:val="24"/>
          <w:lang w:val="en-US"/>
        </w:rPr>
        <w:t>mechaniczne</w:t>
      </w:r>
      <w:proofErr w:type="spellEnd"/>
      <w:r w:rsidRPr="00DD39FA">
        <w:rPr>
          <w:rStyle w:val="Odwoanieprzypisudolnego"/>
          <w:rFonts w:asciiTheme="minorHAnsi" w:hAnsiTheme="minorHAnsi"/>
          <w:sz w:val="24"/>
          <w:szCs w:val="24"/>
        </w:rPr>
        <w:footnoteReference w:id="52"/>
      </w:r>
    </w:p>
    <w:p w14:paraId="58C050C2" w14:textId="77777777" w:rsidR="006F7B36" w:rsidRPr="00DD39FA" w:rsidRDefault="006F7B36" w:rsidP="00DD39FA">
      <w:pPr>
        <w:pStyle w:val="Akapitzlist"/>
        <w:numPr>
          <w:ilvl w:val="0"/>
          <w:numId w:val="15"/>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Wyrywanie ręczne (w rękawicach) może być skuteczne w przypadku młodych sadzonek, ale jest niepraktyczne w przypadku większych roślin. </w:t>
      </w:r>
    </w:p>
    <w:p w14:paraId="64E7065B" w14:textId="77777777" w:rsidR="006F7B36" w:rsidRPr="00DD39FA" w:rsidRDefault="006F7B36" w:rsidP="00DD39FA">
      <w:pPr>
        <w:pStyle w:val="Akapitzlist"/>
        <w:numPr>
          <w:ilvl w:val="0"/>
          <w:numId w:val="15"/>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Mechaniczne ścinanie jest często stosowane do oczyszczania brzegów rzek, ale nie zapewnia długoterminowej skuteczności, ponieważ roślina szybko odrasta spod ziemi. Może także przyczyniać się do przedłużania kwitnienia pędów, które w przeciwnym razie obumarłyby po kwitnieniu. Koszenie w maju i czerwcu jest nieco bardziej skuteczne w ograniczaniu produkcji nasion i/lub odrastania niż koszenie w marcu, ale nie można polegać na pojedynczym koszeniu, aby zapobiec ewentualnemu wysiewowi nasion. Nawet cztery koszenia rocznie przez 2 lata nie </w:t>
      </w:r>
      <w:r w:rsidRPr="00DD39FA">
        <w:rPr>
          <w:rFonts w:asciiTheme="minorHAnsi" w:hAnsiTheme="minorHAnsi"/>
          <w:sz w:val="24"/>
          <w:szCs w:val="24"/>
        </w:rPr>
        <w:lastRenderedPageBreak/>
        <w:t>wypleniły rośliny (</w:t>
      </w:r>
      <w:r w:rsidRPr="00DD39FA">
        <w:rPr>
          <w:rFonts w:asciiTheme="minorHAnsi" w:hAnsiTheme="minorHAnsi"/>
          <w:i/>
          <w:iCs/>
          <w:sz w:val="24"/>
          <w:szCs w:val="24"/>
        </w:rPr>
        <w:t>Nielsen i in., 2007</w:t>
      </w:r>
      <w:r w:rsidRPr="00DD39FA">
        <w:rPr>
          <w:rFonts w:asciiTheme="minorHAnsi" w:hAnsiTheme="minorHAnsi"/>
          <w:sz w:val="24"/>
          <w:szCs w:val="24"/>
        </w:rPr>
        <w:t>). Istnieje kompromis między wczesnym wycinaniem i dużą regeneracją a późniejszym usuwaniem baldachów z bardziej skuteczną redukcją płodności, ale z koniecznością radzenia sobie z bardziej rozwiniętymi owocami, które są w stanie dojrzewać nawet na odciętych baldachach (</w:t>
      </w:r>
      <w:proofErr w:type="spellStart"/>
      <w:r w:rsidRPr="00DD39FA">
        <w:rPr>
          <w:rFonts w:asciiTheme="minorHAnsi" w:hAnsiTheme="minorHAnsi"/>
          <w:i/>
          <w:iCs/>
          <w:sz w:val="24"/>
          <w:szCs w:val="24"/>
        </w:rPr>
        <w:t>Pyšek</w:t>
      </w:r>
      <w:proofErr w:type="spellEnd"/>
      <w:r w:rsidRPr="00DD39FA">
        <w:rPr>
          <w:rFonts w:asciiTheme="minorHAnsi" w:hAnsiTheme="minorHAnsi"/>
          <w:i/>
          <w:iCs/>
          <w:sz w:val="24"/>
          <w:szCs w:val="24"/>
        </w:rPr>
        <w:t xml:space="preserve"> et al., 2007c).</w:t>
      </w:r>
      <w:r w:rsidRPr="00DD39FA">
        <w:rPr>
          <w:rFonts w:asciiTheme="minorHAnsi" w:hAnsiTheme="minorHAnsi"/>
          <w:sz w:val="24"/>
          <w:szCs w:val="24"/>
        </w:rPr>
        <w:t xml:space="preserve"> </w:t>
      </w:r>
    </w:p>
    <w:p w14:paraId="0DEBAFC5" w14:textId="77777777" w:rsidR="006F7B36" w:rsidRPr="00DD39FA" w:rsidRDefault="006F7B36" w:rsidP="00DD39FA">
      <w:pPr>
        <w:pStyle w:val="Akapitzlist"/>
        <w:numPr>
          <w:ilvl w:val="0"/>
          <w:numId w:val="15"/>
        </w:numPr>
        <w:spacing w:after="120" w:line="276" w:lineRule="auto"/>
        <w:contextualSpacing w:val="0"/>
        <w:jc w:val="both"/>
        <w:rPr>
          <w:rFonts w:asciiTheme="minorHAnsi" w:hAnsiTheme="minorHAnsi"/>
          <w:sz w:val="24"/>
          <w:szCs w:val="24"/>
          <w:lang w:val="en-US"/>
        </w:rPr>
      </w:pPr>
      <w:r w:rsidRPr="00DD39FA">
        <w:rPr>
          <w:rFonts w:asciiTheme="minorHAnsi" w:hAnsiTheme="minorHAnsi"/>
          <w:sz w:val="24"/>
          <w:szCs w:val="24"/>
        </w:rPr>
        <w:t xml:space="preserve">Wykopanie lub orka w celu zniszczenia korony (poniżej 10 cm głębokości gleby) lub w inny sposób odcięcie korzenia palowego od korony ("podcinanie korzeni") może całkowicie zniszczyć roślinę. </w:t>
      </w:r>
      <w:r w:rsidRPr="00DD39FA">
        <w:rPr>
          <w:rFonts w:asciiTheme="minorHAnsi" w:hAnsiTheme="minorHAnsi"/>
          <w:sz w:val="24"/>
          <w:szCs w:val="24"/>
          <w:lang w:val="en-US"/>
        </w:rPr>
        <w:t>(</w:t>
      </w:r>
      <w:proofErr w:type="spellStart"/>
      <w:r w:rsidRPr="00DD39FA">
        <w:rPr>
          <w:rFonts w:asciiTheme="minorHAnsi" w:hAnsiTheme="minorHAnsi"/>
          <w:i/>
          <w:iCs/>
          <w:sz w:val="24"/>
          <w:szCs w:val="24"/>
          <w:lang w:val="en-US"/>
        </w:rPr>
        <w:t>Pyšek</w:t>
      </w:r>
      <w:proofErr w:type="spellEnd"/>
      <w:r w:rsidRPr="00DD39FA">
        <w:rPr>
          <w:rFonts w:asciiTheme="minorHAnsi" w:hAnsiTheme="minorHAnsi"/>
          <w:i/>
          <w:iCs/>
          <w:sz w:val="24"/>
          <w:szCs w:val="24"/>
          <w:lang w:val="en-US"/>
        </w:rPr>
        <w:t xml:space="preserve"> et al., 2007e</w:t>
      </w:r>
      <w:r w:rsidRPr="00DD39FA">
        <w:rPr>
          <w:rFonts w:asciiTheme="minorHAnsi" w:hAnsiTheme="minorHAnsi"/>
          <w:sz w:val="24"/>
          <w:szCs w:val="24"/>
          <w:lang w:val="en-US"/>
        </w:rPr>
        <w:t>).</w:t>
      </w:r>
    </w:p>
    <w:p w14:paraId="25C2E2D3" w14:textId="77777777" w:rsidR="006F7B36" w:rsidRPr="00DD39FA" w:rsidRDefault="006F7B36" w:rsidP="00DD39FA">
      <w:pPr>
        <w:spacing w:after="120" w:line="276" w:lineRule="auto"/>
        <w:jc w:val="both"/>
        <w:rPr>
          <w:rFonts w:asciiTheme="minorHAnsi" w:hAnsiTheme="minorHAnsi"/>
          <w:sz w:val="24"/>
          <w:szCs w:val="24"/>
          <w:lang w:val="en-US"/>
        </w:rPr>
      </w:pPr>
      <w:r w:rsidRPr="00DD39FA">
        <w:rPr>
          <w:rFonts w:asciiTheme="minorHAnsi" w:hAnsiTheme="minorHAnsi"/>
          <w:sz w:val="24"/>
          <w:szCs w:val="24"/>
          <w:lang w:val="en-US"/>
        </w:rPr>
        <w:t xml:space="preserve">Metody </w:t>
      </w:r>
      <w:proofErr w:type="spellStart"/>
      <w:r w:rsidRPr="00DD39FA">
        <w:rPr>
          <w:rFonts w:asciiTheme="minorHAnsi" w:hAnsiTheme="minorHAnsi"/>
          <w:sz w:val="24"/>
          <w:szCs w:val="24"/>
          <w:lang w:val="en-US"/>
        </w:rPr>
        <w:t>chemiczne</w:t>
      </w:r>
      <w:proofErr w:type="spellEnd"/>
      <w:r w:rsidRPr="00DD39FA">
        <w:rPr>
          <w:rFonts w:asciiTheme="minorHAnsi" w:hAnsiTheme="minorHAnsi"/>
          <w:sz w:val="24"/>
          <w:szCs w:val="24"/>
          <w:lang w:val="en-US"/>
        </w:rPr>
        <w:t xml:space="preserve"> </w:t>
      </w:r>
      <w:proofErr w:type="spellStart"/>
      <w:r w:rsidRPr="00DD39FA">
        <w:rPr>
          <w:rFonts w:asciiTheme="minorHAnsi" w:hAnsiTheme="minorHAnsi"/>
          <w:sz w:val="24"/>
          <w:szCs w:val="24"/>
          <w:lang w:val="en-US"/>
        </w:rPr>
        <w:t>zwalczania</w:t>
      </w:r>
      <w:proofErr w:type="spellEnd"/>
      <w:r w:rsidRPr="00DD39FA">
        <w:rPr>
          <w:rStyle w:val="Odwoanieprzypisudolnego"/>
          <w:rFonts w:asciiTheme="minorHAnsi" w:hAnsiTheme="minorHAnsi"/>
          <w:sz w:val="24"/>
          <w:szCs w:val="24"/>
        </w:rPr>
        <w:footnoteReference w:id="53"/>
      </w:r>
    </w:p>
    <w:p w14:paraId="40846C5A" w14:textId="77777777" w:rsidR="006F7B36" w:rsidRPr="00DD39FA" w:rsidRDefault="006F7B36" w:rsidP="00DD39FA">
      <w:pPr>
        <w:pStyle w:val="Akapitzlist"/>
        <w:numPr>
          <w:ilvl w:val="0"/>
          <w:numId w:val="16"/>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W Wielkiej Brytanii herbicydy zalecane do zwalczania </w:t>
      </w:r>
      <w:r w:rsidRPr="00DD39FA">
        <w:rPr>
          <w:rFonts w:asciiTheme="minorHAnsi" w:hAnsiTheme="minorHAnsi"/>
          <w:i/>
          <w:iCs/>
          <w:sz w:val="24"/>
          <w:szCs w:val="24"/>
        </w:rPr>
        <w:t xml:space="preserve">H. </w:t>
      </w:r>
      <w:proofErr w:type="spellStart"/>
      <w:r w:rsidRPr="00DD39FA">
        <w:rPr>
          <w:rFonts w:asciiTheme="minorHAnsi" w:hAnsiTheme="minorHAnsi"/>
          <w:i/>
          <w:iCs/>
          <w:sz w:val="24"/>
          <w:szCs w:val="24"/>
        </w:rPr>
        <w:t>mantegazzianum</w:t>
      </w:r>
      <w:proofErr w:type="spellEnd"/>
      <w:r w:rsidRPr="00DD39FA">
        <w:rPr>
          <w:rFonts w:asciiTheme="minorHAnsi" w:hAnsiTheme="minorHAnsi"/>
          <w:sz w:val="24"/>
          <w:szCs w:val="24"/>
        </w:rPr>
        <w:t xml:space="preserve"> obejmują </w:t>
      </w:r>
      <w:proofErr w:type="spellStart"/>
      <w:r w:rsidRPr="00DD39FA">
        <w:rPr>
          <w:rFonts w:asciiTheme="minorHAnsi" w:hAnsiTheme="minorHAnsi"/>
          <w:sz w:val="24"/>
          <w:szCs w:val="24"/>
        </w:rPr>
        <w:t>glifosat</w:t>
      </w:r>
      <w:proofErr w:type="spellEnd"/>
      <w:r w:rsidRPr="00DD39FA">
        <w:rPr>
          <w:rFonts w:asciiTheme="minorHAnsi" w:hAnsiTheme="minorHAnsi"/>
          <w:sz w:val="24"/>
          <w:szCs w:val="24"/>
        </w:rPr>
        <w:t xml:space="preserve">, </w:t>
      </w:r>
      <w:proofErr w:type="spellStart"/>
      <w:r w:rsidRPr="00DD39FA">
        <w:rPr>
          <w:rFonts w:asciiTheme="minorHAnsi" w:hAnsiTheme="minorHAnsi"/>
          <w:sz w:val="24"/>
          <w:szCs w:val="24"/>
        </w:rPr>
        <w:t>triklopyr</w:t>
      </w:r>
      <w:proofErr w:type="spellEnd"/>
      <w:r w:rsidRPr="00DD39FA">
        <w:rPr>
          <w:rFonts w:asciiTheme="minorHAnsi" w:hAnsiTheme="minorHAnsi"/>
          <w:sz w:val="24"/>
          <w:szCs w:val="24"/>
        </w:rPr>
        <w:t xml:space="preserve"> i </w:t>
      </w:r>
      <w:proofErr w:type="spellStart"/>
      <w:r w:rsidRPr="00DD39FA">
        <w:rPr>
          <w:rFonts w:asciiTheme="minorHAnsi" w:hAnsiTheme="minorHAnsi"/>
          <w:sz w:val="24"/>
          <w:szCs w:val="24"/>
        </w:rPr>
        <w:t>imazapyr</w:t>
      </w:r>
      <w:proofErr w:type="spellEnd"/>
      <w:r w:rsidRPr="00DD39FA">
        <w:rPr>
          <w:rFonts w:asciiTheme="minorHAnsi" w:hAnsiTheme="minorHAnsi"/>
          <w:sz w:val="24"/>
          <w:szCs w:val="24"/>
        </w:rPr>
        <w:t xml:space="preserve">, ale wszystkie muszą być stosowane na początku sezonu (od marca do maja), aby uzyskać najlepszy efekt. </w:t>
      </w:r>
      <w:proofErr w:type="spellStart"/>
      <w:r w:rsidRPr="00DD39FA">
        <w:rPr>
          <w:rFonts w:asciiTheme="minorHAnsi" w:hAnsiTheme="minorHAnsi"/>
          <w:sz w:val="24"/>
          <w:szCs w:val="24"/>
        </w:rPr>
        <w:t>Imazapyr</w:t>
      </w:r>
      <w:proofErr w:type="spellEnd"/>
      <w:r w:rsidRPr="00DD39FA">
        <w:rPr>
          <w:rFonts w:asciiTheme="minorHAnsi" w:hAnsiTheme="minorHAnsi"/>
          <w:sz w:val="24"/>
          <w:szCs w:val="24"/>
        </w:rPr>
        <w:t xml:space="preserve"> ma działanie resztkowe w glebie, które zapobiega dalszemu kiełkowaniu, ale może mieć również późniejszy wpływ na gatunki inne niż docelowe. </w:t>
      </w:r>
      <w:proofErr w:type="spellStart"/>
      <w:r w:rsidRPr="00DD39FA">
        <w:rPr>
          <w:rFonts w:asciiTheme="minorHAnsi" w:hAnsiTheme="minorHAnsi"/>
          <w:sz w:val="24"/>
          <w:szCs w:val="24"/>
        </w:rPr>
        <w:t>Glifosat</w:t>
      </w:r>
      <w:proofErr w:type="spellEnd"/>
      <w:r w:rsidRPr="00DD39FA">
        <w:rPr>
          <w:rFonts w:asciiTheme="minorHAnsi" w:hAnsiTheme="minorHAnsi"/>
          <w:sz w:val="24"/>
          <w:szCs w:val="24"/>
        </w:rPr>
        <w:t xml:space="preserve"> jest najczęściej stosowanym związkiem, zwykle stosowanym w kwietniu lub maju, gdy rośliny mają 20-50 cm wysokości, ale ze względu na ryzyko toksyczności dla ryb i glonów, należy pozostawić strefę buforową 2 m bez oprysku w sąsiedztwie jakiejkolwiek rzeki lub innego zbiornika wodnego.</w:t>
      </w:r>
    </w:p>
    <w:p w14:paraId="333D9F46" w14:textId="77777777" w:rsidR="006F7B36" w:rsidRPr="00DD39FA" w:rsidRDefault="006F7B36" w:rsidP="00DD39FA">
      <w:pPr>
        <w:pStyle w:val="Akapitzlist"/>
        <w:numPr>
          <w:ilvl w:val="0"/>
          <w:numId w:val="16"/>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Zamiast opryskiwania, herbicyd może być wstrzykiwany do łodygi, aby zapobiec zanieczyszczeniu wody (</w:t>
      </w:r>
      <w:proofErr w:type="spellStart"/>
      <w:r w:rsidRPr="00DD39FA">
        <w:rPr>
          <w:rFonts w:asciiTheme="minorHAnsi" w:hAnsiTheme="minorHAnsi"/>
          <w:i/>
          <w:iCs/>
          <w:sz w:val="24"/>
          <w:szCs w:val="24"/>
        </w:rPr>
        <w:t>Grguric</w:t>
      </w:r>
      <w:proofErr w:type="spellEnd"/>
      <w:r w:rsidRPr="00DD39FA">
        <w:rPr>
          <w:rFonts w:asciiTheme="minorHAnsi" w:hAnsiTheme="minorHAnsi"/>
          <w:i/>
          <w:iCs/>
          <w:sz w:val="24"/>
          <w:szCs w:val="24"/>
        </w:rPr>
        <w:t>, 2018</w:t>
      </w:r>
      <w:r w:rsidRPr="00DD39FA">
        <w:rPr>
          <w:rFonts w:asciiTheme="minorHAnsi" w:hAnsiTheme="minorHAnsi"/>
          <w:sz w:val="24"/>
          <w:szCs w:val="24"/>
        </w:rPr>
        <w:t xml:space="preserve">), a herbicyd powinien być ogólnie postrzegany tylko jako jeden z pierwszych kroków w zintegrowanym programie kontroli. Jako biochemiczną alternatywę dla syntetycznych pestycydów, do zwalczania siewek </w:t>
      </w:r>
      <w:r w:rsidRPr="00DD39FA">
        <w:rPr>
          <w:rFonts w:asciiTheme="minorHAnsi" w:hAnsiTheme="minorHAnsi"/>
          <w:i/>
          <w:iCs/>
          <w:sz w:val="24"/>
          <w:szCs w:val="24"/>
        </w:rPr>
        <w:t xml:space="preserve">H. </w:t>
      </w:r>
      <w:proofErr w:type="spellStart"/>
      <w:r w:rsidRPr="00DD39FA">
        <w:rPr>
          <w:rFonts w:asciiTheme="minorHAnsi" w:hAnsiTheme="minorHAnsi"/>
          <w:i/>
          <w:iCs/>
          <w:sz w:val="24"/>
          <w:szCs w:val="24"/>
        </w:rPr>
        <w:t>mantegazzianum</w:t>
      </w:r>
      <w:proofErr w:type="spellEnd"/>
      <w:r w:rsidRPr="00DD39FA">
        <w:rPr>
          <w:rFonts w:asciiTheme="minorHAnsi" w:hAnsiTheme="minorHAnsi"/>
          <w:sz w:val="24"/>
          <w:szCs w:val="24"/>
        </w:rPr>
        <w:t xml:space="preserve"> można stosować ściółkę z płynem </w:t>
      </w:r>
      <w:proofErr w:type="spellStart"/>
      <w:r w:rsidRPr="00DD39FA">
        <w:rPr>
          <w:rFonts w:asciiTheme="minorHAnsi" w:hAnsiTheme="minorHAnsi"/>
          <w:sz w:val="24"/>
          <w:szCs w:val="24"/>
        </w:rPr>
        <w:t>pirolitycznym</w:t>
      </w:r>
      <w:proofErr w:type="spellEnd"/>
      <w:r w:rsidRPr="00DD39FA">
        <w:rPr>
          <w:rFonts w:asciiTheme="minorHAnsi" w:hAnsiTheme="minorHAnsi"/>
          <w:sz w:val="24"/>
          <w:szCs w:val="24"/>
        </w:rPr>
        <w:t xml:space="preserve"> z drewna brzozowego (</w:t>
      </w:r>
      <w:proofErr w:type="spellStart"/>
      <w:r w:rsidRPr="00DD39FA">
        <w:rPr>
          <w:rFonts w:asciiTheme="minorHAnsi" w:hAnsiTheme="minorHAnsi"/>
          <w:i/>
          <w:iCs/>
          <w:sz w:val="24"/>
          <w:szCs w:val="24"/>
        </w:rPr>
        <w:t>Hagner</w:t>
      </w:r>
      <w:proofErr w:type="spellEnd"/>
      <w:r w:rsidRPr="00DD39FA">
        <w:rPr>
          <w:rFonts w:asciiTheme="minorHAnsi" w:hAnsiTheme="minorHAnsi"/>
          <w:i/>
          <w:iCs/>
          <w:sz w:val="24"/>
          <w:szCs w:val="24"/>
        </w:rPr>
        <w:t xml:space="preserve"> et al., 2020</w:t>
      </w:r>
      <w:r w:rsidRPr="00DD39FA">
        <w:rPr>
          <w:rFonts w:asciiTheme="minorHAnsi" w:hAnsiTheme="minorHAnsi"/>
          <w:sz w:val="24"/>
          <w:szCs w:val="24"/>
        </w:rPr>
        <w:t>).</w:t>
      </w:r>
    </w:p>
    <w:p w14:paraId="547462BF" w14:textId="77777777" w:rsidR="006F7B36" w:rsidRPr="00DD39FA" w:rsidRDefault="006F7B36"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Zalecenia odnośnie zagospodarowania biomasy podano w rozdziale 3.</w:t>
      </w:r>
    </w:p>
    <w:p w14:paraId="647A3B8E" w14:textId="6D0A043B" w:rsidR="0005288C" w:rsidRDefault="0005288C" w:rsidP="0005288C">
      <w:pPr>
        <w:pStyle w:val="Nagwek2"/>
      </w:pPr>
      <w:bookmarkStart w:id="25" w:name="_Toc239940812"/>
      <w:r>
        <w:t>2.15. Kroplik żółty (</w:t>
      </w:r>
      <w:proofErr w:type="spellStart"/>
      <w:r w:rsidRPr="0005288C">
        <w:rPr>
          <w:i/>
          <w:iCs/>
        </w:rPr>
        <w:t>Mimulus</w:t>
      </w:r>
      <w:proofErr w:type="spellEnd"/>
      <w:r w:rsidRPr="0005288C">
        <w:rPr>
          <w:i/>
          <w:iCs/>
        </w:rPr>
        <w:t xml:space="preserve"> </w:t>
      </w:r>
      <w:proofErr w:type="spellStart"/>
      <w:r w:rsidRPr="0005288C">
        <w:rPr>
          <w:i/>
          <w:iCs/>
        </w:rPr>
        <w:t>guttatus</w:t>
      </w:r>
      <w:proofErr w:type="spellEnd"/>
      <w:r>
        <w:t>)</w:t>
      </w:r>
      <w:bookmarkEnd w:id="25"/>
    </w:p>
    <w:p w14:paraId="063A76AB" w14:textId="606709F3" w:rsidR="0005288C" w:rsidRPr="00DD39FA" w:rsidRDefault="0005288C"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Charakterystyka gatunku</w:t>
      </w:r>
    </w:p>
    <w:p w14:paraId="486D6665" w14:textId="0A7FC042" w:rsidR="0005288C" w:rsidRPr="00DD39FA" w:rsidRDefault="0005288C" w:rsidP="00DD39FA">
      <w:pPr>
        <w:spacing w:after="120" w:line="276" w:lineRule="auto"/>
        <w:jc w:val="both"/>
        <w:rPr>
          <w:rFonts w:asciiTheme="minorHAnsi" w:hAnsiTheme="minorHAnsi"/>
          <w:sz w:val="24"/>
          <w:szCs w:val="24"/>
        </w:rPr>
      </w:pPr>
      <w:r w:rsidRPr="00DD39FA">
        <w:rPr>
          <w:rFonts w:asciiTheme="minorHAnsi" w:hAnsiTheme="minorHAnsi"/>
          <w:sz w:val="24"/>
          <w:szCs w:val="24"/>
        </w:rPr>
        <w:t>Kroplik żółty (</w:t>
      </w:r>
      <w:proofErr w:type="spellStart"/>
      <w:r w:rsidRPr="00DD39FA">
        <w:rPr>
          <w:rFonts w:asciiTheme="minorHAnsi" w:hAnsiTheme="minorHAnsi"/>
          <w:sz w:val="24"/>
          <w:szCs w:val="24"/>
        </w:rPr>
        <w:t>Mimulus</w:t>
      </w:r>
      <w:proofErr w:type="spellEnd"/>
      <w:r w:rsidRPr="00DD39FA">
        <w:rPr>
          <w:rFonts w:asciiTheme="minorHAnsi" w:hAnsiTheme="minorHAnsi"/>
          <w:sz w:val="24"/>
          <w:szCs w:val="24"/>
        </w:rPr>
        <w:t xml:space="preserve"> </w:t>
      </w:r>
      <w:proofErr w:type="spellStart"/>
      <w:r w:rsidRPr="00DD39FA">
        <w:rPr>
          <w:rFonts w:asciiTheme="minorHAnsi" w:hAnsiTheme="minorHAnsi"/>
          <w:sz w:val="24"/>
          <w:szCs w:val="24"/>
        </w:rPr>
        <w:t>guttatus</w:t>
      </w:r>
      <w:proofErr w:type="spellEnd"/>
      <w:r w:rsidRPr="00DD39FA">
        <w:rPr>
          <w:rFonts w:asciiTheme="minorHAnsi" w:hAnsiTheme="minorHAnsi"/>
          <w:sz w:val="24"/>
          <w:szCs w:val="24"/>
        </w:rPr>
        <w:t xml:space="preserve">) jest wieloletnią rośliną zielną, której pędy zazwyczaj osiągają wysokość 30–60 cm, choć według niektórych autorów mogą dorastać nawet do 150 cm. Łodyga jest naga lub słabo gruczołowato owłosiona. Liście ułożone są naprzeciwlegle; w dolnej części łodygi są ogonkowe, natomiast w górnej — siedzące. Blaszki liściowe mają kształt okrągławy i ząbkowany brzeg. Kwiaty wyrastają pojedynczo w kątach górnych liści, tworząc luźne grono. Kielich, zrośnięty z pięciu działek, w okresie owocowania staje się luźny i przyjmuje dzwonkowaty kształt. Korona o długości 2,5–4,5 </w:t>
      </w:r>
      <w:r w:rsidRPr="00DD39FA">
        <w:rPr>
          <w:rFonts w:asciiTheme="minorHAnsi" w:hAnsiTheme="minorHAnsi"/>
          <w:sz w:val="24"/>
          <w:szCs w:val="24"/>
        </w:rPr>
        <w:lastRenderedPageBreak/>
        <w:t>cm ma intensywnie żółte zabarwienie i jest zbudowana z pięciu płatków tworzących dwie wargi: górną, powstałą ze zrośnięcia dwóch płatków, oraz dolną, utworzoną przez trzy pozostałe. Warga dolna od wewnętrznej strony jest charakterystycznie upstrzona czerwonymi plamkami. W obrębie naturalnego zasięgu gatunku zapylaczami kwiatów kroplika żółtego są przede wszystkim pszczoły i trzmiele. Owocem jest torebka zawierająca nawet kilkaset nasion, które rozsiewane są głównie przez wodę i wiatr. Gatunek ten wykazuje szeroką tolerancję wobec warunków świetlnych i termicznych, jednak do prawidłowego rozwoju wymaga wysokiej wilgotności podłoża. Z tego względu fitocenozy z jego udziałem najczęściej występują na brzegach wód, w strefie obrzeży źródlisk oraz wysięków.</w:t>
      </w:r>
    </w:p>
    <w:p w14:paraId="612E9B9F" w14:textId="4E5DFCFC" w:rsidR="0005288C" w:rsidRDefault="005B232C" w:rsidP="0005288C">
      <w:pPr>
        <w:jc w:val="both"/>
      </w:pPr>
      <w:r>
        <w:rPr>
          <w:noProof/>
        </w:rPr>
        <w:drawing>
          <wp:inline distT="0" distB="0" distL="0" distR="0" wp14:anchorId="0EB02858" wp14:editId="2B66F993">
            <wp:extent cx="5857875" cy="2471291"/>
            <wp:effectExtent l="0" t="0" r="0" b="5715"/>
            <wp:docPr id="139062716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80187" cy="2480704"/>
                    </a:xfrm>
                    <a:prstGeom prst="rect">
                      <a:avLst/>
                    </a:prstGeom>
                    <a:noFill/>
                  </pic:spPr>
                </pic:pic>
              </a:graphicData>
            </a:graphic>
          </wp:inline>
        </w:drawing>
      </w:r>
    </w:p>
    <w:p w14:paraId="1A8F7247" w14:textId="69998403" w:rsidR="005B232C" w:rsidRPr="00DD39FA" w:rsidRDefault="005B232C" w:rsidP="0005288C">
      <w:pPr>
        <w:jc w:val="both"/>
        <w:rPr>
          <w:rFonts w:asciiTheme="minorHAnsi" w:hAnsiTheme="minorHAnsi"/>
          <w:sz w:val="18"/>
          <w:szCs w:val="18"/>
        </w:rPr>
      </w:pPr>
      <w:r w:rsidRPr="00DD39FA">
        <w:rPr>
          <w:rFonts w:asciiTheme="minorHAnsi" w:hAnsiTheme="minorHAnsi"/>
          <w:b/>
          <w:bCs/>
          <w:sz w:val="18"/>
          <w:szCs w:val="18"/>
        </w:rPr>
        <w:t xml:space="preserve">Źródło: </w:t>
      </w:r>
      <w:r w:rsidRPr="00DD39FA">
        <w:rPr>
          <w:rFonts w:asciiTheme="minorHAnsi" w:hAnsiTheme="minorHAnsi"/>
          <w:sz w:val="18"/>
          <w:szCs w:val="18"/>
        </w:rPr>
        <w:t>https://www.gov.pl/web/gdos/mimulus-guttatus---kroplik-</w:t>
      </w:r>
      <w:proofErr w:type="spellStart"/>
      <w:r w:rsidRPr="00DD39FA">
        <w:rPr>
          <w:rFonts w:asciiTheme="minorHAnsi" w:hAnsiTheme="minorHAnsi"/>
          <w:sz w:val="18"/>
          <w:szCs w:val="18"/>
        </w:rPr>
        <w:t>zolty</w:t>
      </w:r>
      <w:proofErr w:type="spellEnd"/>
      <w:r w:rsidRPr="00DD39FA">
        <w:rPr>
          <w:rFonts w:asciiTheme="minorHAnsi" w:hAnsiTheme="minorHAnsi"/>
          <w:sz w:val="18"/>
          <w:szCs w:val="18"/>
        </w:rPr>
        <w:t>, fot. Zygmunt Dajdok.</w:t>
      </w:r>
    </w:p>
    <w:p w14:paraId="6C5421B4" w14:textId="77777777" w:rsidR="005B232C" w:rsidRPr="00DD39FA" w:rsidRDefault="005B232C"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 xml:space="preserve">Działania służące eliminacji </w:t>
      </w:r>
    </w:p>
    <w:p w14:paraId="262406CC" w14:textId="2FB871E9" w:rsidR="005B232C" w:rsidRPr="00DD39FA" w:rsidRDefault="005B232C" w:rsidP="00DD39FA">
      <w:pPr>
        <w:spacing w:after="120" w:line="276" w:lineRule="auto"/>
        <w:jc w:val="both"/>
        <w:rPr>
          <w:rFonts w:asciiTheme="minorHAnsi" w:hAnsiTheme="minorHAnsi"/>
          <w:sz w:val="24"/>
          <w:szCs w:val="24"/>
        </w:rPr>
      </w:pPr>
      <w:r w:rsidRPr="00DD39FA">
        <w:rPr>
          <w:rFonts w:asciiTheme="minorHAnsi" w:hAnsiTheme="minorHAnsi"/>
          <w:sz w:val="24"/>
          <w:szCs w:val="24"/>
        </w:rPr>
        <w:t>Za skuteczną metodą eliminacji kroplika żółtego ze środowiska uznaje się mechaniczne usuwanie osobników. Ze względu na specyfikę występowania gatunku ograniczoną do konkretnych siedlisk nadrzecznych liczebność tego gatunku zazwyczaj pozwala na ręczne usuwanie. Pozytywne efekty takich działań w postaci obniżenia populacji, a przez to ograniczenia możliwości rozwojowych kroplika żółtego w konkurencji z innymi roślinami rodzimymi są znane i sprawdzone w Polsce m.in. z Karkonoskiego Parku Narodowego.</w:t>
      </w:r>
    </w:p>
    <w:p w14:paraId="64DB0E3A" w14:textId="13373809" w:rsidR="0005288C" w:rsidRDefault="0005288C" w:rsidP="0005288C">
      <w:pPr>
        <w:pStyle w:val="Nagwek2"/>
      </w:pPr>
      <w:bookmarkStart w:id="26" w:name="_Toc239940813"/>
      <w:r>
        <w:t>2.16. Rudbekia naga (</w:t>
      </w:r>
      <w:proofErr w:type="spellStart"/>
      <w:r w:rsidRPr="0005288C">
        <w:rPr>
          <w:i/>
          <w:iCs/>
        </w:rPr>
        <w:t>Rudbeckia</w:t>
      </w:r>
      <w:proofErr w:type="spellEnd"/>
      <w:r w:rsidRPr="0005288C">
        <w:rPr>
          <w:i/>
          <w:iCs/>
        </w:rPr>
        <w:t xml:space="preserve"> </w:t>
      </w:r>
      <w:proofErr w:type="spellStart"/>
      <w:r w:rsidRPr="0005288C">
        <w:rPr>
          <w:i/>
          <w:iCs/>
        </w:rPr>
        <w:t>laciniata</w:t>
      </w:r>
      <w:proofErr w:type="spellEnd"/>
      <w:r>
        <w:t>)</w:t>
      </w:r>
      <w:bookmarkEnd w:id="26"/>
    </w:p>
    <w:p w14:paraId="484ED667" w14:textId="51F6D78E" w:rsidR="0005288C" w:rsidRPr="00DD39FA" w:rsidRDefault="0005288C"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Charakterystyka gatunku</w:t>
      </w:r>
      <w:r w:rsidR="005B232C" w:rsidRPr="00DD39FA">
        <w:rPr>
          <w:rFonts w:asciiTheme="minorHAnsi" w:hAnsiTheme="minorHAnsi"/>
          <w:b/>
          <w:bCs/>
          <w:sz w:val="24"/>
          <w:szCs w:val="24"/>
        </w:rPr>
        <w:t>.</w:t>
      </w:r>
    </w:p>
    <w:p w14:paraId="06CC5091" w14:textId="1A38F21B" w:rsidR="005B232C" w:rsidRPr="00DD39FA" w:rsidRDefault="005B232C"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Rudbekia naga jest okazałą byliną z krótkimi podziemnymi rozłogami. Pędy rudbekii są wzniesione, rozgałęzione, nagie, pokryte sinawym nalotem, osiągające od 60 do 300 centymetrów wysokości. Na pędach rudbekii występują trzy rodzaje liści: dolne pierzastodzielne, złożone z 5-7 jajowatych, wcinanych listków; środkowe 3-5 sieczne; </w:t>
      </w:r>
      <w:r w:rsidRPr="00DD39FA">
        <w:rPr>
          <w:rFonts w:asciiTheme="minorHAnsi" w:hAnsiTheme="minorHAnsi"/>
          <w:sz w:val="24"/>
          <w:szCs w:val="24"/>
        </w:rPr>
        <w:lastRenderedPageBreak/>
        <w:t xml:space="preserve">najwyższe niepodzielone. Koszyczki kwiatostanowe o średnicy 7-12 cm są okazałe, z dekoracyjnymi, żółtymi kwiatami języczkowatymi i ciemnooliwkowymi kwiatami rurkowymi. Kielich przekształcony jest w </w:t>
      </w:r>
      <w:proofErr w:type="spellStart"/>
      <w:r w:rsidRPr="00DD39FA">
        <w:rPr>
          <w:rFonts w:asciiTheme="minorHAnsi" w:hAnsiTheme="minorHAnsi"/>
          <w:sz w:val="24"/>
          <w:szCs w:val="24"/>
        </w:rPr>
        <w:t>pappus</w:t>
      </w:r>
      <w:proofErr w:type="spellEnd"/>
      <w:r w:rsidRPr="00DD39FA">
        <w:rPr>
          <w:rFonts w:asciiTheme="minorHAnsi" w:hAnsiTheme="minorHAnsi"/>
          <w:sz w:val="24"/>
          <w:szCs w:val="24"/>
        </w:rPr>
        <w:t xml:space="preserve"> (puch kielichowy), a plewinki (łuseczki wyrastające u podstawy kwiatów na dnie koszyczków u roślin z rodziny astrowatych) mają ucięte lub zaokrąglone końce. Roślina kwitnie od lipca do sierpnia. Owoce są nagie, </w:t>
      </w:r>
      <w:proofErr w:type="spellStart"/>
      <w:r w:rsidRPr="00DD39FA">
        <w:rPr>
          <w:rFonts w:asciiTheme="minorHAnsi" w:hAnsiTheme="minorHAnsi"/>
          <w:sz w:val="24"/>
          <w:szCs w:val="24"/>
        </w:rPr>
        <w:t>czterokanciaste</w:t>
      </w:r>
      <w:proofErr w:type="spellEnd"/>
      <w:r w:rsidRPr="00DD39FA">
        <w:rPr>
          <w:rFonts w:asciiTheme="minorHAnsi" w:hAnsiTheme="minorHAnsi"/>
          <w:sz w:val="24"/>
          <w:szCs w:val="24"/>
        </w:rPr>
        <w:t xml:space="preserve">. Należy do gatunków o częściowym udziale </w:t>
      </w:r>
      <w:proofErr w:type="spellStart"/>
      <w:r w:rsidRPr="00DD39FA">
        <w:rPr>
          <w:rFonts w:asciiTheme="minorHAnsi" w:hAnsiTheme="minorHAnsi"/>
          <w:sz w:val="24"/>
          <w:szCs w:val="24"/>
        </w:rPr>
        <w:t>apomiktycznego</w:t>
      </w:r>
      <w:proofErr w:type="spellEnd"/>
      <w:r w:rsidRPr="00DD39FA">
        <w:rPr>
          <w:rFonts w:asciiTheme="minorHAnsi" w:hAnsiTheme="minorHAnsi"/>
          <w:sz w:val="24"/>
          <w:szCs w:val="24"/>
        </w:rPr>
        <w:t xml:space="preserve"> rozmnażania (tj. powstawania nasion bez zapłodnienia). Spośród licznie wytwarzanych nasion jedynie około 50% kiełkuje. Ważniejszą rolę w rozprzestrzenianiu się tej rośliny, pełni rozmnażanie wegetatywne przez rozłogi podziemne.  Gatunek może zajmować szeroki zakres siedlisk, jednak najczęściej kolonizuje tereny wilgotne, zarówno o charakterze naturalnym, jak i antropogenicznym.</w:t>
      </w:r>
    </w:p>
    <w:p w14:paraId="1E962849" w14:textId="61158804" w:rsidR="005B232C" w:rsidRDefault="005B232C" w:rsidP="005B232C">
      <w:pPr>
        <w:jc w:val="both"/>
      </w:pPr>
      <w:r>
        <w:rPr>
          <w:noProof/>
        </w:rPr>
        <w:drawing>
          <wp:inline distT="0" distB="0" distL="0" distR="0" wp14:anchorId="2E37727D" wp14:editId="5D829B4A">
            <wp:extent cx="5772150" cy="2435126"/>
            <wp:effectExtent l="0" t="0" r="0" b="3810"/>
            <wp:docPr id="1006390274"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90228" cy="2442753"/>
                    </a:xfrm>
                    <a:prstGeom prst="rect">
                      <a:avLst/>
                    </a:prstGeom>
                    <a:noFill/>
                  </pic:spPr>
                </pic:pic>
              </a:graphicData>
            </a:graphic>
          </wp:inline>
        </w:drawing>
      </w:r>
    </w:p>
    <w:p w14:paraId="781C3613" w14:textId="478016F0" w:rsidR="005B232C" w:rsidRPr="00DD39FA" w:rsidRDefault="005B232C" w:rsidP="005B232C">
      <w:pPr>
        <w:jc w:val="both"/>
        <w:rPr>
          <w:rFonts w:asciiTheme="minorHAnsi" w:hAnsiTheme="minorHAnsi"/>
          <w:sz w:val="18"/>
          <w:szCs w:val="18"/>
        </w:rPr>
      </w:pPr>
      <w:r w:rsidRPr="00DD39FA">
        <w:rPr>
          <w:rFonts w:asciiTheme="minorHAnsi" w:hAnsiTheme="minorHAnsi"/>
          <w:b/>
          <w:bCs/>
          <w:sz w:val="18"/>
          <w:szCs w:val="18"/>
        </w:rPr>
        <w:t xml:space="preserve">Źródło: </w:t>
      </w:r>
      <w:r w:rsidRPr="00DD39FA">
        <w:rPr>
          <w:rFonts w:asciiTheme="minorHAnsi" w:hAnsiTheme="minorHAnsi"/>
          <w:sz w:val="18"/>
          <w:szCs w:val="18"/>
        </w:rPr>
        <w:t>https://www.gov.pl/web/gdos/rudbeckia-laciniata---rudbekia-naga</w:t>
      </w:r>
      <w:hyperlink r:id="rId52" w:history="1">
        <w:r w:rsidRPr="00DD39FA">
          <w:rPr>
            <w:rFonts w:asciiTheme="minorHAnsi" w:hAnsiTheme="minorHAnsi"/>
            <w:sz w:val="18"/>
            <w:szCs w:val="18"/>
          </w:rPr>
          <w:t>https://www.gov.pl/web/gdos/rudbeckia-laciniata---rudbekia-naga</w:t>
        </w:r>
      </w:hyperlink>
      <w:r w:rsidRPr="00DD39FA">
        <w:rPr>
          <w:rFonts w:asciiTheme="minorHAnsi" w:hAnsiTheme="minorHAnsi"/>
          <w:sz w:val="18"/>
          <w:szCs w:val="18"/>
        </w:rPr>
        <w:t xml:space="preserve">, fot. Barbara </w:t>
      </w:r>
      <w:proofErr w:type="spellStart"/>
      <w:r w:rsidRPr="00DD39FA">
        <w:rPr>
          <w:rFonts w:asciiTheme="minorHAnsi" w:hAnsiTheme="minorHAnsi"/>
          <w:sz w:val="18"/>
          <w:szCs w:val="18"/>
        </w:rPr>
        <w:t>Tokara</w:t>
      </w:r>
      <w:proofErr w:type="spellEnd"/>
      <w:r w:rsidRPr="00DD39FA">
        <w:rPr>
          <w:rFonts w:asciiTheme="minorHAnsi" w:hAnsiTheme="minorHAnsi"/>
          <w:sz w:val="18"/>
          <w:szCs w:val="18"/>
        </w:rPr>
        <w:t>-Guzik.</w:t>
      </w:r>
    </w:p>
    <w:p w14:paraId="77501259" w14:textId="77777777" w:rsidR="005B232C" w:rsidRPr="00DD39FA" w:rsidRDefault="005B232C" w:rsidP="00DD39FA">
      <w:pPr>
        <w:spacing w:after="120" w:line="276" w:lineRule="auto"/>
        <w:jc w:val="both"/>
        <w:rPr>
          <w:rFonts w:asciiTheme="minorHAnsi" w:hAnsiTheme="minorHAnsi"/>
          <w:b/>
          <w:bCs/>
          <w:sz w:val="24"/>
          <w:szCs w:val="24"/>
        </w:rPr>
      </w:pPr>
      <w:r w:rsidRPr="00DD39FA">
        <w:rPr>
          <w:rFonts w:asciiTheme="minorHAnsi" w:hAnsiTheme="minorHAnsi"/>
          <w:b/>
          <w:bCs/>
          <w:sz w:val="24"/>
          <w:szCs w:val="24"/>
        </w:rPr>
        <w:t xml:space="preserve">Działania służące eliminacji </w:t>
      </w:r>
    </w:p>
    <w:p w14:paraId="3370593D" w14:textId="13079D69" w:rsidR="005B232C" w:rsidRPr="00DD39FA" w:rsidRDefault="005B232C"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Usuwanie części nadziemnych, nawet powtarzane przez wiele lat, w niewielkim stopniu obniża obfitość gatunku i żywotność jego osobników. Wprawdzie znacznie hamuje kwitnienie bezpośrednio po zabiegu, ale intensyfikuje wzrost organów podziemnych i nie jest skutecznym zabiegiem w usuwaniu gatunku, wręcz przeciwnie, pobudza wzrost części podziemnych, co w efekcie prowadzi do masowego kwitnienia i owocowania. Najbardziej skuteczne </w:t>
      </w:r>
      <w:r w:rsidRPr="00DD39FA">
        <w:rPr>
          <w:rFonts w:asciiTheme="minorHAnsi" w:hAnsiTheme="minorHAnsi"/>
          <w:sz w:val="24"/>
          <w:szCs w:val="24"/>
          <w:u w:val="single"/>
        </w:rPr>
        <w:t>jest usuwanie rozłogów</w:t>
      </w:r>
      <w:r w:rsidRPr="00DD39FA">
        <w:rPr>
          <w:rFonts w:asciiTheme="minorHAnsi" w:hAnsiTheme="minorHAnsi"/>
          <w:sz w:val="24"/>
          <w:szCs w:val="24"/>
        </w:rPr>
        <w:t xml:space="preserve">. Ze względu na to, że jest to zabieg czasochłonny, polecany jest do zastosowania na niewielkich obszarach. Poza tym zabieg ten powoduje zaburzenia siedliska, co wpływa na kiełkowanie nasion zawartych w glebie (nasiona gatunku kiełkują wyłącznie w miejscach zaburzonych). Dobre efekty w ograniczaniu występowania gatunku daje sadzenie pionierskich gatunków drzew, np. z rodzaju olsza – </w:t>
      </w:r>
      <w:proofErr w:type="spellStart"/>
      <w:r w:rsidRPr="00DD39FA">
        <w:rPr>
          <w:rFonts w:asciiTheme="minorHAnsi" w:hAnsiTheme="minorHAnsi"/>
          <w:i/>
          <w:iCs/>
          <w:sz w:val="24"/>
          <w:szCs w:val="24"/>
        </w:rPr>
        <w:t>Alnus</w:t>
      </w:r>
      <w:proofErr w:type="spellEnd"/>
      <w:r w:rsidRPr="00DD39FA">
        <w:rPr>
          <w:rFonts w:asciiTheme="minorHAnsi" w:hAnsiTheme="minorHAnsi"/>
          <w:sz w:val="24"/>
          <w:szCs w:val="24"/>
        </w:rPr>
        <w:t xml:space="preserve"> i wierzba – </w:t>
      </w:r>
      <w:proofErr w:type="spellStart"/>
      <w:r w:rsidRPr="00DD39FA">
        <w:rPr>
          <w:rFonts w:asciiTheme="minorHAnsi" w:hAnsiTheme="minorHAnsi"/>
          <w:i/>
          <w:iCs/>
          <w:sz w:val="24"/>
          <w:szCs w:val="24"/>
        </w:rPr>
        <w:t>Salix</w:t>
      </w:r>
      <w:proofErr w:type="spellEnd"/>
      <w:r w:rsidRPr="00DD39FA">
        <w:rPr>
          <w:rFonts w:asciiTheme="minorHAnsi" w:hAnsiTheme="minorHAnsi"/>
          <w:sz w:val="24"/>
          <w:szCs w:val="24"/>
        </w:rPr>
        <w:t xml:space="preserve">, które zwiększając zacienienie powodują stopniowe </w:t>
      </w:r>
      <w:r w:rsidRPr="00DD39FA">
        <w:rPr>
          <w:rFonts w:asciiTheme="minorHAnsi" w:hAnsiTheme="minorHAnsi"/>
          <w:sz w:val="24"/>
          <w:szCs w:val="24"/>
        </w:rPr>
        <w:lastRenderedPageBreak/>
        <w:t xml:space="preserve">wycofywanie się rudbekii. Ważnym elementem takich działań jest usuwanie roślin ograniczających rozwój drzew. </w:t>
      </w:r>
    </w:p>
    <w:p w14:paraId="4787B1F1" w14:textId="5E53BAA3" w:rsidR="006F7B36" w:rsidRPr="00DD39FA" w:rsidRDefault="006F7B36" w:rsidP="006F7B36">
      <w:pPr>
        <w:pStyle w:val="Nagwek1"/>
        <w:rPr>
          <w:rFonts w:asciiTheme="majorHAnsi" w:hAnsiTheme="majorHAnsi"/>
          <w:sz w:val="36"/>
          <w:szCs w:val="36"/>
        </w:rPr>
      </w:pPr>
      <w:bookmarkStart w:id="27" w:name="_Toc239940814"/>
      <w:r w:rsidRPr="00DD39FA">
        <w:rPr>
          <w:rFonts w:asciiTheme="majorHAnsi" w:hAnsiTheme="majorHAnsi"/>
          <w:sz w:val="36"/>
          <w:szCs w:val="36"/>
        </w:rPr>
        <w:t>3.Zagospodarowanie biomasy IGO</w:t>
      </w:r>
      <w:bookmarkEnd w:id="27"/>
    </w:p>
    <w:p w14:paraId="29409C95" w14:textId="67ECDAA0" w:rsidR="006F7B36" w:rsidRDefault="006F7B36" w:rsidP="006F7B36">
      <w:pPr>
        <w:pStyle w:val="Nagwek2"/>
      </w:pPr>
      <w:bookmarkStart w:id="28" w:name="_Toc239940815"/>
      <w:r>
        <w:t>3.1. Środki prawne</w:t>
      </w:r>
      <w:bookmarkEnd w:id="28"/>
    </w:p>
    <w:p w14:paraId="25F7554B" w14:textId="77777777"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Poniższa tabela przedstawia gatunki inwazyjne uwzględnione w dokumencie w świetle obowiązującego w Polsce prawa oraz ich status inwazyjności w skali opracowanej w publikacji Rośliny obcego pochodzenia w Polsce ze szczególnym uwzględnieniem gatunków inwazyjnych.</w:t>
      </w:r>
    </w:p>
    <w:p w14:paraId="1C8FE189" w14:textId="77777777"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Skala ta uwzględnia zasięg występowania w Polsce determinowany liczbą stanowisk, wielkością populacji, typami zasiedlanych siedlisk, trendami dynamiki oraz powodowanymi zagrożeniami ekologicznymi, społecznymi i ekonomicznymi (szczegółowy opis na str. 175-176 w Tokarska-Guzik i in., 2012).</w:t>
      </w:r>
    </w:p>
    <w:p w14:paraId="1AB4B5E9" w14:textId="620B38C3" w:rsidR="006F7B36" w:rsidRPr="00DD39FA" w:rsidRDefault="006F7B36" w:rsidP="00DD39FA">
      <w:pPr>
        <w:pStyle w:val="Legenda"/>
        <w:keepNext/>
        <w:jc w:val="both"/>
        <w:rPr>
          <w:rFonts w:asciiTheme="minorHAnsi" w:hAnsiTheme="minorHAnsi"/>
          <w:b w:val="0"/>
          <w:bCs/>
          <w:color w:val="000000" w:themeColor="text1"/>
          <w:sz w:val="22"/>
          <w:szCs w:val="22"/>
        </w:rPr>
      </w:pPr>
      <w:bookmarkStart w:id="29" w:name="_Toc239940747"/>
      <w:r w:rsidRPr="00DD39FA">
        <w:rPr>
          <w:rFonts w:asciiTheme="minorHAnsi" w:hAnsiTheme="minorHAnsi"/>
          <w:b w:val="0"/>
          <w:bCs/>
          <w:color w:val="000000" w:themeColor="text1"/>
          <w:sz w:val="22"/>
          <w:szCs w:val="22"/>
        </w:rPr>
        <w:t xml:space="preserve">Tabela </w:t>
      </w:r>
      <w:r w:rsidRPr="00DD39FA">
        <w:rPr>
          <w:rFonts w:asciiTheme="minorHAnsi" w:hAnsiTheme="minorHAnsi"/>
          <w:b w:val="0"/>
          <w:bCs/>
          <w:color w:val="000000" w:themeColor="text1"/>
          <w:sz w:val="22"/>
          <w:szCs w:val="22"/>
        </w:rPr>
        <w:fldChar w:fldCharType="begin"/>
      </w:r>
      <w:r w:rsidRPr="00DD39FA">
        <w:rPr>
          <w:rFonts w:asciiTheme="minorHAnsi" w:hAnsiTheme="minorHAnsi"/>
          <w:b w:val="0"/>
          <w:bCs/>
          <w:color w:val="000000" w:themeColor="text1"/>
          <w:sz w:val="22"/>
          <w:szCs w:val="22"/>
        </w:rPr>
        <w:instrText>SEQ Tabela \* ARABIC</w:instrText>
      </w:r>
      <w:r w:rsidRPr="00DD39FA">
        <w:rPr>
          <w:rFonts w:asciiTheme="minorHAnsi" w:hAnsiTheme="minorHAnsi"/>
          <w:b w:val="0"/>
          <w:bCs/>
          <w:color w:val="000000" w:themeColor="text1"/>
          <w:sz w:val="22"/>
          <w:szCs w:val="22"/>
        </w:rPr>
        <w:fldChar w:fldCharType="separate"/>
      </w:r>
      <w:r w:rsidR="003A1319" w:rsidRPr="00DD39FA">
        <w:rPr>
          <w:rFonts w:asciiTheme="minorHAnsi" w:hAnsiTheme="minorHAnsi"/>
          <w:b w:val="0"/>
          <w:bCs/>
          <w:noProof/>
          <w:color w:val="000000" w:themeColor="text1"/>
          <w:sz w:val="22"/>
          <w:szCs w:val="22"/>
        </w:rPr>
        <w:t>1</w:t>
      </w:r>
      <w:r w:rsidRPr="00DD39FA">
        <w:rPr>
          <w:rFonts w:asciiTheme="minorHAnsi" w:hAnsiTheme="minorHAnsi"/>
          <w:b w:val="0"/>
          <w:bCs/>
          <w:color w:val="000000" w:themeColor="text1"/>
          <w:sz w:val="22"/>
          <w:szCs w:val="22"/>
        </w:rPr>
        <w:fldChar w:fldCharType="end"/>
      </w:r>
      <w:r w:rsidRPr="00DD39FA">
        <w:rPr>
          <w:rFonts w:asciiTheme="minorHAnsi" w:hAnsiTheme="minorHAnsi"/>
          <w:b w:val="0"/>
          <w:bCs/>
          <w:color w:val="000000" w:themeColor="text1"/>
          <w:sz w:val="22"/>
          <w:szCs w:val="22"/>
        </w:rPr>
        <w:t xml:space="preserve"> Zestawienie gatunków obcych z podziałem na stopień udomowienia i inwazyjność w Polsce (Tokarska-Guzik i in., 2012). Pogrubioną czcionką zaznaczono gatunki roślin zagrażające Polsce (Dz.U. 2022 poz. 2649), a podkreśloną gatunki zagrażające Unii Europejskiej </w:t>
      </w:r>
      <w:r w:rsidRPr="00DD39FA">
        <w:rPr>
          <w:rFonts w:asciiTheme="minorHAnsi" w:hAnsiTheme="minorHAnsi"/>
          <w:b w:val="0"/>
          <w:bCs/>
          <w:i/>
          <w:color w:val="000000" w:themeColor="text1"/>
          <w:sz w:val="22"/>
          <w:szCs w:val="22"/>
        </w:rPr>
        <w:t>(UE 2022/1203).</w:t>
      </w:r>
      <w:bookmarkEnd w:id="29"/>
    </w:p>
    <w:tbl>
      <w:tblPr>
        <w:tblW w:w="0" w:type="auto"/>
        <w:jc w:val="center"/>
        <w:tblLook w:val="04A0" w:firstRow="1" w:lastRow="0" w:firstColumn="1" w:lastColumn="0" w:noHBand="0" w:noVBand="1"/>
      </w:tblPr>
      <w:tblGrid>
        <w:gridCol w:w="3883"/>
        <w:gridCol w:w="3193"/>
      </w:tblGrid>
      <w:tr w:rsidR="006F7B36" w:rsidRPr="00DD39FA" w14:paraId="31517898" w14:textId="77777777" w:rsidTr="00DD39FA">
        <w:trPr>
          <w:tblHeader/>
          <w:jc w:val="center"/>
        </w:trPr>
        <w:tc>
          <w:tcPr>
            <w:tcW w:w="3883"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6AA6130E" w14:textId="77777777" w:rsidR="006F7B36" w:rsidRPr="00DD39FA" w:rsidRDefault="006F7B36" w:rsidP="00DD39FA">
            <w:pPr>
              <w:spacing w:after="130" w:line="240" w:lineRule="atLeast"/>
              <w:jc w:val="center"/>
              <w:rPr>
                <w:b/>
                <w:sz w:val="18"/>
                <w:szCs w:val="18"/>
              </w:rPr>
            </w:pPr>
            <w:r w:rsidRPr="00DD39FA">
              <w:rPr>
                <w:b/>
                <w:sz w:val="18"/>
                <w:szCs w:val="18"/>
              </w:rPr>
              <w:t>Gatunek</w:t>
            </w:r>
          </w:p>
        </w:tc>
        <w:tc>
          <w:tcPr>
            <w:tcW w:w="3193"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035F700" w14:textId="77777777" w:rsidR="006F7B36" w:rsidRPr="00DD39FA" w:rsidRDefault="006F7B36" w:rsidP="00DD39FA">
            <w:pPr>
              <w:spacing w:after="130" w:line="240" w:lineRule="atLeast"/>
              <w:jc w:val="center"/>
              <w:rPr>
                <w:b/>
                <w:sz w:val="18"/>
                <w:szCs w:val="18"/>
              </w:rPr>
            </w:pPr>
            <w:r w:rsidRPr="00DD39FA">
              <w:rPr>
                <w:b/>
                <w:sz w:val="18"/>
                <w:szCs w:val="18"/>
              </w:rPr>
              <w:t>Stopień inwazyjności</w:t>
            </w:r>
          </w:p>
        </w:tc>
      </w:tr>
      <w:tr w:rsidR="006F7B36" w:rsidRPr="00DD39FA" w14:paraId="0C3915DB" w14:textId="77777777" w:rsidTr="00DD39FA">
        <w:trPr>
          <w:jc w:val="center"/>
        </w:trPr>
        <w:tc>
          <w:tcPr>
            <w:tcW w:w="7076"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4848D9A" w14:textId="77777777" w:rsidR="006F7B36" w:rsidRPr="00DD39FA" w:rsidRDefault="006F7B36" w:rsidP="006F7B36">
            <w:pPr>
              <w:spacing w:after="130" w:line="240" w:lineRule="atLeast"/>
              <w:jc w:val="both"/>
              <w:rPr>
                <w:b/>
                <w:sz w:val="18"/>
                <w:szCs w:val="18"/>
              </w:rPr>
            </w:pPr>
            <w:r w:rsidRPr="00DD39FA">
              <w:rPr>
                <w:b/>
                <w:sz w:val="18"/>
                <w:szCs w:val="18"/>
              </w:rPr>
              <w:t>Udomowione, inwazyjne</w:t>
            </w:r>
          </w:p>
        </w:tc>
      </w:tr>
      <w:tr w:rsidR="006F7B36" w:rsidRPr="00DD39FA" w14:paraId="33E437B4"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05081BEC" w14:textId="77777777" w:rsidR="006F7B36" w:rsidRPr="00DD39FA" w:rsidRDefault="006F7B36" w:rsidP="006F7B36">
            <w:pPr>
              <w:spacing w:after="130" w:line="240" w:lineRule="atLeast"/>
              <w:jc w:val="both"/>
              <w:rPr>
                <w:b/>
                <w:sz w:val="18"/>
                <w:szCs w:val="18"/>
              </w:rPr>
            </w:pPr>
            <w:proofErr w:type="spellStart"/>
            <w:r w:rsidRPr="00DD39FA">
              <w:rPr>
                <w:b/>
                <w:sz w:val="18"/>
                <w:szCs w:val="18"/>
              </w:rPr>
              <w:t>Rdestowiec</w:t>
            </w:r>
            <w:proofErr w:type="spellEnd"/>
            <w:r w:rsidRPr="00DD39FA">
              <w:rPr>
                <w:b/>
                <w:sz w:val="18"/>
                <w:szCs w:val="18"/>
              </w:rPr>
              <w:t xml:space="preserve"> </w:t>
            </w:r>
            <w:proofErr w:type="spellStart"/>
            <w:r w:rsidRPr="00DD39FA">
              <w:rPr>
                <w:b/>
                <w:i/>
                <w:sz w:val="18"/>
                <w:szCs w:val="18"/>
              </w:rPr>
              <w:t>Reynoutria</w:t>
            </w:r>
            <w:proofErr w:type="spellEnd"/>
            <w:r w:rsidRPr="00DD39FA">
              <w:rPr>
                <w:b/>
                <w:i/>
                <w:sz w:val="18"/>
                <w:szCs w:val="18"/>
              </w:rPr>
              <w:t xml:space="preserve"> sp. </w:t>
            </w:r>
          </w:p>
        </w:tc>
        <w:tc>
          <w:tcPr>
            <w:tcW w:w="3193" w:type="dxa"/>
            <w:tcBorders>
              <w:top w:val="single" w:sz="4" w:space="0" w:color="auto"/>
              <w:left w:val="single" w:sz="4" w:space="0" w:color="auto"/>
              <w:bottom w:val="single" w:sz="4" w:space="0" w:color="auto"/>
              <w:right w:val="single" w:sz="4" w:space="0" w:color="auto"/>
            </w:tcBorders>
            <w:shd w:val="clear" w:color="auto" w:fill="C00000"/>
            <w:hideMark/>
          </w:tcPr>
          <w:p w14:paraId="2323EA67"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77067EF7"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5539B667" w14:textId="77777777" w:rsidR="006F7B36" w:rsidRPr="00DD39FA" w:rsidRDefault="006F7B36" w:rsidP="006F7B36">
            <w:pPr>
              <w:spacing w:after="130" w:line="240" w:lineRule="atLeast"/>
              <w:jc w:val="both"/>
              <w:rPr>
                <w:sz w:val="18"/>
                <w:szCs w:val="18"/>
              </w:rPr>
            </w:pPr>
            <w:r w:rsidRPr="00DD39FA">
              <w:rPr>
                <w:sz w:val="18"/>
                <w:szCs w:val="18"/>
              </w:rPr>
              <w:t xml:space="preserve">Róża pomarszczona </w:t>
            </w:r>
            <w:r w:rsidRPr="00DD39FA">
              <w:rPr>
                <w:i/>
                <w:sz w:val="18"/>
                <w:szCs w:val="18"/>
              </w:rPr>
              <w:t xml:space="preserve">Rosa </w:t>
            </w:r>
            <w:proofErr w:type="spellStart"/>
            <w:r w:rsidRPr="00DD39FA">
              <w:rPr>
                <w:i/>
                <w:sz w:val="18"/>
                <w:szCs w:val="18"/>
              </w:rPr>
              <w:t>rugosa</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217683C"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6F6BD91E"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4F41BA46" w14:textId="77777777" w:rsidR="006F7B36" w:rsidRPr="00DD39FA" w:rsidRDefault="006F7B36" w:rsidP="006F7B36">
            <w:pPr>
              <w:spacing w:after="130" w:line="240" w:lineRule="atLeast"/>
              <w:jc w:val="both"/>
              <w:rPr>
                <w:sz w:val="18"/>
                <w:szCs w:val="18"/>
                <w:u w:val="single"/>
              </w:rPr>
            </w:pPr>
            <w:r w:rsidRPr="00DD39FA">
              <w:rPr>
                <w:sz w:val="18"/>
                <w:szCs w:val="18"/>
                <w:u w:val="single"/>
              </w:rPr>
              <w:t xml:space="preserve">Niecierpek gruczołowaty </w:t>
            </w:r>
            <w:proofErr w:type="spellStart"/>
            <w:r w:rsidRPr="00DD39FA">
              <w:rPr>
                <w:i/>
                <w:sz w:val="18"/>
                <w:szCs w:val="18"/>
                <w:u w:val="single"/>
              </w:rPr>
              <w:t>Impatiens</w:t>
            </w:r>
            <w:proofErr w:type="spellEnd"/>
            <w:r w:rsidRPr="00DD39FA">
              <w:rPr>
                <w:i/>
                <w:sz w:val="18"/>
                <w:szCs w:val="18"/>
                <w:u w:val="single"/>
              </w:rPr>
              <w:t xml:space="preserve"> </w:t>
            </w:r>
            <w:proofErr w:type="spellStart"/>
            <w:r w:rsidRPr="00DD39FA">
              <w:rPr>
                <w:i/>
                <w:sz w:val="18"/>
                <w:szCs w:val="18"/>
                <w:u w:val="single"/>
              </w:rPr>
              <w:t>grandulifera</w:t>
            </w:r>
            <w:proofErr w:type="spellEnd"/>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793E2AD"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6EC95A6D"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7753EAD" w14:textId="77777777" w:rsidR="006F7B36" w:rsidRPr="00DD39FA" w:rsidRDefault="006F7B36" w:rsidP="006F7B36">
            <w:pPr>
              <w:spacing w:after="130" w:line="240" w:lineRule="atLeast"/>
              <w:jc w:val="both"/>
              <w:rPr>
                <w:sz w:val="18"/>
                <w:szCs w:val="18"/>
              </w:rPr>
            </w:pPr>
            <w:r w:rsidRPr="00DD39FA">
              <w:rPr>
                <w:sz w:val="18"/>
                <w:szCs w:val="18"/>
              </w:rPr>
              <w:t xml:space="preserve">Nawłoć późna </w:t>
            </w:r>
            <w:proofErr w:type="spellStart"/>
            <w:r w:rsidRPr="00DD39FA">
              <w:rPr>
                <w:i/>
                <w:sz w:val="18"/>
                <w:szCs w:val="18"/>
              </w:rPr>
              <w:t>Solidago</w:t>
            </w:r>
            <w:proofErr w:type="spellEnd"/>
            <w:r w:rsidRPr="00DD39FA">
              <w:rPr>
                <w:i/>
                <w:sz w:val="18"/>
                <w:szCs w:val="18"/>
              </w:rPr>
              <w:t xml:space="preserve"> </w:t>
            </w:r>
            <w:proofErr w:type="spellStart"/>
            <w:r w:rsidRPr="00DD39FA">
              <w:rPr>
                <w:i/>
                <w:sz w:val="18"/>
                <w:szCs w:val="18"/>
              </w:rPr>
              <w:t>gigantea</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7F2202F" w14:textId="77777777" w:rsidR="006F7B36" w:rsidRPr="00DD39FA" w:rsidRDefault="006F7B36" w:rsidP="006F7B36">
            <w:pPr>
              <w:spacing w:after="130" w:line="240" w:lineRule="atLeast"/>
              <w:jc w:val="both"/>
              <w:rPr>
                <w:sz w:val="18"/>
                <w:szCs w:val="18"/>
                <w:lang w:val="en-US"/>
              </w:rPr>
            </w:pPr>
            <w:r w:rsidRPr="00DD39FA">
              <w:rPr>
                <w:sz w:val="18"/>
                <w:szCs w:val="18"/>
              </w:rPr>
              <w:t>IV (najwyższy)</w:t>
            </w:r>
          </w:p>
        </w:tc>
      </w:tr>
      <w:tr w:rsidR="006F7B36" w:rsidRPr="00DD39FA" w14:paraId="26CEE113"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3D9F0002" w14:textId="77777777" w:rsidR="006F7B36" w:rsidRPr="00DD39FA" w:rsidRDefault="006F7B36" w:rsidP="006F7B36">
            <w:pPr>
              <w:spacing w:after="130" w:line="240" w:lineRule="atLeast"/>
              <w:jc w:val="both"/>
              <w:rPr>
                <w:sz w:val="18"/>
                <w:szCs w:val="18"/>
              </w:rPr>
            </w:pPr>
            <w:r w:rsidRPr="00DD39FA">
              <w:rPr>
                <w:sz w:val="18"/>
                <w:szCs w:val="18"/>
              </w:rPr>
              <w:t xml:space="preserve">Nawłoć kanadyjska </w:t>
            </w:r>
            <w:proofErr w:type="spellStart"/>
            <w:r w:rsidRPr="00DD39FA">
              <w:rPr>
                <w:i/>
                <w:iCs/>
                <w:sz w:val="18"/>
                <w:szCs w:val="18"/>
              </w:rPr>
              <w:t>Solidago</w:t>
            </w:r>
            <w:proofErr w:type="spellEnd"/>
            <w:r w:rsidRPr="00DD39FA">
              <w:rPr>
                <w:i/>
                <w:iCs/>
                <w:sz w:val="18"/>
                <w:szCs w:val="18"/>
              </w:rPr>
              <w:t xml:space="preserve"> </w:t>
            </w:r>
            <w:proofErr w:type="spellStart"/>
            <w:r w:rsidRPr="00DD39FA">
              <w:rPr>
                <w:i/>
                <w:iCs/>
                <w:sz w:val="18"/>
                <w:szCs w:val="18"/>
              </w:rPr>
              <w:t>gigantea</w:t>
            </w:r>
            <w:proofErr w:type="spellEnd"/>
            <w:r w:rsidRPr="00DD39FA">
              <w:rPr>
                <w:i/>
                <w:iCs/>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7D022AC"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2ABC62E4"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699D5F68" w14:textId="77777777" w:rsidR="006F7B36" w:rsidRPr="00DD39FA" w:rsidRDefault="006F7B36" w:rsidP="006F7B36">
            <w:pPr>
              <w:spacing w:after="130" w:line="240" w:lineRule="atLeast"/>
              <w:jc w:val="both"/>
              <w:rPr>
                <w:sz w:val="18"/>
                <w:szCs w:val="18"/>
              </w:rPr>
            </w:pPr>
            <w:r w:rsidRPr="00DD39FA">
              <w:rPr>
                <w:sz w:val="18"/>
                <w:szCs w:val="18"/>
              </w:rPr>
              <w:t xml:space="preserve">Łubin trwały </w:t>
            </w:r>
            <w:proofErr w:type="spellStart"/>
            <w:r w:rsidRPr="00DD39FA">
              <w:rPr>
                <w:i/>
                <w:sz w:val="18"/>
                <w:szCs w:val="18"/>
              </w:rPr>
              <w:t>Lupinus</w:t>
            </w:r>
            <w:proofErr w:type="spellEnd"/>
            <w:r w:rsidRPr="00DD39FA">
              <w:rPr>
                <w:i/>
                <w:sz w:val="18"/>
                <w:szCs w:val="18"/>
              </w:rPr>
              <w:t xml:space="preserve"> </w:t>
            </w:r>
            <w:proofErr w:type="spellStart"/>
            <w:r w:rsidRPr="00DD39FA">
              <w:rPr>
                <w:i/>
                <w:sz w:val="18"/>
                <w:szCs w:val="18"/>
              </w:rPr>
              <w:t>polyphyllus</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5561F9E3" w14:textId="77777777" w:rsidR="006F7B36" w:rsidRPr="00DD39FA" w:rsidRDefault="006F7B36" w:rsidP="006F7B36">
            <w:pPr>
              <w:spacing w:after="130" w:line="240" w:lineRule="atLeast"/>
              <w:jc w:val="both"/>
              <w:rPr>
                <w:sz w:val="18"/>
                <w:szCs w:val="18"/>
                <w:lang w:val="en-US"/>
              </w:rPr>
            </w:pPr>
            <w:r w:rsidRPr="00DD39FA">
              <w:rPr>
                <w:sz w:val="18"/>
                <w:szCs w:val="18"/>
                <w:lang w:val="en-US"/>
              </w:rPr>
              <w:t>III (</w:t>
            </w:r>
            <w:proofErr w:type="spellStart"/>
            <w:r w:rsidRPr="00DD39FA">
              <w:rPr>
                <w:sz w:val="18"/>
                <w:szCs w:val="18"/>
                <w:lang w:val="en-US"/>
              </w:rPr>
              <w:t>wysoki</w:t>
            </w:r>
            <w:proofErr w:type="spellEnd"/>
            <w:r w:rsidRPr="00DD39FA">
              <w:rPr>
                <w:sz w:val="18"/>
                <w:szCs w:val="18"/>
                <w:lang w:val="en-US"/>
              </w:rPr>
              <w:t>)</w:t>
            </w:r>
          </w:p>
        </w:tc>
      </w:tr>
      <w:tr w:rsidR="006F7B36" w:rsidRPr="00DD39FA" w14:paraId="4C3AF64C"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82A8E1C" w14:textId="77777777" w:rsidR="006F7B36" w:rsidRPr="00DD39FA" w:rsidRDefault="006F7B36" w:rsidP="006F7B36">
            <w:pPr>
              <w:spacing w:after="130" w:line="240" w:lineRule="atLeast"/>
              <w:jc w:val="both"/>
              <w:rPr>
                <w:b/>
                <w:sz w:val="18"/>
                <w:szCs w:val="18"/>
              </w:rPr>
            </w:pPr>
            <w:proofErr w:type="spellStart"/>
            <w:r w:rsidRPr="00DD39FA">
              <w:rPr>
                <w:b/>
                <w:sz w:val="18"/>
                <w:szCs w:val="18"/>
              </w:rPr>
              <w:t>Kolczurka</w:t>
            </w:r>
            <w:proofErr w:type="spellEnd"/>
            <w:r w:rsidRPr="00DD39FA">
              <w:rPr>
                <w:b/>
                <w:sz w:val="18"/>
                <w:szCs w:val="18"/>
              </w:rPr>
              <w:t xml:space="preserve"> klapowana </w:t>
            </w:r>
            <w:proofErr w:type="spellStart"/>
            <w:r w:rsidRPr="00DD39FA">
              <w:rPr>
                <w:b/>
                <w:i/>
                <w:sz w:val="18"/>
                <w:szCs w:val="18"/>
              </w:rPr>
              <w:t>Echinocystis</w:t>
            </w:r>
            <w:proofErr w:type="spellEnd"/>
            <w:r w:rsidRPr="00DD39FA">
              <w:rPr>
                <w:b/>
                <w:i/>
                <w:sz w:val="18"/>
                <w:szCs w:val="18"/>
              </w:rPr>
              <w:t xml:space="preserve"> </w:t>
            </w:r>
            <w:proofErr w:type="spellStart"/>
            <w:r w:rsidRPr="00DD39FA">
              <w:rPr>
                <w:b/>
                <w:i/>
                <w:sz w:val="18"/>
                <w:szCs w:val="18"/>
              </w:rPr>
              <w:t>lobata</w:t>
            </w:r>
            <w:proofErr w:type="spellEnd"/>
            <w:r w:rsidRPr="00DD39FA">
              <w:rPr>
                <w:b/>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39A9460"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4C48AAFD"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0D07B022" w14:textId="77777777" w:rsidR="006F7B36" w:rsidRPr="00DD39FA" w:rsidRDefault="006F7B36" w:rsidP="006F7B36">
            <w:pPr>
              <w:spacing w:after="130" w:line="240" w:lineRule="atLeast"/>
              <w:jc w:val="both"/>
              <w:rPr>
                <w:sz w:val="18"/>
                <w:szCs w:val="18"/>
              </w:rPr>
            </w:pPr>
            <w:r w:rsidRPr="00DD39FA">
              <w:rPr>
                <w:sz w:val="18"/>
                <w:szCs w:val="18"/>
              </w:rPr>
              <w:t xml:space="preserve">Szarłat szorstki </w:t>
            </w:r>
            <w:proofErr w:type="spellStart"/>
            <w:r w:rsidRPr="00DD39FA">
              <w:rPr>
                <w:i/>
                <w:sz w:val="18"/>
                <w:szCs w:val="18"/>
              </w:rPr>
              <w:t>Amaranthus</w:t>
            </w:r>
            <w:proofErr w:type="spellEnd"/>
            <w:r w:rsidRPr="00DD39FA">
              <w:rPr>
                <w:i/>
                <w:sz w:val="18"/>
                <w:szCs w:val="18"/>
              </w:rPr>
              <w:t xml:space="preserve"> </w:t>
            </w:r>
            <w:proofErr w:type="spellStart"/>
            <w:r w:rsidRPr="00DD39FA">
              <w:rPr>
                <w:i/>
                <w:sz w:val="18"/>
                <w:szCs w:val="18"/>
              </w:rPr>
              <w:t>retroflexus</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AFCB8C1" w14:textId="77777777" w:rsidR="006F7B36" w:rsidRPr="00DD39FA" w:rsidRDefault="006F7B36" w:rsidP="006F7B36">
            <w:pPr>
              <w:spacing w:after="130" w:line="240" w:lineRule="atLeast"/>
              <w:jc w:val="both"/>
              <w:rPr>
                <w:sz w:val="18"/>
                <w:szCs w:val="18"/>
                <w:lang w:val="en-US"/>
              </w:rPr>
            </w:pPr>
            <w:r w:rsidRPr="00DD39FA">
              <w:rPr>
                <w:sz w:val="18"/>
                <w:szCs w:val="18"/>
                <w:lang w:val="en-US"/>
              </w:rPr>
              <w:t>I (</w:t>
            </w:r>
            <w:proofErr w:type="spellStart"/>
            <w:r w:rsidRPr="00DD39FA">
              <w:rPr>
                <w:sz w:val="18"/>
                <w:szCs w:val="18"/>
                <w:lang w:val="en-US"/>
              </w:rPr>
              <w:t>niski</w:t>
            </w:r>
            <w:proofErr w:type="spellEnd"/>
            <w:r w:rsidRPr="00DD39FA">
              <w:rPr>
                <w:sz w:val="18"/>
                <w:szCs w:val="18"/>
                <w:lang w:val="en-US"/>
              </w:rPr>
              <w:t>)</w:t>
            </w:r>
          </w:p>
        </w:tc>
      </w:tr>
      <w:tr w:rsidR="006F7B36" w:rsidRPr="00DD39FA" w14:paraId="5B3FDE89"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AD494E3" w14:textId="77777777" w:rsidR="006F7B36" w:rsidRPr="00DD39FA" w:rsidRDefault="006F7B36" w:rsidP="006F7B36">
            <w:pPr>
              <w:spacing w:after="130" w:line="240" w:lineRule="atLeast"/>
              <w:jc w:val="both"/>
              <w:rPr>
                <w:sz w:val="18"/>
                <w:szCs w:val="18"/>
              </w:rPr>
            </w:pPr>
            <w:r w:rsidRPr="00DD39FA">
              <w:rPr>
                <w:sz w:val="18"/>
                <w:szCs w:val="18"/>
              </w:rPr>
              <w:t xml:space="preserve">Naparstnica purpurowa </w:t>
            </w:r>
            <w:r w:rsidRPr="00DD39FA">
              <w:rPr>
                <w:i/>
                <w:sz w:val="18"/>
                <w:szCs w:val="18"/>
              </w:rPr>
              <w:t xml:space="preserve">Digitalis </w:t>
            </w:r>
            <w:proofErr w:type="spellStart"/>
            <w:r w:rsidRPr="00DD39FA">
              <w:rPr>
                <w:i/>
                <w:sz w:val="18"/>
                <w:szCs w:val="18"/>
              </w:rPr>
              <w:t>purpurea</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8608E4C" w14:textId="77777777" w:rsidR="006F7B36" w:rsidRPr="00DD39FA" w:rsidRDefault="006F7B36" w:rsidP="006F7B36">
            <w:pPr>
              <w:spacing w:after="130" w:line="240" w:lineRule="atLeast"/>
              <w:jc w:val="both"/>
              <w:rPr>
                <w:sz w:val="18"/>
                <w:szCs w:val="18"/>
                <w:lang w:val="en-US"/>
              </w:rPr>
            </w:pPr>
            <w:r w:rsidRPr="00DD39FA">
              <w:rPr>
                <w:sz w:val="18"/>
                <w:szCs w:val="18"/>
                <w:lang w:val="en-US"/>
              </w:rPr>
              <w:t>II (</w:t>
            </w:r>
            <w:proofErr w:type="spellStart"/>
            <w:r w:rsidRPr="00DD39FA">
              <w:rPr>
                <w:sz w:val="18"/>
                <w:szCs w:val="18"/>
                <w:lang w:val="en-US"/>
              </w:rPr>
              <w:t>średni</w:t>
            </w:r>
            <w:proofErr w:type="spellEnd"/>
            <w:r w:rsidRPr="00DD39FA">
              <w:rPr>
                <w:sz w:val="18"/>
                <w:szCs w:val="18"/>
                <w:lang w:val="en-US"/>
              </w:rPr>
              <w:t>)</w:t>
            </w:r>
          </w:p>
        </w:tc>
      </w:tr>
      <w:tr w:rsidR="006F7B36" w:rsidRPr="00DD39FA" w14:paraId="0F8592DC"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3C49214F" w14:textId="77777777" w:rsidR="006F7B36" w:rsidRPr="00DD39FA" w:rsidRDefault="006F7B36" w:rsidP="006F7B36">
            <w:pPr>
              <w:spacing w:after="130" w:line="240" w:lineRule="atLeast"/>
              <w:jc w:val="both"/>
              <w:rPr>
                <w:sz w:val="18"/>
                <w:szCs w:val="18"/>
              </w:rPr>
            </w:pPr>
            <w:proofErr w:type="spellStart"/>
            <w:r w:rsidRPr="00DD39FA">
              <w:rPr>
                <w:sz w:val="18"/>
                <w:szCs w:val="18"/>
              </w:rPr>
              <w:t>Świdośliwa</w:t>
            </w:r>
            <w:proofErr w:type="spellEnd"/>
            <w:r w:rsidRPr="00DD39FA">
              <w:rPr>
                <w:sz w:val="18"/>
                <w:szCs w:val="18"/>
              </w:rPr>
              <w:t xml:space="preserve"> kłosowa </w:t>
            </w:r>
            <w:proofErr w:type="spellStart"/>
            <w:r w:rsidRPr="00DD39FA">
              <w:rPr>
                <w:i/>
                <w:sz w:val="18"/>
                <w:szCs w:val="18"/>
              </w:rPr>
              <w:t>Amelanchier</w:t>
            </w:r>
            <w:proofErr w:type="spellEnd"/>
            <w:r w:rsidRPr="00DD39FA">
              <w:rPr>
                <w:i/>
                <w:sz w:val="18"/>
                <w:szCs w:val="18"/>
              </w:rPr>
              <w:t xml:space="preserve"> </w:t>
            </w:r>
            <w:proofErr w:type="spellStart"/>
            <w:r w:rsidRPr="00DD39FA">
              <w:rPr>
                <w:i/>
                <w:sz w:val="18"/>
                <w:szCs w:val="18"/>
              </w:rPr>
              <w:t>spicata</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C8FB0FC"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179A3557"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25FB733" w14:textId="77777777" w:rsidR="006F7B36" w:rsidRPr="00DD39FA" w:rsidRDefault="006F7B36" w:rsidP="006F7B36">
            <w:pPr>
              <w:spacing w:after="130" w:line="240" w:lineRule="atLeast"/>
              <w:jc w:val="both"/>
              <w:rPr>
                <w:sz w:val="18"/>
                <w:szCs w:val="18"/>
              </w:rPr>
            </w:pPr>
            <w:r w:rsidRPr="00DD39FA">
              <w:rPr>
                <w:sz w:val="18"/>
                <w:szCs w:val="18"/>
              </w:rPr>
              <w:t xml:space="preserve">Tawuła kutnerowata </w:t>
            </w:r>
            <w:proofErr w:type="spellStart"/>
            <w:r w:rsidRPr="00DD39FA">
              <w:rPr>
                <w:i/>
                <w:sz w:val="18"/>
                <w:szCs w:val="18"/>
              </w:rPr>
              <w:t>Spiraea</w:t>
            </w:r>
            <w:proofErr w:type="spellEnd"/>
            <w:r w:rsidRPr="00DD39FA">
              <w:rPr>
                <w:i/>
                <w:sz w:val="18"/>
                <w:szCs w:val="18"/>
              </w:rPr>
              <w:t xml:space="preserve"> </w:t>
            </w:r>
            <w:proofErr w:type="spellStart"/>
            <w:r w:rsidRPr="00DD39FA">
              <w:rPr>
                <w:i/>
                <w:sz w:val="18"/>
                <w:szCs w:val="18"/>
              </w:rPr>
              <w:t>tomentosa</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7D03D89F"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125E7C15"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1FCFB89" w14:textId="77777777" w:rsidR="006F7B36" w:rsidRPr="00DD39FA" w:rsidRDefault="006F7B36" w:rsidP="006F7B36">
            <w:pPr>
              <w:spacing w:after="130" w:line="240" w:lineRule="atLeast"/>
              <w:jc w:val="both"/>
              <w:rPr>
                <w:sz w:val="18"/>
                <w:szCs w:val="18"/>
              </w:rPr>
            </w:pPr>
            <w:r w:rsidRPr="00DD39FA">
              <w:rPr>
                <w:sz w:val="18"/>
                <w:szCs w:val="18"/>
              </w:rPr>
              <w:t xml:space="preserve">Tojeść kropkowana </w:t>
            </w:r>
            <w:proofErr w:type="spellStart"/>
            <w:r w:rsidRPr="00DD39FA">
              <w:rPr>
                <w:i/>
                <w:sz w:val="18"/>
                <w:szCs w:val="18"/>
              </w:rPr>
              <w:t>Lysimachia</w:t>
            </w:r>
            <w:proofErr w:type="spellEnd"/>
            <w:r w:rsidRPr="00DD39FA">
              <w:rPr>
                <w:i/>
                <w:sz w:val="18"/>
                <w:szCs w:val="18"/>
              </w:rPr>
              <w:t xml:space="preserve"> </w:t>
            </w:r>
            <w:proofErr w:type="spellStart"/>
            <w:r w:rsidRPr="00DD39FA">
              <w:rPr>
                <w:i/>
                <w:sz w:val="18"/>
                <w:szCs w:val="18"/>
              </w:rPr>
              <w:t>punctata</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14A81B3" w14:textId="77777777" w:rsidR="006F7B36" w:rsidRPr="00DD39FA" w:rsidRDefault="006F7B36" w:rsidP="006F7B36">
            <w:pPr>
              <w:spacing w:after="130" w:line="240" w:lineRule="atLeast"/>
              <w:jc w:val="both"/>
              <w:rPr>
                <w:sz w:val="18"/>
                <w:szCs w:val="18"/>
              </w:rPr>
            </w:pPr>
            <w:r w:rsidRPr="00DD39FA">
              <w:rPr>
                <w:sz w:val="18"/>
                <w:szCs w:val="18"/>
                <w:lang w:val="en-US"/>
              </w:rPr>
              <w:t>I (</w:t>
            </w:r>
            <w:proofErr w:type="spellStart"/>
            <w:r w:rsidRPr="00DD39FA">
              <w:rPr>
                <w:sz w:val="18"/>
                <w:szCs w:val="18"/>
                <w:lang w:val="en-US"/>
              </w:rPr>
              <w:t>niski</w:t>
            </w:r>
            <w:proofErr w:type="spellEnd"/>
            <w:r w:rsidRPr="00DD39FA">
              <w:rPr>
                <w:sz w:val="18"/>
                <w:szCs w:val="18"/>
                <w:lang w:val="en-US"/>
              </w:rPr>
              <w:t>)</w:t>
            </w:r>
          </w:p>
        </w:tc>
      </w:tr>
      <w:tr w:rsidR="006F7B36" w:rsidRPr="00DD39FA" w14:paraId="38DBB7A1"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4DCAF31E" w14:textId="77777777" w:rsidR="006F7B36" w:rsidRPr="00DD39FA" w:rsidRDefault="006F7B36" w:rsidP="006F7B36">
            <w:pPr>
              <w:spacing w:after="130" w:line="240" w:lineRule="atLeast"/>
              <w:jc w:val="both"/>
              <w:rPr>
                <w:sz w:val="18"/>
                <w:szCs w:val="18"/>
              </w:rPr>
            </w:pPr>
            <w:r w:rsidRPr="00DD39FA">
              <w:rPr>
                <w:sz w:val="18"/>
                <w:szCs w:val="18"/>
              </w:rPr>
              <w:t xml:space="preserve">Smotrawa okazała </w:t>
            </w:r>
            <w:proofErr w:type="spellStart"/>
            <w:r w:rsidRPr="00DD39FA">
              <w:rPr>
                <w:i/>
                <w:sz w:val="18"/>
                <w:szCs w:val="18"/>
              </w:rPr>
              <w:t>Telekia</w:t>
            </w:r>
            <w:proofErr w:type="spellEnd"/>
            <w:r w:rsidRPr="00DD39FA">
              <w:rPr>
                <w:i/>
                <w:sz w:val="18"/>
                <w:szCs w:val="18"/>
              </w:rPr>
              <w:t xml:space="preserve"> </w:t>
            </w:r>
            <w:proofErr w:type="spellStart"/>
            <w:r w:rsidRPr="00DD39FA">
              <w:rPr>
                <w:i/>
                <w:sz w:val="18"/>
                <w:szCs w:val="18"/>
              </w:rPr>
              <w:t>speciosa</w:t>
            </w:r>
            <w:proofErr w:type="spellEnd"/>
            <w:r w:rsidRPr="00DD39FA">
              <w:rPr>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DDD964B" w14:textId="77777777" w:rsidR="006F7B36" w:rsidRPr="00DD39FA" w:rsidRDefault="006F7B36" w:rsidP="006F7B36">
            <w:pPr>
              <w:spacing w:after="130" w:line="240" w:lineRule="atLeast"/>
              <w:jc w:val="both"/>
              <w:rPr>
                <w:sz w:val="18"/>
                <w:szCs w:val="18"/>
                <w:lang w:val="en-US"/>
              </w:rPr>
            </w:pPr>
            <w:r w:rsidRPr="00DD39FA">
              <w:rPr>
                <w:sz w:val="18"/>
                <w:szCs w:val="18"/>
                <w:lang w:val="en-US"/>
              </w:rPr>
              <w:t>II (</w:t>
            </w:r>
            <w:proofErr w:type="spellStart"/>
            <w:r w:rsidRPr="00DD39FA">
              <w:rPr>
                <w:sz w:val="18"/>
                <w:szCs w:val="18"/>
                <w:lang w:val="en-US"/>
              </w:rPr>
              <w:t>średni</w:t>
            </w:r>
            <w:proofErr w:type="spellEnd"/>
            <w:r w:rsidRPr="00DD39FA">
              <w:rPr>
                <w:sz w:val="18"/>
                <w:szCs w:val="18"/>
                <w:lang w:val="en-US"/>
              </w:rPr>
              <w:t>)</w:t>
            </w:r>
          </w:p>
        </w:tc>
      </w:tr>
      <w:tr w:rsidR="006F7B36" w:rsidRPr="00DD39FA" w14:paraId="587EC281" w14:textId="77777777" w:rsidTr="006F7B36">
        <w:trPr>
          <w:trHeight w:val="343"/>
          <w:jc w:val="center"/>
        </w:trPr>
        <w:tc>
          <w:tcPr>
            <w:tcW w:w="3883" w:type="dxa"/>
            <w:tcBorders>
              <w:top w:val="single" w:sz="4" w:space="0" w:color="auto"/>
              <w:left w:val="single" w:sz="4" w:space="0" w:color="auto"/>
              <w:bottom w:val="single" w:sz="4" w:space="0" w:color="auto"/>
              <w:right w:val="single" w:sz="4" w:space="0" w:color="auto"/>
            </w:tcBorders>
            <w:hideMark/>
          </w:tcPr>
          <w:p w14:paraId="6020630B" w14:textId="77777777" w:rsidR="006F7B36" w:rsidRPr="00DD39FA" w:rsidRDefault="006F7B36" w:rsidP="006F7B36">
            <w:pPr>
              <w:spacing w:after="130" w:line="240" w:lineRule="atLeast"/>
              <w:jc w:val="both"/>
              <w:rPr>
                <w:sz w:val="18"/>
                <w:szCs w:val="18"/>
                <w:u w:val="single"/>
              </w:rPr>
            </w:pPr>
            <w:r w:rsidRPr="00DD39FA">
              <w:rPr>
                <w:sz w:val="18"/>
                <w:szCs w:val="18"/>
                <w:u w:val="single"/>
              </w:rPr>
              <w:t xml:space="preserve">Barszcz Sosnowskiego </w:t>
            </w:r>
            <w:proofErr w:type="spellStart"/>
            <w:r w:rsidRPr="00DD39FA">
              <w:rPr>
                <w:i/>
                <w:sz w:val="18"/>
                <w:szCs w:val="18"/>
                <w:u w:val="single"/>
              </w:rPr>
              <w:t>Heracleum</w:t>
            </w:r>
            <w:proofErr w:type="spellEnd"/>
            <w:r w:rsidRPr="00DD39FA">
              <w:rPr>
                <w:i/>
                <w:sz w:val="18"/>
                <w:szCs w:val="18"/>
                <w:u w:val="single"/>
              </w:rPr>
              <w:t xml:space="preserve"> </w:t>
            </w:r>
            <w:proofErr w:type="spellStart"/>
            <w:r w:rsidRPr="00DD39FA">
              <w:rPr>
                <w:i/>
                <w:sz w:val="18"/>
                <w:szCs w:val="18"/>
                <w:u w:val="single"/>
              </w:rPr>
              <w:t>sosnowskyi</w:t>
            </w:r>
            <w:proofErr w:type="spellEnd"/>
            <w:r w:rsidRPr="00DD39FA">
              <w:rPr>
                <w:i/>
                <w:sz w:val="18"/>
                <w:szCs w:val="18"/>
                <w:u w:val="single"/>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58488BE"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6F7B36" w:rsidRPr="00DD39FA" w14:paraId="43327E99" w14:textId="77777777" w:rsidTr="006F7B36">
        <w:trPr>
          <w:trHeight w:val="348"/>
          <w:jc w:val="center"/>
        </w:trPr>
        <w:tc>
          <w:tcPr>
            <w:tcW w:w="3883" w:type="dxa"/>
            <w:tcBorders>
              <w:top w:val="single" w:sz="4" w:space="0" w:color="auto"/>
              <w:left w:val="single" w:sz="4" w:space="0" w:color="auto"/>
              <w:bottom w:val="single" w:sz="4" w:space="0" w:color="auto"/>
              <w:right w:val="single" w:sz="4" w:space="0" w:color="auto"/>
            </w:tcBorders>
            <w:hideMark/>
          </w:tcPr>
          <w:p w14:paraId="11F8B4C5" w14:textId="77777777" w:rsidR="006F7B36" w:rsidRPr="00DD39FA" w:rsidRDefault="006F7B36" w:rsidP="006F7B36">
            <w:pPr>
              <w:spacing w:after="130" w:line="240" w:lineRule="atLeast"/>
              <w:jc w:val="both"/>
              <w:rPr>
                <w:sz w:val="18"/>
                <w:szCs w:val="18"/>
                <w:u w:val="single"/>
              </w:rPr>
            </w:pPr>
            <w:r w:rsidRPr="00DD39FA">
              <w:rPr>
                <w:sz w:val="18"/>
                <w:szCs w:val="18"/>
                <w:u w:val="single"/>
              </w:rPr>
              <w:lastRenderedPageBreak/>
              <w:t xml:space="preserve">Barszcz </w:t>
            </w:r>
            <w:proofErr w:type="spellStart"/>
            <w:r w:rsidRPr="00DD39FA">
              <w:rPr>
                <w:i/>
                <w:sz w:val="18"/>
                <w:szCs w:val="18"/>
                <w:u w:val="single"/>
              </w:rPr>
              <w:t>Mantegazziego</w:t>
            </w:r>
            <w:proofErr w:type="spellEnd"/>
            <w:r w:rsidRPr="00DD39FA">
              <w:rPr>
                <w:i/>
                <w:sz w:val="18"/>
                <w:szCs w:val="18"/>
                <w:u w:val="single"/>
              </w:rPr>
              <w:t xml:space="preserve"> </w:t>
            </w:r>
            <w:proofErr w:type="spellStart"/>
            <w:r w:rsidRPr="00DD39FA">
              <w:rPr>
                <w:i/>
                <w:sz w:val="18"/>
                <w:szCs w:val="18"/>
                <w:u w:val="single"/>
              </w:rPr>
              <w:t>Heracleum</w:t>
            </w:r>
            <w:proofErr w:type="spellEnd"/>
            <w:r w:rsidRPr="00DD39FA">
              <w:rPr>
                <w:i/>
                <w:sz w:val="18"/>
                <w:szCs w:val="18"/>
                <w:u w:val="single"/>
              </w:rPr>
              <w:t xml:space="preserve"> </w:t>
            </w:r>
            <w:proofErr w:type="spellStart"/>
            <w:r w:rsidRPr="00DD39FA">
              <w:rPr>
                <w:i/>
                <w:sz w:val="18"/>
                <w:szCs w:val="18"/>
                <w:u w:val="single"/>
              </w:rPr>
              <w:t>mantegazzianum</w:t>
            </w:r>
            <w:proofErr w:type="spellEnd"/>
            <w:r w:rsidRPr="00DD39FA">
              <w:rPr>
                <w:i/>
                <w:sz w:val="18"/>
                <w:szCs w:val="18"/>
                <w:u w:val="single"/>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D3B9E3F" w14:textId="77777777" w:rsidR="006F7B36" w:rsidRPr="00DD39FA" w:rsidRDefault="006F7B36" w:rsidP="006F7B36">
            <w:pPr>
              <w:spacing w:after="130" w:line="240" w:lineRule="atLeast"/>
              <w:jc w:val="both"/>
              <w:rPr>
                <w:sz w:val="18"/>
                <w:szCs w:val="18"/>
              </w:rPr>
            </w:pPr>
            <w:r w:rsidRPr="00DD39FA">
              <w:rPr>
                <w:sz w:val="18"/>
                <w:szCs w:val="18"/>
              </w:rPr>
              <w:t>IV (najwyższy)</w:t>
            </w:r>
          </w:p>
        </w:tc>
      </w:tr>
      <w:tr w:rsidR="002F2E13" w:rsidRPr="00DD39FA" w14:paraId="01E360A8" w14:textId="77777777" w:rsidTr="002F2E13">
        <w:trPr>
          <w:trHeight w:val="348"/>
          <w:jc w:val="center"/>
        </w:trPr>
        <w:tc>
          <w:tcPr>
            <w:tcW w:w="3883" w:type="dxa"/>
            <w:tcBorders>
              <w:top w:val="single" w:sz="4" w:space="0" w:color="auto"/>
              <w:left w:val="single" w:sz="4" w:space="0" w:color="auto"/>
              <w:bottom w:val="single" w:sz="4" w:space="0" w:color="auto"/>
              <w:right w:val="single" w:sz="4" w:space="0" w:color="auto"/>
            </w:tcBorders>
          </w:tcPr>
          <w:p w14:paraId="4AAC2004" w14:textId="2E7ED018" w:rsidR="002F2E13" w:rsidRPr="00DD39FA" w:rsidRDefault="002F2E13" w:rsidP="006F7B36">
            <w:pPr>
              <w:spacing w:after="130" w:line="240" w:lineRule="atLeast"/>
              <w:jc w:val="both"/>
              <w:rPr>
                <w:i/>
                <w:iCs/>
                <w:sz w:val="18"/>
                <w:szCs w:val="18"/>
              </w:rPr>
            </w:pPr>
            <w:r w:rsidRPr="00DD39FA">
              <w:rPr>
                <w:sz w:val="18"/>
                <w:szCs w:val="18"/>
              </w:rPr>
              <w:t xml:space="preserve">Kroplik żółty </w:t>
            </w:r>
            <w:proofErr w:type="spellStart"/>
            <w:r w:rsidRPr="00DD39FA">
              <w:rPr>
                <w:i/>
                <w:iCs/>
                <w:sz w:val="18"/>
                <w:szCs w:val="18"/>
              </w:rPr>
              <w:t>Mimulus</w:t>
            </w:r>
            <w:proofErr w:type="spellEnd"/>
            <w:r w:rsidRPr="00DD39FA">
              <w:rPr>
                <w:i/>
                <w:iCs/>
                <w:sz w:val="18"/>
                <w:szCs w:val="18"/>
              </w:rPr>
              <w:t xml:space="preserve"> </w:t>
            </w:r>
            <w:proofErr w:type="spellStart"/>
            <w:r w:rsidRPr="00DD39FA">
              <w:rPr>
                <w:i/>
                <w:iCs/>
                <w:sz w:val="18"/>
                <w:szCs w:val="18"/>
              </w:rPr>
              <w:t>guttatus</w:t>
            </w:r>
            <w:proofErr w:type="spellEnd"/>
          </w:p>
        </w:tc>
        <w:tc>
          <w:tcPr>
            <w:tcW w:w="3193" w:type="dxa"/>
            <w:tcBorders>
              <w:top w:val="single" w:sz="4" w:space="0" w:color="auto"/>
              <w:left w:val="single" w:sz="4" w:space="0" w:color="auto"/>
              <w:bottom w:val="single" w:sz="4" w:space="0" w:color="auto"/>
              <w:right w:val="single" w:sz="4" w:space="0" w:color="auto"/>
            </w:tcBorders>
            <w:shd w:val="clear" w:color="auto" w:fill="FF0000"/>
            <w:vAlign w:val="center"/>
          </w:tcPr>
          <w:p w14:paraId="48550D13" w14:textId="0F95EDA2" w:rsidR="002F2E13" w:rsidRPr="00DD39FA" w:rsidRDefault="002F2E13" w:rsidP="006F7B36">
            <w:pPr>
              <w:spacing w:after="130" w:line="240" w:lineRule="atLeast"/>
              <w:jc w:val="both"/>
              <w:rPr>
                <w:sz w:val="18"/>
                <w:szCs w:val="18"/>
              </w:rPr>
            </w:pPr>
            <w:r w:rsidRPr="00DD39FA">
              <w:rPr>
                <w:sz w:val="18"/>
                <w:szCs w:val="18"/>
              </w:rPr>
              <w:t>III (wysoki)</w:t>
            </w:r>
          </w:p>
        </w:tc>
      </w:tr>
      <w:tr w:rsidR="002F2E13" w:rsidRPr="00DD39FA" w14:paraId="0BF0CD59" w14:textId="77777777" w:rsidTr="002F2E13">
        <w:trPr>
          <w:trHeight w:val="348"/>
          <w:jc w:val="center"/>
        </w:trPr>
        <w:tc>
          <w:tcPr>
            <w:tcW w:w="3883" w:type="dxa"/>
            <w:tcBorders>
              <w:top w:val="single" w:sz="4" w:space="0" w:color="auto"/>
              <w:left w:val="single" w:sz="4" w:space="0" w:color="auto"/>
              <w:bottom w:val="single" w:sz="4" w:space="0" w:color="auto"/>
              <w:right w:val="single" w:sz="4" w:space="0" w:color="auto"/>
            </w:tcBorders>
          </w:tcPr>
          <w:p w14:paraId="003FCCFF" w14:textId="08E0C85E" w:rsidR="002F2E13" w:rsidRPr="00DD39FA" w:rsidRDefault="002F2E13" w:rsidP="006F7B36">
            <w:pPr>
              <w:spacing w:after="130" w:line="240" w:lineRule="atLeast"/>
              <w:jc w:val="both"/>
              <w:rPr>
                <w:i/>
                <w:iCs/>
                <w:sz w:val="18"/>
                <w:szCs w:val="18"/>
              </w:rPr>
            </w:pPr>
            <w:r w:rsidRPr="00DD39FA">
              <w:rPr>
                <w:sz w:val="18"/>
                <w:szCs w:val="18"/>
              </w:rPr>
              <w:t xml:space="preserve">Rudbekia naga </w:t>
            </w:r>
            <w:proofErr w:type="spellStart"/>
            <w:r w:rsidRPr="00DD39FA">
              <w:rPr>
                <w:i/>
                <w:iCs/>
                <w:sz w:val="18"/>
                <w:szCs w:val="18"/>
              </w:rPr>
              <w:t>Rudbeckia</w:t>
            </w:r>
            <w:proofErr w:type="spellEnd"/>
            <w:r w:rsidRPr="00DD39FA">
              <w:rPr>
                <w:i/>
                <w:iCs/>
                <w:sz w:val="18"/>
                <w:szCs w:val="18"/>
              </w:rPr>
              <w:t xml:space="preserve"> </w:t>
            </w:r>
            <w:proofErr w:type="spellStart"/>
            <w:r w:rsidRPr="00DD39FA">
              <w:rPr>
                <w:i/>
                <w:iCs/>
                <w:sz w:val="18"/>
                <w:szCs w:val="18"/>
              </w:rPr>
              <w:t>laciniata</w:t>
            </w:r>
            <w:proofErr w:type="spellEnd"/>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tcPr>
          <w:p w14:paraId="2AA80C68" w14:textId="455D9EC9" w:rsidR="002F2E13" w:rsidRPr="00DD39FA" w:rsidRDefault="002F2E13" w:rsidP="006F7B36">
            <w:pPr>
              <w:spacing w:after="130" w:line="240" w:lineRule="atLeast"/>
              <w:jc w:val="both"/>
              <w:rPr>
                <w:sz w:val="18"/>
                <w:szCs w:val="18"/>
              </w:rPr>
            </w:pPr>
            <w:r w:rsidRPr="00DD39FA">
              <w:rPr>
                <w:sz w:val="18"/>
                <w:szCs w:val="18"/>
              </w:rPr>
              <w:t>IV (najwyższy)</w:t>
            </w:r>
          </w:p>
        </w:tc>
      </w:tr>
    </w:tbl>
    <w:p w14:paraId="0CFE2D30" w14:textId="77777777" w:rsidR="006F7B36" w:rsidRPr="006F7B36" w:rsidRDefault="006F7B36" w:rsidP="006F7B36"/>
    <w:p w14:paraId="36E62858" w14:textId="77777777"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Zgodnie z obowiązującym w Polsce prawem (Dz.U. 2022 poz. 2649), działania przeciwko inwazyjnym gatunkom roślin obejmują:</w:t>
      </w:r>
    </w:p>
    <w:p w14:paraId="36A68632" w14:textId="77777777" w:rsidR="006F7B36" w:rsidRPr="00DD39FA" w:rsidRDefault="006F7B36" w:rsidP="00DD39FA">
      <w:pPr>
        <w:pStyle w:val="Akapitzlist"/>
        <w:numPr>
          <w:ilvl w:val="0"/>
          <w:numId w:val="17"/>
        </w:numPr>
        <w:spacing w:after="120" w:line="276" w:lineRule="auto"/>
        <w:contextualSpacing w:val="0"/>
        <w:jc w:val="both"/>
        <w:rPr>
          <w:rFonts w:asciiTheme="minorHAnsi" w:hAnsiTheme="minorHAnsi"/>
          <w:i/>
          <w:iCs/>
          <w:sz w:val="24"/>
          <w:szCs w:val="24"/>
        </w:rPr>
      </w:pPr>
      <w:r w:rsidRPr="00DD39FA">
        <w:rPr>
          <w:rFonts w:asciiTheme="minorHAnsi" w:hAnsiTheme="minorHAnsi"/>
          <w:i/>
          <w:iCs/>
          <w:sz w:val="24"/>
          <w:szCs w:val="24"/>
        </w:rPr>
        <w:t>"środki fizyczne - wykopywanie, wyrywanie, koszenie, ścinanie, uszkadzanie, zbieranie, zaorywanie lub zacienianie tych roślin, wycinanie lub zbieranie części, z których rośliny te mogą się rozmnażać, wypasanie zwierząt, zmiana stosunków wodnych, przykrywanie, ściółkowanie, usuwanie wierzchniej warstwy gleby lub osadów dennych, odgradzanie, tworzenie stref buforowych dla tych roślin lub trzymanie ich w odizolowanych obiektach".</w:t>
      </w:r>
    </w:p>
    <w:p w14:paraId="2D76F7EB" w14:textId="77777777" w:rsidR="006F7B36" w:rsidRPr="00DD39FA" w:rsidRDefault="006F7B36" w:rsidP="00DD39FA">
      <w:pPr>
        <w:pStyle w:val="Akapitzlist"/>
        <w:numPr>
          <w:ilvl w:val="0"/>
          <w:numId w:val="17"/>
        </w:numPr>
        <w:spacing w:after="120" w:line="276" w:lineRule="auto"/>
        <w:contextualSpacing w:val="0"/>
        <w:jc w:val="both"/>
        <w:rPr>
          <w:rFonts w:asciiTheme="minorHAnsi" w:hAnsiTheme="minorHAnsi"/>
          <w:sz w:val="24"/>
          <w:szCs w:val="24"/>
        </w:rPr>
      </w:pPr>
      <w:r w:rsidRPr="00DD39FA">
        <w:rPr>
          <w:rFonts w:asciiTheme="minorHAnsi" w:hAnsiTheme="minorHAnsi"/>
          <w:i/>
          <w:iCs/>
          <w:sz w:val="24"/>
          <w:szCs w:val="24"/>
        </w:rPr>
        <w:t>środki chemiczne - stosowanie środków ochrony roślin wprowadzonych do obrotu na podstawie zezwolenia wydanego przez ministra właściwego do spraw rolnictwa, o którym mowa w rozporządzeniu Parlamentu Europejskiego i Rady (WE) nr 1107/2009 z dnia 21 października 2009 r. dotyczącym wprowadzania do obrotu środków ochrony roślin i uchylającym dyrektywy Rady 79/117/EWG i 91/414/EWG (UE 1107/2009), lub pozwolenia na handel równoległy, o którym mowa w art. 52 rozporządzenia nr 1107/2009, lub stosowanie innych środków chemicznych zgodnie z odrębnymi przepisami dotyczącymi produktów biobójczych</w:t>
      </w:r>
      <w:r w:rsidRPr="00DD39FA">
        <w:rPr>
          <w:rFonts w:asciiTheme="minorHAnsi" w:hAnsiTheme="minorHAnsi"/>
          <w:sz w:val="24"/>
          <w:szCs w:val="24"/>
        </w:rPr>
        <w:t>.</w:t>
      </w:r>
    </w:p>
    <w:p w14:paraId="4811BE59" w14:textId="77777777"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"Środki zaradcze (zwalczanie) przeciwko inwazyjnym </w:t>
      </w:r>
      <w:proofErr w:type="spellStart"/>
      <w:r w:rsidRPr="00DD39FA">
        <w:rPr>
          <w:rFonts w:asciiTheme="minorHAnsi" w:hAnsiTheme="minorHAnsi"/>
          <w:sz w:val="24"/>
          <w:szCs w:val="24"/>
        </w:rPr>
        <w:t>agrofagom</w:t>
      </w:r>
      <w:proofErr w:type="spellEnd"/>
      <w:r w:rsidRPr="00DD39FA">
        <w:rPr>
          <w:rFonts w:asciiTheme="minorHAnsi" w:hAnsiTheme="minorHAnsi"/>
          <w:sz w:val="24"/>
          <w:szCs w:val="24"/>
        </w:rPr>
        <w:t xml:space="preserve"> roślin zgodnie z obowiązującym prawem (Dz. U. z 2022 r. poz. 2649) powinny być przeprowadzane pod następującymi warunkami:</w:t>
      </w:r>
    </w:p>
    <w:p w14:paraId="6BC03D36" w14:textId="77777777" w:rsidR="006F7B36" w:rsidRPr="00DD39FA" w:rsidRDefault="006F7B36" w:rsidP="00DD39FA">
      <w:pPr>
        <w:pStyle w:val="Akapitzlist"/>
        <w:numPr>
          <w:ilvl w:val="0"/>
          <w:numId w:val="19"/>
        </w:numPr>
        <w:spacing w:after="120" w:line="276" w:lineRule="auto"/>
        <w:contextualSpacing w:val="0"/>
        <w:jc w:val="both"/>
        <w:rPr>
          <w:rFonts w:asciiTheme="minorHAnsi" w:hAnsiTheme="minorHAnsi"/>
          <w:i/>
          <w:iCs/>
          <w:sz w:val="24"/>
          <w:szCs w:val="24"/>
        </w:rPr>
      </w:pPr>
      <w:r w:rsidRPr="00DD39FA">
        <w:rPr>
          <w:rFonts w:asciiTheme="minorHAnsi" w:hAnsiTheme="minorHAnsi"/>
          <w:i/>
          <w:iCs/>
          <w:sz w:val="24"/>
          <w:szCs w:val="24"/>
        </w:rPr>
        <w:t>Czynniki fizyczne i chemiczne muszą być dostosowane do charakterystyki danego MSR oraz do miejsca i czasu tych działań;</w:t>
      </w:r>
    </w:p>
    <w:p w14:paraId="48F93B80" w14:textId="77777777" w:rsidR="006F7B36" w:rsidRPr="00DD39FA" w:rsidRDefault="006F7B36" w:rsidP="00DD39FA">
      <w:pPr>
        <w:pStyle w:val="Akapitzlist"/>
        <w:numPr>
          <w:ilvl w:val="0"/>
          <w:numId w:val="19"/>
        </w:numPr>
        <w:spacing w:after="120" w:line="276" w:lineRule="auto"/>
        <w:contextualSpacing w:val="0"/>
        <w:jc w:val="both"/>
        <w:rPr>
          <w:rFonts w:asciiTheme="minorHAnsi" w:hAnsiTheme="minorHAnsi"/>
          <w:i/>
          <w:iCs/>
          <w:sz w:val="24"/>
          <w:szCs w:val="24"/>
        </w:rPr>
      </w:pPr>
      <w:r w:rsidRPr="00DD39FA">
        <w:rPr>
          <w:rFonts w:asciiTheme="minorHAnsi" w:hAnsiTheme="minorHAnsi"/>
          <w:i/>
          <w:iCs/>
          <w:sz w:val="24"/>
          <w:szCs w:val="24"/>
        </w:rPr>
        <w:t>Czynniki fizyczne i chemiczne powinny być stosowane pojedynczo lub w połączeniu, aż do osiągnięcia celu tych działań;</w:t>
      </w:r>
    </w:p>
    <w:p w14:paraId="1C6C7325" w14:textId="77777777" w:rsidR="006F7B36" w:rsidRPr="00DD39FA" w:rsidRDefault="006F7B36" w:rsidP="00DD39FA">
      <w:pPr>
        <w:pStyle w:val="Akapitzlist"/>
        <w:numPr>
          <w:ilvl w:val="0"/>
          <w:numId w:val="19"/>
        </w:numPr>
        <w:spacing w:after="120" w:line="276" w:lineRule="auto"/>
        <w:contextualSpacing w:val="0"/>
        <w:jc w:val="both"/>
        <w:rPr>
          <w:rFonts w:asciiTheme="minorHAnsi" w:hAnsiTheme="minorHAnsi"/>
          <w:i/>
          <w:iCs/>
          <w:sz w:val="24"/>
          <w:szCs w:val="24"/>
        </w:rPr>
      </w:pPr>
      <w:r w:rsidRPr="00DD39FA">
        <w:rPr>
          <w:rFonts w:asciiTheme="minorHAnsi" w:hAnsiTheme="minorHAnsi"/>
          <w:i/>
          <w:iCs/>
          <w:sz w:val="24"/>
          <w:szCs w:val="24"/>
        </w:rPr>
        <w:t>Czynniki fizyczne i chemiczne należy stosować w taki sposób, aby nie doszło do przypadkowego rozprzestrzenienia się tych MSR, w tym w wyniku przemieszczania podłoża zawierającego ich próbki;</w:t>
      </w:r>
    </w:p>
    <w:p w14:paraId="078A1D86" w14:textId="77777777" w:rsidR="006F7B36" w:rsidRPr="00DD39FA" w:rsidRDefault="006F7B36" w:rsidP="00DD39FA">
      <w:pPr>
        <w:pStyle w:val="Akapitzlist"/>
        <w:numPr>
          <w:ilvl w:val="0"/>
          <w:numId w:val="19"/>
        </w:numPr>
        <w:spacing w:after="120" w:line="276" w:lineRule="auto"/>
        <w:contextualSpacing w:val="0"/>
        <w:jc w:val="both"/>
        <w:rPr>
          <w:rFonts w:asciiTheme="minorHAnsi" w:hAnsiTheme="minorHAnsi"/>
          <w:i/>
          <w:iCs/>
          <w:sz w:val="24"/>
          <w:szCs w:val="24"/>
        </w:rPr>
      </w:pPr>
      <w:r w:rsidRPr="00DD39FA">
        <w:rPr>
          <w:rFonts w:asciiTheme="minorHAnsi" w:hAnsiTheme="minorHAnsi"/>
          <w:i/>
          <w:iCs/>
          <w:sz w:val="24"/>
          <w:szCs w:val="24"/>
        </w:rPr>
        <w:t>Odzież robocza, narzędzia, maszyny i środki transportu powinny być oczyszczone z IAS po ich użyciu;</w:t>
      </w:r>
    </w:p>
    <w:p w14:paraId="589B514E" w14:textId="77777777" w:rsidR="006F7B36" w:rsidRPr="00DD39FA" w:rsidRDefault="006F7B36" w:rsidP="00DD39FA">
      <w:pPr>
        <w:pStyle w:val="Akapitzlist"/>
        <w:numPr>
          <w:ilvl w:val="0"/>
          <w:numId w:val="19"/>
        </w:numPr>
        <w:spacing w:after="120" w:line="276" w:lineRule="auto"/>
        <w:contextualSpacing w:val="0"/>
        <w:jc w:val="both"/>
        <w:rPr>
          <w:rFonts w:asciiTheme="minorHAnsi" w:hAnsiTheme="minorHAnsi"/>
          <w:i/>
          <w:iCs/>
          <w:sz w:val="24"/>
          <w:szCs w:val="24"/>
        </w:rPr>
      </w:pPr>
      <w:r w:rsidRPr="00DD39FA">
        <w:rPr>
          <w:rFonts w:asciiTheme="minorHAnsi" w:hAnsiTheme="minorHAnsi"/>
          <w:i/>
          <w:iCs/>
          <w:sz w:val="24"/>
          <w:szCs w:val="24"/>
        </w:rPr>
        <w:lastRenderedPageBreak/>
        <w:t>W miarę możliwości na początkowym etapie ich rozwoju, a zwłaszcza przed kwitnieniem lub owocowaniem;</w:t>
      </w:r>
    </w:p>
    <w:p w14:paraId="598AFCF1" w14:textId="77777777" w:rsidR="006F7B36" w:rsidRPr="00DD39FA" w:rsidRDefault="006F7B36" w:rsidP="00DD39FA">
      <w:pPr>
        <w:pStyle w:val="Akapitzlist"/>
        <w:numPr>
          <w:ilvl w:val="0"/>
          <w:numId w:val="19"/>
        </w:numPr>
        <w:spacing w:after="120" w:line="276" w:lineRule="auto"/>
        <w:contextualSpacing w:val="0"/>
        <w:jc w:val="both"/>
        <w:rPr>
          <w:rFonts w:asciiTheme="minorHAnsi" w:hAnsiTheme="minorHAnsi"/>
          <w:i/>
          <w:iCs/>
          <w:sz w:val="24"/>
          <w:szCs w:val="24"/>
        </w:rPr>
      </w:pPr>
      <w:r w:rsidRPr="00DD39FA">
        <w:rPr>
          <w:rFonts w:asciiTheme="minorHAnsi" w:hAnsiTheme="minorHAnsi"/>
          <w:i/>
          <w:iCs/>
          <w:sz w:val="24"/>
          <w:szCs w:val="24"/>
        </w:rPr>
        <w:t>W pierwszej kolejności należy zastosować środki fizyczne, a jeśli same środki fizyczne nie będą skuteczne, należy zastosować środki chemiczne.</w:t>
      </w:r>
    </w:p>
    <w:p w14:paraId="35FBD6C4" w14:textId="77777777" w:rsidR="006F7B36" w:rsidRPr="00DD39FA" w:rsidRDefault="006F7B36" w:rsidP="00DD39FA">
      <w:pPr>
        <w:spacing w:after="120" w:line="276" w:lineRule="auto"/>
        <w:jc w:val="both"/>
        <w:rPr>
          <w:rFonts w:asciiTheme="minorHAnsi" w:hAnsiTheme="minorHAnsi"/>
          <w:sz w:val="24"/>
          <w:szCs w:val="24"/>
        </w:rPr>
      </w:pPr>
    </w:p>
    <w:p w14:paraId="14744051" w14:textId="598DF4F9"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Z usuniętą biomasą roślinną IAS postępuje się w różny sposób, w zależności od tego, czy planuje się ją zagospodarować w miejscu jej usunięcia, czy też konieczne jest jej przetransportowanie poza teren zakładu. W przypadku, gdy:</w:t>
      </w:r>
    </w:p>
    <w:p w14:paraId="4AD41388" w14:textId="77777777" w:rsidR="006F7B36" w:rsidRPr="00DD39FA" w:rsidRDefault="006F7B36" w:rsidP="00DD39FA">
      <w:pPr>
        <w:pStyle w:val="Akapitzlist"/>
        <w:numPr>
          <w:ilvl w:val="0"/>
          <w:numId w:val="20"/>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u w:val="single"/>
        </w:rPr>
        <w:t>pozostają w miejscu ich usunięcia</w:t>
      </w:r>
      <w:r w:rsidRPr="00DD39FA">
        <w:rPr>
          <w:rFonts w:asciiTheme="minorHAnsi" w:hAnsiTheme="minorHAnsi"/>
          <w:sz w:val="24"/>
          <w:szCs w:val="24"/>
        </w:rPr>
        <w:t xml:space="preserve"> - są pozostawiane na ziemi, gdziekolwiek:</w:t>
      </w:r>
    </w:p>
    <w:p w14:paraId="44FE1369" w14:textId="2A970A00" w:rsidR="006F7B36" w:rsidRPr="00DD39FA" w:rsidRDefault="006F7B36" w:rsidP="00DD39FA">
      <w:pPr>
        <w:spacing w:after="120" w:line="276" w:lineRule="auto"/>
        <w:ind w:left="993" w:hanging="284"/>
        <w:jc w:val="both"/>
        <w:rPr>
          <w:rFonts w:asciiTheme="minorHAnsi" w:hAnsiTheme="minorHAnsi"/>
          <w:sz w:val="24"/>
          <w:szCs w:val="24"/>
        </w:rPr>
      </w:pPr>
      <w:r w:rsidRPr="00DD39FA">
        <w:rPr>
          <w:rFonts w:asciiTheme="minorHAnsi" w:hAnsiTheme="minorHAnsi"/>
          <w:sz w:val="24"/>
          <w:szCs w:val="24"/>
        </w:rPr>
        <w:t>a)</w:t>
      </w:r>
      <w:r w:rsidRPr="00DD39FA">
        <w:rPr>
          <w:rFonts w:asciiTheme="minorHAnsi" w:hAnsiTheme="minorHAnsi"/>
          <w:sz w:val="24"/>
          <w:szCs w:val="24"/>
        </w:rPr>
        <w:tab/>
        <w:t xml:space="preserve">w przypadku, gdy usuwane rośliny należące do IAS zawierają nasiona - nasiona lub części roślin z nasionami należy zakopać na głębokość co najmniej 2 m (wyjątek w tym wykazie stanowi rdestowiec, jeżeli nie stosuje się </w:t>
      </w:r>
      <w:proofErr w:type="spellStart"/>
      <w:r w:rsidRPr="00DD39FA">
        <w:rPr>
          <w:rFonts w:asciiTheme="minorHAnsi" w:hAnsiTheme="minorHAnsi"/>
          <w:sz w:val="24"/>
          <w:szCs w:val="24"/>
        </w:rPr>
        <w:t>geomembrany</w:t>
      </w:r>
      <w:proofErr w:type="spellEnd"/>
      <w:r w:rsidRPr="00DD39FA">
        <w:rPr>
          <w:rFonts w:asciiTheme="minorHAnsi" w:hAnsiTheme="minorHAnsi"/>
          <w:sz w:val="24"/>
          <w:szCs w:val="24"/>
        </w:rPr>
        <w:t xml:space="preserve">  ;</w:t>
      </w:r>
    </w:p>
    <w:p w14:paraId="623B762A" w14:textId="77777777" w:rsidR="006F7B36" w:rsidRPr="00DD39FA" w:rsidRDefault="006F7B36" w:rsidP="00DD39FA">
      <w:pPr>
        <w:spacing w:after="120" w:line="276" w:lineRule="auto"/>
        <w:ind w:left="993" w:hanging="284"/>
        <w:jc w:val="both"/>
        <w:rPr>
          <w:rFonts w:asciiTheme="minorHAnsi" w:hAnsiTheme="minorHAnsi"/>
          <w:sz w:val="24"/>
          <w:szCs w:val="24"/>
        </w:rPr>
      </w:pPr>
      <w:r w:rsidRPr="00DD39FA">
        <w:rPr>
          <w:rFonts w:asciiTheme="minorHAnsi" w:hAnsiTheme="minorHAnsi"/>
          <w:sz w:val="24"/>
          <w:szCs w:val="24"/>
        </w:rPr>
        <w:t>b)</w:t>
      </w:r>
      <w:r w:rsidRPr="00DD39FA">
        <w:rPr>
          <w:rFonts w:asciiTheme="minorHAnsi" w:hAnsiTheme="minorHAnsi"/>
          <w:sz w:val="24"/>
          <w:szCs w:val="24"/>
        </w:rPr>
        <w:tab/>
        <w:t>jeżeli usunięte rośliny należące do IAS zawierają części inne niż nasiona, z których rośliny mogą się rozmnażać - części te należy odizolować od podłoża i chronić przed rozprzestrzenianiem się;</w:t>
      </w:r>
    </w:p>
    <w:p w14:paraId="5D7029B6" w14:textId="6451D8A7" w:rsidR="002206CF" w:rsidRPr="00DD39FA" w:rsidRDefault="006F7B36" w:rsidP="00DD39FA">
      <w:pPr>
        <w:pStyle w:val="Akapitzlist"/>
        <w:numPr>
          <w:ilvl w:val="0"/>
          <w:numId w:val="20"/>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u w:val="single"/>
        </w:rPr>
        <w:t>zostaną przetransportowane poza miejsce ich unieszkodliwiania</w:t>
      </w:r>
      <w:r w:rsidRPr="00DD39FA">
        <w:rPr>
          <w:rFonts w:asciiTheme="minorHAnsi" w:hAnsiTheme="minorHAnsi"/>
          <w:sz w:val="24"/>
          <w:szCs w:val="24"/>
        </w:rPr>
        <w:t xml:space="preserve"> - w przypadku możliwości ich rozmnożenia - zostaną zabezpieczone na czas transportu i przetworzone, w szczególności poprzez kompostowanie, </w:t>
      </w:r>
      <w:proofErr w:type="spellStart"/>
      <w:r w:rsidRPr="00DD39FA">
        <w:rPr>
          <w:rFonts w:asciiTheme="minorHAnsi" w:hAnsiTheme="minorHAnsi"/>
          <w:sz w:val="24"/>
          <w:szCs w:val="24"/>
        </w:rPr>
        <w:t>biofermentację</w:t>
      </w:r>
      <w:proofErr w:type="spellEnd"/>
      <w:r w:rsidRPr="00DD39FA">
        <w:rPr>
          <w:rFonts w:asciiTheme="minorHAnsi" w:hAnsiTheme="minorHAnsi"/>
          <w:sz w:val="24"/>
          <w:szCs w:val="24"/>
        </w:rPr>
        <w:t xml:space="preserve"> metanową, składowanie lub termiczne przekształcanie, w tym suszenie lub spalanie w instalacjach do tego uprawnionych.</w:t>
      </w:r>
    </w:p>
    <w:p w14:paraId="628F0A12" w14:textId="6ADDE391"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Ze względu na duże zróżnicowanie pomiędzy poszczególnymi aktami prawnymi w zakresie formalnej klasyfikacji poszczególnych gatunków jako inwazyjnych gatunków obcych wymagających działań zapobiegawczych (Dz.U.2022.2649), a jednocześnie obecność odpowiedniej wiedzy naukowej na temat takich gatunków i ich wpływu na środowisko (Tokarska-Guzik i in., 2012), przyjęliśmy szerokie podejście do identyfikacji gatunków inwazyjnych (zgodnie z definicją zawartą w rozporządzeniu w sprawie inwazyjnych gatunków obcych (UE 1143/2014)) w Planie działań na rzecz bioróżnorodności. Polska lista gatunków inwazyjnych podlegających formalnym działaniom jest bardzo ograniczona, jednak inne gatunki obce, które są powszechnie uznawane za inwazyjne w Polsce na podstawie badań naukowych i / lub globalnie uznanych wykazów obcych gatunków inwazyjnych (takich jak kompendium obcych gatunków inwazyjnych CABI lub Globalna Baza Danych Gatunków Inwazyjnych) mogą również występować w obszarze oddziaływania Projektu.  W związku z tym, oprócz gatunków formalnie uznanych za inwazyjne, uwzględniono wszystkie gatunki, które mogą </w:t>
      </w:r>
      <w:r w:rsidRPr="00DD39FA">
        <w:rPr>
          <w:rFonts w:asciiTheme="minorHAnsi" w:hAnsiTheme="minorHAnsi"/>
          <w:sz w:val="24"/>
          <w:szCs w:val="24"/>
        </w:rPr>
        <w:lastRenderedPageBreak/>
        <w:t>potencjalnie wystąpić na terenie Projektu i które wykazują cechy inwazyjności (w tym szybki wzrost i rozmnażanie, wysoką zdolność adaptacji, brak naturalnych wrogów i powodowane zagrożenia dla rodzimej flory).</w:t>
      </w:r>
    </w:p>
    <w:p w14:paraId="24822DDB" w14:textId="77777777"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W przypadku stwierdzenia gatunków stwarzających zagrożenie dla Unii Europejskiej lub Polski (oznaczonych w tabeli 1), zgodnie z ustawą o gatunkach obcych (Dz.U.2023.1589), "</w:t>
      </w:r>
      <w:r w:rsidRPr="00DD39FA">
        <w:rPr>
          <w:rFonts w:asciiTheme="minorHAnsi" w:hAnsiTheme="minorHAnsi"/>
          <w:i/>
          <w:iCs/>
          <w:sz w:val="24"/>
          <w:szCs w:val="24"/>
        </w:rPr>
        <w:t>kto stwierdzi występowanie w środowisku IAS stwarzającego zagrożenie dla Unii lub Polski - niezwłocznie zgłasza ten fakt wójtowi, burmistrzowi lub prezydentowi miasta, właściwemu ze względu na miejsce stwierdzenia występowania tego IAS w środowisku</w:t>
      </w:r>
      <w:r w:rsidRPr="00DD39FA">
        <w:rPr>
          <w:rFonts w:asciiTheme="minorHAnsi" w:hAnsiTheme="minorHAnsi"/>
          <w:sz w:val="24"/>
          <w:szCs w:val="24"/>
        </w:rPr>
        <w:t>".</w:t>
      </w:r>
    </w:p>
    <w:p w14:paraId="3125F1D1" w14:textId="77777777" w:rsidR="006F7B36" w:rsidRPr="00DD39FA" w:rsidRDefault="006F7B36"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Szczegóły zgłoszenia opisane są w ww. ustawie. Zgłoszenie przekazywane jest do właściwych organów administracji - właściwej miejscowo Regionalnej Dyrekcji Ochrony Środowiska lub właściwego miejscowo Urzędu Morskiego, w zależności od występowania gatunku w pasie nadbrzeżnym, technicznym lub ochronnym (wyznaczonym zgodnie z ustawą </w:t>
      </w:r>
      <w:r w:rsidRPr="00DD39FA">
        <w:rPr>
          <w:rFonts w:asciiTheme="minorHAnsi" w:hAnsiTheme="minorHAnsi"/>
          <w:i/>
          <w:iCs/>
          <w:sz w:val="24"/>
          <w:szCs w:val="24"/>
        </w:rPr>
        <w:t>o obszarach morskich Rzeczypospolitej Polskiej i administracji morskiej</w:t>
      </w:r>
      <w:r w:rsidRPr="00DD39FA">
        <w:rPr>
          <w:rFonts w:asciiTheme="minorHAnsi" w:hAnsiTheme="minorHAnsi"/>
          <w:sz w:val="24"/>
          <w:szCs w:val="24"/>
        </w:rPr>
        <w:t xml:space="preserve"> (Dz.U.2024.1125).</w:t>
      </w:r>
    </w:p>
    <w:p w14:paraId="3017C56A" w14:textId="72965D5A" w:rsidR="008B6E13" w:rsidRDefault="002206CF" w:rsidP="002206CF">
      <w:pPr>
        <w:pStyle w:val="Nagwek2"/>
      </w:pPr>
      <w:bookmarkStart w:id="30" w:name="_Toc239940816"/>
      <w:r>
        <w:t>3.2. Postępowanie z biomasą</w:t>
      </w:r>
      <w:bookmarkEnd w:id="30"/>
    </w:p>
    <w:p w14:paraId="191E48F1"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Ostateczna decyzja co do wyboru docelowej metody postępowania z biomasą (zagospodarowanie w miejscu występowania IGO lub przekazanie biomasy do przetwórców poza terenem zakładu) musi zostać potwierdzona na miejscu przez specjalistów pracujących nad projektem. Analiza lokalnych warunków miejsca zwalczania (np. wielkość, lokalizacja) ma kluczowe znaczenie dla podjęcia decyzji, czy biomasa może zostać pozostawiona na miejscu, czy też przewieziona poza teren zakładu. Ponadto, każdorazowo przy podejmowaniu wyżej wymienionej decyzji, w ramach optymalizacji operacji i minimalizacji ryzyka rozprzestrzeniania się IGO, należy wziąć pod uwagę poniższe czynniki: </w:t>
      </w:r>
    </w:p>
    <w:p w14:paraId="39E0F7D4" w14:textId="77777777" w:rsidR="002206CF" w:rsidRPr="00DD39FA" w:rsidRDefault="002206CF" w:rsidP="00DD39FA">
      <w:pPr>
        <w:pStyle w:val="Akapitzlist"/>
        <w:numPr>
          <w:ilvl w:val="0"/>
          <w:numId w:val="21"/>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rodzaj biomasy, w zależności od czasu zwalczania gatunku, tj. stadium rozwoju rośliny (nadziemne tegoroczne pędy, korzenie, kwiatostany i/lub owoce, nasiona) oraz zastosowanej metody. Właściwa ocena minimalizuje ryzyko rozprzestrzeniania się gatunku, jeśli na przykład obecne są kwiatostany/owoc lub nasiona;  </w:t>
      </w:r>
    </w:p>
    <w:p w14:paraId="0690554A" w14:textId="77777777" w:rsidR="002206CF" w:rsidRPr="00DD39FA" w:rsidRDefault="002206CF" w:rsidP="00DD39FA">
      <w:pPr>
        <w:pStyle w:val="Akapitzlist"/>
        <w:numPr>
          <w:ilvl w:val="0"/>
          <w:numId w:val="21"/>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ilość uzyskanej biomasy, pochodzącej z powierzchni zajmowanej przez IGO, sposób ich rozmieszczenia (biomasa pojedynczych osobników, rośliny występujące w rozproszonych lub małych skupiskach, duże płaty, gęste skupiska i płaty) oraz struktura wiekowa płatu (liczba osobników młodych i dorosłych/ kwitnących). </w:t>
      </w:r>
    </w:p>
    <w:p w14:paraId="6A24A01E" w14:textId="77777777" w:rsidR="002206CF" w:rsidRPr="00DD39FA" w:rsidRDefault="002206CF" w:rsidP="00DD39FA">
      <w:pPr>
        <w:pStyle w:val="Akapitzlist"/>
        <w:numPr>
          <w:ilvl w:val="0"/>
          <w:numId w:val="21"/>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Pozostawienie biomasy na miejscu występowania gatunku (bez układania w stosy) prowadzi z jednej strony do jej nagromadzenia, co może tymczasowo ograniczyć </w:t>
      </w:r>
      <w:r w:rsidRPr="00DD39FA">
        <w:rPr>
          <w:rFonts w:asciiTheme="minorHAnsi" w:hAnsiTheme="minorHAnsi"/>
          <w:sz w:val="24"/>
          <w:szCs w:val="24"/>
        </w:rPr>
        <w:lastRenderedPageBreak/>
        <w:t xml:space="preserve">wzrost roślin i uniemożliwić szybkie wykorzystanie terenu do innych celów. Z drugiej strony może to sprzyjać szybszemu wysychaniu biomasy;  </w:t>
      </w:r>
    </w:p>
    <w:p w14:paraId="1A1F8D7F" w14:textId="77777777" w:rsidR="002206CF" w:rsidRPr="00DD39FA" w:rsidRDefault="002206CF" w:rsidP="00DD39FA">
      <w:pPr>
        <w:pStyle w:val="Akapitzlist"/>
        <w:numPr>
          <w:ilvl w:val="0"/>
          <w:numId w:val="21"/>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możliwość wyznaczenia miejsca do składowania biomasy (np. przeznaczenie terenu, jego wielkość i obecność nasłonecznionych obszarów sprzyjających suszeniu biomasy) lub wjazdu na teren ze sprzętem do usuwania biomasy (jeśli dotyczy); </w:t>
      </w:r>
    </w:p>
    <w:p w14:paraId="4783F882" w14:textId="77777777" w:rsidR="002206CF" w:rsidRPr="00DD39FA" w:rsidRDefault="002206CF" w:rsidP="00DD39FA">
      <w:pPr>
        <w:pStyle w:val="Akapitzlist"/>
        <w:numPr>
          <w:ilvl w:val="0"/>
          <w:numId w:val="21"/>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charakterystykę miejsca, w którym przeprowadzono zwalczanie gatunku (w tym warunki siedliskowe, obecność cennych siedlisk przyrodniczych i gatunków chronionych, uwarunkowania własnościowe, prawne, komunikacyjne itp.), która determinuje zastosowanie metody postępowania z biomasą zarówno na miejscu, jak i metody przygotowania do transportu poza teren; </w:t>
      </w:r>
    </w:p>
    <w:p w14:paraId="2CE175FC" w14:textId="77777777" w:rsidR="002206CF" w:rsidRPr="00DD39FA" w:rsidRDefault="002206CF" w:rsidP="00DD39FA">
      <w:pPr>
        <w:pStyle w:val="Akapitzlist"/>
        <w:numPr>
          <w:ilvl w:val="0"/>
          <w:numId w:val="21"/>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 xml:space="preserve">wiedza na temat sposobów rozprzestrzeniania się gatunku i związanej z tym potrzeby zabezpieczeń podczas obchodzenia się z biomasą na terenie zakładu, a także sposobu przygotowania jej do ewentualnego transportu poza teren zakładu; </w:t>
      </w:r>
    </w:p>
    <w:p w14:paraId="60780775" w14:textId="77777777" w:rsidR="002206CF" w:rsidRPr="00DD39FA" w:rsidRDefault="002206CF" w:rsidP="00DD39FA">
      <w:pPr>
        <w:pStyle w:val="Akapitzlist"/>
        <w:numPr>
          <w:ilvl w:val="0"/>
          <w:numId w:val="21"/>
        </w:numPr>
        <w:spacing w:after="120" w:line="276" w:lineRule="auto"/>
        <w:contextualSpacing w:val="0"/>
        <w:jc w:val="both"/>
        <w:rPr>
          <w:rFonts w:asciiTheme="minorHAnsi" w:hAnsiTheme="minorHAnsi"/>
          <w:sz w:val="24"/>
          <w:szCs w:val="24"/>
        </w:rPr>
      </w:pPr>
      <w:r w:rsidRPr="00DD39FA">
        <w:rPr>
          <w:rFonts w:asciiTheme="minorHAnsi" w:hAnsiTheme="minorHAnsi"/>
          <w:sz w:val="24"/>
          <w:szCs w:val="24"/>
        </w:rPr>
        <w:t>ewentualne ograniczenia wynikające z obowiązujących przepisów prawa</w:t>
      </w:r>
      <w:r w:rsidRPr="00DD39FA">
        <w:rPr>
          <w:rStyle w:val="Odwoanieprzypisudolnego"/>
          <w:rFonts w:asciiTheme="minorHAnsi" w:hAnsiTheme="minorHAnsi"/>
          <w:sz w:val="24"/>
          <w:szCs w:val="24"/>
        </w:rPr>
        <w:footnoteReference w:id="54"/>
      </w:r>
    </w:p>
    <w:p w14:paraId="77C2F535" w14:textId="77777777" w:rsidR="002206CF" w:rsidRPr="00DD39FA" w:rsidRDefault="002206CF" w:rsidP="00DD39FA">
      <w:pPr>
        <w:spacing w:after="120" w:line="276" w:lineRule="auto"/>
        <w:jc w:val="both"/>
        <w:rPr>
          <w:rFonts w:asciiTheme="minorHAnsi" w:hAnsiTheme="minorHAnsi"/>
          <w:sz w:val="24"/>
          <w:szCs w:val="24"/>
        </w:rPr>
      </w:pPr>
    </w:p>
    <w:p w14:paraId="0D45ED11"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Zgodnie z przepisami Ustawy o odpadach (Dz.U.2023.1587) oraz Dyrektywy Parlamentu Europejskiego i Rady 2008/98/WE postępowanie z biomasą powinno przyjąć następującą hierarchię:</w:t>
      </w:r>
    </w:p>
    <w:p w14:paraId="4EA44D90"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1. Wykorzystanie biomasy jako surowca w miejscu jej eliminacji.</w:t>
      </w:r>
    </w:p>
    <w:p w14:paraId="1040637C"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2. Przekazanie biomasy do zagospodarowania poza terenem wytworzenia jako </w:t>
      </w:r>
      <w:proofErr w:type="spellStart"/>
      <w:r w:rsidRPr="00DD39FA">
        <w:rPr>
          <w:rFonts w:asciiTheme="minorHAnsi" w:hAnsiTheme="minorHAnsi"/>
          <w:sz w:val="24"/>
          <w:szCs w:val="24"/>
        </w:rPr>
        <w:t>bioodpadu</w:t>
      </w:r>
      <w:proofErr w:type="spellEnd"/>
      <w:r w:rsidRPr="00DD39FA">
        <w:rPr>
          <w:rFonts w:asciiTheme="minorHAnsi" w:hAnsiTheme="minorHAnsi"/>
          <w:sz w:val="24"/>
          <w:szCs w:val="24"/>
        </w:rPr>
        <w:t>, który podlega dalszej obróbce zgodnie z następującą hierarchią:</w:t>
      </w:r>
    </w:p>
    <w:p w14:paraId="11353B2E" w14:textId="77777777" w:rsidR="002206CF" w:rsidRPr="00DD39FA" w:rsidRDefault="002206CF" w:rsidP="00DD39FA">
      <w:pPr>
        <w:numPr>
          <w:ilvl w:val="0"/>
          <w:numId w:val="22"/>
        </w:numPr>
        <w:spacing w:after="120" w:line="276" w:lineRule="auto"/>
        <w:jc w:val="both"/>
        <w:rPr>
          <w:rFonts w:asciiTheme="minorHAnsi" w:hAnsiTheme="minorHAnsi"/>
          <w:sz w:val="24"/>
          <w:szCs w:val="24"/>
        </w:rPr>
      </w:pPr>
      <w:r w:rsidRPr="00DD39FA">
        <w:rPr>
          <w:rFonts w:asciiTheme="minorHAnsi" w:hAnsiTheme="minorHAnsi"/>
          <w:sz w:val="24"/>
          <w:szCs w:val="24"/>
        </w:rPr>
        <w:t xml:space="preserve">recykling, w tym recykling organiczny, tj. kompostowanie lub </w:t>
      </w:r>
      <w:proofErr w:type="spellStart"/>
      <w:r w:rsidRPr="00DD39FA">
        <w:rPr>
          <w:rFonts w:asciiTheme="minorHAnsi" w:hAnsiTheme="minorHAnsi"/>
          <w:sz w:val="24"/>
          <w:szCs w:val="24"/>
        </w:rPr>
        <w:t>biofermentacja</w:t>
      </w:r>
      <w:proofErr w:type="spellEnd"/>
      <w:r w:rsidRPr="00DD39FA">
        <w:rPr>
          <w:rFonts w:asciiTheme="minorHAnsi" w:hAnsiTheme="minorHAnsi"/>
          <w:sz w:val="24"/>
          <w:szCs w:val="24"/>
        </w:rPr>
        <w:t>, które wytwarzają materię organiczną lub metan,</w:t>
      </w:r>
    </w:p>
    <w:p w14:paraId="422C10DA" w14:textId="77777777" w:rsidR="002206CF" w:rsidRPr="00DD39FA" w:rsidRDefault="002206CF" w:rsidP="00DD39FA">
      <w:pPr>
        <w:numPr>
          <w:ilvl w:val="0"/>
          <w:numId w:val="22"/>
        </w:numPr>
        <w:spacing w:after="120" w:line="276" w:lineRule="auto"/>
        <w:jc w:val="both"/>
        <w:rPr>
          <w:rFonts w:asciiTheme="minorHAnsi" w:hAnsiTheme="minorHAnsi"/>
          <w:sz w:val="24"/>
          <w:szCs w:val="24"/>
        </w:rPr>
      </w:pPr>
      <w:r w:rsidRPr="00DD39FA">
        <w:rPr>
          <w:rFonts w:asciiTheme="minorHAnsi" w:hAnsiTheme="minorHAnsi"/>
          <w:sz w:val="24"/>
          <w:szCs w:val="24"/>
        </w:rPr>
        <w:t xml:space="preserve">przetwarzanie, tj. spalanie w spalarniach lub </w:t>
      </w:r>
      <w:proofErr w:type="spellStart"/>
      <w:r w:rsidRPr="00DD39FA">
        <w:rPr>
          <w:rFonts w:asciiTheme="minorHAnsi" w:hAnsiTheme="minorHAnsi"/>
          <w:sz w:val="24"/>
          <w:szCs w:val="24"/>
        </w:rPr>
        <w:t>współspalarniach</w:t>
      </w:r>
      <w:proofErr w:type="spellEnd"/>
      <w:r w:rsidRPr="00DD39FA">
        <w:rPr>
          <w:rFonts w:asciiTheme="minorHAnsi" w:hAnsiTheme="minorHAnsi"/>
          <w:sz w:val="24"/>
          <w:szCs w:val="24"/>
        </w:rPr>
        <w:t xml:space="preserve"> z odzyskiem energii,</w:t>
      </w:r>
    </w:p>
    <w:p w14:paraId="2F8F5D6D" w14:textId="77777777" w:rsidR="002206CF" w:rsidRPr="00DD39FA" w:rsidRDefault="002206CF" w:rsidP="00DD39FA">
      <w:pPr>
        <w:numPr>
          <w:ilvl w:val="0"/>
          <w:numId w:val="22"/>
        </w:numPr>
        <w:spacing w:after="120" w:line="276" w:lineRule="auto"/>
        <w:jc w:val="both"/>
        <w:rPr>
          <w:rFonts w:asciiTheme="minorHAnsi" w:hAnsiTheme="minorHAnsi"/>
          <w:sz w:val="24"/>
          <w:szCs w:val="24"/>
        </w:rPr>
      </w:pPr>
      <w:r w:rsidRPr="00DD39FA">
        <w:rPr>
          <w:rFonts w:asciiTheme="minorHAnsi" w:hAnsiTheme="minorHAnsi"/>
          <w:sz w:val="24"/>
          <w:szCs w:val="24"/>
        </w:rPr>
        <w:t>unieszkodliwianie, tj. spalanie w spalarniach bez odzysku energii lub składowanie, jeżeli unieszkodliwienie w inny sposób nie było możliwe.</w:t>
      </w:r>
    </w:p>
    <w:p w14:paraId="29FFFD75"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Zgodnie z zasadą bliskości, która oznacza, że odpady powinny być przekazywane do najbliższych uprawnionych miejsc w celu przetworzenia, zagospodarowania, tak aby wpływ na środowisko spowodowany transportem nie przeważył nad wyborem technologii zwalczania inwazyjnych gatunków obcych</w:t>
      </w:r>
      <w:r w:rsidRPr="00DD39FA">
        <w:rPr>
          <w:rFonts w:asciiTheme="minorHAnsi" w:hAnsiTheme="minorHAnsi"/>
          <w:sz w:val="24"/>
          <w:szCs w:val="24"/>
          <w:lang w:val="en-US"/>
        </w:rPr>
        <w:fldChar w:fldCharType="begin"/>
      </w:r>
      <w:r w:rsidRPr="00DD39FA">
        <w:rPr>
          <w:rFonts w:asciiTheme="minorHAnsi" w:hAnsiTheme="minorHAnsi"/>
          <w:sz w:val="24"/>
          <w:szCs w:val="24"/>
        </w:rPr>
        <w:instrText xml:space="preserve"> ADDIN ZOTERO_ITEM CSL_CITATION {"citationID":"ULVOGbo5","properties":{"formattedCitation":"(Dz.U.2023.1587, n.d.)","plainCitation":"(Dz.U.2023.1587, n.d.)","dontUpdate":true,"noteIndex":0},"citationItems":[{"id":32,"uris":["http://zotero.org/users/local/WHLSCuHh/items/UFICKWRH"],"itemData":{"id":32,"type":"webpage","title":"Ustawa z dnia 14 grudnia 2012 r. o odpadach","URL":"https://isap.sejm.gov.pl/isap.nsf/DocDetails.xsp?id=WDU20130000021","author":[{"family":"Dz.U.2023.1587","given":""}],"accessed":{"date-parts":[["2024",12,10]]}}}],"schema":"https://github.com/citation-style-language/schema/raw/master/csl-citation.json"} </w:instrText>
      </w:r>
      <w:r w:rsidRPr="00DD39FA">
        <w:rPr>
          <w:rFonts w:asciiTheme="minorHAnsi" w:hAnsiTheme="minorHAnsi"/>
          <w:sz w:val="24"/>
          <w:szCs w:val="24"/>
          <w:lang w:val="en-US"/>
        </w:rPr>
        <w:fldChar w:fldCharType="separate"/>
      </w:r>
      <w:r w:rsidRPr="00DD39FA">
        <w:rPr>
          <w:rFonts w:asciiTheme="minorHAnsi" w:hAnsiTheme="minorHAnsi"/>
          <w:sz w:val="24"/>
          <w:szCs w:val="24"/>
        </w:rPr>
        <w:t xml:space="preserve"> (Dz.U.2023.1587)</w:t>
      </w:r>
      <w:r w:rsidRPr="00DD39FA">
        <w:rPr>
          <w:rFonts w:asciiTheme="minorHAnsi" w:hAnsiTheme="minorHAnsi"/>
          <w:sz w:val="24"/>
          <w:szCs w:val="24"/>
        </w:rPr>
        <w:fldChar w:fldCharType="end"/>
      </w:r>
      <w:r w:rsidRPr="00DD39FA">
        <w:rPr>
          <w:rFonts w:asciiTheme="minorHAnsi" w:hAnsiTheme="minorHAnsi"/>
          <w:sz w:val="24"/>
          <w:szCs w:val="24"/>
        </w:rPr>
        <w:t xml:space="preserve">, następujące miejsca są </w:t>
      </w:r>
      <w:r w:rsidRPr="00DD39FA">
        <w:rPr>
          <w:rFonts w:asciiTheme="minorHAnsi" w:hAnsiTheme="minorHAnsi"/>
          <w:sz w:val="24"/>
          <w:szCs w:val="24"/>
        </w:rPr>
        <w:lastRenderedPageBreak/>
        <w:t>dostępne, jeśli konieczne jest zagospodarowanie inwazyjnych gatunków obcych poza terenem zakładu:</w:t>
      </w:r>
    </w:p>
    <w:p w14:paraId="5CAB49B1" w14:textId="0F4926E6" w:rsidR="002206CF" w:rsidRPr="00DD39FA" w:rsidRDefault="00880F0D" w:rsidP="00DD39FA">
      <w:pPr>
        <w:numPr>
          <w:ilvl w:val="0"/>
          <w:numId w:val="23"/>
        </w:numPr>
        <w:spacing w:after="120" w:line="276" w:lineRule="auto"/>
        <w:jc w:val="both"/>
        <w:rPr>
          <w:rFonts w:asciiTheme="minorHAnsi" w:hAnsiTheme="minorHAnsi"/>
          <w:sz w:val="24"/>
          <w:szCs w:val="24"/>
        </w:rPr>
      </w:pPr>
      <w:r w:rsidRPr="00DD39FA">
        <w:rPr>
          <w:rFonts w:asciiTheme="minorHAnsi" w:hAnsiTheme="minorHAnsi"/>
          <w:sz w:val="24"/>
          <w:szCs w:val="24"/>
        </w:rPr>
        <w:t xml:space="preserve">Recykling: </w:t>
      </w:r>
      <w:r w:rsidR="00862AC8" w:rsidRPr="00DD39FA">
        <w:rPr>
          <w:rFonts w:asciiTheme="minorHAnsi" w:hAnsiTheme="minorHAnsi"/>
          <w:sz w:val="24"/>
          <w:szCs w:val="24"/>
        </w:rPr>
        <w:t>Zakład Unieszkodliwiania i Odzysku Odpadów Nysa, ul. Domaszkowice 156, 48-303 Nysa</w:t>
      </w:r>
      <w:r w:rsidR="00F27B48" w:rsidRPr="00DD39FA">
        <w:rPr>
          <w:rFonts w:asciiTheme="minorHAnsi" w:hAnsiTheme="minorHAnsi"/>
          <w:sz w:val="24"/>
          <w:szCs w:val="24"/>
        </w:rPr>
        <w:t>, około 54 km.</w:t>
      </w:r>
    </w:p>
    <w:p w14:paraId="3237037D" w14:textId="77777777" w:rsidR="002206CF" w:rsidRPr="00DD39FA" w:rsidRDefault="002206CF" w:rsidP="00DD39FA">
      <w:pPr>
        <w:numPr>
          <w:ilvl w:val="0"/>
          <w:numId w:val="23"/>
        </w:numPr>
        <w:spacing w:after="120" w:line="276" w:lineRule="auto"/>
        <w:jc w:val="both"/>
        <w:rPr>
          <w:rFonts w:asciiTheme="minorHAnsi" w:hAnsiTheme="minorHAnsi"/>
          <w:sz w:val="24"/>
          <w:szCs w:val="24"/>
        </w:rPr>
      </w:pPr>
      <w:r w:rsidRPr="00DD39FA">
        <w:rPr>
          <w:rFonts w:asciiTheme="minorHAnsi" w:hAnsiTheme="minorHAnsi"/>
          <w:sz w:val="24"/>
          <w:szCs w:val="24"/>
        </w:rPr>
        <w:t>Przetwarzanie: W pobliżu nie ma instalacji, która spełniałaby wymagane kryteria licencjonowania lub odległości.</w:t>
      </w:r>
    </w:p>
    <w:p w14:paraId="695B8FDB" w14:textId="1F0064C7" w:rsidR="002206CF" w:rsidRPr="00DD39FA" w:rsidRDefault="002206CF" w:rsidP="00DD39FA">
      <w:pPr>
        <w:numPr>
          <w:ilvl w:val="0"/>
          <w:numId w:val="23"/>
        </w:numPr>
        <w:spacing w:after="120" w:line="276" w:lineRule="auto"/>
        <w:jc w:val="both"/>
        <w:rPr>
          <w:rFonts w:asciiTheme="minorHAnsi" w:hAnsiTheme="minorHAnsi"/>
          <w:sz w:val="24"/>
          <w:szCs w:val="24"/>
        </w:rPr>
      </w:pPr>
      <w:r w:rsidRPr="00DD39FA">
        <w:rPr>
          <w:rFonts w:asciiTheme="minorHAnsi" w:hAnsiTheme="minorHAnsi"/>
          <w:sz w:val="24"/>
          <w:szCs w:val="24"/>
        </w:rPr>
        <w:t xml:space="preserve">Utylizacja: </w:t>
      </w:r>
      <w:r w:rsidR="00862AC8" w:rsidRPr="00DD39FA">
        <w:rPr>
          <w:rFonts w:asciiTheme="minorHAnsi" w:hAnsiTheme="minorHAnsi"/>
          <w:sz w:val="24"/>
          <w:szCs w:val="24"/>
        </w:rPr>
        <w:t>Zakład Unieszkodliwiania i Odzysku Odpadów Nysa, ul. Domaszkowice 156, 48-303 Nysa, około 54 km.</w:t>
      </w:r>
    </w:p>
    <w:p w14:paraId="78AAB76C"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Wykaz instalacji i działań służących do transportu IGO poza miejsce powstania powinien być brany pod uwagę tylko wtedy, gdy unieszkodliwienie biomasy na miejscu nie jest technicznie możliwe lub prawdopodobnie nie będzie skuteczne - nie będzie możliwe spełnienie warunku wykorzystania biomateriału w miejscu eliminacji. Zgodnie z hierarchią ustanowioną przez polskie prawo, dany zakład unieszkodliwiania odpadów powinien być brany pod uwagę tylko wtedy, gdy nie będzie możliwe przetransportowanie bioodpadów do zakładu recyklingu.</w:t>
      </w:r>
    </w:p>
    <w:p w14:paraId="484B9588"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O wyborze odpowiedniego miejsca do zagospodarowania materiału pochodzącego z działań zaradczych związanych z inwazyjnymi gatunkami obcymi (IGO) decyduje specjalista. W oparciu o wiedzę ekspercką połączoną z dogłębną znajomością lokalnych warunków przyrodniczych, wyznaczane są miejsca depozycji lub zagospodarowania, które minimalizują ryzyko ponownego rozprzestrzenienia się gatunków inwazyjnych i zapewniają ochronę rodzimych ekosystemów. Podczas prowadzenia nadzoru przyrodniczego we własnym zakresie, przy wyznaczaniu miejsca zagospodarowania biomasy do likwidacji należy wziąć pod uwagę wpływ na ewentualne zakłócenia jakości wód powierzchniowych i gruntowych, gleb, powietrza oraz warunków bytowania roślin i zwierząt.</w:t>
      </w:r>
    </w:p>
    <w:p w14:paraId="16B46072" w14:textId="77777777" w:rsidR="002206CF" w:rsidRPr="00DD39FA" w:rsidRDefault="002206CF" w:rsidP="00DD39FA">
      <w:pPr>
        <w:spacing w:after="120" w:line="276" w:lineRule="auto"/>
        <w:jc w:val="both"/>
        <w:rPr>
          <w:rFonts w:asciiTheme="minorHAnsi" w:hAnsiTheme="minorHAnsi"/>
          <w:sz w:val="24"/>
          <w:szCs w:val="24"/>
        </w:rPr>
      </w:pPr>
      <w:r w:rsidRPr="00DD39FA">
        <w:rPr>
          <w:rFonts w:asciiTheme="minorHAnsi" w:hAnsiTheme="minorHAnsi"/>
          <w:sz w:val="24"/>
          <w:szCs w:val="24"/>
        </w:rPr>
        <w:t xml:space="preserve">Niedopuszczalne jest również gospodarowanie biomasą IAG w bezpośredniej bliskości siedlisk przyrodniczych nienaruszonych przez gatunki obce (należy zachować co najmniej ok. 50-metrową strefę buforową). Zagospodarowanie biomasy inwazyjnych gatunków inwazyjnych powinno być prowadzone jak najdalej od siedlisk i cieków wodnych nieobjętych inwazją (50 m to wartość minimalna - jeśli nie jest możliwe spełnienie tego warunku, należy zrezygnować z zagospodarowania biomasy w miejscu eliminacji). Zbieranie w pryzmy, czy zakopywanie, również powinno odbywać się na możliwie płaskiej powierzchni, aby ograniczyć przemieszczanie się wody/materiału roślinnego. Zagospodarowanie biomasy w miejscu eliminacji jest również niemożliwe w przypadkach, gdy ilość wytworzonej biomasy może być tak duża, że składowanie na miejscu mogłoby negatywnie wpłynąć na środowisko, np. prowadząc do zmian w składzie </w:t>
      </w:r>
      <w:r w:rsidRPr="00DD39FA">
        <w:rPr>
          <w:rFonts w:asciiTheme="minorHAnsi" w:hAnsiTheme="minorHAnsi"/>
          <w:sz w:val="24"/>
          <w:szCs w:val="24"/>
        </w:rPr>
        <w:lastRenderedPageBreak/>
        <w:t>gleby lub mikroflory (mało prawdopodobne w tym przypadku), lub obszar nie jest wystarczająco duży, a składowanie biomasy nie jest bezpieczne dla otaczającego środowiska. Jeśli nie jest możliwe zagospodarowanie biomateriału w miejscu prowadzenia działań naprawczych, dopuszczalne jest zagospodarowanie go na obszarze bezpośrednio przyległym, jeśli w pełni spełnia on kryteria opisane powyżej (może wystąpić przemieszczanie biomasy na krótkie odległości w obrębie tej samej strefy roboczej, należy zawsze zachować warunek minimalnego bufora 50 m od siedlisk przyrodniczych).</w:t>
      </w:r>
    </w:p>
    <w:p w14:paraId="62648405" w14:textId="77777777" w:rsidR="00862AC8" w:rsidRPr="00E273C5" w:rsidRDefault="00862AC8" w:rsidP="002206CF">
      <w:pPr>
        <w:jc w:val="both"/>
      </w:pPr>
    </w:p>
    <w:p w14:paraId="750EC39F" w14:textId="1DF4D542" w:rsidR="00862AC8" w:rsidRPr="00DD39FA" w:rsidRDefault="00862AC8" w:rsidP="00DD39FA">
      <w:pPr>
        <w:pStyle w:val="Legenda"/>
        <w:keepNext/>
        <w:jc w:val="both"/>
        <w:rPr>
          <w:rFonts w:asciiTheme="minorHAnsi" w:hAnsiTheme="minorHAnsi"/>
          <w:b w:val="0"/>
          <w:bCs/>
          <w:color w:val="000000" w:themeColor="text1"/>
          <w:sz w:val="24"/>
          <w:szCs w:val="24"/>
        </w:rPr>
      </w:pPr>
      <w:bookmarkStart w:id="31" w:name="_Toc239940748"/>
      <w:r w:rsidRPr="00DD39FA">
        <w:rPr>
          <w:rFonts w:asciiTheme="minorHAnsi" w:hAnsiTheme="minorHAnsi"/>
          <w:b w:val="0"/>
          <w:bCs/>
          <w:color w:val="000000" w:themeColor="text1"/>
          <w:sz w:val="24"/>
          <w:szCs w:val="24"/>
        </w:rPr>
        <w:t xml:space="preserve">Tabela </w:t>
      </w:r>
      <w:r w:rsidRPr="00DD39FA">
        <w:rPr>
          <w:rFonts w:asciiTheme="minorHAnsi" w:hAnsiTheme="minorHAnsi"/>
          <w:b w:val="0"/>
          <w:bCs/>
          <w:color w:val="000000" w:themeColor="text1"/>
          <w:sz w:val="24"/>
          <w:szCs w:val="24"/>
        </w:rPr>
        <w:fldChar w:fldCharType="begin"/>
      </w:r>
      <w:r w:rsidRPr="00DD39FA">
        <w:rPr>
          <w:rFonts w:asciiTheme="minorHAnsi" w:hAnsiTheme="minorHAnsi"/>
          <w:b w:val="0"/>
          <w:bCs/>
          <w:color w:val="000000" w:themeColor="text1"/>
          <w:sz w:val="24"/>
          <w:szCs w:val="24"/>
        </w:rPr>
        <w:instrText>SEQ Tabela \* ARABIC</w:instrText>
      </w:r>
      <w:r w:rsidRPr="00DD39FA">
        <w:rPr>
          <w:rFonts w:asciiTheme="minorHAnsi" w:hAnsiTheme="minorHAnsi"/>
          <w:b w:val="0"/>
          <w:bCs/>
          <w:color w:val="000000" w:themeColor="text1"/>
          <w:sz w:val="24"/>
          <w:szCs w:val="24"/>
        </w:rPr>
        <w:fldChar w:fldCharType="separate"/>
      </w:r>
      <w:r w:rsidR="003A1319" w:rsidRPr="00DD39FA">
        <w:rPr>
          <w:rFonts w:asciiTheme="minorHAnsi" w:hAnsiTheme="minorHAnsi"/>
          <w:b w:val="0"/>
          <w:bCs/>
          <w:noProof/>
          <w:color w:val="000000" w:themeColor="text1"/>
          <w:sz w:val="24"/>
          <w:szCs w:val="24"/>
        </w:rPr>
        <w:t>2</w:t>
      </w:r>
      <w:r w:rsidRPr="00DD39FA">
        <w:rPr>
          <w:rFonts w:asciiTheme="minorHAnsi" w:hAnsiTheme="minorHAnsi"/>
          <w:b w:val="0"/>
          <w:bCs/>
          <w:color w:val="000000" w:themeColor="text1"/>
          <w:sz w:val="24"/>
          <w:szCs w:val="24"/>
        </w:rPr>
        <w:fldChar w:fldCharType="end"/>
      </w:r>
      <w:r w:rsidRPr="00DD39FA">
        <w:rPr>
          <w:rFonts w:asciiTheme="minorHAnsi" w:hAnsiTheme="minorHAnsi"/>
          <w:b w:val="0"/>
          <w:bCs/>
          <w:color w:val="000000" w:themeColor="text1"/>
          <w:sz w:val="24"/>
          <w:szCs w:val="24"/>
        </w:rPr>
        <w:t xml:space="preserve"> Metody zagospodarowania biomasy powstałej w wyniku przeciwdziałania gatunkom inwazyjnym.</w:t>
      </w:r>
      <w:bookmarkEnd w:id="31"/>
    </w:p>
    <w:tbl>
      <w:tblPr>
        <w:tblStyle w:val="Tabela-Siatka1"/>
        <w:tblW w:w="9067" w:type="dxa"/>
        <w:tblInd w:w="0" w:type="dxa"/>
        <w:tblLook w:val="04A0" w:firstRow="1" w:lastRow="0" w:firstColumn="1" w:lastColumn="0" w:noHBand="0" w:noVBand="1"/>
      </w:tblPr>
      <w:tblGrid>
        <w:gridCol w:w="3562"/>
        <w:gridCol w:w="5505"/>
      </w:tblGrid>
      <w:tr w:rsidR="00862AC8" w:rsidRPr="00935E3A" w14:paraId="6CC26207" w14:textId="77777777" w:rsidTr="00935E3A">
        <w:trPr>
          <w:tblHeader/>
        </w:trPr>
        <w:tc>
          <w:tcPr>
            <w:tcW w:w="3562"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11092EB8" w14:textId="77777777" w:rsidR="00862AC8" w:rsidRPr="00935E3A" w:rsidRDefault="00862AC8" w:rsidP="00935E3A">
            <w:pPr>
              <w:tabs>
                <w:tab w:val="left" w:pos="5760"/>
              </w:tabs>
              <w:spacing w:after="120" w:line="276" w:lineRule="auto"/>
              <w:jc w:val="center"/>
              <w:rPr>
                <w:rFonts w:asciiTheme="minorHAnsi" w:eastAsia="Calibri" w:hAnsiTheme="minorHAnsi"/>
                <w:b/>
                <w:sz w:val="18"/>
                <w:szCs w:val="18"/>
              </w:rPr>
            </w:pPr>
            <w:r w:rsidRPr="00935E3A">
              <w:rPr>
                <w:rFonts w:asciiTheme="minorHAnsi" w:eastAsia="Calibri" w:hAnsiTheme="minorHAnsi"/>
                <w:b/>
                <w:sz w:val="18"/>
                <w:szCs w:val="18"/>
              </w:rPr>
              <w:t>Nazwa metody</w:t>
            </w:r>
          </w:p>
        </w:tc>
        <w:tc>
          <w:tcPr>
            <w:tcW w:w="5505"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851FF78" w14:textId="77777777" w:rsidR="00862AC8" w:rsidRPr="00935E3A" w:rsidRDefault="00862AC8" w:rsidP="00935E3A">
            <w:pPr>
              <w:tabs>
                <w:tab w:val="left" w:pos="5760"/>
              </w:tabs>
              <w:spacing w:after="120" w:line="276" w:lineRule="auto"/>
              <w:jc w:val="center"/>
              <w:rPr>
                <w:rFonts w:asciiTheme="minorHAnsi" w:eastAsia="Calibri" w:hAnsiTheme="minorHAnsi"/>
                <w:b/>
                <w:sz w:val="18"/>
                <w:szCs w:val="18"/>
              </w:rPr>
            </w:pPr>
            <w:r w:rsidRPr="00935E3A">
              <w:rPr>
                <w:rFonts w:asciiTheme="minorHAnsi" w:eastAsia="Calibri" w:hAnsiTheme="minorHAnsi"/>
                <w:b/>
                <w:sz w:val="18"/>
                <w:szCs w:val="18"/>
              </w:rPr>
              <w:t>Gatunek</w:t>
            </w:r>
          </w:p>
        </w:tc>
      </w:tr>
      <w:tr w:rsidR="00862AC8" w:rsidRPr="00935E3A" w14:paraId="070261CC" w14:textId="77777777" w:rsidTr="00935E3A">
        <w:tc>
          <w:tcPr>
            <w:tcW w:w="9067"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783792A9" w14:textId="77777777" w:rsidR="00862AC8" w:rsidRPr="00935E3A" w:rsidRDefault="00862AC8" w:rsidP="00935E3A">
            <w:pPr>
              <w:tabs>
                <w:tab w:val="left" w:pos="5760"/>
              </w:tabs>
              <w:spacing w:after="120" w:line="276" w:lineRule="auto"/>
              <w:jc w:val="both"/>
              <w:rPr>
                <w:rFonts w:asciiTheme="minorHAnsi" w:eastAsia="Calibri" w:hAnsiTheme="minorHAnsi"/>
                <w:bCs/>
                <w:sz w:val="18"/>
                <w:szCs w:val="18"/>
              </w:rPr>
            </w:pPr>
            <w:r w:rsidRPr="00935E3A">
              <w:rPr>
                <w:rFonts w:asciiTheme="minorHAnsi" w:eastAsia="Calibri" w:hAnsiTheme="minorHAnsi"/>
                <w:bCs/>
                <w:sz w:val="18"/>
                <w:szCs w:val="18"/>
              </w:rPr>
              <w:t>Jeśli biomateriał zostanie pozostawiony w miejscu jego usunięcia</w:t>
            </w:r>
          </w:p>
        </w:tc>
      </w:tr>
      <w:tr w:rsidR="00862AC8" w:rsidRPr="00935E3A" w14:paraId="647B50B5" w14:textId="77777777" w:rsidTr="00DD39FA">
        <w:tc>
          <w:tcPr>
            <w:tcW w:w="3562" w:type="dxa"/>
            <w:tcBorders>
              <w:top w:val="single" w:sz="4" w:space="0" w:color="auto"/>
              <w:left w:val="single" w:sz="4" w:space="0" w:color="auto"/>
              <w:bottom w:val="single" w:sz="4" w:space="0" w:color="auto"/>
              <w:right w:val="single" w:sz="4" w:space="0" w:color="auto"/>
            </w:tcBorders>
            <w:vAlign w:val="center"/>
            <w:hideMark/>
          </w:tcPr>
          <w:p w14:paraId="016E8117"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Zakopywanie (jeśli zaobserwowano osobniki z kwiatami/nasionami/owocami*)</w:t>
            </w:r>
          </w:p>
        </w:tc>
        <w:tc>
          <w:tcPr>
            <w:tcW w:w="5505" w:type="dxa"/>
            <w:tcBorders>
              <w:top w:val="single" w:sz="4" w:space="0" w:color="auto"/>
              <w:left w:val="single" w:sz="4" w:space="0" w:color="auto"/>
              <w:bottom w:val="single" w:sz="4" w:space="0" w:color="auto"/>
              <w:right w:val="single" w:sz="4" w:space="0" w:color="auto"/>
            </w:tcBorders>
            <w:vAlign w:val="center"/>
            <w:hideMark/>
          </w:tcPr>
          <w:p w14:paraId="075B08C1"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Róża pomarszczona </w:t>
            </w:r>
            <w:r w:rsidRPr="00935E3A">
              <w:rPr>
                <w:rFonts w:asciiTheme="minorHAnsi" w:eastAsia="Calibri" w:hAnsiTheme="minorHAnsi"/>
                <w:i/>
                <w:iCs/>
                <w:sz w:val="18"/>
                <w:szCs w:val="18"/>
              </w:rPr>
              <w:t xml:space="preserve">Rosa rugosa </w:t>
            </w:r>
          </w:p>
          <w:p w14:paraId="4A6B8CD6"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Niecierpek gruczołowaty </w:t>
            </w:r>
            <w:r w:rsidRPr="00935E3A">
              <w:rPr>
                <w:rFonts w:asciiTheme="minorHAnsi" w:eastAsia="Calibri" w:hAnsiTheme="minorHAnsi"/>
                <w:i/>
                <w:iCs/>
                <w:sz w:val="18"/>
                <w:szCs w:val="18"/>
              </w:rPr>
              <w:t xml:space="preserve">Impatiens grandulifera </w:t>
            </w:r>
          </w:p>
          <w:p w14:paraId="1B06BFFB"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Nawłoć późna </w:t>
            </w:r>
            <w:r w:rsidRPr="00935E3A">
              <w:rPr>
                <w:rFonts w:asciiTheme="minorHAnsi" w:eastAsia="Calibri" w:hAnsiTheme="minorHAnsi"/>
                <w:i/>
                <w:iCs/>
                <w:sz w:val="18"/>
                <w:szCs w:val="18"/>
              </w:rPr>
              <w:t xml:space="preserve">Solidago gigantea </w:t>
            </w:r>
          </w:p>
          <w:p w14:paraId="6CFFADE3"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Nawłoć kanadyjska </w:t>
            </w:r>
            <w:r w:rsidRPr="00935E3A">
              <w:rPr>
                <w:rFonts w:asciiTheme="minorHAnsi" w:eastAsia="Calibri" w:hAnsiTheme="minorHAnsi"/>
                <w:i/>
                <w:iCs/>
                <w:sz w:val="18"/>
                <w:szCs w:val="18"/>
              </w:rPr>
              <w:t xml:space="preserve">Solidago canadensis </w:t>
            </w:r>
          </w:p>
          <w:p w14:paraId="27BED607"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Łubin trwały </w:t>
            </w:r>
            <w:r w:rsidRPr="00935E3A">
              <w:rPr>
                <w:rFonts w:asciiTheme="minorHAnsi" w:eastAsia="Calibri" w:hAnsiTheme="minorHAnsi"/>
                <w:i/>
                <w:iCs/>
                <w:sz w:val="18"/>
                <w:szCs w:val="18"/>
              </w:rPr>
              <w:t>Lupinus polyphyllus</w:t>
            </w:r>
          </w:p>
          <w:p w14:paraId="5F25880F" w14:textId="77777777" w:rsidR="00862AC8" w:rsidRPr="00935E3A" w:rsidRDefault="00862AC8" w:rsidP="00935E3A">
            <w:pPr>
              <w:tabs>
                <w:tab w:val="left" w:pos="5760"/>
              </w:tabs>
              <w:spacing w:after="120" w:line="276" w:lineRule="auto"/>
              <w:jc w:val="center"/>
              <w:rPr>
                <w:rFonts w:asciiTheme="minorHAnsi" w:eastAsia="Calibri" w:hAnsiTheme="minorHAnsi"/>
                <w:b/>
                <w:bCs/>
                <w:sz w:val="18"/>
                <w:szCs w:val="18"/>
              </w:rPr>
            </w:pPr>
            <w:r w:rsidRPr="00935E3A">
              <w:rPr>
                <w:rFonts w:asciiTheme="minorHAnsi" w:eastAsia="Calibri" w:hAnsiTheme="minorHAnsi"/>
                <w:sz w:val="18"/>
                <w:szCs w:val="18"/>
              </w:rPr>
              <w:t xml:space="preserve">Kolczurka klapowana </w:t>
            </w:r>
            <w:r w:rsidRPr="00935E3A">
              <w:rPr>
                <w:rFonts w:asciiTheme="minorHAnsi" w:eastAsia="Calibri" w:hAnsiTheme="minorHAnsi"/>
                <w:i/>
                <w:iCs/>
                <w:sz w:val="18"/>
                <w:szCs w:val="18"/>
              </w:rPr>
              <w:t>Echinocystis lobata</w:t>
            </w:r>
          </w:p>
          <w:p w14:paraId="3DE18629"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Szarłat szorstki </w:t>
            </w:r>
            <w:r w:rsidRPr="00935E3A">
              <w:rPr>
                <w:rFonts w:asciiTheme="minorHAnsi" w:eastAsia="Calibri" w:hAnsiTheme="minorHAnsi"/>
                <w:i/>
                <w:iCs/>
                <w:sz w:val="18"/>
                <w:szCs w:val="18"/>
              </w:rPr>
              <w:t xml:space="preserve">Amaranthus retroflexus </w:t>
            </w:r>
          </w:p>
          <w:p w14:paraId="0FE49D27"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Naparstnica purpurowa </w:t>
            </w:r>
            <w:r w:rsidRPr="00935E3A">
              <w:rPr>
                <w:rFonts w:asciiTheme="minorHAnsi" w:eastAsia="Calibri" w:hAnsiTheme="minorHAnsi"/>
                <w:i/>
                <w:iCs/>
                <w:sz w:val="18"/>
                <w:szCs w:val="18"/>
              </w:rPr>
              <w:t xml:space="preserve">Digitalis purpurea </w:t>
            </w:r>
          </w:p>
          <w:p w14:paraId="506D94DE"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Świdośliwa kłosowa </w:t>
            </w:r>
            <w:r w:rsidRPr="00935E3A">
              <w:rPr>
                <w:rFonts w:asciiTheme="minorHAnsi" w:eastAsia="Calibri" w:hAnsiTheme="minorHAnsi"/>
                <w:i/>
                <w:iCs/>
                <w:sz w:val="18"/>
                <w:szCs w:val="18"/>
              </w:rPr>
              <w:t xml:space="preserve">Amelanchier spicata </w:t>
            </w:r>
          </w:p>
          <w:p w14:paraId="16F4EF3A"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Tawuła kutnerowata </w:t>
            </w:r>
            <w:r w:rsidRPr="00935E3A">
              <w:rPr>
                <w:rFonts w:asciiTheme="minorHAnsi" w:eastAsia="Calibri" w:hAnsiTheme="minorHAnsi"/>
                <w:i/>
                <w:iCs/>
                <w:sz w:val="18"/>
                <w:szCs w:val="18"/>
              </w:rPr>
              <w:t xml:space="preserve">Spiraea tomentosa </w:t>
            </w:r>
          </w:p>
          <w:p w14:paraId="4D8A5119"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Tojeść kropkowana </w:t>
            </w:r>
            <w:r w:rsidRPr="00935E3A">
              <w:rPr>
                <w:rFonts w:asciiTheme="minorHAnsi" w:eastAsia="Calibri" w:hAnsiTheme="minorHAnsi"/>
                <w:i/>
                <w:iCs/>
                <w:sz w:val="18"/>
                <w:szCs w:val="18"/>
              </w:rPr>
              <w:t xml:space="preserve">Lysimachia punctata </w:t>
            </w:r>
          </w:p>
          <w:p w14:paraId="4E55FB6E"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Smotrawa okazała </w:t>
            </w:r>
            <w:r w:rsidRPr="00935E3A">
              <w:rPr>
                <w:rFonts w:asciiTheme="minorHAnsi" w:eastAsia="Calibri" w:hAnsiTheme="minorHAnsi"/>
                <w:i/>
                <w:iCs/>
                <w:sz w:val="18"/>
                <w:szCs w:val="18"/>
              </w:rPr>
              <w:t xml:space="preserve">Telekia speciosa </w:t>
            </w:r>
          </w:p>
          <w:p w14:paraId="539B9283"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Barszcz Sosnowskiego </w:t>
            </w:r>
            <w:r w:rsidRPr="00935E3A">
              <w:rPr>
                <w:rFonts w:asciiTheme="minorHAnsi" w:eastAsia="Calibri" w:hAnsiTheme="minorHAnsi"/>
                <w:i/>
                <w:iCs/>
                <w:sz w:val="18"/>
                <w:szCs w:val="18"/>
              </w:rPr>
              <w:t>Heracleum sosnowskyi</w:t>
            </w:r>
            <w:r w:rsidRPr="00935E3A">
              <w:rPr>
                <w:rFonts w:asciiTheme="minorHAnsi" w:eastAsia="Calibri" w:hAnsiTheme="minorHAnsi"/>
                <w:sz w:val="18"/>
                <w:szCs w:val="18"/>
              </w:rPr>
              <w:t>,</w:t>
            </w:r>
          </w:p>
          <w:p w14:paraId="1250867B"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Barszcz </w:t>
            </w:r>
            <w:r w:rsidRPr="00935E3A">
              <w:rPr>
                <w:rFonts w:asciiTheme="minorHAnsi" w:eastAsia="Calibri" w:hAnsiTheme="minorHAnsi"/>
                <w:i/>
                <w:iCs/>
                <w:sz w:val="18"/>
                <w:szCs w:val="18"/>
              </w:rPr>
              <w:t xml:space="preserve">Mantegazziego Heracleum mantegazzianum </w:t>
            </w:r>
          </w:p>
          <w:p w14:paraId="1A0E03E2"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lang w:val="pl-PL"/>
              </w:rPr>
            </w:pPr>
            <w:r w:rsidRPr="00935E3A">
              <w:rPr>
                <w:rFonts w:asciiTheme="minorHAnsi" w:eastAsia="Calibri" w:hAnsiTheme="minorHAnsi"/>
                <w:sz w:val="18"/>
                <w:szCs w:val="18"/>
                <w:lang w:val="pl-PL"/>
              </w:rPr>
              <w:t xml:space="preserve">Rdestowiec </w:t>
            </w:r>
            <w:r w:rsidRPr="00935E3A">
              <w:rPr>
                <w:rFonts w:asciiTheme="minorHAnsi" w:eastAsia="Calibri" w:hAnsiTheme="minorHAnsi"/>
                <w:i/>
                <w:iCs/>
                <w:sz w:val="18"/>
                <w:szCs w:val="18"/>
                <w:lang w:val="pl-PL"/>
              </w:rPr>
              <w:t xml:space="preserve">Reynoutria </w:t>
            </w:r>
            <w:r w:rsidRPr="00935E3A">
              <w:rPr>
                <w:rFonts w:asciiTheme="minorHAnsi" w:eastAsia="Calibri" w:hAnsiTheme="minorHAnsi"/>
                <w:sz w:val="18"/>
                <w:szCs w:val="18"/>
                <w:lang w:val="pl-PL"/>
              </w:rPr>
              <w:t>sp.(Rdestowiec)</w:t>
            </w:r>
          </w:p>
          <w:p w14:paraId="3643DCD3" w14:textId="7680401C" w:rsidR="00F04DA1" w:rsidRPr="00935E3A" w:rsidRDefault="00F04DA1" w:rsidP="00935E3A">
            <w:pPr>
              <w:tabs>
                <w:tab w:val="left" w:pos="5760"/>
              </w:tabs>
              <w:spacing w:after="120" w:line="276" w:lineRule="auto"/>
              <w:jc w:val="center"/>
              <w:rPr>
                <w:rFonts w:asciiTheme="minorHAnsi" w:eastAsia="Calibri" w:hAnsiTheme="minorHAnsi"/>
                <w:i/>
                <w:iCs/>
                <w:sz w:val="18"/>
                <w:szCs w:val="18"/>
                <w:lang w:val="pl-PL"/>
              </w:rPr>
            </w:pPr>
            <w:r w:rsidRPr="00935E3A">
              <w:rPr>
                <w:rFonts w:asciiTheme="minorHAnsi" w:eastAsia="Calibri" w:hAnsiTheme="minorHAnsi"/>
                <w:sz w:val="18"/>
                <w:szCs w:val="18"/>
                <w:lang w:val="pl-PL"/>
              </w:rPr>
              <w:t xml:space="preserve">Kroplik żółty </w:t>
            </w:r>
            <w:r w:rsidRPr="00935E3A">
              <w:rPr>
                <w:rFonts w:asciiTheme="minorHAnsi" w:eastAsia="Calibri" w:hAnsiTheme="minorHAnsi"/>
                <w:i/>
                <w:iCs/>
                <w:sz w:val="18"/>
                <w:szCs w:val="18"/>
                <w:lang w:val="pl-PL"/>
              </w:rPr>
              <w:t>Mimulus guttatus</w:t>
            </w:r>
          </w:p>
        </w:tc>
      </w:tr>
      <w:tr w:rsidR="00862AC8" w:rsidRPr="00935E3A" w14:paraId="6A9CBD37" w14:textId="77777777" w:rsidTr="00DD39FA">
        <w:tc>
          <w:tcPr>
            <w:tcW w:w="3562" w:type="dxa"/>
            <w:tcBorders>
              <w:top w:val="single" w:sz="4" w:space="0" w:color="auto"/>
              <w:left w:val="single" w:sz="4" w:space="0" w:color="auto"/>
              <w:bottom w:val="single" w:sz="4" w:space="0" w:color="auto"/>
              <w:right w:val="single" w:sz="4" w:space="0" w:color="auto"/>
            </w:tcBorders>
            <w:vAlign w:val="center"/>
            <w:hideMark/>
          </w:tcPr>
          <w:p w14:paraId="69D42996"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Zebranie biomasy w pryzmy w miejscach wyznaczonych zgodnie z przyjętymi kryteriami i pozostawienie jej do naturalnego rozkładu (nie jest to jednak "kompostowanie" w rozumieniu ustawy, gdyż nie prowadzi do wytworzenia kompostu - produktu do wykorzystania poza pryzmą kompostową) (jeżeli nie </w:t>
            </w:r>
            <w:r w:rsidRPr="00935E3A">
              <w:rPr>
                <w:rFonts w:asciiTheme="minorHAnsi" w:eastAsia="Calibri" w:hAnsiTheme="minorHAnsi"/>
                <w:sz w:val="18"/>
                <w:szCs w:val="18"/>
              </w:rPr>
              <w:lastRenderedPageBreak/>
              <w:t>obserwuje się osobników z kwiatami/nasionami/owocami)</w:t>
            </w:r>
          </w:p>
        </w:tc>
        <w:tc>
          <w:tcPr>
            <w:tcW w:w="5505" w:type="dxa"/>
            <w:tcBorders>
              <w:top w:val="single" w:sz="4" w:space="0" w:color="auto"/>
              <w:left w:val="single" w:sz="4" w:space="0" w:color="auto"/>
              <w:bottom w:val="single" w:sz="4" w:space="0" w:color="auto"/>
              <w:right w:val="single" w:sz="4" w:space="0" w:color="auto"/>
            </w:tcBorders>
            <w:vAlign w:val="center"/>
          </w:tcPr>
          <w:p w14:paraId="0B4C46AC"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lastRenderedPageBreak/>
              <w:t xml:space="preserve">Róża pomarszczona </w:t>
            </w:r>
            <w:r w:rsidRPr="00935E3A">
              <w:rPr>
                <w:rFonts w:asciiTheme="minorHAnsi" w:eastAsia="Calibri" w:hAnsiTheme="minorHAnsi"/>
                <w:i/>
                <w:iCs/>
                <w:sz w:val="18"/>
                <w:szCs w:val="18"/>
              </w:rPr>
              <w:t xml:space="preserve">Rosa rugosa </w:t>
            </w:r>
          </w:p>
          <w:p w14:paraId="083FEC89"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Niecierpek gruczołowaty </w:t>
            </w:r>
            <w:r w:rsidRPr="00935E3A">
              <w:rPr>
                <w:rFonts w:asciiTheme="minorHAnsi" w:eastAsia="Calibri" w:hAnsiTheme="minorHAnsi"/>
                <w:i/>
                <w:iCs/>
                <w:sz w:val="18"/>
                <w:szCs w:val="18"/>
              </w:rPr>
              <w:t xml:space="preserve">Impatiens grandulifera </w:t>
            </w:r>
          </w:p>
          <w:p w14:paraId="1761F227"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Nawłoć późna </w:t>
            </w:r>
            <w:r w:rsidRPr="00935E3A">
              <w:rPr>
                <w:rFonts w:asciiTheme="minorHAnsi" w:eastAsia="Calibri" w:hAnsiTheme="minorHAnsi"/>
                <w:i/>
                <w:iCs/>
                <w:sz w:val="18"/>
                <w:szCs w:val="18"/>
              </w:rPr>
              <w:t xml:space="preserve">Solidago gigantea </w:t>
            </w:r>
          </w:p>
          <w:p w14:paraId="2393865B"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Nawłoć kanadyjska </w:t>
            </w:r>
            <w:r w:rsidRPr="00935E3A">
              <w:rPr>
                <w:rFonts w:asciiTheme="minorHAnsi" w:eastAsia="Calibri" w:hAnsiTheme="minorHAnsi"/>
                <w:i/>
                <w:iCs/>
                <w:sz w:val="18"/>
                <w:szCs w:val="18"/>
              </w:rPr>
              <w:t xml:space="preserve">Solidago canadensis </w:t>
            </w:r>
          </w:p>
          <w:p w14:paraId="6D960FC5"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Łubin trwały </w:t>
            </w:r>
            <w:r w:rsidRPr="00935E3A">
              <w:rPr>
                <w:rFonts w:asciiTheme="minorHAnsi" w:eastAsia="Calibri" w:hAnsiTheme="minorHAnsi"/>
                <w:i/>
                <w:iCs/>
                <w:sz w:val="18"/>
                <w:szCs w:val="18"/>
              </w:rPr>
              <w:t xml:space="preserve">Lupinus polyphyllus </w:t>
            </w:r>
          </w:p>
          <w:p w14:paraId="30E7FA0B" w14:textId="77777777" w:rsidR="00862AC8" w:rsidRPr="00935E3A" w:rsidRDefault="00862AC8" w:rsidP="00935E3A">
            <w:pPr>
              <w:tabs>
                <w:tab w:val="left" w:pos="5760"/>
              </w:tabs>
              <w:spacing w:after="120" w:line="276" w:lineRule="auto"/>
              <w:jc w:val="center"/>
              <w:rPr>
                <w:rFonts w:asciiTheme="minorHAnsi" w:eastAsia="Calibri" w:hAnsiTheme="minorHAnsi"/>
                <w:b/>
                <w:bCs/>
                <w:sz w:val="18"/>
                <w:szCs w:val="18"/>
              </w:rPr>
            </w:pPr>
            <w:r w:rsidRPr="00935E3A">
              <w:rPr>
                <w:rFonts w:asciiTheme="minorHAnsi" w:eastAsia="Calibri" w:hAnsiTheme="minorHAnsi"/>
                <w:sz w:val="18"/>
                <w:szCs w:val="18"/>
              </w:rPr>
              <w:t xml:space="preserve">Kolczurka klapowana </w:t>
            </w:r>
            <w:r w:rsidRPr="00935E3A">
              <w:rPr>
                <w:rFonts w:asciiTheme="minorHAnsi" w:eastAsia="Calibri" w:hAnsiTheme="minorHAnsi"/>
                <w:i/>
                <w:iCs/>
                <w:sz w:val="18"/>
                <w:szCs w:val="18"/>
              </w:rPr>
              <w:t xml:space="preserve">Echinocystis lobata </w:t>
            </w:r>
          </w:p>
          <w:p w14:paraId="4E704D0A"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lastRenderedPageBreak/>
              <w:t xml:space="preserve">Szarłat szorstki </w:t>
            </w:r>
            <w:r w:rsidRPr="00935E3A">
              <w:rPr>
                <w:rFonts w:asciiTheme="minorHAnsi" w:eastAsia="Calibri" w:hAnsiTheme="minorHAnsi"/>
                <w:i/>
                <w:iCs/>
                <w:sz w:val="18"/>
                <w:szCs w:val="18"/>
              </w:rPr>
              <w:t xml:space="preserve">Amaranthus retroflexus </w:t>
            </w:r>
          </w:p>
          <w:p w14:paraId="454858B1"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Naparstnica purpurowa </w:t>
            </w:r>
            <w:r w:rsidRPr="00935E3A">
              <w:rPr>
                <w:rFonts w:asciiTheme="minorHAnsi" w:eastAsia="Calibri" w:hAnsiTheme="minorHAnsi"/>
                <w:i/>
                <w:iCs/>
                <w:sz w:val="18"/>
                <w:szCs w:val="18"/>
              </w:rPr>
              <w:t xml:space="preserve">Digitalis purpurea </w:t>
            </w:r>
          </w:p>
          <w:p w14:paraId="037F52E6"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Świdośliwa kłosowa </w:t>
            </w:r>
            <w:r w:rsidRPr="00935E3A">
              <w:rPr>
                <w:rFonts w:asciiTheme="minorHAnsi" w:eastAsia="Calibri" w:hAnsiTheme="minorHAnsi"/>
                <w:i/>
                <w:iCs/>
                <w:sz w:val="18"/>
                <w:szCs w:val="18"/>
              </w:rPr>
              <w:t xml:space="preserve">Amelanchier spicata </w:t>
            </w:r>
          </w:p>
          <w:p w14:paraId="469BF7CD"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Tawuła kutnerowata </w:t>
            </w:r>
            <w:r w:rsidRPr="00935E3A">
              <w:rPr>
                <w:rFonts w:asciiTheme="minorHAnsi" w:eastAsia="Calibri" w:hAnsiTheme="minorHAnsi"/>
                <w:i/>
                <w:iCs/>
                <w:sz w:val="18"/>
                <w:szCs w:val="18"/>
              </w:rPr>
              <w:t xml:space="preserve">Spiraea tomentosa </w:t>
            </w:r>
          </w:p>
          <w:p w14:paraId="687E60CA"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Tojeść kropkowana </w:t>
            </w:r>
            <w:r w:rsidRPr="00935E3A">
              <w:rPr>
                <w:rFonts w:asciiTheme="minorHAnsi" w:eastAsia="Calibri" w:hAnsiTheme="minorHAnsi"/>
                <w:i/>
                <w:iCs/>
                <w:sz w:val="18"/>
                <w:szCs w:val="18"/>
              </w:rPr>
              <w:t xml:space="preserve">Lysimachia punctata </w:t>
            </w:r>
          </w:p>
          <w:p w14:paraId="5354261C"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Smotrawa okazała </w:t>
            </w:r>
            <w:r w:rsidRPr="00935E3A">
              <w:rPr>
                <w:rFonts w:asciiTheme="minorHAnsi" w:eastAsia="Calibri" w:hAnsiTheme="minorHAnsi"/>
                <w:i/>
                <w:iCs/>
                <w:sz w:val="18"/>
                <w:szCs w:val="18"/>
              </w:rPr>
              <w:t xml:space="preserve">Telekia speciosa </w:t>
            </w:r>
          </w:p>
          <w:p w14:paraId="5E46DC42"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Barszcz Sosnowskiego </w:t>
            </w:r>
            <w:r w:rsidRPr="00935E3A">
              <w:rPr>
                <w:rFonts w:asciiTheme="minorHAnsi" w:eastAsia="Calibri" w:hAnsiTheme="minorHAnsi"/>
                <w:i/>
                <w:iCs/>
                <w:sz w:val="18"/>
                <w:szCs w:val="18"/>
              </w:rPr>
              <w:t>Heracleum sosnowskyi</w:t>
            </w:r>
            <w:r w:rsidRPr="00935E3A">
              <w:rPr>
                <w:rFonts w:asciiTheme="minorHAnsi" w:eastAsia="Calibri" w:hAnsiTheme="minorHAnsi"/>
                <w:sz w:val="18"/>
                <w:szCs w:val="18"/>
              </w:rPr>
              <w:t>,</w:t>
            </w:r>
          </w:p>
          <w:p w14:paraId="5F7CB2E1"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Barszcz </w:t>
            </w:r>
            <w:r w:rsidRPr="00935E3A">
              <w:rPr>
                <w:rFonts w:asciiTheme="minorHAnsi" w:eastAsia="Calibri" w:hAnsiTheme="minorHAnsi"/>
                <w:i/>
                <w:sz w:val="18"/>
                <w:szCs w:val="18"/>
              </w:rPr>
              <w:t xml:space="preserve">Mantegazziego Heracleum mantegazzianum </w:t>
            </w:r>
          </w:p>
          <w:p w14:paraId="4DE758F3" w14:textId="098EC579" w:rsidR="00862AC8" w:rsidRPr="00935E3A" w:rsidRDefault="00F04DA1" w:rsidP="00935E3A">
            <w:pPr>
              <w:tabs>
                <w:tab w:val="left" w:pos="5760"/>
              </w:tabs>
              <w:spacing w:after="120" w:line="276" w:lineRule="auto"/>
              <w:jc w:val="center"/>
              <w:rPr>
                <w:rFonts w:asciiTheme="minorHAnsi" w:eastAsia="Calibri" w:hAnsiTheme="minorHAnsi"/>
                <w:i/>
                <w:iCs/>
                <w:sz w:val="18"/>
                <w:szCs w:val="18"/>
              </w:rPr>
            </w:pPr>
            <w:r w:rsidRPr="00935E3A">
              <w:rPr>
                <w:rFonts w:asciiTheme="minorHAnsi" w:eastAsia="Calibri" w:hAnsiTheme="minorHAnsi"/>
                <w:sz w:val="18"/>
                <w:szCs w:val="18"/>
              </w:rPr>
              <w:t xml:space="preserve">Rudbekia naga </w:t>
            </w:r>
            <w:r w:rsidRPr="00935E3A">
              <w:rPr>
                <w:rFonts w:asciiTheme="minorHAnsi" w:eastAsia="Calibri" w:hAnsiTheme="minorHAnsi"/>
                <w:i/>
                <w:iCs/>
                <w:sz w:val="18"/>
                <w:szCs w:val="18"/>
              </w:rPr>
              <w:t>Rudbeckia laciniata</w:t>
            </w:r>
          </w:p>
          <w:p w14:paraId="3F4C3BBE"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p>
        </w:tc>
      </w:tr>
      <w:tr w:rsidR="00862AC8" w:rsidRPr="00935E3A" w14:paraId="05DE472D" w14:textId="77777777" w:rsidTr="00935E3A">
        <w:tc>
          <w:tcPr>
            <w:tcW w:w="9067"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A13D4FA" w14:textId="77777777" w:rsidR="00862AC8" w:rsidRPr="00935E3A" w:rsidRDefault="00862AC8" w:rsidP="00935E3A">
            <w:pPr>
              <w:tabs>
                <w:tab w:val="left" w:pos="5760"/>
              </w:tabs>
              <w:spacing w:after="120" w:line="276" w:lineRule="auto"/>
              <w:jc w:val="both"/>
              <w:rPr>
                <w:rFonts w:asciiTheme="minorHAnsi" w:eastAsia="Calibri" w:hAnsiTheme="minorHAnsi"/>
                <w:bCs/>
                <w:sz w:val="18"/>
                <w:szCs w:val="18"/>
              </w:rPr>
            </w:pPr>
            <w:r w:rsidRPr="00935E3A">
              <w:rPr>
                <w:rFonts w:asciiTheme="minorHAnsi" w:eastAsia="Calibri" w:hAnsiTheme="minorHAnsi"/>
                <w:bCs/>
                <w:sz w:val="18"/>
                <w:szCs w:val="18"/>
              </w:rPr>
              <w:lastRenderedPageBreak/>
              <w:t>Gdy biomateriał jest transportowany poza teren zakładu w celu eliminacji</w:t>
            </w:r>
          </w:p>
        </w:tc>
      </w:tr>
      <w:tr w:rsidR="00862AC8" w:rsidRPr="00935E3A" w14:paraId="1D692619" w14:textId="77777777" w:rsidTr="00DD39FA">
        <w:tc>
          <w:tcPr>
            <w:tcW w:w="3562" w:type="dxa"/>
            <w:tcBorders>
              <w:top w:val="single" w:sz="4" w:space="0" w:color="auto"/>
              <w:left w:val="single" w:sz="4" w:space="0" w:color="auto"/>
              <w:bottom w:val="single" w:sz="4" w:space="0" w:color="auto"/>
              <w:right w:val="single" w:sz="4" w:space="0" w:color="auto"/>
            </w:tcBorders>
            <w:vAlign w:val="center"/>
            <w:hideMark/>
          </w:tcPr>
          <w:p w14:paraId="3B5D4058"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Transport do odpowiedniego zakładu jako bioodpadu</w:t>
            </w:r>
          </w:p>
        </w:tc>
        <w:tc>
          <w:tcPr>
            <w:tcW w:w="5505" w:type="dxa"/>
            <w:tcBorders>
              <w:top w:val="single" w:sz="4" w:space="0" w:color="auto"/>
              <w:left w:val="single" w:sz="4" w:space="0" w:color="auto"/>
              <w:bottom w:val="single" w:sz="4" w:space="0" w:color="auto"/>
              <w:right w:val="single" w:sz="4" w:space="0" w:color="auto"/>
            </w:tcBorders>
            <w:vAlign w:val="center"/>
            <w:hideMark/>
          </w:tcPr>
          <w:p w14:paraId="037A5640"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Róża pomarszczona </w:t>
            </w:r>
            <w:r w:rsidRPr="00935E3A">
              <w:rPr>
                <w:rFonts w:asciiTheme="minorHAnsi" w:eastAsia="Calibri" w:hAnsiTheme="minorHAnsi"/>
                <w:i/>
                <w:iCs/>
                <w:sz w:val="18"/>
                <w:szCs w:val="18"/>
              </w:rPr>
              <w:t xml:space="preserve">Rosa rugosa </w:t>
            </w:r>
          </w:p>
          <w:p w14:paraId="074B8668"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Niecierpek gruczołowaty </w:t>
            </w:r>
            <w:r w:rsidRPr="00935E3A">
              <w:rPr>
                <w:rFonts w:asciiTheme="minorHAnsi" w:eastAsia="Calibri" w:hAnsiTheme="minorHAnsi"/>
                <w:i/>
                <w:iCs/>
                <w:sz w:val="18"/>
                <w:szCs w:val="18"/>
              </w:rPr>
              <w:t xml:space="preserve">Impatiens grandulifera </w:t>
            </w:r>
          </w:p>
          <w:p w14:paraId="776FFD40"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Nawłoć późna </w:t>
            </w:r>
            <w:r w:rsidRPr="00935E3A">
              <w:rPr>
                <w:rFonts w:asciiTheme="minorHAnsi" w:eastAsia="Calibri" w:hAnsiTheme="minorHAnsi"/>
                <w:i/>
                <w:iCs/>
                <w:sz w:val="18"/>
                <w:szCs w:val="18"/>
              </w:rPr>
              <w:t xml:space="preserve">Solidago gigantea </w:t>
            </w:r>
          </w:p>
          <w:p w14:paraId="1E53664E"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Nawłoć kanadyjska </w:t>
            </w:r>
            <w:r w:rsidRPr="00935E3A">
              <w:rPr>
                <w:rFonts w:asciiTheme="minorHAnsi" w:eastAsia="Calibri" w:hAnsiTheme="minorHAnsi"/>
                <w:i/>
                <w:iCs/>
                <w:sz w:val="18"/>
                <w:szCs w:val="18"/>
              </w:rPr>
              <w:t xml:space="preserve">Solidago canadensis </w:t>
            </w:r>
          </w:p>
          <w:p w14:paraId="0088811A"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Łubin trwały </w:t>
            </w:r>
            <w:r w:rsidRPr="00935E3A">
              <w:rPr>
                <w:rFonts w:asciiTheme="minorHAnsi" w:eastAsia="Calibri" w:hAnsiTheme="minorHAnsi"/>
                <w:i/>
                <w:iCs/>
                <w:sz w:val="18"/>
                <w:szCs w:val="18"/>
              </w:rPr>
              <w:t xml:space="preserve">Lupinus polyphyllus </w:t>
            </w:r>
          </w:p>
          <w:p w14:paraId="0FCD6FDB" w14:textId="77777777" w:rsidR="00862AC8" w:rsidRPr="00935E3A" w:rsidRDefault="00862AC8" w:rsidP="00935E3A">
            <w:pPr>
              <w:tabs>
                <w:tab w:val="left" w:pos="5760"/>
              </w:tabs>
              <w:spacing w:after="120" w:line="276" w:lineRule="auto"/>
              <w:jc w:val="center"/>
              <w:rPr>
                <w:rFonts w:asciiTheme="minorHAnsi" w:eastAsia="Calibri" w:hAnsiTheme="minorHAnsi"/>
                <w:b/>
                <w:bCs/>
                <w:sz w:val="18"/>
                <w:szCs w:val="18"/>
              </w:rPr>
            </w:pPr>
            <w:r w:rsidRPr="00935E3A">
              <w:rPr>
                <w:rFonts w:asciiTheme="minorHAnsi" w:eastAsia="Calibri" w:hAnsiTheme="minorHAnsi"/>
                <w:sz w:val="18"/>
                <w:szCs w:val="18"/>
              </w:rPr>
              <w:t xml:space="preserve">Kolczurka klapowana </w:t>
            </w:r>
            <w:r w:rsidRPr="00935E3A">
              <w:rPr>
                <w:rFonts w:asciiTheme="minorHAnsi" w:eastAsia="Calibri" w:hAnsiTheme="minorHAnsi"/>
                <w:i/>
                <w:iCs/>
                <w:sz w:val="18"/>
                <w:szCs w:val="18"/>
              </w:rPr>
              <w:t xml:space="preserve">Echinocystis lobata </w:t>
            </w:r>
          </w:p>
          <w:p w14:paraId="5748DAE2"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Szarłat szorstki </w:t>
            </w:r>
            <w:r w:rsidRPr="00935E3A">
              <w:rPr>
                <w:rFonts w:asciiTheme="minorHAnsi" w:eastAsia="Calibri" w:hAnsiTheme="minorHAnsi"/>
                <w:i/>
                <w:iCs/>
                <w:sz w:val="18"/>
                <w:szCs w:val="18"/>
              </w:rPr>
              <w:t xml:space="preserve">Amaranthus retroflexus </w:t>
            </w:r>
          </w:p>
          <w:p w14:paraId="2101E988"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Naparstnica purpurowa </w:t>
            </w:r>
            <w:r w:rsidRPr="00935E3A">
              <w:rPr>
                <w:rFonts w:asciiTheme="minorHAnsi" w:eastAsia="Calibri" w:hAnsiTheme="minorHAnsi"/>
                <w:i/>
                <w:iCs/>
                <w:sz w:val="18"/>
                <w:szCs w:val="18"/>
              </w:rPr>
              <w:t xml:space="preserve">Digitalis purpurea </w:t>
            </w:r>
          </w:p>
          <w:p w14:paraId="6168C4E5"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Świdośliwa kłosowa </w:t>
            </w:r>
            <w:r w:rsidRPr="00935E3A">
              <w:rPr>
                <w:rFonts w:asciiTheme="minorHAnsi" w:eastAsia="Calibri" w:hAnsiTheme="minorHAnsi"/>
                <w:i/>
                <w:iCs/>
                <w:sz w:val="18"/>
                <w:szCs w:val="18"/>
              </w:rPr>
              <w:t xml:space="preserve">Amelanchier spicata </w:t>
            </w:r>
          </w:p>
          <w:p w14:paraId="0B5671C4"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Tawuła kutnerowata </w:t>
            </w:r>
            <w:r w:rsidRPr="00935E3A">
              <w:rPr>
                <w:rFonts w:asciiTheme="minorHAnsi" w:eastAsia="Calibri" w:hAnsiTheme="minorHAnsi"/>
                <w:i/>
                <w:iCs/>
                <w:sz w:val="18"/>
                <w:szCs w:val="18"/>
              </w:rPr>
              <w:t xml:space="preserve">Spiraea tomentosa </w:t>
            </w:r>
          </w:p>
          <w:p w14:paraId="0E572740"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Tojeść kropkowana </w:t>
            </w:r>
            <w:r w:rsidRPr="00935E3A">
              <w:rPr>
                <w:rFonts w:asciiTheme="minorHAnsi" w:eastAsia="Calibri" w:hAnsiTheme="minorHAnsi"/>
                <w:i/>
                <w:iCs/>
                <w:sz w:val="18"/>
                <w:szCs w:val="18"/>
              </w:rPr>
              <w:t xml:space="preserve">Lysimachia punctata </w:t>
            </w:r>
            <w:r w:rsidRPr="00935E3A">
              <w:rPr>
                <w:rFonts w:asciiTheme="minorHAnsi" w:eastAsia="Calibri" w:hAnsiTheme="minorHAnsi"/>
                <w:sz w:val="18"/>
                <w:szCs w:val="18"/>
              </w:rPr>
              <w:t xml:space="preserve">Smotrawa okazała </w:t>
            </w:r>
            <w:r w:rsidRPr="00935E3A">
              <w:rPr>
                <w:rFonts w:asciiTheme="minorHAnsi" w:eastAsia="Calibri" w:hAnsiTheme="minorHAnsi"/>
                <w:i/>
                <w:iCs/>
                <w:sz w:val="18"/>
                <w:szCs w:val="18"/>
              </w:rPr>
              <w:t xml:space="preserve">Telekia speciosa </w:t>
            </w:r>
          </w:p>
          <w:p w14:paraId="40897AD2"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Barszcz Sosnowskiego </w:t>
            </w:r>
            <w:r w:rsidRPr="00935E3A">
              <w:rPr>
                <w:rFonts w:asciiTheme="minorHAnsi" w:eastAsia="Calibri" w:hAnsiTheme="minorHAnsi"/>
                <w:i/>
                <w:iCs/>
                <w:sz w:val="18"/>
                <w:szCs w:val="18"/>
              </w:rPr>
              <w:t>Heracleum sosnowskyi</w:t>
            </w:r>
            <w:r w:rsidRPr="00935E3A">
              <w:rPr>
                <w:rFonts w:asciiTheme="minorHAnsi" w:eastAsia="Calibri" w:hAnsiTheme="minorHAnsi"/>
                <w:sz w:val="18"/>
                <w:szCs w:val="18"/>
              </w:rPr>
              <w:t>,</w:t>
            </w:r>
          </w:p>
          <w:p w14:paraId="7539A972"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Barszcz </w:t>
            </w:r>
            <w:r w:rsidRPr="00935E3A">
              <w:rPr>
                <w:rFonts w:asciiTheme="minorHAnsi" w:eastAsia="Calibri" w:hAnsiTheme="minorHAnsi"/>
                <w:i/>
                <w:iCs/>
                <w:sz w:val="18"/>
                <w:szCs w:val="18"/>
              </w:rPr>
              <w:t xml:space="preserve">Mantegazziego Heracleum mantegazzianum </w:t>
            </w:r>
          </w:p>
          <w:p w14:paraId="28ADF396"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lang w:val="pl-PL"/>
              </w:rPr>
            </w:pPr>
            <w:r w:rsidRPr="00935E3A">
              <w:rPr>
                <w:rFonts w:asciiTheme="minorHAnsi" w:eastAsia="Calibri" w:hAnsiTheme="minorHAnsi"/>
                <w:sz w:val="18"/>
                <w:szCs w:val="18"/>
                <w:lang w:val="pl-PL"/>
              </w:rPr>
              <w:t xml:space="preserve">Rdestowiec </w:t>
            </w:r>
            <w:r w:rsidRPr="00935E3A">
              <w:rPr>
                <w:rFonts w:asciiTheme="minorHAnsi" w:eastAsia="Calibri" w:hAnsiTheme="minorHAnsi"/>
                <w:i/>
                <w:iCs/>
                <w:sz w:val="18"/>
                <w:szCs w:val="18"/>
                <w:lang w:val="pl-PL"/>
              </w:rPr>
              <w:t xml:space="preserve">Reynoutria </w:t>
            </w:r>
            <w:r w:rsidRPr="00935E3A">
              <w:rPr>
                <w:rFonts w:asciiTheme="minorHAnsi" w:eastAsia="Calibri" w:hAnsiTheme="minorHAnsi"/>
                <w:sz w:val="18"/>
                <w:szCs w:val="18"/>
                <w:lang w:val="pl-PL"/>
              </w:rPr>
              <w:t>sp.</w:t>
            </w:r>
          </w:p>
          <w:p w14:paraId="40266E7A" w14:textId="71B84D91" w:rsidR="00F04DA1" w:rsidRPr="00935E3A" w:rsidRDefault="00F04DA1" w:rsidP="00935E3A">
            <w:pPr>
              <w:tabs>
                <w:tab w:val="left" w:pos="5760"/>
              </w:tabs>
              <w:spacing w:after="120" w:line="276" w:lineRule="auto"/>
              <w:jc w:val="center"/>
              <w:rPr>
                <w:rFonts w:asciiTheme="minorHAnsi" w:eastAsia="Calibri" w:hAnsiTheme="minorHAnsi"/>
                <w:i/>
                <w:iCs/>
                <w:sz w:val="18"/>
                <w:szCs w:val="18"/>
                <w:lang w:val="pl-PL"/>
              </w:rPr>
            </w:pPr>
            <w:r w:rsidRPr="00935E3A">
              <w:rPr>
                <w:rFonts w:asciiTheme="minorHAnsi" w:eastAsia="Calibri" w:hAnsiTheme="minorHAnsi"/>
                <w:sz w:val="18"/>
                <w:szCs w:val="18"/>
                <w:lang w:val="pl-PL"/>
              </w:rPr>
              <w:t xml:space="preserve">Kroplik żółty </w:t>
            </w:r>
            <w:r w:rsidRPr="00935E3A">
              <w:rPr>
                <w:rFonts w:asciiTheme="minorHAnsi" w:eastAsia="Calibri" w:hAnsiTheme="minorHAnsi"/>
                <w:i/>
                <w:iCs/>
                <w:sz w:val="18"/>
                <w:szCs w:val="18"/>
                <w:lang w:val="pl-PL"/>
              </w:rPr>
              <w:t>Mimulus guttatus</w:t>
            </w:r>
          </w:p>
        </w:tc>
      </w:tr>
      <w:tr w:rsidR="00862AC8" w:rsidRPr="00935E3A" w14:paraId="58C98EEF" w14:textId="77777777" w:rsidTr="00DD39FA">
        <w:tc>
          <w:tcPr>
            <w:tcW w:w="3562" w:type="dxa"/>
            <w:tcBorders>
              <w:top w:val="single" w:sz="4" w:space="0" w:color="auto"/>
              <w:left w:val="single" w:sz="4" w:space="0" w:color="auto"/>
              <w:bottom w:val="single" w:sz="4" w:space="0" w:color="auto"/>
              <w:right w:val="single" w:sz="4" w:space="0" w:color="auto"/>
            </w:tcBorders>
            <w:vAlign w:val="center"/>
            <w:hideMark/>
          </w:tcPr>
          <w:p w14:paraId="65E75683"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Transport biomasy w czarnych plastikowych workach</w:t>
            </w:r>
          </w:p>
        </w:tc>
        <w:tc>
          <w:tcPr>
            <w:tcW w:w="5505" w:type="dxa"/>
            <w:tcBorders>
              <w:top w:val="single" w:sz="4" w:space="0" w:color="auto"/>
              <w:left w:val="single" w:sz="4" w:space="0" w:color="auto"/>
              <w:bottom w:val="single" w:sz="4" w:space="0" w:color="auto"/>
              <w:right w:val="single" w:sz="4" w:space="0" w:color="auto"/>
            </w:tcBorders>
            <w:vAlign w:val="center"/>
            <w:hideMark/>
          </w:tcPr>
          <w:p w14:paraId="76EEB9BA"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Łubin trwały Lupinus polyphyllus </w:t>
            </w:r>
          </w:p>
          <w:p w14:paraId="3F58021E"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Kolczurka klapowana Echinocystis lobata </w:t>
            </w:r>
          </w:p>
          <w:p w14:paraId="2E5601F4"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Szarłat szorstki Amaranthus retroflexus </w:t>
            </w:r>
          </w:p>
          <w:p w14:paraId="3495CB4D"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Naparstnica purpurowa Digitalis purpurea </w:t>
            </w:r>
          </w:p>
          <w:p w14:paraId="71A524C2"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Tojeść kropkowana Lysimachia punctata </w:t>
            </w:r>
          </w:p>
          <w:p w14:paraId="678013DF"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Smotrwawa okazała Telekia speciosa </w:t>
            </w:r>
          </w:p>
          <w:p w14:paraId="6ACC3543" w14:textId="77777777" w:rsidR="00862AC8" w:rsidRPr="00935E3A" w:rsidRDefault="00862AC8" w:rsidP="00935E3A">
            <w:pPr>
              <w:tabs>
                <w:tab w:val="left" w:pos="5760"/>
              </w:tabs>
              <w:spacing w:after="120" w:line="276" w:lineRule="auto"/>
              <w:jc w:val="center"/>
              <w:rPr>
                <w:rFonts w:asciiTheme="minorHAnsi" w:eastAsia="Calibri" w:hAnsiTheme="minorHAnsi"/>
                <w:sz w:val="18"/>
                <w:szCs w:val="18"/>
              </w:rPr>
            </w:pPr>
            <w:r w:rsidRPr="00935E3A">
              <w:rPr>
                <w:rFonts w:asciiTheme="minorHAnsi" w:eastAsia="Calibri" w:hAnsiTheme="minorHAnsi"/>
                <w:sz w:val="18"/>
                <w:szCs w:val="18"/>
              </w:rPr>
              <w:t xml:space="preserve">Rdestowiec Reynoutria sp. </w:t>
            </w:r>
          </w:p>
          <w:p w14:paraId="37873358" w14:textId="5ED05F76" w:rsidR="00F04DA1" w:rsidRPr="00935E3A" w:rsidRDefault="00F04DA1" w:rsidP="00935E3A">
            <w:pPr>
              <w:tabs>
                <w:tab w:val="left" w:pos="5760"/>
              </w:tabs>
              <w:spacing w:after="120" w:line="276" w:lineRule="auto"/>
              <w:jc w:val="center"/>
              <w:rPr>
                <w:rFonts w:asciiTheme="minorHAnsi" w:eastAsia="Calibri" w:hAnsiTheme="minorHAnsi"/>
                <w:i/>
                <w:iCs/>
                <w:sz w:val="18"/>
                <w:szCs w:val="18"/>
              </w:rPr>
            </w:pPr>
            <w:r w:rsidRPr="00935E3A">
              <w:rPr>
                <w:rFonts w:asciiTheme="minorHAnsi" w:eastAsia="Calibri" w:hAnsiTheme="minorHAnsi"/>
                <w:sz w:val="18"/>
                <w:szCs w:val="18"/>
              </w:rPr>
              <w:lastRenderedPageBreak/>
              <w:t xml:space="preserve">Rudbekia naga </w:t>
            </w:r>
            <w:r w:rsidRPr="00935E3A">
              <w:rPr>
                <w:rFonts w:asciiTheme="minorHAnsi" w:eastAsia="Calibri" w:hAnsiTheme="minorHAnsi"/>
                <w:i/>
                <w:iCs/>
                <w:sz w:val="18"/>
                <w:szCs w:val="18"/>
              </w:rPr>
              <w:t>Rudbeckia laciniata</w:t>
            </w:r>
          </w:p>
        </w:tc>
      </w:tr>
    </w:tbl>
    <w:p w14:paraId="66058564" w14:textId="77777777" w:rsidR="00862AC8" w:rsidRPr="00E273C5" w:rsidRDefault="00862AC8" w:rsidP="00862AC8">
      <w:pPr>
        <w:tabs>
          <w:tab w:val="left" w:pos="5760"/>
        </w:tabs>
        <w:spacing w:line="256" w:lineRule="auto"/>
        <w:rPr>
          <w:rFonts w:ascii="Calibri" w:eastAsia="Calibri" w:hAnsi="Calibri"/>
          <w:sz w:val="16"/>
          <w:szCs w:val="16"/>
        </w:rPr>
      </w:pPr>
      <w:r w:rsidRPr="00E273C5">
        <w:rPr>
          <w:rFonts w:ascii="Calibri" w:eastAsia="Calibri" w:hAnsi="Calibri"/>
          <w:sz w:val="16"/>
          <w:szCs w:val="16"/>
        </w:rPr>
        <w:lastRenderedPageBreak/>
        <w:t>* Jeśli liczba osobników jest zbyt duża, aby prawidłowo oddzielić wszystkie rośliny lub takie oddzielenie wiąże się z ryzykiem rozprzestrzeniania się IGO, to całą biomasę należy zakopać.</w:t>
      </w:r>
    </w:p>
    <w:p w14:paraId="3B622EC1" w14:textId="35A0222A" w:rsidR="002206CF" w:rsidRDefault="00862AC8" w:rsidP="00862AC8">
      <w:pPr>
        <w:pStyle w:val="Nagwek3"/>
      </w:pPr>
      <w:bookmarkStart w:id="32" w:name="_Toc239940817"/>
      <w:r>
        <w:t>3.2.1. Zakopywanie</w:t>
      </w:r>
      <w:bookmarkEnd w:id="32"/>
    </w:p>
    <w:p w14:paraId="61CF5AC7" w14:textId="77777777" w:rsidR="00862AC8" w:rsidRPr="00935E3A" w:rsidRDefault="00862AC8" w:rsidP="00935E3A">
      <w:pPr>
        <w:spacing w:after="120" w:line="276" w:lineRule="auto"/>
        <w:jc w:val="both"/>
        <w:rPr>
          <w:rFonts w:asciiTheme="minorHAnsi" w:hAnsiTheme="minorHAnsi"/>
          <w:sz w:val="24"/>
          <w:szCs w:val="24"/>
        </w:rPr>
      </w:pPr>
      <w:r w:rsidRPr="00935E3A">
        <w:rPr>
          <w:rFonts w:asciiTheme="minorHAnsi" w:hAnsiTheme="minorHAnsi"/>
          <w:sz w:val="24"/>
          <w:szCs w:val="24"/>
        </w:rPr>
        <w:t xml:space="preserve">Zakopywanie obejmuje czynności związane z zagospodarowaniem biomasy IGO pod ziemią. Zakopanie jest możliwe tylko wtedy, gdy nie wpłynie negatywnie na jakość wód powierzchniowych i podziemnych, gleby, powietrza oraz warunki życia roślin i zwierząt. Zakopanie materiału musi nastąpić na obszarze jego usunięcia (alternatywnie dopuszcza się zagospodarowanie na obszarze bezpośrednio do niego przylegającym w ramach tej samej strefy prac). Należy zakopać części roślin i gleby, które mogą zawierać nasiona lub inne części roślin, z których te osobniki mogą odrosnąć. Jeśli roślina zawiera części wegetatywne, z których może odrosnąć, powinna być dodatkowo zabezpieczona materiałem izolującym je od podłoża i szczelnie zamknięta z jak najmniejszą ilością powietrza. Materiał, np. geowłóknina, powinien być nieuszkodzony, szczelnie zamknięty, odporny na promieniowanie UV, odpowiedniej wielkości i wytrzymały przez co najmniej 50 lat. Miejsce to należy oznaczyć i sprawdzić dwa razy w roku (dwa miesiące po zakopaniu i po zakończeniu sezonu wegetacyjnego - z wyjątkiem sprawdzenia tylko raz, jeśli zakopanie zostało wykonane pod koniec sezonu wegetacyjnego), a następnie raz w kolejnych latach (w środku sezonu wegetacyjnego) przez co najmniej 3 lata, aby upewnić się, że materiał został prawidłowo zabezpieczony. Czynność ta (zakopanie) powinna mieć miejsce zwłaszcza w przypadku, gdy biomateriał zawiera kwiaty/nasiona/owoc. </w:t>
      </w:r>
    </w:p>
    <w:p w14:paraId="0AE52964" w14:textId="090B1F46" w:rsidR="00862AC8" w:rsidRPr="0076053F" w:rsidRDefault="00862AC8" w:rsidP="0076053F">
      <w:pPr>
        <w:pStyle w:val="Legenda"/>
        <w:keepNext/>
        <w:jc w:val="both"/>
        <w:rPr>
          <w:rFonts w:asciiTheme="minorHAnsi" w:hAnsiTheme="minorHAnsi"/>
          <w:b w:val="0"/>
          <w:bCs/>
          <w:color w:val="000000" w:themeColor="text1"/>
          <w:sz w:val="24"/>
          <w:szCs w:val="24"/>
        </w:rPr>
      </w:pPr>
      <w:bookmarkStart w:id="33" w:name="_Toc239940749"/>
      <w:r w:rsidRPr="0076053F">
        <w:rPr>
          <w:rFonts w:asciiTheme="minorHAnsi" w:hAnsiTheme="minorHAnsi"/>
          <w:b w:val="0"/>
          <w:bCs/>
          <w:color w:val="000000" w:themeColor="text1"/>
          <w:sz w:val="24"/>
          <w:szCs w:val="24"/>
        </w:rPr>
        <w:t xml:space="preserve">Tabela </w:t>
      </w:r>
      <w:r w:rsidRPr="0076053F">
        <w:rPr>
          <w:rFonts w:asciiTheme="minorHAnsi" w:hAnsiTheme="minorHAnsi"/>
          <w:b w:val="0"/>
          <w:bCs/>
          <w:color w:val="000000" w:themeColor="text1"/>
          <w:sz w:val="24"/>
          <w:szCs w:val="24"/>
        </w:rPr>
        <w:fldChar w:fldCharType="begin"/>
      </w:r>
      <w:r w:rsidRPr="0076053F">
        <w:rPr>
          <w:rFonts w:asciiTheme="minorHAnsi" w:hAnsiTheme="minorHAnsi"/>
          <w:b w:val="0"/>
          <w:bCs/>
          <w:color w:val="000000" w:themeColor="text1"/>
          <w:sz w:val="24"/>
          <w:szCs w:val="24"/>
        </w:rPr>
        <w:instrText>SEQ Tabela \* ARABIC</w:instrText>
      </w:r>
      <w:r w:rsidRPr="0076053F">
        <w:rPr>
          <w:rFonts w:asciiTheme="minorHAnsi" w:hAnsiTheme="minorHAnsi"/>
          <w:b w:val="0"/>
          <w:bCs/>
          <w:color w:val="000000" w:themeColor="text1"/>
          <w:sz w:val="24"/>
          <w:szCs w:val="24"/>
        </w:rPr>
        <w:fldChar w:fldCharType="separate"/>
      </w:r>
      <w:r w:rsidR="003A1319" w:rsidRPr="0076053F">
        <w:rPr>
          <w:rFonts w:asciiTheme="minorHAnsi" w:hAnsiTheme="minorHAnsi"/>
          <w:b w:val="0"/>
          <w:bCs/>
          <w:noProof/>
          <w:color w:val="000000" w:themeColor="text1"/>
          <w:sz w:val="24"/>
          <w:szCs w:val="24"/>
        </w:rPr>
        <w:t>3</w:t>
      </w:r>
      <w:r w:rsidRPr="0076053F">
        <w:rPr>
          <w:rFonts w:asciiTheme="minorHAnsi" w:hAnsiTheme="minorHAnsi"/>
          <w:b w:val="0"/>
          <w:bCs/>
          <w:color w:val="000000" w:themeColor="text1"/>
          <w:sz w:val="24"/>
          <w:szCs w:val="24"/>
        </w:rPr>
        <w:fldChar w:fldCharType="end"/>
      </w:r>
      <w:r w:rsidRPr="0076053F">
        <w:rPr>
          <w:rFonts w:asciiTheme="minorHAnsi" w:hAnsiTheme="minorHAnsi"/>
          <w:b w:val="0"/>
          <w:bCs/>
          <w:color w:val="000000" w:themeColor="text1"/>
          <w:sz w:val="24"/>
          <w:szCs w:val="24"/>
        </w:rPr>
        <w:t xml:space="preserve"> Minimalna głębokość niezbędna do prawidłowego wdrożenia działań naprawczych poprzez zakopanie. Pogrubioną czcionką zaznaczono gatunki roślin, które mogą rozmnażać się wegetatywnie i które należy chronić za pomocą geowłókniny.</w:t>
      </w:r>
      <w:bookmarkEnd w:id="33"/>
    </w:p>
    <w:tbl>
      <w:tblPr>
        <w:tblW w:w="9067" w:type="dxa"/>
        <w:tblLook w:val="04A0" w:firstRow="1" w:lastRow="0" w:firstColumn="1" w:lastColumn="0" w:noHBand="0" w:noVBand="1"/>
      </w:tblPr>
      <w:tblGrid>
        <w:gridCol w:w="4531"/>
        <w:gridCol w:w="4536"/>
      </w:tblGrid>
      <w:tr w:rsidR="00862AC8" w:rsidRPr="0076053F" w14:paraId="6F58F034" w14:textId="77777777" w:rsidTr="003614F0">
        <w:trPr>
          <w:tblHeader/>
        </w:trPr>
        <w:tc>
          <w:tcPr>
            <w:tcW w:w="4531"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0474855" w14:textId="77777777" w:rsidR="00862AC8" w:rsidRPr="0076053F" w:rsidRDefault="00862AC8" w:rsidP="003614F0">
            <w:pPr>
              <w:jc w:val="center"/>
              <w:rPr>
                <w:rFonts w:asciiTheme="minorHAnsi" w:hAnsiTheme="minorHAnsi" w:cs="Calibri"/>
                <w:b/>
                <w:bCs/>
                <w:sz w:val="18"/>
                <w:szCs w:val="18"/>
              </w:rPr>
            </w:pPr>
            <w:r w:rsidRPr="0076053F">
              <w:rPr>
                <w:rFonts w:asciiTheme="minorHAnsi" w:hAnsiTheme="minorHAnsi" w:cs="Calibri"/>
                <w:b/>
                <w:bCs/>
                <w:sz w:val="18"/>
                <w:szCs w:val="18"/>
              </w:rPr>
              <w:t>Gatunek</w:t>
            </w:r>
          </w:p>
        </w:tc>
        <w:tc>
          <w:tcPr>
            <w:tcW w:w="4536"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69AEBB6B" w14:textId="77777777" w:rsidR="00862AC8" w:rsidRPr="0076053F" w:rsidRDefault="00862AC8" w:rsidP="003614F0">
            <w:pPr>
              <w:jc w:val="center"/>
              <w:rPr>
                <w:rFonts w:asciiTheme="minorHAnsi" w:hAnsiTheme="minorHAnsi" w:cs="Calibri"/>
                <w:b/>
                <w:bCs/>
                <w:sz w:val="18"/>
                <w:szCs w:val="18"/>
              </w:rPr>
            </w:pPr>
            <w:r w:rsidRPr="0076053F">
              <w:rPr>
                <w:rFonts w:asciiTheme="minorHAnsi" w:hAnsiTheme="minorHAnsi" w:cs="Calibri"/>
                <w:b/>
                <w:bCs/>
                <w:sz w:val="18"/>
                <w:szCs w:val="18"/>
              </w:rPr>
              <w:t>Głębokość pod powierzchnią gruntu</w:t>
            </w:r>
          </w:p>
        </w:tc>
      </w:tr>
      <w:tr w:rsidR="00862AC8" w:rsidRPr="0076053F" w14:paraId="0617E68E" w14:textId="77777777" w:rsidTr="003614F0">
        <w:tc>
          <w:tcPr>
            <w:tcW w:w="4531" w:type="dxa"/>
            <w:tcBorders>
              <w:top w:val="single" w:sz="4" w:space="0" w:color="auto"/>
              <w:left w:val="single" w:sz="4" w:space="0" w:color="auto"/>
              <w:bottom w:val="single" w:sz="4" w:space="0" w:color="auto"/>
              <w:right w:val="single" w:sz="4" w:space="0" w:color="auto"/>
            </w:tcBorders>
            <w:vAlign w:val="center"/>
            <w:hideMark/>
          </w:tcPr>
          <w:p w14:paraId="4203F027" w14:textId="77777777" w:rsidR="00862AC8" w:rsidRPr="0076053F" w:rsidRDefault="00862AC8" w:rsidP="00862AC8">
            <w:pPr>
              <w:rPr>
                <w:rFonts w:asciiTheme="minorHAnsi" w:hAnsiTheme="minorHAnsi" w:cs="Calibri"/>
                <w:sz w:val="18"/>
                <w:szCs w:val="18"/>
              </w:rPr>
            </w:pPr>
            <w:proofErr w:type="spellStart"/>
            <w:r w:rsidRPr="0076053F">
              <w:rPr>
                <w:rFonts w:asciiTheme="minorHAnsi" w:hAnsiTheme="minorHAnsi" w:cs="Calibri"/>
                <w:sz w:val="18"/>
                <w:szCs w:val="18"/>
              </w:rPr>
              <w:t>Rdestowiec</w:t>
            </w:r>
            <w:proofErr w:type="spellEnd"/>
            <w:r w:rsidRPr="0076053F">
              <w:rPr>
                <w:rFonts w:asciiTheme="minorHAnsi" w:hAnsiTheme="minorHAnsi" w:cs="Calibri"/>
                <w:sz w:val="18"/>
                <w:szCs w:val="18"/>
              </w:rPr>
              <w:t xml:space="preserve"> </w:t>
            </w:r>
            <w:proofErr w:type="spellStart"/>
            <w:r w:rsidRPr="0076053F">
              <w:rPr>
                <w:rFonts w:asciiTheme="minorHAnsi" w:hAnsiTheme="minorHAnsi" w:cs="Calibri"/>
                <w:i/>
                <w:iCs/>
                <w:sz w:val="18"/>
                <w:szCs w:val="18"/>
              </w:rPr>
              <w:t>Reynoutria</w:t>
            </w:r>
            <w:proofErr w:type="spellEnd"/>
            <w:r w:rsidRPr="0076053F">
              <w:rPr>
                <w:rFonts w:asciiTheme="minorHAnsi" w:hAnsiTheme="minorHAnsi" w:cs="Calibri"/>
                <w:i/>
                <w:iCs/>
                <w:sz w:val="18"/>
                <w:szCs w:val="18"/>
              </w:rPr>
              <w:t xml:space="preserve"> </w:t>
            </w:r>
            <w:r w:rsidRPr="0076053F">
              <w:rPr>
                <w:rFonts w:asciiTheme="minorHAnsi" w:hAnsiTheme="minorHAnsi" w:cs="Calibri"/>
                <w:sz w:val="18"/>
                <w:szCs w:val="18"/>
              </w:rPr>
              <w:t xml:space="preserve">sp.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C20EC59"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sz w:val="18"/>
                <w:szCs w:val="18"/>
              </w:rPr>
              <w:t>Min. 5m</w:t>
            </w:r>
          </w:p>
        </w:tc>
      </w:tr>
      <w:tr w:rsidR="00862AC8" w:rsidRPr="0076053F" w14:paraId="6D85DE80" w14:textId="77777777" w:rsidTr="003614F0">
        <w:tc>
          <w:tcPr>
            <w:tcW w:w="4531" w:type="dxa"/>
            <w:tcBorders>
              <w:top w:val="single" w:sz="4" w:space="0" w:color="auto"/>
              <w:left w:val="single" w:sz="4" w:space="0" w:color="auto"/>
              <w:bottom w:val="single" w:sz="4" w:space="0" w:color="auto"/>
              <w:right w:val="single" w:sz="4" w:space="0" w:color="auto"/>
            </w:tcBorders>
            <w:vAlign w:val="center"/>
            <w:hideMark/>
          </w:tcPr>
          <w:p w14:paraId="5DF48F5B"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sz w:val="18"/>
                <w:szCs w:val="18"/>
              </w:rPr>
              <w:t xml:space="preserve">Niecierpek gruczołowaty </w:t>
            </w:r>
            <w:proofErr w:type="spellStart"/>
            <w:r w:rsidRPr="0076053F">
              <w:rPr>
                <w:rFonts w:asciiTheme="minorHAnsi" w:hAnsiTheme="minorHAnsi" w:cs="Calibri"/>
                <w:i/>
                <w:iCs/>
                <w:sz w:val="18"/>
                <w:szCs w:val="18"/>
              </w:rPr>
              <w:t>Impatiens</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grandulifera</w:t>
            </w:r>
            <w:proofErr w:type="spellEnd"/>
            <w:r w:rsidRPr="0076053F">
              <w:rPr>
                <w:rFonts w:asciiTheme="minorHAnsi" w:hAnsiTheme="minorHAnsi" w:cs="Calibri"/>
                <w:sz w:val="18"/>
                <w:szCs w:val="18"/>
              </w:rPr>
              <w:t>,</w:t>
            </w:r>
          </w:p>
          <w:p w14:paraId="0A2C71A0"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sz w:val="18"/>
                <w:szCs w:val="18"/>
              </w:rPr>
              <w:t xml:space="preserve">Łubin trwały </w:t>
            </w:r>
            <w:proofErr w:type="spellStart"/>
            <w:r w:rsidRPr="0076053F">
              <w:rPr>
                <w:rFonts w:asciiTheme="minorHAnsi" w:hAnsiTheme="minorHAnsi" w:cs="Calibri"/>
                <w:i/>
                <w:iCs/>
                <w:sz w:val="18"/>
                <w:szCs w:val="18"/>
              </w:rPr>
              <w:t>Lupinus</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polyphyllus</w:t>
            </w:r>
            <w:proofErr w:type="spellEnd"/>
            <w:r w:rsidRPr="0076053F">
              <w:rPr>
                <w:rFonts w:asciiTheme="minorHAnsi" w:hAnsiTheme="minorHAnsi" w:cs="Calibri"/>
                <w:i/>
                <w:iCs/>
                <w:sz w:val="18"/>
                <w:szCs w:val="18"/>
              </w:rPr>
              <w:t xml:space="preserve"> </w:t>
            </w:r>
            <w:r w:rsidRPr="0076053F">
              <w:rPr>
                <w:rFonts w:asciiTheme="minorHAnsi" w:hAnsiTheme="minorHAnsi" w:cs="Calibri"/>
                <w:sz w:val="18"/>
                <w:szCs w:val="18"/>
              </w:rPr>
              <w:t>,</w:t>
            </w:r>
          </w:p>
          <w:p w14:paraId="660FB940" w14:textId="77777777" w:rsidR="00862AC8" w:rsidRPr="0076053F" w:rsidRDefault="00862AC8" w:rsidP="00862AC8">
            <w:pPr>
              <w:rPr>
                <w:rFonts w:asciiTheme="minorHAnsi" w:hAnsiTheme="minorHAnsi" w:cs="Calibri"/>
                <w:b/>
                <w:bCs/>
                <w:sz w:val="18"/>
                <w:szCs w:val="18"/>
              </w:rPr>
            </w:pPr>
            <w:proofErr w:type="spellStart"/>
            <w:r w:rsidRPr="0076053F">
              <w:rPr>
                <w:rFonts w:asciiTheme="minorHAnsi" w:hAnsiTheme="minorHAnsi" w:cs="Calibri"/>
                <w:sz w:val="18"/>
                <w:szCs w:val="18"/>
              </w:rPr>
              <w:t>Kolczurka</w:t>
            </w:r>
            <w:proofErr w:type="spellEnd"/>
            <w:r w:rsidRPr="0076053F">
              <w:rPr>
                <w:rFonts w:asciiTheme="minorHAnsi" w:hAnsiTheme="minorHAnsi" w:cs="Calibri"/>
                <w:sz w:val="18"/>
                <w:szCs w:val="18"/>
              </w:rPr>
              <w:t xml:space="preserve"> klapowana </w:t>
            </w:r>
            <w:proofErr w:type="spellStart"/>
            <w:r w:rsidRPr="0076053F">
              <w:rPr>
                <w:rFonts w:asciiTheme="minorHAnsi" w:hAnsiTheme="minorHAnsi" w:cs="Calibri"/>
                <w:i/>
                <w:iCs/>
                <w:sz w:val="18"/>
                <w:szCs w:val="18"/>
              </w:rPr>
              <w:t>Echinocystis</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lobata</w:t>
            </w:r>
            <w:proofErr w:type="spellEnd"/>
            <w:r w:rsidRPr="0076053F">
              <w:rPr>
                <w:rFonts w:asciiTheme="minorHAnsi" w:hAnsiTheme="minorHAnsi" w:cs="Calibri"/>
                <w:i/>
                <w:iCs/>
                <w:sz w:val="18"/>
                <w:szCs w:val="18"/>
              </w:rPr>
              <w:t xml:space="preserve"> </w:t>
            </w:r>
          </w:p>
          <w:p w14:paraId="0442B9F3"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sz w:val="18"/>
                <w:szCs w:val="18"/>
              </w:rPr>
              <w:t xml:space="preserve">Szarłat szorstki </w:t>
            </w:r>
            <w:proofErr w:type="spellStart"/>
            <w:r w:rsidRPr="0076053F">
              <w:rPr>
                <w:rFonts w:asciiTheme="minorHAnsi" w:hAnsiTheme="minorHAnsi" w:cs="Calibri"/>
                <w:i/>
                <w:iCs/>
                <w:sz w:val="18"/>
                <w:szCs w:val="18"/>
              </w:rPr>
              <w:t>Amaranthus</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retroflexus</w:t>
            </w:r>
            <w:proofErr w:type="spellEnd"/>
            <w:r w:rsidRPr="0076053F">
              <w:rPr>
                <w:rFonts w:asciiTheme="minorHAnsi" w:hAnsiTheme="minorHAnsi" w:cs="Calibri"/>
                <w:i/>
                <w:iCs/>
                <w:sz w:val="18"/>
                <w:szCs w:val="18"/>
              </w:rPr>
              <w:t xml:space="preserve"> </w:t>
            </w:r>
            <w:r w:rsidRPr="0076053F">
              <w:rPr>
                <w:rFonts w:asciiTheme="minorHAnsi" w:hAnsiTheme="minorHAnsi" w:cs="Calibri"/>
                <w:sz w:val="18"/>
                <w:szCs w:val="18"/>
              </w:rPr>
              <w:t>,</w:t>
            </w:r>
          </w:p>
          <w:p w14:paraId="0EE44FC2"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sz w:val="18"/>
                <w:szCs w:val="18"/>
              </w:rPr>
              <w:t xml:space="preserve">Naparstnica purpurowa </w:t>
            </w:r>
            <w:r w:rsidRPr="0076053F">
              <w:rPr>
                <w:rFonts w:asciiTheme="minorHAnsi" w:hAnsiTheme="minorHAnsi" w:cs="Calibri"/>
                <w:i/>
                <w:iCs/>
                <w:sz w:val="18"/>
                <w:szCs w:val="18"/>
              </w:rPr>
              <w:t xml:space="preserve">Digitalis </w:t>
            </w:r>
            <w:proofErr w:type="spellStart"/>
            <w:r w:rsidRPr="0076053F">
              <w:rPr>
                <w:rFonts w:asciiTheme="minorHAnsi" w:hAnsiTheme="minorHAnsi" w:cs="Calibri"/>
                <w:i/>
                <w:iCs/>
                <w:sz w:val="18"/>
                <w:szCs w:val="18"/>
              </w:rPr>
              <w:t>purpurea</w:t>
            </w:r>
            <w:proofErr w:type="spellEnd"/>
            <w:r w:rsidRPr="0076053F">
              <w:rPr>
                <w:rFonts w:asciiTheme="minorHAnsi" w:hAnsiTheme="minorHAnsi" w:cs="Calibri"/>
                <w:sz w:val="18"/>
                <w:szCs w:val="18"/>
              </w:rPr>
              <w:t>,</w:t>
            </w:r>
          </w:p>
          <w:p w14:paraId="67D48CF5"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sz w:val="18"/>
                <w:szCs w:val="18"/>
              </w:rPr>
              <w:t xml:space="preserve">Barszcz Sosnowskiego </w:t>
            </w:r>
            <w:proofErr w:type="spellStart"/>
            <w:r w:rsidRPr="0076053F">
              <w:rPr>
                <w:rFonts w:asciiTheme="minorHAnsi" w:hAnsiTheme="minorHAnsi" w:cs="Calibri"/>
                <w:i/>
                <w:iCs/>
                <w:sz w:val="18"/>
                <w:szCs w:val="18"/>
              </w:rPr>
              <w:t>Heracleum</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sosnowskyi</w:t>
            </w:r>
            <w:proofErr w:type="spellEnd"/>
            <w:r w:rsidRPr="0076053F">
              <w:rPr>
                <w:rFonts w:asciiTheme="minorHAnsi" w:hAnsiTheme="minorHAnsi" w:cs="Calibri"/>
                <w:sz w:val="18"/>
                <w:szCs w:val="18"/>
              </w:rPr>
              <w:t>,</w:t>
            </w:r>
          </w:p>
          <w:p w14:paraId="719D97B6" w14:textId="77777777" w:rsidR="00862AC8" w:rsidRPr="0076053F" w:rsidRDefault="00862AC8" w:rsidP="00862AC8">
            <w:pPr>
              <w:rPr>
                <w:rFonts w:asciiTheme="minorHAnsi" w:hAnsiTheme="minorHAnsi" w:cs="Calibri"/>
                <w:i/>
                <w:iCs/>
                <w:sz w:val="18"/>
                <w:szCs w:val="18"/>
              </w:rPr>
            </w:pPr>
            <w:r w:rsidRPr="0076053F">
              <w:rPr>
                <w:rFonts w:asciiTheme="minorHAnsi" w:hAnsiTheme="minorHAnsi" w:cs="Calibri"/>
                <w:sz w:val="18"/>
                <w:szCs w:val="18"/>
              </w:rPr>
              <w:t xml:space="preserve">Barszcz </w:t>
            </w:r>
            <w:proofErr w:type="spellStart"/>
            <w:r w:rsidRPr="0076053F">
              <w:rPr>
                <w:rFonts w:asciiTheme="minorHAnsi" w:hAnsiTheme="minorHAnsi" w:cs="Calibri"/>
                <w:i/>
                <w:iCs/>
                <w:sz w:val="18"/>
                <w:szCs w:val="18"/>
              </w:rPr>
              <w:t>Mantegazziego</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Heracleum</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mantegazzianum</w:t>
            </w:r>
            <w:proofErr w:type="spellEnd"/>
            <w:r w:rsidRPr="0076053F">
              <w:rPr>
                <w:rFonts w:asciiTheme="minorHAnsi" w:hAnsiTheme="minorHAnsi" w:cs="Calibri"/>
                <w:i/>
                <w:iCs/>
                <w:sz w:val="18"/>
                <w:szCs w:val="18"/>
              </w:rPr>
              <w:t xml:space="preserve"> </w:t>
            </w:r>
          </w:p>
          <w:p w14:paraId="603077C8" w14:textId="6B1636C2" w:rsidR="009556D9" w:rsidRPr="0076053F" w:rsidRDefault="009556D9" w:rsidP="00862AC8">
            <w:pPr>
              <w:rPr>
                <w:rFonts w:asciiTheme="minorHAnsi" w:hAnsiTheme="minorHAnsi" w:cs="Calibri"/>
                <w:i/>
                <w:iCs/>
                <w:sz w:val="18"/>
                <w:szCs w:val="18"/>
              </w:rPr>
            </w:pPr>
            <w:r w:rsidRPr="0076053F">
              <w:rPr>
                <w:rFonts w:asciiTheme="minorHAnsi" w:hAnsiTheme="minorHAnsi" w:cs="Calibri"/>
                <w:sz w:val="18"/>
                <w:szCs w:val="18"/>
              </w:rPr>
              <w:t xml:space="preserve">Kroplik żółty </w:t>
            </w:r>
            <w:proofErr w:type="spellStart"/>
            <w:r w:rsidRPr="0076053F">
              <w:rPr>
                <w:rFonts w:asciiTheme="minorHAnsi" w:hAnsiTheme="minorHAnsi" w:cs="Calibri"/>
                <w:i/>
                <w:iCs/>
                <w:sz w:val="18"/>
                <w:szCs w:val="18"/>
              </w:rPr>
              <w:t>Mimulus</w:t>
            </w:r>
            <w:proofErr w:type="spellEnd"/>
            <w:r w:rsidRPr="0076053F">
              <w:rPr>
                <w:rFonts w:asciiTheme="minorHAnsi" w:hAnsiTheme="minorHAnsi" w:cs="Calibri"/>
                <w:i/>
                <w:iCs/>
                <w:sz w:val="18"/>
                <w:szCs w:val="18"/>
              </w:rPr>
              <w:t xml:space="preserve"> </w:t>
            </w:r>
            <w:proofErr w:type="spellStart"/>
            <w:r w:rsidRPr="0076053F">
              <w:rPr>
                <w:rFonts w:asciiTheme="minorHAnsi" w:hAnsiTheme="minorHAnsi" w:cs="Calibri"/>
                <w:i/>
                <w:iCs/>
                <w:sz w:val="18"/>
                <w:szCs w:val="18"/>
              </w:rPr>
              <w:t>guttatus</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14:paraId="3E701942" w14:textId="77777777" w:rsidR="00862AC8" w:rsidRPr="0076053F" w:rsidRDefault="00862AC8" w:rsidP="00862AC8">
            <w:pPr>
              <w:rPr>
                <w:rFonts w:asciiTheme="minorHAnsi" w:hAnsiTheme="minorHAnsi" w:cs="Calibri"/>
                <w:sz w:val="18"/>
                <w:szCs w:val="18"/>
                <w:lang w:val="en-US"/>
              </w:rPr>
            </w:pPr>
            <w:r w:rsidRPr="0076053F">
              <w:rPr>
                <w:rFonts w:asciiTheme="minorHAnsi" w:hAnsiTheme="minorHAnsi" w:cs="Calibri"/>
                <w:sz w:val="18"/>
                <w:szCs w:val="18"/>
              </w:rPr>
              <w:t>Min. 2 m</w:t>
            </w:r>
          </w:p>
        </w:tc>
      </w:tr>
      <w:tr w:rsidR="00862AC8" w:rsidRPr="0076053F" w14:paraId="76BF2E1C" w14:textId="77777777" w:rsidTr="003614F0">
        <w:tc>
          <w:tcPr>
            <w:tcW w:w="4531" w:type="dxa"/>
            <w:tcBorders>
              <w:top w:val="single" w:sz="4" w:space="0" w:color="auto"/>
              <w:left w:val="single" w:sz="4" w:space="0" w:color="auto"/>
              <w:bottom w:val="single" w:sz="4" w:space="0" w:color="auto"/>
              <w:right w:val="single" w:sz="4" w:space="0" w:color="auto"/>
            </w:tcBorders>
            <w:vAlign w:val="center"/>
            <w:hideMark/>
          </w:tcPr>
          <w:p w14:paraId="43B5D96C"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b/>
                <w:bCs/>
                <w:sz w:val="18"/>
                <w:szCs w:val="18"/>
              </w:rPr>
              <w:lastRenderedPageBreak/>
              <w:t xml:space="preserve">Róża pomarszczona </w:t>
            </w:r>
            <w:r w:rsidRPr="0076053F">
              <w:rPr>
                <w:rFonts w:asciiTheme="minorHAnsi" w:hAnsiTheme="minorHAnsi" w:cs="Calibri"/>
                <w:b/>
                <w:bCs/>
                <w:i/>
                <w:iCs/>
                <w:sz w:val="18"/>
                <w:szCs w:val="18"/>
              </w:rPr>
              <w:t xml:space="preserve">Rosa </w:t>
            </w:r>
            <w:proofErr w:type="spellStart"/>
            <w:r w:rsidRPr="0076053F">
              <w:rPr>
                <w:rFonts w:asciiTheme="minorHAnsi" w:hAnsiTheme="minorHAnsi" w:cs="Calibri"/>
                <w:b/>
                <w:bCs/>
                <w:i/>
                <w:iCs/>
                <w:sz w:val="18"/>
                <w:szCs w:val="18"/>
              </w:rPr>
              <w:t>rugosa</w:t>
            </w:r>
            <w:proofErr w:type="spellEnd"/>
            <w:r w:rsidRPr="0076053F">
              <w:rPr>
                <w:rFonts w:asciiTheme="minorHAnsi" w:hAnsiTheme="minorHAnsi" w:cs="Calibri"/>
                <w:b/>
                <w:bCs/>
                <w:i/>
                <w:iCs/>
                <w:sz w:val="18"/>
                <w:szCs w:val="18"/>
              </w:rPr>
              <w:t xml:space="preserve"> </w:t>
            </w:r>
            <w:r w:rsidRPr="0076053F">
              <w:rPr>
                <w:rFonts w:asciiTheme="minorHAnsi" w:hAnsiTheme="minorHAnsi" w:cs="Calibri"/>
                <w:b/>
                <w:bCs/>
                <w:sz w:val="18"/>
                <w:szCs w:val="18"/>
              </w:rPr>
              <w:t>,</w:t>
            </w:r>
          </w:p>
          <w:p w14:paraId="3262E711"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b/>
                <w:bCs/>
                <w:sz w:val="18"/>
                <w:szCs w:val="18"/>
              </w:rPr>
              <w:t xml:space="preserve">Nawłoć późna </w:t>
            </w:r>
            <w:proofErr w:type="spellStart"/>
            <w:r w:rsidRPr="0076053F">
              <w:rPr>
                <w:rFonts w:asciiTheme="minorHAnsi" w:hAnsiTheme="minorHAnsi" w:cs="Calibri"/>
                <w:b/>
                <w:bCs/>
                <w:i/>
                <w:iCs/>
                <w:sz w:val="18"/>
                <w:szCs w:val="18"/>
              </w:rPr>
              <w:t>Solidago</w:t>
            </w:r>
            <w:proofErr w:type="spellEnd"/>
            <w:r w:rsidRPr="0076053F">
              <w:rPr>
                <w:rFonts w:asciiTheme="minorHAnsi" w:hAnsiTheme="minorHAnsi" w:cs="Calibri"/>
                <w:b/>
                <w:bCs/>
                <w:i/>
                <w:iCs/>
                <w:sz w:val="18"/>
                <w:szCs w:val="18"/>
              </w:rPr>
              <w:t xml:space="preserve"> </w:t>
            </w:r>
            <w:proofErr w:type="spellStart"/>
            <w:r w:rsidRPr="0076053F">
              <w:rPr>
                <w:rFonts w:asciiTheme="minorHAnsi" w:hAnsiTheme="minorHAnsi" w:cs="Calibri"/>
                <w:b/>
                <w:bCs/>
                <w:i/>
                <w:iCs/>
                <w:sz w:val="18"/>
                <w:szCs w:val="18"/>
              </w:rPr>
              <w:t>gigantea</w:t>
            </w:r>
            <w:proofErr w:type="spellEnd"/>
            <w:r w:rsidRPr="0076053F">
              <w:rPr>
                <w:rFonts w:asciiTheme="minorHAnsi" w:hAnsiTheme="minorHAnsi" w:cs="Calibri"/>
                <w:b/>
                <w:bCs/>
                <w:sz w:val="18"/>
                <w:szCs w:val="18"/>
              </w:rPr>
              <w:t>,</w:t>
            </w:r>
          </w:p>
          <w:p w14:paraId="1747410F" w14:textId="77777777" w:rsidR="00862AC8" w:rsidRPr="0076053F" w:rsidRDefault="00862AC8" w:rsidP="00862AC8">
            <w:pPr>
              <w:rPr>
                <w:rFonts w:asciiTheme="minorHAnsi" w:hAnsiTheme="minorHAnsi" w:cs="Calibri"/>
                <w:b/>
                <w:bCs/>
                <w:sz w:val="18"/>
                <w:szCs w:val="18"/>
              </w:rPr>
            </w:pPr>
            <w:r w:rsidRPr="0076053F">
              <w:rPr>
                <w:rFonts w:asciiTheme="minorHAnsi" w:hAnsiTheme="minorHAnsi" w:cs="Calibri"/>
                <w:b/>
                <w:bCs/>
                <w:sz w:val="18"/>
                <w:szCs w:val="18"/>
              </w:rPr>
              <w:t xml:space="preserve">Nawłoć kanadyjska </w:t>
            </w:r>
            <w:proofErr w:type="spellStart"/>
            <w:r w:rsidRPr="0076053F">
              <w:rPr>
                <w:rFonts w:asciiTheme="minorHAnsi" w:hAnsiTheme="minorHAnsi" w:cs="Calibri"/>
                <w:b/>
                <w:bCs/>
                <w:i/>
                <w:iCs/>
                <w:sz w:val="18"/>
                <w:szCs w:val="18"/>
              </w:rPr>
              <w:t>Solidago</w:t>
            </w:r>
            <w:proofErr w:type="spellEnd"/>
            <w:r w:rsidRPr="0076053F">
              <w:rPr>
                <w:rFonts w:asciiTheme="minorHAnsi" w:hAnsiTheme="minorHAnsi" w:cs="Calibri"/>
                <w:b/>
                <w:bCs/>
                <w:i/>
                <w:iCs/>
                <w:sz w:val="18"/>
                <w:szCs w:val="18"/>
              </w:rPr>
              <w:t xml:space="preserve"> </w:t>
            </w:r>
            <w:proofErr w:type="spellStart"/>
            <w:r w:rsidRPr="0076053F">
              <w:rPr>
                <w:rFonts w:asciiTheme="minorHAnsi" w:hAnsiTheme="minorHAnsi" w:cs="Calibri"/>
                <w:b/>
                <w:bCs/>
                <w:i/>
                <w:iCs/>
                <w:sz w:val="18"/>
                <w:szCs w:val="18"/>
              </w:rPr>
              <w:t>canadensis</w:t>
            </w:r>
            <w:proofErr w:type="spellEnd"/>
            <w:r w:rsidRPr="0076053F">
              <w:rPr>
                <w:rFonts w:asciiTheme="minorHAnsi" w:hAnsiTheme="minorHAnsi" w:cs="Calibri"/>
                <w:b/>
                <w:bCs/>
                <w:sz w:val="18"/>
                <w:szCs w:val="18"/>
              </w:rPr>
              <w:t>,</w:t>
            </w:r>
          </w:p>
          <w:p w14:paraId="239793AC" w14:textId="77777777" w:rsidR="00862AC8" w:rsidRPr="0076053F" w:rsidRDefault="00862AC8" w:rsidP="00862AC8">
            <w:pPr>
              <w:rPr>
                <w:rFonts w:asciiTheme="minorHAnsi" w:hAnsiTheme="minorHAnsi" w:cs="Calibri"/>
                <w:b/>
                <w:bCs/>
                <w:sz w:val="18"/>
                <w:szCs w:val="18"/>
              </w:rPr>
            </w:pPr>
            <w:proofErr w:type="spellStart"/>
            <w:r w:rsidRPr="0076053F">
              <w:rPr>
                <w:rFonts w:asciiTheme="minorHAnsi" w:hAnsiTheme="minorHAnsi" w:cs="Calibri"/>
                <w:b/>
                <w:bCs/>
                <w:sz w:val="18"/>
                <w:szCs w:val="18"/>
              </w:rPr>
              <w:t>Świdośliwa</w:t>
            </w:r>
            <w:proofErr w:type="spellEnd"/>
            <w:r w:rsidRPr="0076053F">
              <w:rPr>
                <w:rFonts w:asciiTheme="minorHAnsi" w:hAnsiTheme="minorHAnsi" w:cs="Calibri"/>
                <w:b/>
                <w:bCs/>
                <w:sz w:val="18"/>
                <w:szCs w:val="18"/>
              </w:rPr>
              <w:t xml:space="preserve"> kłosowa </w:t>
            </w:r>
            <w:proofErr w:type="spellStart"/>
            <w:r w:rsidRPr="0076053F">
              <w:rPr>
                <w:rFonts w:asciiTheme="minorHAnsi" w:hAnsiTheme="minorHAnsi" w:cs="Calibri"/>
                <w:b/>
                <w:bCs/>
                <w:i/>
                <w:iCs/>
                <w:sz w:val="18"/>
                <w:szCs w:val="18"/>
              </w:rPr>
              <w:t>Amelanchier</w:t>
            </w:r>
            <w:proofErr w:type="spellEnd"/>
            <w:r w:rsidRPr="0076053F">
              <w:rPr>
                <w:rFonts w:asciiTheme="minorHAnsi" w:hAnsiTheme="minorHAnsi" w:cs="Calibri"/>
                <w:b/>
                <w:bCs/>
                <w:i/>
                <w:iCs/>
                <w:sz w:val="18"/>
                <w:szCs w:val="18"/>
              </w:rPr>
              <w:t xml:space="preserve"> </w:t>
            </w:r>
            <w:proofErr w:type="spellStart"/>
            <w:r w:rsidRPr="0076053F">
              <w:rPr>
                <w:rFonts w:asciiTheme="minorHAnsi" w:hAnsiTheme="minorHAnsi" w:cs="Calibri"/>
                <w:b/>
                <w:bCs/>
                <w:i/>
                <w:iCs/>
                <w:sz w:val="18"/>
                <w:szCs w:val="18"/>
              </w:rPr>
              <w:t>spicata</w:t>
            </w:r>
            <w:proofErr w:type="spellEnd"/>
            <w:r w:rsidRPr="0076053F">
              <w:rPr>
                <w:rFonts w:asciiTheme="minorHAnsi" w:hAnsiTheme="minorHAnsi" w:cs="Calibri"/>
                <w:b/>
                <w:bCs/>
                <w:sz w:val="18"/>
                <w:szCs w:val="18"/>
              </w:rPr>
              <w:t>,</w:t>
            </w:r>
          </w:p>
          <w:p w14:paraId="0909024F" w14:textId="77777777" w:rsidR="00862AC8" w:rsidRPr="0076053F" w:rsidRDefault="00862AC8" w:rsidP="00862AC8">
            <w:pPr>
              <w:rPr>
                <w:rFonts w:asciiTheme="minorHAnsi" w:hAnsiTheme="minorHAnsi" w:cs="Calibri"/>
                <w:b/>
                <w:bCs/>
                <w:sz w:val="18"/>
                <w:szCs w:val="18"/>
              </w:rPr>
            </w:pPr>
            <w:r w:rsidRPr="0076053F">
              <w:rPr>
                <w:rFonts w:asciiTheme="minorHAnsi" w:hAnsiTheme="minorHAnsi" w:cs="Calibri"/>
                <w:b/>
                <w:bCs/>
                <w:sz w:val="18"/>
                <w:szCs w:val="18"/>
              </w:rPr>
              <w:t xml:space="preserve">Tawuła kutnerowata </w:t>
            </w:r>
            <w:proofErr w:type="spellStart"/>
            <w:r w:rsidRPr="0076053F">
              <w:rPr>
                <w:rFonts w:asciiTheme="minorHAnsi" w:hAnsiTheme="minorHAnsi" w:cs="Calibri"/>
                <w:b/>
                <w:bCs/>
                <w:i/>
                <w:iCs/>
                <w:sz w:val="18"/>
                <w:szCs w:val="18"/>
              </w:rPr>
              <w:t>Spiraea</w:t>
            </w:r>
            <w:proofErr w:type="spellEnd"/>
            <w:r w:rsidRPr="0076053F">
              <w:rPr>
                <w:rFonts w:asciiTheme="minorHAnsi" w:hAnsiTheme="minorHAnsi" w:cs="Calibri"/>
                <w:b/>
                <w:bCs/>
                <w:i/>
                <w:iCs/>
                <w:sz w:val="18"/>
                <w:szCs w:val="18"/>
              </w:rPr>
              <w:t xml:space="preserve"> </w:t>
            </w:r>
            <w:proofErr w:type="spellStart"/>
            <w:r w:rsidRPr="0076053F">
              <w:rPr>
                <w:rFonts w:asciiTheme="minorHAnsi" w:hAnsiTheme="minorHAnsi" w:cs="Calibri"/>
                <w:b/>
                <w:bCs/>
                <w:i/>
                <w:iCs/>
                <w:sz w:val="18"/>
                <w:szCs w:val="18"/>
              </w:rPr>
              <w:t>tomentosa</w:t>
            </w:r>
            <w:proofErr w:type="spellEnd"/>
            <w:r w:rsidRPr="0076053F">
              <w:rPr>
                <w:rFonts w:asciiTheme="minorHAnsi" w:hAnsiTheme="minorHAnsi" w:cs="Calibri"/>
                <w:b/>
                <w:bCs/>
                <w:sz w:val="18"/>
                <w:szCs w:val="18"/>
              </w:rPr>
              <w:t>,</w:t>
            </w:r>
          </w:p>
          <w:p w14:paraId="39AA357D" w14:textId="77777777" w:rsidR="00862AC8" w:rsidRPr="0076053F" w:rsidRDefault="00862AC8" w:rsidP="00862AC8">
            <w:pPr>
              <w:rPr>
                <w:rFonts w:asciiTheme="minorHAnsi" w:hAnsiTheme="minorHAnsi" w:cs="Calibri"/>
                <w:b/>
                <w:bCs/>
                <w:sz w:val="18"/>
                <w:szCs w:val="18"/>
              </w:rPr>
            </w:pPr>
            <w:r w:rsidRPr="0076053F">
              <w:rPr>
                <w:rFonts w:asciiTheme="minorHAnsi" w:hAnsiTheme="minorHAnsi" w:cs="Calibri"/>
                <w:b/>
                <w:bCs/>
                <w:sz w:val="18"/>
                <w:szCs w:val="18"/>
              </w:rPr>
              <w:t xml:space="preserve">Tojeść kropkowana </w:t>
            </w:r>
            <w:proofErr w:type="spellStart"/>
            <w:r w:rsidRPr="0076053F">
              <w:rPr>
                <w:rFonts w:asciiTheme="minorHAnsi" w:hAnsiTheme="minorHAnsi" w:cs="Calibri"/>
                <w:b/>
                <w:bCs/>
                <w:i/>
                <w:iCs/>
                <w:sz w:val="18"/>
                <w:szCs w:val="18"/>
              </w:rPr>
              <w:t>Lysimachia</w:t>
            </w:r>
            <w:proofErr w:type="spellEnd"/>
            <w:r w:rsidRPr="0076053F">
              <w:rPr>
                <w:rFonts w:asciiTheme="minorHAnsi" w:hAnsiTheme="minorHAnsi" w:cs="Calibri"/>
                <w:b/>
                <w:bCs/>
                <w:i/>
                <w:iCs/>
                <w:sz w:val="18"/>
                <w:szCs w:val="18"/>
              </w:rPr>
              <w:t xml:space="preserve"> </w:t>
            </w:r>
            <w:proofErr w:type="spellStart"/>
            <w:r w:rsidRPr="0076053F">
              <w:rPr>
                <w:rFonts w:asciiTheme="minorHAnsi" w:hAnsiTheme="minorHAnsi" w:cs="Calibri"/>
                <w:b/>
                <w:bCs/>
                <w:i/>
                <w:iCs/>
                <w:sz w:val="18"/>
                <w:szCs w:val="18"/>
              </w:rPr>
              <w:t>punctata</w:t>
            </w:r>
            <w:proofErr w:type="spellEnd"/>
            <w:r w:rsidRPr="0076053F">
              <w:rPr>
                <w:rFonts w:asciiTheme="minorHAnsi" w:hAnsiTheme="minorHAnsi" w:cs="Calibri"/>
                <w:b/>
                <w:bCs/>
                <w:sz w:val="18"/>
                <w:szCs w:val="18"/>
              </w:rPr>
              <w:t>,</w:t>
            </w:r>
          </w:p>
          <w:p w14:paraId="51D2DD5E" w14:textId="77777777" w:rsidR="00862AC8" w:rsidRPr="0076053F" w:rsidRDefault="00862AC8" w:rsidP="00862AC8">
            <w:pPr>
              <w:rPr>
                <w:rFonts w:asciiTheme="minorHAnsi" w:hAnsiTheme="minorHAnsi" w:cs="Calibri"/>
                <w:b/>
                <w:bCs/>
                <w:sz w:val="18"/>
                <w:szCs w:val="18"/>
              </w:rPr>
            </w:pPr>
            <w:r w:rsidRPr="0076053F">
              <w:rPr>
                <w:rFonts w:asciiTheme="minorHAnsi" w:hAnsiTheme="minorHAnsi" w:cs="Calibri"/>
                <w:b/>
                <w:bCs/>
                <w:sz w:val="18"/>
                <w:szCs w:val="18"/>
              </w:rPr>
              <w:t xml:space="preserve">Smotrawa okazała </w:t>
            </w:r>
            <w:proofErr w:type="spellStart"/>
            <w:r w:rsidRPr="0076053F">
              <w:rPr>
                <w:rFonts w:asciiTheme="minorHAnsi" w:hAnsiTheme="minorHAnsi" w:cs="Calibri"/>
                <w:b/>
                <w:bCs/>
                <w:i/>
                <w:iCs/>
                <w:sz w:val="18"/>
                <w:szCs w:val="18"/>
              </w:rPr>
              <w:t>Telekia</w:t>
            </w:r>
            <w:proofErr w:type="spellEnd"/>
            <w:r w:rsidRPr="0076053F">
              <w:rPr>
                <w:rFonts w:asciiTheme="minorHAnsi" w:hAnsiTheme="minorHAnsi" w:cs="Calibri"/>
                <w:b/>
                <w:bCs/>
                <w:i/>
                <w:iCs/>
                <w:sz w:val="18"/>
                <w:szCs w:val="18"/>
              </w:rPr>
              <w:t xml:space="preserve"> </w:t>
            </w:r>
            <w:proofErr w:type="spellStart"/>
            <w:r w:rsidRPr="0076053F">
              <w:rPr>
                <w:rFonts w:asciiTheme="minorHAnsi" w:hAnsiTheme="minorHAnsi" w:cs="Calibri"/>
                <w:b/>
                <w:bCs/>
                <w:i/>
                <w:iCs/>
                <w:sz w:val="18"/>
                <w:szCs w:val="18"/>
              </w:rPr>
              <w:t>speciosa</w:t>
            </w:r>
            <w:proofErr w:type="spellEnd"/>
            <w:r w:rsidRPr="0076053F">
              <w:rPr>
                <w:rFonts w:asciiTheme="minorHAnsi" w:hAnsiTheme="minorHAnsi" w:cs="Calibri"/>
                <w:b/>
                <w:bCs/>
                <w:sz w:val="18"/>
                <w:szCs w:val="18"/>
              </w:rPr>
              <w:t>,</w:t>
            </w:r>
          </w:p>
          <w:p w14:paraId="79C3737A" w14:textId="77777777" w:rsidR="00862AC8" w:rsidRPr="0076053F" w:rsidRDefault="00862AC8" w:rsidP="00862AC8">
            <w:pPr>
              <w:rPr>
                <w:rFonts w:asciiTheme="minorHAnsi" w:hAnsiTheme="minorHAnsi" w:cs="Calibri"/>
                <w:b/>
                <w:bCs/>
                <w:sz w:val="18"/>
                <w:szCs w:val="18"/>
              </w:rPr>
            </w:pPr>
            <w:proofErr w:type="spellStart"/>
            <w:r w:rsidRPr="0076053F">
              <w:rPr>
                <w:rFonts w:asciiTheme="minorHAnsi" w:hAnsiTheme="minorHAnsi" w:cs="Calibri"/>
                <w:b/>
                <w:bCs/>
                <w:sz w:val="18"/>
                <w:szCs w:val="18"/>
              </w:rPr>
              <w:t>Rdestowiec</w:t>
            </w:r>
            <w:proofErr w:type="spellEnd"/>
            <w:r w:rsidRPr="0076053F">
              <w:rPr>
                <w:rFonts w:asciiTheme="minorHAnsi" w:hAnsiTheme="minorHAnsi" w:cs="Calibri"/>
                <w:b/>
                <w:bCs/>
                <w:sz w:val="18"/>
                <w:szCs w:val="18"/>
              </w:rPr>
              <w:t xml:space="preserve"> </w:t>
            </w:r>
            <w:proofErr w:type="spellStart"/>
            <w:r w:rsidRPr="0076053F">
              <w:rPr>
                <w:rFonts w:asciiTheme="minorHAnsi" w:hAnsiTheme="minorHAnsi" w:cs="Calibri"/>
                <w:b/>
                <w:bCs/>
                <w:i/>
                <w:iCs/>
                <w:sz w:val="18"/>
                <w:szCs w:val="18"/>
              </w:rPr>
              <w:t>Reynoutria</w:t>
            </w:r>
            <w:proofErr w:type="spellEnd"/>
            <w:r w:rsidRPr="0076053F">
              <w:rPr>
                <w:rFonts w:asciiTheme="minorHAnsi" w:hAnsiTheme="minorHAnsi" w:cs="Calibri"/>
                <w:b/>
                <w:bCs/>
                <w:i/>
                <w:iCs/>
                <w:sz w:val="18"/>
                <w:szCs w:val="18"/>
              </w:rPr>
              <w:t xml:space="preserve"> </w:t>
            </w:r>
            <w:r w:rsidRPr="0076053F">
              <w:rPr>
                <w:rFonts w:asciiTheme="minorHAnsi" w:hAnsiTheme="minorHAnsi" w:cs="Calibri"/>
                <w:b/>
                <w:bCs/>
                <w:sz w:val="18"/>
                <w:szCs w:val="18"/>
              </w:rPr>
              <w:t>sp.</w:t>
            </w:r>
          </w:p>
          <w:p w14:paraId="21833AA3" w14:textId="2CBA1663" w:rsidR="009556D9" w:rsidRPr="0076053F" w:rsidRDefault="009556D9" w:rsidP="00862AC8">
            <w:pPr>
              <w:rPr>
                <w:rFonts w:asciiTheme="minorHAnsi" w:hAnsiTheme="minorHAnsi" w:cs="Calibri"/>
                <w:b/>
                <w:bCs/>
                <w:i/>
                <w:iCs/>
                <w:sz w:val="18"/>
                <w:szCs w:val="18"/>
              </w:rPr>
            </w:pPr>
            <w:r w:rsidRPr="0076053F">
              <w:rPr>
                <w:rFonts w:asciiTheme="minorHAnsi" w:hAnsiTheme="minorHAnsi" w:cs="Calibri"/>
                <w:b/>
                <w:bCs/>
                <w:sz w:val="18"/>
                <w:szCs w:val="18"/>
              </w:rPr>
              <w:t xml:space="preserve">Rudbekia naga </w:t>
            </w:r>
            <w:proofErr w:type="spellStart"/>
            <w:r w:rsidRPr="0076053F">
              <w:rPr>
                <w:rFonts w:asciiTheme="minorHAnsi" w:hAnsiTheme="minorHAnsi" w:cs="Calibri"/>
                <w:b/>
                <w:bCs/>
                <w:i/>
                <w:iCs/>
                <w:sz w:val="18"/>
                <w:szCs w:val="18"/>
              </w:rPr>
              <w:t>Rudbeckia</w:t>
            </w:r>
            <w:proofErr w:type="spellEnd"/>
            <w:r w:rsidRPr="0076053F">
              <w:rPr>
                <w:rFonts w:asciiTheme="minorHAnsi" w:hAnsiTheme="minorHAnsi" w:cs="Calibri"/>
                <w:b/>
                <w:bCs/>
                <w:i/>
                <w:iCs/>
                <w:sz w:val="18"/>
                <w:szCs w:val="18"/>
              </w:rPr>
              <w:t xml:space="preserve"> </w:t>
            </w:r>
            <w:proofErr w:type="spellStart"/>
            <w:r w:rsidRPr="0076053F">
              <w:rPr>
                <w:rFonts w:asciiTheme="minorHAnsi" w:hAnsiTheme="minorHAnsi" w:cs="Calibri"/>
                <w:b/>
                <w:bCs/>
                <w:i/>
                <w:iCs/>
                <w:sz w:val="18"/>
                <w:szCs w:val="18"/>
              </w:rPr>
              <w:t>laciniata</w:t>
            </w:r>
            <w:proofErr w:type="spellEnd"/>
          </w:p>
        </w:tc>
        <w:tc>
          <w:tcPr>
            <w:tcW w:w="4536" w:type="dxa"/>
            <w:tcBorders>
              <w:top w:val="single" w:sz="4" w:space="0" w:color="auto"/>
              <w:left w:val="single" w:sz="4" w:space="0" w:color="auto"/>
              <w:bottom w:val="single" w:sz="4" w:space="0" w:color="auto"/>
              <w:right w:val="single" w:sz="4" w:space="0" w:color="auto"/>
            </w:tcBorders>
            <w:vAlign w:val="center"/>
            <w:hideMark/>
          </w:tcPr>
          <w:p w14:paraId="426D50BD" w14:textId="77777777" w:rsidR="00862AC8" w:rsidRPr="0076053F" w:rsidRDefault="00862AC8" w:rsidP="00862AC8">
            <w:pPr>
              <w:rPr>
                <w:rFonts w:asciiTheme="minorHAnsi" w:hAnsiTheme="minorHAnsi" w:cs="Calibri"/>
                <w:sz w:val="18"/>
                <w:szCs w:val="18"/>
              </w:rPr>
            </w:pPr>
            <w:r w:rsidRPr="0076053F">
              <w:rPr>
                <w:rFonts w:asciiTheme="minorHAnsi" w:hAnsiTheme="minorHAnsi" w:cs="Calibri"/>
                <w:sz w:val="18"/>
                <w:szCs w:val="18"/>
              </w:rPr>
              <w:t>Min. 2 m + membrana z geowłókniny</w:t>
            </w:r>
          </w:p>
        </w:tc>
      </w:tr>
    </w:tbl>
    <w:p w14:paraId="7791B3B2" w14:textId="77777777" w:rsidR="00862AC8" w:rsidRDefault="00862AC8" w:rsidP="00862AC8"/>
    <w:p w14:paraId="07C6F63C" w14:textId="77777777" w:rsidR="00862AC8" w:rsidRPr="003614F0" w:rsidRDefault="00862AC8" w:rsidP="003614F0">
      <w:pPr>
        <w:spacing w:after="120" w:line="276" w:lineRule="auto"/>
        <w:jc w:val="both"/>
        <w:rPr>
          <w:rFonts w:asciiTheme="minorHAnsi" w:hAnsiTheme="minorHAnsi"/>
          <w:sz w:val="24"/>
          <w:szCs w:val="24"/>
        </w:rPr>
      </w:pPr>
      <w:proofErr w:type="spellStart"/>
      <w:r w:rsidRPr="003614F0">
        <w:rPr>
          <w:rFonts w:asciiTheme="minorHAnsi" w:hAnsiTheme="minorHAnsi"/>
          <w:sz w:val="24"/>
          <w:szCs w:val="24"/>
        </w:rPr>
        <w:t>Geomembranę</w:t>
      </w:r>
      <w:proofErr w:type="spellEnd"/>
      <w:r w:rsidRPr="003614F0">
        <w:rPr>
          <w:rFonts w:asciiTheme="minorHAnsi" w:hAnsiTheme="minorHAnsi"/>
          <w:sz w:val="24"/>
          <w:szCs w:val="24"/>
        </w:rPr>
        <w:t xml:space="preserve"> można wykorzystać do zakopania rdestowca na głębokości min. 2 m pod powierzchnią gruntu zamiast 5 m. </w:t>
      </w:r>
      <w:proofErr w:type="spellStart"/>
      <w:r w:rsidRPr="003614F0">
        <w:rPr>
          <w:rFonts w:asciiTheme="minorHAnsi" w:hAnsiTheme="minorHAnsi"/>
          <w:sz w:val="24"/>
          <w:szCs w:val="24"/>
        </w:rPr>
        <w:t>Geomembrana</w:t>
      </w:r>
      <w:proofErr w:type="spellEnd"/>
      <w:r w:rsidRPr="003614F0">
        <w:rPr>
          <w:rFonts w:asciiTheme="minorHAnsi" w:hAnsiTheme="minorHAnsi"/>
          <w:sz w:val="24"/>
          <w:szCs w:val="24"/>
        </w:rPr>
        <w:t>, który zostanie użyta do wyłożenia ścian i dna wykopu, powinna być: nieuszkodzona, o wystarczająco dużej powierzchni, aby zminimalizować potrzebę łączenia i zabezpieczania całej objętości biomasy roślinnej, odporna na promieniowanie UV i zdolna do pozostania nienaruszonym przez co najmniej 50 lat.</w:t>
      </w:r>
    </w:p>
    <w:p w14:paraId="0B95AAD2" w14:textId="551856C5" w:rsidR="00862AC8" w:rsidRPr="003614F0" w:rsidRDefault="00862AC8" w:rsidP="00862AC8">
      <w:pPr>
        <w:pStyle w:val="Nagwek4"/>
        <w:rPr>
          <w:i w:val="0"/>
          <w:iCs w:val="0"/>
          <w:sz w:val="24"/>
          <w:szCs w:val="24"/>
        </w:rPr>
      </w:pPr>
      <w:r w:rsidRPr="003614F0">
        <w:rPr>
          <w:i w:val="0"/>
          <w:iCs w:val="0"/>
          <w:sz w:val="24"/>
          <w:szCs w:val="24"/>
        </w:rPr>
        <w:t>3.2.1.1. Zagospodarowanie zanieczyszczonej gleby</w:t>
      </w:r>
    </w:p>
    <w:p w14:paraId="4F8BA90F" w14:textId="77777777" w:rsidR="00862AC8" w:rsidRPr="003614F0" w:rsidRDefault="00862AC8" w:rsidP="003614F0">
      <w:pPr>
        <w:spacing w:after="120" w:line="276" w:lineRule="auto"/>
        <w:jc w:val="both"/>
        <w:rPr>
          <w:rFonts w:asciiTheme="minorHAnsi" w:hAnsiTheme="minorHAnsi"/>
          <w:sz w:val="24"/>
          <w:szCs w:val="24"/>
        </w:rPr>
      </w:pPr>
      <w:r w:rsidRPr="003614F0">
        <w:rPr>
          <w:rFonts w:asciiTheme="minorHAnsi" w:hAnsiTheme="minorHAnsi"/>
          <w:sz w:val="24"/>
          <w:szCs w:val="24"/>
        </w:rPr>
        <w:t>Zakłada się występowanie niewielkich kęp gatunków inwazyjnych i wydobycia masy gruntu o objętości poniżej 400 m</w:t>
      </w:r>
      <w:r w:rsidRPr="003614F0">
        <w:rPr>
          <w:rFonts w:asciiTheme="minorHAnsi" w:hAnsiTheme="minorHAnsi"/>
          <w:sz w:val="24"/>
          <w:szCs w:val="24"/>
          <w:vertAlign w:val="superscript"/>
        </w:rPr>
        <w:t xml:space="preserve">3 </w:t>
      </w:r>
      <w:r w:rsidRPr="003614F0">
        <w:rPr>
          <w:rFonts w:asciiTheme="minorHAnsi" w:hAnsiTheme="minorHAnsi"/>
          <w:sz w:val="24"/>
          <w:szCs w:val="24"/>
        </w:rPr>
        <w:t>(zgodnie z parametrami technicznymi gruntu określonymi w Polskiej Normie PN-B-03020:1981</w:t>
      </w:r>
      <w:r w:rsidRPr="003614F0">
        <w:rPr>
          <w:rFonts w:asciiTheme="minorHAnsi" w:hAnsiTheme="minorHAnsi"/>
          <w:sz w:val="24"/>
          <w:szCs w:val="24"/>
          <w:vertAlign w:val="superscript"/>
        </w:rPr>
        <w:footnoteReference w:id="55"/>
      </w:r>
      <w:r w:rsidRPr="003614F0">
        <w:rPr>
          <w:rFonts w:asciiTheme="minorHAnsi" w:hAnsiTheme="minorHAnsi"/>
          <w:sz w:val="24"/>
          <w:szCs w:val="24"/>
        </w:rPr>
        <w:t xml:space="preserve">), większość gruntów spoistych i niespoistych na obszarze planowanego przedsięwzięcia ma gęstość około 2,65 g/cm³. Na tej podstawie można przyjąć, że 1000 ton gleby zajmie około 400 m³ objętości, którą można obliczyć na miejscu (np. obszar wykopu nie może przekraczać 20 m x 10 m x 2 m), dopuszczalne jest przesiewanie gleby przez sita, np. przesiewacz bębnowy (o najmniejszym rozmiarze oczek poniżej 0,5 cm) w celu oddzielenia materiału roślinnego od gleby i umieszczenia go w hałdach. </w:t>
      </w:r>
    </w:p>
    <w:p w14:paraId="3BE171C7" w14:textId="77777777" w:rsidR="00862AC8" w:rsidRPr="003614F0" w:rsidRDefault="00862AC8" w:rsidP="003614F0">
      <w:pPr>
        <w:spacing w:after="120" w:line="276" w:lineRule="auto"/>
        <w:jc w:val="both"/>
        <w:rPr>
          <w:rFonts w:asciiTheme="minorHAnsi" w:hAnsiTheme="minorHAnsi"/>
          <w:sz w:val="24"/>
          <w:szCs w:val="24"/>
        </w:rPr>
      </w:pPr>
      <w:r w:rsidRPr="003614F0">
        <w:rPr>
          <w:rFonts w:asciiTheme="minorHAnsi" w:hAnsiTheme="minorHAnsi"/>
          <w:sz w:val="24"/>
          <w:szCs w:val="24"/>
        </w:rPr>
        <w:t>Przesiana gleba powinna zostać sprawdzona przez specjalistę w celu ustalenia, czy może zostać ponownie wykorzystana, czy też powinna zostać uznana za zanieczyszczoną i zakopana wraz z odpowiednim materiałem roślinnym (</w:t>
      </w:r>
      <w:r w:rsidRPr="003614F0">
        <w:rPr>
          <w:rFonts w:asciiTheme="minorHAnsi" w:hAnsiTheme="minorHAnsi"/>
          <w:sz w:val="24"/>
          <w:szCs w:val="24"/>
          <w:u w:val="single"/>
        </w:rPr>
        <w:t>nie dotyczy to gleby, na której rósł rdestowiec</w:t>
      </w:r>
      <w:r w:rsidRPr="003614F0">
        <w:rPr>
          <w:rFonts w:asciiTheme="minorHAnsi" w:hAnsiTheme="minorHAnsi"/>
          <w:sz w:val="24"/>
          <w:szCs w:val="24"/>
        </w:rPr>
        <w:t>). Jeśli masa wydobytej gleby przekracza 400 m</w:t>
      </w:r>
      <w:r w:rsidRPr="003614F0">
        <w:rPr>
          <w:rFonts w:asciiTheme="minorHAnsi" w:hAnsiTheme="minorHAnsi"/>
          <w:sz w:val="24"/>
          <w:szCs w:val="24"/>
          <w:vertAlign w:val="superscript"/>
        </w:rPr>
        <w:t xml:space="preserve">3 </w:t>
      </w:r>
      <w:r w:rsidRPr="003614F0">
        <w:rPr>
          <w:rFonts w:asciiTheme="minorHAnsi" w:hAnsiTheme="minorHAnsi"/>
          <w:sz w:val="24"/>
          <w:szCs w:val="24"/>
        </w:rPr>
        <w:t xml:space="preserve">(lub może zawierać części rdestowca), należy ją zabezpieczyć zgodnie z wytycznymi dotyczącymi transportu w sekcji 3.2.3 i przetransportować w celu utylizacji do odpowiedniego licencjonowanego zakładu. </w:t>
      </w:r>
    </w:p>
    <w:p w14:paraId="38144F59" w14:textId="7E1B0DE3" w:rsidR="00862AC8" w:rsidRDefault="00862AC8" w:rsidP="003614F0">
      <w:pPr>
        <w:pStyle w:val="Nagwek3"/>
        <w:jc w:val="both"/>
      </w:pPr>
      <w:bookmarkStart w:id="34" w:name="_Toc239940818"/>
      <w:r>
        <w:lastRenderedPageBreak/>
        <w:t>3.2.2. Zbieranie biomasy w pryzmy w miejscach wyznaczonych zgodnie z przyjętymi kryteriami i pozostawienie do naturalnego rozkładu</w:t>
      </w:r>
      <w:bookmarkEnd w:id="34"/>
    </w:p>
    <w:p w14:paraId="44E938FF" w14:textId="4DCDF708" w:rsidR="00862AC8" w:rsidRPr="003614F0" w:rsidRDefault="00862AC8" w:rsidP="003614F0">
      <w:pPr>
        <w:spacing w:after="120" w:line="276" w:lineRule="auto"/>
        <w:jc w:val="both"/>
        <w:rPr>
          <w:rFonts w:asciiTheme="minorHAnsi" w:hAnsiTheme="minorHAnsi"/>
          <w:sz w:val="24"/>
          <w:szCs w:val="24"/>
        </w:rPr>
      </w:pPr>
      <w:r w:rsidRPr="003614F0">
        <w:rPr>
          <w:rFonts w:asciiTheme="minorHAnsi" w:hAnsiTheme="minorHAnsi"/>
          <w:sz w:val="24"/>
          <w:szCs w:val="24"/>
        </w:rPr>
        <w:t xml:space="preserve">Działanie to polega na zbieraniu ściętych lub wyrwanych roślin w stosy (pryzmy) w miejscu prowadzonych prac. Zebrana biomasa powinna być odizolowana od podłoża i ułożona na nieprzepuszczalnym materiale/powierzchni, takim jak plandeki, dodatkowo przykryta od góry np. siatką o oczkach (15x15mm) w celu zabezpieczenia przed przypadkowym rozwiewaniem m.in. przez wiatr lub zwierzęta. Zbieranie materiału w pryzmy musi odbywać się w miejscu jego usuwania, a pryzmy powinny być odpowiednio oznakowane, np. "Uwaga! Rośliny inwazyjne. Pozostawić w oznaczonym miejscu, nie przenosić w nowe lokalizacje". </w:t>
      </w:r>
      <w:r w:rsidR="003614F0">
        <w:rPr>
          <w:rFonts w:asciiTheme="minorHAnsi" w:hAnsiTheme="minorHAnsi"/>
          <w:sz w:val="24"/>
          <w:szCs w:val="24"/>
        </w:rPr>
        <w:t xml:space="preserve"> </w:t>
      </w:r>
      <w:r w:rsidRPr="003614F0">
        <w:rPr>
          <w:rFonts w:asciiTheme="minorHAnsi" w:hAnsiTheme="minorHAnsi"/>
          <w:sz w:val="24"/>
          <w:szCs w:val="24"/>
        </w:rPr>
        <w:t>Lokalizacja pryzm powinna znajdować się jak najdalej od gatunków chronionych lub cennych siedlisk przyrodniczych (alternatywnie dopuszcza się jej zagospodarowanie na terenie bezpośrednio z nią sąsiadującym). W przypadku roślin, które posiadają organy zdolne do rozmnażania wegetatywnego, należy pamiętać o ułożeniu tych części na samej górze pryzmy, aby zminimalizować ryzyko ich interakcji z podłożem. Działanie to jest możliwe, jeśli osobniki zostały zebrane w odpowiednim czasie</w:t>
      </w:r>
      <w:r w:rsidR="003614F0">
        <w:rPr>
          <w:rFonts w:asciiTheme="minorHAnsi" w:hAnsiTheme="minorHAnsi"/>
          <w:sz w:val="24"/>
          <w:szCs w:val="24"/>
        </w:rPr>
        <w:t xml:space="preserve"> </w:t>
      </w:r>
      <w:r w:rsidRPr="003614F0">
        <w:rPr>
          <w:rFonts w:asciiTheme="minorHAnsi" w:hAnsiTheme="minorHAnsi"/>
          <w:sz w:val="24"/>
          <w:szCs w:val="24"/>
        </w:rPr>
        <w:t>i nie zawiązały kwiatów/nasion/owoców. W przypadku znalezienia</w:t>
      </w:r>
      <w:r w:rsidR="003614F0">
        <w:rPr>
          <w:rFonts w:asciiTheme="minorHAnsi" w:hAnsiTheme="minorHAnsi"/>
          <w:sz w:val="24"/>
          <w:szCs w:val="24"/>
        </w:rPr>
        <w:t xml:space="preserve"> </w:t>
      </w:r>
      <w:r w:rsidRPr="003614F0">
        <w:rPr>
          <w:rFonts w:asciiTheme="minorHAnsi" w:hAnsiTheme="minorHAnsi"/>
          <w:sz w:val="24"/>
          <w:szCs w:val="24"/>
        </w:rPr>
        <w:t>kwiatów/nasion/owoców należy je oddzielić od reszty i zakopać</w:t>
      </w:r>
      <w:r w:rsidRPr="003614F0">
        <w:rPr>
          <w:rFonts w:asciiTheme="minorHAnsi" w:hAnsiTheme="minorHAnsi"/>
          <w:sz w:val="24"/>
          <w:szCs w:val="24"/>
          <w:lang w:val="en-US"/>
        </w:rPr>
        <w:fldChar w:fldCharType="begin"/>
      </w:r>
      <w:r w:rsidRPr="003614F0">
        <w:rPr>
          <w:rFonts w:asciiTheme="minorHAnsi" w:hAnsiTheme="minorHAnsi"/>
          <w:sz w:val="24"/>
          <w:szCs w:val="24"/>
        </w:rPr>
        <w:instrText xml:space="preserve"> ADDIN ZOTERO_ITEM CSL_CITATION {"citationID":"b3lMyh3s","properties":{"formattedCitation":"(Dz.U. 2022 poz. 2649, 2022)","plainCitation":"(Dz.U. 2022 poz. 2649, 2022)","noteIndex":0},"citationItems":[{"id":14,"uris":["http://zotero.org/users/local/WHLSCuHh/items/7B4WMC8S"],"itemData":{"id":14,"type":"webpage","title":"Rozporządzenie Rady Ministrów z dnia 9 grudnia 2022 r. w sprawie listy inwazyjnych gatunków obcych stwarzających zagrożenie dla Unii i listy inwazyjnych gatunków obcych stwarzających zagrożenie dla Polski, działań zaradczych oraz środków mających na celu przywrócenie naturalnego stanu ekosystemów","URL":"https://isap.sejm.gov.pl/isap.nsf/DocDetails.xsp?id=WDU20220002649","author":[{"family":"Dz.U. 2022 poz. 2649","given":""}],"accessed":{"date-parts":[["2024",12,10]]},"issued":{"date-parts":[["2022",12,17]]}}}],"schema":"https://github.com/citation-style-language/schema/raw/master/csl-citation.json"} </w:instrText>
      </w:r>
      <w:r w:rsidRPr="003614F0">
        <w:rPr>
          <w:rFonts w:asciiTheme="minorHAnsi" w:hAnsiTheme="minorHAnsi"/>
          <w:sz w:val="24"/>
          <w:szCs w:val="24"/>
          <w:lang w:val="en-US"/>
        </w:rPr>
        <w:fldChar w:fldCharType="separate"/>
      </w:r>
      <w:r w:rsidRPr="003614F0">
        <w:rPr>
          <w:rFonts w:asciiTheme="minorHAnsi" w:hAnsiTheme="minorHAnsi"/>
          <w:sz w:val="24"/>
          <w:szCs w:val="24"/>
        </w:rPr>
        <w:t xml:space="preserve"> (Dz.U.2022.2649)</w:t>
      </w:r>
      <w:r w:rsidRPr="003614F0">
        <w:rPr>
          <w:rFonts w:asciiTheme="minorHAnsi" w:hAnsiTheme="minorHAnsi"/>
          <w:sz w:val="24"/>
          <w:szCs w:val="24"/>
        </w:rPr>
        <w:fldChar w:fldCharType="end"/>
      </w:r>
      <w:r w:rsidRPr="003614F0">
        <w:rPr>
          <w:rFonts w:asciiTheme="minorHAnsi" w:hAnsiTheme="minorHAnsi"/>
          <w:sz w:val="24"/>
          <w:szCs w:val="24"/>
        </w:rPr>
        <w:t xml:space="preserve"> na głębokości zgodnej z informacjami zawartymi w Tabeli 3. Jeśli liczba osobników jest zbyt duża, aby prawidłowo oddzielić wszystkie rośliny lub takie oddzielenie wiąże się z ryzykiem rozprzestrzeniania się </w:t>
      </w:r>
      <w:proofErr w:type="spellStart"/>
      <w:r w:rsidRPr="003614F0">
        <w:rPr>
          <w:rFonts w:asciiTheme="minorHAnsi" w:hAnsiTheme="minorHAnsi"/>
          <w:sz w:val="24"/>
          <w:szCs w:val="24"/>
        </w:rPr>
        <w:t>propagul</w:t>
      </w:r>
      <w:proofErr w:type="spellEnd"/>
      <w:r w:rsidRPr="003614F0">
        <w:rPr>
          <w:rFonts w:asciiTheme="minorHAnsi" w:hAnsiTheme="minorHAnsi"/>
          <w:sz w:val="24"/>
          <w:szCs w:val="24"/>
        </w:rPr>
        <w:t xml:space="preserve"> IGO, należy uznać, że całe odpady zawierają je i należy je zakopać.</w:t>
      </w:r>
    </w:p>
    <w:p w14:paraId="423C5E96" w14:textId="77777777" w:rsidR="00862AC8" w:rsidRPr="003614F0" w:rsidRDefault="00862AC8" w:rsidP="003614F0">
      <w:pPr>
        <w:spacing w:after="120" w:line="276" w:lineRule="auto"/>
        <w:jc w:val="both"/>
        <w:rPr>
          <w:rFonts w:asciiTheme="minorHAnsi" w:hAnsiTheme="minorHAnsi"/>
          <w:sz w:val="24"/>
          <w:szCs w:val="24"/>
        </w:rPr>
      </w:pPr>
      <w:r w:rsidRPr="003614F0">
        <w:rPr>
          <w:rFonts w:asciiTheme="minorHAnsi" w:hAnsiTheme="minorHAnsi"/>
          <w:sz w:val="24"/>
          <w:szCs w:val="24"/>
        </w:rPr>
        <w:t>Liczba i wielkość utworzonych hałd zależy od ilości zebranej biomasy, która jest określana między innymi przez wielkość zajmowanego obszaru, strukturę przestrzenną populacji (rozmieszczenie i zagęszczenie osobników) oraz miejsce przechowywania biomasy.</w:t>
      </w:r>
    </w:p>
    <w:p w14:paraId="21057311" w14:textId="77777777" w:rsidR="00862AC8" w:rsidRPr="003614F0" w:rsidRDefault="00862AC8" w:rsidP="003614F0">
      <w:pPr>
        <w:spacing w:after="120" w:line="276" w:lineRule="auto"/>
        <w:jc w:val="both"/>
        <w:rPr>
          <w:rFonts w:asciiTheme="minorHAnsi" w:hAnsiTheme="minorHAnsi"/>
          <w:sz w:val="24"/>
          <w:szCs w:val="24"/>
        </w:rPr>
      </w:pPr>
      <w:r w:rsidRPr="003614F0">
        <w:rPr>
          <w:rFonts w:asciiTheme="minorHAnsi" w:hAnsiTheme="minorHAnsi"/>
          <w:sz w:val="24"/>
          <w:szCs w:val="24"/>
        </w:rPr>
        <w:t xml:space="preserve">Przykładowo, 1 hektar powierzchni pokrytej w 100% kolcowojem pospolitym może wygenerować około 8 ton biomasy, a w przypadku 62% pokrycia </w:t>
      </w:r>
      <w:proofErr w:type="spellStart"/>
      <w:r w:rsidRPr="003614F0">
        <w:rPr>
          <w:rFonts w:asciiTheme="minorHAnsi" w:hAnsiTheme="minorHAnsi"/>
          <w:sz w:val="24"/>
          <w:szCs w:val="24"/>
        </w:rPr>
        <w:t>niecierpekiem</w:t>
      </w:r>
      <w:proofErr w:type="spellEnd"/>
      <w:r w:rsidRPr="003614F0">
        <w:rPr>
          <w:rFonts w:asciiTheme="minorHAnsi" w:hAnsiTheme="minorHAnsi"/>
          <w:sz w:val="24"/>
          <w:szCs w:val="24"/>
        </w:rPr>
        <w:t xml:space="preserve"> gruczołowatym masa biomateriału może wynieść blisko 13 ton. W celu ujednolicenia i upewnienia się, że zabezpieczony materiał roślinny zostanie odpowiednio uszczelniony, konieczne jest złożenie go na nieprzepuszczalnej powierzchni, takiej jak plandeki o powierzchni 25 m</w:t>
      </w:r>
      <w:r w:rsidRPr="003614F0">
        <w:rPr>
          <w:rFonts w:asciiTheme="minorHAnsi" w:hAnsiTheme="minorHAnsi"/>
          <w:sz w:val="24"/>
          <w:szCs w:val="24"/>
          <w:vertAlign w:val="superscript"/>
        </w:rPr>
        <w:t>2</w:t>
      </w:r>
      <w:r w:rsidRPr="003614F0">
        <w:rPr>
          <w:rFonts w:asciiTheme="minorHAnsi" w:hAnsiTheme="minorHAnsi"/>
          <w:sz w:val="24"/>
          <w:szCs w:val="24"/>
        </w:rPr>
        <w:t xml:space="preserve">, i bardzo staranne zagęszczenie, starając się układać sterty o wysokości około 3 m, co przyspieszy procesy gnicia. W rezultacie biomasa jest w stanie rozłożyć się (koniec procesu można odróżnić po braku żywych części roślin zdolnych do </w:t>
      </w:r>
      <w:proofErr w:type="spellStart"/>
      <w:r w:rsidRPr="003614F0">
        <w:rPr>
          <w:rFonts w:asciiTheme="minorHAnsi" w:hAnsiTheme="minorHAnsi"/>
          <w:sz w:val="24"/>
          <w:szCs w:val="24"/>
        </w:rPr>
        <w:t>samoregeneracji</w:t>
      </w:r>
      <w:proofErr w:type="spellEnd"/>
      <w:r w:rsidRPr="003614F0">
        <w:rPr>
          <w:rFonts w:asciiTheme="minorHAnsi" w:hAnsiTheme="minorHAnsi"/>
          <w:sz w:val="24"/>
          <w:szCs w:val="24"/>
        </w:rPr>
        <w:t xml:space="preserve">, ponadto brak substancji wydzielających nieprzyjemny zapach wskazuje na zakończenie procesów rozkładu) prawie całkowicie w ciągu jednego roku (na przykład </w:t>
      </w:r>
      <w:proofErr w:type="spellStart"/>
      <w:r w:rsidRPr="003614F0">
        <w:rPr>
          <w:rFonts w:asciiTheme="minorHAnsi" w:hAnsiTheme="minorHAnsi"/>
          <w:i/>
          <w:iCs/>
          <w:sz w:val="24"/>
          <w:szCs w:val="24"/>
        </w:rPr>
        <w:t>Reynoutria</w:t>
      </w:r>
      <w:proofErr w:type="spellEnd"/>
      <w:r w:rsidRPr="003614F0">
        <w:rPr>
          <w:rFonts w:asciiTheme="minorHAnsi" w:hAnsiTheme="minorHAnsi"/>
          <w:i/>
          <w:iCs/>
          <w:sz w:val="24"/>
          <w:szCs w:val="24"/>
        </w:rPr>
        <w:t xml:space="preserve"> </w:t>
      </w:r>
      <w:r w:rsidRPr="003614F0">
        <w:rPr>
          <w:rFonts w:asciiTheme="minorHAnsi" w:hAnsiTheme="minorHAnsi"/>
          <w:sz w:val="24"/>
          <w:szCs w:val="24"/>
        </w:rPr>
        <w:t xml:space="preserve">sp. i </w:t>
      </w:r>
      <w:proofErr w:type="spellStart"/>
      <w:r w:rsidRPr="003614F0">
        <w:rPr>
          <w:rFonts w:asciiTheme="minorHAnsi" w:hAnsiTheme="minorHAnsi"/>
          <w:i/>
          <w:iCs/>
          <w:sz w:val="24"/>
          <w:szCs w:val="24"/>
        </w:rPr>
        <w:t>Heracleum</w:t>
      </w:r>
      <w:proofErr w:type="spellEnd"/>
      <w:r w:rsidRPr="003614F0">
        <w:rPr>
          <w:rFonts w:asciiTheme="minorHAnsi" w:hAnsiTheme="minorHAnsi"/>
          <w:i/>
          <w:iCs/>
          <w:sz w:val="24"/>
          <w:szCs w:val="24"/>
        </w:rPr>
        <w:t xml:space="preserve"> </w:t>
      </w:r>
      <w:r w:rsidRPr="003614F0">
        <w:rPr>
          <w:rFonts w:asciiTheme="minorHAnsi" w:hAnsiTheme="minorHAnsi"/>
          <w:sz w:val="24"/>
          <w:szCs w:val="24"/>
        </w:rPr>
        <w:t xml:space="preserve">sp. ulegają wysuszeniu i rozkładowi w ciągu 3-4 miesięcy od momentu umieszczenia, ale gatunki zawierające elementy drzewiaste, takie jak </w:t>
      </w:r>
      <w:r w:rsidRPr="003614F0">
        <w:rPr>
          <w:rFonts w:asciiTheme="minorHAnsi" w:hAnsiTheme="minorHAnsi"/>
          <w:i/>
          <w:iCs/>
          <w:sz w:val="24"/>
          <w:szCs w:val="24"/>
        </w:rPr>
        <w:t xml:space="preserve">Rosa </w:t>
      </w:r>
      <w:proofErr w:type="spellStart"/>
      <w:r w:rsidRPr="003614F0">
        <w:rPr>
          <w:rFonts w:asciiTheme="minorHAnsi" w:hAnsiTheme="minorHAnsi"/>
          <w:i/>
          <w:iCs/>
          <w:sz w:val="24"/>
          <w:szCs w:val="24"/>
        </w:rPr>
        <w:t>rugosa</w:t>
      </w:r>
      <w:proofErr w:type="spellEnd"/>
      <w:r w:rsidRPr="003614F0">
        <w:rPr>
          <w:rFonts w:asciiTheme="minorHAnsi" w:hAnsiTheme="minorHAnsi"/>
          <w:i/>
          <w:iCs/>
          <w:sz w:val="24"/>
          <w:szCs w:val="24"/>
        </w:rPr>
        <w:t xml:space="preserve"> </w:t>
      </w:r>
      <w:r w:rsidRPr="003614F0">
        <w:rPr>
          <w:rFonts w:asciiTheme="minorHAnsi" w:hAnsiTheme="minorHAnsi"/>
          <w:sz w:val="24"/>
          <w:szCs w:val="24"/>
        </w:rPr>
        <w:t xml:space="preserve">lub </w:t>
      </w:r>
      <w:proofErr w:type="spellStart"/>
      <w:r w:rsidRPr="003614F0">
        <w:rPr>
          <w:rFonts w:asciiTheme="minorHAnsi" w:hAnsiTheme="minorHAnsi"/>
          <w:i/>
          <w:iCs/>
          <w:sz w:val="24"/>
          <w:szCs w:val="24"/>
        </w:rPr>
        <w:t>Solidago</w:t>
      </w:r>
      <w:proofErr w:type="spellEnd"/>
      <w:r w:rsidRPr="003614F0">
        <w:rPr>
          <w:rFonts w:asciiTheme="minorHAnsi" w:hAnsiTheme="minorHAnsi"/>
          <w:i/>
          <w:iCs/>
          <w:sz w:val="24"/>
          <w:szCs w:val="24"/>
        </w:rPr>
        <w:t xml:space="preserve"> </w:t>
      </w:r>
      <w:r w:rsidRPr="003614F0">
        <w:rPr>
          <w:rFonts w:asciiTheme="minorHAnsi" w:hAnsiTheme="minorHAnsi"/>
          <w:sz w:val="24"/>
          <w:szCs w:val="24"/>
        </w:rPr>
        <w:t xml:space="preserve">sp. wymagają więcej czasu. Zakończenie procesów rozkładu </w:t>
      </w:r>
      <w:r w:rsidRPr="003614F0">
        <w:rPr>
          <w:rFonts w:asciiTheme="minorHAnsi" w:hAnsiTheme="minorHAnsi"/>
          <w:sz w:val="24"/>
          <w:szCs w:val="24"/>
        </w:rPr>
        <w:lastRenderedPageBreak/>
        <w:t xml:space="preserve">powinno zostać określone przez specjalistę monitorującego stan hałd.) </w:t>
      </w:r>
      <w:r w:rsidRPr="003614F0">
        <w:rPr>
          <w:rFonts w:asciiTheme="minorHAnsi" w:hAnsiTheme="minorHAnsi"/>
          <w:sz w:val="24"/>
          <w:szCs w:val="24"/>
        </w:rPr>
        <w:br/>
        <w:t xml:space="preserve">Całkowicie rozłożony materiał może pozostać w miejscu rozkładu po usunięciu nieprzepuszczalnego podłoża, aby pozostawić biomasę w naturalnym obiegu i wzbogacić glebę w składniki organiczne. Ułożony materiał roślinny powinien być monitorowany co miesiąc pod kątem ewentualnego kontaktu wegetatywnych części roślin z podłożem, postępu rozkładu i innych możliwych zakłóceń, np. w postaci zakłóceń przez zwierzęta lub wiatr. W przypadku zaobserwowania odrostów, zawiązywania się na siatkach lub innych form wskazujących na żywotność organów regeneracyjnych roślin, pryzmę należy podzielić na dwie części w celu jej rozrzedzenia i wystawienia na suszenie. </w:t>
      </w:r>
      <w:r w:rsidRPr="003614F0">
        <w:rPr>
          <w:rFonts w:asciiTheme="minorHAnsi" w:hAnsiTheme="minorHAnsi"/>
          <w:sz w:val="24"/>
          <w:szCs w:val="24"/>
        </w:rPr>
        <w:br/>
        <w:t xml:space="preserve">Dodatkowo, w celu ograniczenia potencjalnego transportu </w:t>
      </w:r>
      <w:proofErr w:type="spellStart"/>
      <w:r w:rsidRPr="003614F0">
        <w:rPr>
          <w:rFonts w:asciiTheme="minorHAnsi" w:hAnsiTheme="minorHAnsi"/>
          <w:sz w:val="24"/>
          <w:szCs w:val="24"/>
        </w:rPr>
        <w:t>propagul</w:t>
      </w:r>
      <w:proofErr w:type="spellEnd"/>
      <w:r w:rsidRPr="003614F0">
        <w:rPr>
          <w:rFonts w:asciiTheme="minorHAnsi" w:hAnsiTheme="minorHAnsi"/>
          <w:sz w:val="24"/>
          <w:szCs w:val="24"/>
        </w:rPr>
        <w:t xml:space="preserve"> przez wodę i zmniejszenia jej wpływu na pryzmy, zaleca się prewencyjne stosowanie nieprzepuszczalnych (wodoodpornych) materiałów ochronnych w okresach wzmożonych opadów (przykrywanie pryzm i usuwanie materiału po ustaniu opadów), zgodnie z prognozami pogody.</w:t>
      </w:r>
    </w:p>
    <w:p w14:paraId="252A74FA" w14:textId="3147994F" w:rsidR="00862AC8" w:rsidRDefault="00862AC8" w:rsidP="00862AC8">
      <w:pPr>
        <w:pStyle w:val="Nagwek3"/>
      </w:pPr>
      <w:bookmarkStart w:id="35" w:name="_Toc239940819"/>
      <w:r>
        <w:t>3.2.3. Transport do odpowiedniego zakładu jako bioodpady</w:t>
      </w:r>
      <w:bookmarkEnd w:id="35"/>
    </w:p>
    <w:p w14:paraId="478254AB"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Jeśli metody na miejscu nie są możliwe, materiał roślinny powinien zostać przetransportowany do obiektu posiadającego odpowiednie uprawnienia do utylizacji tego typu odpadów (obiekty wskazane w dokumencie spełniły wszystkie wymagania). Firma transportowa zapewniająca personel i pojazdy przeznaczone do transportu powinna również posiadać odpowiednie certyfikaty do zajmowania się tego typu odpadami. Pojazdy wykorzystywane do transportu skażonej gleby powinny być wypełnione maksymalnie do 20 cm poniżej górnej krawędzi. Pozostała przestrzeń powinna być szczelnie wypełniona i zabezpieczona odpowiednią membraną, tworząc tymczasową komorę zapobiegającą utracie materiału podczas transportu, w szczególności rozsypaniu (Dz. U. 2016. 1742).</w:t>
      </w:r>
    </w:p>
    <w:p w14:paraId="6DF70E71"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 xml:space="preserve">Po każdym transporcie i załadunku pojazd musi zostać dokładnie wyczyszczony z zewnątrz, zwłaszcza w obszarach, w których mogą znajdować się </w:t>
      </w:r>
      <w:proofErr w:type="spellStart"/>
      <w:r w:rsidRPr="00B4181C">
        <w:rPr>
          <w:rFonts w:asciiTheme="minorHAnsi" w:hAnsiTheme="minorHAnsi"/>
          <w:sz w:val="24"/>
          <w:szCs w:val="24"/>
        </w:rPr>
        <w:t>propagule</w:t>
      </w:r>
      <w:proofErr w:type="spellEnd"/>
      <w:r w:rsidRPr="00B4181C">
        <w:rPr>
          <w:rFonts w:asciiTheme="minorHAnsi" w:hAnsiTheme="minorHAnsi"/>
          <w:sz w:val="24"/>
          <w:szCs w:val="24"/>
        </w:rPr>
        <w:t xml:space="preserve"> roślin inwazyjnych, takich jak bieżniki opon i nadkola oraz nadwozie pojazdu, w którym przewożona była biomasa. Czyszczenie powinno być przeprowadzone przez przeszkolony personel, który jest w stanie zidentyfikować wszelkie części roślin zdolne do rozmnażania. Do czyszczenia należy użyć myjki ciśnieniowej i sztywnej szczotki z włosiem , a wszystkie pozostałości po czyszczeniu należy usunąć i zabezpieczyć jako odpady z IGO i traktować w taki sam sposób, jak transportowany odpad. Oznacza to zabezpieczenie resztek materiału w czarnych plastikowych workach (objętość resztek powinna być niewielka, jeśli przestrzegano wszystkich procedur) i przekazanie ich do zakładów recyklingu lub utylizacji.</w:t>
      </w:r>
    </w:p>
    <w:p w14:paraId="39F1FB97"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lastRenderedPageBreak/>
        <w:t>Aby uniknąć dalszego rozprzestrzeniania się gatunków inwazyjnych, czyszczenie pojazdów powinno odbywać się wyłącznie na nieprzepuszczalnej powierzchni, takiej jak szczelna membrana lub twardy beton w przypadku przenoszenia odpadów poza teren zakładu, która zatrzyma wszelkie zanieczyszczenia i zapobiegnie ich przedostaniu się do kanalizacji, rowów lub cieków wodnych.</w:t>
      </w:r>
    </w:p>
    <w:p w14:paraId="134D911F" w14:textId="77777777" w:rsidR="003A1319" w:rsidRPr="00B4181C" w:rsidRDefault="003A1319" w:rsidP="00B4181C">
      <w:pPr>
        <w:spacing w:after="120" w:line="276" w:lineRule="auto"/>
        <w:jc w:val="both"/>
        <w:rPr>
          <w:rFonts w:asciiTheme="minorHAnsi" w:hAnsiTheme="minorHAnsi"/>
          <w:b/>
          <w:bCs/>
          <w:sz w:val="24"/>
          <w:szCs w:val="24"/>
        </w:rPr>
      </w:pPr>
      <w:r w:rsidRPr="00B4181C">
        <w:rPr>
          <w:rFonts w:asciiTheme="minorHAnsi" w:hAnsiTheme="minorHAnsi"/>
          <w:b/>
          <w:bCs/>
          <w:sz w:val="24"/>
          <w:szCs w:val="24"/>
        </w:rPr>
        <w:t>Uwaga: w przypadku barszczu, ważnym elementem prowadzenia działań naprawczych, zarządzania biomasą lub monitoringu, jest zapewnienie dodatkowych środków ochrony osobistej w postaci kombinezonów ochronnych, rękawic i masek na twarz w celu ochrony zdrowia ludzkiego.</w:t>
      </w:r>
    </w:p>
    <w:p w14:paraId="4FD602C8" w14:textId="0EAD9AA2" w:rsidR="00862AC8" w:rsidRPr="00B4181C" w:rsidRDefault="003A1319" w:rsidP="003A1319">
      <w:pPr>
        <w:pStyle w:val="Nagwek3"/>
      </w:pPr>
      <w:bookmarkStart w:id="36" w:name="_Toc239940820"/>
      <w:r w:rsidRPr="00B4181C">
        <w:t>3.2.4. Transport biomasy w czarnych plastikowych workach</w:t>
      </w:r>
      <w:bookmarkEnd w:id="36"/>
    </w:p>
    <w:p w14:paraId="6C92BCD9" w14:textId="0B5A0363"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 xml:space="preserve">Pakowanie biomateriału roślinnego w plastikowe worki i transportowanie go do spalarni odpadów jest możliwą metodą utylizacji takich odpadów, ale wymaga szczególnej uwagi i ostrożności. Przede wszystkim należy pamiętać, że metoda ta jest bezpieczna tylko dla niektórych rodzajów roślin. </w:t>
      </w:r>
      <w:r w:rsidRPr="00B4181C">
        <w:rPr>
          <w:rFonts w:asciiTheme="minorHAnsi" w:hAnsiTheme="minorHAnsi"/>
          <w:sz w:val="24"/>
          <w:szCs w:val="24"/>
          <w:u w:val="single"/>
        </w:rPr>
        <w:t>Dotyczy to roślin, które nie mają zdrewniałych lub twardych części, które mogłyby uszkodzić worek podczas transportu lub przechowywania</w:t>
      </w:r>
      <w:r w:rsidRPr="00B4181C">
        <w:rPr>
          <w:rFonts w:asciiTheme="minorHAnsi" w:hAnsiTheme="minorHAnsi"/>
          <w:sz w:val="24"/>
          <w:szCs w:val="24"/>
        </w:rPr>
        <w:t>. Wyjątkiem jest tutaj rdestowiec, który pomimo posiadania sztywnych łodyg, może zostać dość łatwo połamany. Warunkiem ich transportu jest ich odpowiednie rozdrobnienie, tak aby nie były w stanie przebić worka.</w:t>
      </w:r>
    </w:p>
    <w:p w14:paraId="5A7B275D" w14:textId="69E80F55" w:rsidR="003A1319" w:rsidRPr="00B4181C" w:rsidRDefault="003A1319" w:rsidP="00B4181C">
      <w:pPr>
        <w:pStyle w:val="Legenda"/>
        <w:keepNext/>
        <w:jc w:val="both"/>
        <w:rPr>
          <w:rFonts w:asciiTheme="minorHAnsi" w:hAnsiTheme="minorHAnsi"/>
          <w:b w:val="0"/>
          <w:bCs/>
          <w:color w:val="000000" w:themeColor="text1"/>
          <w:sz w:val="24"/>
          <w:szCs w:val="24"/>
        </w:rPr>
      </w:pPr>
      <w:bookmarkStart w:id="37" w:name="_Toc239940750"/>
      <w:r w:rsidRPr="00B4181C">
        <w:rPr>
          <w:rFonts w:asciiTheme="minorHAnsi" w:hAnsiTheme="minorHAnsi"/>
          <w:b w:val="0"/>
          <w:bCs/>
          <w:color w:val="000000" w:themeColor="text1"/>
          <w:sz w:val="24"/>
          <w:szCs w:val="24"/>
        </w:rPr>
        <w:t xml:space="preserve">Tabela </w:t>
      </w:r>
      <w:r w:rsidRPr="00B4181C">
        <w:rPr>
          <w:rFonts w:asciiTheme="minorHAnsi" w:hAnsiTheme="minorHAnsi"/>
          <w:b w:val="0"/>
          <w:bCs/>
          <w:color w:val="000000" w:themeColor="text1"/>
          <w:sz w:val="24"/>
          <w:szCs w:val="24"/>
        </w:rPr>
        <w:fldChar w:fldCharType="begin"/>
      </w:r>
      <w:r w:rsidRPr="00B4181C">
        <w:rPr>
          <w:rFonts w:asciiTheme="minorHAnsi" w:hAnsiTheme="minorHAnsi"/>
          <w:b w:val="0"/>
          <w:bCs/>
          <w:color w:val="000000" w:themeColor="text1"/>
          <w:sz w:val="24"/>
          <w:szCs w:val="24"/>
        </w:rPr>
        <w:instrText>SEQ Tabela \* ARABIC</w:instrText>
      </w:r>
      <w:r w:rsidRPr="00B4181C">
        <w:rPr>
          <w:rFonts w:asciiTheme="minorHAnsi" w:hAnsiTheme="minorHAnsi"/>
          <w:b w:val="0"/>
          <w:bCs/>
          <w:color w:val="000000" w:themeColor="text1"/>
          <w:sz w:val="24"/>
          <w:szCs w:val="24"/>
        </w:rPr>
        <w:fldChar w:fldCharType="separate"/>
      </w:r>
      <w:r w:rsidRPr="00B4181C">
        <w:rPr>
          <w:rFonts w:asciiTheme="minorHAnsi" w:hAnsiTheme="minorHAnsi"/>
          <w:b w:val="0"/>
          <w:bCs/>
          <w:noProof/>
          <w:color w:val="000000" w:themeColor="text1"/>
          <w:sz w:val="24"/>
          <w:szCs w:val="24"/>
        </w:rPr>
        <w:t>4</w:t>
      </w:r>
      <w:r w:rsidRPr="00B4181C">
        <w:rPr>
          <w:rFonts w:asciiTheme="minorHAnsi" w:hAnsiTheme="minorHAnsi"/>
          <w:b w:val="0"/>
          <w:bCs/>
          <w:color w:val="000000" w:themeColor="text1"/>
          <w:sz w:val="24"/>
          <w:szCs w:val="24"/>
        </w:rPr>
        <w:fldChar w:fldCharType="end"/>
      </w:r>
      <w:r w:rsidRPr="00B4181C">
        <w:rPr>
          <w:rFonts w:asciiTheme="minorHAnsi" w:hAnsiTheme="minorHAnsi"/>
          <w:b w:val="0"/>
          <w:bCs/>
          <w:color w:val="000000" w:themeColor="text1"/>
          <w:sz w:val="24"/>
          <w:szCs w:val="24"/>
        </w:rPr>
        <w:t xml:space="preserve"> Lista roślin, które mogą być przechowywane i transportowane do spalenia w czarnych workach. Pogrubioną czcionką* zaznaczono gatunki roślin, które stanowią zagrożenie dla Polski (Dz. U. z 2022 r. poz. 2649).</w:t>
      </w:r>
      <w:bookmarkEnd w:id="3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3A1319" w:rsidRPr="00E32130" w14:paraId="234B8886" w14:textId="77777777" w:rsidTr="00B4181C">
        <w:tc>
          <w:tcPr>
            <w:tcW w:w="9067"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2E34143" w14:textId="77777777" w:rsidR="003A1319" w:rsidRPr="00B4181C" w:rsidRDefault="003A1319" w:rsidP="00B4181C">
            <w:pPr>
              <w:jc w:val="center"/>
              <w:rPr>
                <w:rFonts w:asciiTheme="minorHAnsi" w:hAnsiTheme="minorHAnsi" w:cs="Calibri"/>
                <w:b/>
                <w:bCs/>
                <w:sz w:val="18"/>
                <w:szCs w:val="18"/>
                <w:lang w:val="da-DK"/>
              </w:rPr>
            </w:pPr>
            <w:r w:rsidRPr="00B4181C">
              <w:rPr>
                <w:rFonts w:asciiTheme="minorHAnsi" w:hAnsiTheme="minorHAnsi" w:cs="Calibri"/>
                <w:b/>
                <w:bCs/>
                <w:sz w:val="18"/>
                <w:szCs w:val="18"/>
                <w:lang w:val="da-DK"/>
              </w:rPr>
              <w:t>Gatunek</w:t>
            </w:r>
          </w:p>
        </w:tc>
      </w:tr>
      <w:tr w:rsidR="003A1319" w:rsidRPr="00E32130" w14:paraId="2413CA8B" w14:textId="77777777" w:rsidTr="00B4181C">
        <w:trPr>
          <w:trHeight w:val="1276"/>
        </w:trPr>
        <w:tc>
          <w:tcPr>
            <w:tcW w:w="9067" w:type="dxa"/>
            <w:tcBorders>
              <w:top w:val="single" w:sz="4" w:space="0" w:color="auto"/>
              <w:left w:val="single" w:sz="4" w:space="0" w:color="auto"/>
              <w:bottom w:val="single" w:sz="4" w:space="0" w:color="auto"/>
              <w:right w:val="single" w:sz="4" w:space="0" w:color="auto"/>
            </w:tcBorders>
            <w:hideMark/>
          </w:tcPr>
          <w:p w14:paraId="23C146B6" w14:textId="77777777" w:rsidR="003A1319" w:rsidRPr="00B4181C" w:rsidRDefault="003A1319" w:rsidP="003A1319">
            <w:pPr>
              <w:rPr>
                <w:rFonts w:asciiTheme="minorHAnsi" w:hAnsiTheme="minorHAnsi" w:cs="Calibri"/>
                <w:b/>
                <w:bCs/>
                <w:sz w:val="18"/>
                <w:szCs w:val="18"/>
                <w:lang w:val="da-DK"/>
              </w:rPr>
            </w:pPr>
            <w:r w:rsidRPr="00B4181C">
              <w:rPr>
                <w:rFonts w:asciiTheme="minorHAnsi" w:hAnsiTheme="minorHAnsi" w:cs="Calibri"/>
                <w:b/>
                <w:bCs/>
                <w:sz w:val="18"/>
                <w:szCs w:val="18"/>
                <w:lang w:val="da-DK"/>
              </w:rPr>
              <w:t xml:space="preserve">Rdestowiec </w:t>
            </w:r>
            <w:r w:rsidRPr="00B4181C">
              <w:rPr>
                <w:rFonts w:asciiTheme="minorHAnsi" w:hAnsiTheme="minorHAnsi" w:cs="Calibri"/>
                <w:b/>
                <w:bCs/>
                <w:i/>
                <w:iCs/>
                <w:sz w:val="18"/>
                <w:szCs w:val="18"/>
                <w:lang w:val="da-DK"/>
              </w:rPr>
              <w:t xml:space="preserve">Reynoutria sp. </w:t>
            </w:r>
          </w:p>
          <w:p w14:paraId="48C27947" w14:textId="77777777" w:rsidR="003A1319" w:rsidRPr="00B4181C" w:rsidRDefault="003A1319" w:rsidP="003A1319">
            <w:pPr>
              <w:rPr>
                <w:rFonts w:asciiTheme="minorHAnsi" w:hAnsiTheme="minorHAnsi" w:cs="Calibri"/>
                <w:sz w:val="18"/>
                <w:szCs w:val="18"/>
                <w:lang w:val="da-DK"/>
              </w:rPr>
            </w:pPr>
            <w:r w:rsidRPr="00B4181C">
              <w:rPr>
                <w:rFonts w:asciiTheme="minorHAnsi" w:hAnsiTheme="minorHAnsi" w:cs="Calibri"/>
                <w:sz w:val="18"/>
                <w:szCs w:val="18"/>
                <w:lang w:val="da-DK"/>
              </w:rPr>
              <w:t xml:space="preserve">Łubin trwały </w:t>
            </w:r>
            <w:r w:rsidRPr="00B4181C">
              <w:rPr>
                <w:rFonts w:asciiTheme="minorHAnsi" w:hAnsiTheme="minorHAnsi" w:cs="Calibri"/>
                <w:i/>
                <w:iCs/>
                <w:sz w:val="18"/>
                <w:szCs w:val="18"/>
                <w:lang w:val="da-DK"/>
              </w:rPr>
              <w:t xml:space="preserve">Lupinus polyphyllus </w:t>
            </w:r>
            <w:r w:rsidRPr="00B4181C">
              <w:rPr>
                <w:rFonts w:asciiTheme="minorHAnsi" w:hAnsiTheme="minorHAnsi" w:cs="Calibri"/>
                <w:sz w:val="18"/>
                <w:szCs w:val="18"/>
                <w:lang w:val="da-DK"/>
              </w:rPr>
              <w:t>(łubin wielkolistny)</w:t>
            </w:r>
          </w:p>
          <w:p w14:paraId="67B3655E" w14:textId="77777777" w:rsidR="003A1319" w:rsidRPr="00B4181C" w:rsidRDefault="003A1319" w:rsidP="003A1319">
            <w:pPr>
              <w:rPr>
                <w:rFonts w:asciiTheme="minorHAnsi" w:hAnsiTheme="minorHAnsi" w:cs="Calibri"/>
                <w:b/>
                <w:bCs/>
                <w:sz w:val="18"/>
                <w:szCs w:val="18"/>
                <w:lang w:val="da-DK"/>
              </w:rPr>
            </w:pPr>
            <w:r w:rsidRPr="00B4181C">
              <w:rPr>
                <w:rFonts w:asciiTheme="minorHAnsi" w:hAnsiTheme="minorHAnsi" w:cs="Calibri"/>
                <w:b/>
                <w:bCs/>
                <w:sz w:val="18"/>
                <w:szCs w:val="18"/>
                <w:lang w:val="da-DK"/>
              </w:rPr>
              <w:t xml:space="preserve">Kolczurka klapowana </w:t>
            </w:r>
            <w:r w:rsidRPr="00B4181C">
              <w:rPr>
                <w:rFonts w:asciiTheme="minorHAnsi" w:hAnsiTheme="minorHAnsi" w:cs="Calibri"/>
                <w:b/>
                <w:bCs/>
                <w:i/>
                <w:iCs/>
                <w:sz w:val="18"/>
                <w:szCs w:val="18"/>
                <w:lang w:val="da-DK"/>
              </w:rPr>
              <w:t xml:space="preserve">Echinocystis lobata </w:t>
            </w:r>
          </w:p>
          <w:p w14:paraId="6844B969" w14:textId="77777777" w:rsidR="003A1319" w:rsidRPr="00B4181C" w:rsidRDefault="003A1319" w:rsidP="003A1319">
            <w:pPr>
              <w:rPr>
                <w:rFonts w:asciiTheme="minorHAnsi" w:hAnsiTheme="minorHAnsi" w:cs="Calibri"/>
                <w:sz w:val="18"/>
                <w:szCs w:val="18"/>
                <w:lang w:val="da-DK"/>
              </w:rPr>
            </w:pPr>
            <w:r w:rsidRPr="00B4181C">
              <w:rPr>
                <w:rFonts w:asciiTheme="minorHAnsi" w:hAnsiTheme="minorHAnsi" w:cs="Calibri"/>
                <w:sz w:val="18"/>
                <w:szCs w:val="18"/>
                <w:lang w:val="da-DK"/>
              </w:rPr>
              <w:t xml:space="preserve">Szarłat szorstki </w:t>
            </w:r>
            <w:r w:rsidRPr="00B4181C">
              <w:rPr>
                <w:rFonts w:asciiTheme="minorHAnsi" w:hAnsiTheme="minorHAnsi" w:cs="Calibri"/>
                <w:i/>
                <w:iCs/>
                <w:sz w:val="18"/>
                <w:szCs w:val="18"/>
                <w:lang w:val="da-DK"/>
              </w:rPr>
              <w:t xml:space="preserve">Amaranthus retroflexus </w:t>
            </w:r>
          </w:p>
          <w:p w14:paraId="2F89F16C" w14:textId="77777777" w:rsidR="003A1319" w:rsidRPr="00B4181C" w:rsidRDefault="003A1319" w:rsidP="003A1319">
            <w:pPr>
              <w:rPr>
                <w:rFonts w:asciiTheme="minorHAnsi" w:hAnsiTheme="minorHAnsi" w:cs="Calibri"/>
                <w:sz w:val="18"/>
                <w:szCs w:val="18"/>
                <w:lang w:val="da-DK"/>
              </w:rPr>
            </w:pPr>
            <w:r w:rsidRPr="00B4181C">
              <w:rPr>
                <w:rFonts w:asciiTheme="minorHAnsi" w:hAnsiTheme="minorHAnsi" w:cs="Calibri"/>
                <w:sz w:val="18"/>
                <w:szCs w:val="18"/>
                <w:lang w:val="da-DK"/>
              </w:rPr>
              <w:t xml:space="preserve">Naparstnica purpurowa </w:t>
            </w:r>
            <w:r w:rsidRPr="00B4181C">
              <w:rPr>
                <w:rFonts w:asciiTheme="minorHAnsi" w:hAnsiTheme="minorHAnsi" w:cs="Calibri"/>
                <w:i/>
                <w:iCs/>
                <w:sz w:val="18"/>
                <w:szCs w:val="18"/>
                <w:lang w:val="da-DK"/>
              </w:rPr>
              <w:t xml:space="preserve">Digitalis purpurea </w:t>
            </w:r>
          </w:p>
          <w:p w14:paraId="59FF94E0" w14:textId="77777777" w:rsidR="003A1319" w:rsidRPr="00B4181C" w:rsidRDefault="003A1319" w:rsidP="003A1319">
            <w:pPr>
              <w:rPr>
                <w:rFonts w:asciiTheme="minorHAnsi" w:hAnsiTheme="minorHAnsi" w:cs="Calibri"/>
                <w:i/>
                <w:iCs/>
                <w:sz w:val="18"/>
                <w:szCs w:val="18"/>
                <w:lang w:val="da-DK"/>
              </w:rPr>
            </w:pPr>
            <w:r w:rsidRPr="00B4181C">
              <w:rPr>
                <w:rFonts w:asciiTheme="minorHAnsi" w:hAnsiTheme="minorHAnsi" w:cs="Calibri"/>
                <w:sz w:val="18"/>
                <w:szCs w:val="18"/>
                <w:lang w:val="da-DK"/>
              </w:rPr>
              <w:t xml:space="preserve">Tojeść kropkowana </w:t>
            </w:r>
            <w:r w:rsidRPr="00B4181C">
              <w:rPr>
                <w:rFonts w:asciiTheme="minorHAnsi" w:hAnsiTheme="minorHAnsi" w:cs="Calibri"/>
                <w:i/>
                <w:iCs/>
                <w:sz w:val="18"/>
                <w:szCs w:val="18"/>
                <w:lang w:val="da-DK"/>
              </w:rPr>
              <w:t xml:space="preserve">Lysimachia punctata </w:t>
            </w:r>
          </w:p>
          <w:p w14:paraId="75776417" w14:textId="77777777" w:rsidR="003A1319" w:rsidRPr="00B4181C" w:rsidRDefault="003A1319" w:rsidP="003A1319">
            <w:pPr>
              <w:rPr>
                <w:rFonts w:asciiTheme="minorHAnsi" w:hAnsiTheme="minorHAnsi" w:cs="Calibri"/>
                <w:i/>
                <w:iCs/>
                <w:sz w:val="18"/>
                <w:szCs w:val="18"/>
                <w:lang w:val="da-DK"/>
              </w:rPr>
            </w:pPr>
            <w:r w:rsidRPr="00B4181C">
              <w:rPr>
                <w:rFonts w:asciiTheme="minorHAnsi" w:hAnsiTheme="minorHAnsi" w:cs="Calibri"/>
                <w:sz w:val="18"/>
                <w:szCs w:val="18"/>
                <w:lang w:val="da-DK"/>
              </w:rPr>
              <w:t xml:space="preserve">Smotrwawa okazała </w:t>
            </w:r>
            <w:r w:rsidRPr="00B4181C">
              <w:rPr>
                <w:rFonts w:asciiTheme="minorHAnsi" w:hAnsiTheme="minorHAnsi" w:cs="Calibri"/>
                <w:i/>
                <w:iCs/>
                <w:sz w:val="18"/>
                <w:szCs w:val="18"/>
                <w:lang w:val="da-DK"/>
              </w:rPr>
              <w:t xml:space="preserve">Telekia speciosa </w:t>
            </w:r>
          </w:p>
          <w:p w14:paraId="3CFF2AA5" w14:textId="04E88E68" w:rsidR="009556D9" w:rsidRPr="00B4181C" w:rsidRDefault="009556D9" w:rsidP="003A1319">
            <w:pPr>
              <w:rPr>
                <w:rFonts w:asciiTheme="minorHAnsi" w:hAnsiTheme="minorHAnsi" w:cs="Calibri"/>
                <w:i/>
                <w:iCs/>
                <w:sz w:val="18"/>
                <w:szCs w:val="18"/>
                <w:lang w:val="da-DK"/>
              </w:rPr>
            </w:pPr>
            <w:r w:rsidRPr="00B4181C">
              <w:rPr>
                <w:rFonts w:asciiTheme="minorHAnsi" w:hAnsiTheme="minorHAnsi" w:cs="Calibri"/>
                <w:sz w:val="18"/>
                <w:szCs w:val="18"/>
                <w:lang w:val="da-DK"/>
              </w:rPr>
              <w:t xml:space="preserve">Rudbekia naga </w:t>
            </w:r>
            <w:r w:rsidRPr="00B4181C">
              <w:rPr>
                <w:rFonts w:asciiTheme="minorHAnsi" w:hAnsiTheme="minorHAnsi" w:cs="Calibri"/>
                <w:i/>
                <w:iCs/>
                <w:sz w:val="18"/>
                <w:szCs w:val="18"/>
                <w:lang w:val="da-DK"/>
              </w:rPr>
              <w:t>Rudbeckia laciniata</w:t>
            </w:r>
            <w:r w:rsidRPr="00B4181C">
              <w:rPr>
                <w:rFonts w:asciiTheme="minorHAnsi" w:hAnsiTheme="minorHAnsi" w:cs="Calibri"/>
                <w:sz w:val="18"/>
                <w:szCs w:val="18"/>
                <w:lang w:val="da-DK"/>
              </w:rPr>
              <w:t xml:space="preserve"> </w:t>
            </w:r>
          </w:p>
        </w:tc>
      </w:tr>
    </w:tbl>
    <w:p w14:paraId="6A8A51E0" w14:textId="77777777" w:rsidR="003A1319" w:rsidRPr="00B4181C" w:rsidRDefault="003A1319" w:rsidP="003A1319">
      <w:pPr>
        <w:rPr>
          <w:rFonts w:asciiTheme="minorHAnsi" w:hAnsiTheme="minorHAnsi"/>
          <w:sz w:val="18"/>
          <w:szCs w:val="18"/>
        </w:rPr>
      </w:pPr>
      <w:r w:rsidRPr="00B4181C">
        <w:rPr>
          <w:rFonts w:asciiTheme="minorHAnsi" w:hAnsiTheme="minorHAnsi"/>
          <w:sz w:val="18"/>
          <w:szCs w:val="18"/>
        </w:rPr>
        <w:t>*Rośliny zaznaczone pogrubioną czcionką nie mogą być przewożone na terenie kraju. Wyjątkiem jest uzyskanie zezwolenia w wyniku przeprowadzenia działań naprawczych uzgodnionych z organami państwowymi</w:t>
      </w:r>
      <w:r w:rsidRPr="00B4181C">
        <w:rPr>
          <w:rFonts w:asciiTheme="minorHAnsi" w:hAnsiTheme="minorHAnsi"/>
          <w:sz w:val="18"/>
          <w:szCs w:val="18"/>
        </w:rPr>
        <w:fldChar w:fldCharType="begin"/>
      </w:r>
      <w:r w:rsidRPr="00B4181C">
        <w:rPr>
          <w:rFonts w:asciiTheme="minorHAnsi" w:hAnsiTheme="minorHAnsi"/>
          <w:sz w:val="18"/>
          <w:szCs w:val="18"/>
        </w:rPr>
        <w:instrText xml:space="preserve"> ADDIN ZOTERO_ITEM CSL_CITATION {"citationID":"1QcH6BJu","properties":{"formattedCitation":"(Dz.U.2023.1589, 2021)","plainCitation":"(Dz.U.2023.1589, 2021)","noteIndex":0},"citationItems":[{"id":23,"uris":["http://zotero.org/users/local/WHLSCuHh/items/GGLY9YE3"],"itemData":{"id":23,"type":"webpage","title":"Ustawa z dnia 11 sierpnia 2021 r. o gatunkach obcych","URL":"https://isap.sejm.gov.pl/isap.nsf/DocDetails.xsp?id=WDU20210001718","author":[{"family":"Dz.U.2023.1589","given":""}],"accessed":{"date-parts":[["2024",12,10]]},"issued":{"date-parts":[["2021",8,11]]}}}],"schema":"https://github.com/citation-style-language/schema/raw/master/csl-citation.json"} </w:instrText>
      </w:r>
      <w:r w:rsidRPr="00B4181C">
        <w:rPr>
          <w:rFonts w:asciiTheme="minorHAnsi" w:hAnsiTheme="minorHAnsi"/>
          <w:sz w:val="18"/>
          <w:szCs w:val="18"/>
        </w:rPr>
        <w:fldChar w:fldCharType="separate"/>
      </w:r>
      <w:r w:rsidRPr="00B4181C">
        <w:rPr>
          <w:rFonts w:asciiTheme="minorHAnsi" w:hAnsiTheme="minorHAnsi"/>
          <w:sz w:val="18"/>
          <w:szCs w:val="18"/>
        </w:rPr>
        <w:t xml:space="preserve"> (Dz. U.2023.1589)</w:t>
      </w:r>
      <w:r w:rsidRPr="00B4181C">
        <w:rPr>
          <w:rFonts w:asciiTheme="minorHAnsi" w:hAnsiTheme="minorHAnsi"/>
          <w:sz w:val="18"/>
          <w:szCs w:val="18"/>
        </w:rPr>
        <w:fldChar w:fldCharType="end"/>
      </w:r>
    </w:p>
    <w:p w14:paraId="7FE71672"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 xml:space="preserve">Zebrana biomasa musi być przechowywana na nieprzepuszczalnej powierzchni, podobnie jak w przypadku zbierania w pryzmach. Worki z biomasą powinny być </w:t>
      </w:r>
      <w:r w:rsidRPr="00B4181C">
        <w:rPr>
          <w:rFonts w:asciiTheme="minorHAnsi" w:hAnsiTheme="minorHAnsi"/>
          <w:sz w:val="24"/>
          <w:szCs w:val="24"/>
        </w:rPr>
        <w:lastRenderedPageBreak/>
        <w:t>umieszczone obok siebie, w żadnym wypadku nie powinny być układane jeden na drugim. Takie postępowanie minimalizuje ryzyko uszkodzenia worków i wydostania się ich zawartości na zewnątrz. W zamkniętych workach rozpoczyna się naturalny proces rozkładu biomasy. Worki z biomasą mogą być przechowywane na miejscu do momentu zebrania wystarczającej ilości odpadów, aby transport do spalarni był opłacalny. Jeśli ilość biomasy jest wystarczająca do przetransportowania natychmiast po przeprowadzeniu działań zwalczających, należy to zrobić tak szybko, jak to możliwe. Należy jednak zauważyć, że przechowywanie biomasy przez długi czas może powodować powstawanie odcieku na dnie worka. Z tego powodu, jeśli obecność odcieku jest potwierdzona, worki muszą być transportowane z zachowaniem ostrożności. Następnie worki z biomasą trafiają do spalarni odpadów. Należy zauważyć, że transport biomasy na duże odległości do spalarni generuje wysokie koszty środowiskowe, takie jak emisja gazów cieplarnianych z transportu. Jest to niezgodne z zasadą bliskości, która mówi, że odpady powinny być przetwarzane jak najbliżej miejsca ich wytworzenia. W tym przypadku najbliższa spalarnia znajduje się około 90 km od Obszaru Projektu, a wpływ na środowisko spowodowany transportem może przeważyć nad technologią wyboru metody do zwalczania inwazyjnych gatunków obcych (Dz.U.2023.1587). Zaletą tej metody jest to, że nie ma potrzeby przywiązywania dużej wagi do czyszczenia i kontroli pojazdów, ponieważ transportowany materiał jest zapakowany i zabezpieczony (w porównaniu z metodą opisaną w sekcji 3.2.3).</w:t>
      </w:r>
    </w:p>
    <w:p w14:paraId="0A11B64C" w14:textId="2D221111" w:rsidR="003A1319" w:rsidRDefault="003A1319" w:rsidP="003A1319">
      <w:pPr>
        <w:pStyle w:val="Nagwek2"/>
      </w:pPr>
      <w:bookmarkStart w:id="38" w:name="_Toc239940821"/>
      <w:r>
        <w:t>3.3. Działania monitorujące</w:t>
      </w:r>
      <w:bookmarkEnd w:id="38"/>
    </w:p>
    <w:p w14:paraId="48531A46"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W celu skutecznego monitorowania zmian w populacji gatunków inwazyjnych oraz wpływu działań związanych z ich eliminacją na gatunki rodzime, potrzebny jest właściwy specjalista. Taki specjalista powinien posiadać solidne przygotowanie teoretyczne i praktyczne, w tym umiejętność identyfikacji zarówno gatunków inwazyjnych, jak i rodzimych, zwłaszcza tych objętych ochroną. Regularne gromadzenie danych umożliwi dokładne określenie skuteczności podjętych działań i ewentualną modyfikację strategii zwalczania.</w:t>
      </w:r>
    </w:p>
    <w:p w14:paraId="3723C6CC"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 xml:space="preserve">Określenie skuteczności przeprowadzonych działań zaradczych polega na oszacowaniu zmian całkowitej powierzchni zajmowanej przez IGO w stosunku do powierzchni objętej zabiegiem. Powierzchnie zajęte przez IGO wyznacza się za pomocą odbiornika GPS, nanosząc je na podkład mapowy (np. na </w:t>
      </w:r>
      <w:proofErr w:type="spellStart"/>
      <w:r w:rsidRPr="00B4181C">
        <w:rPr>
          <w:rFonts w:asciiTheme="minorHAnsi" w:hAnsiTheme="minorHAnsi"/>
          <w:sz w:val="24"/>
          <w:szCs w:val="24"/>
        </w:rPr>
        <w:t>ortofotomapę</w:t>
      </w:r>
      <w:proofErr w:type="spellEnd"/>
      <w:r w:rsidRPr="00B4181C">
        <w:rPr>
          <w:rFonts w:asciiTheme="minorHAnsi" w:hAnsiTheme="minorHAnsi"/>
          <w:sz w:val="24"/>
          <w:szCs w:val="24"/>
        </w:rPr>
        <w:t>) o rozdzielczości min. 2-5 m. Płaty mniejsze niż 5 × 5 m oznacza się jako płaty 5 × 5 m. Ocena jest przeprowadzana dla całego obszaru objętego działaniami w sposób zapewniający reprezentatywność obserwacji.</w:t>
      </w:r>
    </w:p>
    <w:p w14:paraId="728E5201"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 xml:space="preserve">Pierwszy monitoring przyrodniczy powinien zostać przeprowadzony w pierwszym roku działań naprawczych, zawsze przed ich podjęciem (monitoring początkowy - zerowy). Jego wyniki zostaną wykorzystane do weryfikacji zakresu działań naprawczych. W </w:t>
      </w:r>
      <w:r w:rsidRPr="00B4181C">
        <w:rPr>
          <w:rFonts w:asciiTheme="minorHAnsi" w:hAnsiTheme="minorHAnsi"/>
          <w:sz w:val="24"/>
          <w:szCs w:val="24"/>
        </w:rPr>
        <w:lastRenderedPageBreak/>
        <w:t xml:space="preserve">kolejnych latach monitoring ten będzie również prowadzony przed rozpoczęciem działań naprawczych.  </w:t>
      </w:r>
    </w:p>
    <w:p w14:paraId="58ECDEA8"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Wycena działań odbywa się corocznie, ale monitoring stanu obszaru objętego działaniami naprawczymi powinien podlegać cotygodniowym inspekcjom w celu sprawdzenia stanu ogrodzonego obszaru, ingerencji zwierząt, np. tworzenia zakorzenionego obszaru i innych możliwych zakłóceń. Działania te powinny być podejmowane przez wyznaczonego specjalistę.</w:t>
      </w:r>
    </w:p>
    <w:p w14:paraId="1226BB42" w14:textId="77777777"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Aby skonsolidować zakres działań monitorujących, poniższa tabela przedstawia podsumowanie działań monitorujących dla różnych aspektów zarządzania gatunkami inwazyjnymi.</w:t>
      </w:r>
    </w:p>
    <w:p w14:paraId="1A927514" w14:textId="0216A42E" w:rsidR="003A1319" w:rsidRPr="00B4181C" w:rsidRDefault="003A1319" w:rsidP="003A1319">
      <w:pPr>
        <w:pStyle w:val="Legenda"/>
        <w:keepNext/>
        <w:rPr>
          <w:rFonts w:asciiTheme="minorHAnsi" w:hAnsiTheme="minorHAnsi"/>
          <w:b w:val="0"/>
          <w:bCs/>
          <w:color w:val="000000" w:themeColor="text1"/>
          <w:sz w:val="24"/>
          <w:szCs w:val="24"/>
        </w:rPr>
      </w:pPr>
      <w:bookmarkStart w:id="39" w:name="_Toc239940751"/>
      <w:r w:rsidRPr="00B4181C">
        <w:rPr>
          <w:rFonts w:asciiTheme="minorHAnsi" w:hAnsiTheme="minorHAnsi"/>
          <w:b w:val="0"/>
          <w:bCs/>
          <w:color w:val="000000" w:themeColor="text1"/>
          <w:sz w:val="24"/>
          <w:szCs w:val="24"/>
        </w:rPr>
        <w:t xml:space="preserve">Tabela </w:t>
      </w:r>
      <w:r w:rsidRPr="00B4181C">
        <w:rPr>
          <w:rFonts w:asciiTheme="minorHAnsi" w:hAnsiTheme="minorHAnsi"/>
          <w:b w:val="0"/>
          <w:bCs/>
          <w:color w:val="000000" w:themeColor="text1"/>
          <w:sz w:val="24"/>
          <w:szCs w:val="24"/>
        </w:rPr>
        <w:fldChar w:fldCharType="begin"/>
      </w:r>
      <w:r w:rsidRPr="00B4181C">
        <w:rPr>
          <w:rFonts w:asciiTheme="minorHAnsi" w:hAnsiTheme="minorHAnsi"/>
          <w:b w:val="0"/>
          <w:bCs/>
          <w:color w:val="000000" w:themeColor="text1"/>
          <w:sz w:val="24"/>
          <w:szCs w:val="24"/>
        </w:rPr>
        <w:instrText>SEQ Tabela \* ARABIC</w:instrText>
      </w:r>
      <w:r w:rsidRPr="00B4181C">
        <w:rPr>
          <w:rFonts w:asciiTheme="minorHAnsi" w:hAnsiTheme="minorHAnsi"/>
          <w:b w:val="0"/>
          <w:bCs/>
          <w:color w:val="000000" w:themeColor="text1"/>
          <w:sz w:val="24"/>
          <w:szCs w:val="24"/>
        </w:rPr>
        <w:fldChar w:fldCharType="separate"/>
      </w:r>
      <w:r w:rsidRPr="00B4181C">
        <w:rPr>
          <w:rFonts w:asciiTheme="minorHAnsi" w:hAnsiTheme="minorHAnsi"/>
          <w:b w:val="0"/>
          <w:bCs/>
          <w:noProof/>
          <w:color w:val="000000" w:themeColor="text1"/>
          <w:sz w:val="24"/>
          <w:szCs w:val="24"/>
        </w:rPr>
        <w:t>5</w:t>
      </w:r>
      <w:r w:rsidRPr="00B4181C">
        <w:rPr>
          <w:rFonts w:asciiTheme="minorHAnsi" w:hAnsiTheme="minorHAnsi"/>
          <w:b w:val="0"/>
          <w:bCs/>
          <w:color w:val="000000" w:themeColor="text1"/>
          <w:sz w:val="24"/>
          <w:szCs w:val="24"/>
        </w:rPr>
        <w:fldChar w:fldCharType="end"/>
      </w:r>
      <w:r w:rsidRPr="00B4181C">
        <w:rPr>
          <w:rFonts w:asciiTheme="minorHAnsi" w:hAnsiTheme="minorHAnsi"/>
          <w:b w:val="0"/>
          <w:bCs/>
          <w:color w:val="000000" w:themeColor="text1"/>
          <w:sz w:val="24"/>
          <w:szCs w:val="24"/>
        </w:rPr>
        <w:t xml:space="preserve"> Elementy monitoringu gatunków inwazyjnych</w:t>
      </w:r>
      <w:bookmarkEnd w:id="39"/>
    </w:p>
    <w:tbl>
      <w:tblPr>
        <w:tblW w:w="9067" w:type="dxa"/>
        <w:tblLook w:val="04A0" w:firstRow="1" w:lastRow="0" w:firstColumn="1" w:lastColumn="0" w:noHBand="0" w:noVBand="1"/>
      </w:tblPr>
      <w:tblGrid>
        <w:gridCol w:w="2263"/>
        <w:gridCol w:w="3828"/>
        <w:gridCol w:w="2976"/>
      </w:tblGrid>
      <w:tr w:rsidR="003A1319" w:rsidRPr="00B4181C" w14:paraId="75572DAF" w14:textId="77777777" w:rsidTr="00B4181C">
        <w:tc>
          <w:tcPr>
            <w:tcW w:w="2263"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1805322" w14:textId="77777777" w:rsidR="003A1319" w:rsidRPr="00B4181C" w:rsidRDefault="003A1319" w:rsidP="00B4181C">
            <w:pPr>
              <w:jc w:val="center"/>
              <w:rPr>
                <w:rFonts w:asciiTheme="minorHAnsi" w:hAnsiTheme="minorHAnsi" w:cs="Calibri"/>
                <w:b/>
                <w:bCs/>
                <w:sz w:val="18"/>
                <w:szCs w:val="18"/>
                <w:lang w:val="en-US"/>
              </w:rPr>
            </w:pPr>
            <w:proofErr w:type="spellStart"/>
            <w:r w:rsidRPr="00B4181C">
              <w:rPr>
                <w:rFonts w:asciiTheme="minorHAnsi" w:hAnsiTheme="minorHAnsi" w:cs="Calibri"/>
                <w:b/>
                <w:bCs/>
                <w:sz w:val="18"/>
                <w:szCs w:val="18"/>
                <w:lang w:val="en-US"/>
              </w:rPr>
              <w:t>Przedmiot</w:t>
            </w:r>
            <w:proofErr w:type="spellEnd"/>
            <w:r w:rsidRPr="00B4181C">
              <w:rPr>
                <w:rFonts w:asciiTheme="minorHAnsi" w:hAnsiTheme="minorHAnsi" w:cs="Calibri"/>
                <w:b/>
                <w:bCs/>
                <w:sz w:val="18"/>
                <w:szCs w:val="18"/>
                <w:lang w:val="en-US"/>
              </w:rPr>
              <w:t xml:space="preserve"> </w:t>
            </w:r>
            <w:proofErr w:type="spellStart"/>
            <w:r w:rsidRPr="00B4181C">
              <w:rPr>
                <w:rFonts w:asciiTheme="minorHAnsi" w:hAnsiTheme="minorHAnsi" w:cs="Calibri"/>
                <w:b/>
                <w:bCs/>
                <w:sz w:val="18"/>
                <w:szCs w:val="18"/>
                <w:lang w:val="en-US"/>
              </w:rPr>
              <w:t>monitoringu</w:t>
            </w:r>
            <w:proofErr w:type="spellEnd"/>
          </w:p>
        </w:tc>
        <w:tc>
          <w:tcPr>
            <w:tcW w:w="3828"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73022148" w14:textId="77777777" w:rsidR="003A1319" w:rsidRPr="00B4181C" w:rsidRDefault="003A1319" w:rsidP="00B4181C">
            <w:pPr>
              <w:jc w:val="center"/>
              <w:rPr>
                <w:rFonts w:asciiTheme="minorHAnsi" w:hAnsiTheme="minorHAnsi" w:cs="Calibri"/>
                <w:b/>
                <w:bCs/>
                <w:sz w:val="18"/>
                <w:szCs w:val="18"/>
                <w:lang w:val="en-US"/>
              </w:rPr>
            </w:pPr>
            <w:r w:rsidRPr="00B4181C">
              <w:rPr>
                <w:rFonts w:asciiTheme="minorHAnsi" w:hAnsiTheme="minorHAnsi" w:cs="Calibri"/>
                <w:b/>
                <w:bCs/>
                <w:sz w:val="18"/>
                <w:szCs w:val="18"/>
              </w:rPr>
              <w:t>Interwał</w:t>
            </w:r>
          </w:p>
        </w:tc>
        <w:tc>
          <w:tcPr>
            <w:tcW w:w="2976"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33C3B082" w14:textId="77777777" w:rsidR="003A1319" w:rsidRPr="00B4181C" w:rsidRDefault="003A1319" w:rsidP="00B4181C">
            <w:pPr>
              <w:jc w:val="center"/>
              <w:rPr>
                <w:rFonts w:asciiTheme="minorHAnsi" w:hAnsiTheme="minorHAnsi" w:cs="Calibri"/>
                <w:b/>
                <w:bCs/>
                <w:sz w:val="18"/>
                <w:szCs w:val="18"/>
                <w:lang w:val="en-US"/>
              </w:rPr>
            </w:pPr>
            <w:r w:rsidRPr="00B4181C">
              <w:rPr>
                <w:rFonts w:asciiTheme="minorHAnsi" w:hAnsiTheme="minorHAnsi" w:cs="Calibri"/>
                <w:b/>
                <w:bCs/>
                <w:sz w:val="18"/>
                <w:szCs w:val="18"/>
              </w:rPr>
              <w:t>Zasięg</w:t>
            </w:r>
          </w:p>
        </w:tc>
      </w:tr>
      <w:tr w:rsidR="003A1319" w:rsidRPr="00B4181C" w14:paraId="1483E13C" w14:textId="77777777" w:rsidTr="00B4181C">
        <w:tc>
          <w:tcPr>
            <w:tcW w:w="2263" w:type="dxa"/>
            <w:tcBorders>
              <w:top w:val="single" w:sz="4" w:space="0" w:color="auto"/>
              <w:left w:val="single" w:sz="4" w:space="0" w:color="auto"/>
              <w:bottom w:val="single" w:sz="4" w:space="0" w:color="auto"/>
              <w:right w:val="single" w:sz="4" w:space="0" w:color="auto"/>
            </w:tcBorders>
            <w:hideMark/>
          </w:tcPr>
          <w:p w14:paraId="2C809733"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Regularna inwentaryzacja interfejsu użytkownika projektu</w:t>
            </w:r>
          </w:p>
        </w:tc>
        <w:tc>
          <w:tcPr>
            <w:tcW w:w="3828" w:type="dxa"/>
            <w:tcBorders>
              <w:top w:val="single" w:sz="4" w:space="0" w:color="auto"/>
              <w:left w:val="single" w:sz="4" w:space="0" w:color="auto"/>
              <w:bottom w:val="single" w:sz="4" w:space="0" w:color="auto"/>
              <w:right w:val="single" w:sz="4" w:space="0" w:color="auto"/>
            </w:tcBorders>
            <w:hideMark/>
          </w:tcPr>
          <w:p w14:paraId="5C35467C"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Dwa razy w roku w sezonie wegetacyjnym.</w:t>
            </w:r>
          </w:p>
        </w:tc>
        <w:tc>
          <w:tcPr>
            <w:tcW w:w="2976" w:type="dxa"/>
            <w:tcBorders>
              <w:top w:val="single" w:sz="4" w:space="0" w:color="auto"/>
              <w:left w:val="single" w:sz="4" w:space="0" w:color="auto"/>
              <w:bottom w:val="single" w:sz="4" w:space="0" w:color="auto"/>
              <w:right w:val="single" w:sz="4" w:space="0" w:color="auto"/>
            </w:tcBorders>
            <w:hideMark/>
          </w:tcPr>
          <w:p w14:paraId="02DDDD6A" w14:textId="77777777" w:rsidR="003A1319" w:rsidRPr="00B4181C" w:rsidRDefault="003A1319" w:rsidP="00B4181C">
            <w:pPr>
              <w:jc w:val="both"/>
              <w:rPr>
                <w:rFonts w:asciiTheme="minorHAnsi" w:hAnsiTheme="minorHAnsi" w:cs="Calibri"/>
                <w:sz w:val="18"/>
                <w:szCs w:val="18"/>
                <w:lang w:val="en-US"/>
              </w:rPr>
            </w:pPr>
            <w:r w:rsidRPr="00B4181C">
              <w:rPr>
                <w:rFonts w:asciiTheme="minorHAnsi" w:hAnsiTheme="minorHAnsi" w:cs="Calibri"/>
                <w:sz w:val="18"/>
                <w:szCs w:val="18"/>
                <w:lang w:val="en-US"/>
              </w:rPr>
              <w:t xml:space="preserve">Do </w:t>
            </w:r>
            <w:proofErr w:type="spellStart"/>
            <w:r w:rsidRPr="00B4181C">
              <w:rPr>
                <w:rFonts w:asciiTheme="minorHAnsi" w:hAnsiTheme="minorHAnsi" w:cs="Calibri"/>
                <w:sz w:val="18"/>
                <w:szCs w:val="18"/>
                <w:lang w:val="en-US"/>
              </w:rPr>
              <w:t>czasu</w:t>
            </w:r>
            <w:proofErr w:type="spellEnd"/>
            <w:r w:rsidRPr="00B4181C">
              <w:rPr>
                <w:rFonts w:asciiTheme="minorHAnsi" w:hAnsiTheme="minorHAnsi" w:cs="Calibri"/>
                <w:sz w:val="18"/>
                <w:szCs w:val="18"/>
                <w:lang w:val="en-US"/>
              </w:rPr>
              <w:t xml:space="preserve"> </w:t>
            </w:r>
            <w:proofErr w:type="spellStart"/>
            <w:r w:rsidRPr="00B4181C">
              <w:rPr>
                <w:rFonts w:asciiTheme="minorHAnsi" w:hAnsiTheme="minorHAnsi" w:cs="Calibri"/>
                <w:sz w:val="18"/>
                <w:szCs w:val="18"/>
                <w:lang w:val="en-US"/>
              </w:rPr>
              <w:t>zakończenia</w:t>
            </w:r>
            <w:proofErr w:type="spellEnd"/>
            <w:r w:rsidRPr="00B4181C">
              <w:rPr>
                <w:rFonts w:asciiTheme="minorHAnsi" w:hAnsiTheme="minorHAnsi" w:cs="Calibri"/>
                <w:sz w:val="18"/>
                <w:szCs w:val="18"/>
                <w:lang w:val="en-US"/>
              </w:rPr>
              <w:t xml:space="preserve"> </w:t>
            </w:r>
            <w:proofErr w:type="spellStart"/>
            <w:r w:rsidRPr="00B4181C">
              <w:rPr>
                <w:rFonts w:asciiTheme="minorHAnsi" w:hAnsiTheme="minorHAnsi" w:cs="Calibri"/>
                <w:sz w:val="18"/>
                <w:szCs w:val="18"/>
                <w:lang w:val="en-US"/>
              </w:rPr>
              <w:t>projektu</w:t>
            </w:r>
            <w:proofErr w:type="spellEnd"/>
            <w:r w:rsidRPr="00B4181C">
              <w:rPr>
                <w:rFonts w:asciiTheme="minorHAnsi" w:hAnsiTheme="minorHAnsi" w:cs="Calibri"/>
                <w:sz w:val="18"/>
                <w:szCs w:val="18"/>
                <w:lang w:val="en-US"/>
              </w:rPr>
              <w:t>.</w:t>
            </w:r>
          </w:p>
        </w:tc>
      </w:tr>
      <w:tr w:rsidR="003A1319" w:rsidRPr="00B4181C" w14:paraId="717EF7EF" w14:textId="77777777" w:rsidTr="00B4181C">
        <w:tc>
          <w:tcPr>
            <w:tcW w:w="2263" w:type="dxa"/>
            <w:tcBorders>
              <w:top w:val="single" w:sz="4" w:space="0" w:color="auto"/>
              <w:left w:val="single" w:sz="4" w:space="0" w:color="auto"/>
              <w:bottom w:val="single" w:sz="4" w:space="0" w:color="auto"/>
              <w:right w:val="single" w:sz="4" w:space="0" w:color="auto"/>
            </w:tcBorders>
            <w:hideMark/>
          </w:tcPr>
          <w:p w14:paraId="22647758" w14:textId="77777777" w:rsidR="003A1319" w:rsidRPr="00B4181C" w:rsidRDefault="003A1319" w:rsidP="00B4181C">
            <w:pPr>
              <w:jc w:val="both"/>
              <w:rPr>
                <w:rFonts w:asciiTheme="minorHAnsi" w:hAnsiTheme="minorHAnsi" w:cs="Calibri"/>
                <w:sz w:val="18"/>
                <w:szCs w:val="18"/>
                <w:lang w:val="en-US"/>
              </w:rPr>
            </w:pPr>
            <w:r w:rsidRPr="00B4181C">
              <w:rPr>
                <w:rFonts w:asciiTheme="minorHAnsi" w:hAnsiTheme="minorHAnsi" w:cs="Calibri"/>
                <w:sz w:val="18"/>
                <w:szCs w:val="18"/>
              </w:rPr>
              <w:t>Zakopane biomasy</w:t>
            </w:r>
          </w:p>
        </w:tc>
        <w:tc>
          <w:tcPr>
            <w:tcW w:w="3828" w:type="dxa"/>
            <w:tcBorders>
              <w:top w:val="single" w:sz="4" w:space="0" w:color="auto"/>
              <w:left w:val="single" w:sz="4" w:space="0" w:color="auto"/>
              <w:bottom w:val="single" w:sz="4" w:space="0" w:color="auto"/>
              <w:right w:val="single" w:sz="4" w:space="0" w:color="auto"/>
            </w:tcBorders>
            <w:hideMark/>
          </w:tcPr>
          <w:p w14:paraId="03432C76"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Dwa miesiące po zakopaniu lub rozpoczęciu sezonu wegetacyjnego. Następnie co miesiąc do końca sezonu wegetacyjnego.</w:t>
            </w:r>
          </w:p>
        </w:tc>
        <w:tc>
          <w:tcPr>
            <w:tcW w:w="2976" w:type="dxa"/>
            <w:tcBorders>
              <w:top w:val="single" w:sz="4" w:space="0" w:color="auto"/>
              <w:left w:val="single" w:sz="4" w:space="0" w:color="auto"/>
              <w:bottom w:val="single" w:sz="4" w:space="0" w:color="auto"/>
              <w:right w:val="single" w:sz="4" w:space="0" w:color="auto"/>
            </w:tcBorders>
            <w:hideMark/>
          </w:tcPr>
          <w:p w14:paraId="430D54E7"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 xml:space="preserve">3 lata od momentu zakopania biomasy. </w:t>
            </w:r>
          </w:p>
        </w:tc>
      </w:tr>
      <w:tr w:rsidR="003A1319" w:rsidRPr="00B4181C" w14:paraId="6891004A" w14:textId="77777777" w:rsidTr="00B4181C">
        <w:tc>
          <w:tcPr>
            <w:tcW w:w="2263" w:type="dxa"/>
            <w:tcBorders>
              <w:top w:val="single" w:sz="4" w:space="0" w:color="auto"/>
              <w:left w:val="single" w:sz="4" w:space="0" w:color="auto"/>
              <w:bottom w:val="single" w:sz="4" w:space="0" w:color="auto"/>
              <w:right w:val="single" w:sz="4" w:space="0" w:color="auto"/>
            </w:tcBorders>
            <w:hideMark/>
          </w:tcPr>
          <w:p w14:paraId="2EFA90C0" w14:textId="77777777" w:rsidR="003A1319" w:rsidRPr="00B4181C" w:rsidRDefault="003A1319" w:rsidP="00B4181C">
            <w:pPr>
              <w:jc w:val="both"/>
              <w:rPr>
                <w:rFonts w:asciiTheme="minorHAnsi" w:hAnsiTheme="minorHAnsi" w:cs="Calibri"/>
                <w:sz w:val="18"/>
                <w:szCs w:val="18"/>
                <w:lang w:val="en-US"/>
              </w:rPr>
            </w:pPr>
            <w:proofErr w:type="spellStart"/>
            <w:r w:rsidRPr="00B4181C">
              <w:rPr>
                <w:rFonts w:asciiTheme="minorHAnsi" w:hAnsiTheme="minorHAnsi" w:cs="Calibri"/>
                <w:sz w:val="18"/>
                <w:szCs w:val="18"/>
                <w:lang w:val="en-US"/>
              </w:rPr>
              <w:t>Biomasa</w:t>
            </w:r>
            <w:proofErr w:type="spellEnd"/>
            <w:r w:rsidRPr="00B4181C">
              <w:rPr>
                <w:rFonts w:asciiTheme="minorHAnsi" w:hAnsiTheme="minorHAnsi" w:cs="Calibri"/>
                <w:sz w:val="18"/>
                <w:szCs w:val="18"/>
                <w:lang w:val="en-US"/>
              </w:rPr>
              <w:t xml:space="preserve"> w </w:t>
            </w:r>
            <w:proofErr w:type="spellStart"/>
            <w:r w:rsidRPr="00B4181C">
              <w:rPr>
                <w:rFonts w:asciiTheme="minorHAnsi" w:hAnsiTheme="minorHAnsi" w:cs="Calibri"/>
                <w:sz w:val="18"/>
                <w:szCs w:val="18"/>
                <w:lang w:val="en-US"/>
              </w:rPr>
              <w:t>hałdach</w:t>
            </w:r>
            <w:proofErr w:type="spellEnd"/>
          </w:p>
        </w:tc>
        <w:tc>
          <w:tcPr>
            <w:tcW w:w="3828" w:type="dxa"/>
            <w:tcBorders>
              <w:top w:val="single" w:sz="4" w:space="0" w:color="auto"/>
              <w:left w:val="single" w:sz="4" w:space="0" w:color="auto"/>
              <w:bottom w:val="single" w:sz="4" w:space="0" w:color="auto"/>
              <w:right w:val="single" w:sz="4" w:space="0" w:color="auto"/>
            </w:tcBorders>
            <w:hideMark/>
          </w:tcPr>
          <w:p w14:paraId="5D8FD237"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Raz w tygodniu po ustawieniu sterty.</w:t>
            </w:r>
          </w:p>
        </w:tc>
        <w:tc>
          <w:tcPr>
            <w:tcW w:w="2976" w:type="dxa"/>
            <w:tcBorders>
              <w:top w:val="single" w:sz="4" w:space="0" w:color="auto"/>
              <w:left w:val="single" w:sz="4" w:space="0" w:color="auto"/>
              <w:bottom w:val="single" w:sz="4" w:space="0" w:color="auto"/>
              <w:right w:val="single" w:sz="4" w:space="0" w:color="auto"/>
            </w:tcBorders>
            <w:hideMark/>
          </w:tcPr>
          <w:p w14:paraId="71807838"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Do momentu zakończenia rozkładu (patrz podsekcja 3.2.2).</w:t>
            </w:r>
          </w:p>
        </w:tc>
      </w:tr>
      <w:tr w:rsidR="003A1319" w:rsidRPr="00B4181C" w14:paraId="1A8531A6" w14:textId="77777777" w:rsidTr="00B4181C">
        <w:tc>
          <w:tcPr>
            <w:tcW w:w="2263" w:type="dxa"/>
            <w:tcBorders>
              <w:top w:val="single" w:sz="4" w:space="0" w:color="auto"/>
              <w:left w:val="single" w:sz="4" w:space="0" w:color="auto"/>
              <w:bottom w:val="single" w:sz="4" w:space="0" w:color="auto"/>
              <w:right w:val="single" w:sz="4" w:space="0" w:color="auto"/>
            </w:tcBorders>
            <w:hideMark/>
          </w:tcPr>
          <w:p w14:paraId="1DC51224" w14:textId="77777777" w:rsidR="003A1319" w:rsidRPr="00B4181C" w:rsidRDefault="003A1319" w:rsidP="00B4181C">
            <w:pPr>
              <w:jc w:val="both"/>
              <w:rPr>
                <w:rFonts w:asciiTheme="minorHAnsi" w:hAnsiTheme="minorHAnsi" w:cs="Calibri"/>
                <w:sz w:val="18"/>
                <w:szCs w:val="18"/>
                <w:lang w:val="en-US"/>
              </w:rPr>
            </w:pPr>
            <w:r w:rsidRPr="00B4181C">
              <w:rPr>
                <w:rFonts w:asciiTheme="minorHAnsi" w:hAnsiTheme="minorHAnsi" w:cs="Calibri"/>
                <w:sz w:val="18"/>
                <w:szCs w:val="18"/>
              </w:rPr>
              <w:t>Potwierdzony obszar występowania IGO</w:t>
            </w:r>
          </w:p>
        </w:tc>
        <w:tc>
          <w:tcPr>
            <w:tcW w:w="3828" w:type="dxa"/>
            <w:tcBorders>
              <w:top w:val="single" w:sz="4" w:space="0" w:color="auto"/>
              <w:left w:val="single" w:sz="4" w:space="0" w:color="auto"/>
              <w:bottom w:val="single" w:sz="4" w:space="0" w:color="auto"/>
              <w:right w:val="single" w:sz="4" w:space="0" w:color="auto"/>
            </w:tcBorders>
            <w:hideMark/>
          </w:tcPr>
          <w:p w14:paraId="2C55C133"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Raz w miesiącu w sezonie wegetacyjnym/raz w tygodniu w trakcie/po przeprowadzeniu akcji zwalczania.</w:t>
            </w:r>
          </w:p>
        </w:tc>
        <w:tc>
          <w:tcPr>
            <w:tcW w:w="2976" w:type="dxa"/>
            <w:tcBorders>
              <w:top w:val="single" w:sz="4" w:space="0" w:color="auto"/>
              <w:left w:val="single" w:sz="4" w:space="0" w:color="auto"/>
              <w:bottom w:val="single" w:sz="4" w:space="0" w:color="auto"/>
              <w:right w:val="single" w:sz="4" w:space="0" w:color="auto"/>
            </w:tcBorders>
            <w:hideMark/>
          </w:tcPr>
          <w:p w14:paraId="70E19E5C" w14:textId="77777777" w:rsidR="003A1319" w:rsidRPr="00B4181C" w:rsidRDefault="003A1319" w:rsidP="00B4181C">
            <w:pPr>
              <w:jc w:val="both"/>
              <w:rPr>
                <w:rFonts w:asciiTheme="minorHAnsi" w:hAnsiTheme="minorHAnsi" w:cs="Calibri"/>
                <w:sz w:val="18"/>
                <w:szCs w:val="18"/>
              </w:rPr>
            </w:pPr>
            <w:r w:rsidRPr="00B4181C">
              <w:rPr>
                <w:rFonts w:asciiTheme="minorHAnsi" w:hAnsiTheme="minorHAnsi" w:cs="Calibri"/>
                <w:sz w:val="18"/>
                <w:szCs w:val="18"/>
              </w:rPr>
              <w:t>Dopóki IGO nie zostanie uznany za wyeliminowany.</w:t>
            </w:r>
          </w:p>
        </w:tc>
      </w:tr>
    </w:tbl>
    <w:p w14:paraId="7A38FE9C" w14:textId="77777777" w:rsidR="003A1319" w:rsidRDefault="003A1319" w:rsidP="003A1319"/>
    <w:p w14:paraId="46D797F7" w14:textId="00B73126" w:rsidR="003A1319" w:rsidRPr="00B4181C" w:rsidRDefault="003A1319" w:rsidP="00B4181C">
      <w:pPr>
        <w:spacing w:after="120" w:line="276" w:lineRule="auto"/>
        <w:jc w:val="both"/>
        <w:rPr>
          <w:rFonts w:asciiTheme="minorHAnsi" w:hAnsiTheme="minorHAnsi"/>
          <w:sz w:val="24"/>
          <w:szCs w:val="24"/>
        </w:rPr>
      </w:pPr>
      <w:r w:rsidRPr="00B4181C">
        <w:rPr>
          <w:rFonts w:asciiTheme="minorHAnsi" w:hAnsiTheme="minorHAnsi"/>
          <w:sz w:val="24"/>
          <w:szCs w:val="24"/>
        </w:rPr>
        <w:t xml:space="preserve">Wyniki monitoringu przyrodniczego są podsumowywane corocznie po podjęciu wszystkich środków zaradczych (na koniec sezonu wegetacyjnego). Ocenę skuteczności przeprowadzonych działań zaradczych przeprowadza się poprzez porównanie występowania IGO podczas monitoringu początkowo-zerowego, przeprowadzonego w pierwszym roku działań (wielkość powierzchni zajętej przez osobniki IGO), z wynikami monitoringu w kolejnych latach. Wyniki monitoringu stanowią podstawę do podjęcia decyzji o kontynuacji działań zaradczych oraz aktualizacji zakresu i metodyki działań zaradczych w kolejnym roku. Do ogólnej oceny skuteczności przeprowadzonych działań zaradczych, po zabiegach przeprowadzonych w poprzednim roku, wykorzystana zostanie wielkość powierzchni (różnica w stosunku do poprzedniego okresu) zajętej przez osobniki IGO, w stosunku do powierzchni objętej zabiegami. </w:t>
      </w:r>
      <w:r w:rsidRPr="00B4181C">
        <w:rPr>
          <w:rFonts w:asciiTheme="minorHAnsi" w:hAnsiTheme="minorHAnsi"/>
          <w:sz w:val="24"/>
          <w:szCs w:val="24"/>
        </w:rPr>
        <w:br/>
      </w:r>
    </w:p>
    <w:p w14:paraId="0208B3DD" w14:textId="7EBCC3ED" w:rsidR="003A1319" w:rsidRPr="00F254A0" w:rsidRDefault="003A1319" w:rsidP="00F254A0">
      <w:pPr>
        <w:pStyle w:val="Legenda"/>
        <w:keepNext/>
        <w:jc w:val="both"/>
        <w:rPr>
          <w:rFonts w:asciiTheme="minorHAnsi" w:hAnsiTheme="minorHAnsi"/>
          <w:b w:val="0"/>
          <w:bCs/>
          <w:color w:val="000000" w:themeColor="text1"/>
          <w:sz w:val="24"/>
          <w:szCs w:val="24"/>
        </w:rPr>
      </w:pPr>
      <w:bookmarkStart w:id="40" w:name="_Toc239940752"/>
      <w:r w:rsidRPr="00F254A0">
        <w:rPr>
          <w:rFonts w:asciiTheme="minorHAnsi" w:hAnsiTheme="minorHAnsi"/>
          <w:b w:val="0"/>
          <w:bCs/>
          <w:color w:val="000000" w:themeColor="text1"/>
          <w:sz w:val="24"/>
          <w:szCs w:val="24"/>
        </w:rPr>
        <w:lastRenderedPageBreak/>
        <w:t xml:space="preserve">Tabela </w:t>
      </w:r>
      <w:r w:rsidRPr="00F254A0">
        <w:rPr>
          <w:rFonts w:asciiTheme="minorHAnsi" w:hAnsiTheme="minorHAnsi"/>
          <w:b w:val="0"/>
          <w:bCs/>
          <w:color w:val="000000" w:themeColor="text1"/>
          <w:sz w:val="24"/>
          <w:szCs w:val="24"/>
        </w:rPr>
        <w:fldChar w:fldCharType="begin"/>
      </w:r>
      <w:r w:rsidRPr="00F254A0">
        <w:rPr>
          <w:rFonts w:asciiTheme="minorHAnsi" w:hAnsiTheme="minorHAnsi"/>
          <w:b w:val="0"/>
          <w:bCs/>
          <w:color w:val="000000" w:themeColor="text1"/>
          <w:sz w:val="24"/>
          <w:szCs w:val="24"/>
        </w:rPr>
        <w:instrText>SEQ Tabela \* ARABIC</w:instrText>
      </w:r>
      <w:r w:rsidRPr="00F254A0">
        <w:rPr>
          <w:rFonts w:asciiTheme="minorHAnsi" w:hAnsiTheme="minorHAnsi"/>
          <w:b w:val="0"/>
          <w:bCs/>
          <w:color w:val="000000" w:themeColor="text1"/>
          <w:sz w:val="24"/>
          <w:szCs w:val="24"/>
        </w:rPr>
        <w:fldChar w:fldCharType="separate"/>
      </w:r>
      <w:r w:rsidRPr="00F254A0">
        <w:rPr>
          <w:rFonts w:asciiTheme="minorHAnsi" w:hAnsiTheme="minorHAnsi"/>
          <w:b w:val="0"/>
          <w:bCs/>
          <w:noProof/>
          <w:color w:val="000000" w:themeColor="text1"/>
          <w:sz w:val="24"/>
          <w:szCs w:val="24"/>
        </w:rPr>
        <w:t>6</w:t>
      </w:r>
      <w:r w:rsidRPr="00F254A0">
        <w:rPr>
          <w:rFonts w:asciiTheme="minorHAnsi" w:hAnsiTheme="minorHAnsi"/>
          <w:b w:val="0"/>
          <w:bCs/>
          <w:color w:val="000000" w:themeColor="text1"/>
          <w:sz w:val="24"/>
          <w:szCs w:val="24"/>
        </w:rPr>
        <w:fldChar w:fldCharType="end"/>
      </w:r>
      <w:r w:rsidRPr="00F254A0">
        <w:rPr>
          <w:rFonts w:asciiTheme="minorHAnsi" w:hAnsiTheme="minorHAnsi"/>
          <w:b w:val="0"/>
          <w:bCs/>
          <w:color w:val="000000" w:themeColor="text1"/>
          <w:sz w:val="24"/>
          <w:szCs w:val="24"/>
        </w:rPr>
        <w:t xml:space="preserve"> Waloryzacja skuteczności działań zaradczych w odniesieniu do gatunków inwazyjnych gatunków obcych i działania następcze w związku z przyznaną oceną (ocena ta powinna mieć miejsce pod koniec sezonu wegetacyjnego po podjęciu wszystkich środków zaradczych)</w:t>
      </w:r>
      <w:bookmarkEnd w:id="40"/>
    </w:p>
    <w:tbl>
      <w:tblPr>
        <w:tblW w:w="0" w:type="auto"/>
        <w:tblLook w:val="04A0" w:firstRow="1" w:lastRow="0" w:firstColumn="1" w:lastColumn="0" w:noHBand="0" w:noVBand="1"/>
      </w:tblPr>
      <w:tblGrid>
        <w:gridCol w:w="752"/>
        <w:gridCol w:w="2424"/>
        <w:gridCol w:w="5886"/>
      </w:tblGrid>
      <w:tr w:rsidR="003A1319" w:rsidRPr="00F254A0" w14:paraId="1416412C" w14:textId="77777777" w:rsidTr="00F254A0">
        <w:trPr>
          <w:tblHeader/>
        </w:trPr>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AD8865D" w14:textId="77777777" w:rsidR="003A1319" w:rsidRPr="00F254A0" w:rsidRDefault="003A1319" w:rsidP="00F254A0">
            <w:pPr>
              <w:jc w:val="center"/>
              <w:rPr>
                <w:rFonts w:asciiTheme="minorHAnsi" w:hAnsiTheme="minorHAnsi" w:cs="Calibri"/>
                <w:b/>
                <w:sz w:val="18"/>
                <w:szCs w:val="18"/>
              </w:rPr>
            </w:pPr>
            <w:r w:rsidRPr="00F254A0">
              <w:rPr>
                <w:rFonts w:asciiTheme="minorHAnsi" w:hAnsiTheme="minorHAnsi" w:cs="Calibri"/>
                <w:b/>
                <w:sz w:val="18"/>
                <w:szCs w:val="18"/>
              </w:rPr>
              <w:t>Ocena</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FA756F4" w14:textId="77777777" w:rsidR="003A1319" w:rsidRPr="00F254A0" w:rsidRDefault="003A1319" w:rsidP="00F254A0">
            <w:pPr>
              <w:jc w:val="center"/>
              <w:rPr>
                <w:rFonts w:asciiTheme="minorHAnsi" w:hAnsiTheme="minorHAnsi" w:cs="Calibri"/>
                <w:b/>
                <w:sz w:val="18"/>
                <w:szCs w:val="18"/>
              </w:rPr>
            </w:pPr>
            <w:r w:rsidRPr="00F254A0">
              <w:rPr>
                <w:rFonts w:asciiTheme="minorHAnsi" w:hAnsiTheme="minorHAnsi" w:cs="Calibri"/>
                <w:b/>
                <w:sz w:val="18"/>
                <w:szCs w:val="18"/>
              </w:rPr>
              <w:t>Po przypisaniu</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61BFBF2E" w14:textId="77777777" w:rsidR="003A1319" w:rsidRPr="00F254A0" w:rsidRDefault="003A1319" w:rsidP="00F254A0">
            <w:pPr>
              <w:jc w:val="center"/>
              <w:rPr>
                <w:rFonts w:asciiTheme="minorHAnsi" w:hAnsiTheme="minorHAnsi" w:cs="Calibri"/>
                <w:b/>
                <w:sz w:val="18"/>
                <w:szCs w:val="18"/>
              </w:rPr>
            </w:pPr>
            <w:r w:rsidRPr="00F254A0">
              <w:rPr>
                <w:rFonts w:asciiTheme="minorHAnsi" w:hAnsiTheme="minorHAnsi" w:cs="Calibri"/>
                <w:b/>
                <w:sz w:val="18"/>
                <w:szCs w:val="18"/>
              </w:rPr>
              <w:t>Kontynuacja</w:t>
            </w:r>
          </w:p>
        </w:tc>
      </w:tr>
      <w:tr w:rsidR="003A1319" w:rsidRPr="00F254A0" w14:paraId="0B287388"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0000"/>
            <w:vAlign w:val="center"/>
            <w:hideMark/>
          </w:tcPr>
          <w:p w14:paraId="34CEF952"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3F8B72"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Zmiana udziału powierzchni zajmowanej przez IGO wzrosła lub spadła o 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540EC"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Ponownie przeprowadzić selekcję metod kontroli i wybrać metodę o wyższej skuteczności.</w:t>
            </w:r>
          </w:p>
        </w:tc>
      </w:tr>
      <w:tr w:rsidR="003A1319" w:rsidRPr="00F254A0" w14:paraId="16F0D309"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C000"/>
            <w:vAlign w:val="center"/>
            <w:hideMark/>
          </w:tcPr>
          <w:p w14:paraId="29E4F210"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F27187E"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Zmiana udziału powierzchni zajmowanej przez IGO zmniejszyła się z 11 do 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9E37AF5"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Zwiększyć wysiłki w zakresie nadzoru naturalnego i w zależności od przyczyny - zalecić większą rygorystyczność w wykonywaniu działań naprawczych lub zmienić metodę.</w:t>
            </w:r>
          </w:p>
        </w:tc>
      </w:tr>
      <w:tr w:rsidR="003A1319" w:rsidRPr="00F254A0" w14:paraId="56B0E62F"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2FDCC56E"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38ED98A"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Zmiana udziału powierzchni zajmowanej przez IGO zmniejszyła się z 26 do 60%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C4F09"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Kontynuacja środków zaradczych.</w:t>
            </w:r>
          </w:p>
        </w:tc>
      </w:tr>
      <w:tr w:rsidR="003A1319" w:rsidRPr="00F254A0" w14:paraId="0B7646EE"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5B7B71B7"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9C64EC0"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Zmiana udziału powierzchni zajmowanej przez IGO zmniejszyła się z 61 do 95%.</w:t>
            </w:r>
          </w:p>
        </w:tc>
        <w:tc>
          <w:tcPr>
            <w:tcW w:w="0" w:type="auto"/>
            <w:tcBorders>
              <w:top w:val="single" w:sz="4" w:space="0" w:color="auto"/>
              <w:left w:val="single" w:sz="4" w:space="0" w:color="auto"/>
              <w:bottom w:val="single" w:sz="4" w:space="0" w:color="auto"/>
              <w:right w:val="single" w:sz="4" w:space="0" w:color="auto"/>
            </w:tcBorders>
            <w:vAlign w:val="center"/>
            <w:hideMark/>
          </w:tcPr>
          <w:p w14:paraId="37C7EA5A"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Kontynuacja środków zaradczych.</w:t>
            </w:r>
          </w:p>
        </w:tc>
      </w:tr>
      <w:tr w:rsidR="003A1319" w:rsidRPr="00F254A0" w14:paraId="318C01D5"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00B050"/>
            <w:vAlign w:val="center"/>
            <w:hideMark/>
          </w:tcPr>
          <w:p w14:paraId="538BCFD5"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5B10123"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Zmiana udziału powierzchni zajmowanej przez IGO zmniejszyła się z 96 do 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855EA0" w14:textId="77777777" w:rsidR="003A1319" w:rsidRPr="00F254A0" w:rsidRDefault="003A1319" w:rsidP="003A1319">
            <w:pPr>
              <w:rPr>
                <w:rFonts w:asciiTheme="minorHAnsi" w:hAnsiTheme="minorHAnsi" w:cs="Calibri"/>
                <w:sz w:val="18"/>
                <w:szCs w:val="18"/>
              </w:rPr>
            </w:pPr>
            <w:r w:rsidRPr="00F254A0">
              <w:rPr>
                <w:rFonts w:asciiTheme="minorHAnsi" w:hAnsiTheme="minorHAnsi" w:cs="Calibri"/>
                <w:sz w:val="18"/>
                <w:szCs w:val="18"/>
              </w:rPr>
              <w:t>Powstrzymanie się od podejmowania działań naprawczych w następnym roku. Powtórzyć monitorowanie pod koniec sezonu wegetacyjnego. Jeśli ponownie uzyskany zostanie wynik 4, miejsce IGO należy uznać za zwalczone w danym miejscu występowania.</w:t>
            </w:r>
          </w:p>
        </w:tc>
      </w:tr>
    </w:tbl>
    <w:p w14:paraId="73EF78FC" w14:textId="77777777" w:rsidR="003A1319" w:rsidRDefault="003A1319" w:rsidP="003A1319">
      <w:pPr>
        <w:jc w:val="both"/>
      </w:pPr>
    </w:p>
    <w:p w14:paraId="61A0EDAC" w14:textId="77777777" w:rsidR="003A1319" w:rsidRPr="00F254A0" w:rsidRDefault="003A1319" w:rsidP="00F254A0">
      <w:pPr>
        <w:spacing w:after="120" w:line="276" w:lineRule="auto"/>
        <w:jc w:val="both"/>
        <w:rPr>
          <w:rFonts w:asciiTheme="minorHAnsi" w:hAnsiTheme="minorHAnsi"/>
          <w:sz w:val="24"/>
          <w:szCs w:val="24"/>
        </w:rPr>
      </w:pPr>
      <w:r w:rsidRPr="00F254A0">
        <w:rPr>
          <w:rFonts w:asciiTheme="minorHAnsi" w:hAnsiTheme="minorHAnsi"/>
          <w:sz w:val="24"/>
          <w:szCs w:val="24"/>
        </w:rPr>
        <w:t>W przypadku wykrycia obecności innych inwazyjnych gatunków roślin na obszarze, na którym prowadzone są działania mające na celu zwalczanie określonego gatunku inwazyjnego, konieczne jest rozszerzenie zakresu tych działań również na nowo wykryte gatunki. Jeśli metody stosowane do kontroli głównych gatunków docelowych są również skuteczne w stosunku do innych inwazyjnych gatunków roślin, należy je stosować. Z drugiej strony, jeśli wymagane są dodatkowe, bardziej szczegółowe metody zwalczania, należy je uwzględnić już na etapie planowania działań, a następnie podczas ich wdrażania oraz późniejszego monitorowania i nadzoru przyrodniczego. W przypadku odnotowania gatunków spoza wymienionych w niniejszym załączniku, lista gatunków, jak również metody kontroli/eliminacji i zarządzania biomasą zostaną zaktualizowane tak szybko, jak to możliwe.</w:t>
      </w:r>
    </w:p>
    <w:p w14:paraId="75CAC203" w14:textId="77777777" w:rsidR="003A1319" w:rsidRPr="00F254A0" w:rsidRDefault="003A1319" w:rsidP="00F254A0">
      <w:pPr>
        <w:spacing w:after="120" w:line="276" w:lineRule="auto"/>
        <w:jc w:val="both"/>
        <w:rPr>
          <w:rFonts w:asciiTheme="minorHAnsi" w:hAnsiTheme="minorHAnsi"/>
          <w:sz w:val="24"/>
          <w:szCs w:val="24"/>
        </w:rPr>
      </w:pPr>
      <w:r w:rsidRPr="00F254A0">
        <w:rPr>
          <w:rFonts w:asciiTheme="minorHAnsi" w:hAnsiTheme="minorHAnsi"/>
          <w:sz w:val="24"/>
          <w:szCs w:val="24"/>
        </w:rPr>
        <w:t>Nadzór przyrodniczy, którego celem jest kontrola prawidłowości działań prowadzonych przez wykonawcę, w odniesieniu do specyfiki stosowanej metody, może być powierzony specjaliście lub może być prowadzony we własnym zakresie przez podmiot podejmujący działania naprawcze. W razie potrzeby osoba/osoby prowadzące nadzór przyrodniczy wskazują na konieczność korekty sposobu prowadzenia działań, np. w zakresie terminu ich wykonania, wykorzystywanego sprzętu, z uwzględnieniem obecności osobników gatunków chronionych czy postępowania z biomasą.</w:t>
      </w:r>
    </w:p>
    <w:p w14:paraId="7E81E7D2" w14:textId="77777777" w:rsidR="003A1319" w:rsidRPr="00F254A0" w:rsidRDefault="003A1319" w:rsidP="00F254A0">
      <w:pPr>
        <w:spacing w:after="120" w:line="276" w:lineRule="auto"/>
        <w:jc w:val="both"/>
        <w:rPr>
          <w:rFonts w:asciiTheme="minorHAnsi" w:hAnsiTheme="minorHAnsi"/>
          <w:sz w:val="24"/>
          <w:szCs w:val="24"/>
        </w:rPr>
      </w:pPr>
      <w:r w:rsidRPr="00F254A0">
        <w:rPr>
          <w:rFonts w:asciiTheme="minorHAnsi" w:hAnsiTheme="minorHAnsi"/>
          <w:sz w:val="24"/>
          <w:szCs w:val="24"/>
        </w:rPr>
        <w:lastRenderedPageBreak/>
        <w:t>Ocena wpływu działań zaradczych na lokalną roślinność (stopień jej regeneracji), czyli wpływ na tzw. gatunki „non – target”, dokonywana jest na:</w:t>
      </w:r>
    </w:p>
    <w:p w14:paraId="58A75182" w14:textId="77777777" w:rsidR="003A1319" w:rsidRPr="00F254A0" w:rsidRDefault="003A1319" w:rsidP="00F254A0">
      <w:pPr>
        <w:numPr>
          <w:ilvl w:val="0"/>
          <w:numId w:val="24"/>
        </w:numPr>
        <w:spacing w:after="120" w:line="276" w:lineRule="auto"/>
        <w:jc w:val="both"/>
        <w:rPr>
          <w:rFonts w:asciiTheme="minorHAnsi" w:hAnsiTheme="minorHAnsi"/>
          <w:sz w:val="24"/>
          <w:szCs w:val="24"/>
        </w:rPr>
      </w:pPr>
      <w:r w:rsidRPr="00F254A0">
        <w:rPr>
          <w:rFonts w:asciiTheme="minorHAnsi" w:hAnsiTheme="minorHAnsi"/>
          <w:sz w:val="24"/>
          <w:szCs w:val="24"/>
        </w:rPr>
        <w:t>Cały obszar - jeśli roślinność obszaru jest jednolita,</w:t>
      </w:r>
    </w:p>
    <w:p w14:paraId="25EEC98F" w14:textId="77777777" w:rsidR="003A1319" w:rsidRPr="00F254A0" w:rsidRDefault="003A1319" w:rsidP="00F254A0">
      <w:pPr>
        <w:numPr>
          <w:ilvl w:val="0"/>
          <w:numId w:val="24"/>
        </w:numPr>
        <w:spacing w:after="120" w:line="276" w:lineRule="auto"/>
        <w:jc w:val="both"/>
        <w:rPr>
          <w:rFonts w:asciiTheme="minorHAnsi" w:hAnsiTheme="minorHAnsi"/>
          <w:sz w:val="24"/>
          <w:szCs w:val="24"/>
        </w:rPr>
      </w:pPr>
      <w:r w:rsidRPr="00F254A0">
        <w:rPr>
          <w:rFonts w:asciiTheme="minorHAnsi" w:hAnsiTheme="minorHAnsi"/>
          <w:sz w:val="24"/>
          <w:szCs w:val="24"/>
        </w:rPr>
        <w:t>przy podziale na wydzielone płaty o jednolitej roślinności lub o takim samym mozaikowym charakterze, wydzielone płaty nie powinny być mniejsze niż 500 m</w:t>
      </w:r>
      <w:r w:rsidRPr="00F254A0">
        <w:rPr>
          <w:rFonts w:asciiTheme="minorHAnsi" w:hAnsiTheme="minorHAnsi"/>
          <w:sz w:val="24"/>
          <w:szCs w:val="24"/>
          <w:vertAlign w:val="superscript"/>
        </w:rPr>
        <w:t>2</w:t>
      </w:r>
      <w:r w:rsidRPr="00F254A0">
        <w:rPr>
          <w:rFonts w:asciiTheme="minorHAnsi" w:hAnsiTheme="minorHAnsi"/>
          <w:sz w:val="24"/>
          <w:szCs w:val="24"/>
        </w:rPr>
        <w:t>.</w:t>
      </w:r>
    </w:p>
    <w:p w14:paraId="54B74AEA" w14:textId="6872B16B" w:rsidR="003A1319" w:rsidRPr="00F254A0" w:rsidRDefault="003A1319" w:rsidP="00F254A0">
      <w:pPr>
        <w:spacing w:after="120" w:line="276" w:lineRule="auto"/>
        <w:jc w:val="both"/>
        <w:rPr>
          <w:rFonts w:asciiTheme="minorHAnsi" w:hAnsiTheme="minorHAnsi"/>
          <w:sz w:val="24"/>
          <w:szCs w:val="24"/>
        </w:rPr>
      </w:pPr>
      <w:r w:rsidRPr="00F254A0">
        <w:rPr>
          <w:rFonts w:asciiTheme="minorHAnsi" w:hAnsiTheme="minorHAnsi"/>
          <w:sz w:val="24"/>
          <w:szCs w:val="24"/>
        </w:rPr>
        <w:t>Na podstawie stwierdzonych zmian w procentowym pokryciu obszaru lub jego wydzielonych części przez gatunki „non – target”, (krzewy, zielne rośliny naczyniowe i mszaki) dokonano waloryzacji wpływu przeprowadzonych działań naprawczych na gatunki „non – target”.</w:t>
      </w:r>
    </w:p>
    <w:p w14:paraId="4BC9E63A" w14:textId="124E9363" w:rsidR="003A1319" w:rsidRPr="00F254A0" w:rsidRDefault="003A1319" w:rsidP="00F254A0">
      <w:pPr>
        <w:pStyle w:val="Legenda"/>
        <w:keepNext/>
        <w:jc w:val="both"/>
        <w:rPr>
          <w:rFonts w:asciiTheme="minorHAnsi" w:hAnsiTheme="minorHAnsi"/>
          <w:b w:val="0"/>
          <w:bCs/>
          <w:color w:val="000000" w:themeColor="text1"/>
          <w:sz w:val="24"/>
          <w:szCs w:val="24"/>
        </w:rPr>
      </w:pPr>
      <w:bookmarkStart w:id="41" w:name="_Toc239940753"/>
      <w:r w:rsidRPr="00F254A0">
        <w:rPr>
          <w:rFonts w:asciiTheme="minorHAnsi" w:hAnsiTheme="minorHAnsi"/>
          <w:b w:val="0"/>
          <w:bCs/>
          <w:color w:val="000000" w:themeColor="text1"/>
          <w:sz w:val="24"/>
          <w:szCs w:val="24"/>
        </w:rPr>
        <w:t xml:space="preserve">Tabela </w:t>
      </w:r>
      <w:r w:rsidRPr="00F254A0">
        <w:rPr>
          <w:rFonts w:asciiTheme="minorHAnsi" w:hAnsiTheme="minorHAnsi"/>
          <w:b w:val="0"/>
          <w:bCs/>
          <w:color w:val="000000" w:themeColor="text1"/>
          <w:sz w:val="24"/>
          <w:szCs w:val="24"/>
        </w:rPr>
        <w:fldChar w:fldCharType="begin"/>
      </w:r>
      <w:r w:rsidRPr="00F254A0">
        <w:rPr>
          <w:rFonts w:asciiTheme="minorHAnsi" w:hAnsiTheme="minorHAnsi"/>
          <w:b w:val="0"/>
          <w:bCs/>
          <w:color w:val="000000" w:themeColor="text1"/>
          <w:sz w:val="24"/>
          <w:szCs w:val="24"/>
        </w:rPr>
        <w:instrText>SEQ Tabela \* ARABIC</w:instrText>
      </w:r>
      <w:r w:rsidRPr="00F254A0">
        <w:rPr>
          <w:rFonts w:asciiTheme="minorHAnsi" w:hAnsiTheme="minorHAnsi"/>
          <w:b w:val="0"/>
          <w:bCs/>
          <w:color w:val="000000" w:themeColor="text1"/>
          <w:sz w:val="24"/>
          <w:szCs w:val="24"/>
        </w:rPr>
        <w:fldChar w:fldCharType="separate"/>
      </w:r>
      <w:r w:rsidRPr="00F254A0">
        <w:rPr>
          <w:rFonts w:asciiTheme="minorHAnsi" w:hAnsiTheme="minorHAnsi"/>
          <w:b w:val="0"/>
          <w:bCs/>
          <w:noProof/>
          <w:color w:val="000000" w:themeColor="text1"/>
          <w:sz w:val="24"/>
          <w:szCs w:val="24"/>
        </w:rPr>
        <w:t>7</w:t>
      </w:r>
      <w:r w:rsidRPr="00F254A0">
        <w:rPr>
          <w:rFonts w:asciiTheme="minorHAnsi" w:hAnsiTheme="minorHAnsi"/>
          <w:b w:val="0"/>
          <w:bCs/>
          <w:color w:val="000000" w:themeColor="text1"/>
          <w:sz w:val="24"/>
          <w:szCs w:val="24"/>
        </w:rPr>
        <w:fldChar w:fldCharType="end"/>
      </w:r>
      <w:r w:rsidRPr="00F254A0">
        <w:rPr>
          <w:rFonts w:asciiTheme="minorHAnsi" w:hAnsiTheme="minorHAnsi"/>
          <w:b w:val="0"/>
          <w:bCs/>
          <w:color w:val="000000" w:themeColor="text1"/>
          <w:sz w:val="24"/>
          <w:szCs w:val="24"/>
        </w:rPr>
        <w:t xml:space="preserve"> Waloryzacja skuteczności działań zaradczych na gatunkach </w:t>
      </w:r>
      <w:proofErr w:type="spellStart"/>
      <w:r w:rsidRPr="00F254A0">
        <w:rPr>
          <w:rFonts w:asciiTheme="minorHAnsi" w:hAnsiTheme="minorHAnsi"/>
          <w:b w:val="0"/>
          <w:bCs/>
          <w:color w:val="000000" w:themeColor="text1"/>
          <w:sz w:val="24"/>
          <w:szCs w:val="24"/>
        </w:rPr>
        <w:t>niedocelowych</w:t>
      </w:r>
      <w:proofErr w:type="spellEnd"/>
      <w:r w:rsidRPr="00F254A0">
        <w:rPr>
          <w:rFonts w:asciiTheme="minorHAnsi" w:hAnsiTheme="minorHAnsi"/>
          <w:b w:val="0"/>
          <w:bCs/>
          <w:color w:val="000000" w:themeColor="text1"/>
          <w:sz w:val="24"/>
          <w:szCs w:val="24"/>
        </w:rPr>
        <w:t xml:space="preserve"> i działania następcze w związku z przyznaną oceną (ocena ta powinna mieć miejsce pod koniec sezonu wegetacyjnego po podjęciu wszystkich środków zaradczych)</w:t>
      </w:r>
      <w:bookmarkEnd w:id="41"/>
    </w:p>
    <w:tbl>
      <w:tblPr>
        <w:tblW w:w="0" w:type="auto"/>
        <w:tblLook w:val="04A0" w:firstRow="1" w:lastRow="0" w:firstColumn="1" w:lastColumn="0" w:noHBand="0" w:noVBand="1"/>
      </w:tblPr>
      <w:tblGrid>
        <w:gridCol w:w="1273"/>
        <w:gridCol w:w="2939"/>
        <w:gridCol w:w="4850"/>
      </w:tblGrid>
      <w:tr w:rsidR="003A1319" w:rsidRPr="00AF3516" w14:paraId="6483A375" w14:textId="77777777" w:rsidTr="00AF3516">
        <w:trPr>
          <w:tblHeader/>
        </w:trPr>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E37C59F" w14:textId="77777777" w:rsidR="003A1319" w:rsidRPr="00AF3516" w:rsidRDefault="003A1319" w:rsidP="00AF3516">
            <w:pPr>
              <w:jc w:val="center"/>
              <w:rPr>
                <w:rFonts w:ascii="Aptos" w:hAnsi="Aptos" w:cs="Calibri"/>
                <w:b/>
                <w:bCs/>
                <w:sz w:val="18"/>
                <w:szCs w:val="18"/>
              </w:rPr>
            </w:pPr>
            <w:r w:rsidRPr="00AF3516">
              <w:rPr>
                <w:rFonts w:ascii="Aptos" w:hAnsi="Aptos" w:cs="Calibri"/>
                <w:b/>
                <w:bCs/>
                <w:sz w:val="18"/>
                <w:szCs w:val="18"/>
              </w:rPr>
              <w:t>Ocena</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CA53ED4" w14:textId="77777777" w:rsidR="003A1319" w:rsidRPr="00AF3516" w:rsidRDefault="003A1319" w:rsidP="00AF3516">
            <w:pPr>
              <w:jc w:val="center"/>
              <w:rPr>
                <w:rFonts w:ascii="Aptos" w:hAnsi="Aptos" w:cs="Calibri"/>
                <w:b/>
                <w:bCs/>
                <w:sz w:val="18"/>
                <w:szCs w:val="18"/>
              </w:rPr>
            </w:pPr>
            <w:r w:rsidRPr="00AF3516">
              <w:rPr>
                <w:rFonts w:ascii="Aptos" w:hAnsi="Aptos" w:cs="Calibri"/>
                <w:b/>
                <w:bCs/>
                <w:sz w:val="18"/>
                <w:szCs w:val="18"/>
              </w:rPr>
              <w:t>Po przypisaniu</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5A680B3A" w14:textId="77777777" w:rsidR="003A1319" w:rsidRPr="00AF3516" w:rsidRDefault="003A1319" w:rsidP="00AF3516">
            <w:pPr>
              <w:jc w:val="center"/>
              <w:rPr>
                <w:rFonts w:ascii="Aptos" w:hAnsi="Aptos" w:cs="Calibri"/>
                <w:b/>
                <w:bCs/>
                <w:sz w:val="18"/>
                <w:szCs w:val="18"/>
              </w:rPr>
            </w:pPr>
            <w:r w:rsidRPr="00AF3516">
              <w:rPr>
                <w:rFonts w:ascii="Aptos" w:hAnsi="Aptos" w:cs="Calibri"/>
                <w:b/>
                <w:bCs/>
                <w:sz w:val="18"/>
                <w:szCs w:val="18"/>
              </w:rPr>
              <w:t>Kontynuacja</w:t>
            </w:r>
          </w:p>
        </w:tc>
      </w:tr>
      <w:tr w:rsidR="003A1319" w:rsidRPr="00AF3516" w14:paraId="7A1385BF"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00B050"/>
            <w:vAlign w:val="center"/>
            <w:hideMark/>
          </w:tcPr>
          <w:p w14:paraId="2922B538" w14:textId="77777777" w:rsidR="003A1319" w:rsidRPr="00AF3516" w:rsidRDefault="003A1319" w:rsidP="003A1319">
            <w:pPr>
              <w:rPr>
                <w:rFonts w:ascii="Aptos" w:hAnsi="Aptos" w:cs="Calibri"/>
                <w:sz w:val="18"/>
                <w:szCs w:val="18"/>
              </w:rPr>
            </w:pPr>
            <w:r w:rsidRPr="00AF3516">
              <w:rPr>
                <w:rFonts w:ascii="Aptos" w:hAnsi="Aptos" w:cs="Calibri"/>
                <w:sz w:val="18"/>
                <w:szCs w:val="18"/>
              </w:rPr>
              <w:t>+3 bardzo duży pozytywny wpływ</w:t>
            </w:r>
          </w:p>
        </w:tc>
        <w:tc>
          <w:tcPr>
            <w:tcW w:w="0" w:type="auto"/>
            <w:tcBorders>
              <w:top w:val="single" w:sz="4" w:space="0" w:color="auto"/>
              <w:left w:val="single" w:sz="4" w:space="0" w:color="auto"/>
              <w:bottom w:val="single" w:sz="4" w:space="0" w:color="auto"/>
              <w:right w:val="single" w:sz="4" w:space="0" w:color="auto"/>
            </w:tcBorders>
            <w:vAlign w:val="center"/>
            <w:hideMark/>
          </w:tcPr>
          <w:p w14:paraId="338EE688" w14:textId="77777777" w:rsidR="003A1319" w:rsidRPr="00AF3516" w:rsidRDefault="003A1319" w:rsidP="003A1319">
            <w:pPr>
              <w:rPr>
                <w:rFonts w:ascii="Aptos" w:hAnsi="Aptos" w:cs="Calibri"/>
                <w:sz w:val="18"/>
                <w:szCs w:val="18"/>
              </w:rPr>
            </w:pPr>
            <w:r w:rsidRPr="00AF3516">
              <w:rPr>
                <w:rFonts w:ascii="Aptos" w:hAnsi="Aptos" w:cs="Calibri"/>
                <w:sz w:val="18"/>
                <w:szCs w:val="18"/>
              </w:rPr>
              <w:t>Zmiana pokrywy roślinnej gatunków „non – target” w obszarze przeciwdziałania lub w jego wydzielonych częściach powyżej +50%.</w:t>
            </w:r>
          </w:p>
        </w:tc>
        <w:tc>
          <w:tcPr>
            <w:tcW w:w="0" w:type="auto"/>
            <w:tcBorders>
              <w:top w:val="single" w:sz="4" w:space="0" w:color="auto"/>
              <w:left w:val="single" w:sz="4" w:space="0" w:color="auto"/>
              <w:bottom w:val="single" w:sz="4" w:space="0" w:color="auto"/>
              <w:right w:val="single" w:sz="4" w:space="0" w:color="auto"/>
            </w:tcBorders>
            <w:vAlign w:val="center"/>
            <w:hideMark/>
          </w:tcPr>
          <w:p w14:paraId="0C2ECA4C" w14:textId="77777777" w:rsidR="003A1319" w:rsidRPr="00AF3516" w:rsidRDefault="003A1319" w:rsidP="003A1319">
            <w:pPr>
              <w:rPr>
                <w:rFonts w:ascii="Aptos" w:hAnsi="Aptos" w:cs="Calibri"/>
                <w:sz w:val="18"/>
                <w:szCs w:val="18"/>
              </w:rPr>
            </w:pPr>
            <w:r w:rsidRPr="00AF3516">
              <w:rPr>
                <w:rFonts w:ascii="Aptos" w:hAnsi="Aptos" w:cs="Calibri"/>
                <w:sz w:val="18"/>
                <w:szCs w:val="18"/>
              </w:rPr>
              <w:t>Kontynuacja środków zaradczych</w:t>
            </w:r>
          </w:p>
        </w:tc>
      </w:tr>
      <w:tr w:rsidR="003A1319" w:rsidRPr="00AF3516" w14:paraId="2C269AE9"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92D050"/>
            <w:vAlign w:val="center"/>
            <w:hideMark/>
          </w:tcPr>
          <w:p w14:paraId="59FEDCCF" w14:textId="77777777" w:rsidR="003A1319" w:rsidRPr="00AF3516" w:rsidRDefault="003A1319" w:rsidP="003A1319">
            <w:pPr>
              <w:rPr>
                <w:rFonts w:ascii="Aptos" w:hAnsi="Aptos" w:cs="Calibri"/>
                <w:sz w:val="18"/>
                <w:szCs w:val="18"/>
              </w:rPr>
            </w:pPr>
            <w:r w:rsidRPr="00AF3516">
              <w:rPr>
                <w:rFonts w:ascii="Aptos" w:hAnsi="Aptos" w:cs="Calibri"/>
                <w:sz w:val="18"/>
                <w:szCs w:val="18"/>
              </w:rPr>
              <w:t>+2 wysoki pozytywny wpływ</w:t>
            </w:r>
          </w:p>
        </w:tc>
        <w:tc>
          <w:tcPr>
            <w:tcW w:w="0" w:type="auto"/>
            <w:tcBorders>
              <w:top w:val="single" w:sz="4" w:space="0" w:color="auto"/>
              <w:left w:val="single" w:sz="4" w:space="0" w:color="auto"/>
              <w:bottom w:val="single" w:sz="4" w:space="0" w:color="auto"/>
              <w:right w:val="single" w:sz="4" w:space="0" w:color="auto"/>
            </w:tcBorders>
            <w:vAlign w:val="center"/>
            <w:hideMark/>
          </w:tcPr>
          <w:p w14:paraId="2169C4BF" w14:textId="77777777" w:rsidR="003A1319" w:rsidRPr="00AF3516" w:rsidRDefault="003A1319" w:rsidP="003A1319">
            <w:pPr>
              <w:rPr>
                <w:rFonts w:ascii="Aptos" w:hAnsi="Aptos" w:cs="Calibri"/>
                <w:sz w:val="18"/>
                <w:szCs w:val="18"/>
              </w:rPr>
            </w:pPr>
            <w:r w:rsidRPr="00AF3516">
              <w:rPr>
                <w:rFonts w:ascii="Aptos" w:hAnsi="Aptos" w:cs="Calibri"/>
                <w:sz w:val="18"/>
                <w:szCs w:val="18"/>
              </w:rPr>
              <w:t>Zmiana pokrywy roślinnej gatunków „non – target” na obszarze objętym przeciwdziałaniem lub w jego wydzielonych częściach z +26 do +50%.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AD9B2A" w14:textId="77777777" w:rsidR="003A1319" w:rsidRPr="00AF3516" w:rsidRDefault="003A1319" w:rsidP="003A1319">
            <w:pPr>
              <w:rPr>
                <w:rFonts w:ascii="Aptos" w:hAnsi="Aptos" w:cs="Calibri"/>
                <w:sz w:val="18"/>
                <w:szCs w:val="18"/>
              </w:rPr>
            </w:pPr>
            <w:r w:rsidRPr="00AF3516">
              <w:rPr>
                <w:rFonts w:ascii="Aptos" w:hAnsi="Aptos" w:cs="Calibri"/>
                <w:sz w:val="18"/>
                <w:szCs w:val="18"/>
              </w:rPr>
              <w:t>Kontynuacja środków zaradczych</w:t>
            </w:r>
          </w:p>
        </w:tc>
      </w:tr>
      <w:tr w:rsidR="003A1319" w:rsidRPr="00AF3516" w14:paraId="78CF3F73"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84E290" w:themeFill="accent3" w:themeFillTint="66"/>
            <w:vAlign w:val="center"/>
            <w:hideMark/>
          </w:tcPr>
          <w:p w14:paraId="6011B1D6" w14:textId="77777777" w:rsidR="003A1319" w:rsidRPr="00AF3516" w:rsidRDefault="003A1319" w:rsidP="003A1319">
            <w:pPr>
              <w:rPr>
                <w:rFonts w:ascii="Aptos" w:hAnsi="Aptos" w:cs="Calibri"/>
                <w:sz w:val="18"/>
                <w:szCs w:val="18"/>
              </w:rPr>
            </w:pPr>
            <w:r w:rsidRPr="00AF3516">
              <w:rPr>
                <w:rFonts w:ascii="Aptos" w:hAnsi="Aptos" w:cs="Calibri"/>
                <w:sz w:val="18"/>
                <w:szCs w:val="18"/>
              </w:rPr>
              <w:t>+1 niewielki pozytywny wpływ</w:t>
            </w:r>
          </w:p>
        </w:tc>
        <w:tc>
          <w:tcPr>
            <w:tcW w:w="0" w:type="auto"/>
            <w:tcBorders>
              <w:top w:val="single" w:sz="4" w:space="0" w:color="auto"/>
              <w:left w:val="single" w:sz="4" w:space="0" w:color="auto"/>
              <w:bottom w:val="single" w:sz="4" w:space="0" w:color="auto"/>
              <w:right w:val="single" w:sz="4" w:space="0" w:color="auto"/>
            </w:tcBorders>
            <w:vAlign w:val="center"/>
            <w:hideMark/>
          </w:tcPr>
          <w:p w14:paraId="21E04CBD" w14:textId="77777777" w:rsidR="003A1319" w:rsidRPr="00AF3516" w:rsidRDefault="003A1319" w:rsidP="003A1319">
            <w:pPr>
              <w:rPr>
                <w:rFonts w:ascii="Aptos" w:hAnsi="Aptos" w:cs="Calibri"/>
                <w:sz w:val="18"/>
                <w:szCs w:val="18"/>
              </w:rPr>
            </w:pPr>
            <w:r w:rsidRPr="00AF3516">
              <w:rPr>
                <w:rFonts w:ascii="Aptos" w:hAnsi="Aptos" w:cs="Calibri"/>
                <w:sz w:val="18"/>
                <w:szCs w:val="18"/>
              </w:rPr>
              <w:t>Zmiana pokrywy roślinnej gatunków „non – target” na obszarze przeciwdziałania lub w jego wydzielonych częściach od +6 do +25%.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4ECBB03" w14:textId="77777777" w:rsidR="003A1319" w:rsidRPr="00AF3516" w:rsidRDefault="003A1319" w:rsidP="003A1319">
            <w:pPr>
              <w:rPr>
                <w:rFonts w:ascii="Aptos" w:hAnsi="Aptos" w:cs="Calibri"/>
                <w:sz w:val="18"/>
                <w:szCs w:val="18"/>
              </w:rPr>
            </w:pPr>
            <w:r w:rsidRPr="00AF3516">
              <w:rPr>
                <w:rFonts w:ascii="Aptos" w:hAnsi="Aptos" w:cs="Calibri"/>
                <w:sz w:val="18"/>
                <w:szCs w:val="18"/>
              </w:rPr>
              <w:t>Kontynuacja środków zaradczych</w:t>
            </w:r>
          </w:p>
        </w:tc>
      </w:tr>
      <w:tr w:rsidR="003A1319" w:rsidRPr="00AF3516" w14:paraId="0D2EF23D"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41C2050E" w14:textId="77777777" w:rsidR="003A1319" w:rsidRPr="00AF3516" w:rsidRDefault="003A1319" w:rsidP="003A1319">
            <w:pPr>
              <w:rPr>
                <w:rFonts w:ascii="Aptos" w:hAnsi="Aptos" w:cs="Calibri"/>
                <w:sz w:val="18"/>
                <w:szCs w:val="18"/>
              </w:rPr>
            </w:pPr>
            <w:r w:rsidRPr="00AF3516">
              <w:rPr>
                <w:rFonts w:ascii="Aptos" w:hAnsi="Aptos" w:cs="Calibri"/>
                <w:sz w:val="18"/>
                <w:szCs w:val="18"/>
              </w:rPr>
              <w:t>0 brak wpływu</w:t>
            </w:r>
          </w:p>
        </w:tc>
        <w:tc>
          <w:tcPr>
            <w:tcW w:w="0" w:type="auto"/>
            <w:tcBorders>
              <w:top w:val="single" w:sz="4" w:space="0" w:color="auto"/>
              <w:left w:val="single" w:sz="4" w:space="0" w:color="auto"/>
              <w:bottom w:val="single" w:sz="4" w:space="0" w:color="auto"/>
              <w:right w:val="single" w:sz="4" w:space="0" w:color="auto"/>
            </w:tcBorders>
            <w:vAlign w:val="center"/>
            <w:hideMark/>
          </w:tcPr>
          <w:p w14:paraId="4B48C1AD" w14:textId="77777777" w:rsidR="003A1319" w:rsidRPr="00AF3516" w:rsidRDefault="003A1319" w:rsidP="003A1319">
            <w:pPr>
              <w:rPr>
                <w:rFonts w:ascii="Aptos" w:hAnsi="Aptos" w:cs="Calibri"/>
                <w:sz w:val="18"/>
                <w:szCs w:val="18"/>
              </w:rPr>
            </w:pPr>
            <w:r w:rsidRPr="00AF3516">
              <w:rPr>
                <w:rFonts w:ascii="Aptos" w:hAnsi="Aptos" w:cs="Calibri"/>
                <w:sz w:val="18"/>
                <w:szCs w:val="18"/>
              </w:rPr>
              <w:t xml:space="preserve">Zmiana pokrywy roślinnej gatunków „non – target” na obszarze przeciwdziałania lub w jego wydzielonych częściach od +5 do </w:t>
            </w:r>
            <w:r w:rsidRPr="00AF3516">
              <w:rPr>
                <w:rFonts w:ascii="Aptos" w:hAnsi="Aptos" w:cs="Calibri"/>
                <w:sz w:val="18"/>
                <w:szCs w:val="18"/>
              </w:rPr>
              <w:b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3AF0A6" w14:textId="77777777" w:rsidR="003A1319" w:rsidRPr="00AF3516" w:rsidRDefault="003A1319" w:rsidP="003A1319">
            <w:pPr>
              <w:rPr>
                <w:rFonts w:ascii="Aptos" w:hAnsi="Aptos" w:cs="Calibri"/>
                <w:sz w:val="18"/>
                <w:szCs w:val="18"/>
              </w:rPr>
            </w:pPr>
            <w:r w:rsidRPr="00AF3516">
              <w:rPr>
                <w:rFonts w:ascii="Aptos" w:hAnsi="Aptos" w:cs="Calibri"/>
                <w:sz w:val="18"/>
                <w:szCs w:val="18"/>
              </w:rPr>
              <w:t>Kontynuacja środków zaradczych</w:t>
            </w:r>
          </w:p>
        </w:tc>
      </w:tr>
      <w:tr w:rsidR="003A1319" w:rsidRPr="00AF3516" w14:paraId="1B081F28"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C000"/>
            <w:vAlign w:val="center"/>
            <w:hideMark/>
          </w:tcPr>
          <w:p w14:paraId="5D0FD125" w14:textId="77777777" w:rsidR="003A1319" w:rsidRPr="00AF3516" w:rsidRDefault="003A1319" w:rsidP="003A1319">
            <w:pPr>
              <w:rPr>
                <w:rFonts w:ascii="Aptos" w:hAnsi="Aptos" w:cs="Calibri"/>
                <w:sz w:val="18"/>
                <w:szCs w:val="18"/>
              </w:rPr>
            </w:pPr>
            <w:r w:rsidRPr="00AF3516">
              <w:rPr>
                <w:rFonts w:ascii="Aptos" w:hAnsi="Aptos" w:cs="Calibri"/>
                <w:sz w:val="18"/>
                <w:szCs w:val="18"/>
              </w:rPr>
              <w:t>-1 niski negatywny wpływ</w:t>
            </w:r>
          </w:p>
        </w:tc>
        <w:tc>
          <w:tcPr>
            <w:tcW w:w="0" w:type="auto"/>
            <w:tcBorders>
              <w:top w:val="single" w:sz="4" w:space="0" w:color="auto"/>
              <w:left w:val="single" w:sz="4" w:space="0" w:color="auto"/>
              <w:bottom w:val="single" w:sz="4" w:space="0" w:color="auto"/>
              <w:right w:val="single" w:sz="4" w:space="0" w:color="auto"/>
            </w:tcBorders>
            <w:vAlign w:val="center"/>
            <w:hideMark/>
          </w:tcPr>
          <w:p w14:paraId="42D7611E" w14:textId="77777777" w:rsidR="003A1319" w:rsidRPr="00AF3516" w:rsidRDefault="003A1319" w:rsidP="003A1319">
            <w:pPr>
              <w:rPr>
                <w:rFonts w:ascii="Aptos" w:hAnsi="Aptos" w:cs="Calibri"/>
                <w:sz w:val="18"/>
                <w:szCs w:val="18"/>
              </w:rPr>
            </w:pPr>
            <w:r w:rsidRPr="00AF3516">
              <w:rPr>
                <w:rFonts w:ascii="Aptos" w:hAnsi="Aptos" w:cs="Calibri"/>
                <w:sz w:val="18"/>
                <w:szCs w:val="18"/>
              </w:rPr>
              <w:t xml:space="preserve">Zmiana pokrywy roślinnej gatunków „non – target” na obszarze objętym przeciwdziałaniem lub w jego wydzielonych częściach z -5 do </w:t>
            </w:r>
          </w:p>
          <w:p w14:paraId="5BB58C38" w14:textId="77777777" w:rsidR="003A1319" w:rsidRPr="00AF3516" w:rsidRDefault="003A1319" w:rsidP="003A1319">
            <w:pPr>
              <w:rPr>
                <w:rFonts w:ascii="Aptos" w:hAnsi="Aptos" w:cs="Calibri"/>
                <w:sz w:val="18"/>
                <w:szCs w:val="18"/>
              </w:rPr>
            </w:pPr>
            <w:r w:rsidRPr="00AF3516">
              <w:rPr>
                <w:rFonts w:ascii="Aptos" w:hAnsi="Aptos" w:cs="Calibri"/>
                <w:sz w:val="18"/>
                <w:szCs w:val="18"/>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ED135C1" w14:textId="77777777" w:rsidR="003A1319" w:rsidRPr="00AF3516" w:rsidRDefault="003A1319" w:rsidP="003A1319">
            <w:pPr>
              <w:rPr>
                <w:rFonts w:ascii="Aptos" w:hAnsi="Aptos" w:cs="Calibri"/>
                <w:sz w:val="18"/>
                <w:szCs w:val="18"/>
              </w:rPr>
            </w:pPr>
            <w:r w:rsidRPr="00AF3516">
              <w:rPr>
                <w:rFonts w:ascii="Aptos" w:hAnsi="Aptos" w:cs="Calibri"/>
                <w:sz w:val="18"/>
                <w:szCs w:val="18"/>
              </w:rPr>
              <w:t>Kontynuacja środków zaradczych.</w:t>
            </w:r>
          </w:p>
        </w:tc>
      </w:tr>
      <w:tr w:rsidR="003A1319" w:rsidRPr="00AF3516" w14:paraId="021DE417"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0000"/>
            <w:vAlign w:val="center"/>
            <w:hideMark/>
          </w:tcPr>
          <w:p w14:paraId="21A0068B" w14:textId="77777777" w:rsidR="003A1319" w:rsidRPr="00AF3516" w:rsidRDefault="003A1319" w:rsidP="003A1319">
            <w:pPr>
              <w:rPr>
                <w:rFonts w:ascii="Aptos" w:hAnsi="Aptos" w:cs="Calibri"/>
                <w:sz w:val="18"/>
                <w:szCs w:val="18"/>
              </w:rPr>
            </w:pPr>
            <w:r w:rsidRPr="00AF3516">
              <w:rPr>
                <w:rFonts w:ascii="Aptos" w:hAnsi="Aptos" w:cs="Calibri"/>
                <w:sz w:val="18"/>
                <w:szCs w:val="18"/>
              </w:rPr>
              <w:lastRenderedPageBreak/>
              <w:t>-2 duży negatywny wpływ</w:t>
            </w:r>
          </w:p>
        </w:tc>
        <w:tc>
          <w:tcPr>
            <w:tcW w:w="0" w:type="auto"/>
            <w:tcBorders>
              <w:top w:val="single" w:sz="4" w:space="0" w:color="auto"/>
              <w:left w:val="single" w:sz="4" w:space="0" w:color="auto"/>
              <w:bottom w:val="single" w:sz="4" w:space="0" w:color="auto"/>
              <w:right w:val="single" w:sz="4" w:space="0" w:color="auto"/>
            </w:tcBorders>
            <w:vAlign w:val="center"/>
            <w:hideMark/>
          </w:tcPr>
          <w:p w14:paraId="1327C124" w14:textId="77777777" w:rsidR="003A1319" w:rsidRPr="00AF3516" w:rsidRDefault="003A1319" w:rsidP="003A1319">
            <w:pPr>
              <w:rPr>
                <w:rFonts w:ascii="Aptos" w:hAnsi="Aptos" w:cs="Calibri"/>
                <w:sz w:val="18"/>
                <w:szCs w:val="18"/>
              </w:rPr>
            </w:pPr>
            <w:r w:rsidRPr="00AF3516">
              <w:rPr>
                <w:rFonts w:ascii="Aptos" w:hAnsi="Aptos" w:cs="Calibri"/>
                <w:sz w:val="18"/>
                <w:szCs w:val="18"/>
              </w:rPr>
              <w:t xml:space="preserve">Zmiana pokrywy roślinnej gatunków „non – target” na obszarze objętym przeciwdziałaniem lub w jego wydzielonych częściach z -26 do </w:t>
            </w:r>
            <w:r w:rsidRPr="00AF3516">
              <w:rPr>
                <w:rFonts w:ascii="Aptos" w:hAnsi="Aptos" w:cs="Calibri"/>
                <w:sz w:val="18"/>
                <w:szCs w:val="18"/>
              </w:rPr>
              <w:br/>
              <w:t>-50%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292FDB" w14:textId="77777777" w:rsidR="003A1319" w:rsidRPr="00AF3516" w:rsidRDefault="003A1319" w:rsidP="003A1319">
            <w:pPr>
              <w:rPr>
                <w:rFonts w:ascii="Aptos" w:hAnsi="Aptos" w:cs="Calibri"/>
                <w:sz w:val="18"/>
                <w:szCs w:val="18"/>
              </w:rPr>
            </w:pPr>
            <w:r w:rsidRPr="00AF3516">
              <w:rPr>
                <w:rFonts w:ascii="Aptos" w:hAnsi="Aptos" w:cs="Calibri"/>
                <w:sz w:val="18"/>
                <w:szCs w:val="18"/>
              </w:rPr>
              <w:t>Rozważyć zmianę metody zwalczania w następnym roku lub zachować szczególną staranność nadzoru przyrodniczego, a jeśli nie jest to możliwe, opracować i wdrożyć (z zachowaniem szczególnej staranności nadzoru przyrodniczego) środki w celu zminimalizowania niekorzystnego wpływu na gatunki niebędące celem zwalczania.</w:t>
            </w:r>
          </w:p>
        </w:tc>
      </w:tr>
      <w:tr w:rsidR="003A1319" w:rsidRPr="00AF3516" w14:paraId="720A0D47"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4FC3FFD3" w14:textId="77777777" w:rsidR="003A1319" w:rsidRPr="00AF3516" w:rsidRDefault="003A1319" w:rsidP="003A1319">
            <w:pPr>
              <w:rPr>
                <w:rFonts w:ascii="Aptos" w:hAnsi="Aptos" w:cs="Calibri"/>
                <w:sz w:val="18"/>
                <w:szCs w:val="18"/>
              </w:rPr>
            </w:pPr>
            <w:r w:rsidRPr="00AF3516">
              <w:rPr>
                <w:rFonts w:ascii="Aptos" w:hAnsi="Aptos" w:cs="Calibri"/>
                <w:sz w:val="18"/>
                <w:szCs w:val="18"/>
              </w:rPr>
              <w:t>-3 bardzo duży negatywny wpływ</w:t>
            </w:r>
          </w:p>
        </w:tc>
        <w:tc>
          <w:tcPr>
            <w:tcW w:w="0" w:type="auto"/>
            <w:tcBorders>
              <w:top w:val="single" w:sz="4" w:space="0" w:color="auto"/>
              <w:left w:val="single" w:sz="4" w:space="0" w:color="auto"/>
              <w:bottom w:val="single" w:sz="4" w:space="0" w:color="auto"/>
              <w:right w:val="single" w:sz="4" w:space="0" w:color="auto"/>
            </w:tcBorders>
            <w:vAlign w:val="center"/>
            <w:hideMark/>
          </w:tcPr>
          <w:p w14:paraId="2D3A27B5" w14:textId="77777777" w:rsidR="003A1319" w:rsidRPr="00AF3516" w:rsidRDefault="003A1319" w:rsidP="003A1319">
            <w:pPr>
              <w:rPr>
                <w:rFonts w:ascii="Aptos" w:hAnsi="Aptos" w:cs="Calibri"/>
                <w:sz w:val="18"/>
                <w:szCs w:val="18"/>
              </w:rPr>
            </w:pPr>
            <w:r w:rsidRPr="00AF3516">
              <w:rPr>
                <w:rFonts w:ascii="Aptos" w:hAnsi="Aptos" w:cs="Calibri"/>
                <w:sz w:val="18"/>
                <w:szCs w:val="18"/>
              </w:rPr>
              <w:t>Zmiana pokrywy roślinnej gatunków „non – target” w obszarze przeciwdziałania lub w jego wydzielonych częściach powyżej -50%.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12245F" w14:textId="77777777" w:rsidR="003A1319" w:rsidRPr="00AF3516" w:rsidRDefault="003A1319" w:rsidP="003A1319">
            <w:pPr>
              <w:rPr>
                <w:rFonts w:ascii="Aptos" w:hAnsi="Aptos" w:cs="Calibri"/>
                <w:sz w:val="18"/>
                <w:szCs w:val="18"/>
              </w:rPr>
            </w:pPr>
            <w:r w:rsidRPr="00AF3516">
              <w:rPr>
                <w:rFonts w:ascii="Aptos" w:hAnsi="Aptos" w:cs="Calibri"/>
                <w:sz w:val="18"/>
                <w:szCs w:val="18"/>
              </w:rPr>
              <w:t>W kolejnym roku należy ponownie przeanalizować wybór metod/wariantów metod kontroli i wybrać inne, które mają mniejszy wpływ na gatunki „non – target”.</w:t>
            </w:r>
          </w:p>
        </w:tc>
      </w:tr>
    </w:tbl>
    <w:p w14:paraId="7F93BC04" w14:textId="77777777" w:rsidR="003A1319" w:rsidRDefault="003A1319" w:rsidP="003A1319">
      <w:pPr>
        <w:jc w:val="both"/>
      </w:pPr>
    </w:p>
    <w:p w14:paraId="4C3AF28D" w14:textId="18E3F1F5" w:rsidR="003A1319" w:rsidRPr="00AF3516" w:rsidRDefault="003A1319" w:rsidP="00AF3516">
      <w:pPr>
        <w:pStyle w:val="Legenda"/>
        <w:keepNext/>
        <w:jc w:val="both"/>
        <w:rPr>
          <w:rFonts w:asciiTheme="minorHAnsi" w:hAnsiTheme="minorHAnsi"/>
          <w:b w:val="0"/>
          <w:bCs/>
          <w:color w:val="000000" w:themeColor="text1"/>
          <w:sz w:val="24"/>
          <w:szCs w:val="24"/>
        </w:rPr>
      </w:pPr>
      <w:bookmarkStart w:id="42" w:name="_Toc239940754"/>
      <w:r w:rsidRPr="00AF3516">
        <w:rPr>
          <w:rFonts w:asciiTheme="minorHAnsi" w:hAnsiTheme="minorHAnsi"/>
          <w:b w:val="0"/>
          <w:bCs/>
          <w:color w:val="000000" w:themeColor="text1"/>
          <w:sz w:val="24"/>
          <w:szCs w:val="24"/>
        </w:rPr>
        <w:t xml:space="preserve">Tabela </w:t>
      </w:r>
      <w:r w:rsidRPr="00AF3516">
        <w:rPr>
          <w:rFonts w:asciiTheme="minorHAnsi" w:hAnsiTheme="minorHAnsi"/>
          <w:b w:val="0"/>
          <w:bCs/>
          <w:color w:val="000000" w:themeColor="text1"/>
          <w:sz w:val="24"/>
          <w:szCs w:val="24"/>
        </w:rPr>
        <w:fldChar w:fldCharType="begin"/>
      </w:r>
      <w:r w:rsidRPr="00AF3516">
        <w:rPr>
          <w:rFonts w:asciiTheme="minorHAnsi" w:hAnsiTheme="minorHAnsi"/>
          <w:b w:val="0"/>
          <w:bCs/>
          <w:color w:val="000000" w:themeColor="text1"/>
          <w:sz w:val="24"/>
          <w:szCs w:val="24"/>
        </w:rPr>
        <w:instrText>SEQ Tabela \* ARABIC</w:instrText>
      </w:r>
      <w:r w:rsidRPr="00AF3516">
        <w:rPr>
          <w:rFonts w:asciiTheme="minorHAnsi" w:hAnsiTheme="minorHAnsi"/>
          <w:b w:val="0"/>
          <w:bCs/>
          <w:color w:val="000000" w:themeColor="text1"/>
          <w:sz w:val="24"/>
          <w:szCs w:val="24"/>
        </w:rPr>
        <w:fldChar w:fldCharType="separate"/>
      </w:r>
      <w:r w:rsidRPr="00AF3516">
        <w:rPr>
          <w:rFonts w:asciiTheme="minorHAnsi" w:hAnsiTheme="minorHAnsi"/>
          <w:b w:val="0"/>
          <w:bCs/>
          <w:noProof/>
          <w:color w:val="000000" w:themeColor="text1"/>
          <w:sz w:val="24"/>
          <w:szCs w:val="24"/>
        </w:rPr>
        <w:t>8</w:t>
      </w:r>
      <w:r w:rsidRPr="00AF3516">
        <w:rPr>
          <w:rFonts w:asciiTheme="minorHAnsi" w:hAnsiTheme="minorHAnsi"/>
          <w:b w:val="0"/>
          <w:bCs/>
          <w:color w:val="000000" w:themeColor="text1"/>
          <w:sz w:val="24"/>
          <w:szCs w:val="24"/>
        </w:rPr>
        <w:fldChar w:fldCharType="end"/>
      </w:r>
      <w:r w:rsidRPr="00AF3516">
        <w:rPr>
          <w:rFonts w:asciiTheme="minorHAnsi" w:hAnsiTheme="minorHAnsi"/>
          <w:b w:val="0"/>
          <w:bCs/>
          <w:color w:val="000000" w:themeColor="text1"/>
          <w:sz w:val="24"/>
          <w:szCs w:val="24"/>
        </w:rPr>
        <w:t xml:space="preserve"> Lista pytań służących do weryfikacji środków zaradczych i wskazania potrzeby zastosowania środków minimalizujących</w:t>
      </w:r>
      <w:bookmarkEnd w:id="42"/>
    </w:p>
    <w:tbl>
      <w:tblPr>
        <w:tblW w:w="9067" w:type="dxa"/>
        <w:tblLook w:val="04A0" w:firstRow="1" w:lastRow="0" w:firstColumn="1" w:lastColumn="0" w:noHBand="0" w:noVBand="1"/>
      </w:tblPr>
      <w:tblGrid>
        <w:gridCol w:w="3537"/>
        <w:gridCol w:w="5530"/>
      </w:tblGrid>
      <w:tr w:rsidR="003A1319" w:rsidRPr="00AF3516" w14:paraId="25FDFD96" w14:textId="77777777" w:rsidTr="00AF3516">
        <w:tc>
          <w:tcPr>
            <w:tcW w:w="3537"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F16E736" w14:textId="77777777" w:rsidR="003A1319" w:rsidRPr="00AF3516" w:rsidRDefault="003A1319" w:rsidP="00AF3516">
            <w:pPr>
              <w:jc w:val="center"/>
              <w:rPr>
                <w:rFonts w:asciiTheme="minorHAnsi" w:hAnsiTheme="minorHAnsi" w:cs="Calibri"/>
                <w:b/>
                <w:bCs/>
                <w:sz w:val="18"/>
                <w:szCs w:val="18"/>
              </w:rPr>
            </w:pPr>
            <w:r w:rsidRPr="00AF3516">
              <w:rPr>
                <w:rFonts w:asciiTheme="minorHAnsi" w:hAnsiTheme="minorHAnsi" w:cs="Calibri"/>
                <w:b/>
                <w:bCs/>
                <w:sz w:val="18"/>
                <w:szCs w:val="18"/>
              </w:rPr>
              <w:t>Kod</w:t>
            </w:r>
          </w:p>
        </w:tc>
        <w:tc>
          <w:tcPr>
            <w:tcW w:w="5530"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7CB0CEE4" w14:textId="77777777" w:rsidR="003A1319" w:rsidRPr="00AF3516" w:rsidRDefault="003A1319" w:rsidP="00AF3516">
            <w:pPr>
              <w:jc w:val="center"/>
              <w:rPr>
                <w:rFonts w:asciiTheme="minorHAnsi" w:hAnsiTheme="minorHAnsi" w:cs="Calibri"/>
                <w:b/>
                <w:bCs/>
                <w:sz w:val="18"/>
                <w:szCs w:val="18"/>
              </w:rPr>
            </w:pPr>
            <w:r w:rsidRPr="00AF3516">
              <w:rPr>
                <w:rFonts w:asciiTheme="minorHAnsi" w:hAnsiTheme="minorHAnsi" w:cs="Calibri"/>
                <w:b/>
                <w:bCs/>
                <w:sz w:val="18"/>
                <w:szCs w:val="18"/>
              </w:rPr>
              <w:t>Treść</w:t>
            </w:r>
          </w:p>
        </w:tc>
      </w:tr>
      <w:tr w:rsidR="003A1319" w:rsidRPr="00AF3516" w14:paraId="51F59B15" w14:textId="77777777" w:rsidTr="00AF3516">
        <w:tc>
          <w:tcPr>
            <w:tcW w:w="3537" w:type="dxa"/>
            <w:tcBorders>
              <w:top w:val="single" w:sz="4" w:space="0" w:color="auto"/>
              <w:left w:val="single" w:sz="4" w:space="0" w:color="auto"/>
              <w:bottom w:val="single" w:sz="4" w:space="0" w:color="auto"/>
              <w:right w:val="single" w:sz="4" w:space="0" w:color="auto"/>
            </w:tcBorders>
            <w:hideMark/>
          </w:tcPr>
          <w:p w14:paraId="1BF6279B"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K1</w:t>
            </w:r>
          </w:p>
        </w:tc>
        <w:tc>
          <w:tcPr>
            <w:tcW w:w="5530" w:type="dxa"/>
            <w:tcBorders>
              <w:top w:val="single" w:sz="4" w:space="0" w:color="auto"/>
              <w:left w:val="single" w:sz="4" w:space="0" w:color="auto"/>
              <w:bottom w:val="single" w:sz="4" w:space="0" w:color="auto"/>
              <w:right w:val="single" w:sz="4" w:space="0" w:color="auto"/>
            </w:tcBorders>
            <w:hideMark/>
          </w:tcPr>
          <w:p w14:paraId="4D5A1D0E"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Czy prace będą prowadzone w okresie lęgowym ptaków, a jeśli tak, to czy zagrażają one lęgom?</w:t>
            </w:r>
          </w:p>
          <w:p w14:paraId="15198153" w14:textId="77777777" w:rsidR="003A1319" w:rsidRPr="00AF3516" w:rsidRDefault="003A1319" w:rsidP="00AF3516">
            <w:pPr>
              <w:numPr>
                <w:ilvl w:val="0"/>
                <w:numId w:val="25"/>
              </w:numPr>
              <w:spacing w:after="130" w:line="240" w:lineRule="atLeast"/>
              <w:jc w:val="both"/>
              <w:rPr>
                <w:rFonts w:asciiTheme="minorHAnsi" w:hAnsiTheme="minorHAnsi" w:cs="Calibri"/>
                <w:sz w:val="18"/>
                <w:szCs w:val="18"/>
              </w:rPr>
            </w:pPr>
            <w:r w:rsidRPr="00AF3516">
              <w:rPr>
                <w:rFonts w:asciiTheme="minorHAnsi" w:hAnsiTheme="minorHAnsi" w:cs="Calibri"/>
                <w:sz w:val="18"/>
                <w:szCs w:val="18"/>
              </w:rPr>
              <w:t>bezpośrednio w płatach występowania IGO</w:t>
            </w:r>
          </w:p>
          <w:p w14:paraId="0E82FB76" w14:textId="77777777" w:rsidR="003A1319" w:rsidRPr="00AF3516" w:rsidRDefault="003A1319" w:rsidP="00AF3516">
            <w:pPr>
              <w:numPr>
                <w:ilvl w:val="0"/>
                <w:numId w:val="26"/>
              </w:numPr>
              <w:spacing w:after="130" w:line="240" w:lineRule="atLeast"/>
              <w:jc w:val="both"/>
              <w:rPr>
                <w:rFonts w:asciiTheme="minorHAnsi" w:hAnsiTheme="minorHAnsi" w:cs="Calibri"/>
                <w:sz w:val="18"/>
                <w:szCs w:val="18"/>
                <w:lang w:val="en-US"/>
              </w:rPr>
            </w:pPr>
            <w:r w:rsidRPr="00AF3516">
              <w:rPr>
                <w:rFonts w:asciiTheme="minorHAnsi" w:hAnsiTheme="minorHAnsi" w:cs="Calibri"/>
                <w:sz w:val="18"/>
                <w:szCs w:val="18"/>
                <w:lang w:val="en-US"/>
              </w:rPr>
              <w:t xml:space="preserve">w </w:t>
            </w:r>
            <w:proofErr w:type="spellStart"/>
            <w:r w:rsidRPr="00AF3516">
              <w:rPr>
                <w:rFonts w:asciiTheme="minorHAnsi" w:hAnsiTheme="minorHAnsi" w:cs="Calibri"/>
                <w:sz w:val="18"/>
                <w:szCs w:val="18"/>
                <w:lang w:val="en-US"/>
              </w:rPr>
              <w:t>pobliżu</w:t>
            </w:r>
            <w:proofErr w:type="spellEnd"/>
            <w:r w:rsidRPr="00AF3516">
              <w:rPr>
                <w:rFonts w:asciiTheme="minorHAnsi" w:hAnsiTheme="minorHAnsi" w:cs="Calibri"/>
                <w:sz w:val="18"/>
                <w:szCs w:val="18"/>
                <w:lang w:val="en-US"/>
              </w:rPr>
              <w:t xml:space="preserve"> IGO</w:t>
            </w:r>
          </w:p>
        </w:tc>
      </w:tr>
      <w:tr w:rsidR="003A1319" w:rsidRPr="00AF3516" w14:paraId="61CE8CAD" w14:textId="77777777" w:rsidTr="00AF3516">
        <w:tc>
          <w:tcPr>
            <w:tcW w:w="3537" w:type="dxa"/>
            <w:tcBorders>
              <w:top w:val="single" w:sz="4" w:space="0" w:color="auto"/>
              <w:left w:val="single" w:sz="4" w:space="0" w:color="auto"/>
              <w:bottom w:val="single" w:sz="4" w:space="0" w:color="auto"/>
              <w:right w:val="single" w:sz="4" w:space="0" w:color="auto"/>
            </w:tcBorders>
            <w:hideMark/>
          </w:tcPr>
          <w:p w14:paraId="564B5DD4"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K2</w:t>
            </w:r>
          </w:p>
        </w:tc>
        <w:tc>
          <w:tcPr>
            <w:tcW w:w="5530" w:type="dxa"/>
            <w:tcBorders>
              <w:top w:val="single" w:sz="4" w:space="0" w:color="auto"/>
              <w:left w:val="single" w:sz="4" w:space="0" w:color="auto"/>
              <w:bottom w:val="single" w:sz="4" w:space="0" w:color="auto"/>
              <w:right w:val="single" w:sz="4" w:space="0" w:color="auto"/>
            </w:tcBorders>
            <w:hideMark/>
          </w:tcPr>
          <w:p w14:paraId="245B68C1"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Jeśli tak, to czy istnieją możliwe sposoby przeciwdziałania wylęgom?</w:t>
            </w:r>
          </w:p>
        </w:tc>
      </w:tr>
      <w:tr w:rsidR="003A1319" w:rsidRPr="00AF3516" w14:paraId="56274DEB" w14:textId="77777777" w:rsidTr="00AF3516">
        <w:tc>
          <w:tcPr>
            <w:tcW w:w="3537" w:type="dxa"/>
            <w:tcBorders>
              <w:top w:val="single" w:sz="4" w:space="0" w:color="auto"/>
              <w:left w:val="single" w:sz="4" w:space="0" w:color="auto"/>
              <w:bottom w:val="single" w:sz="4" w:space="0" w:color="auto"/>
              <w:right w:val="single" w:sz="4" w:space="0" w:color="auto"/>
            </w:tcBorders>
            <w:hideMark/>
          </w:tcPr>
          <w:p w14:paraId="4BF7BD83"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K3</w:t>
            </w:r>
          </w:p>
        </w:tc>
        <w:tc>
          <w:tcPr>
            <w:tcW w:w="5530" w:type="dxa"/>
            <w:tcBorders>
              <w:top w:val="single" w:sz="4" w:space="0" w:color="auto"/>
              <w:left w:val="single" w:sz="4" w:space="0" w:color="auto"/>
              <w:bottom w:val="single" w:sz="4" w:space="0" w:color="auto"/>
              <w:right w:val="single" w:sz="4" w:space="0" w:color="auto"/>
            </w:tcBorders>
            <w:hideMark/>
          </w:tcPr>
          <w:p w14:paraId="7A2E1D4F"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Czy środki wymienione w punkcie K2 zostały wdrożone?</w:t>
            </w:r>
          </w:p>
        </w:tc>
      </w:tr>
      <w:tr w:rsidR="003A1319" w:rsidRPr="00AF3516" w14:paraId="7DFECC56" w14:textId="77777777" w:rsidTr="00AF3516">
        <w:tc>
          <w:tcPr>
            <w:tcW w:w="3537" w:type="dxa"/>
            <w:tcBorders>
              <w:top w:val="single" w:sz="4" w:space="0" w:color="auto"/>
              <w:left w:val="single" w:sz="4" w:space="0" w:color="auto"/>
              <w:bottom w:val="single" w:sz="4" w:space="0" w:color="auto"/>
              <w:right w:val="single" w:sz="4" w:space="0" w:color="auto"/>
            </w:tcBorders>
            <w:hideMark/>
          </w:tcPr>
          <w:p w14:paraId="3CE511B4"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K4</w:t>
            </w:r>
          </w:p>
        </w:tc>
        <w:tc>
          <w:tcPr>
            <w:tcW w:w="5530" w:type="dxa"/>
            <w:tcBorders>
              <w:top w:val="single" w:sz="4" w:space="0" w:color="auto"/>
              <w:left w:val="single" w:sz="4" w:space="0" w:color="auto"/>
              <w:bottom w:val="single" w:sz="4" w:space="0" w:color="auto"/>
              <w:right w:val="single" w:sz="4" w:space="0" w:color="auto"/>
            </w:tcBorders>
            <w:hideMark/>
          </w:tcPr>
          <w:p w14:paraId="3AE4FE5B"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Czy na obszarze planowanych/prowadzonych prac stwierdzono występowanie innych zwierząt chronionych: płazów, gadów, ssaków lub owadów (stwierdzenie bezpośrednie lub pośrednie - na podstawie śladów obecności, np. nor, kryjówek, odchodów itp.)</w:t>
            </w:r>
          </w:p>
        </w:tc>
      </w:tr>
      <w:tr w:rsidR="003A1319" w:rsidRPr="00AF3516" w14:paraId="5F8C33A4" w14:textId="77777777" w:rsidTr="00AF3516">
        <w:tc>
          <w:tcPr>
            <w:tcW w:w="3537" w:type="dxa"/>
            <w:tcBorders>
              <w:top w:val="single" w:sz="4" w:space="0" w:color="auto"/>
              <w:left w:val="single" w:sz="4" w:space="0" w:color="auto"/>
              <w:bottom w:val="single" w:sz="4" w:space="0" w:color="auto"/>
              <w:right w:val="single" w:sz="4" w:space="0" w:color="auto"/>
            </w:tcBorders>
            <w:hideMark/>
          </w:tcPr>
          <w:p w14:paraId="32F1F2EF"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K5</w:t>
            </w:r>
          </w:p>
        </w:tc>
        <w:tc>
          <w:tcPr>
            <w:tcW w:w="5530" w:type="dxa"/>
            <w:tcBorders>
              <w:top w:val="single" w:sz="4" w:space="0" w:color="auto"/>
              <w:left w:val="single" w:sz="4" w:space="0" w:color="auto"/>
              <w:bottom w:val="single" w:sz="4" w:space="0" w:color="auto"/>
              <w:right w:val="single" w:sz="4" w:space="0" w:color="auto"/>
            </w:tcBorders>
            <w:hideMark/>
          </w:tcPr>
          <w:p w14:paraId="07017FB0"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Jeśli tak, to czy możliwe jest zmniejszenie wpływu pracy i w jaki sposób?</w:t>
            </w:r>
          </w:p>
        </w:tc>
      </w:tr>
      <w:tr w:rsidR="003A1319" w:rsidRPr="00AF3516" w14:paraId="15C3842C" w14:textId="77777777" w:rsidTr="00AF3516">
        <w:tc>
          <w:tcPr>
            <w:tcW w:w="3537" w:type="dxa"/>
            <w:tcBorders>
              <w:top w:val="single" w:sz="4" w:space="0" w:color="auto"/>
              <w:left w:val="single" w:sz="4" w:space="0" w:color="auto"/>
              <w:bottom w:val="single" w:sz="4" w:space="0" w:color="auto"/>
              <w:right w:val="single" w:sz="4" w:space="0" w:color="auto"/>
            </w:tcBorders>
            <w:hideMark/>
          </w:tcPr>
          <w:p w14:paraId="20A5F6F8"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K6</w:t>
            </w:r>
          </w:p>
        </w:tc>
        <w:tc>
          <w:tcPr>
            <w:tcW w:w="5530" w:type="dxa"/>
            <w:tcBorders>
              <w:top w:val="single" w:sz="4" w:space="0" w:color="auto"/>
              <w:left w:val="single" w:sz="4" w:space="0" w:color="auto"/>
              <w:bottom w:val="single" w:sz="4" w:space="0" w:color="auto"/>
              <w:right w:val="single" w:sz="4" w:space="0" w:color="auto"/>
            </w:tcBorders>
            <w:hideMark/>
          </w:tcPr>
          <w:p w14:paraId="1A003A26" w14:textId="77777777" w:rsidR="003A1319" w:rsidRPr="00AF3516" w:rsidRDefault="003A1319" w:rsidP="00AF3516">
            <w:pPr>
              <w:jc w:val="both"/>
              <w:rPr>
                <w:rFonts w:asciiTheme="minorHAnsi" w:hAnsiTheme="minorHAnsi" w:cs="Calibri"/>
                <w:sz w:val="18"/>
                <w:szCs w:val="18"/>
              </w:rPr>
            </w:pPr>
            <w:r w:rsidRPr="00AF3516">
              <w:rPr>
                <w:rFonts w:asciiTheme="minorHAnsi" w:hAnsiTheme="minorHAnsi" w:cs="Calibri"/>
                <w:sz w:val="18"/>
                <w:szCs w:val="18"/>
              </w:rPr>
              <w:t>Czy działania wymienione w punkcie K5 zostały wdrożone?</w:t>
            </w:r>
          </w:p>
        </w:tc>
      </w:tr>
    </w:tbl>
    <w:p w14:paraId="3FCF468E" w14:textId="77777777" w:rsidR="003A1319" w:rsidRDefault="003A1319" w:rsidP="003A1319">
      <w:pPr>
        <w:jc w:val="both"/>
      </w:pPr>
    </w:p>
    <w:p w14:paraId="6580C999" w14:textId="32928607" w:rsidR="003A1319" w:rsidRPr="00AF3516" w:rsidRDefault="003A1319" w:rsidP="00AF3516">
      <w:pPr>
        <w:spacing w:after="120" w:line="276" w:lineRule="auto"/>
        <w:jc w:val="both"/>
        <w:rPr>
          <w:rFonts w:asciiTheme="minorHAnsi" w:hAnsiTheme="minorHAnsi"/>
          <w:sz w:val="24"/>
          <w:szCs w:val="24"/>
        </w:rPr>
      </w:pPr>
      <w:r w:rsidRPr="00AF3516">
        <w:rPr>
          <w:rFonts w:asciiTheme="minorHAnsi" w:hAnsiTheme="minorHAnsi"/>
          <w:sz w:val="24"/>
          <w:szCs w:val="24"/>
        </w:rPr>
        <w:t>Odpowiedzi uzyskane na pytania weryfikacyjne (Tabela 8) powinny stanowić podstawę do oceny skuteczności podjętych działań i identyfikacji potrzeby dalszych interwencji w celu ograniczenia negatywnych oddziaływań na gatunki „non – target”. Wykrycie podczas rutynowych obserwacji przyrodniczych roślin lub zwierząt podlegających ochronie gatunkowej lub zagrożonych wyginięciem w Polsce obliguje do przeprowadzenia szczegółowych badań przyrodniczych w tym samym roku i kontynuowania ich w kolejnych latach realizacji działań naprawczych. Wzory formularzy do prowadzenia monitoringu można znaleźć w poradnikach tematycznych Głównego Inspektoratu Ochrony Środowiska (np. Bzdęga i in., 2022).</w:t>
      </w:r>
    </w:p>
    <w:p w14:paraId="18C2EF91" w14:textId="77777777" w:rsidR="003A1319" w:rsidRPr="00AF3516" w:rsidRDefault="003A1319" w:rsidP="00AF3516">
      <w:pPr>
        <w:spacing w:after="120" w:line="276" w:lineRule="auto"/>
        <w:jc w:val="both"/>
        <w:rPr>
          <w:rFonts w:asciiTheme="minorHAnsi" w:hAnsiTheme="minorHAnsi"/>
          <w:sz w:val="24"/>
          <w:szCs w:val="24"/>
        </w:rPr>
      </w:pPr>
      <w:r w:rsidRPr="00AF3516">
        <w:rPr>
          <w:rFonts w:asciiTheme="minorHAnsi" w:hAnsiTheme="minorHAnsi"/>
          <w:sz w:val="24"/>
          <w:szCs w:val="24"/>
        </w:rPr>
        <w:lastRenderedPageBreak/>
        <w:t>W celu podsumowania i uproszczenia dostarczonych informacji, poniżej znajduje się schemat postępowania z biomasą roślinną IGO na powierzchni planowanego projektu podczas jednego sezonu wegetacyjnego.</w:t>
      </w:r>
    </w:p>
    <w:p w14:paraId="5B22EA3B" w14:textId="64EDC36C" w:rsidR="003A1319" w:rsidRDefault="003A1319">
      <w:r>
        <w:br w:type="page"/>
      </w:r>
    </w:p>
    <w:p w14:paraId="0B175E4C" w14:textId="34B8A55E" w:rsidR="003A1319" w:rsidRDefault="003A1319" w:rsidP="003A1319">
      <w:pPr>
        <w:jc w:val="both"/>
      </w:pPr>
      <w:r w:rsidRPr="003A1319">
        <w:rPr>
          <w:rFonts w:eastAsia="Arial" w:cs="Times New Roman"/>
          <w:noProof/>
          <w:kern w:val="0"/>
          <w:sz w:val="20"/>
          <w:szCs w:val="20"/>
          <w14:ligatures w14:val="none"/>
        </w:rPr>
        <w:lastRenderedPageBreak/>
        <mc:AlternateContent>
          <mc:Choice Requires="wpg">
            <w:drawing>
              <wp:anchor distT="0" distB="0" distL="114300" distR="114300" simplePos="0" relativeHeight="251658241" behindDoc="0" locked="0" layoutInCell="1" allowOverlap="1" wp14:anchorId="2AACC950" wp14:editId="32B8A22C">
                <wp:simplePos x="0" y="0"/>
                <wp:positionH relativeFrom="column">
                  <wp:posOffset>-219075</wp:posOffset>
                </wp:positionH>
                <wp:positionV relativeFrom="paragraph">
                  <wp:posOffset>0</wp:posOffset>
                </wp:positionV>
                <wp:extent cx="6442075" cy="9010650"/>
                <wp:effectExtent l="0" t="0" r="15875" b="19050"/>
                <wp:wrapNone/>
                <wp:docPr id="2001955543" name="Grupa 4"/>
                <wp:cNvGraphicFramePr/>
                <a:graphic xmlns:a="http://schemas.openxmlformats.org/drawingml/2006/main">
                  <a:graphicData uri="http://schemas.microsoft.com/office/word/2010/wordprocessingGroup">
                    <wpg:wgp>
                      <wpg:cNvGrpSpPr/>
                      <wpg:grpSpPr>
                        <a:xfrm>
                          <a:off x="0" y="0"/>
                          <a:ext cx="6442075" cy="9010650"/>
                          <a:chOff x="0" y="0"/>
                          <a:chExt cx="6442075" cy="7506365"/>
                        </a:xfrm>
                      </wpg:grpSpPr>
                      <wpg:grpSp>
                        <wpg:cNvPr id="989274608" name="Grupa 989274608"/>
                        <wpg:cNvGrpSpPr/>
                        <wpg:grpSpPr>
                          <a:xfrm>
                            <a:off x="0" y="0"/>
                            <a:ext cx="6172200" cy="6521036"/>
                            <a:chOff x="0" y="0"/>
                            <a:chExt cx="6172200" cy="6284638"/>
                          </a:xfrm>
                        </wpg:grpSpPr>
                        <wps:wsp>
                          <wps:cNvPr id="1722874754" name="Schemat blokowy: proces 1722874754"/>
                          <wps:cNvSpPr/>
                          <wps:spPr>
                            <a:xfrm>
                              <a:off x="2422083" y="0"/>
                              <a:ext cx="2316894" cy="1009650"/>
                            </a:xfrm>
                            <a:prstGeom prst="flowChartProcess">
                              <a:avLst/>
                            </a:prstGeom>
                            <a:solidFill>
                              <a:srgbClr val="C0D4FD"/>
                            </a:solidFill>
                            <a:ln w="12700" cap="flat" cmpd="sng" algn="ctr">
                              <a:solidFill>
                                <a:srgbClr val="4472C4">
                                  <a:shade val="15000"/>
                                </a:srgbClr>
                              </a:solidFill>
                              <a:prstDash val="solid"/>
                              <a:miter lim="800000"/>
                            </a:ln>
                            <a:effectLst/>
                          </wps:spPr>
                          <wps:txbx>
                            <w:txbxContent>
                              <w:p w14:paraId="2E1F57A7" w14:textId="77777777" w:rsidR="003A1319" w:rsidRDefault="003A1319" w:rsidP="003A1319">
                                <w:pPr>
                                  <w:jc w:val="center"/>
                                </w:pPr>
                                <w:r>
                                  <w:rPr>
                                    <w:b/>
                                    <w:bCs/>
                                  </w:rPr>
                                  <w:t>Przeprowadzenie działań zaradczych w oparciu o charakterystykę gatunków IGO (począwszy od zerowego monitorowania, jeśli jest to pierwszy rok działań zaradczych).</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4304775" name="Schemat blokowy: decyzja 1144304775"/>
                          <wps:cNvSpPr/>
                          <wps:spPr>
                            <a:xfrm>
                              <a:off x="1952625" y="1417363"/>
                              <a:ext cx="3181350" cy="1533525"/>
                            </a:xfrm>
                            <a:prstGeom prst="flowChartDecision">
                              <a:avLst/>
                            </a:prstGeom>
                            <a:solidFill>
                              <a:srgbClr val="C0D4FD"/>
                            </a:solidFill>
                            <a:ln w="12700" cap="flat" cmpd="sng" algn="ctr">
                              <a:solidFill>
                                <a:srgbClr val="4472C4">
                                  <a:shade val="15000"/>
                                </a:srgbClr>
                              </a:solidFill>
                              <a:prstDash val="solid"/>
                              <a:miter lim="800000"/>
                            </a:ln>
                            <a:effectLst/>
                          </wps:spPr>
                          <wps:txbx>
                            <w:txbxContent>
                              <w:p w14:paraId="56F3BEB0" w14:textId="77777777" w:rsidR="003A1319" w:rsidRDefault="003A1319" w:rsidP="003A1319">
                                <w:pPr>
                                  <w:jc w:val="center"/>
                                </w:pPr>
                                <w:r>
                                  <w:t xml:space="preserve">Czy zarządzanie biomasą jest możliwe w obszarze wykonywania środków zaradczych?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555633354" name="Grupa 1555633354"/>
                          <wpg:cNvGrpSpPr/>
                          <wpg:grpSpPr>
                            <a:xfrm>
                              <a:off x="2238375" y="2674663"/>
                              <a:ext cx="590550" cy="655427"/>
                              <a:chOff x="2238375" y="2674663"/>
                              <a:chExt cx="914400" cy="1092379"/>
                            </a:xfrm>
                          </wpg:grpSpPr>
                          <wps:wsp>
                            <wps:cNvPr id="556306245" name="Pole tekstowe 2"/>
                            <wps:cNvSpPr txBox="1">
                              <a:spLocks noChangeArrowheads="1"/>
                            </wps:cNvSpPr>
                            <wps:spPr bwMode="auto">
                              <a:xfrm rot="7794833" flipV="1">
                                <a:off x="2248075" y="2817722"/>
                                <a:ext cx="765757" cy="479639"/>
                              </a:xfrm>
                              <a:prstGeom prst="rect">
                                <a:avLst/>
                              </a:prstGeom>
                              <a:solidFill>
                                <a:srgbClr val="FFFFFF"/>
                              </a:solidFill>
                              <a:ln w="9525">
                                <a:noFill/>
                                <a:miter lim="800000"/>
                                <a:headEnd/>
                                <a:tailEnd/>
                              </a:ln>
                            </wps:spPr>
                            <wps:txbx>
                              <w:txbxContent>
                                <w:p w14:paraId="44DCEE98" w14:textId="77777777" w:rsidR="003A1319" w:rsidRDefault="003A1319" w:rsidP="003A1319">
                                  <w:pPr>
                                    <w:rPr>
                                      <w:b/>
                                      <w:bCs/>
                                    </w:rPr>
                                  </w:pPr>
                                  <w:r>
                                    <w:rPr>
                                      <w:b/>
                                      <w:bCs/>
                                    </w:rPr>
                                    <w:t>TAK</w:t>
                                  </w:r>
                                </w:p>
                              </w:txbxContent>
                            </wps:txbx>
                            <wps:bodyPr rot="0" vert="horz" wrap="square" lIns="91440" tIns="45720" rIns="91440" bIns="45720" anchor="t" anchorCtr="0">
                              <a:noAutofit/>
                            </wps:bodyPr>
                          </wps:wsp>
                          <wps:wsp>
                            <wps:cNvPr id="513295092" name="Łącznik prosty ze strzałką 513295092"/>
                            <wps:cNvCnPr/>
                            <wps:spPr>
                              <a:xfrm flipH="1">
                                <a:off x="2238375" y="2719292"/>
                                <a:ext cx="914400" cy="1047750"/>
                              </a:xfrm>
                              <a:prstGeom prst="straightConnector1">
                                <a:avLst/>
                              </a:prstGeom>
                              <a:noFill/>
                              <a:ln w="57150" cap="flat" cmpd="sng" algn="ctr">
                                <a:solidFill>
                                  <a:srgbClr val="4472C4"/>
                                </a:solidFill>
                                <a:prstDash val="solid"/>
                                <a:miter lim="800000"/>
                                <a:tailEnd type="triangle"/>
                              </a:ln>
                              <a:effectLst/>
                            </wps:spPr>
                            <wps:bodyPr/>
                          </wps:wsp>
                        </wpg:grpSp>
                        <wpg:grpSp>
                          <wpg:cNvPr id="2039923985" name="Grupa 2039923985"/>
                          <wpg:cNvGrpSpPr/>
                          <wpg:grpSpPr>
                            <a:xfrm>
                              <a:off x="4286250" y="2665138"/>
                              <a:ext cx="609600" cy="762000"/>
                              <a:chOff x="4286250" y="2665138"/>
                              <a:chExt cx="840743" cy="1078867"/>
                            </a:xfrm>
                          </wpg:grpSpPr>
                          <wps:wsp>
                            <wps:cNvPr id="1682152188" name="Pole tekstowe 2"/>
                            <wps:cNvSpPr txBox="1">
                              <a:spLocks noChangeArrowheads="1"/>
                            </wps:cNvSpPr>
                            <wps:spPr bwMode="auto">
                              <a:xfrm rot="14111767" flipV="1">
                                <a:off x="4498983" y="2844085"/>
                                <a:ext cx="692930" cy="348904"/>
                              </a:xfrm>
                              <a:prstGeom prst="rect">
                                <a:avLst/>
                              </a:prstGeom>
                              <a:solidFill>
                                <a:srgbClr val="FFFFFF"/>
                              </a:solidFill>
                              <a:ln w="9525">
                                <a:noFill/>
                                <a:miter lim="800000"/>
                                <a:headEnd/>
                                <a:tailEnd/>
                              </a:ln>
                            </wps:spPr>
                            <wps:txbx>
                              <w:txbxContent>
                                <w:p w14:paraId="01F37687" w14:textId="77777777" w:rsidR="003A1319" w:rsidRDefault="003A1319" w:rsidP="003A1319">
                                  <w:pPr>
                                    <w:rPr>
                                      <w:b/>
                                      <w:bCs/>
                                    </w:rPr>
                                  </w:pPr>
                                  <w:r>
                                    <w:rPr>
                                      <w:b/>
                                      <w:bCs/>
                                    </w:rPr>
                                    <w:t>NIE</w:t>
                                  </w:r>
                                </w:p>
                              </w:txbxContent>
                            </wps:txbx>
                            <wps:bodyPr rot="0" vert="horz" wrap="square" lIns="91440" tIns="45720" rIns="91440" bIns="45720" anchor="t" anchorCtr="0">
                              <a:noAutofit/>
                            </wps:bodyPr>
                          </wps:wsp>
                          <wps:wsp>
                            <wps:cNvPr id="721970048" name="Łącznik prosty ze strzałką 721970048"/>
                            <wps:cNvCnPr/>
                            <wps:spPr>
                              <a:xfrm rot="16200000" flipH="1">
                                <a:off x="4167188" y="2784200"/>
                                <a:ext cx="1078867" cy="840743"/>
                              </a:xfrm>
                              <a:prstGeom prst="straightConnector1">
                                <a:avLst/>
                              </a:prstGeom>
                              <a:noFill/>
                              <a:ln w="57150" cap="flat" cmpd="sng" algn="ctr">
                                <a:solidFill>
                                  <a:srgbClr val="4472C4"/>
                                </a:solidFill>
                                <a:prstDash val="solid"/>
                                <a:miter lim="800000"/>
                                <a:tailEnd type="triangle"/>
                              </a:ln>
                              <a:effectLst/>
                            </wps:spPr>
                            <wps:bodyPr/>
                          </wps:wsp>
                        </wpg:grpSp>
                        <wps:wsp>
                          <wps:cNvPr id="726114315" name="Łącznik prosty ze strzałką 726114315"/>
                          <wps:cNvCnPr/>
                          <wps:spPr>
                            <a:xfrm flipH="1">
                              <a:off x="3543300" y="1093513"/>
                              <a:ext cx="4763" cy="266383"/>
                            </a:xfrm>
                            <a:prstGeom prst="straightConnector1">
                              <a:avLst/>
                            </a:prstGeom>
                            <a:noFill/>
                            <a:ln w="57150" cap="flat" cmpd="sng" algn="ctr">
                              <a:solidFill>
                                <a:srgbClr val="4472C4"/>
                              </a:solidFill>
                              <a:prstDash val="solid"/>
                              <a:miter lim="800000"/>
                              <a:tailEnd type="triangle"/>
                            </a:ln>
                            <a:effectLst/>
                          </wps:spPr>
                          <wps:bodyPr/>
                        </wps:wsp>
                        <wps:wsp>
                          <wps:cNvPr id="1398537645" name="Schemat blokowy: decyzja 1398537645"/>
                          <wps:cNvSpPr/>
                          <wps:spPr>
                            <a:xfrm>
                              <a:off x="514350" y="3217588"/>
                              <a:ext cx="2619375" cy="1066800"/>
                            </a:xfrm>
                            <a:prstGeom prst="flowChartDecision">
                              <a:avLst/>
                            </a:prstGeom>
                            <a:solidFill>
                              <a:srgbClr val="C0D4FD"/>
                            </a:solidFill>
                            <a:ln w="12700" cap="flat" cmpd="sng" algn="ctr">
                              <a:solidFill>
                                <a:srgbClr val="4472C4">
                                  <a:shade val="15000"/>
                                </a:srgbClr>
                              </a:solidFill>
                              <a:prstDash val="solid"/>
                              <a:miter lim="800000"/>
                            </a:ln>
                            <a:effectLst/>
                          </wps:spPr>
                          <wps:txbx>
                            <w:txbxContent>
                              <w:p w14:paraId="29F8B8C2" w14:textId="77777777" w:rsidR="003A1319" w:rsidRDefault="003A1319" w:rsidP="003A1319">
                                <w:pPr>
                                  <w:jc w:val="center"/>
                                  <w:rPr>
                                    <w:sz w:val="18"/>
                                    <w:szCs w:val="18"/>
                                  </w:rPr>
                                </w:pPr>
                                <w:r>
                                  <w:rPr>
                                    <w:sz w:val="18"/>
                                    <w:szCs w:val="18"/>
                                  </w:rPr>
                                  <w:t>Czy biomasa zawiera kwiaty/owoc/nasiona?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678429381" name="Grupa 678429381"/>
                          <wpg:cNvGrpSpPr/>
                          <wpg:grpSpPr>
                            <a:xfrm rot="20207858">
                              <a:off x="550086" y="3983735"/>
                              <a:ext cx="757385" cy="1042767"/>
                              <a:chOff x="550086" y="3983735"/>
                              <a:chExt cx="914400" cy="1384736"/>
                            </a:xfrm>
                          </wpg:grpSpPr>
                          <wps:wsp>
                            <wps:cNvPr id="432160841" name="Pole tekstowe 2"/>
                            <wps:cNvSpPr txBox="1">
                              <a:spLocks noChangeArrowheads="1"/>
                            </wps:cNvSpPr>
                            <wps:spPr bwMode="auto">
                              <a:xfrm rot="18630529">
                                <a:off x="554468" y="4335266"/>
                                <a:ext cx="1017388" cy="314325"/>
                              </a:xfrm>
                              <a:prstGeom prst="rect">
                                <a:avLst/>
                              </a:prstGeom>
                              <a:solidFill>
                                <a:srgbClr val="FFFFFF"/>
                              </a:solidFill>
                              <a:ln w="9525">
                                <a:noFill/>
                                <a:miter lim="800000"/>
                                <a:headEnd/>
                                <a:tailEnd/>
                              </a:ln>
                            </wps:spPr>
                            <wps:txbx>
                              <w:txbxContent>
                                <w:p w14:paraId="0DEC6F91" w14:textId="77777777" w:rsidR="003A1319" w:rsidRDefault="003A1319" w:rsidP="003A1319">
                                  <w:pPr>
                                    <w:rPr>
                                      <w:b/>
                                      <w:bCs/>
                                    </w:rPr>
                                  </w:pPr>
                                  <w:r>
                                    <w:rPr>
                                      <w:b/>
                                      <w:bCs/>
                                    </w:rPr>
                                    <w:t>TAK</w:t>
                                  </w:r>
                                </w:p>
                              </w:txbxContent>
                            </wps:txbx>
                            <wps:bodyPr rot="0" vert="horz" wrap="square" lIns="91440" tIns="45720" rIns="91440" bIns="45720" anchor="t" anchorCtr="0">
                              <a:noAutofit/>
                            </wps:bodyPr>
                          </wps:wsp>
                          <wps:wsp>
                            <wps:cNvPr id="1958830319" name="Łącznik prosty ze strzałką 1958830319"/>
                            <wps:cNvCnPr/>
                            <wps:spPr>
                              <a:xfrm flipH="1">
                                <a:off x="550086" y="4320721"/>
                                <a:ext cx="914400" cy="1047750"/>
                              </a:xfrm>
                              <a:prstGeom prst="straightConnector1">
                                <a:avLst/>
                              </a:prstGeom>
                              <a:noFill/>
                              <a:ln w="57150" cap="flat" cmpd="sng" algn="ctr">
                                <a:solidFill>
                                  <a:srgbClr val="4472C4"/>
                                </a:solidFill>
                                <a:prstDash val="solid"/>
                                <a:miter lim="800000"/>
                                <a:tailEnd type="triangle"/>
                              </a:ln>
                              <a:effectLst/>
                            </wps:spPr>
                            <wps:bodyPr/>
                          </wps:wsp>
                        </wpg:grpSp>
                        <wpg:grpSp>
                          <wpg:cNvPr id="1130434092" name="Grupa 1130434092"/>
                          <wpg:cNvGrpSpPr/>
                          <wpg:grpSpPr>
                            <a:xfrm rot="1460585">
                              <a:off x="2516732" y="4087569"/>
                              <a:ext cx="419091" cy="941673"/>
                              <a:chOff x="2516731" y="4087571"/>
                              <a:chExt cx="638952" cy="1757523"/>
                            </a:xfrm>
                          </wpg:grpSpPr>
                          <wps:wsp>
                            <wps:cNvPr id="1806081846" name="Pole tekstowe 2"/>
                            <wps:cNvSpPr txBox="1">
                              <a:spLocks noChangeArrowheads="1"/>
                            </wps:cNvSpPr>
                            <wps:spPr bwMode="auto">
                              <a:xfrm rot="13541075" flipV="1">
                                <a:off x="2402004" y="4623854"/>
                                <a:ext cx="1105604" cy="401754"/>
                              </a:xfrm>
                              <a:prstGeom prst="rect">
                                <a:avLst/>
                              </a:prstGeom>
                              <a:solidFill>
                                <a:srgbClr val="FFFFFF"/>
                              </a:solidFill>
                              <a:ln w="9525">
                                <a:noFill/>
                                <a:miter lim="800000"/>
                                <a:headEnd/>
                                <a:tailEnd/>
                              </a:ln>
                            </wps:spPr>
                            <wps:txbx>
                              <w:txbxContent>
                                <w:p w14:paraId="628FAF0B" w14:textId="77777777" w:rsidR="003A1319" w:rsidRDefault="003A1319" w:rsidP="003A1319">
                                  <w:pPr>
                                    <w:rPr>
                                      <w:b/>
                                      <w:bCs/>
                                    </w:rPr>
                                  </w:pPr>
                                  <w:r>
                                    <w:rPr>
                                      <w:b/>
                                      <w:bCs/>
                                    </w:rPr>
                                    <w:t>NIE</w:t>
                                  </w:r>
                                </w:p>
                              </w:txbxContent>
                            </wps:txbx>
                            <wps:bodyPr rot="0" vert="horz" wrap="square" lIns="91440" tIns="45720" rIns="91440" bIns="45720" anchor="t" anchorCtr="0">
                              <a:noAutofit/>
                            </wps:bodyPr>
                          </wps:wsp>
                          <wps:wsp>
                            <wps:cNvPr id="1002248128" name="Łącznik prosty ze strzałką 1002248128"/>
                            <wps:cNvCnPr/>
                            <wps:spPr>
                              <a:xfrm rot="20139415">
                                <a:off x="2516731" y="4087571"/>
                                <a:ext cx="449456" cy="1757523"/>
                              </a:xfrm>
                              <a:prstGeom prst="straightConnector1">
                                <a:avLst/>
                              </a:prstGeom>
                              <a:noFill/>
                              <a:ln w="57150" cap="flat" cmpd="sng" algn="ctr">
                                <a:solidFill>
                                  <a:srgbClr val="4472C4"/>
                                </a:solidFill>
                                <a:prstDash val="solid"/>
                                <a:miter lim="800000"/>
                                <a:tailEnd type="triangle"/>
                              </a:ln>
                              <a:effectLst/>
                            </wps:spPr>
                            <wps:bodyPr/>
                          </wps:wsp>
                        </wpg:grpSp>
                        <wps:wsp>
                          <wps:cNvPr id="710097526" name="Prostokąt 710097526"/>
                          <wps:cNvSpPr/>
                          <wps:spPr>
                            <a:xfrm>
                              <a:off x="0" y="5189263"/>
                              <a:ext cx="1400175" cy="1095375"/>
                            </a:xfrm>
                            <a:prstGeom prst="rect">
                              <a:avLst/>
                            </a:prstGeom>
                            <a:solidFill>
                              <a:srgbClr val="C0D4FD"/>
                            </a:solidFill>
                            <a:ln w="12700" cap="flat" cmpd="sng" algn="ctr">
                              <a:solidFill>
                                <a:srgbClr val="4472C4">
                                  <a:shade val="15000"/>
                                </a:srgbClr>
                              </a:solidFill>
                              <a:prstDash val="solid"/>
                              <a:miter lim="800000"/>
                            </a:ln>
                            <a:effectLst/>
                          </wps:spPr>
                          <wps:txbx>
                            <w:txbxContent>
                              <w:p w14:paraId="1F961EAC" w14:textId="77777777" w:rsidR="003A1319" w:rsidRDefault="003A1319" w:rsidP="003A1319">
                                <w:pPr>
                                  <w:jc w:val="center"/>
                                  <w:rPr>
                                    <w:b/>
                                    <w:bCs/>
                                  </w:rPr>
                                </w:pPr>
                                <w:r>
                                  <w:rPr>
                                    <w:b/>
                                    <w:bCs/>
                                  </w:rPr>
                                  <w:t>Zarządzanie biomasą poprzez zakopywanie zgodnie z tabelą 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9291045" name="Prostokąt 489291045"/>
                          <wps:cNvSpPr/>
                          <wps:spPr>
                            <a:xfrm>
                              <a:off x="2220172" y="5142019"/>
                              <a:ext cx="1400175" cy="1142342"/>
                            </a:xfrm>
                            <a:prstGeom prst="rect">
                              <a:avLst/>
                            </a:prstGeom>
                            <a:solidFill>
                              <a:srgbClr val="C0D4FD"/>
                            </a:solidFill>
                            <a:ln w="12700" cap="flat" cmpd="sng" algn="ctr">
                              <a:solidFill>
                                <a:srgbClr val="4472C4">
                                  <a:shade val="15000"/>
                                </a:srgbClr>
                              </a:solidFill>
                              <a:prstDash val="solid"/>
                              <a:miter lim="800000"/>
                            </a:ln>
                            <a:effectLst/>
                          </wps:spPr>
                          <wps:txbx>
                            <w:txbxContent>
                              <w:p w14:paraId="356980E5" w14:textId="77777777" w:rsidR="003A1319" w:rsidRDefault="003A1319" w:rsidP="003A1319">
                                <w:pPr>
                                  <w:jc w:val="center"/>
                                  <w:rPr>
                                    <w:b/>
                                    <w:bCs/>
                                  </w:rPr>
                                </w:pPr>
                                <w:r>
                                  <w:rPr>
                                    <w:b/>
                                    <w:bCs/>
                                  </w:rPr>
                                  <w:t>Zarządzanie biomasą poprzez gromadzenie jej w pryzmach i pozostawianie do naturalnego rozkładu.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4918382" name="Prostokąt 1314918382"/>
                          <wps:cNvSpPr/>
                          <wps:spPr>
                            <a:xfrm>
                              <a:off x="3981450" y="3522388"/>
                              <a:ext cx="2190750" cy="1257300"/>
                            </a:xfrm>
                            <a:prstGeom prst="rect">
                              <a:avLst/>
                            </a:prstGeom>
                            <a:solidFill>
                              <a:srgbClr val="C0D4FD"/>
                            </a:solidFill>
                            <a:ln w="12700" cap="flat" cmpd="sng" algn="ctr">
                              <a:solidFill>
                                <a:srgbClr val="4472C4">
                                  <a:shade val="15000"/>
                                </a:srgbClr>
                              </a:solidFill>
                              <a:prstDash val="solid"/>
                              <a:miter lim="800000"/>
                            </a:ln>
                            <a:effectLst/>
                          </wps:spPr>
                          <wps:txbx>
                            <w:txbxContent>
                              <w:p w14:paraId="4FDF5875" w14:textId="77777777" w:rsidR="003A1319" w:rsidRDefault="003A1319" w:rsidP="003A1319">
                                <w:pPr>
                                  <w:jc w:val="center"/>
                                  <w:rPr>
                                    <w:b/>
                                    <w:bCs/>
                                  </w:rPr>
                                </w:pPr>
                                <w:r>
                                  <w:rPr>
                                    <w:b/>
                                    <w:bCs/>
                                  </w:rPr>
                                  <w:t>Przekazywanie biomasy IGO poza miejsce występowania jako bioodpadów do przekazanych zakładów zgodnie z hierarchią opisaną w sekcji 3.2.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848856033" name="Schemat blokowy: proces 1848856033"/>
                        <wps:cNvSpPr/>
                        <wps:spPr>
                          <a:xfrm>
                            <a:off x="4794250" y="6015051"/>
                            <a:ext cx="1647825" cy="1491314"/>
                          </a:xfrm>
                          <a:prstGeom prst="flowChartProcess">
                            <a:avLst/>
                          </a:prstGeom>
                          <a:solidFill>
                            <a:srgbClr val="C0D4FD"/>
                          </a:solidFill>
                          <a:ln w="12700" cap="flat" cmpd="sng" algn="ctr">
                            <a:solidFill>
                              <a:srgbClr val="A4A4A6">
                                <a:shade val="15000"/>
                              </a:srgbClr>
                            </a:solidFill>
                            <a:prstDash val="solid"/>
                            <a:miter lim="800000"/>
                          </a:ln>
                          <a:effectLst/>
                        </wps:spPr>
                        <wps:txbx>
                          <w:txbxContent>
                            <w:p w14:paraId="3893C432" w14:textId="77777777" w:rsidR="003A1319" w:rsidRPr="003A1319" w:rsidRDefault="003A1319" w:rsidP="003A1319">
                              <w:pPr>
                                <w:jc w:val="center"/>
                                <w:rPr>
                                  <w:b/>
                                  <w:bCs/>
                                  <w:color w:val="000000"/>
                                </w:rPr>
                              </w:pPr>
                              <w:r w:rsidRPr="003A1319">
                                <w:rPr>
                                  <w:b/>
                                  <w:bCs/>
                                  <w:color w:val="000000"/>
                                </w:rPr>
                                <w:t xml:space="preserve">Decyzja o kontynuacji lub zakończeniu działań naprawczych na podstawie wyników monitoringu przeprowadzonego pod koniec sezonu wegetacyjnego (Tabela </w:t>
                              </w:r>
                              <w:r>
                                <w:rPr>
                                  <w:b/>
                                  <w:bCs/>
                                  <w:color w:val="000000"/>
                                </w:rPr>
                                <w:t>6</w:t>
                              </w:r>
                              <w:r w:rsidRPr="003A1319">
                                <w:rPr>
                                  <w:b/>
                                  <w:bCs/>
                                  <w:color w:val="000000"/>
                                </w:rPr>
                                <w:t xml:space="preserve">, Tabela </w:t>
                              </w:r>
                              <w:r>
                                <w:rPr>
                                  <w:b/>
                                  <w:bCs/>
                                  <w:color w:val="000000"/>
                                </w:rPr>
                                <w:t>7</w:t>
                              </w:r>
                              <w:r w:rsidRPr="003A1319">
                                <w:rPr>
                                  <w:b/>
                                  <w:bCs/>
                                  <w:color w:val="000000"/>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1713095" name="Łącznik prosty ze strzałką 1131713095"/>
                        <wps:cNvCnPr/>
                        <wps:spPr>
                          <a:xfrm rot="17660585" flipH="1">
                            <a:off x="5112702" y="5158119"/>
                            <a:ext cx="607607" cy="610641"/>
                          </a:xfrm>
                          <a:prstGeom prst="straightConnector1">
                            <a:avLst/>
                          </a:prstGeom>
                          <a:noFill/>
                          <a:ln w="57150" cap="flat" cmpd="sng" algn="ctr">
                            <a:solidFill>
                              <a:srgbClr val="4472C4"/>
                            </a:solidFill>
                            <a:prstDash val="solid"/>
                            <a:miter lim="800000"/>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2AACC950" id="Grupa 4" o:spid="_x0000_s1026" style="position:absolute;left:0;text-align:left;margin-left:-17.25pt;margin-top:0;width:507.25pt;height:709.5pt;z-index:251658241;mso-height-relative:margin" coordsize="64420,7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">
                <v:group id="Grupa 989274608" o:spid="_x0000_s1027" style="position:absolute;width:61722;height:65210" coordsize="61722,62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">
                  <v:shapetype id="_x0000_t109" coordsize="21600,21600" o:spt="109" path="m,l,21600r21600,l21600,xe">
                    <v:stroke joinstyle="miter"/>
                    <v:path gradientshapeok="t" o:connecttype="rect"/>
                  </v:shapetype>
                  <v:shape id="Schemat blokowy: proces 1722874754" o:spid="_x0000_s1028" type="#_x0000_t109" style="position:absolute;left:24220;width:23169;height:10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" fillcolor="#c0d4fd" strokecolor="#172c51" strokeweight="1pt">
                    <v:textbox>
                      <w:txbxContent>
                        <w:p w14:paraId="2E1F57A7" w14:textId="77777777" w:rsidR="003A1319" w:rsidRDefault="003A1319" w:rsidP="003A1319">
                          <w:pPr>
                            <w:jc w:val="center"/>
                          </w:pPr>
                          <w:r>
                            <w:rPr>
                              <w:b/>
                              <w:bCs/>
                            </w:rPr>
                            <w:t>Przeprowadzenie działań zaradczych w oparciu o charakterystykę gatunków IGO (począwszy od zerowego monitorowania, jeśli jest to pierwszy rok działań zaradczych).</w:t>
                          </w:r>
                        </w:p>
                      </w:txbxContent>
                    </v:textbox>
                  </v:shape>
                  <v:shapetype id="_x0000_t110" coordsize="21600,21600" o:spt="110" path="m10800,l,10800,10800,21600,21600,10800xe">
                    <v:stroke joinstyle="miter"/>
                    <v:path gradientshapeok="t" o:connecttype="rect" textboxrect="5400,5400,16200,16200"/>
                  </v:shapetype>
                  <v:shape id="Schemat blokowy: decyzja 1144304775" o:spid="_x0000_s1029" type="#_x0000_t110" style="position:absolute;left:19526;top:14173;width:31813;height:15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" fillcolor="#c0d4fd" strokecolor="#172c51" strokeweight="1pt">
                    <v:textbox>
                      <w:txbxContent>
                        <w:p w14:paraId="56F3BEB0" w14:textId="77777777" w:rsidR="003A1319" w:rsidRDefault="003A1319" w:rsidP="003A1319">
                          <w:pPr>
                            <w:jc w:val="center"/>
                          </w:pPr>
                          <w:r>
                            <w:t xml:space="preserve">Czy zarządzanie biomasą jest możliwe w obszarze wykonywania środków zaradczych? </w:t>
                          </w:r>
                        </w:p>
                      </w:txbxContent>
                    </v:textbox>
                  </v:shape>
                  <v:group id="Grupa 1555633354" o:spid="_x0000_s1030" style="position:absolute;left:22383;top:26746;width:5906;height:6554" coordorigin="22383,26746" coordsize="9144,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">
                    <v:shapetype id="_x0000_t202" coordsize="21600,21600" o:spt="202" path="m,l,21600r21600,l21600,xe">
                      <v:stroke joinstyle="miter"/>
                      <v:path gradientshapeok="t" o:connecttype="rect"/>
                    </v:shapetype>
                    <v:shape id="Pole tekstowe 2" o:spid="_x0000_s1031" type="#_x0000_t202" style="position:absolute;left:22480;top:28177;width:7658;height:4796;rotation:-8514036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" stroked="f">
                      <v:textbox>
                        <w:txbxContent>
                          <w:p w14:paraId="44DCEE98" w14:textId="77777777" w:rsidR="003A1319" w:rsidRDefault="003A1319" w:rsidP="003A1319">
                            <w:pPr>
                              <w:rPr>
                                <w:b/>
                                <w:bCs/>
                              </w:rPr>
                            </w:pPr>
                            <w:r>
                              <w:rPr>
                                <w:b/>
                                <w:bCs/>
                              </w:rPr>
                              <w:t>TAK</w:t>
                            </w:r>
                          </w:p>
                        </w:txbxContent>
                      </v:textbox>
                    </v:shape>
                    <v:shapetype id="_x0000_t32" coordsize="21600,21600" o:spt="32" o:oned="t" path="m,l21600,21600e" filled="f">
                      <v:path arrowok="t" fillok="f" o:connecttype="none"/>
                      <o:lock v:ext="edit" shapetype="t"/>
                    </v:shapetype>
                    <v:shape id="Łącznik prosty ze strzałką 513295092" o:spid="_x0000_s1032" type="#_x0000_t32" style="position:absolute;left:22383;top:27192;width:9144;height:104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" strokecolor="#4472c4" strokeweight="4.5pt">
                      <v:stroke endarrow="block" joinstyle="miter"/>
                    </v:shape>
                  </v:group>
                  <v:group id="Grupa 2039923985" o:spid="_x0000_s1033" style="position:absolute;left:42862;top:26651;width:6096;height:7620" coordorigin="42862,26651" coordsize="8407,10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">
                    <v:shape id="Pole tekstowe 2" o:spid="_x0000_s1034" type="#_x0000_t202" style="position:absolute;left:44989;top:28440;width:6930;height:3490;rotation:8179147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" stroked="f">
                      <v:textbox>
                        <w:txbxContent>
                          <w:p w14:paraId="01F37687" w14:textId="77777777" w:rsidR="003A1319" w:rsidRDefault="003A1319" w:rsidP="003A1319">
                            <w:pPr>
                              <w:rPr>
                                <w:b/>
                                <w:bCs/>
                              </w:rPr>
                            </w:pPr>
                            <w:r>
                              <w:rPr>
                                <w:b/>
                                <w:bCs/>
                              </w:rPr>
                              <w:t>NIE</w:t>
                            </w:r>
                          </w:p>
                        </w:txbxContent>
                      </v:textbox>
                    </v:shape>
                    <v:shape id="Łącznik prosty ze strzałką 721970048" o:spid="_x0000_s1035" type="#_x0000_t32" style="position:absolute;left:41671;top:27842;width:10789;height:8407;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" strokecolor="#4472c4" strokeweight="4.5pt">
                      <v:stroke endarrow="block" joinstyle="miter"/>
                    </v:shape>
                  </v:group>
                  <v:shape id="Łącznik prosty ze strzałką 726114315" o:spid="_x0000_s1036" type="#_x0000_t32" style="position:absolute;left:35433;top:10935;width:47;height:26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" strokecolor="#4472c4" strokeweight="4.5pt">
                    <v:stroke endarrow="block" joinstyle="miter"/>
                  </v:shape>
                  <v:shape id="Schemat blokowy: decyzja 1398537645" o:spid="_x0000_s1037" type="#_x0000_t110" style="position:absolute;left:5143;top:32175;width:26194;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" fillcolor="#c0d4fd" strokecolor="#172c51" strokeweight="1pt">
                    <v:textbox>
                      <w:txbxContent>
                        <w:p w14:paraId="29F8B8C2" w14:textId="77777777" w:rsidR="003A1319" w:rsidRDefault="003A1319" w:rsidP="003A1319">
                          <w:pPr>
                            <w:jc w:val="center"/>
                            <w:rPr>
                              <w:sz w:val="18"/>
                              <w:szCs w:val="18"/>
                            </w:rPr>
                          </w:pPr>
                          <w:r>
                            <w:rPr>
                              <w:sz w:val="18"/>
                              <w:szCs w:val="18"/>
                            </w:rPr>
                            <w:t>Czy biomasa zawiera kwiaty/owoc/nasiona?</w:t>
                          </w:r>
                        </w:p>
                      </w:txbxContent>
                    </v:textbox>
                  </v:shape>
                  <v:group id="Grupa 678429381" o:spid="_x0000_s1038" style="position:absolute;left:5500;top:39837;width:7574;height:10428;rotation:-1520590fd" coordorigin="5500,39837" coordsize="9144,1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">
                    <v:shape id="Pole tekstowe 2" o:spid="_x0000_s1039" type="#_x0000_t202" style="position:absolute;left:5544;top:43352;width:10174;height:3144;rotation:-32434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" stroked="f">
                      <v:textbox>
                        <w:txbxContent>
                          <w:p w14:paraId="0DEC6F91" w14:textId="77777777" w:rsidR="003A1319" w:rsidRDefault="003A1319" w:rsidP="003A1319">
                            <w:pPr>
                              <w:rPr>
                                <w:b/>
                                <w:bCs/>
                              </w:rPr>
                            </w:pPr>
                            <w:r>
                              <w:rPr>
                                <w:b/>
                                <w:bCs/>
                              </w:rPr>
                              <w:t>TAK</w:t>
                            </w:r>
                          </w:p>
                        </w:txbxContent>
                      </v:textbox>
                    </v:shape>
                    <v:shape id="Łącznik prosty ze strzałką 1958830319" o:spid="_x0000_s1040" type="#_x0000_t32" style="position:absolute;left:5500;top:43207;width:9144;height:10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" strokecolor="#4472c4" strokeweight="4.5pt">
                      <v:stroke endarrow="block" joinstyle="miter"/>
                    </v:shape>
                  </v:group>
                  <v:group id="Grupa 1130434092" o:spid="_x0000_s1041" style="position:absolute;left:25167;top:40875;width:4191;height:9417;rotation:1595348fd" coordorigin="25167,40875" coordsize="638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">
                    <v:shape id="Pole tekstowe 2" o:spid="_x0000_s1042" type="#_x0000_t202" style="position:absolute;left:24020;top:46238;width:11056;height:4017;rotation:8802495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" stroked="f">
                      <v:textbox>
                        <w:txbxContent>
                          <w:p w14:paraId="628FAF0B" w14:textId="77777777" w:rsidR="003A1319" w:rsidRDefault="003A1319" w:rsidP="003A1319">
                            <w:pPr>
                              <w:rPr>
                                <w:b/>
                                <w:bCs/>
                              </w:rPr>
                            </w:pPr>
                            <w:r>
                              <w:rPr>
                                <w:b/>
                                <w:bCs/>
                              </w:rPr>
                              <w:t>NIE</w:t>
                            </w:r>
                          </w:p>
                        </w:txbxContent>
                      </v:textbox>
                    </v:shape>
                    <v:shape id="Łącznik prosty ze strzałką 1002248128" o:spid="_x0000_s1043" type="#_x0000_t32" style="position:absolute;left:25167;top:40875;width:4494;height:17575;rotation:-1595348fd;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" strokecolor="#4472c4" strokeweight="4.5pt">
                      <v:stroke endarrow="block" joinstyle="miter"/>
                    </v:shape>
                  </v:group>
                  <v:rect id="Prostokąt 710097526" o:spid="_x0000_s1044" style="position:absolute;top:51892;width:14001;height:10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" fillcolor="#c0d4fd" strokecolor="#172c51" strokeweight="1pt">
                    <v:textbox>
                      <w:txbxContent>
                        <w:p w14:paraId="1F961EAC" w14:textId="77777777" w:rsidR="003A1319" w:rsidRDefault="003A1319" w:rsidP="003A1319">
                          <w:pPr>
                            <w:jc w:val="center"/>
                            <w:rPr>
                              <w:b/>
                              <w:bCs/>
                            </w:rPr>
                          </w:pPr>
                          <w:r>
                            <w:rPr>
                              <w:b/>
                              <w:bCs/>
                            </w:rPr>
                            <w:t>Zarządzanie biomasą poprzez zakopywanie zgodnie z tabelą 3</w:t>
                          </w:r>
                        </w:p>
                      </w:txbxContent>
                    </v:textbox>
                  </v:rect>
                  <v:rect id="Prostokąt 489291045" o:spid="_x0000_s1045" style="position:absolute;left:22201;top:51420;width:14002;height:1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" fillcolor="#c0d4fd" strokecolor="#172c51" strokeweight="1pt">
                    <v:textbox>
                      <w:txbxContent>
                        <w:p w14:paraId="356980E5" w14:textId="77777777" w:rsidR="003A1319" w:rsidRDefault="003A1319" w:rsidP="003A1319">
                          <w:pPr>
                            <w:jc w:val="center"/>
                            <w:rPr>
                              <w:b/>
                              <w:bCs/>
                            </w:rPr>
                          </w:pPr>
                          <w:r>
                            <w:rPr>
                              <w:b/>
                              <w:bCs/>
                            </w:rPr>
                            <w:t>Zarządzanie biomasą poprzez gromadzenie jej w pryzmach i pozostawianie do naturalnego rozkładu.</w:t>
                          </w:r>
                        </w:p>
                      </w:txbxContent>
                    </v:textbox>
                  </v:rect>
                  <v:rect id="Prostokąt 1314918382" o:spid="_x0000_s1046" style="position:absolute;left:39814;top:35223;width:21908;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" fillcolor="#c0d4fd" strokecolor="#172c51" strokeweight="1pt">
                    <v:textbox>
                      <w:txbxContent>
                        <w:p w14:paraId="4FDF5875" w14:textId="77777777" w:rsidR="003A1319" w:rsidRDefault="003A1319" w:rsidP="003A1319">
                          <w:pPr>
                            <w:jc w:val="center"/>
                            <w:rPr>
                              <w:b/>
                              <w:bCs/>
                            </w:rPr>
                          </w:pPr>
                          <w:r>
                            <w:rPr>
                              <w:b/>
                              <w:bCs/>
                            </w:rPr>
                            <w:t>Przekazywanie biomasy IGO poza miejsce występowania jako bioodpadów do przekazanych zakładów zgodnie z hierarchią opisaną w sekcji 3.2.</w:t>
                          </w:r>
                        </w:p>
                      </w:txbxContent>
                    </v:textbox>
                  </v:rect>
                </v:group>
                <v:shape id="Schemat blokowy: proces 1848856033" o:spid="_x0000_s1047" type="#_x0000_t109" style="position:absolute;left:47942;top:60150;width:16478;height:14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" fillcolor="#c0d4fd" strokecolor="#434344" strokeweight="1pt">
                  <v:textbox>
                    <w:txbxContent>
                      <w:p w14:paraId="3893C432" w14:textId="77777777" w:rsidR="003A1319" w:rsidRPr="003A1319" w:rsidRDefault="003A1319" w:rsidP="003A1319">
                        <w:pPr>
                          <w:jc w:val="center"/>
                          <w:rPr>
                            <w:b/>
                            <w:bCs/>
                            <w:color w:val="000000"/>
                          </w:rPr>
                        </w:pPr>
                        <w:r w:rsidRPr="003A1319">
                          <w:rPr>
                            <w:b/>
                            <w:bCs/>
                            <w:color w:val="000000"/>
                          </w:rPr>
                          <w:t xml:space="preserve">Decyzja o kontynuacji lub zakończeniu działań naprawczych na podstawie wyników monitoringu przeprowadzonego pod koniec sezonu wegetacyjnego (Tabela </w:t>
                        </w:r>
                        <w:r>
                          <w:rPr>
                            <w:b/>
                            <w:bCs/>
                            <w:color w:val="000000"/>
                          </w:rPr>
                          <w:t>6</w:t>
                        </w:r>
                        <w:r w:rsidRPr="003A1319">
                          <w:rPr>
                            <w:b/>
                            <w:bCs/>
                            <w:color w:val="000000"/>
                          </w:rPr>
                          <w:t xml:space="preserve">, Tabela </w:t>
                        </w:r>
                        <w:r>
                          <w:rPr>
                            <w:b/>
                            <w:bCs/>
                            <w:color w:val="000000"/>
                          </w:rPr>
                          <w:t>7</w:t>
                        </w:r>
                        <w:r w:rsidRPr="003A1319">
                          <w:rPr>
                            <w:b/>
                            <w:bCs/>
                            <w:color w:val="000000"/>
                          </w:rPr>
                          <w:t>)</w:t>
                        </w:r>
                      </w:p>
                    </w:txbxContent>
                  </v:textbox>
                </v:shape>
                <v:shape id="Łącznik prosty ze strzałką 1131713095" o:spid="_x0000_s1048" type="#_x0000_t32" style="position:absolute;left:51127;top:51580;width:6076;height:6107;rotation:4302892fd;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" strokecolor="#4472c4" strokeweight="4.5pt">
                  <v:stroke endarrow="block" joinstyle="miter"/>
                </v:shape>
              </v:group>
            </w:pict>
          </mc:Fallback>
        </mc:AlternateContent>
      </w:r>
    </w:p>
    <w:p w14:paraId="106F0325" w14:textId="4C0948BA" w:rsidR="003A1319" w:rsidRDefault="003A1319" w:rsidP="00AF3516">
      <w:pPr>
        <w:pStyle w:val="Nagwek1"/>
        <w:rPr>
          <w:rFonts w:ascii="Aptos" w:hAnsi="Aptos"/>
          <w:sz w:val="36"/>
          <w:szCs w:val="36"/>
        </w:rPr>
      </w:pPr>
      <w:r>
        <w:br w:type="page"/>
      </w:r>
      <w:bookmarkStart w:id="43" w:name="_Toc239940822"/>
      <w:r w:rsidR="00AF3516" w:rsidRPr="00AF3516">
        <w:rPr>
          <w:rFonts w:ascii="Aptos" w:hAnsi="Aptos"/>
          <w:sz w:val="36"/>
          <w:szCs w:val="36"/>
        </w:rPr>
        <w:lastRenderedPageBreak/>
        <w:t>Spis tabel</w:t>
      </w:r>
      <w:bookmarkEnd w:id="43"/>
    </w:p>
    <w:p w14:paraId="2CBB1023" w14:textId="4509589B"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r>
        <w:fldChar w:fldCharType="begin"/>
      </w:r>
      <w:r>
        <w:instrText xml:space="preserve"> TOC \h \z \c "Tabela" </w:instrText>
      </w:r>
      <w:r>
        <w:fldChar w:fldCharType="separate"/>
      </w:r>
      <w:hyperlink w:anchor="_Toc239940747" w:history="1">
        <w:r w:rsidRPr="00AF3516">
          <w:rPr>
            <w:rStyle w:val="Hipercze"/>
            <w:rFonts w:asciiTheme="minorHAnsi" w:hAnsiTheme="minorHAnsi"/>
            <w:bCs/>
            <w:noProof/>
            <w:sz w:val="24"/>
            <w:szCs w:val="24"/>
          </w:rPr>
          <w:t xml:space="preserve">Tabela 1 Zestawienie gatunków obcych z podziałem na stopień udomowienia i inwazyjność w Polsce (Tokarska-Guzik i in., 2012). Pogrubioną czcionką zaznaczono gatunki roślin zagrażające Polsce (Dz.U. 2022 poz. 2649), a podkreśloną gatunki zagrażające Unii Europejskiej </w:t>
        </w:r>
        <w:r w:rsidRPr="00AF3516">
          <w:rPr>
            <w:rStyle w:val="Hipercze"/>
            <w:rFonts w:asciiTheme="minorHAnsi" w:hAnsiTheme="minorHAnsi"/>
            <w:bCs/>
            <w:i/>
            <w:noProof/>
            <w:sz w:val="24"/>
            <w:szCs w:val="24"/>
          </w:rPr>
          <w:t>(UE 2022/1203).</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_Toc239940747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56</w:t>
        </w:r>
        <w:r w:rsidRPr="00AF3516">
          <w:rPr>
            <w:rFonts w:asciiTheme="minorHAnsi" w:hAnsiTheme="minorHAnsi"/>
            <w:noProof/>
            <w:webHidden/>
            <w:sz w:val="24"/>
            <w:szCs w:val="24"/>
          </w:rPr>
          <w:fldChar w:fldCharType="end"/>
        </w:r>
      </w:hyperlink>
    </w:p>
    <w:p w14:paraId="1F66CC9C" w14:textId="123AB916"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hyperlink w:anchor="_Toc239940748" w:history="1">
        <w:r w:rsidRPr="00AF3516">
          <w:rPr>
            <w:rStyle w:val="Hipercze"/>
            <w:rFonts w:asciiTheme="minorHAnsi" w:hAnsiTheme="minorHAnsi"/>
            <w:bCs/>
            <w:noProof/>
            <w:sz w:val="24"/>
            <w:szCs w:val="24"/>
          </w:rPr>
          <w:t>Tabela 2 Metody zagospodarowania biomasy powstałej w wyniku przeciwdziałania gatunkom inwazyjnym.</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_Toc239940748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62</w:t>
        </w:r>
        <w:r w:rsidRPr="00AF3516">
          <w:rPr>
            <w:rFonts w:asciiTheme="minorHAnsi" w:hAnsiTheme="minorHAnsi"/>
            <w:noProof/>
            <w:webHidden/>
            <w:sz w:val="24"/>
            <w:szCs w:val="24"/>
          </w:rPr>
          <w:fldChar w:fldCharType="end"/>
        </w:r>
      </w:hyperlink>
    </w:p>
    <w:p w14:paraId="45C4317F" w14:textId="02F42033"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hyperlink w:anchor="_Toc239940749" w:history="1">
        <w:r w:rsidRPr="00AF3516">
          <w:rPr>
            <w:rStyle w:val="Hipercze"/>
            <w:rFonts w:asciiTheme="minorHAnsi" w:hAnsiTheme="minorHAnsi"/>
            <w:bCs/>
            <w:noProof/>
            <w:sz w:val="24"/>
            <w:szCs w:val="24"/>
          </w:rPr>
          <w:t>Tabela 3 Minimalna głębokość niezbędna do prawidłowego wdrożenia działań naprawczych poprzez zakopanie. Pogrubioną czcionką zaznaczono gatunki roślin, które mogą rozmnażać się wegetatywnie i które należy chronić za pomocą geowłókniny.</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_Toc239940749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64</w:t>
        </w:r>
        <w:r w:rsidRPr="00AF3516">
          <w:rPr>
            <w:rFonts w:asciiTheme="minorHAnsi" w:hAnsiTheme="minorHAnsi"/>
            <w:noProof/>
            <w:webHidden/>
            <w:sz w:val="24"/>
            <w:szCs w:val="24"/>
          </w:rPr>
          <w:fldChar w:fldCharType="end"/>
        </w:r>
      </w:hyperlink>
    </w:p>
    <w:p w14:paraId="12ABB127" w14:textId="62BA1C73"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hyperlink w:anchor="_Toc239940750" w:history="1">
        <w:r w:rsidRPr="00AF3516">
          <w:rPr>
            <w:rStyle w:val="Hipercze"/>
            <w:rFonts w:asciiTheme="minorHAnsi" w:hAnsiTheme="minorHAnsi"/>
            <w:bCs/>
            <w:noProof/>
            <w:sz w:val="24"/>
            <w:szCs w:val="24"/>
          </w:rPr>
          <w:t>Tabela 4 Lista roślin, które mogą być przechowywane i transportowane do spalenia w czarnych workach. Pogrubioną czcionką* zaznaczono gatunki roślin, które stanowią zagrożenie dla Polski (Dz. U. z 2022 r. poz. 2649).</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_Toc239940750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68</w:t>
        </w:r>
        <w:r w:rsidRPr="00AF3516">
          <w:rPr>
            <w:rFonts w:asciiTheme="minorHAnsi" w:hAnsiTheme="minorHAnsi"/>
            <w:noProof/>
            <w:webHidden/>
            <w:sz w:val="24"/>
            <w:szCs w:val="24"/>
          </w:rPr>
          <w:fldChar w:fldCharType="end"/>
        </w:r>
      </w:hyperlink>
    </w:p>
    <w:p w14:paraId="5FB7DABD" w14:textId="40294074"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hyperlink w:anchor="_Toc239940751" w:history="1">
        <w:r w:rsidRPr="00AF3516">
          <w:rPr>
            <w:rStyle w:val="Hipercze"/>
            <w:rFonts w:asciiTheme="minorHAnsi" w:hAnsiTheme="minorHAnsi"/>
            <w:bCs/>
            <w:noProof/>
            <w:sz w:val="24"/>
            <w:szCs w:val="24"/>
          </w:rPr>
          <w:t>Tabela 5 Elementy monitoringu gatunków inwazyjnych</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_Toc239940751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70</w:t>
        </w:r>
        <w:r w:rsidRPr="00AF3516">
          <w:rPr>
            <w:rFonts w:asciiTheme="minorHAnsi" w:hAnsiTheme="minorHAnsi"/>
            <w:noProof/>
            <w:webHidden/>
            <w:sz w:val="24"/>
            <w:szCs w:val="24"/>
          </w:rPr>
          <w:fldChar w:fldCharType="end"/>
        </w:r>
      </w:hyperlink>
    </w:p>
    <w:p w14:paraId="2B4F7FFE" w14:textId="0382612A"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hyperlink w:anchor="_Toc239940752" w:history="1">
        <w:r w:rsidRPr="00AF3516">
          <w:rPr>
            <w:rStyle w:val="Hipercze"/>
            <w:rFonts w:asciiTheme="minorHAnsi" w:hAnsiTheme="minorHAnsi"/>
            <w:bCs/>
            <w:noProof/>
            <w:sz w:val="24"/>
            <w:szCs w:val="24"/>
          </w:rPr>
          <w:t>Tabela 6 Waloryzacja skuteczności działań zaradczych w odniesieniu do gatunków inwazyjnych gatunków obcych i działania następcze w związku z przyznaną oceną (ocena ta powinna mieć miejsce pod koniec sezonu wegetacyjnego po podjęciu wszystkich środków zaradczych)</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_Toc239940752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71</w:t>
        </w:r>
        <w:r w:rsidRPr="00AF3516">
          <w:rPr>
            <w:rFonts w:asciiTheme="minorHAnsi" w:hAnsiTheme="minorHAnsi"/>
            <w:noProof/>
            <w:webHidden/>
            <w:sz w:val="24"/>
            <w:szCs w:val="24"/>
          </w:rPr>
          <w:fldChar w:fldCharType="end"/>
        </w:r>
      </w:hyperlink>
    </w:p>
    <w:p w14:paraId="23EE0C5D" w14:textId="268D3826"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hyperlink w:anchor="_Toc239940753" w:history="1">
        <w:r w:rsidRPr="00AF3516">
          <w:rPr>
            <w:rStyle w:val="Hipercze"/>
            <w:rFonts w:asciiTheme="minorHAnsi" w:hAnsiTheme="minorHAnsi"/>
            <w:bCs/>
            <w:noProof/>
            <w:sz w:val="24"/>
            <w:szCs w:val="24"/>
          </w:rPr>
          <w:t>Tabela 7 Waloryzacja skuteczności działań zaradczych na gatunkach niedocelowych i działania następcze w związku z przyznaną oceną (ocena ta powinna mieć miejsce pod koniec sezonu wegetacyjnego po podjęciu wszystkich środków zaradczych)</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_Toc239940753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72</w:t>
        </w:r>
        <w:r w:rsidRPr="00AF3516">
          <w:rPr>
            <w:rFonts w:asciiTheme="minorHAnsi" w:hAnsiTheme="minorHAnsi"/>
            <w:noProof/>
            <w:webHidden/>
            <w:sz w:val="24"/>
            <w:szCs w:val="24"/>
          </w:rPr>
          <w:fldChar w:fldCharType="end"/>
        </w:r>
      </w:hyperlink>
    </w:p>
    <w:p w14:paraId="7E5D247F" w14:textId="7EF9B6EA" w:rsidR="00AF3516" w:rsidRPr="00AF3516" w:rsidRDefault="00AF3516" w:rsidP="00AF3516">
      <w:pPr>
        <w:pStyle w:val="Spisilustracji"/>
        <w:tabs>
          <w:tab w:val="right" w:leader="dot" w:pos="9062"/>
        </w:tabs>
        <w:spacing w:after="100" w:line="276" w:lineRule="auto"/>
        <w:jc w:val="both"/>
        <w:rPr>
          <w:rFonts w:asciiTheme="minorHAnsi" w:hAnsiTheme="minorHAnsi"/>
          <w:noProof/>
          <w:sz w:val="24"/>
          <w:szCs w:val="24"/>
        </w:rPr>
      </w:pPr>
      <w:hyperlink w:anchor="_Toc239940754" w:history="1">
        <w:r w:rsidRPr="00AF3516">
          <w:rPr>
            <w:rStyle w:val="Hipercze"/>
            <w:rFonts w:asciiTheme="minorHAnsi" w:hAnsiTheme="minorHAnsi"/>
            <w:bCs/>
            <w:noProof/>
            <w:sz w:val="24"/>
            <w:szCs w:val="24"/>
          </w:rPr>
          <w:t>Tabela 8 Lista pytań służących do weryfikacji środków zaradczych i wskazania potrzeby zastosowania środków minimalizujących</w:t>
        </w:r>
        <w:r w:rsidRPr="00AF3516">
          <w:rPr>
            <w:rFonts w:asciiTheme="minorHAnsi" w:hAnsiTheme="minorHAnsi"/>
            <w:noProof/>
            <w:webHidden/>
            <w:sz w:val="24"/>
            <w:szCs w:val="24"/>
          </w:rPr>
          <w:tab/>
        </w:r>
        <w:r w:rsidRPr="00AF3516">
          <w:rPr>
            <w:rFonts w:asciiTheme="minorHAnsi" w:hAnsiTheme="minorHAnsi"/>
            <w:noProof/>
            <w:webHidden/>
            <w:sz w:val="24"/>
            <w:szCs w:val="24"/>
          </w:rPr>
          <w:fldChar w:fldCharType="begin"/>
        </w:r>
        <w:r w:rsidRPr="00AF3516">
          <w:rPr>
            <w:rFonts w:asciiTheme="minorHAnsi" w:hAnsiTheme="minorHAnsi"/>
            <w:noProof/>
            <w:webHidden/>
            <w:sz w:val="24"/>
            <w:szCs w:val="24"/>
          </w:rPr>
          <w:instrText xml:space="preserve"> PAGEREF _Toc239940754 \h </w:instrText>
        </w:r>
        <w:r w:rsidRPr="00AF3516">
          <w:rPr>
            <w:rFonts w:asciiTheme="minorHAnsi" w:hAnsiTheme="minorHAnsi"/>
            <w:noProof/>
            <w:webHidden/>
            <w:sz w:val="24"/>
            <w:szCs w:val="24"/>
          </w:rPr>
        </w:r>
        <w:r w:rsidRPr="00AF3516">
          <w:rPr>
            <w:rFonts w:asciiTheme="minorHAnsi" w:hAnsiTheme="minorHAnsi"/>
            <w:noProof/>
            <w:webHidden/>
            <w:sz w:val="24"/>
            <w:szCs w:val="24"/>
          </w:rPr>
          <w:fldChar w:fldCharType="separate"/>
        </w:r>
        <w:r w:rsidRPr="00AF3516">
          <w:rPr>
            <w:rFonts w:asciiTheme="minorHAnsi" w:hAnsiTheme="minorHAnsi"/>
            <w:noProof/>
            <w:webHidden/>
            <w:sz w:val="24"/>
            <w:szCs w:val="24"/>
          </w:rPr>
          <w:t>73</w:t>
        </w:r>
        <w:r w:rsidRPr="00AF3516">
          <w:rPr>
            <w:rFonts w:asciiTheme="minorHAnsi" w:hAnsiTheme="minorHAnsi"/>
            <w:noProof/>
            <w:webHidden/>
            <w:sz w:val="24"/>
            <w:szCs w:val="24"/>
          </w:rPr>
          <w:fldChar w:fldCharType="end"/>
        </w:r>
      </w:hyperlink>
    </w:p>
    <w:p w14:paraId="421C4550" w14:textId="564E1EBC" w:rsidR="00AF3516" w:rsidRPr="00AF3516" w:rsidRDefault="00AF3516" w:rsidP="00AF3516">
      <w:r>
        <w:fldChar w:fldCharType="end"/>
      </w:r>
    </w:p>
    <w:sectPr w:rsidR="00AF3516" w:rsidRPr="00AF35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E6FD7" w14:textId="77777777" w:rsidR="004418EE" w:rsidRDefault="004418EE" w:rsidP="002F0704">
      <w:pPr>
        <w:spacing w:after="0" w:line="240" w:lineRule="auto"/>
      </w:pPr>
      <w:r>
        <w:separator/>
      </w:r>
    </w:p>
  </w:endnote>
  <w:endnote w:type="continuationSeparator" w:id="0">
    <w:p w14:paraId="0E851BF0" w14:textId="77777777" w:rsidR="004418EE" w:rsidRDefault="004418EE" w:rsidP="002F0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895728"/>
      <w:docPartObj>
        <w:docPartGallery w:val="Page Numbers (Bottom of Page)"/>
        <w:docPartUnique/>
      </w:docPartObj>
    </w:sdtPr>
    <w:sdtContent>
      <w:p w14:paraId="50D9DB99" w14:textId="49A18A53" w:rsidR="0075257B" w:rsidRDefault="0075257B">
        <w:pPr>
          <w:pStyle w:val="Stopka"/>
          <w:jc w:val="right"/>
        </w:pPr>
        <w:r>
          <w:fldChar w:fldCharType="begin"/>
        </w:r>
        <w:r>
          <w:instrText>PAGE   \* MERGEFORMAT</w:instrText>
        </w:r>
        <w:r>
          <w:fldChar w:fldCharType="separate"/>
        </w:r>
        <w:r>
          <w:t>2</w:t>
        </w:r>
        <w:r>
          <w:fldChar w:fldCharType="end"/>
        </w:r>
      </w:p>
    </w:sdtContent>
  </w:sdt>
  <w:p w14:paraId="2D9A648C" w14:textId="77777777" w:rsidR="0075257B" w:rsidRDefault="007525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93835" w14:textId="77777777" w:rsidR="004418EE" w:rsidRDefault="004418EE" w:rsidP="002F0704">
      <w:pPr>
        <w:spacing w:after="0" w:line="240" w:lineRule="auto"/>
      </w:pPr>
      <w:r>
        <w:separator/>
      </w:r>
    </w:p>
  </w:footnote>
  <w:footnote w:type="continuationSeparator" w:id="0">
    <w:p w14:paraId="6A6AB15E" w14:textId="77777777" w:rsidR="004418EE" w:rsidRDefault="004418EE" w:rsidP="002F0704">
      <w:pPr>
        <w:spacing w:after="0" w:line="240" w:lineRule="auto"/>
      </w:pPr>
      <w:r>
        <w:continuationSeparator/>
      </w:r>
    </w:p>
  </w:footnote>
  <w:footnote w:id="1">
    <w:p w14:paraId="20501E39" w14:textId="77777777" w:rsidR="006B496F" w:rsidRPr="00183A37" w:rsidRDefault="006B496F" w:rsidP="006B496F">
      <w:pPr>
        <w:pStyle w:val="Tekstprzypisudolnego"/>
      </w:pPr>
      <w:r>
        <w:rPr>
          <w:rStyle w:val="Odwoanieprzypisudolnego"/>
        </w:rPr>
        <w:footnoteRef/>
      </w:r>
      <w:r w:rsidRPr="00183A37">
        <w:t xml:space="preserve"> „Wytyczne dotyczące zwalczania </w:t>
      </w:r>
      <w:proofErr w:type="spellStart"/>
      <w:r w:rsidRPr="00183A37">
        <w:t>rdestowców</w:t>
      </w:r>
      <w:proofErr w:type="spellEnd"/>
      <w:r w:rsidRPr="00183A37">
        <w:t xml:space="preserve"> na terenie Polski”, GDOŚ, 2015</w:t>
      </w:r>
    </w:p>
  </w:footnote>
  <w:footnote w:id="2">
    <w:p w14:paraId="3CA42FDF" w14:textId="77777777" w:rsidR="006B496F" w:rsidRPr="00183A37" w:rsidRDefault="006B496F" w:rsidP="006B496F">
      <w:pPr>
        <w:pStyle w:val="Tekstprzypisudolnego"/>
      </w:pPr>
      <w:r>
        <w:rPr>
          <w:rStyle w:val="Odwoanieprzypisudolnego"/>
        </w:rPr>
        <w:footnoteRef/>
      </w:r>
      <w:r w:rsidRPr="00183A37">
        <w:t xml:space="preserve"> https://www.ogrod.uw.edu.pl/</w:t>
      </w:r>
    </w:p>
  </w:footnote>
  <w:footnote w:id="3">
    <w:p w14:paraId="01CD5C93" w14:textId="77777777" w:rsidR="006B496F" w:rsidRPr="00183A37" w:rsidRDefault="006B496F" w:rsidP="006B496F">
      <w:pPr>
        <w:pStyle w:val="Tekstprzypisudolnego"/>
      </w:pPr>
      <w:r>
        <w:rPr>
          <w:rStyle w:val="Odwoanieprzypisudolnego"/>
        </w:rPr>
        <w:footnoteRef/>
      </w:r>
      <w:r w:rsidRPr="00183A37">
        <w:t xml:space="preserve"> „Wytyczne dotyczące zwalczania </w:t>
      </w:r>
      <w:proofErr w:type="spellStart"/>
      <w:r w:rsidRPr="00183A37">
        <w:t>rdestowców</w:t>
      </w:r>
      <w:proofErr w:type="spellEnd"/>
      <w:r w:rsidRPr="00183A37">
        <w:t xml:space="preserve"> na terenie Polski”</w:t>
      </w:r>
      <w:r>
        <w:t>,</w:t>
      </w:r>
      <w:r w:rsidRPr="00183A37">
        <w:t xml:space="preserve"> GDOŚ, 2015</w:t>
      </w:r>
    </w:p>
  </w:footnote>
  <w:footnote w:id="4">
    <w:p w14:paraId="3E652FB8" w14:textId="77777777" w:rsidR="006B496F" w:rsidRPr="003C11C2" w:rsidRDefault="006B496F" w:rsidP="006B496F">
      <w:pPr>
        <w:pStyle w:val="Tekstprzypisudolnego"/>
        <w:rPr>
          <w:lang w:val="en-US"/>
        </w:rPr>
      </w:pPr>
      <w:r>
        <w:rPr>
          <w:rStyle w:val="Odwoanieprzypisudolnego"/>
        </w:rPr>
        <w:footnoteRef/>
      </w:r>
      <w:r w:rsidRPr="003C11C2">
        <w:rPr>
          <w:lang w:val="en-US"/>
        </w:rPr>
        <w:t xml:space="preserve"> </w:t>
      </w:r>
      <w:r>
        <w:rPr>
          <w:lang w:val="en-US"/>
        </w:rPr>
        <w:t xml:space="preserve">INNSA </w:t>
      </w:r>
      <w:r w:rsidRPr="003C11C2">
        <w:rPr>
          <w:lang w:val="en-US"/>
        </w:rPr>
        <w:t>Code of Practice Managing Japanese Knotweed</w:t>
      </w:r>
      <w:r>
        <w:rPr>
          <w:lang w:val="en-US"/>
        </w:rPr>
        <w:t>, 2017</w:t>
      </w:r>
    </w:p>
  </w:footnote>
  <w:footnote w:id="5">
    <w:p w14:paraId="6516DFE9" w14:textId="77777777" w:rsidR="006B496F" w:rsidRPr="00221651" w:rsidRDefault="006B496F" w:rsidP="006B496F">
      <w:pPr>
        <w:pStyle w:val="Tekstprzypisudolnego"/>
      </w:pPr>
      <w:r>
        <w:rPr>
          <w:rStyle w:val="Odwoanieprzypisudolnego"/>
        </w:rPr>
        <w:footnoteRef/>
      </w:r>
      <w:r w:rsidRPr="00221651">
        <w:t xml:space="preserve"> Kodeks dobrych praktyk: Ogrodnictwo wobec roślin inwazyjnych obcego pochodzenia (GDOŚ Wytyczne 2016)</w:t>
      </w:r>
    </w:p>
  </w:footnote>
  <w:footnote w:id="6">
    <w:p w14:paraId="3998CED4" w14:textId="77777777" w:rsidR="006B496F" w:rsidRPr="009E4E59" w:rsidRDefault="006B496F" w:rsidP="006B496F">
      <w:pPr>
        <w:pStyle w:val="Tekstprzypisudolnego"/>
      </w:pPr>
      <w:r>
        <w:rPr>
          <w:rStyle w:val="Odwoanieprzypisudolnego"/>
        </w:rPr>
        <w:footnoteRef/>
      </w:r>
      <w:r w:rsidRPr="009E4E59">
        <w:t xml:space="preserve"> GDOŚ Wytyczne 2016 / https://www.ogrod.uw.edu.pl/</w:t>
      </w:r>
    </w:p>
  </w:footnote>
  <w:footnote w:id="7">
    <w:p w14:paraId="3643650C" w14:textId="77777777" w:rsidR="006B496F" w:rsidRPr="00107EB5" w:rsidRDefault="006B496F" w:rsidP="006B496F">
      <w:pPr>
        <w:pStyle w:val="Tekstprzypisudolnego"/>
        <w:rPr>
          <w:lang w:val="en-US"/>
        </w:rPr>
      </w:pPr>
      <w:r>
        <w:rPr>
          <w:rStyle w:val="Odwoanieprzypisudolnego"/>
        </w:rPr>
        <w:footnoteRef/>
      </w:r>
      <w:r w:rsidRPr="00107EB5">
        <w:rPr>
          <w:lang w:val="en-US"/>
        </w:rPr>
        <w:t xml:space="preserve"> </w:t>
      </w:r>
      <w:r w:rsidRPr="000E5BED">
        <w:rPr>
          <w:lang w:val="en-US"/>
        </w:rPr>
        <w:t>CABI Compendium</w:t>
      </w:r>
      <w:r>
        <w:rPr>
          <w:lang w:val="en-US"/>
        </w:rPr>
        <w:t xml:space="preserve"> (</w:t>
      </w:r>
      <w:r w:rsidRPr="00364F2D">
        <w:rPr>
          <w:lang w:val="en-US"/>
        </w:rPr>
        <w:t>https://www.cabidigitallibrary.org/doi/full/10.1079/cabicompendium.47835</w:t>
      </w:r>
      <w:r>
        <w:rPr>
          <w:lang w:val="en-US"/>
        </w:rPr>
        <w:t>)</w:t>
      </w:r>
    </w:p>
  </w:footnote>
  <w:footnote w:id="8">
    <w:p w14:paraId="1F814DCE" w14:textId="77777777" w:rsidR="00651F3F" w:rsidRPr="00E4144B" w:rsidRDefault="00651F3F" w:rsidP="00651F3F">
      <w:pPr>
        <w:pStyle w:val="Tekstprzypisudolnego"/>
        <w:rPr>
          <w:lang w:val="en-US"/>
        </w:rPr>
      </w:pPr>
      <w:r>
        <w:rPr>
          <w:rStyle w:val="Odwoanieprzypisudolnego"/>
        </w:rPr>
        <w:footnoteRef/>
      </w:r>
      <w:r w:rsidRPr="00E4144B">
        <w:rPr>
          <w:lang w:val="en-US"/>
        </w:rPr>
        <w:t xml:space="preserve"> https://www.ogrod.uw.edu.pl/</w:t>
      </w:r>
    </w:p>
  </w:footnote>
  <w:footnote w:id="9">
    <w:p w14:paraId="3E929FD8" w14:textId="77777777" w:rsidR="00651F3F" w:rsidRDefault="00651F3F" w:rsidP="00651F3F">
      <w:pPr>
        <w:pStyle w:val="Tekstprzypisudolnego"/>
      </w:pPr>
      <w:r>
        <w:rPr>
          <w:rStyle w:val="Odwoanieprzypisudolnego"/>
        </w:rPr>
        <w:footnoteRef/>
      </w:r>
      <w:r>
        <w:t xml:space="preserve"> </w:t>
      </w:r>
      <w:r w:rsidRPr="002E573C">
        <w:t xml:space="preserve">Kompendium. Metody zwalczania </w:t>
      </w:r>
      <w:r>
        <w:t>niecierpka pomarańczowego i gruczołowatego</w:t>
      </w:r>
      <w:r w:rsidRPr="002E573C">
        <w:t>, GDOŚ, Warszawa 2022 (https://www.gov.pl/web/gdos/kompendia-zwalczania-wybranych-igo)</w:t>
      </w:r>
    </w:p>
  </w:footnote>
  <w:footnote w:id="10">
    <w:p w14:paraId="1A0AEA4D" w14:textId="77777777" w:rsidR="00651F3F" w:rsidRPr="00CC70DF" w:rsidRDefault="00651F3F" w:rsidP="00651F3F">
      <w:pPr>
        <w:pStyle w:val="Tekstprzypisudolnego"/>
      </w:pPr>
      <w:r>
        <w:rPr>
          <w:rStyle w:val="Odwoanieprzypisudolnego"/>
        </w:rPr>
        <w:footnoteRef/>
      </w:r>
      <w:r w:rsidRPr="00CC70DF">
        <w:t xml:space="preserve"> </w:t>
      </w:r>
      <w:r w:rsidRPr="00533B4B">
        <w:t>https://www.ogrod.uw.edu.pl/</w:t>
      </w:r>
    </w:p>
  </w:footnote>
  <w:footnote w:id="11">
    <w:p w14:paraId="2FCB54BB" w14:textId="77777777" w:rsidR="00651F3F" w:rsidRPr="00107EB5" w:rsidRDefault="00651F3F" w:rsidP="00651F3F">
      <w:pPr>
        <w:pStyle w:val="Tekstprzypisudolnego"/>
        <w:rPr>
          <w:lang w:val="en-US"/>
        </w:rPr>
      </w:pPr>
      <w:r>
        <w:rPr>
          <w:rStyle w:val="Odwoanieprzypisudolnego"/>
        </w:rPr>
        <w:footnoteRef/>
      </w:r>
      <w:r w:rsidRPr="00107EB5">
        <w:rPr>
          <w:lang w:val="en-US"/>
        </w:rPr>
        <w:t xml:space="preserve"> </w:t>
      </w:r>
      <w:r w:rsidRPr="000E5BED">
        <w:rPr>
          <w:lang w:val="en-US"/>
        </w:rPr>
        <w:t>CABI Compendium</w:t>
      </w:r>
      <w:r>
        <w:rPr>
          <w:lang w:val="en-US"/>
        </w:rPr>
        <w:t xml:space="preserve"> (</w:t>
      </w:r>
      <w:r w:rsidRPr="0018406B">
        <w:rPr>
          <w:lang w:val="en-US"/>
        </w:rPr>
        <w:t>https://www.cabidigitallibrary.org/doi/full/10.1079/cabicompendium.28766</w:t>
      </w:r>
      <w:r>
        <w:rPr>
          <w:lang w:val="en-US"/>
        </w:rPr>
        <w:t>)</w:t>
      </w:r>
    </w:p>
  </w:footnote>
  <w:footnote w:id="12">
    <w:p w14:paraId="4D77EF00" w14:textId="57649040" w:rsidR="00651F3F" w:rsidRPr="00832A8A" w:rsidRDefault="00651F3F" w:rsidP="00651F3F">
      <w:pPr>
        <w:pStyle w:val="Tekstprzypisudolnego"/>
        <w:rPr>
          <w:lang w:val="en-US"/>
        </w:rPr>
      </w:pPr>
      <w:r>
        <w:rPr>
          <w:rStyle w:val="Odwoanieprzypisudolnego"/>
        </w:rPr>
        <w:footnoteRef/>
      </w:r>
      <w:r w:rsidRPr="00832A8A">
        <w:rPr>
          <w:lang w:val="en-US"/>
        </w:rPr>
        <w:t> https://projekty.gdos.gov.pl/files/artykuly/127094/Solidago-candensis_nawloc-kanadyjska_KG_WWW_icon.pdf /https://projekty.gdos.gov.pl/files/artykuly/127095/Solidago-gigantea_nawloc-pozna_KG_WWW_icon.pdf</w:t>
      </w:r>
    </w:p>
  </w:footnote>
  <w:footnote w:id="13">
    <w:p w14:paraId="0D18C173" w14:textId="77777777" w:rsidR="00651F3F" w:rsidRPr="00221651" w:rsidRDefault="00651F3F" w:rsidP="00651F3F">
      <w:pPr>
        <w:pStyle w:val="Tekstprzypisudolnego"/>
      </w:pPr>
      <w:r>
        <w:rPr>
          <w:rStyle w:val="Odwoanieprzypisudolnego"/>
        </w:rPr>
        <w:footnoteRef/>
      </w:r>
      <w:r w:rsidRPr="00221651">
        <w:t> Materiały edukacyjne Uniwersytetu Przyrodniczego w Poznaniu (https://puls.edu.pl/materia-y-prasowe/ogloszenia/admin/naw-o-kanadyjska-adna-cho-bardzo-niebezpieczna)</w:t>
      </w:r>
    </w:p>
  </w:footnote>
  <w:footnote w:id="14">
    <w:p w14:paraId="09C20237" w14:textId="77777777" w:rsidR="00651F3F" w:rsidRPr="00DE338B" w:rsidRDefault="00651F3F" w:rsidP="00651F3F">
      <w:pPr>
        <w:pStyle w:val="Tekstprzypisudolnego"/>
      </w:pPr>
      <w:r>
        <w:rPr>
          <w:rStyle w:val="Odwoanieprzypisudolnego"/>
        </w:rPr>
        <w:footnoteRef/>
      </w:r>
      <w:r w:rsidRPr="00DE338B">
        <w:t> (https://projekty.gdos.gov.pl/files/artykuly/127095/Solidago-gigantea_nawloc-pozna_KG_WWW_icon.pdf)</w:t>
      </w:r>
    </w:p>
  </w:footnote>
  <w:footnote w:id="15">
    <w:p w14:paraId="72DBBC9D" w14:textId="77777777" w:rsidR="00651F3F" w:rsidRPr="00107EB5" w:rsidRDefault="00651F3F" w:rsidP="00651F3F">
      <w:pPr>
        <w:pStyle w:val="Tekstprzypisudolnego"/>
        <w:rPr>
          <w:lang w:val="en-US"/>
        </w:rPr>
      </w:pPr>
      <w:r>
        <w:rPr>
          <w:rStyle w:val="Odwoanieprzypisudolnego"/>
        </w:rPr>
        <w:footnoteRef/>
      </w:r>
      <w:r w:rsidRPr="00107EB5">
        <w:rPr>
          <w:lang w:val="en-US"/>
        </w:rPr>
        <w:t xml:space="preserve"> CABI Compendium (</w:t>
      </w:r>
      <w:r w:rsidRPr="0018406B">
        <w:rPr>
          <w:lang w:val="en-US"/>
        </w:rPr>
        <w:t>https://www.cabidigitallibrary.org/doi/full/10.1079/cabicompendium.50599</w:t>
      </w:r>
      <w:r w:rsidRPr="00107EB5">
        <w:rPr>
          <w:lang w:val="en-US"/>
        </w:rPr>
        <w:t>)</w:t>
      </w:r>
    </w:p>
  </w:footnote>
  <w:footnote w:id="16">
    <w:p w14:paraId="49F95F7A" w14:textId="77777777" w:rsidR="00651F3F" w:rsidRPr="003A04AD" w:rsidRDefault="00651F3F" w:rsidP="00651F3F">
      <w:pPr>
        <w:pStyle w:val="Tekstprzypisudolnego"/>
        <w:rPr>
          <w:lang w:val="en-US"/>
        </w:rPr>
      </w:pPr>
      <w:r>
        <w:rPr>
          <w:rStyle w:val="Odwoanieprzypisudolnego"/>
        </w:rPr>
        <w:footnoteRef/>
      </w:r>
      <w:r w:rsidRPr="003A04AD">
        <w:rPr>
          <w:lang w:val="en-US"/>
        </w:rPr>
        <w:t xml:space="preserve"> GDOŚ </w:t>
      </w:r>
      <w:proofErr w:type="spellStart"/>
      <w:r w:rsidRPr="003A04AD">
        <w:rPr>
          <w:lang w:val="en-US"/>
        </w:rPr>
        <w:t>Wytyczne</w:t>
      </w:r>
      <w:proofErr w:type="spellEnd"/>
      <w:r w:rsidRPr="003A04AD">
        <w:rPr>
          <w:lang w:val="en-US"/>
        </w:rPr>
        <w:t xml:space="preserve"> 2016</w:t>
      </w:r>
    </w:p>
  </w:footnote>
  <w:footnote w:id="17">
    <w:p w14:paraId="7ED0AA8D" w14:textId="77777777" w:rsidR="00651F3F" w:rsidRPr="003A04AD" w:rsidRDefault="00651F3F" w:rsidP="00651F3F">
      <w:pPr>
        <w:pStyle w:val="Tekstprzypisudolnego"/>
        <w:rPr>
          <w:lang w:val="en-US"/>
        </w:rPr>
      </w:pPr>
      <w:r>
        <w:rPr>
          <w:rStyle w:val="Odwoanieprzypisudolnego"/>
        </w:rPr>
        <w:footnoteRef/>
      </w:r>
      <w:r w:rsidRPr="003A04AD">
        <w:rPr>
          <w:lang w:val="en-US"/>
        </w:rPr>
        <w:t xml:space="preserve"> Ibid</w:t>
      </w:r>
    </w:p>
  </w:footnote>
  <w:footnote w:id="18">
    <w:p w14:paraId="262BDE42" w14:textId="77777777" w:rsidR="00651F3F" w:rsidRPr="00107EB5" w:rsidRDefault="00651F3F" w:rsidP="00651F3F">
      <w:pPr>
        <w:pStyle w:val="Tekstprzypisudolnego"/>
        <w:rPr>
          <w:lang w:val="en-US"/>
        </w:rPr>
      </w:pPr>
      <w:r>
        <w:rPr>
          <w:rStyle w:val="Odwoanieprzypisudolnego"/>
        </w:rPr>
        <w:footnoteRef/>
      </w:r>
      <w:r w:rsidRPr="00107EB5">
        <w:rPr>
          <w:lang w:val="en-US"/>
        </w:rPr>
        <w:t xml:space="preserve"> </w:t>
      </w:r>
      <w:r w:rsidRPr="0018406B">
        <w:rPr>
          <w:lang w:val="en-US"/>
        </w:rPr>
        <w:t>CABI Compendium (</w:t>
      </w:r>
      <w:r w:rsidRPr="004D0676">
        <w:rPr>
          <w:lang w:val="en-US"/>
        </w:rPr>
        <w:t>https://www.cabidigitallibrary.org/doi/full/10.1079/cabicompendium.31710</w:t>
      </w:r>
      <w:r w:rsidRPr="0018406B">
        <w:rPr>
          <w:lang w:val="en-US"/>
        </w:rPr>
        <w:t>)</w:t>
      </w:r>
    </w:p>
  </w:footnote>
  <w:footnote w:id="19">
    <w:p w14:paraId="7BFA4757" w14:textId="77777777" w:rsidR="00651F3F" w:rsidRPr="00255D87" w:rsidRDefault="00651F3F" w:rsidP="00651F3F">
      <w:pPr>
        <w:pStyle w:val="Tekstprzypisudolnego"/>
        <w:rPr>
          <w:lang w:val="en-US"/>
        </w:rPr>
      </w:pPr>
      <w:r>
        <w:rPr>
          <w:rStyle w:val="Odwoanieprzypisudolnego"/>
        </w:rPr>
        <w:footnoteRef/>
      </w:r>
      <w:r w:rsidRPr="00255D87">
        <w:rPr>
          <w:lang w:val="en-US"/>
        </w:rPr>
        <w:t xml:space="preserve"> </w:t>
      </w:r>
      <w:r>
        <w:rPr>
          <w:lang w:val="en-US"/>
        </w:rPr>
        <w:t>Ibid</w:t>
      </w:r>
    </w:p>
  </w:footnote>
  <w:footnote w:id="20">
    <w:p w14:paraId="057340EE" w14:textId="77777777" w:rsidR="00651F3F" w:rsidRPr="007439FD" w:rsidRDefault="00651F3F" w:rsidP="00651F3F">
      <w:pPr>
        <w:pStyle w:val="Tekstprzypisudolnego"/>
        <w:rPr>
          <w:lang w:val="en-US"/>
        </w:rPr>
      </w:pPr>
      <w:r>
        <w:rPr>
          <w:rStyle w:val="Odwoanieprzypisudolnego"/>
        </w:rPr>
        <w:footnoteRef/>
      </w:r>
      <w:r w:rsidRPr="007439FD">
        <w:rPr>
          <w:lang w:val="en-US"/>
        </w:rPr>
        <w:t xml:space="preserve"> https://www.ogrod.uw.edu.pl/</w:t>
      </w:r>
    </w:p>
  </w:footnote>
  <w:footnote w:id="21">
    <w:p w14:paraId="318E9792" w14:textId="77777777" w:rsidR="00651F3F" w:rsidRPr="00107EB5" w:rsidRDefault="00651F3F" w:rsidP="00651F3F">
      <w:pPr>
        <w:pStyle w:val="Tekstprzypisudolnego"/>
        <w:rPr>
          <w:lang w:val="en-US"/>
        </w:rPr>
      </w:pPr>
      <w:r>
        <w:rPr>
          <w:rStyle w:val="Odwoanieprzypisudolnego"/>
        </w:rPr>
        <w:footnoteRef/>
      </w:r>
      <w:r w:rsidRPr="00107EB5">
        <w:rPr>
          <w:lang w:val="en-US"/>
        </w:rPr>
        <w:t xml:space="preserve"> </w:t>
      </w:r>
      <w:r w:rsidRPr="005D4C8A">
        <w:rPr>
          <w:lang w:val="en-US"/>
        </w:rPr>
        <w:t>https://www.cabidigitallibrary.org/doi/full/10.1079/cabicompendium.113998</w:t>
      </w:r>
    </w:p>
  </w:footnote>
  <w:footnote w:id="22">
    <w:p w14:paraId="46597CDA" w14:textId="77777777" w:rsidR="00651F3F" w:rsidRPr="00B11F80" w:rsidRDefault="00651F3F" w:rsidP="00651F3F">
      <w:pPr>
        <w:pStyle w:val="Tekstprzypisudolnego"/>
        <w:rPr>
          <w:lang w:val="en-US"/>
        </w:rPr>
      </w:pPr>
      <w:r>
        <w:rPr>
          <w:rStyle w:val="Odwoanieprzypisudolnego"/>
        </w:rPr>
        <w:footnoteRef/>
      </w:r>
      <w:r w:rsidRPr="00B11F80">
        <w:rPr>
          <w:lang w:val="en-US"/>
        </w:rPr>
        <w:t xml:space="preserve"> </w:t>
      </w:r>
      <w:r w:rsidRPr="005D4C8A">
        <w:rPr>
          <w:lang w:val="en-US"/>
        </w:rPr>
        <w:t>https://www.ogrod.uw.edu.pl/</w:t>
      </w:r>
    </w:p>
  </w:footnote>
  <w:footnote w:id="23">
    <w:p w14:paraId="7217959A" w14:textId="77777777" w:rsidR="00651F3F" w:rsidRDefault="00651F3F" w:rsidP="00651F3F">
      <w:pPr>
        <w:pStyle w:val="Tekstprzypisudolnego"/>
      </w:pPr>
      <w:r>
        <w:rPr>
          <w:rStyle w:val="Odwoanieprzypisudolnego"/>
        </w:rPr>
        <w:footnoteRef/>
      </w:r>
      <w:r>
        <w:t xml:space="preserve"> </w:t>
      </w:r>
      <w:r w:rsidRPr="002E573C">
        <w:t xml:space="preserve">Kompendium. Metody </w:t>
      </w:r>
      <w:bookmarkStart w:id="15" w:name="_Hlk170895704"/>
      <w:r w:rsidRPr="002E573C">
        <w:t xml:space="preserve">zwalczania </w:t>
      </w:r>
      <w:proofErr w:type="spellStart"/>
      <w:r>
        <w:t>kolczurki</w:t>
      </w:r>
      <w:proofErr w:type="spellEnd"/>
      <w:r>
        <w:t xml:space="preserve"> klapowanej</w:t>
      </w:r>
      <w:bookmarkEnd w:id="15"/>
      <w:r w:rsidRPr="002E573C">
        <w:t>, GDOŚ, Warszawa 2022 (https://www.gov.pl/web/gdos/kompendia-zwalczania-wybranych-igo)</w:t>
      </w:r>
    </w:p>
  </w:footnote>
  <w:footnote w:id="24">
    <w:p w14:paraId="1DD43F6A" w14:textId="77777777" w:rsidR="000D5C18" w:rsidRPr="00427C0A" w:rsidRDefault="000D5C18" w:rsidP="000D5C18">
      <w:pPr>
        <w:pStyle w:val="Tekstprzypisudolnego"/>
        <w:rPr>
          <w:lang w:val="en-US"/>
        </w:rPr>
      </w:pPr>
      <w:r>
        <w:rPr>
          <w:rStyle w:val="Odwoanieprzypisudolnego"/>
        </w:rPr>
        <w:footnoteRef/>
      </w:r>
      <w:r w:rsidRPr="00427C0A">
        <w:rPr>
          <w:lang w:val="en-US"/>
        </w:rPr>
        <w:t xml:space="preserve"> Ibid</w:t>
      </w:r>
    </w:p>
  </w:footnote>
  <w:footnote w:id="25">
    <w:p w14:paraId="72918BF0" w14:textId="77777777" w:rsidR="000D5C18" w:rsidRPr="00107EB5" w:rsidRDefault="000D5C18" w:rsidP="000D5C18">
      <w:pPr>
        <w:pStyle w:val="Tekstprzypisudolnego"/>
        <w:rPr>
          <w:lang w:val="en-US"/>
        </w:rPr>
      </w:pPr>
      <w:r>
        <w:rPr>
          <w:rStyle w:val="Odwoanieprzypisudolnego"/>
        </w:rPr>
        <w:footnoteRef/>
      </w:r>
      <w:r w:rsidRPr="00107EB5">
        <w:rPr>
          <w:lang w:val="en-US"/>
        </w:rPr>
        <w:t xml:space="preserve"> CABI Compendium (</w:t>
      </w:r>
      <w:r w:rsidRPr="00405071">
        <w:rPr>
          <w:lang w:val="en-US"/>
        </w:rPr>
        <w:t>https://www.cabidigitallibrary.org/doi/full/10.1079/cabicompendium.4652</w:t>
      </w:r>
      <w:r w:rsidRPr="00107EB5">
        <w:rPr>
          <w:lang w:val="en-US"/>
        </w:rPr>
        <w:t>)</w:t>
      </w:r>
    </w:p>
  </w:footnote>
  <w:footnote w:id="26">
    <w:p w14:paraId="54B26C80" w14:textId="77777777" w:rsidR="000D5C18" w:rsidRPr="00DE338B" w:rsidRDefault="000D5C18" w:rsidP="000D5C18">
      <w:pPr>
        <w:pStyle w:val="Tekstprzypisudolnego"/>
      </w:pPr>
      <w:r>
        <w:rPr>
          <w:rStyle w:val="Odwoanieprzypisudolnego"/>
        </w:rPr>
        <w:footnoteRef/>
      </w:r>
      <w:r w:rsidRPr="00DE338B">
        <w:t xml:space="preserve"> </w:t>
      </w:r>
      <w:proofErr w:type="spellStart"/>
      <w:r w:rsidRPr="00DE338B">
        <w:t>Ibid</w:t>
      </w:r>
      <w:proofErr w:type="spellEnd"/>
    </w:p>
  </w:footnote>
  <w:footnote w:id="27">
    <w:p w14:paraId="04BC26D1" w14:textId="77777777" w:rsidR="000D5C18" w:rsidRPr="00CC70DF" w:rsidRDefault="000D5C18" w:rsidP="000D5C18">
      <w:pPr>
        <w:pStyle w:val="Tekstprzypisudolnego"/>
      </w:pPr>
      <w:r>
        <w:rPr>
          <w:rStyle w:val="Odwoanieprzypisudolnego"/>
        </w:rPr>
        <w:footnoteRef/>
      </w:r>
      <w:r w:rsidRPr="00CC70DF">
        <w:t xml:space="preserve"> GDOŚ Wytyczne 2016</w:t>
      </w:r>
    </w:p>
  </w:footnote>
  <w:footnote w:id="28">
    <w:p w14:paraId="4129CF35" w14:textId="77777777" w:rsidR="000D5C18" w:rsidRPr="00DE338B" w:rsidRDefault="000D5C18" w:rsidP="000D5C18">
      <w:pPr>
        <w:pStyle w:val="Tekstprzypisudolnego"/>
      </w:pPr>
      <w:r>
        <w:rPr>
          <w:rStyle w:val="Odwoanieprzypisudolnego"/>
        </w:rPr>
        <w:footnoteRef/>
      </w:r>
      <w:r>
        <w:t xml:space="preserve"> </w:t>
      </w:r>
      <w:r w:rsidRPr="00516F54">
        <w:t xml:space="preserve">B. Tokarska-Guzik, Z. </w:t>
      </w:r>
      <w:proofErr w:type="spellStart"/>
      <w:r w:rsidRPr="00516F54">
        <w:t>Dajdok</w:t>
      </w:r>
      <w:proofErr w:type="spellEnd"/>
      <w:r w:rsidRPr="00516F54">
        <w:t>, M. Zając, A. Zając, A. Urbisz, W. Danielewicz: Rośliny obcego pochodzenia w Polsce ze szczególnym uwzględnieniem gatunków inwazyjnych (</w:t>
      </w:r>
      <w:proofErr w:type="spellStart"/>
      <w:r w:rsidRPr="00516F54">
        <w:t>Plants</w:t>
      </w:r>
      <w:proofErr w:type="spellEnd"/>
      <w:r w:rsidRPr="00516F54">
        <w:t xml:space="preserve"> of </w:t>
      </w:r>
      <w:proofErr w:type="spellStart"/>
      <w:r w:rsidRPr="00516F54">
        <w:t>foreign</w:t>
      </w:r>
      <w:proofErr w:type="spellEnd"/>
      <w:r w:rsidRPr="00516F54">
        <w:t xml:space="preserve"> </w:t>
      </w:r>
      <w:proofErr w:type="spellStart"/>
      <w:r w:rsidRPr="00516F54">
        <w:t>origin</w:t>
      </w:r>
      <w:proofErr w:type="spellEnd"/>
      <w:r w:rsidRPr="00516F54">
        <w:t xml:space="preserve"> in Poland with </w:t>
      </w:r>
      <w:proofErr w:type="spellStart"/>
      <w:r w:rsidRPr="00516F54">
        <w:t>particular</w:t>
      </w:r>
      <w:proofErr w:type="spellEnd"/>
      <w:r w:rsidRPr="00516F54">
        <w:t xml:space="preserve"> </w:t>
      </w:r>
      <w:proofErr w:type="spellStart"/>
      <w:r w:rsidRPr="00516F54">
        <w:t>reference</w:t>
      </w:r>
      <w:proofErr w:type="spellEnd"/>
      <w:r w:rsidRPr="00516F54">
        <w:t xml:space="preserve"> to </w:t>
      </w:r>
      <w:proofErr w:type="spellStart"/>
      <w:r w:rsidRPr="00516F54">
        <w:t>invasive</w:t>
      </w:r>
      <w:proofErr w:type="spellEnd"/>
      <w:r w:rsidRPr="00516F54">
        <w:t xml:space="preserve"> </w:t>
      </w:r>
      <w:proofErr w:type="spellStart"/>
      <w:r w:rsidRPr="00516F54">
        <w:t>species</w:t>
      </w:r>
      <w:proofErr w:type="spellEnd"/>
      <w:r w:rsidRPr="00516F54">
        <w:t xml:space="preserve">). </w:t>
      </w:r>
      <w:r w:rsidRPr="00DE338B">
        <w:t>Warszawa: Generalna Dyrekcja Ochrony Środowiska, 2012. ISBN 978-83-62940-34-9</w:t>
      </w:r>
    </w:p>
  </w:footnote>
  <w:footnote w:id="29">
    <w:p w14:paraId="7BFEEF54" w14:textId="77777777" w:rsidR="000D5C18" w:rsidRPr="00221651" w:rsidRDefault="000D5C18" w:rsidP="000D5C18">
      <w:pPr>
        <w:pStyle w:val="Tekstprzypisudolnego"/>
      </w:pPr>
      <w:r>
        <w:rPr>
          <w:rStyle w:val="Odwoanieprzypisudolnego"/>
        </w:rPr>
        <w:footnoteRef/>
      </w:r>
      <w:r w:rsidRPr="00221651">
        <w:t xml:space="preserve"> Załącznik 2</w:t>
      </w:r>
      <w:r>
        <w:t xml:space="preserve"> </w:t>
      </w:r>
      <w:r w:rsidRPr="00221651">
        <w:t xml:space="preserve">“Obce gatunki roślin inwazyjne </w:t>
      </w:r>
      <w:r>
        <w:t>w skali kraju</w:t>
      </w:r>
      <w:r w:rsidRPr="00221651">
        <w:t>, region</w:t>
      </w:r>
      <w:r>
        <w:t>ów</w:t>
      </w:r>
      <w:r w:rsidRPr="00221651">
        <w:t xml:space="preserve"> lub lokaln</w:t>
      </w:r>
      <w:r>
        <w:t>ie</w:t>
      </w:r>
      <w:r w:rsidRPr="00221651">
        <w:t xml:space="preserve"> oraz rośliny potencjalnie inwazyjne” do powyższej publikacji.</w:t>
      </w:r>
    </w:p>
  </w:footnote>
  <w:footnote w:id="30">
    <w:p w14:paraId="7E3069DD" w14:textId="77777777" w:rsidR="000D5C18" w:rsidRPr="00255D87" w:rsidRDefault="000D5C18" w:rsidP="000D5C18">
      <w:pPr>
        <w:pStyle w:val="Tekstprzypisudolnego"/>
        <w:rPr>
          <w:lang w:val="en-US"/>
        </w:rPr>
      </w:pPr>
      <w:r>
        <w:rPr>
          <w:rStyle w:val="Odwoanieprzypisudolnego"/>
        </w:rPr>
        <w:footnoteRef/>
      </w:r>
      <w:r w:rsidRPr="00255D87">
        <w:rPr>
          <w:lang w:val="en-US"/>
        </w:rPr>
        <w:t xml:space="preserve"> </w:t>
      </w:r>
      <w:proofErr w:type="spellStart"/>
      <w:r>
        <w:rPr>
          <w:lang w:val="en-US"/>
        </w:rPr>
        <w:t>Wytyczne</w:t>
      </w:r>
      <w:proofErr w:type="spellEnd"/>
      <w:r>
        <w:rPr>
          <w:lang w:val="en-US"/>
        </w:rPr>
        <w:t xml:space="preserve"> </w:t>
      </w:r>
      <w:r w:rsidRPr="000071E3">
        <w:rPr>
          <w:lang w:val="en-US"/>
        </w:rPr>
        <w:t>GDOŚ 2016</w:t>
      </w:r>
    </w:p>
  </w:footnote>
  <w:footnote w:id="31">
    <w:p w14:paraId="3ACEAB20" w14:textId="77777777" w:rsidR="000D5C18" w:rsidRPr="00883671" w:rsidRDefault="000D5C18" w:rsidP="000D5C18">
      <w:pPr>
        <w:pStyle w:val="Tekstprzypisudolnego"/>
        <w:rPr>
          <w:lang w:val="en-US"/>
        </w:rPr>
      </w:pPr>
      <w:r>
        <w:rPr>
          <w:rStyle w:val="Odwoanieprzypisudolnego"/>
        </w:rPr>
        <w:footnoteRef/>
      </w:r>
      <w:r w:rsidRPr="00883671">
        <w:rPr>
          <w:lang w:val="en-US"/>
        </w:rPr>
        <w:t xml:space="preserve"> </w:t>
      </w:r>
      <w:r>
        <w:rPr>
          <w:lang w:val="en-US"/>
        </w:rPr>
        <w:t>Ibid</w:t>
      </w:r>
    </w:p>
  </w:footnote>
  <w:footnote w:id="32">
    <w:p w14:paraId="2587B15C" w14:textId="77777777" w:rsidR="000D5C18" w:rsidRPr="00255D87" w:rsidRDefault="000D5C18" w:rsidP="000D5C18">
      <w:pPr>
        <w:pStyle w:val="Tekstprzypisudolnego"/>
        <w:rPr>
          <w:lang w:val="en-US"/>
        </w:rPr>
      </w:pPr>
      <w:r>
        <w:rPr>
          <w:rStyle w:val="Odwoanieprzypisudolnego"/>
        </w:rPr>
        <w:footnoteRef/>
      </w:r>
      <w:r w:rsidRPr="00BC176F">
        <w:rPr>
          <w:lang w:val="en-US"/>
        </w:rPr>
        <w:t>GB Non-native Species Secretariat (NNSS)</w:t>
      </w:r>
      <w:r w:rsidRPr="00255D87">
        <w:rPr>
          <w:lang w:val="en-US"/>
        </w:rPr>
        <w:t xml:space="preserve"> Risk </w:t>
      </w:r>
      <w:r>
        <w:rPr>
          <w:lang w:val="en-US"/>
        </w:rPr>
        <w:t>Assessment Summary Sheet (</w:t>
      </w:r>
      <w:r w:rsidRPr="00255D87">
        <w:rPr>
          <w:lang w:val="en-US"/>
        </w:rPr>
        <w:t>https://www.nonnativespecies.org/assets/Uploads/Amelanchier-spicata-RA-final_topub.pdf</w:t>
      </w:r>
      <w:r>
        <w:rPr>
          <w:lang w:val="en-US"/>
        </w:rPr>
        <w:t>)</w:t>
      </w:r>
    </w:p>
  </w:footnote>
  <w:footnote w:id="33">
    <w:p w14:paraId="61ABDBE1" w14:textId="77777777" w:rsidR="000D5C18" w:rsidRDefault="000D5C18" w:rsidP="000D5C18">
      <w:pPr>
        <w:pStyle w:val="Tekstprzypisudolnego"/>
      </w:pPr>
      <w:r>
        <w:rPr>
          <w:rStyle w:val="Odwoanieprzypisudolnego"/>
        </w:rPr>
        <w:footnoteRef/>
      </w:r>
      <w:r>
        <w:t xml:space="preserve"> </w:t>
      </w:r>
      <w:proofErr w:type="spellStart"/>
      <w:r>
        <w:t>Ibid</w:t>
      </w:r>
      <w:proofErr w:type="spellEnd"/>
    </w:p>
  </w:footnote>
  <w:footnote w:id="34">
    <w:p w14:paraId="0DA21571" w14:textId="77777777" w:rsidR="008B6E13" w:rsidRPr="00BE4EBB" w:rsidRDefault="008B6E13" w:rsidP="008B6E13">
      <w:pPr>
        <w:pStyle w:val="Tekstprzypisudolnego"/>
      </w:pPr>
      <w:r>
        <w:rPr>
          <w:rStyle w:val="Odwoanieprzypisudolnego"/>
        </w:rPr>
        <w:footnoteRef/>
      </w:r>
      <w:r w:rsidRPr="00BE4EBB">
        <w:t xml:space="preserve"> Kujawa-Pawlaczyk J. 2009. Tawuła kutnerowata – </w:t>
      </w:r>
      <w:proofErr w:type="spellStart"/>
      <w:r w:rsidRPr="00BE4EBB">
        <w:t>Spiraea</w:t>
      </w:r>
      <w:proofErr w:type="spellEnd"/>
      <w:r w:rsidRPr="00BE4EBB">
        <w:t xml:space="preserve"> </w:t>
      </w:r>
      <w:proofErr w:type="spellStart"/>
      <w:r w:rsidRPr="00BE4EBB">
        <w:t>tomentosa</w:t>
      </w:r>
      <w:proofErr w:type="spellEnd"/>
      <w:r w:rsidRPr="00BE4EBB">
        <w:t xml:space="preserve"> L. W: </w:t>
      </w:r>
      <w:proofErr w:type="spellStart"/>
      <w:r w:rsidRPr="00BE4EBB">
        <w:t>Dajdok</w:t>
      </w:r>
      <w:proofErr w:type="spellEnd"/>
      <w:r w:rsidRPr="00BE4EBB">
        <w:t xml:space="preserve"> Z. i Pawlaczyk P. (red.) Inwazyjne gatunki roślin ekosystemów </w:t>
      </w:r>
      <w:proofErr w:type="spellStart"/>
      <w:r w:rsidRPr="00BE4EBB">
        <w:t>mokradłowych</w:t>
      </w:r>
      <w:proofErr w:type="spellEnd"/>
      <w:r w:rsidRPr="00BE4EBB">
        <w:t xml:space="preserve"> Polski. s. 105-112. Wyd. Klubu Przyrodników, Świebodzin</w:t>
      </w:r>
    </w:p>
  </w:footnote>
  <w:footnote w:id="35">
    <w:p w14:paraId="1E1D548A" w14:textId="77777777" w:rsidR="008B6E13" w:rsidRPr="00BE4EBB" w:rsidRDefault="008B6E13" w:rsidP="008B6E13">
      <w:pPr>
        <w:pStyle w:val="Tekstprzypisudolnego"/>
        <w:rPr>
          <w:lang w:val="en-US"/>
        </w:rPr>
      </w:pPr>
      <w:r>
        <w:rPr>
          <w:rStyle w:val="Odwoanieprzypisudolnego"/>
        </w:rPr>
        <w:footnoteRef/>
      </w:r>
      <w:r>
        <w:t xml:space="preserve"> </w:t>
      </w:r>
      <w:r w:rsidRPr="00BE4EBB">
        <w:t>Wiatrowska B., Danielewicz W. 2016. Środowiskowe uwarunkowania inwazji tawuły kutnerowatej (</w:t>
      </w:r>
      <w:proofErr w:type="spellStart"/>
      <w:r w:rsidRPr="00BE4EBB">
        <w:t>Spiraea</w:t>
      </w:r>
      <w:proofErr w:type="spellEnd"/>
      <w:r w:rsidRPr="00BE4EBB">
        <w:t xml:space="preserve"> </w:t>
      </w:r>
      <w:proofErr w:type="spellStart"/>
      <w:r w:rsidRPr="00BE4EBB">
        <w:t>tomentosa</w:t>
      </w:r>
      <w:proofErr w:type="spellEnd"/>
      <w:r w:rsidRPr="00BE4EBB">
        <w:t xml:space="preserve"> L.) w Borach Dolnośląskich. </w:t>
      </w:r>
      <w:proofErr w:type="spellStart"/>
      <w:r w:rsidRPr="00BE4EBB">
        <w:rPr>
          <w:lang w:val="en-US"/>
        </w:rPr>
        <w:t>Sylwan</w:t>
      </w:r>
      <w:proofErr w:type="spellEnd"/>
      <w:r w:rsidRPr="00BE4EBB">
        <w:rPr>
          <w:lang w:val="en-US"/>
        </w:rPr>
        <w:t xml:space="preserve"> 160 (8): 696−704</w:t>
      </w:r>
    </w:p>
  </w:footnote>
  <w:footnote w:id="36">
    <w:p w14:paraId="6640E65B" w14:textId="77777777" w:rsidR="008B6E13" w:rsidRPr="00BE4EBB" w:rsidRDefault="008B6E13" w:rsidP="008B6E13">
      <w:pPr>
        <w:pStyle w:val="Tekstprzypisudolnego"/>
        <w:rPr>
          <w:lang w:val="en-US"/>
        </w:rPr>
      </w:pPr>
      <w:r>
        <w:rPr>
          <w:rStyle w:val="Odwoanieprzypisudolnego"/>
        </w:rPr>
        <w:footnoteRef/>
      </w:r>
      <w:r>
        <w:rPr>
          <w:lang w:val="en-US"/>
        </w:rPr>
        <w:t> </w:t>
      </w:r>
      <w:r w:rsidRPr="00BE4EBB">
        <w:rPr>
          <w:lang w:val="en-US"/>
        </w:rPr>
        <w:t>https://projekty.gdos.gov.pl/files/artykuly/127098/Spiraea-tomentosa_tawula-kutnerowata_KG_WWW_V1_icon.pdf</w:t>
      </w:r>
    </w:p>
  </w:footnote>
  <w:footnote w:id="37">
    <w:p w14:paraId="62D2220C" w14:textId="77777777" w:rsidR="008B6E13" w:rsidRDefault="008B6E13" w:rsidP="008B6E13">
      <w:pPr>
        <w:pStyle w:val="Tekstprzypisudolnego"/>
      </w:pPr>
      <w:r>
        <w:rPr>
          <w:rStyle w:val="Odwoanieprzypisudolnego"/>
        </w:rPr>
        <w:footnoteRef/>
      </w:r>
      <w:r>
        <w:t xml:space="preserve"> </w:t>
      </w:r>
      <w:r w:rsidRPr="00BE3CD6">
        <w:t xml:space="preserve">Kompendium. Metody zwalczania </w:t>
      </w:r>
      <w:r>
        <w:t>tawuły kutnerowatej</w:t>
      </w:r>
      <w:r w:rsidRPr="00BE3CD6">
        <w:t>, GDOŚ, Warszawa 2022 (https://www.gov.pl/web/gdos/kompendia-zwalczania-wybranych-igo)</w:t>
      </w:r>
    </w:p>
  </w:footnote>
  <w:footnote w:id="38">
    <w:p w14:paraId="2920C4F4" w14:textId="77777777" w:rsidR="008B6E13" w:rsidRPr="00CC70DF" w:rsidRDefault="008B6E13" w:rsidP="008B6E13">
      <w:pPr>
        <w:pStyle w:val="Tekstprzypisudolnego"/>
      </w:pPr>
      <w:r>
        <w:rPr>
          <w:rStyle w:val="Odwoanieprzypisudolnego"/>
        </w:rPr>
        <w:footnoteRef/>
      </w:r>
      <w:r w:rsidRPr="00CC70DF">
        <w:t xml:space="preserve"> GDOŚ Wytyczne 2016</w:t>
      </w:r>
    </w:p>
  </w:footnote>
  <w:footnote w:id="39">
    <w:p w14:paraId="693089F2" w14:textId="77777777" w:rsidR="008B6E13" w:rsidRPr="00DE338B" w:rsidRDefault="008B6E13" w:rsidP="008B6E13">
      <w:pPr>
        <w:pStyle w:val="Tekstprzypisudolnego"/>
      </w:pPr>
      <w:r>
        <w:rPr>
          <w:rStyle w:val="Odwoanieprzypisudolnego"/>
        </w:rPr>
        <w:footnoteRef/>
      </w:r>
      <w:r>
        <w:t xml:space="preserve"> </w:t>
      </w:r>
      <w:r w:rsidRPr="00516F54">
        <w:t xml:space="preserve">B. Tokarska-Guzik, Z. </w:t>
      </w:r>
      <w:proofErr w:type="spellStart"/>
      <w:r w:rsidRPr="00516F54">
        <w:t>Dajdok</w:t>
      </w:r>
      <w:proofErr w:type="spellEnd"/>
      <w:r w:rsidRPr="00516F54">
        <w:t>, M. Zając, A. Zając, A. Urbisz, W. Danielewicz: Rośliny obcego pochodzenia w Polsce ze szczególnym uwzględnieniem gatunków inwazyjnych</w:t>
      </w:r>
      <w:r>
        <w:t xml:space="preserve">. </w:t>
      </w:r>
      <w:r w:rsidRPr="00AE737F">
        <w:t xml:space="preserve">Warszawa: Generalna Dyrekcja Ochrony Środowiska, 2012. </w:t>
      </w:r>
      <w:r w:rsidRPr="00DE338B">
        <w:t>ISBN 978-83-62940-34-9</w:t>
      </w:r>
    </w:p>
  </w:footnote>
  <w:footnote w:id="40">
    <w:p w14:paraId="062909CB" w14:textId="77777777" w:rsidR="008B6E13" w:rsidRPr="00AE737F" w:rsidRDefault="008B6E13" w:rsidP="008B6E13">
      <w:pPr>
        <w:pStyle w:val="Tekstprzypisudolnego"/>
      </w:pPr>
      <w:r>
        <w:rPr>
          <w:rStyle w:val="Odwoanieprzypisudolnego"/>
        </w:rPr>
        <w:footnoteRef/>
      </w:r>
      <w:r w:rsidRPr="00AE737F">
        <w:t xml:space="preserve"> Załącznik 2 “Obce gatunki roślin inwazyjne w skali kraju, regionów lub lokalnie oraz rośliny potencjalnie inwazyjne” do powyższej publikacji.</w:t>
      </w:r>
    </w:p>
  </w:footnote>
  <w:footnote w:id="41">
    <w:p w14:paraId="6F697467" w14:textId="77777777" w:rsidR="008B6E13" w:rsidRPr="00DE338B" w:rsidRDefault="008B6E13" w:rsidP="008B6E13">
      <w:pPr>
        <w:pStyle w:val="Tekstprzypisudolnego"/>
      </w:pPr>
      <w:r>
        <w:rPr>
          <w:rStyle w:val="Odwoanieprzypisudolnego"/>
        </w:rPr>
        <w:footnoteRef/>
      </w:r>
      <w:r w:rsidRPr="00DE338B">
        <w:t xml:space="preserve"> Wytyczne GDOŚ 2016</w:t>
      </w:r>
    </w:p>
  </w:footnote>
  <w:footnote w:id="42">
    <w:p w14:paraId="3BA39472" w14:textId="77777777" w:rsidR="008B6E13" w:rsidRPr="00DE338B" w:rsidRDefault="008B6E13" w:rsidP="008B6E13">
      <w:pPr>
        <w:pStyle w:val="Tekstprzypisudolnego"/>
      </w:pPr>
      <w:r>
        <w:rPr>
          <w:rStyle w:val="Odwoanieprzypisudolnego"/>
        </w:rPr>
        <w:footnoteRef/>
      </w:r>
      <w:r w:rsidRPr="00DE338B">
        <w:t xml:space="preserve"> </w:t>
      </w:r>
      <w:proofErr w:type="spellStart"/>
      <w:r w:rsidRPr="00DE338B">
        <w:t>Ibid</w:t>
      </w:r>
      <w:proofErr w:type="spellEnd"/>
    </w:p>
  </w:footnote>
  <w:footnote w:id="43">
    <w:p w14:paraId="05B77ADF" w14:textId="77777777" w:rsidR="006F7B36" w:rsidRPr="00DE338B" w:rsidRDefault="006F7B36" w:rsidP="006F7B36">
      <w:pPr>
        <w:pStyle w:val="Tekstprzypisudolnego"/>
      </w:pPr>
      <w:r>
        <w:rPr>
          <w:rStyle w:val="Odwoanieprzypisudolnego"/>
        </w:rPr>
        <w:footnoteRef/>
      </w:r>
      <w:r w:rsidRPr="00DE338B">
        <w:t xml:space="preserve"> Wytyczne GDOŚ 2016</w:t>
      </w:r>
    </w:p>
  </w:footnote>
  <w:footnote w:id="44">
    <w:p w14:paraId="7B70BEBE" w14:textId="77777777" w:rsidR="006F7B36" w:rsidRPr="00DE338B" w:rsidRDefault="006F7B36" w:rsidP="006F7B36">
      <w:pPr>
        <w:pStyle w:val="Tekstprzypisudolnego"/>
        <w:rPr>
          <w:lang w:val="en-US"/>
        </w:rPr>
      </w:pPr>
      <w:r>
        <w:rPr>
          <w:rStyle w:val="Odwoanieprzypisudolnego"/>
        </w:rPr>
        <w:footnoteRef/>
      </w:r>
      <w:r w:rsidRPr="00DE338B">
        <w:rPr>
          <w:lang w:val="en-US"/>
        </w:rPr>
        <w:t xml:space="preserve"> CABI Compendium (https://www.cabidigitallibrary.org/doi/full/10.1079/cabicompendium.108958)</w:t>
      </w:r>
    </w:p>
  </w:footnote>
  <w:footnote w:id="45">
    <w:p w14:paraId="2F526826" w14:textId="77777777" w:rsidR="006F7B36" w:rsidRDefault="006F7B36" w:rsidP="006F7B36">
      <w:pPr>
        <w:pStyle w:val="Tekstprzypisudolnego"/>
      </w:pPr>
      <w:r>
        <w:rPr>
          <w:rStyle w:val="Odwoanieprzypisudolnego"/>
        </w:rPr>
        <w:footnoteRef/>
      </w:r>
      <w:r>
        <w:t xml:space="preserve"> </w:t>
      </w:r>
      <w:r w:rsidRPr="0046208B">
        <w:t xml:space="preserve">Kompendium. Metody zwalczania </w:t>
      </w:r>
      <w:r>
        <w:t>barszczy kaukaskich</w:t>
      </w:r>
      <w:r w:rsidRPr="0046208B">
        <w:t>, GDOŚ, War</w:t>
      </w:r>
      <w:r>
        <w:t>sza</w:t>
      </w:r>
      <w:r w:rsidRPr="0046208B">
        <w:t>wa 202</w:t>
      </w:r>
      <w:r>
        <w:t>2</w:t>
      </w:r>
      <w:r w:rsidRPr="0046208B">
        <w:t xml:space="preserve"> (</w:t>
      </w:r>
      <w:hyperlink r:id="rId1" w:history="1">
        <w:r w:rsidRPr="009D73CB">
          <w:rPr>
            <w:rStyle w:val="Hipercze"/>
          </w:rPr>
          <w:t>https://www.gov.pl/web/gdos/kompendia-zwalczania-wybranych-igo</w:t>
        </w:r>
      </w:hyperlink>
      <w:r>
        <w:t>)</w:t>
      </w:r>
    </w:p>
  </w:footnote>
  <w:footnote w:id="46">
    <w:p w14:paraId="07724DA7" w14:textId="77777777" w:rsidR="006F7B36" w:rsidRPr="00255D87" w:rsidRDefault="006F7B36" w:rsidP="006F7B36">
      <w:pPr>
        <w:pStyle w:val="Tekstprzypisudolnego"/>
        <w:rPr>
          <w:lang w:val="en-US"/>
        </w:rPr>
      </w:pPr>
      <w:r>
        <w:rPr>
          <w:rStyle w:val="Odwoanieprzypisudolnego"/>
        </w:rPr>
        <w:footnoteRef/>
      </w:r>
      <w:r w:rsidRPr="00255D87">
        <w:rPr>
          <w:lang w:val="en-US"/>
        </w:rPr>
        <w:t xml:space="preserve"> </w:t>
      </w:r>
      <w:r w:rsidRPr="000E5BED">
        <w:rPr>
          <w:lang w:val="en-US"/>
        </w:rPr>
        <w:t>CABI Compendium</w:t>
      </w:r>
      <w:r>
        <w:rPr>
          <w:lang w:val="en-US"/>
        </w:rPr>
        <w:t xml:space="preserve"> (</w:t>
      </w:r>
      <w:r w:rsidRPr="00203441">
        <w:rPr>
          <w:lang w:val="en-US"/>
        </w:rPr>
        <w:t>https://www.cabidigitallibrary.org/doi/full/10.1079/cabicompendium.108958</w:t>
      </w:r>
      <w:r>
        <w:rPr>
          <w:lang w:val="en-US"/>
        </w:rPr>
        <w:t>)</w:t>
      </w:r>
    </w:p>
  </w:footnote>
  <w:footnote w:id="47">
    <w:p w14:paraId="4719BCF6" w14:textId="77777777" w:rsidR="006F7B36" w:rsidRPr="00255D87" w:rsidRDefault="006F7B36" w:rsidP="006F7B36">
      <w:pPr>
        <w:pStyle w:val="Tekstprzypisudolnego"/>
        <w:rPr>
          <w:lang w:val="en-US"/>
        </w:rPr>
      </w:pPr>
      <w:r>
        <w:rPr>
          <w:rStyle w:val="Odwoanieprzypisudolnego"/>
        </w:rPr>
        <w:footnoteRef/>
      </w:r>
      <w:r w:rsidRPr="00255D87">
        <w:rPr>
          <w:lang w:val="en-US"/>
        </w:rPr>
        <w:t xml:space="preserve"> Ibid</w:t>
      </w:r>
    </w:p>
  </w:footnote>
  <w:footnote w:id="48">
    <w:p w14:paraId="4172F32C" w14:textId="77777777" w:rsidR="006F7B36" w:rsidRPr="00255D87" w:rsidRDefault="006F7B36" w:rsidP="006F7B36">
      <w:pPr>
        <w:pStyle w:val="Tekstprzypisudolnego"/>
        <w:rPr>
          <w:lang w:val="en-US"/>
        </w:rPr>
      </w:pPr>
      <w:r>
        <w:rPr>
          <w:rStyle w:val="Odwoanieprzypisudolnego"/>
        </w:rPr>
        <w:footnoteRef/>
      </w:r>
      <w:r w:rsidRPr="00255D87">
        <w:rPr>
          <w:lang w:val="en-US"/>
        </w:rPr>
        <w:t xml:space="preserve"> Ibid</w:t>
      </w:r>
    </w:p>
  </w:footnote>
  <w:footnote w:id="49">
    <w:p w14:paraId="4EB9DB46" w14:textId="77777777" w:rsidR="006F7B36" w:rsidRPr="009027D6" w:rsidRDefault="006F7B36" w:rsidP="006F7B36">
      <w:pPr>
        <w:pStyle w:val="Tekstprzypisudolnego"/>
        <w:rPr>
          <w:lang w:val="en-US"/>
        </w:rPr>
      </w:pPr>
      <w:r>
        <w:rPr>
          <w:rStyle w:val="Odwoanieprzypisudolnego"/>
        </w:rPr>
        <w:footnoteRef/>
      </w:r>
      <w:r w:rsidRPr="009027D6">
        <w:rPr>
          <w:lang w:val="en-US"/>
        </w:rPr>
        <w:t xml:space="preserve"> </w:t>
      </w:r>
      <w:r w:rsidRPr="00660488">
        <w:rPr>
          <w:lang w:val="en-US"/>
        </w:rPr>
        <w:t>CABI Compendium (</w:t>
      </w:r>
      <w:r w:rsidRPr="007A6D38">
        <w:rPr>
          <w:lang w:val="en-US"/>
        </w:rPr>
        <w:t>https://www.cabidigitallibrary.org/doi/full/10.1079/cabicompendium.26911</w:t>
      </w:r>
      <w:r w:rsidRPr="00660488">
        <w:rPr>
          <w:lang w:val="en-US"/>
        </w:rPr>
        <w:t>)</w:t>
      </w:r>
    </w:p>
  </w:footnote>
  <w:footnote w:id="50">
    <w:p w14:paraId="4B1DF375" w14:textId="77777777" w:rsidR="006F7B36" w:rsidRPr="00107BF0" w:rsidRDefault="006F7B36" w:rsidP="006F7B36">
      <w:pPr>
        <w:pStyle w:val="Tekstprzypisudolnego"/>
      </w:pPr>
      <w:r>
        <w:rPr>
          <w:rStyle w:val="Odwoanieprzypisudolnego"/>
        </w:rPr>
        <w:footnoteRef/>
      </w:r>
      <w:r w:rsidRPr="00107BF0">
        <w:t xml:space="preserve"> </w:t>
      </w:r>
      <w:r w:rsidRPr="00660488">
        <w:t>Kompendium. Metody zwalczania barszczy kaukaskich, GDOŚ, Warszawa 2022 (https://www.gov.pl/web/gdos/kompendia-zwalczania-wybranych-igo)</w:t>
      </w:r>
    </w:p>
  </w:footnote>
  <w:footnote w:id="51">
    <w:p w14:paraId="57119FFA" w14:textId="77777777" w:rsidR="006F7B36" w:rsidRDefault="006F7B36" w:rsidP="006F7B36">
      <w:pPr>
        <w:pStyle w:val="Tekstprzypisudolnego"/>
      </w:pPr>
      <w:r>
        <w:rPr>
          <w:rStyle w:val="Odwoanieprzypisudolnego"/>
        </w:rPr>
        <w:footnoteRef/>
      </w:r>
      <w:r>
        <w:t xml:space="preserve"> </w:t>
      </w:r>
      <w:r w:rsidRPr="0046208B">
        <w:t xml:space="preserve">Kompendium. Metody zwalczania </w:t>
      </w:r>
      <w:r>
        <w:t>barszczy kaukaskich</w:t>
      </w:r>
      <w:r w:rsidRPr="0046208B">
        <w:t>, GDOŚ, War</w:t>
      </w:r>
      <w:r>
        <w:t>sza</w:t>
      </w:r>
      <w:r w:rsidRPr="0046208B">
        <w:t>wa 202</w:t>
      </w:r>
      <w:r>
        <w:t>2</w:t>
      </w:r>
      <w:r w:rsidRPr="0046208B">
        <w:t xml:space="preserve"> (</w:t>
      </w:r>
      <w:hyperlink r:id="rId2" w:history="1">
        <w:r w:rsidRPr="009D73CB">
          <w:rPr>
            <w:rStyle w:val="Hipercze"/>
          </w:rPr>
          <w:t>https://www.gov.pl/web/gdos/kompendia-zwalczania-wybranych-igo</w:t>
        </w:r>
      </w:hyperlink>
      <w:r>
        <w:t>)</w:t>
      </w:r>
    </w:p>
  </w:footnote>
  <w:footnote w:id="52">
    <w:p w14:paraId="5A3316CE" w14:textId="77777777" w:rsidR="006F7B36" w:rsidRPr="00660488" w:rsidRDefault="006F7B36" w:rsidP="006F7B36">
      <w:pPr>
        <w:pStyle w:val="Tekstprzypisudolnego"/>
        <w:rPr>
          <w:lang w:val="en-US"/>
        </w:rPr>
      </w:pPr>
      <w:r>
        <w:rPr>
          <w:rStyle w:val="Odwoanieprzypisudolnego"/>
        </w:rPr>
        <w:footnoteRef/>
      </w:r>
      <w:r w:rsidRPr="00660488">
        <w:rPr>
          <w:lang w:val="en-US"/>
        </w:rPr>
        <w:t xml:space="preserve"> </w:t>
      </w:r>
      <w:r w:rsidRPr="000E5BED">
        <w:rPr>
          <w:lang w:val="en-US"/>
        </w:rPr>
        <w:t>CABI Compendium</w:t>
      </w:r>
      <w:r>
        <w:rPr>
          <w:lang w:val="en-US"/>
        </w:rPr>
        <w:t xml:space="preserve"> (</w:t>
      </w:r>
      <w:r w:rsidRPr="00113F91">
        <w:rPr>
          <w:lang w:val="en-US"/>
        </w:rPr>
        <w:t>https://www.cabidigitallibrary.org/doi/full/10.1079/cabicompendium.26911</w:t>
      </w:r>
      <w:r>
        <w:rPr>
          <w:lang w:val="en-US"/>
        </w:rPr>
        <w:t>)</w:t>
      </w:r>
    </w:p>
  </w:footnote>
  <w:footnote w:id="53">
    <w:p w14:paraId="74FEC6A2" w14:textId="77777777" w:rsidR="006F7B36" w:rsidRPr="00C0329F" w:rsidRDefault="006F7B36" w:rsidP="006F7B36">
      <w:pPr>
        <w:pStyle w:val="Tekstprzypisudolnego"/>
      </w:pPr>
      <w:r>
        <w:rPr>
          <w:rStyle w:val="Odwoanieprzypisudolnego"/>
        </w:rPr>
        <w:footnoteRef/>
      </w:r>
      <w:r w:rsidRPr="00C0329F">
        <w:t xml:space="preserve"> </w:t>
      </w:r>
      <w:proofErr w:type="spellStart"/>
      <w:r w:rsidRPr="00C0329F">
        <w:t>Ibid</w:t>
      </w:r>
      <w:proofErr w:type="spellEnd"/>
    </w:p>
  </w:footnote>
  <w:footnote w:id="54">
    <w:p w14:paraId="20E4A752" w14:textId="77777777" w:rsidR="002206CF" w:rsidRDefault="002206CF" w:rsidP="002206CF">
      <w:pPr>
        <w:pStyle w:val="Tekstprzypisudolnego"/>
      </w:pPr>
      <w:r>
        <w:rPr>
          <w:rStyle w:val="Odwoanieprzypisudolnego"/>
        </w:rPr>
        <w:footnoteRef/>
      </w:r>
      <w:r>
        <w:t xml:space="preserve"> </w:t>
      </w:r>
      <w:r w:rsidRPr="00CD1BD4">
        <w:t>Ogólny opis postępowania z gatunkami inwazyjnymi przedstawiony na podstawie podręczników GDOŚ do zarządzania gatunkami inwazyjnymi (https://www.gov.pl/web/gdos/kompendia-zwalczania-wybranych-igo)</w:t>
      </w:r>
    </w:p>
  </w:footnote>
  <w:footnote w:id="55">
    <w:p w14:paraId="52D6A427" w14:textId="77777777" w:rsidR="00862AC8" w:rsidRDefault="00862AC8" w:rsidP="00862AC8">
      <w:pPr>
        <w:pStyle w:val="Tekstprzypisudolnego"/>
      </w:pPr>
      <w:r>
        <w:rPr>
          <w:rStyle w:val="Odwoanieprzypisudolnego"/>
        </w:rPr>
        <w:footnoteRef/>
      </w:r>
      <w:r>
        <w:t xml:space="preserve"> Parametry geotechniczne gruntów według Polskiej Normy PN-B-03020:1981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B0BD" w14:textId="77777777" w:rsidR="004406E7" w:rsidRDefault="004406E7" w:rsidP="004406E7">
    <w:pPr>
      <w:pStyle w:val="Nagwek"/>
      <w:jc w:val="center"/>
      <w:rPr>
        <w:i/>
        <w:iCs/>
        <w:sz w:val="20"/>
        <w:szCs w:val="20"/>
      </w:rPr>
    </w:pPr>
    <w:r w:rsidRPr="00351FFC">
      <w:rPr>
        <w:i/>
        <w:iCs/>
        <w:sz w:val="20"/>
        <w:szCs w:val="20"/>
      </w:rPr>
      <w:t>Niniejszy dokument ma charakter wstępny i został opracowany na podstawie niezakończonych analiz roboczych prowadzonych na potrzeby raportu OOŚ. Zawarte w nim informacje i wnioski mogą ulec zmianie po zakończeniu prac nad raportem OOŚ. Niniejszy dokument nie stanowi raportu o oddziaływaniu na środowisko w rozumieniu Działu V Rozdziału 2 ustawy z dnia 3 października 2008 r. o udostępnianiu informacji o środowisku i jego ochronie, udziale społeczeństwa w ochronie środowiska oraz o ocenach oddziaływania na środowisko (dalej: „</w:t>
    </w:r>
    <w:proofErr w:type="spellStart"/>
    <w:r w:rsidRPr="00351FFC">
      <w:rPr>
        <w:i/>
        <w:iCs/>
        <w:sz w:val="20"/>
        <w:szCs w:val="20"/>
      </w:rPr>
      <w:t>u.o.o.ś</w:t>
    </w:r>
    <w:proofErr w:type="spellEnd"/>
    <w:r w:rsidRPr="00351FFC">
      <w:rPr>
        <w:i/>
        <w:iCs/>
        <w:sz w:val="20"/>
        <w:szCs w:val="20"/>
      </w:rPr>
      <w:t>.").</w:t>
    </w:r>
  </w:p>
  <w:p w14:paraId="51C87F49" w14:textId="77777777" w:rsidR="004406E7" w:rsidRDefault="004406E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5BF6"/>
    <w:multiLevelType w:val="hybridMultilevel"/>
    <w:tmpl w:val="5260B8E6"/>
    <w:lvl w:ilvl="0" w:tplc="DCD80C3A">
      <w:numFmt w:val="bullet"/>
      <w:lvlText w:val="-"/>
      <w:lvlJc w:val="left"/>
      <w:pPr>
        <w:ind w:left="720" w:hanging="360"/>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0873CC3"/>
    <w:multiLevelType w:val="hybridMultilevel"/>
    <w:tmpl w:val="705868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D326DC"/>
    <w:multiLevelType w:val="hybridMultilevel"/>
    <w:tmpl w:val="0B5E7BBE"/>
    <w:lvl w:ilvl="0" w:tplc="DCD80C3A">
      <w:numFmt w:val="bullet"/>
      <w:lvlText w:val="-"/>
      <w:lvlJc w:val="left"/>
      <w:pPr>
        <w:ind w:left="720" w:hanging="360"/>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804853"/>
    <w:multiLevelType w:val="hybridMultilevel"/>
    <w:tmpl w:val="D980BE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9C0294"/>
    <w:multiLevelType w:val="hybridMultilevel"/>
    <w:tmpl w:val="081C8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2B5F90"/>
    <w:multiLevelType w:val="hybridMultilevel"/>
    <w:tmpl w:val="C1A4662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0A64A2"/>
    <w:multiLevelType w:val="hybridMultilevel"/>
    <w:tmpl w:val="ECDE96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1015E4F"/>
    <w:multiLevelType w:val="hybridMultilevel"/>
    <w:tmpl w:val="8FB8F16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53932B8"/>
    <w:multiLevelType w:val="hybridMultilevel"/>
    <w:tmpl w:val="E7E276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23732B7"/>
    <w:multiLevelType w:val="hybridMultilevel"/>
    <w:tmpl w:val="9A2CF1D0"/>
    <w:lvl w:ilvl="0" w:tplc="DCD80C3A">
      <w:numFmt w:val="bullet"/>
      <w:lvlText w:val="-"/>
      <w:lvlJc w:val="left"/>
      <w:pPr>
        <w:ind w:left="720" w:hanging="360"/>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2E37518"/>
    <w:multiLevelType w:val="hybridMultilevel"/>
    <w:tmpl w:val="37145F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C833AB6"/>
    <w:multiLevelType w:val="hybridMultilevel"/>
    <w:tmpl w:val="3CDE756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D275365"/>
    <w:multiLevelType w:val="hybridMultilevel"/>
    <w:tmpl w:val="103C4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1B176A6"/>
    <w:multiLevelType w:val="hybridMultilevel"/>
    <w:tmpl w:val="149610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5D65536"/>
    <w:multiLevelType w:val="hybridMultilevel"/>
    <w:tmpl w:val="8BEC868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474577D6"/>
    <w:multiLevelType w:val="hybridMultilevel"/>
    <w:tmpl w:val="12CEE3D2"/>
    <w:lvl w:ilvl="0" w:tplc="04150001">
      <w:start w:val="1"/>
      <w:numFmt w:val="bullet"/>
      <w:lvlText w:val=""/>
      <w:lvlJc w:val="left"/>
      <w:pPr>
        <w:ind w:left="720" w:hanging="360"/>
      </w:pPr>
      <w:rPr>
        <w:rFonts w:ascii="Symbol" w:hAnsi="Symbol" w:hint="default"/>
      </w:rPr>
    </w:lvl>
    <w:lvl w:ilvl="1" w:tplc="830245AE">
      <w:numFmt w:val="bullet"/>
      <w:lvlText w:val="-"/>
      <w:lvlJc w:val="left"/>
      <w:pPr>
        <w:ind w:left="1440" w:hanging="360"/>
      </w:pPr>
      <w:rPr>
        <w:rFonts w:ascii="Arial" w:eastAsiaTheme="minorHAns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8372ABB"/>
    <w:multiLevelType w:val="hybridMultilevel"/>
    <w:tmpl w:val="10248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23203A3"/>
    <w:multiLevelType w:val="hybridMultilevel"/>
    <w:tmpl w:val="4ACA97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6C92C1C"/>
    <w:multiLevelType w:val="hybridMultilevel"/>
    <w:tmpl w:val="FEF803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DB37233"/>
    <w:multiLevelType w:val="hybridMultilevel"/>
    <w:tmpl w:val="B0AA18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44E55DD"/>
    <w:multiLevelType w:val="hybridMultilevel"/>
    <w:tmpl w:val="A470DEF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1" w15:restartNumberingAfterBreak="0">
    <w:nsid w:val="6D883BF4"/>
    <w:multiLevelType w:val="hybridMultilevel"/>
    <w:tmpl w:val="930EF5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F5E358C"/>
    <w:multiLevelType w:val="hybridMultilevel"/>
    <w:tmpl w:val="09BE2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345718F"/>
    <w:multiLevelType w:val="hybridMultilevel"/>
    <w:tmpl w:val="9B2216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92E23FC"/>
    <w:multiLevelType w:val="hybridMultilevel"/>
    <w:tmpl w:val="81B8D4B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7F216990"/>
    <w:multiLevelType w:val="multilevel"/>
    <w:tmpl w:val="0406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5120805">
    <w:abstractNumId w:val="8"/>
  </w:num>
  <w:num w:numId="2" w16cid:durableId="1494838596">
    <w:abstractNumId w:val="4"/>
  </w:num>
  <w:num w:numId="3" w16cid:durableId="2121296502">
    <w:abstractNumId w:val="18"/>
  </w:num>
  <w:num w:numId="4" w16cid:durableId="218908890">
    <w:abstractNumId w:val="1"/>
  </w:num>
  <w:num w:numId="5" w16cid:durableId="1028531327">
    <w:abstractNumId w:val="15"/>
  </w:num>
  <w:num w:numId="6" w16cid:durableId="1182478369">
    <w:abstractNumId w:val="6"/>
  </w:num>
  <w:num w:numId="7" w16cid:durableId="1964573353">
    <w:abstractNumId w:val="16"/>
  </w:num>
  <w:num w:numId="8" w16cid:durableId="1150170046">
    <w:abstractNumId w:val="12"/>
  </w:num>
  <w:num w:numId="9" w16cid:durableId="71856386">
    <w:abstractNumId w:val="0"/>
  </w:num>
  <w:num w:numId="10" w16cid:durableId="623736900">
    <w:abstractNumId w:val="9"/>
  </w:num>
  <w:num w:numId="11" w16cid:durableId="104496361">
    <w:abstractNumId w:val="13"/>
  </w:num>
  <w:num w:numId="12" w16cid:durableId="213348129">
    <w:abstractNumId w:val="5"/>
  </w:num>
  <w:num w:numId="13" w16cid:durableId="2033798363">
    <w:abstractNumId w:val="3"/>
  </w:num>
  <w:num w:numId="14" w16cid:durableId="971249632">
    <w:abstractNumId w:val="22"/>
  </w:num>
  <w:num w:numId="15" w16cid:durableId="350881838">
    <w:abstractNumId w:val="23"/>
  </w:num>
  <w:num w:numId="16" w16cid:durableId="704670516">
    <w:abstractNumId w:val="19"/>
  </w:num>
  <w:num w:numId="17" w16cid:durableId="97722195">
    <w:abstractNumId w:val="10"/>
  </w:num>
  <w:num w:numId="18" w16cid:durableId="1022979917">
    <w:abstractNumId w:val="25"/>
  </w:num>
  <w:num w:numId="19" w16cid:durableId="1375690586">
    <w:abstractNumId w:val="17"/>
  </w:num>
  <w:num w:numId="20" w16cid:durableId="1816608250">
    <w:abstractNumId w:val="21"/>
  </w:num>
  <w:num w:numId="21" w16cid:durableId="1388871224">
    <w:abstractNumId w:val="2"/>
  </w:num>
  <w:num w:numId="22" w16cid:durableId="399712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6857619">
    <w:abstractNumId w:val="20"/>
  </w:num>
  <w:num w:numId="24" w16cid:durableId="1950090289">
    <w:abstractNumId w:val="24"/>
  </w:num>
  <w:num w:numId="25" w16cid:durableId="675886388">
    <w:abstractNumId w:val="7"/>
  </w:num>
  <w:num w:numId="26" w16cid:durableId="8970892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640"/>
    <w:rsid w:val="00016C75"/>
    <w:rsid w:val="00051943"/>
    <w:rsid w:val="0005288C"/>
    <w:rsid w:val="00071740"/>
    <w:rsid w:val="000A4295"/>
    <w:rsid w:val="000B4BEA"/>
    <w:rsid w:val="000D1C64"/>
    <w:rsid w:val="000D5C18"/>
    <w:rsid w:val="001208CE"/>
    <w:rsid w:val="00156330"/>
    <w:rsid w:val="00176D33"/>
    <w:rsid w:val="00184AC8"/>
    <w:rsid w:val="00191F51"/>
    <w:rsid w:val="001A1F9A"/>
    <w:rsid w:val="001B3A55"/>
    <w:rsid w:val="001B40C0"/>
    <w:rsid w:val="002206CF"/>
    <w:rsid w:val="00223A26"/>
    <w:rsid w:val="00236B60"/>
    <w:rsid w:val="00261868"/>
    <w:rsid w:val="00263526"/>
    <w:rsid w:val="0026671B"/>
    <w:rsid w:val="002A31D8"/>
    <w:rsid w:val="002C146B"/>
    <w:rsid w:val="002F0704"/>
    <w:rsid w:val="002F2E13"/>
    <w:rsid w:val="002F4686"/>
    <w:rsid w:val="00304710"/>
    <w:rsid w:val="00304E9F"/>
    <w:rsid w:val="00311DFA"/>
    <w:rsid w:val="00331F26"/>
    <w:rsid w:val="00340FAB"/>
    <w:rsid w:val="00346640"/>
    <w:rsid w:val="00352F13"/>
    <w:rsid w:val="003614F0"/>
    <w:rsid w:val="0036593F"/>
    <w:rsid w:val="003A1319"/>
    <w:rsid w:val="003A1574"/>
    <w:rsid w:val="003D0FC8"/>
    <w:rsid w:val="003E7F2F"/>
    <w:rsid w:val="004406E7"/>
    <w:rsid w:val="004418EE"/>
    <w:rsid w:val="004579C9"/>
    <w:rsid w:val="004764AC"/>
    <w:rsid w:val="00486DC4"/>
    <w:rsid w:val="004906D8"/>
    <w:rsid w:val="0049260F"/>
    <w:rsid w:val="00492783"/>
    <w:rsid w:val="00494E04"/>
    <w:rsid w:val="004C58AF"/>
    <w:rsid w:val="004F4E54"/>
    <w:rsid w:val="005033E6"/>
    <w:rsid w:val="005044F8"/>
    <w:rsid w:val="00516326"/>
    <w:rsid w:val="0051644C"/>
    <w:rsid w:val="00530CAB"/>
    <w:rsid w:val="00586454"/>
    <w:rsid w:val="005B232C"/>
    <w:rsid w:val="005C2103"/>
    <w:rsid w:val="005C71C9"/>
    <w:rsid w:val="005E2C35"/>
    <w:rsid w:val="005E5D30"/>
    <w:rsid w:val="005F5046"/>
    <w:rsid w:val="00600631"/>
    <w:rsid w:val="00615DAE"/>
    <w:rsid w:val="00620E46"/>
    <w:rsid w:val="006344E2"/>
    <w:rsid w:val="00651F3F"/>
    <w:rsid w:val="006530AB"/>
    <w:rsid w:val="00675ABE"/>
    <w:rsid w:val="006B496F"/>
    <w:rsid w:val="006D05CD"/>
    <w:rsid w:val="006E721E"/>
    <w:rsid w:val="006F7B36"/>
    <w:rsid w:val="007471C4"/>
    <w:rsid w:val="0075257B"/>
    <w:rsid w:val="0076053F"/>
    <w:rsid w:val="00780EE8"/>
    <w:rsid w:val="00792E33"/>
    <w:rsid w:val="007A2A8F"/>
    <w:rsid w:val="007A5B04"/>
    <w:rsid w:val="007E6F7D"/>
    <w:rsid w:val="00812639"/>
    <w:rsid w:val="0082609A"/>
    <w:rsid w:val="00835417"/>
    <w:rsid w:val="0084365D"/>
    <w:rsid w:val="00862AC8"/>
    <w:rsid w:val="00864836"/>
    <w:rsid w:val="00873D01"/>
    <w:rsid w:val="00880F0D"/>
    <w:rsid w:val="0088191D"/>
    <w:rsid w:val="00890519"/>
    <w:rsid w:val="0089563E"/>
    <w:rsid w:val="008A16A1"/>
    <w:rsid w:val="008B6E13"/>
    <w:rsid w:val="008C1925"/>
    <w:rsid w:val="009219D5"/>
    <w:rsid w:val="00935E3A"/>
    <w:rsid w:val="009556D9"/>
    <w:rsid w:val="00955904"/>
    <w:rsid w:val="00972296"/>
    <w:rsid w:val="00972319"/>
    <w:rsid w:val="009852FC"/>
    <w:rsid w:val="0099402C"/>
    <w:rsid w:val="009B51F2"/>
    <w:rsid w:val="009E1A5F"/>
    <w:rsid w:val="009F5FEE"/>
    <w:rsid w:val="00A410C9"/>
    <w:rsid w:val="00A76D5F"/>
    <w:rsid w:val="00A86505"/>
    <w:rsid w:val="00AA17E9"/>
    <w:rsid w:val="00AE7F15"/>
    <w:rsid w:val="00AF3516"/>
    <w:rsid w:val="00AF7392"/>
    <w:rsid w:val="00B1529A"/>
    <w:rsid w:val="00B4181C"/>
    <w:rsid w:val="00BD14CA"/>
    <w:rsid w:val="00BE09C0"/>
    <w:rsid w:val="00BF28E0"/>
    <w:rsid w:val="00BF5B82"/>
    <w:rsid w:val="00C06633"/>
    <w:rsid w:val="00C46050"/>
    <w:rsid w:val="00C839EE"/>
    <w:rsid w:val="00CB42C6"/>
    <w:rsid w:val="00CC5079"/>
    <w:rsid w:val="00CF141A"/>
    <w:rsid w:val="00D20723"/>
    <w:rsid w:val="00D35D9C"/>
    <w:rsid w:val="00D52217"/>
    <w:rsid w:val="00D6753B"/>
    <w:rsid w:val="00D823FC"/>
    <w:rsid w:val="00DC2FCB"/>
    <w:rsid w:val="00DD39FA"/>
    <w:rsid w:val="00DF5FA6"/>
    <w:rsid w:val="00E07446"/>
    <w:rsid w:val="00E45D6F"/>
    <w:rsid w:val="00E63A96"/>
    <w:rsid w:val="00E75505"/>
    <w:rsid w:val="00EC1F24"/>
    <w:rsid w:val="00ED2D90"/>
    <w:rsid w:val="00F04DA1"/>
    <w:rsid w:val="00F067C5"/>
    <w:rsid w:val="00F13B61"/>
    <w:rsid w:val="00F254A0"/>
    <w:rsid w:val="00F27B48"/>
    <w:rsid w:val="00F72284"/>
    <w:rsid w:val="00F74A16"/>
    <w:rsid w:val="00FB2AE4"/>
    <w:rsid w:val="00FC082F"/>
    <w:rsid w:val="00FE6062"/>
    <w:rsid w:val="00FF72C3"/>
    <w:rsid w:val="091BB47E"/>
    <w:rsid w:val="448E4FD5"/>
    <w:rsid w:val="4C4C6532"/>
    <w:rsid w:val="4CCB674C"/>
    <w:rsid w:val="506B0476"/>
    <w:rsid w:val="59049AA8"/>
    <w:rsid w:val="6B154DFE"/>
    <w:rsid w:val="7EDEA22F"/>
    <w:rsid w:val="7EE60E7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3031C"/>
  <w15:chartTrackingRefBased/>
  <w15:docId w15:val="{63A79E09-C40A-4152-A47B-826AB1E5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F7392"/>
    <w:pPr>
      <w:keepNext/>
      <w:keepLines/>
      <w:spacing w:before="240" w:after="0"/>
      <w:outlineLvl w:val="0"/>
    </w:pPr>
    <w:rPr>
      <w:rFonts w:eastAsiaTheme="majorEastAsia" w:cstheme="majorBidi"/>
      <w:color w:val="0F4761" w:themeColor="accent1" w:themeShade="BF"/>
      <w:sz w:val="32"/>
      <w:szCs w:val="32"/>
    </w:rPr>
  </w:style>
  <w:style w:type="paragraph" w:styleId="Nagwek2">
    <w:name w:val="heading 2"/>
    <w:basedOn w:val="Normalny"/>
    <w:next w:val="Normalny"/>
    <w:link w:val="Nagwek2Znak"/>
    <w:uiPriority w:val="9"/>
    <w:unhideWhenUsed/>
    <w:qFormat/>
    <w:rsid w:val="00346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3466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3466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6640"/>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3466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346640"/>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346640"/>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346640"/>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next w:val="Normalny"/>
    <w:link w:val="PodtytuZnak"/>
    <w:uiPriority w:val="11"/>
    <w:qFormat/>
    <w:rsid w:val="00AF7392"/>
    <w:pPr>
      <w:numPr>
        <w:ilvl w:val="1"/>
      </w:numPr>
    </w:pPr>
    <w:rPr>
      <w:rFonts w:eastAsiaTheme="minorEastAsia" w:cstheme="minorBidi"/>
      <w:color w:val="5A5A5A" w:themeColor="text1" w:themeTint="A5"/>
      <w:spacing w:val="15"/>
    </w:rPr>
  </w:style>
  <w:style w:type="character" w:customStyle="1" w:styleId="PodtytuZnak">
    <w:name w:val="Podtytuł Znak"/>
    <w:basedOn w:val="Domylnaczcionkaakapitu"/>
    <w:link w:val="Podtytu"/>
    <w:uiPriority w:val="11"/>
    <w:rsid w:val="00AF7392"/>
    <w:rPr>
      <w:rFonts w:eastAsiaTheme="minorEastAsia" w:cstheme="minorBidi"/>
      <w:color w:val="5A5A5A" w:themeColor="text1" w:themeTint="A5"/>
      <w:spacing w:val="15"/>
    </w:rPr>
  </w:style>
  <w:style w:type="character" w:customStyle="1" w:styleId="Nagwek1Znak">
    <w:name w:val="Nagłówek 1 Znak"/>
    <w:basedOn w:val="Domylnaczcionkaakapitu"/>
    <w:link w:val="Nagwek1"/>
    <w:uiPriority w:val="9"/>
    <w:rsid w:val="00AF7392"/>
    <w:rPr>
      <w:rFonts w:eastAsiaTheme="majorEastAsia" w:cstheme="majorBidi"/>
      <w:color w:val="0F4761" w:themeColor="accent1" w:themeShade="BF"/>
      <w:sz w:val="32"/>
      <w:szCs w:val="32"/>
    </w:rPr>
  </w:style>
  <w:style w:type="paragraph" w:styleId="Bezodstpw">
    <w:name w:val="No Spacing"/>
    <w:uiPriority w:val="1"/>
    <w:qFormat/>
    <w:rsid w:val="00AF7392"/>
    <w:pPr>
      <w:spacing w:after="0" w:line="240" w:lineRule="auto"/>
    </w:pPr>
  </w:style>
  <w:style w:type="paragraph" w:styleId="Tytu">
    <w:name w:val="Title"/>
    <w:basedOn w:val="Normalny"/>
    <w:next w:val="Normalny"/>
    <w:link w:val="TytuZnak"/>
    <w:uiPriority w:val="10"/>
    <w:qFormat/>
    <w:rsid w:val="00AF7392"/>
    <w:pPr>
      <w:spacing w:after="0" w:line="240" w:lineRule="auto"/>
      <w:contextualSpacing/>
    </w:pPr>
    <w:rPr>
      <w:rFonts w:eastAsiaTheme="majorEastAsia" w:cstheme="majorBidi"/>
      <w:spacing w:val="-10"/>
      <w:kern w:val="28"/>
      <w:sz w:val="56"/>
      <w:szCs w:val="56"/>
    </w:rPr>
  </w:style>
  <w:style w:type="character" w:customStyle="1" w:styleId="TytuZnak">
    <w:name w:val="Tytuł Znak"/>
    <w:basedOn w:val="Domylnaczcionkaakapitu"/>
    <w:link w:val="Tytu"/>
    <w:uiPriority w:val="10"/>
    <w:rsid w:val="00AF7392"/>
    <w:rPr>
      <w:rFonts w:eastAsiaTheme="majorEastAsia" w:cstheme="majorBidi"/>
      <w:spacing w:val="-10"/>
      <w:kern w:val="28"/>
      <w:sz w:val="56"/>
      <w:szCs w:val="56"/>
    </w:rPr>
  </w:style>
  <w:style w:type="character" w:styleId="Wyrnieniedelikatne">
    <w:name w:val="Subtle Emphasis"/>
    <w:basedOn w:val="Domylnaczcionkaakapitu"/>
    <w:uiPriority w:val="19"/>
    <w:qFormat/>
    <w:rsid w:val="00AF7392"/>
    <w:rPr>
      <w:rFonts w:ascii="Arial" w:hAnsi="Arial"/>
      <w:i/>
      <w:iCs/>
      <w:color w:val="404040" w:themeColor="text1" w:themeTint="BF"/>
    </w:rPr>
  </w:style>
  <w:style w:type="character" w:styleId="Uwydatnienie">
    <w:name w:val="Emphasis"/>
    <w:basedOn w:val="Domylnaczcionkaakapitu"/>
    <w:uiPriority w:val="20"/>
    <w:qFormat/>
    <w:rsid w:val="00AF7392"/>
    <w:rPr>
      <w:rFonts w:ascii="Arial" w:hAnsi="Arial"/>
      <w:i/>
      <w:iCs/>
    </w:rPr>
  </w:style>
  <w:style w:type="paragraph" w:styleId="Cytat">
    <w:name w:val="Quote"/>
    <w:basedOn w:val="Normalny"/>
    <w:next w:val="Normalny"/>
    <w:link w:val="CytatZnak"/>
    <w:uiPriority w:val="29"/>
    <w:qFormat/>
    <w:rsid w:val="00AF7392"/>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AF7392"/>
    <w:rPr>
      <w:i/>
      <w:iCs/>
      <w:color w:val="404040" w:themeColor="text1" w:themeTint="BF"/>
    </w:rPr>
  </w:style>
  <w:style w:type="character" w:styleId="Odwoaniedelikatne">
    <w:name w:val="Subtle Reference"/>
    <w:basedOn w:val="Domylnaczcionkaakapitu"/>
    <w:uiPriority w:val="31"/>
    <w:qFormat/>
    <w:rsid w:val="00AF7392"/>
    <w:rPr>
      <w:rFonts w:ascii="Arial" w:hAnsi="Arial"/>
      <w:smallCaps/>
      <w:color w:val="5A5A5A" w:themeColor="text1" w:themeTint="A5"/>
    </w:rPr>
  </w:style>
  <w:style w:type="character" w:styleId="Odwoanieintensywne">
    <w:name w:val="Intense Reference"/>
    <w:basedOn w:val="Domylnaczcionkaakapitu"/>
    <w:uiPriority w:val="32"/>
    <w:qFormat/>
    <w:rsid w:val="00AF7392"/>
    <w:rPr>
      <w:rFonts w:ascii="Arial" w:hAnsi="Arial"/>
      <w:b/>
      <w:bCs/>
      <w:smallCaps/>
      <w:color w:val="156082" w:themeColor="accent1"/>
      <w:spacing w:val="5"/>
    </w:rPr>
  </w:style>
  <w:style w:type="paragraph" w:styleId="Legenda">
    <w:name w:val="caption"/>
    <w:basedOn w:val="Normalny"/>
    <w:next w:val="Normalny"/>
    <w:uiPriority w:val="35"/>
    <w:unhideWhenUsed/>
    <w:qFormat/>
    <w:rsid w:val="00AF7392"/>
    <w:pPr>
      <w:spacing w:after="200" w:line="240" w:lineRule="auto"/>
    </w:pPr>
    <w:rPr>
      <w:b/>
      <w:iCs/>
      <w:color w:val="0E2841" w:themeColor="text2"/>
      <w:sz w:val="18"/>
      <w:szCs w:val="18"/>
    </w:rPr>
  </w:style>
  <w:style w:type="character" w:customStyle="1" w:styleId="Nagwek2Znak">
    <w:name w:val="Nagłówek 2 Znak"/>
    <w:basedOn w:val="Domylnaczcionkaakapitu"/>
    <w:link w:val="Nagwek2"/>
    <w:uiPriority w:val="9"/>
    <w:rsid w:val="0034664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346640"/>
    <w:rPr>
      <w:rFonts w:asciiTheme="minorHAnsi" w:eastAsiaTheme="majorEastAsia" w:hAnsiTheme="minorHAnsi" w:cstheme="majorBidi"/>
      <w:color w:val="0F4761" w:themeColor="accent1" w:themeShade="BF"/>
      <w:sz w:val="28"/>
      <w:szCs w:val="28"/>
    </w:rPr>
  </w:style>
  <w:style w:type="character" w:customStyle="1" w:styleId="Nagwek4Znak">
    <w:name w:val="Nagłówek 4 Znak"/>
    <w:basedOn w:val="Domylnaczcionkaakapitu"/>
    <w:link w:val="Nagwek4"/>
    <w:uiPriority w:val="9"/>
    <w:rsid w:val="00346640"/>
    <w:rPr>
      <w:rFonts w:asciiTheme="minorHAnsi" w:eastAsiaTheme="majorEastAsia" w:hAnsiTheme="minorHAnsi" w:cstheme="majorBidi"/>
      <w:i/>
      <w:iCs/>
      <w:color w:val="0F4761" w:themeColor="accent1" w:themeShade="BF"/>
    </w:rPr>
  </w:style>
  <w:style w:type="character" w:customStyle="1" w:styleId="Nagwek5Znak">
    <w:name w:val="Nagłówek 5 Znak"/>
    <w:basedOn w:val="Domylnaczcionkaakapitu"/>
    <w:link w:val="Nagwek5"/>
    <w:uiPriority w:val="9"/>
    <w:semiHidden/>
    <w:rsid w:val="00346640"/>
    <w:rPr>
      <w:rFonts w:asciiTheme="minorHAnsi" w:eastAsiaTheme="majorEastAsia" w:hAnsiTheme="minorHAnsi" w:cstheme="majorBidi"/>
      <w:color w:val="0F4761" w:themeColor="accent1" w:themeShade="BF"/>
    </w:rPr>
  </w:style>
  <w:style w:type="character" w:customStyle="1" w:styleId="Nagwek6Znak">
    <w:name w:val="Nagłówek 6 Znak"/>
    <w:basedOn w:val="Domylnaczcionkaakapitu"/>
    <w:link w:val="Nagwek6"/>
    <w:uiPriority w:val="9"/>
    <w:semiHidden/>
    <w:rsid w:val="00346640"/>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346640"/>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346640"/>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346640"/>
    <w:rPr>
      <w:rFonts w:asciiTheme="minorHAnsi" w:eastAsiaTheme="majorEastAsia" w:hAnsiTheme="minorHAnsi" w:cstheme="majorBidi"/>
      <w:color w:val="272727" w:themeColor="text1" w:themeTint="D8"/>
    </w:rPr>
  </w:style>
  <w:style w:type="paragraph" w:styleId="Akapitzlist">
    <w:name w:val="List Paragraph"/>
    <w:aliases w:val="List_Paragraph,Multilevel para_II,List Paragraph1,Akapit z listą BS,Bullet1,Bullets,List Paragraph 1,References,List Paragraph (numbered (a)),IBL List Paragraph,List Paragraph nowy,Numbered List Paragraph,WYPUNKTOWANIE Akapit z listą"/>
    <w:basedOn w:val="Normalny"/>
    <w:link w:val="AkapitzlistZnak"/>
    <w:uiPriority w:val="34"/>
    <w:qFormat/>
    <w:rsid w:val="00346640"/>
    <w:pPr>
      <w:ind w:left="720"/>
      <w:contextualSpacing/>
    </w:pPr>
  </w:style>
  <w:style w:type="character" w:styleId="Wyrnienieintensywne">
    <w:name w:val="Intense Emphasis"/>
    <w:basedOn w:val="Domylnaczcionkaakapitu"/>
    <w:uiPriority w:val="21"/>
    <w:qFormat/>
    <w:rsid w:val="00346640"/>
    <w:rPr>
      <w:i/>
      <w:iCs/>
      <w:color w:val="0F4761" w:themeColor="accent1" w:themeShade="BF"/>
    </w:rPr>
  </w:style>
  <w:style w:type="paragraph" w:styleId="Cytatintensywny">
    <w:name w:val="Intense Quote"/>
    <w:basedOn w:val="Normalny"/>
    <w:next w:val="Normalny"/>
    <w:link w:val="CytatintensywnyZnak"/>
    <w:uiPriority w:val="30"/>
    <w:qFormat/>
    <w:rsid w:val="00346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6640"/>
    <w:rPr>
      <w:i/>
      <w:iCs/>
      <w:color w:val="0F4761" w:themeColor="accent1" w:themeShade="BF"/>
    </w:rPr>
  </w:style>
  <w:style w:type="character" w:styleId="Odwoanieprzypisudolnego">
    <w:name w:val="footnote reference"/>
    <w:aliases w:val="Odwołanie przypisu,EN Footnote Reference,Times 10 Point,Exposant 3 Point,Footnote symbol,Footnote reference number,note TESI,stylish,Footnote Reference Number,BVI fnr,SUPERS,(Footnote Reference),Voetnootverwijzing,Footnote,fr"/>
    <w:basedOn w:val="Domylnaczcionkaakapitu"/>
    <w:uiPriority w:val="99"/>
    <w:rsid w:val="002F0704"/>
    <w:rPr>
      <w:vertAlign w:val="superscript"/>
      <w:lang w:val="pl-PL"/>
    </w:rPr>
  </w:style>
  <w:style w:type="paragraph" w:styleId="Tekstprzypisudolnego">
    <w:name w:val="footnote text"/>
    <w:aliases w:val="PZRP_przypis,Znak,Tekst przypisu,~FootnoteText,Podrozdział,przypis dolny_R,Podrozdzia3,-E Fuﬂnotentext,Fuﬂnotentext Ursprung,Fußnotentext Ursprung,-E Fußnotentext,Footnote text,Tekst przypisu Znak Znak Znak Znak,Znak1, Znak, Znak1"/>
    <w:basedOn w:val="Normalny"/>
    <w:link w:val="TekstprzypisudolnegoZnak"/>
    <w:qFormat/>
    <w:rsid w:val="002F0704"/>
    <w:pPr>
      <w:spacing w:after="0" w:line="200" w:lineRule="atLeast"/>
      <w:ind w:left="113" w:hanging="113"/>
      <w:jc w:val="both"/>
    </w:pPr>
    <w:rPr>
      <w:rFonts w:cstheme="minorBidi"/>
      <w:kern w:val="0"/>
      <w:sz w:val="16"/>
      <w:szCs w:val="20"/>
      <w14:ligatures w14:val="none"/>
    </w:rPr>
  </w:style>
  <w:style w:type="character" w:customStyle="1" w:styleId="TekstprzypisudolnegoZnak">
    <w:name w:val="Tekst przypisu dolnego Znak"/>
    <w:aliases w:val="PZRP_przypis Znak,Znak Znak,Tekst przypisu Znak,~FootnoteText Znak,Podrozdział Znak,przypis dolny_R Znak,Podrozdzia3 Znak,-E Fuﬂnotentext Znak,Fuﬂnotentext Ursprung Znak,Fußnotentext Ursprung Znak,-E Fußnotentext Znak"/>
    <w:basedOn w:val="Domylnaczcionkaakapitu"/>
    <w:link w:val="Tekstprzypisudolnego"/>
    <w:rsid w:val="002F0704"/>
    <w:rPr>
      <w:rFonts w:cstheme="minorBidi"/>
      <w:kern w:val="0"/>
      <w:sz w:val="16"/>
      <w:szCs w:val="20"/>
      <w14:ligatures w14:val="none"/>
    </w:rPr>
  </w:style>
  <w:style w:type="character" w:styleId="Hipercze">
    <w:name w:val="Hyperlink"/>
    <w:basedOn w:val="Domylnaczcionkaakapitu"/>
    <w:uiPriority w:val="99"/>
    <w:rsid w:val="002F0704"/>
    <w:rPr>
      <w:color w:val="467886" w:themeColor="hyperlink"/>
      <w:u w:val="single"/>
      <w:lang w:val="pl-PL"/>
    </w:rPr>
  </w:style>
  <w:style w:type="character" w:customStyle="1" w:styleId="AkapitzlistZnak">
    <w:name w:val="Akapit z listą Znak"/>
    <w:aliases w:val="List_Paragraph Znak,Multilevel para_II Znak,List Paragraph1 Znak,Akapit z listą BS Znak,Bullet1 Znak,Bullets Znak,List Paragraph 1 Znak,References Znak,List Paragraph (numbered (a)) Znak,IBL List Paragraph Znak"/>
    <w:link w:val="Akapitzlist"/>
    <w:uiPriority w:val="34"/>
    <w:qFormat/>
    <w:locked/>
    <w:rsid w:val="006B496F"/>
  </w:style>
  <w:style w:type="table" w:customStyle="1" w:styleId="Swecotable">
    <w:name w:val="Sweco table"/>
    <w:basedOn w:val="Standardowy"/>
    <w:uiPriority w:val="99"/>
    <w:rsid w:val="006F7B36"/>
    <w:pPr>
      <w:spacing w:before="20" w:after="20" w:line="200" w:lineRule="atLeast"/>
      <w:ind w:left="57" w:right="57"/>
    </w:pPr>
    <w:rPr>
      <w:kern w:val="0"/>
      <w:sz w:val="16"/>
      <w:szCs w:val="20"/>
      <w:lang w:val="da-DK"/>
      <w14:ligatures w14:val="none"/>
    </w:rPr>
    <w:tblPr>
      <w:tblStyleRowBandSize w:val="1"/>
      <w:tblStyleColBandSize w:val="1"/>
      <w:tblInd w:w="0" w:type="nil"/>
      <w:tblBorders>
        <w:top w:val="single" w:sz="4" w:space="0" w:color="auto"/>
        <w:bottom w:val="single" w:sz="4" w:space="0" w:color="auto"/>
        <w:insideH w:val="single" w:sz="4" w:space="0" w:color="auto"/>
      </w:tblBorders>
      <w:tblCellMar>
        <w:left w:w="0" w:type="dxa"/>
        <w:right w:w="0" w:type="dxa"/>
      </w:tblCellMar>
    </w:tblPr>
    <w:tblStylePr w:type="firstRow">
      <w:tblPr/>
      <w:tcPr>
        <w:shd w:val="clear" w:color="auto" w:fill="E8E8E8" w:themeFill="background2"/>
      </w:tcPr>
    </w:tblStylePr>
    <w:tblStylePr w:type="lastRow">
      <w:rPr>
        <w:b/>
      </w:rPr>
    </w:tblStylePr>
  </w:style>
  <w:style w:type="numbering" w:styleId="111111">
    <w:name w:val="Outline List 2"/>
    <w:basedOn w:val="Bezlisty"/>
    <w:uiPriority w:val="99"/>
    <w:semiHidden/>
    <w:rsid w:val="006F7B36"/>
    <w:pPr>
      <w:numPr>
        <w:numId w:val="18"/>
      </w:numPr>
    </w:pPr>
  </w:style>
  <w:style w:type="table" w:customStyle="1" w:styleId="Tabela-Siatka1">
    <w:name w:val="Tabela - Siatka1"/>
    <w:basedOn w:val="Standardowy"/>
    <w:uiPriority w:val="39"/>
    <w:rsid w:val="00862AC8"/>
    <w:pPr>
      <w:spacing w:after="0" w:line="240" w:lineRule="auto"/>
    </w:pPr>
    <w:rPr>
      <w:rFonts w:ascii="Calibri" w:hAnsi="Calibri" w:cstheme="minorBidi"/>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5B232C"/>
    <w:rPr>
      <w:color w:val="605E5C"/>
      <w:shd w:val="clear" w:color="auto" w:fill="E1DFDD"/>
    </w:rPr>
  </w:style>
  <w:style w:type="paragraph" w:styleId="Nagwek">
    <w:name w:val="header"/>
    <w:basedOn w:val="Normalny"/>
    <w:link w:val="NagwekZnak"/>
    <w:uiPriority w:val="99"/>
    <w:unhideWhenUsed/>
    <w:rsid w:val="00F067C5"/>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F067C5"/>
  </w:style>
  <w:style w:type="paragraph" w:styleId="Stopka">
    <w:name w:val="footer"/>
    <w:basedOn w:val="Normalny"/>
    <w:link w:val="StopkaZnak"/>
    <w:uiPriority w:val="99"/>
    <w:unhideWhenUsed/>
    <w:rsid w:val="00F067C5"/>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F067C5"/>
  </w:style>
  <w:style w:type="paragraph" w:styleId="Poprawka">
    <w:name w:val="Revision"/>
    <w:hidden/>
    <w:uiPriority w:val="99"/>
    <w:semiHidden/>
    <w:rsid w:val="00304E9F"/>
    <w:pPr>
      <w:spacing w:after="0" w:line="240" w:lineRule="auto"/>
    </w:pPr>
  </w:style>
  <w:style w:type="paragraph" w:customStyle="1" w:styleId="Default">
    <w:name w:val="Default"/>
    <w:qFormat/>
    <w:rsid w:val="00304E9F"/>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Tekstdymka">
    <w:name w:val="Balloon Text"/>
    <w:basedOn w:val="Normalny"/>
    <w:link w:val="TekstdymkaZnak"/>
    <w:unhideWhenUsed/>
    <w:rsid w:val="00304E9F"/>
    <w:pPr>
      <w:spacing w:after="0" w:line="240" w:lineRule="auto"/>
    </w:pPr>
    <w:rPr>
      <w:rFonts w:ascii="Tahoma" w:hAnsi="Tahoma" w:cs="Tahoma"/>
      <w:kern w:val="0"/>
      <w:sz w:val="16"/>
      <w:szCs w:val="16"/>
      <w14:ligatures w14:val="none"/>
    </w:rPr>
  </w:style>
  <w:style w:type="character" w:customStyle="1" w:styleId="TekstdymkaZnak">
    <w:name w:val="Tekst dymka Znak"/>
    <w:basedOn w:val="Domylnaczcionkaakapitu"/>
    <w:link w:val="Tekstdymka"/>
    <w:rsid w:val="00304E9F"/>
    <w:rPr>
      <w:rFonts w:ascii="Tahoma" w:hAnsi="Tahoma" w:cs="Tahoma"/>
      <w:kern w:val="0"/>
      <w:sz w:val="16"/>
      <w:szCs w:val="16"/>
      <w14:ligatures w14:val="none"/>
    </w:rPr>
  </w:style>
  <w:style w:type="paragraph" w:styleId="Nagwekspisutreci">
    <w:name w:val="TOC Heading"/>
    <w:basedOn w:val="Nagwek1"/>
    <w:next w:val="Normalny"/>
    <w:uiPriority w:val="39"/>
    <w:unhideWhenUsed/>
    <w:qFormat/>
    <w:rsid w:val="00304E9F"/>
    <w:pPr>
      <w:outlineLvl w:val="9"/>
    </w:pPr>
    <w:rPr>
      <w:rFonts w:asciiTheme="majorHAnsi" w:hAnsiTheme="majorHAnsi"/>
      <w:kern w:val="0"/>
      <w:lang w:eastAsia="pl-PL"/>
      <w14:ligatures w14:val="none"/>
    </w:rPr>
  </w:style>
  <w:style w:type="paragraph" w:styleId="Spistreci1">
    <w:name w:val="toc 1"/>
    <w:basedOn w:val="Normalny"/>
    <w:next w:val="Normalny"/>
    <w:autoRedefine/>
    <w:uiPriority w:val="39"/>
    <w:unhideWhenUsed/>
    <w:rsid w:val="00304E9F"/>
    <w:pPr>
      <w:spacing w:after="100"/>
    </w:pPr>
  </w:style>
  <w:style w:type="paragraph" w:styleId="Spistreci2">
    <w:name w:val="toc 2"/>
    <w:basedOn w:val="Normalny"/>
    <w:next w:val="Normalny"/>
    <w:autoRedefine/>
    <w:uiPriority w:val="39"/>
    <w:unhideWhenUsed/>
    <w:rsid w:val="00304E9F"/>
    <w:pPr>
      <w:spacing w:after="100"/>
      <w:ind w:left="220"/>
    </w:pPr>
  </w:style>
  <w:style w:type="paragraph" w:styleId="Spistreci3">
    <w:name w:val="toc 3"/>
    <w:basedOn w:val="Normalny"/>
    <w:next w:val="Normalny"/>
    <w:autoRedefine/>
    <w:uiPriority w:val="39"/>
    <w:unhideWhenUsed/>
    <w:rsid w:val="00304E9F"/>
    <w:pPr>
      <w:spacing w:after="100"/>
      <w:ind w:left="440"/>
    </w:pPr>
  </w:style>
  <w:style w:type="paragraph" w:customStyle="1" w:styleId="paragraph">
    <w:name w:val="paragraph"/>
    <w:basedOn w:val="Normalny"/>
    <w:rsid w:val="00972296"/>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normaltextrun">
    <w:name w:val="normaltextrun"/>
    <w:basedOn w:val="Domylnaczcionkaakapitu"/>
    <w:rsid w:val="00972296"/>
  </w:style>
  <w:style w:type="character" w:customStyle="1" w:styleId="eop">
    <w:name w:val="eop"/>
    <w:basedOn w:val="Domylnaczcionkaakapitu"/>
    <w:rsid w:val="00972296"/>
  </w:style>
  <w:style w:type="character" w:customStyle="1" w:styleId="wacimagecontainer">
    <w:name w:val="wacimagecontainer"/>
    <w:basedOn w:val="Domylnaczcionkaakapitu"/>
    <w:rsid w:val="00051943"/>
  </w:style>
  <w:style w:type="paragraph" w:styleId="Spisilustracji">
    <w:name w:val="table of figures"/>
    <w:basedOn w:val="Normalny"/>
    <w:next w:val="Normalny"/>
    <w:uiPriority w:val="99"/>
    <w:unhideWhenUsed/>
    <w:rsid w:val="00AF351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4.png"/><Relationship Id="rId50" Type="http://schemas.openxmlformats.org/officeDocument/2006/relationships/image" Target="media/image3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www.gov.pl/web/gdos/rudbeckia-laciniata---rudbekia-nag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5.png"/><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s://www.gov.pl/web/gdos/kompendia-zwalczania-wybranych-igo" TargetMode="Externa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www.gov.pl/web/gdos/kompendia-zwalczania-wybranych-ig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ov.pl/web/gdos/kompendia-zwalczania-wybranych-igo" TargetMode="External"/><Relationship Id="rId1" Type="http://schemas.openxmlformats.org/officeDocument/2006/relationships/hyperlink" Target="https://www.gov.pl/web/gdos/kompendia-zwalczania-wybranych-i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5CF67A-320C-470A-9D68-5E7042BA3EF4}">
  <ds:schemaRefs>
    <ds:schemaRef ds:uri="http://schemas.openxmlformats.org/officeDocument/2006/bibliography"/>
  </ds:schemaRefs>
</ds:datastoreItem>
</file>

<file path=customXml/itemProps2.xml><?xml version="1.0" encoding="utf-8"?>
<ds:datastoreItem xmlns:ds="http://schemas.openxmlformats.org/officeDocument/2006/customXml" ds:itemID="{605F1823-9C48-48C0-B2A8-B6D5752FF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45C2A-8FC6-469A-A5AF-F39D60C99CAB}">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4.xml><?xml version="1.0" encoding="utf-8"?>
<ds:datastoreItem xmlns:ds="http://schemas.openxmlformats.org/officeDocument/2006/customXml" ds:itemID="{E1CB7841-607B-4C15-B3BA-B6EAEEF705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15269</Words>
  <Characters>91614</Characters>
  <Application>Microsoft Office Word</Application>
  <DocSecurity>0</DocSecurity>
  <Lines>763</Lines>
  <Paragraphs>213</Paragraphs>
  <ScaleCrop>false</ScaleCrop>
  <Company/>
  <LinksUpToDate>false</LinksUpToDate>
  <CharactersWithSpaces>106670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Kędziora, Przemysław</dc:creator>
  <cp:keywords/>
  <dc:description/>
  <cp:lastModifiedBy>Kik, Wiktoria</cp:lastModifiedBy>
  <cp:revision>59</cp:revision>
  <dcterms:created xsi:type="dcterms:W3CDTF">2026-08-28T06:42:00Z</dcterms:created>
  <dcterms:modified xsi:type="dcterms:W3CDTF">2026-10-15T13:37:00Z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2026-08-28T09:16:40Z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bc33b7fd-be5e-4c07-98ae-5a1ea44103e4</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ies>
</file>