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6DC" w:rsidRDefault="00C92AD2" w:rsidP="006577C5">
      <w:pPr>
        <w:framePr w:w="4591" w:h="1396" w:hRule="exact" w:hSpace="180" w:wrap="around" w:vAnchor="page" w:hAnchor="page" w:x="1531" w:y="1141"/>
        <w:autoSpaceDE w:val="0"/>
        <w:autoSpaceDN w:val="0"/>
        <w:adjustRightInd w:val="0"/>
        <w:spacing w:line="240" w:lineRule="auto"/>
        <w:rPr>
          <w:rFonts w:ascii="Calibri" w:hAnsi="Calibri" w:cs="Calibri"/>
          <w:b/>
          <w:bCs/>
          <w:color w:val="000000"/>
          <w:szCs w:val="24"/>
          <w:lang w:eastAsia="pl-PL"/>
        </w:rPr>
      </w:pPr>
      <w:r>
        <w:rPr>
          <w:rFonts w:ascii="Calibri" w:hAnsi="Calibri" w:cs="Calibri"/>
          <w:b/>
          <w:bCs/>
          <w:color w:val="000000"/>
          <w:szCs w:val="24"/>
          <w:lang w:eastAsia="pl-PL"/>
        </w:rPr>
        <w:t xml:space="preserve">  </w:t>
      </w:r>
      <w:r w:rsidR="000376DC">
        <w:rPr>
          <w:rFonts w:ascii="Calibri" w:hAnsi="Calibri" w:cs="Calibri"/>
          <w:noProof/>
          <w:szCs w:val="24"/>
          <w:lang w:eastAsia="pl-PL"/>
        </w:rPr>
        <w:drawing>
          <wp:inline distT="0" distB="0" distL="0" distR="0" wp14:anchorId="5C58C407" wp14:editId="54652519">
            <wp:extent cx="514350" cy="5429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p w:rsidR="000376DC" w:rsidRPr="00496F38" w:rsidRDefault="000376DC" w:rsidP="006577C5">
      <w:pPr>
        <w:framePr w:w="4591" w:h="1396" w:hRule="exact" w:hSpace="180" w:wrap="around" w:vAnchor="page" w:hAnchor="page" w:x="1531" w:y="1141"/>
        <w:autoSpaceDE w:val="0"/>
        <w:autoSpaceDN w:val="0"/>
        <w:adjustRightInd w:val="0"/>
        <w:spacing w:line="240" w:lineRule="auto"/>
        <w:ind w:firstLine="0"/>
        <w:rPr>
          <w:rFonts w:ascii="Calibri" w:hAnsi="Calibri" w:cs="Calibri"/>
        </w:rPr>
      </w:pPr>
      <w:r>
        <w:rPr>
          <w:rStyle w:val="Pogrubienie"/>
          <w:rFonts w:ascii="Calibri" w:hAnsi="Calibri" w:cs="Calibri"/>
          <w:b/>
          <w:bCs/>
        </w:rPr>
        <w:t>WOJEWODA MAZOWIECKI</w:t>
      </w:r>
    </w:p>
    <w:p w:rsidR="000376DC" w:rsidRDefault="000376DC" w:rsidP="006577C5">
      <w:pPr>
        <w:framePr w:w="4591" w:h="1396" w:hRule="exact" w:hSpace="180" w:wrap="around" w:vAnchor="page" w:hAnchor="page" w:x="1531" w:y="1141"/>
        <w:autoSpaceDE w:val="0"/>
        <w:autoSpaceDN w:val="0"/>
        <w:adjustRightInd w:val="0"/>
        <w:spacing w:line="240" w:lineRule="auto"/>
        <w:jc w:val="center"/>
        <w:rPr>
          <w:rFonts w:ascii="Calibri" w:hAnsi="Calibri" w:cs="Calibri"/>
          <w:b/>
          <w:color w:val="000000"/>
          <w:szCs w:val="24"/>
          <w:lang w:eastAsia="pl-PL"/>
        </w:rPr>
      </w:pPr>
    </w:p>
    <w:p w:rsidR="000376DC" w:rsidRDefault="000376DC" w:rsidP="006577C5">
      <w:pPr>
        <w:framePr w:w="4591" w:h="1396" w:hRule="exact" w:hSpace="180" w:wrap="around" w:vAnchor="page" w:hAnchor="page" w:x="1531" w:y="1141"/>
        <w:autoSpaceDE w:val="0"/>
        <w:autoSpaceDN w:val="0"/>
        <w:adjustRightInd w:val="0"/>
        <w:spacing w:line="240" w:lineRule="auto"/>
        <w:jc w:val="center"/>
        <w:rPr>
          <w:rFonts w:ascii="Calibri" w:hAnsi="Calibri" w:cs="Calibri"/>
          <w:b/>
          <w:color w:val="000000"/>
          <w:szCs w:val="24"/>
          <w:lang w:eastAsia="pl-PL"/>
        </w:rPr>
      </w:pPr>
    </w:p>
    <w:p w:rsidR="000376DC" w:rsidRDefault="000376DC" w:rsidP="006577C5">
      <w:pPr>
        <w:ind w:right="-567"/>
        <w:rPr>
          <w:rFonts w:ascii="Calibri" w:hAnsi="Calibri" w:cs="Calibri"/>
          <w:szCs w:val="24"/>
        </w:rPr>
      </w:pPr>
    </w:p>
    <w:p w:rsidR="000376DC" w:rsidRDefault="000376DC" w:rsidP="006577C5">
      <w:pPr>
        <w:tabs>
          <w:tab w:val="left" w:pos="0"/>
        </w:tabs>
        <w:rPr>
          <w:rFonts w:ascii="Calibri" w:hAnsi="Calibri" w:cs="Calibri"/>
          <w:szCs w:val="24"/>
        </w:rPr>
      </w:pPr>
    </w:p>
    <w:p w:rsidR="000376DC" w:rsidRDefault="000376DC" w:rsidP="006577C5">
      <w:pPr>
        <w:rPr>
          <w:rFonts w:ascii="Calibri" w:hAnsi="Calibri" w:cs="Calibri"/>
          <w:szCs w:val="24"/>
        </w:rPr>
      </w:pPr>
    </w:p>
    <w:p w:rsidR="000376DC" w:rsidRPr="00E579FF" w:rsidRDefault="000376DC" w:rsidP="006577C5">
      <w:pPr>
        <w:tabs>
          <w:tab w:val="left" w:pos="426"/>
          <w:tab w:val="left" w:pos="1276"/>
        </w:tabs>
        <w:spacing w:line="240" w:lineRule="auto"/>
        <w:ind w:firstLine="0"/>
        <w:rPr>
          <w:rFonts w:ascii="Calibri" w:hAnsi="Calibri" w:cs="Calibri"/>
          <w:szCs w:val="24"/>
        </w:rPr>
      </w:pPr>
      <w:r>
        <w:rPr>
          <w:rFonts w:ascii="Calibri" w:hAnsi="Calibri" w:cs="Calibri"/>
          <w:szCs w:val="24"/>
        </w:rPr>
        <w:tab/>
        <w:t xml:space="preserve">           </w:t>
      </w:r>
      <w:r>
        <w:rPr>
          <w:rFonts w:ascii="Calibri" w:hAnsi="Calibri" w:cs="Calibri"/>
          <w:szCs w:val="24"/>
        </w:rPr>
        <w:tab/>
      </w:r>
      <w:r w:rsidR="00F32D50">
        <w:rPr>
          <w:rFonts w:ascii="Calibri" w:hAnsi="Calibri" w:cs="Calibri"/>
          <w:szCs w:val="24"/>
        </w:rPr>
        <w:tab/>
      </w:r>
      <w:r w:rsidR="00F32D50">
        <w:rPr>
          <w:rFonts w:ascii="Calibri" w:hAnsi="Calibri" w:cs="Calibri"/>
          <w:szCs w:val="24"/>
        </w:rPr>
        <w:tab/>
      </w:r>
      <w:r w:rsidR="00E579FF">
        <w:rPr>
          <w:rFonts w:ascii="Calibri" w:hAnsi="Calibri" w:cs="Calibri"/>
          <w:szCs w:val="24"/>
        </w:rPr>
        <w:tab/>
      </w:r>
      <w:r w:rsidR="00E579FF">
        <w:rPr>
          <w:rFonts w:ascii="Calibri" w:hAnsi="Calibri" w:cs="Calibri"/>
          <w:szCs w:val="24"/>
        </w:rPr>
        <w:tab/>
      </w:r>
      <w:r w:rsidR="00E579FF">
        <w:rPr>
          <w:rFonts w:ascii="Calibri" w:hAnsi="Calibri" w:cs="Calibri"/>
          <w:szCs w:val="24"/>
        </w:rPr>
        <w:tab/>
      </w:r>
      <w:r w:rsidR="00E579FF">
        <w:rPr>
          <w:rFonts w:ascii="Calibri" w:hAnsi="Calibri" w:cs="Calibri"/>
          <w:szCs w:val="24"/>
        </w:rPr>
        <w:tab/>
      </w:r>
      <w:r w:rsidR="00E579FF">
        <w:rPr>
          <w:rFonts w:ascii="Calibri" w:hAnsi="Calibri" w:cs="Calibri"/>
          <w:szCs w:val="24"/>
        </w:rPr>
        <w:tab/>
      </w:r>
      <w:r w:rsidR="00E579FF">
        <w:rPr>
          <w:rFonts w:ascii="Calibri" w:hAnsi="Calibri" w:cs="Calibri"/>
          <w:szCs w:val="24"/>
        </w:rPr>
        <w:tab/>
      </w:r>
      <w:r w:rsidR="00E579FF">
        <w:rPr>
          <w:rFonts w:ascii="Calibri" w:hAnsi="Calibri" w:cs="Calibri"/>
          <w:sz w:val="24"/>
          <w:szCs w:val="24"/>
        </w:rPr>
        <w:t xml:space="preserve">Warszawa, </w:t>
      </w:r>
      <w:r w:rsidR="00897CD0">
        <w:rPr>
          <w:rFonts w:ascii="Calibri" w:hAnsi="Calibri" w:cs="Calibri"/>
          <w:sz w:val="24"/>
          <w:szCs w:val="24"/>
        </w:rPr>
        <w:t xml:space="preserve">31 </w:t>
      </w:r>
      <w:r w:rsidR="00872CBA">
        <w:rPr>
          <w:rFonts w:ascii="Calibri" w:hAnsi="Calibri" w:cs="Calibri"/>
          <w:sz w:val="24"/>
          <w:szCs w:val="24"/>
        </w:rPr>
        <w:t>maja</w:t>
      </w:r>
      <w:r w:rsidRPr="00845AF8">
        <w:rPr>
          <w:rFonts w:ascii="Calibri" w:hAnsi="Calibri" w:cs="Calibri"/>
          <w:sz w:val="24"/>
          <w:szCs w:val="24"/>
        </w:rPr>
        <w:t xml:space="preserve"> 2019 r.</w:t>
      </w:r>
    </w:p>
    <w:p w:rsidR="000376DC" w:rsidRPr="00845AF8" w:rsidRDefault="00274440" w:rsidP="006577C5">
      <w:pPr>
        <w:tabs>
          <w:tab w:val="left" w:pos="426"/>
          <w:tab w:val="left" w:pos="1276"/>
        </w:tabs>
        <w:spacing w:line="240" w:lineRule="auto"/>
        <w:ind w:firstLine="0"/>
        <w:rPr>
          <w:rFonts w:ascii="Calibri" w:hAnsi="Calibri" w:cs="Calibri"/>
          <w:sz w:val="24"/>
          <w:szCs w:val="24"/>
        </w:rPr>
      </w:pPr>
      <w:r>
        <w:rPr>
          <w:rFonts w:ascii="Calibri" w:hAnsi="Calibri" w:cs="Calibri"/>
          <w:sz w:val="24"/>
          <w:szCs w:val="24"/>
        </w:rPr>
        <w:t>WNP-I.4131.</w:t>
      </w:r>
      <w:r w:rsidR="00F54068">
        <w:rPr>
          <w:rFonts w:ascii="Calibri" w:hAnsi="Calibri" w:cs="Calibri"/>
          <w:sz w:val="24"/>
          <w:szCs w:val="24"/>
        </w:rPr>
        <w:t>103</w:t>
      </w:r>
      <w:r w:rsidR="000376DC" w:rsidRPr="00845AF8">
        <w:rPr>
          <w:rFonts w:ascii="Calibri" w:hAnsi="Calibri" w:cs="Calibri"/>
          <w:sz w:val="24"/>
          <w:szCs w:val="24"/>
        </w:rPr>
        <w:t>.2019.DK</w:t>
      </w:r>
    </w:p>
    <w:p w:rsidR="000376DC" w:rsidRDefault="000376DC" w:rsidP="006577C5">
      <w:pPr>
        <w:tabs>
          <w:tab w:val="left" w:pos="426"/>
          <w:tab w:val="left" w:pos="1276"/>
        </w:tabs>
        <w:spacing w:line="240" w:lineRule="auto"/>
        <w:rPr>
          <w:rFonts w:ascii="Calibri" w:hAnsi="Calibri" w:cs="Calibri"/>
          <w:szCs w:val="24"/>
        </w:rPr>
      </w:pPr>
    </w:p>
    <w:p w:rsidR="000376DC" w:rsidRDefault="000376DC" w:rsidP="006577C5">
      <w:pPr>
        <w:autoSpaceDE w:val="0"/>
        <w:autoSpaceDN w:val="0"/>
        <w:adjustRightInd w:val="0"/>
        <w:spacing w:line="240" w:lineRule="auto"/>
        <w:ind w:left="5663"/>
        <w:rPr>
          <w:rFonts w:ascii="Calibri" w:hAnsi="Calibri"/>
          <w:b/>
          <w:sz w:val="28"/>
        </w:rPr>
      </w:pPr>
      <w:r>
        <w:rPr>
          <w:rFonts w:ascii="Calibri" w:hAnsi="Calibri"/>
          <w:b/>
          <w:sz w:val="28"/>
        </w:rPr>
        <w:t xml:space="preserve">Rada Gminy Jaktorów  </w:t>
      </w:r>
    </w:p>
    <w:p w:rsidR="000376DC" w:rsidRDefault="000376DC" w:rsidP="006577C5">
      <w:pPr>
        <w:autoSpaceDE w:val="0"/>
        <w:autoSpaceDN w:val="0"/>
        <w:adjustRightInd w:val="0"/>
        <w:spacing w:line="240" w:lineRule="auto"/>
        <w:ind w:left="5663"/>
        <w:rPr>
          <w:rFonts w:ascii="Calibri" w:hAnsi="Calibri"/>
          <w:b/>
          <w:sz w:val="28"/>
        </w:rPr>
      </w:pPr>
      <w:r>
        <w:rPr>
          <w:rFonts w:ascii="Calibri" w:hAnsi="Calibri"/>
          <w:b/>
          <w:sz w:val="28"/>
        </w:rPr>
        <w:t>ul. Warszawska 33</w:t>
      </w:r>
    </w:p>
    <w:p w:rsidR="00274440" w:rsidRPr="0080406E" w:rsidRDefault="000376DC" w:rsidP="006577C5">
      <w:pPr>
        <w:autoSpaceDE w:val="0"/>
        <w:autoSpaceDN w:val="0"/>
        <w:adjustRightInd w:val="0"/>
        <w:spacing w:line="240" w:lineRule="auto"/>
        <w:ind w:left="5663"/>
        <w:rPr>
          <w:rFonts w:ascii="Calibri" w:hAnsi="Calibri"/>
          <w:b/>
          <w:sz w:val="28"/>
        </w:rPr>
      </w:pPr>
      <w:r>
        <w:rPr>
          <w:rFonts w:ascii="Calibri" w:hAnsi="Calibri"/>
          <w:b/>
          <w:sz w:val="28"/>
        </w:rPr>
        <w:t>96-313 Jaktorów</w:t>
      </w:r>
    </w:p>
    <w:p w:rsidR="006577C5" w:rsidRDefault="006577C5" w:rsidP="006577C5">
      <w:pPr>
        <w:ind w:firstLine="0"/>
        <w:jc w:val="center"/>
        <w:rPr>
          <w:rFonts w:cstheme="minorHAnsi"/>
          <w:b/>
          <w:bCs/>
          <w:sz w:val="24"/>
          <w:szCs w:val="24"/>
        </w:rPr>
      </w:pPr>
    </w:p>
    <w:p w:rsidR="000376DC" w:rsidRPr="000376DC" w:rsidRDefault="000376DC" w:rsidP="006577C5">
      <w:pPr>
        <w:ind w:firstLine="0"/>
        <w:jc w:val="center"/>
        <w:rPr>
          <w:rFonts w:cstheme="minorHAnsi"/>
          <w:b/>
          <w:bCs/>
          <w:sz w:val="24"/>
          <w:szCs w:val="24"/>
        </w:rPr>
      </w:pPr>
      <w:r w:rsidRPr="000376DC">
        <w:rPr>
          <w:rFonts w:cstheme="minorHAnsi"/>
          <w:b/>
          <w:bCs/>
          <w:sz w:val="24"/>
          <w:szCs w:val="24"/>
        </w:rPr>
        <w:t>Rozstrzygnięcie  nadzorcze</w:t>
      </w:r>
    </w:p>
    <w:p w:rsidR="000376DC" w:rsidRPr="000376DC" w:rsidRDefault="000376DC" w:rsidP="006577C5">
      <w:pPr>
        <w:tabs>
          <w:tab w:val="left" w:pos="708"/>
          <w:tab w:val="left" w:pos="1416"/>
          <w:tab w:val="left" w:pos="2124"/>
          <w:tab w:val="left" w:pos="2832"/>
          <w:tab w:val="left" w:pos="3540"/>
          <w:tab w:val="left" w:pos="4248"/>
          <w:tab w:val="left" w:pos="4956"/>
          <w:tab w:val="left" w:pos="5400"/>
        </w:tabs>
        <w:ind w:left="2832" w:firstLine="708"/>
        <w:jc w:val="left"/>
        <w:rPr>
          <w:rFonts w:cstheme="minorHAnsi"/>
          <w:bCs/>
          <w:i/>
          <w:sz w:val="24"/>
          <w:szCs w:val="24"/>
        </w:rPr>
      </w:pPr>
    </w:p>
    <w:p w:rsidR="00274440" w:rsidRDefault="000376DC" w:rsidP="006577C5">
      <w:pPr>
        <w:pStyle w:val="Tekstpodstawowy"/>
        <w:spacing w:before="120" w:after="120" w:line="240" w:lineRule="auto"/>
        <w:ind w:right="-1" w:firstLine="284"/>
        <w:rPr>
          <w:rFonts w:asciiTheme="minorHAnsi" w:hAnsiTheme="minorHAnsi" w:cstheme="minorHAnsi"/>
          <w:sz w:val="24"/>
        </w:rPr>
      </w:pPr>
      <w:r w:rsidRPr="000376DC">
        <w:rPr>
          <w:rFonts w:asciiTheme="minorHAnsi" w:hAnsiTheme="minorHAnsi" w:cstheme="minorHAnsi"/>
          <w:sz w:val="24"/>
        </w:rPr>
        <w:t>Na podstawie art. 91 ust. 1 ustawy z dnia 8 marca 1990 r. o samorządzie gminnym (</w:t>
      </w:r>
      <w:r>
        <w:rPr>
          <w:rFonts w:asciiTheme="minorHAnsi" w:hAnsiTheme="minorHAnsi" w:cstheme="minorHAnsi"/>
          <w:sz w:val="24"/>
        </w:rPr>
        <w:t>Dz. U. z 201</w:t>
      </w:r>
      <w:r w:rsidR="00895798">
        <w:rPr>
          <w:rFonts w:asciiTheme="minorHAnsi" w:hAnsiTheme="minorHAnsi" w:cstheme="minorHAnsi"/>
          <w:sz w:val="24"/>
        </w:rPr>
        <w:t>9</w:t>
      </w:r>
      <w:r>
        <w:rPr>
          <w:rFonts w:asciiTheme="minorHAnsi" w:hAnsiTheme="minorHAnsi" w:cstheme="minorHAnsi"/>
          <w:sz w:val="24"/>
        </w:rPr>
        <w:t xml:space="preserve"> r. poz. 506</w:t>
      </w:r>
      <w:r w:rsidRPr="000376DC">
        <w:rPr>
          <w:rFonts w:asciiTheme="minorHAnsi" w:hAnsiTheme="minorHAnsi" w:cstheme="minorHAnsi"/>
          <w:sz w:val="24"/>
        </w:rPr>
        <w:t>)</w:t>
      </w:r>
    </w:p>
    <w:p w:rsidR="000376DC" w:rsidRPr="000376DC" w:rsidRDefault="000376DC" w:rsidP="006577C5">
      <w:pPr>
        <w:pStyle w:val="Tekstpodstawowy"/>
        <w:spacing w:before="120" w:after="120" w:line="240" w:lineRule="auto"/>
        <w:ind w:firstLine="284"/>
        <w:jc w:val="center"/>
        <w:rPr>
          <w:rFonts w:asciiTheme="minorHAnsi" w:hAnsiTheme="minorHAnsi" w:cstheme="minorHAnsi"/>
          <w:b/>
          <w:bCs/>
          <w:sz w:val="24"/>
        </w:rPr>
      </w:pPr>
      <w:r w:rsidRPr="000376DC">
        <w:rPr>
          <w:rFonts w:asciiTheme="minorHAnsi" w:hAnsiTheme="minorHAnsi" w:cstheme="minorHAnsi"/>
          <w:b/>
          <w:bCs/>
          <w:sz w:val="24"/>
        </w:rPr>
        <w:t>stwierdzam nieważność</w:t>
      </w:r>
    </w:p>
    <w:p w:rsidR="000376DC" w:rsidRDefault="000376DC" w:rsidP="006577C5">
      <w:pPr>
        <w:tabs>
          <w:tab w:val="left" w:pos="2865"/>
        </w:tabs>
        <w:spacing w:before="120" w:after="120" w:line="240" w:lineRule="auto"/>
        <w:ind w:firstLine="0"/>
        <w:rPr>
          <w:rFonts w:cstheme="minorHAnsi"/>
          <w:sz w:val="24"/>
          <w:szCs w:val="24"/>
        </w:rPr>
      </w:pPr>
      <w:r>
        <w:rPr>
          <w:rFonts w:cstheme="minorHAnsi"/>
          <w:sz w:val="24"/>
          <w:szCs w:val="24"/>
        </w:rPr>
        <w:t xml:space="preserve">uchwał Rady Gminy </w:t>
      </w:r>
      <w:r w:rsidR="0080406E">
        <w:rPr>
          <w:rFonts w:cstheme="minorHAnsi"/>
          <w:sz w:val="24"/>
          <w:szCs w:val="24"/>
        </w:rPr>
        <w:t>Jaktorów</w:t>
      </w:r>
      <w:r>
        <w:rPr>
          <w:rFonts w:cstheme="minorHAnsi"/>
          <w:sz w:val="24"/>
          <w:szCs w:val="24"/>
        </w:rPr>
        <w:t xml:space="preserve"> z dnia 29 kwietnia 2019 r.:</w:t>
      </w:r>
    </w:p>
    <w:p w:rsidR="000376DC" w:rsidRPr="000376DC" w:rsidRDefault="0080406E" w:rsidP="006577C5">
      <w:pPr>
        <w:spacing w:before="120" w:after="120" w:line="240" w:lineRule="auto"/>
        <w:ind w:firstLine="284"/>
        <w:rPr>
          <w:rFonts w:ascii="Calibri" w:hAnsi="Calibri" w:cs="Calibri"/>
          <w:i/>
          <w:sz w:val="24"/>
          <w:szCs w:val="24"/>
        </w:rPr>
      </w:pPr>
      <w:r>
        <w:rPr>
          <w:rFonts w:ascii="Calibri" w:hAnsi="Calibri" w:cs="Calibri"/>
          <w:sz w:val="24"/>
          <w:szCs w:val="24"/>
        </w:rPr>
        <w:t>-</w:t>
      </w:r>
      <w:r w:rsidR="000376DC" w:rsidRPr="000376DC">
        <w:rPr>
          <w:rFonts w:ascii="Calibri" w:hAnsi="Calibri" w:cs="Calibri"/>
          <w:sz w:val="24"/>
          <w:szCs w:val="24"/>
        </w:rPr>
        <w:t xml:space="preserve">Nr X/60/2019 </w:t>
      </w:r>
      <w:r w:rsidR="000376DC" w:rsidRPr="000376DC">
        <w:rPr>
          <w:rFonts w:ascii="Calibri" w:hAnsi="Calibri" w:cs="Calibri"/>
          <w:i/>
          <w:sz w:val="24"/>
          <w:szCs w:val="24"/>
        </w:rPr>
        <w:t xml:space="preserve">w sprawie upoważnienia Dyrektora Zespołu Szkół Publicznych w Międzyborowie </w:t>
      </w:r>
      <w:r w:rsidR="00102D18">
        <w:rPr>
          <w:rFonts w:ascii="Calibri" w:hAnsi="Calibri" w:cs="Calibri"/>
          <w:i/>
          <w:sz w:val="24"/>
          <w:szCs w:val="24"/>
        </w:rPr>
        <w:br/>
      </w:r>
      <w:r w:rsidR="000376DC" w:rsidRPr="000376DC">
        <w:rPr>
          <w:rFonts w:ascii="Calibri" w:hAnsi="Calibri" w:cs="Calibri"/>
          <w:i/>
          <w:sz w:val="24"/>
          <w:szCs w:val="24"/>
        </w:rPr>
        <w:t>do załatwiania indywidualnych spraw z zakresu administracji publicznej,</w:t>
      </w:r>
    </w:p>
    <w:p w:rsidR="000376DC" w:rsidRPr="000376DC" w:rsidRDefault="0080406E" w:rsidP="006577C5">
      <w:pPr>
        <w:spacing w:before="120" w:after="120" w:line="240" w:lineRule="auto"/>
        <w:ind w:firstLine="284"/>
        <w:rPr>
          <w:rFonts w:ascii="Calibri" w:hAnsi="Calibri" w:cs="Calibri"/>
          <w:i/>
          <w:sz w:val="24"/>
          <w:szCs w:val="24"/>
        </w:rPr>
      </w:pPr>
      <w:r>
        <w:rPr>
          <w:rFonts w:ascii="Calibri" w:hAnsi="Calibri" w:cs="Calibri"/>
          <w:sz w:val="24"/>
          <w:szCs w:val="24"/>
        </w:rPr>
        <w:t>-</w:t>
      </w:r>
      <w:r w:rsidR="000376DC" w:rsidRPr="000376DC">
        <w:rPr>
          <w:rFonts w:ascii="Calibri" w:hAnsi="Calibri" w:cs="Calibri"/>
          <w:sz w:val="24"/>
          <w:szCs w:val="24"/>
        </w:rPr>
        <w:t xml:space="preserve">Nr X/61/2019 </w:t>
      </w:r>
      <w:r w:rsidR="000376DC" w:rsidRPr="000376DC">
        <w:rPr>
          <w:rFonts w:ascii="Calibri" w:hAnsi="Calibri" w:cs="Calibri"/>
          <w:i/>
          <w:sz w:val="24"/>
          <w:szCs w:val="24"/>
        </w:rPr>
        <w:t>w sprawie upoważnienia Dyrektora Zespołu Szkolno-Przedszkolnego w Jaktorowie do załatwiania indywidualnych spraw z zakresu administracji publicznej.</w:t>
      </w:r>
    </w:p>
    <w:p w:rsidR="00845AF8" w:rsidRDefault="000376DC" w:rsidP="006577C5">
      <w:pPr>
        <w:tabs>
          <w:tab w:val="left" w:pos="3840"/>
        </w:tabs>
        <w:spacing w:before="120" w:after="120" w:line="240" w:lineRule="auto"/>
        <w:ind w:firstLine="284"/>
        <w:jc w:val="center"/>
        <w:rPr>
          <w:rFonts w:cstheme="minorHAnsi"/>
          <w:b/>
          <w:sz w:val="24"/>
          <w:szCs w:val="24"/>
        </w:rPr>
      </w:pPr>
      <w:r w:rsidRPr="000376DC">
        <w:rPr>
          <w:rFonts w:cstheme="minorHAnsi"/>
          <w:b/>
          <w:sz w:val="24"/>
          <w:szCs w:val="24"/>
        </w:rPr>
        <w:t>UZASADNIENIE</w:t>
      </w:r>
    </w:p>
    <w:p w:rsidR="00845AF8" w:rsidRPr="004F4294" w:rsidRDefault="00845AF8" w:rsidP="006577C5">
      <w:pPr>
        <w:spacing w:before="120" w:after="120" w:line="240" w:lineRule="auto"/>
        <w:ind w:firstLine="284"/>
        <w:rPr>
          <w:rFonts w:ascii="Calibri" w:hAnsi="Calibri" w:cs="Calibri"/>
          <w:i/>
          <w:sz w:val="24"/>
          <w:szCs w:val="24"/>
        </w:rPr>
      </w:pPr>
      <w:r w:rsidRPr="00845AF8">
        <w:rPr>
          <w:rFonts w:cstheme="minorHAnsi"/>
          <w:sz w:val="24"/>
          <w:szCs w:val="24"/>
        </w:rPr>
        <w:t xml:space="preserve">Rada Gminy Jaktorów </w:t>
      </w:r>
      <w:r>
        <w:rPr>
          <w:rFonts w:cstheme="minorHAnsi"/>
          <w:sz w:val="24"/>
          <w:szCs w:val="24"/>
        </w:rPr>
        <w:t xml:space="preserve">podjęła uchwały </w:t>
      </w:r>
      <w:r w:rsidRPr="000376DC">
        <w:rPr>
          <w:rFonts w:ascii="Calibri" w:hAnsi="Calibri" w:cs="Calibri"/>
          <w:sz w:val="24"/>
          <w:szCs w:val="24"/>
        </w:rPr>
        <w:t xml:space="preserve">Nr X/60/2019 z dnia 29 kwietnia 2019 r. </w:t>
      </w:r>
      <w:r w:rsidRPr="000376DC">
        <w:rPr>
          <w:rFonts w:ascii="Calibri" w:hAnsi="Calibri" w:cs="Calibri"/>
          <w:i/>
          <w:sz w:val="24"/>
          <w:szCs w:val="24"/>
        </w:rPr>
        <w:t>w sprawie upoważnienia Dyrektora Zespołu Szkół Publicznych w Międzyborowie do załatwiania indywidualnych spraw z z</w:t>
      </w:r>
      <w:r>
        <w:rPr>
          <w:rFonts w:ascii="Calibri" w:hAnsi="Calibri" w:cs="Calibri"/>
          <w:i/>
          <w:sz w:val="24"/>
          <w:szCs w:val="24"/>
        </w:rPr>
        <w:t xml:space="preserve">akresu administracji publicznej oraz </w:t>
      </w:r>
      <w:r w:rsidRPr="000376DC">
        <w:rPr>
          <w:rFonts w:ascii="Calibri" w:hAnsi="Calibri" w:cs="Calibri"/>
          <w:sz w:val="24"/>
          <w:szCs w:val="24"/>
        </w:rPr>
        <w:t xml:space="preserve">Nr X/61/2019 z dnia 29 kwietnia 2019 r. </w:t>
      </w:r>
      <w:r w:rsidRPr="000376DC">
        <w:rPr>
          <w:rFonts w:ascii="Calibri" w:hAnsi="Calibri" w:cs="Calibri"/>
          <w:i/>
          <w:sz w:val="24"/>
          <w:szCs w:val="24"/>
        </w:rPr>
        <w:t>w sprawie upoważnienia Dyrektora Zespołu Szkolno-Przedszkolnego w Jaktorowie do załatwiania indywidualnych spraw z zakresu administracji publicznej.</w:t>
      </w:r>
    </w:p>
    <w:p w:rsidR="00845AF8" w:rsidRDefault="00D724A3" w:rsidP="006577C5">
      <w:pPr>
        <w:spacing w:before="120" w:after="120" w:line="240" w:lineRule="auto"/>
        <w:ind w:firstLine="284"/>
        <w:rPr>
          <w:rFonts w:ascii="Calibri" w:hAnsi="Calibri"/>
          <w:sz w:val="24"/>
          <w:szCs w:val="24"/>
        </w:rPr>
      </w:pPr>
      <w:r>
        <w:rPr>
          <w:rFonts w:ascii="Calibri" w:hAnsi="Calibri"/>
          <w:sz w:val="24"/>
          <w:szCs w:val="24"/>
        </w:rPr>
        <w:t>W uchwałach</w:t>
      </w:r>
      <w:r w:rsidR="00845AF8" w:rsidRPr="00845AF8">
        <w:rPr>
          <w:rFonts w:ascii="Calibri" w:hAnsi="Calibri"/>
          <w:sz w:val="24"/>
          <w:szCs w:val="24"/>
        </w:rPr>
        <w:t xml:space="preserve"> w</w:t>
      </w:r>
      <w:r>
        <w:rPr>
          <w:rFonts w:ascii="Calibri" w:hAnsi="Calibri"/>
          <w:sz w:val="24"/>
          <w:szCs w:val="24"/>
        </w:rPr>
        <w:t>skazano, że podstawę prawną do ich</w:t>
      </w:r>
      <w:r w:rsidR="00845AF8" w:rsidRPr="00845AF8">
        <w:rPr>
          <w:rFonts w:ascii="Calibri" w:hAnsi="Calibri"/>
          <w:sz w:val="24"/>
          <w:szCs w:val="24"/>
        </w:rPr>
        <w:t xml:space="preserve"> podjęcia stanowią przepisy: art. 39 ust. 4 ustawy o samorządzie gminnym, a</w:t>
      </w:r>
      <w:r w:rsidR="00845AF8">
        <w:rPr>
          <w:rFonts w:ascii="Calibri" w:hAnsi="Calibri"/>
          <w:sz w:val="24"/>
          <w:szCs w:val="24"/>
        </w:rPr>
        <w:t xml:space="preserve">rt. 52 ust. </w:t>
      </w:r>
      <w:r w:rsidR="00845AF8" w:rsidRPr="00845AF8">
        <w:rPr>
          <w:rFonts w:ascii="Calibri" w:hAnsi="Calibri"/>
          <w:sz w:val="24"/>
          <w:szCs w:val="24"/>
        </w:rPr>
        <w:t>15 ustawy z</w:t>
      </w:r>
      <w:r>
        <w:rPr>
          <w:rFonts w:ascii="Calibri" w:hAnsi="Calibri"/>
          <w:sz w:val="24"/>
          <w:szCs w:val="24"/>
        </w:rPr>
        <w:t xml:space="preserve"> dnia 27 października 2017</w:t>
      </w:r>
      <w:r w:rsidR="00845AF8" w:rsidRPr="00845AF8">
        <w:rPr>
          <w:rFonts w:ascii="Calibri" w:hAnsi="Calibri"/>
          <w:sz w:val="24"/>
          <w:szCs w:val="24"/>
        </w:rPr>
        <w:t xml:space="preserve">r. o </w:t>
      </w:r>
      <w:r w:rsidR="00845AF8" w:rsidRPr="00845AF8">
        <w:rPr>
          <w:rFonts w:ascii="Calibri" w:hAnsi="Calibri" w:cs="Calibri"/>
          <w:sz w:val="24"/>
          <w:szCs w:val="24"/>
        </w:rPr>
        <w:t>finansowaniu zadań oświatowych</w:t>
      </w:r>
      <w:r w:rsidR="00CA48FA">
        <w:rPr>
          <w:rFonts w:ascii="Calibri" w:hAnsi="Calibri" w:cs="Calibri"/>
          <w:sz w:val="24"/>
          <w:szCs w:val="24"/>
        </w:rPr>
        <w:t xml:space="preserve"> (Dz. U. z 2017 r. poz. 2203, z późn. zm.</w:t>
      </w:r>
      <w:r w:rsidR="00776300">
        <w:rPr>
          <w:rFonts w:ascii="Calibri" w:hAnsi="Calibri" w:cs="Calibri"/>
          <w:sz w:val="24"/>
          <w:szCs w:val="24"/>
        </w:rPr>
        <w:t>)</w:t>
      </w:r>
      <w:r w:rsidR="00845AF8" w:rsidRPr="00845AF8">
        <w:rPr>
          <w:rFonts w:ascii="Calibri" w:hAnsi="Calibri" w:cs="Calibri"/>
          <w:sz w:val="24"/>
          <w:szCs w:val="24"/>
        </w:rPr>
        <w:t xml:space="preserve"> </w:t>
      </w:r>
      <w:r w:rsidR="00845AF8" w:rsidRPr="00845AF8">
        <w:rPr>
          <w:rFonts w:ascii="Calibri" w:hAnsi="Calibri"/>
          <w:sz w:val="24"/>
          <w:szCs w:val="24"/>
        </w:rPr>
        <w:t xml:space="preserve">oraz art. </w:t>
      </w:r>
      <w:r w:rsidR="00776300">
        <w:rPr>
          <w:rFonts w:ascii="Calibri" w:hAnsi="Calibri"/>
          <w:sz w:val="24"/>
          <w:szCs w:val="24"/>
        </w:rPr>
        <w:t>60 pkt 7 i 61 ust. 1 pkt 4</w:t>
      </w:r>
      <w:r w:rsidR="00845AF8" w:rsidRPr="00845AF8">
        <w:rPr>
          <w:rFonts w:ascii="Calibri" w:hAnsi="Calibri"/>
          <w:sz w:val="24"/>
          <w:szCs w:val="24"/>
        </w:rPr>
        <w:t xml:space="preserve"> ustawy z dnia </w:t>
      </w:r>
      <w:r w:rsidR="00845AF8">
        <w:rPr>
          <w:rFonts w:ascii="Calibri" w:hAnsi="Calibri"/>
          <w:sz w:val="24"/>
          <w:szCs w:val="24"/>
        </w:rPr>
        <w:t xml:space="preserve">27 sierpnia 2009 r. o finansach publicznych </w:t>
      </w:r>
      <w:r w:rsidR="00845AF8" w:rsidRPr="00845AF8">
        <w:rPr>
          <w:rFonts w:ascii="Calibri" w:hAnsi="Calibri"/>
          <w:sz w:val="24"/>
          <w:szCs w:val="24"/>
        </w:rPr>
        <w:t xml:space="preserve">(Dz. U. </w:t>
      </w:r>
      <w:r w:rsidR="00776300">
        <w:rPr>
          <w:rFonts w:ascii="Calibri" w:hAnsi="Calibri"/>
          <w:sz w:val="24"/>
          <w:szCs w:val="24"/>
        </w:rPr>
        <w:t>z 2019 r. poz. 869</w:t>
      </w:r>
      <w:r w:rsidR="00845AF8" w:rsidRPr="00845AF8">
        <w:rPr>
          <w:rFonts w:ascii="Calibri" w:hAnsi="Calibri"/>
          <w:sz w:val="24"/>
          <w:szCs w:val="24"/>
        </w:rPr>
        <w:t xml:space="preserve">, z późn. zm.). </w:t>
      </w:r>
    </w:p>
    <w:p w:rsidR="00F32D50" w:rsidRDefault="00845AF8" w:rsidP="006577C5">
      <w:pPr>
        <w:spacing w:before="120" w:after="120" w:line="240" w:lineRule="auto"/>
        <w:ind w:firstLine="284"/>
        <w:rPr>
          <w:rFonts w:ascii="Calibri" w:hAnsi="Calibri" w:cs="Calibri"/>
          <w:sz w:val="24"/>
          <w:szCs w:val="24"/>
        </w:rPr>
      </w:pPr>
      <w:r w:rsidRPr="00845AF8">
        <w:rPr>
          <w:rFonts w:ascii="Calibri" w:hAnsi="Calibri"/>
          <w:sz w:val="24"/>
          <w:szCs w:val="24"/>
        </w:rPr>
        <w:t xml:space="preserve">Rada </w:t>
      </w:r>
      <w:r>
        <w:rPr>
          <w:rFonts w:ascii="Calibri" w:hAnsi="Calibri"/>
          <w:sz w:val="24"/>
          <w:szCs w:val="24"/>
        </w:rPr>
        <w:t>Gminy</w:t>
      </w:r>
      <w:r w:rsidR="00AA17AD">
        <w:rPr>
          <w:rFonts w:ascii="Calibri" w:hAnsi="Calibri"/>
          <w:sz w:val="24"/>
          <w:szCs w:val="24"/>
        </w:rPr>
        <w:t>,</w:t>
      </w:r>
      <w:r>
        <w:rPr>
          <w:rFonts w:ascii="Calibri" w:hAnsi="Calibri"/>
          <w:sz w:val="24"/>
          <w:szCs w:val="24"/>
        </w:rPr>
        <w:t xml:space="preserve"> </w:t>
      </w:r>
      <w:r w:rsidRPr="00845AF8">
        <w:rPr>
          <w:rFonts w:ascii="Calibri" w:hAnsi="Calibri"/>
          <w:sz w:val="24"/>
          <w:szCs w:val="24"/>
        </w:rPr>
        <w:t>w </w:t>
      </w:r>
      <w:r>
        <w:rPr>
          <w:rFonts w:ascii="Calibri" w:hAnsi="Calibri"/>
          <w:sz w:val="24"/>
          <w:szCs w:val="24"/>
        </w:rPr>
        <w:t>kwestionowanych uchwałach</w:t>
      </w:r>
      <w:r w:rsidR="00AA17AD">
        <w:rPr>
          <w:rFonts w:ascii="Calibri" w:hAnsi="Calibri"/>
          <w:sz w:val="24"/>
          <w:szCs w:val="24"/>
        </w:rPr>
        <w:t>,</w:t>
      </w:r>
      <w:r w:rsidRPr="00845AF8">
        <w:rPr>
          <w:rFonts w:ascii="Calibri" w:hAnsi="Calibri"/>
          <w:sz w:val="24"/>
          <w:szCs w:val="24"/>
        </w:rPr>
        <w:t xml:space="preserve"> </w:t>
      </w:r>
      <w:r>
        <w:rPr>
          <w:rFonts w:ascii="Calibri" w:hAnsi="Calibri"/>
          <w:sz w:val="24"/>
          <w:szCs w:val="24"/>
        </w:rPr>
        <w:t>upoważniła dyrektorów</w:t>
      </w:r>
      <w:r w:rsidR="00F32D50">
        <w:rPr>
          <w:rFonts w:ascii="Calibri" w:hAnsi="Calibri"/>
          <w:sz w:val="24"/>
          <w:szCs w:val="24"/>
        </w:rPr>
        <w:t xml:space="preserve"> zespołów szkół </w:t>
      </w:r>
      <w:r w:rsidR="00102D18">
        <w:rPr>
          <w:rFonts w:ascii="Calibri" w:hAnsi="Calibri"/>
          <w:sz w:val="24"/>
          <w:szCs w:val="24"/>
        </w:rPr>
        <w:br/>
      </w:r>
      <w:r w:rsidR="00F32D50">
        <w:rPr>
          <w:rFonts w:ascii="Calibri" w:hAnsi="Calibri"/>
          <w:sz w:val="24"/>
          <w:szCs w:val="24"/>
        </w:rPr>
        <w:t>do</w:t>
      </w:r>
      <w:r w:rsidR="001C1D4F">
        <w:rPr>
          <w:rFonts w:ascii="Calibri" w:hAnsi="Calibri"/>
          <w:sz w:val="24"/>
          <w:szCs w:val="24"/>
        </w:rPr>
        <w:t xml:space="preserve"> prowadzenia indywidualnych spraw w zakresie</w:t>
      </w:r>
      <w:r w:rsidR="00F32D50">
        <w:rPr>
          <w:rFonts w:ascii="Calibri" w:hAnsi="Calibri"/>
          <w:sz w:val="24"/>
          <w:szCs w:val="24"/>
        </w:rPr>
        <w:t xml:space="preserve"> ustalania</w:t>
      </w:r>
      <w:r w:rsidRPr="00845AF8">
        <w:rPr>
          <w:rFonts w:ascii="Calibri" w:hAnsi="Calibri"/>
          <w:sz w:val="24"/>
          <w:szCs w:val="24"/>
        </w:rPr>
        <w:t xml:space="preserve"> </w:t>
      </w:r>
      <w:r w:rsidRPr="00845AF8">
        <w:rPr>
          <w:rFonts w:ascii="Calibri" w:hAnsi="Calibri" w:cs="Calibri"/>
          <w:sz w:val="24"/>
          <w:szCs w:val="24"/>
        </w:rPr>
        <w:t xml:space="preserve">opłat za korzystanie z wychowania przedszkolnego </w:t>
      </w:r>
      <w:r w:rsidR="00F32D50">
        <w:rPr>
          <w:rFonts w:ascii="Calibri" w:hAnsi="Calibri" w:cs="Calibri"/>
          <w:sz w:val="24"/>
          <w:szCs w:val="24"/>
        </w:rPr>
        <w:t xml:space="preserve">oraz opłat za korzystanie z wyżywienia </w:t>
      </w:r>
      <w:r w:rsidR="007B58FF">
        <w:rPr>
          <w:rFonts w:ascii="Calibri" w:hAnsi="Calibri" w:cs="Calibri"/>
          <w:sz w:val="24"/>
          <w:szCs w:val="24"/>
        </w:rPr>
        <w:t xml:space="preserve">oraz do </w:t>
      </w:r>
      <w:r w:rsidR="00F32D50">
        <w:rPr>
          <w:rFonts w:ascii="Calibri" w:hAnsi="Calibri" w:cs="Calibri"/>
          <w:sz w:val="24"/>
          <w:szCs w:val="24"/>
        </w:rPr>
        <w:t>wydawania decyzji administracyjnych</w:t>
      </w:r>
      <w:r w:rsidR="001C1D4F">
        <w:rPr>
          <w:rFonts w:ascii="Calibri" w:hAnsi="Calibri" w:cs="Calibri"/>
          <w:sz w:val="24"/>
          <w:szCs w:val="24"/>
        </w:rPr>
        <w:t xml:space="preserve"> oraz postanowień</w:t>
      </w:r>
      <w:r w:rsidR="00F32D50">
        <w:rPr>
          <w:rFonts w:ascii="Calibri" w:hAnsi="Calibri" w:cs="Calibri"/>
          <w:sz w:val="24"/>
          <w:szCs w:val="24"/>
        </w:rPr>
        <w:t xml:space="preserve"> w tym przedmiocie. </w:t>
      </w:r>
    </w:p>
    <w:p w:rsidR="00393F43" w:rsidRPr="00393F43" w:rsidRDefault="00F32D50" w:rsidP="006577C5">
      <w:pPr>
        <w:spacing w:before="120" w:after="120" w:line="240" w:lineRule="auto"/>
        <w:ind w:firstLine="284"/>
        <w:rPr>
          <w:rFonts w:eastAsia="Times New Roman" w:cstheme="minorHAnsi"/>
          <w:sz w:val="24"/>
          <w:szCs w:val="24"/>
          <w:lang w:eastAsia="pl-PL"/>
        </w:rPr>
      </w:pPr>
      <w:r w:rsidRPr="00393F43">
        <w:rPr>
          <w:rFonts w:cstheme="minorHAnsi"/>
          <w:sz w:val="24"/>
          <w:szCs w:val="24"/>
        </w:rPr>
        <w:t xml:space="preserve">Zgodnie z art. </w:t>
      </w:r>
      <w:r w:rsidR="00393F43" w:rsidRPr="00393F43">
        <w:rPr>
          <w:rFonts w:cstheme="minorHAnsi"/>
          <w:sz w:val="24"/>
          <w:szCs w:val="24"/>
        </w:rPr>
        <w:t>52 ust. 1</w:t>
      </w:r>
      <w:r w:rsidR="00776300">
        <w:rPr>
          <w:rFonts w:cstheme="minorHAnsi"/>
          <w:sz w:val="24"/>
          <w:szCs w:val="24"/>
        </w:rPr>
        <w:t xml:space="preserve"> ustawy</w:t>
      </w:r>
      <w:r w:rsidR="00393F43" w:rsidRPr="00393F43">
        <w:rPr>
          <w:rFonts w:cstheme="minorHAnsi"/>
          <w:sz w:val="24"/>
          <w:szCs w:val="24"/>
        </w:rPr>
        <w:t xml:space="preserve"> o finansowaniu zadań oświatowych</w:t>
      </w:r>
      <w:r w:rsidR="008C74C4">
        <w:rPr>
          <w:rFonts w:cstheme="minorHAnsi"/>
          <w:sz w:val="24"/>
          <w:szCs w:val="24"/>
        </w:rPr>
        <w:t>,</w:t>
      </w:r>
      <w:r w:rsidR="00393F43" w:rsidRPr="00393F43">
        <w:rPr>
          <w:rFonts w:cstheme="minorHAnsi"/>
          <w:sz w:val="24"/>
          <w:szCs w:val="24"/>
        </w:rPr>
        <w:t xml:space="preserve"> </w:t>
      </w:r>
      <w:r w:rsidR="008C74C4">
        <w:rPr>
          <w:rFonts w:eastAsia="Times New Roman" w:cstheme="minorHAnsi"/>
          <w:sz w:val="24"/>
          <w:szCs w:val="24"/>
          <w:lang w:eastAsia="pl-PL"/>
        </w:rPr>
        <w:t>r</w:t>
      </w:r>
      <w:r w:rsidR="00393F43" w:rsidRPr="00393F43">
        <w:rPr>
          <w:rFonts w:eastAsia="Times New Roman" w:cstheme="minorHAnsi"/>
          <w:sz w:val="24"/>
          <w:szCs w:val="24"/>
          <w:lang w:eastAsia="pl-PL"/>
        </w:rPr>
        <w:t xml:space="preserve">ada gminy określa wysokość opłat za korzystanie z wychowania przedszkolnego uczniów objętych wychowaniem przedszkolnym do końca roku szkolnego w roku kalendarzowym, w którym kończą 6 </w:t>
      </w:r>
      <w:r w:rsidR="00393F43">
        <w:rPr>
          <w:rFonts w:eastAsia="Times New Roman" w:cstheme="minorHAnsi"/>
          <w:sz w:val="24"/>
          <w:szCs w:val="24"/>
          <w:lang w:eastAsia="pl-PL"/>
        </w:rPr>
        <w:t>lat, w prowadzonym przez gminę</w:t>
      </w:r>
      <w:r w:rsidR="008C74C4">
        <w:rPr>
          <w:rFonts w:eastAsia="Times New Roman" w:cstheme="minorHAnsi"/>
          <w:sz w:val="24"/>
          <w:szCs w:val="24"/>
          <w:lang w:eastAsia="pl-PL"/>
        </w:rPr>
        <w:t>:</w:t>
      </w:r>
    </w:p>
    <w:p w:rsidR="00393F43" w:rsidRPr="00393F43" w:rsidRDefault="00DB755D" w:rsidP="006577C5">
      <w:pPr>
        <w:spacing w:before="120" w:after="120" w:line="240" w:lineRule="auto"/>
        <w:ind w:firstLine="284"/>
        <w:rPr>
          <w:rFonts w:eastAsia="Times New Roman" w:cstheme="minorHAnsi"/>
          <w:sz w:val="24"/>
          <w:szCs w:val="24"/>
          <w:lang w:eastAsia="pl-PL"/>
        </w:rPr>
      </w:pPr>
      <w:r>
        <w:rPr>
          <w:rFonts w:eastAsia="Times New Roman" w:cstheme="minorHAnsi"/>
          <w:sz w:val="24"/>
          <w:szCs w:val="24"/>
          <w:lang w:eastAsia="pl-PL"/>
        </w:rPr>
        <w:t xml:space="preserve">1) </w:t>
      </w:r>
      <w:r w:rsidR="00393F43" w:rsidRPr="00393F43">
        <w:rPr>
          <w:rFonts w:eastAsia="Times New Roman" w:cstheme="minorHAnsi"/>
          <w:sz w:val="24"/>
          <w:szCs w:val="24"/>
          <w:lang w:eastAsia="pl-PL"/>
        </w:rPr>
        <w:t>publicznym przedszkolu i oddziale przedszkolnym w publicznej szkole podstawowej, w czasie przekraczającym wymiar zajęć, o którym mowa w art. 13 ust. 1</w:t>
      </w:r>
      <w:r w:rsidR="00393F43">
        <w:rPr>
          <w:rFonts w:eastAsia="Times New Roman" w:cstheme="minorHAnsi"/>
          <w:sz w:val="24"/>
          <w:szCs w:val="24"/>
          <w:lang w:eastAsia="pl-PL"/>
        </w:rPr>
        <w:t xml:space="preserve"> pkt 2 ustawy - Prawo oświatowe</w:t>
      </w:r>
      <w:r w:rsidR="00BE6989">
        <w:rPr>
          <w:rFonts w:eastAsia="Times New Roman" w:cstheme="minorHAnsi"/>
          <w:sz w:val="24"/>
          <w:szCs w:val="24"/>
          <w:lang w:eastAsia="pl-PL"/>
        </w:rPr>
        <w:t>,</w:t>
      </w:r>
    </w:p>
    <w:p w:rsidR="004335BF" w:rsidRDefault="00393F43" w:rsidP="006577C5">
      <w:pPr>
        <w:spacing w:before="120" w:after="120" w:line="240" w:lineRule="auto"/>
        <w:ind w:firstLine="284"/>
        <w:rPr>
          <w:rFonts w:eastAsia="Times New Roman" w:cstheme="minorHAnsi"/>
          <w:sz w:val="24"/>
          <w:szCs w:val="24"/>
          <w:lang w:eastAsia="pl-PL"/>
        </w:rPr>
      </w:pPr>
      <w:r>
        <w:rPr>
          <w:rFonts w:eastAsia="Times New Roman" w:cstheme="minorHAnsi"/>
          <w:sz w:val="24"/>
          <w:szCs w:val="24"/>
          <w:lang w:eastAsia="pl-PL"/>
        </w:rPr>
        <w:lastRenderedPageBreak/>
        <w:t xml:space="preserve">2) </w:t>
      </w:r>
      <w:r w:rsidRPr="00393F43">
        <w:rPr>
          <w:rFonts w:eastAsia="Times New Roman" w:cstheme="minorHAnsi"/>
          <w:sz w:val="24"/>
          <w:szCs w:val="24"/>
          <w:lang w:eastAsia="pl-PL"/>
        </w:rPr>
        <w:t>publicznej innej formie wychowania przedszkolnego w czasie przekraczającym czas bezpłatnego nauczania, wychowania i opieki ustalony dla publicznych przedszkoli na podstawie art. 13 ust. 2 ustawy - Prawo oświatowe</w:t>
      </w:r>
      <w:r w:rsidR="004335BF">
        <w:rPr>
          <w:rFonts w:eastAsia="Times New Roman" w:cstheme="minorHAnsi"/>
          <w:sz w:val="24"/>
          <w:szCs w:val="24"/>
          <w:lang w:eastAsia="pl-PL"/>
        </w:rPr>
        <w:t>.</w:t>
      </w:r>
    </w:p>
    <w:p w:rsidR="00805868" w:rsidRPr="00805868" w:rsidRDefault="00805868" w:rsidP="006577C5">
      <w:pPr>
        <w:spacing w:before="120" w:after="120" w:line="240" w:lineRule="auto"/>
        <w:ind w:firstLine="284"/>
        <w:rPr>
          <w:rFonts w:cstheme="minorHAnsi"/>
          <w:bCs/>
          <w:sz w:val="24"/>
          <w:szCs w:val="24"/>
        </w:rPr>
      </w:pPr>
      <w:r w:rsidRPr="004335BF">
        <w:rPr>
          <w:rFonts w:eastAsia="Times New Roman" w:cstheme="minorHAnsi"/>
          <w:sz w:val="24"/>
          <w:szCs w:val="24"/>
          <w:lang w:eastAsia="pl-PL"/>
        </w:rPr>
        <w:t>Kompetencja wskazana w ww. przepisie</w:t>
      </w:r>
      <w:r>
        <w:rPr>
          <w:rFonts w:eastAsia="Times New Roman" w:cstheme="minorHAnsi"/>
          <w:sz w:val="24"/>
          <w:szCs w:val="24"/>
          <w:lang w:eastAsia="pl-PL"/>
        </w:rPr>
        <w:t xml:space="preserve"> została zrealizowana w uchwale Nr </w:t>
      </w:r>
      <w:r w:rsidRPr="004335BF">
        <w:rPr>
          <w:rFonts w:cstheme="minorHAnsi"/>
          <w:bCs/>
          <w:sz w:val="24"/>
          <w:szCs w:val="24"/>
        </w:rPr>
        <w:t>LII/400/2018</w:t>
      </w:r>
      <w:r>
        <w:rPr>
          <w:rFonts w:cstheme="minorHAnsi"/>
          <w:bCs/>
          <w:sz w:val="24"/>
          <w:szCs w:val="24"/>
        </w:rPr>
        <w:t xml:space="preserve"> Rady Gminy Jaktorów z dnia 30 kwietnia 2018 r. </w:t>
      </w:r>
      <w:r>
        <w:rPr>
          <w:sz w:val="24"/>
          <w:szCs w:val="24"/>
        </w:rPr>
        <w:t>„</w:t>
      </w:r>
      <w:r w:rsidRPr="004335BF">
        <w:rPr>
          <w:bCs/>
          <w:i/>
          <w:sz w:val="24"/>
          <w:szCs w:val="24"/>
        </w:rPr>
        <w:t xml:space="preserve">w sprawie określenia wysokości opłat za korzystanie </w:t>
      </w:r>
      <w:r w:rsidR="006577C5">
        <w:rPr>
          <w:bCs/>
          <w:i/>
          <w:sz w:val="24"/>
          <w:szCs w:val="24"/>
        </w:rPr>
        <w:br/>
      </w:r>
      <w:r w:rsidRPr="004335BF">
        <w:rPr>
          <w:bCs/>
          <w:i/>
          <w:sz w:val="24"/>
          <w:szCs w:val="24"/>
        </w:rPr>
        <w:t>z wychowania przedszkolnego przez uczniów objętych wychowaniem przedszkolnym do końca roku szkolnego w roku kalendarzowym, w którym kończą 6 lat, w prowadzonych przez Gminę Jaktorów publicznych przedszkolach</w:t>
      </w:r>
      <w:r>
        <w:rPr>
          <w:bCs/>
          <w:sz w:val="24"/>
          <w:szCs w:val="24"/>
        </w:rPr>
        <w:t>”.</w:t>
      </w:r>
      <w:r w:rsidRPr="004335BF">
        <w:rPr>
          <w:bCs/>
          <w:sz w:val="24"/>
          <w:szCs w:val="24"/>
        </w:rPr>
        <w:t xml:space="preserve"> </w:t>
      </w:r>
      <w:r w:rsidRPr="004335BF">
        <w:rPr>
          <w:rFonts w:cstheme="minorHAnsi"/>
          <w:bCs/>
          <w:sz w:val="24"/>
          <w:szCs w:val="24"/>
        </w:rPr>
        <w:t xml:space="preserve"> </w:t>
      </w:r>
      <w:r w:rsidRPr="004335BF">
        <w:rPr>
          <w:rFonts w:cstheme="minorHAnsi"/>
          <w:bCs/>
          <w:sz w:val="24"/>
          <w:szCs w:val="24"/>
        </w:rPr>
        <w:tab/>
      </w:r>
    </w:p>
    <w:p w:rsidR="00B764E7" w:rsidRDefault="00B764E7" w:rsidP="006577C5">
      <w:pPr>
        <w:spacing w:before="120" w:after="120" w:line="240" w:lineRule="auto"/>
        <w:ind w:firstLine="284"/>
        <w:rPr>
          <w:rFonts w:eastAsia="Times New Roman" w:cstheme="minorHAnsi"/>
          <w:sz w:val="24"/>
          <w:szCs w:val="24"/>
          <w:lang w:eastAsia="pl-PL"/>
        </w:rPr>
      </w:pPr>
      <w:r>
        <w:rPr>
          <w:rFonts w:eastAsia="Times New Roman" w:cstheme="minorHAnsi"/>
          <w:sz w:val="24"/>
          <w:szCs w:val="24"/>
          <w:lang w:eastAsia="pl-PL"/>
        </w:rPr>
        <w:t xml:space="preserve">Zgodnie z § 2 tejże uchwały: </w:t>
      </w:r>
    </w:p>
    <w:p w:rsidR="00B764E7" w:rsidRPr="00B764E7" w:rsidRDefault="00B764E7" w:rsidP="006577C5">
      <w:pPr>
        <w:spacing w:before="120" w:after="120" w:line="240" w:lineRule="auto"/>
        <w:ind w:firstLine="284"/>
        <w:rPr>
          <w:rFonts w:eastAsia="Times New Roman" w:cstheme="minorHAnsi"/>
          <w:i/>
          <w:sz w:val="24"/>
          <w:szCs w:val="24"/>
          <w:lang w:eastAsia="pl-PL"/>
        </w:rPr>
      </w:pPr>
      <w:r>
        <w:rPr>
          <w:rFonts w:cstheme="minorHAnsi"/>
          <w:sz w:val="24"/>
          <w:szCs w:val="24"/>
        </w:rPr>
        <w:t>„</w:t>
      </w:r>
      <w:r w:rsidRPr="00B764E7">
        <w:rPr>
          <w:rFonts w:cstheme="minorHAnsi"/>
          <w:i/>
          <w:sz w:val="24"/>
          <w:szCs w:val="24"/>
        </w:rPr>
        <w:t xml:space="preserve">1. Korzystanie z wychowania przedszkolnego w czasie przekraczającym wymiar zajęć, o którym mowa w § 1 przez uczniów objętych wychowaniem przedszkolnym do końca roku szkolnego w roku kalendarzowym, w którym kończą 6 lat, jest odpłatne. </w:t>
      </w:r>
    </w:p>
    <w:p w:rsidR="00B764E7" w:rsidRDefault="00B764E7" w:rsidP="006577C5">
      <w:pPr>
        <w:spacing w:before="120" w:after="120" w:line="240" w:lineRule="auto"/>
        <w:ind w:firstLine="284"/>
        <w:rPr>
          <w:rFonts w:cstheme="minorHAnsi"/>
          <w:sz w:val="24"/>
          <w:szCs w:val="24"/>
        </w:rPr>
      </w:pPr>
      <w:r w:rsidRPr="00B764E7">
        <w:rPr>
          <w:rFonts w:cstheme="minorHAnsi"/>
          <w:i/>
          <w:sz w:val="24"/>
          <w:szCs w:val="24"/>
        </w:rPr>
        <w:t>2. Wysokość opłaty, o której mowa w ust. 1, wynosi 1 zł za każdą godzinę zajęć uczniów objętych wychowaniem przedszkolnym</w:t>
      </w:r>
      <w:r>
        <w:rPr>
          <w:rFonts w:cstheme="minorHAnsi"/>
          <w:sz w:val="24"/>
          <w:szCs w:val="24"/>
        </w:rPr>
        <w:t>.”.</w:t>
      </w:r>
    </w:p>
    <w:p w:rsidR="006B30FD" w:rsidRDefault="006B30FD" w:rsidP="006577C5">
      <w:pPr>
        <w:spacing w:before="120" w:after="120" w:line="240" w:lineRule="auto"/>
        <w:ind w:firstLine="284"/>
        <w:rPr>
          <w:rFonts w:cstheme="minorHAnsi"/>
          <w:sz w:val="24"/>
          <w:szCs w:val="24"/>
        </w:rPr>
      </w:pPr>
      <w:r w:rsidRPr="008B6EA6">
        <w:rPr>
          <w:rFonts w:cstheme="minorHAnsi"/>
          <w:sz w:val="24"/>
          <w:szCs w:val="24"/>
        </w:rPr>
        <w:t>Odnosząc się do kwestii opłat za korzystanie z wyżywienia, należy wskazać że zgodnie z art.</w:t>
      </w:r>
      <w:r w:rsidR="00CB573B">
        <w:rPr>
          <w:rFonts w:cstheme="minorHAnsi"/>
          <w:sz w:val="24"/>
          <w:szCs w:val="24"/>
        </w:rPr>
        <w:t xml:space="preserve"> 52 </w:t>
      </w:r>
      <w:r w:rsidR="006577C5">
        <w:rPr>
          <w:rFonts w:cstheme="minorHAnsi"/>
          <w:sz w:val="24"/>
          <w:szCs w:val="24"/>
        </w:rPr>
        <w:br/>
      </w:r>
      <w:r w:rsidR="00CB573B">
        <w:rPr>
          <w:rFonts w:cstheme="minorHAnsi"/>
          <w:sz w:val="24"/>
          <w:szCs w:val="24"/>
        </w:rPr>
        <w:t>ust. 12</w:t>
      </w:r>
      <w:r w:rsidRPr="008B6EA6">
        <w:rPr>
          <w:rFonts w:cstheme="minorHAnsi"/>
          <w:sz w:val="24"/>
          <w:szCs w:val="24"/>
        </w:rPr>
        <w:t xml:space="preserve"> ustawy o finansowaniu zadań oświatowych, </w:t>
      </w:r>
      <w:r w:rsidRPr="008B6EA6">
        <w:rPr>
          <w:sz w:val="24"/>
          <w:szCs w:val="24"/>
        </w:rPr>
        <w:t xml:space="preserve">do ustalania opłat za korzystanie z wyżywienia </w:t>
      </w:r>
      <w:r w:rsidR="006577C5">
        <w:rPr>
          <w:sz w:val="24"/>
          <w:szCs w:val="24"/>
        </w:rPr>
        <w:br/>
      </w:r>
      <w:r w:rsidRPr="008B6EA6">
        <w:rPr>
          <w:sz w:val="24"/>
          <w:szCs w:val="24"/>
        </w:rPr>
        <w:t xml:space="preserve">w publicznych placówkach wychowania przedszkolnego przepisy </w:t>
      </w:r>
      <w:hyperlink r:id="rId9" w:history="1">
        <w:r w:rsidRPr="008B6EA6">
          <w:rPr>
            <w:rStyle w:val="Hipercze"/>
            <w:color w:val="auto"/>
            <w:sz w:val="24"/>
            <w:szCs w:val="24"/>
            <w:u w:val="none"/>
          </w:rPr>
          <w:t>art. 106</w:t>
        </w:r>
      </w:hyperlink>
      <w:r w:rsidRPr="008B6EA6">
        <w:rPr>
          <w:sz w:val="24"/>
          <w:szCs w:val="24"/>
        </w:rPr>
        <w:t xml:space="preserve"> ustawy - Prawo oświatowe stosuje się odpowiednio.</w:t>
      </w:r>
      <w:r>
        <w:rPr>
          <w:sz w:val="24"/>
          <w:szCs w:val="24"/>
        </w:rPr>
        <w:t xml:space="preserve"> Na podstawie</w:t>
      </w:r>
      <w:r w:rsidRPr="008B6EA6">
        <w:rPr>
          <w:rFonts w:cstheme="minorHAnsi"/>
          <w:sz w:val="24"/>
          <w:szCs w:val="24"/>
        </w:rPr>
        <w:t xml:space="preserve"> art. 106 ust. 3 ustawy z dnia 14 grudnia 2016 r.</w:t>
      </w:r>
      <w:r w:rsidR="007B58FF">
        <w:rPr>
          <w:rFonts w:cstheme="minorHAnsi"/>
          <w:sz w:val="24"/>
          <w:szCs w:val="24"/>
        </w:rPr>
        <w:t xml:space="preserve"> Prawo oświatowe</w:t>
      </w:r>
      <w:r w:rsidRPr="008B6EA6">
        <w:rPr>
          <w:rFonts w:cstheme="minorHAnsi"/>
          <w:sz w:val="24"/>
          <w:szCs w:val="24"/>
        </w:rPr>
        <w:t xml:space="preserve"> (Dz. U. 2018 r. poz. 996, z późn. zm.)</w:t>
      </w:r>
      <w:r>
        <w:rPr>
          <w:rFonts w:cstheme="minorHAnsi"/>
          <w:sz w:val="24"/>
          <w:szCs w:val="24"/>
        </w:rPr>
        <w:t>,</w:t>
      </w:r>
      <w:r w:rsidRPr="008B6EA6">
        <w:rPr>
          <w:rFonts w:cstheme="minorHAnsi"/>
          <w:sz w:val="24"/>
          <w:szCs w:val="24"/>
        </w:rPr>
        <w:t xml:space="preserve"> </w:t>
      </w:r>
      <w:r>
        <w:rPr>
          <w:rFonts w:cstheme="minorHAnsi"/>
          <w:sz w:val="24"/>
          <w:szCs w:val="24"/>
        </w:rPr>
        <w:t>w</w:t>
      </w:r>
      <w:r w:rsidRPr="008B6EA6">
        <w:rPr>
          <w:rFonts w:cstheme="minorHAnsi"/>
          <w:sz w:val="24"/>
          <w:szCs w:val="24"/>
        </w:rPr>
        <w:t xml:space="preserve">arunki korzystania ze stołówki szkolnej, w tym wysokość opłat za posiłki, ustala dyrektor szkoły w porozumieniu z organem prowadzącym szkołę.    </w:t>
      </w:r>
    </w:p>
    <w:p w:rsidR="00845AF8" w:rsidRPr="00845AF8" w:rsidRDefault="00845AF8" w:rsidP="006577C5">
      <w:pPr>
        <w:spacing w:before="120" w:after="120" w:line="240" w:lineRule="auto"/>
        <w:ind w:firstLine="284"/>
        <w:rPr>
          <w:rFonts w:ascii="Calibri" w:hAnsi="Calibri"/>
          <w:sz w:val="24"/>
          <w:szCs w:val="24"/>
        </w:rPr>
      </w:pPr>
      <w:r w:rsidRPr="004335BF">
        <w:rPr>
          <w:rFonts w:cstheme="minorHAnsi"/>
          <w:sz w:val="24"/>
          <w:szCs w:val="24"/>
        </w:rPr>
        <w:t>„</w:t>
      </w:r>
      <w:r w:rsidRPr="004335BF">
        <w:rPr>
          <w:rFonts w:cstheme="minorHAnsi"/>
          <w:i/>
          <w:sz w:val="24"/>
          <w:szCs w:val="24"/>
        </w:rPr>
        <w:t>Kompetencja organu do</w:t>
      </w:r>
      <w:r w:rsidRPr="00845AF8">
        <w:rPr>
          <w:rFonts w:ascii="Calibri" w:hAnsi="Calibri" w:cs="Calibri"/>
          <w:i/>
          <w:sz w:val="24"/>
          <w:szCs w:val="24"/>
        </w:rPr>
        <w:t xml:space="preserve"> wydania decyzji administracyjnej musi bezwzględnie wynikać </w:t>
      </w:r>
      <w:r w:rsidR="006577C5">
        <w:rPr>
          <w:rFonts w:ascii="Calibri" w:hAnsi="Calibri" w:cs="Calibri"/>
          <w:i/>
          <w:sz w:val="24"/>
          <w:szCs w:val="24"/>
        </w:rPr>
        <w:br/>
      </w:r>
      <w:r w:rsidRPr="00845AF8">
        <w:rPr>
          <w:rFonts w:ascii="Calibri" w:hAnsi="Calibri" w:cs="Calibri"/>
          <w:i/>
          <w:sz w:val="24"/>
          <w:szCs w:val="24"/>
        </w:rPr>
        <w:t xml:space="preserve">z upoważnienia zawartego w przepisie prawa powszechnie obowiązującego. Uprawnienia takiego nie można domniemywać, czy wyinterpretowywać. Załatwienie sprawy decyzją dotyczy sytuacji, gdy </w:t>
      </w:r>
      <w:r w:rsidR="006577C5">
        <w:rPr>
          <w:rFonts w:ascii="Calibri" w:hAnsi="Calibri" w:cs="Calibri"/>
          <w:i/>
          <w:sz w:val="24"/>
          <w:szCs w:val="24"/>
        </w:rPr>
        <w:br/>
      </w:r>
      <w:r w:rsidRPr="00845AF8">
        <w:rPr>
          <w:rFonts w:ascii="Calibri" w:hAnsi="Calibri" w:cs="Calibri"/>
          <w:i/>
          <w:sz w:val="24"/>
          <w:szCs w:val="24"/>
        </w:rPr>
        <w:t>z mocy przepisów prawa załatwienie sprawy winno nastąpić w tej formie prawnej. Podstawą władczego działania organu może być tylko kompletna norma materialna (wyraźna podstawa prawna), determinująca wszystkie elementy stosunku administracyjnoprawnego, w tym określające kompetencję (zdolność, możność) organu do zastosowania określonej normy prawa przedmiotowego. Zasada, że załatwienie sprawy następuje przez wydanie decyzji (art. 104 § 1 k.p.a.), znajduje zastosowanie zatem tylko wówczas, gdy z mocy przepisów prawa materialnego załatwienie sprawy powinno nastąpić w tej formie prawnej. W przeciwnym przypadku nie można domniemywać, że możliwe jest wydanie decyzji administracyjnej</w:t>
      </w:r>
      <w:r w:rsidRPr="00845AF8">
        <w:rPr>
          <w:rFonts w:ascii="Calibri" w:hAnsi="Calibri" w:cs="Calibri"/>
          <w:sz w:val="24"/>
          <w:szCs w:val="24"/>
        </w:rPr>
        <w:t xml:space="preserve">.” (por. m.in. </w:t>
      </w:r>
      <w:r w:rsidRPr="00845AF8">
        <w:rPr>
          <w:rFonts w:ascii="Calibri" w:eastAsia="Times New Roman" w:hAnsi="Calibri" w:cs="Calibri"/>
          <w:sz w:val="24"/>
          <w:szCs w:val="24"/>
        </w:rPr>
        <w:t xml:space="preserve">Wyrok WSA w Warszawie z dnia </w:t>
      </w:r>
      <w:r w:rsidR="006577C5">
        <w:rPr>
          <w:rFonts w:ascii="Calibri" w:eastAsia="Times New Roman" w:hAnsi="Calibri" w:cs="Calibri"/>
          <w:sz w:val="24"/>
          <w:szCs w:val="24"/>
        </w:rPr>
        <w:br/>
      </w:r>
      <w:r w:rsidRPr="00845AF8">
        <w:rPr>
          <w:rFonts w:ascii="Calibri" w:eastAsia="Times New Roman" w:hAnsi="Calibri" w:cs="Calibri"/>
          <w:sz w:val="24"/>
          <w:szCs w:val="24"/>
        </w:rPr>
        <w:t xml:space="preserve">29 września 2017 r. </w:t>
      </w:r>
      <w:r w:rsidRPr="00845AF8">
        <w:rPr>
          <w:rFonts w:ascii="Calibri" w:hAnsi="Calibri" w:cs="Calibri"/>
          <w:sz w:val="24"/>
          <w:szCs w:val="24"/>
        </w:rPr>
        <w:t xml:space="preserve"> </w:t>
      </w:r>
      <w:r w:rsidRPr="00845AF8">
        <w:rPr>
          <w:rFonts w:ascii="Calibri" w:eastAsia="Times New Roman" w:hAnsi="Calibri" w:cs="Calibri"/>
          <w:sz w:val="24"/>
          <w:szCs w:val="24"/>
        </w:rPr>
        <w:t>VI SA/Wa 1194/17,</w:t>
      </w:r>
      <w:r w:rsidRPr="00845AF8">
        <w:rPr>
          <w:rFonts w:ascii="Calibri" w:hAnsi="Calibri" w:cs="Calibri"/>
          <w:sz w:val="24"/>
          <w:szCs w:val="24"/>
        </w:rPr>
        <w:t xml:space="preserve"> </w:t>
      </w:r>
      <w:r w:rsidRPr="00845AF8">
        <w:rPr>
          <w:rFonts w:ascii="Calibri" w:eastAsia="Times New Roman" w:hAnsi="Calibri" w:cs="Calibri"/>
          <w:sz w:val="24"/>
          <w:szCs w:val="24"/>
        </w:rPr>
        <w:t>Wyrok</w:t>
      </w:r>
      <w:r w:rsidRPr="00845AF8">
        <w:rPr>
          <w:rFonts w:ascii="Calibri" w:hAnsi="Calibri" w:cs="Calibri"/>
          <w:sz w:val="24"/>
          <w:szCs w:val="24"/>
        </w:rPr>
        <w:t xml:space="preserve"> </w:t>
      </w:r>
      <w:r w:rsidRPr="00845AF8">
        <w:rPr>
          <w:rFonts w:ascii="Calibri" w:eastAsia="Times New Roman" w:hAnsi="Calibri" w:cs="Calibri"/>
          <w:sz w:val="24"/>
          <w:szCs w:val="24"/>
        </w:rPr>
        <w:t xml:space="preserve">WSA w Łodzi z dnia 27 czerwca 2017 r. </w:t>
      </w:r>
      <w:r w:rsidRPr="00845AF8">
        <w:rPr>
          <w:rFonts w:ascii="Calibri" w:hAnsi="Calibri" w:cs="Calibri"/>
          <w:sz w:val="24"/>
          <w:szCs w:val="24"/>
        </w:rPr>
        <w:t xml:space="preserve"> </w:t>
      </w:r>
      <w:r w:rsidRPr="00845AF8">
        <w:rPr>
          <w:rFonts w:ascii="Calibri" w:eastAsia="Times New Roman" w:hAnsi="Calibri" w:cs="Calibri"/>
          <w:sz w:val="24"/>
          <w:szCs w:val="24"/>
        </w:rPr>
        <w:t>II SA/Łd 204/17, Wyrok NSA z dnia 14 października 2014 r. II GSK 343/13).</w:t>
      </w:r>
    </w:p>
    <w:p w:rsidR="00845AF8" w:rsidRPr="00845AF8" w:rsidRDefault="00845AF8" w:rsidP="006577C5">
      <w:pPr>
        <w:spacing w:before="120" w:after="120" w:line="240" w:lineRule="auto"/>
        <w:ind w:firstLine="284"/>
        <w:rPr>
          <w:rFonts w:ascii="Calibri" w:hAnsi="Calibri" w:cs="Calibri"/>
          <w:sz w:val="24"/>
          <w:szCs w:val="24"/>
        </w:rPr>
      </w:pPr>
      <w:r w:rsidRPr="00845AF8">
        <w:rPr>
          <w:rFonts w:ascii="Calibri" w:hAnsi="Calibri" w:cs="Calibri"/>
          <w:sz w:val="24"/>
          <w:szCs w:val="24"/>
        </w:rPr>
        <w:t xml:space="preserve">Domniemanie załatwienia sprawy w drodze decyzji ma sens tylko wówczas, gdy przepisy prawa upoważniają organ administracji publicznej do załatwienia sprawy administracyjnej, lecz nie określają formy rozstrzygnięcia tej sprawy, wskazując np. że organ zezwala, stwierdza, pozwala bądź zakazuje określonego zachowania.    </w:t>
      </w:r>
    </w:p>
    <w:p w:rsidR="00845AF8" w:rsidRPr="00845AF8" w:rsidRDefault="00845AF8" w:rsidP="006577C5">
      <w:pPr>
        <w:spacing w:before="120" w:after="120" w:line="240" w:lineRule="auto"/>
        <w:ind w:firstLine="284"/>
        <w:rPr>
          <w:rFonts w:ascii="Calibri" w:hAnsi="Calibri" w:cs="Calibri"/>
          <w:sz w:val="24"/>
          <w:szCs w:val="24"/>
        </w:rPr>
      </w:pPr>
      <w:r w:rsidRPr="00845AF8">
        <w:rPr>
          <w:rFonts w:ascii="Calibri" w:hAnsi="Calibri" w:cs="Calibri"/>
          <w:sz w:val="24"/>
          <w:szCs w:val="24"/>
        </w:rPr>
        <w:t>Jeżeli zatem istnieje wątpliwość co do formy załatwienia sprawy administracyjnej, należy przyjąć, że winna być załatwiona w drodze decyzji administracyjnej, jednakże koniecznym warunkiem przyjęcia takiego domniemania jest ustalenie, że istnieje sprawa administracyjna i organ administracji publicznej jest właściwy do jej załatwienia. Na sprawę administracyjną w powyższym rozumieniu musi składać się możliwość jednostronnego, władczego rozstrzygnięcia o indywidualnych prawach lub obowiązkach adresata rozstrzygnięcia aktu, wynikająca z przepisu administracyjnego prawa materialnego bądź procesowego</w:t>
      </w:r>
      <w:r>
        <w:rPr>
          <w:rFonts w:ascii="Calibri" w:hAnsi="Calibri" w:cs="Calibri"/>
          <w:sz w:val="24"/>
          <w:szCs w:val="24"/>
        </w:rPr>
        <w:t xml:space="preserve">. </w:t>
      </w:r>
    </w:p>
    <w:p w:rsidR="00845AF8" w:rsidRPr="00845AF8" w:rsidRDefault="00845AF8" w:rsidP="006577C5">
      <w:pPr>
        <w:spacing w:before="120" w:after="120" w:line="240" w:lineRule="auto"/>
        <w:ind w:firstLine="284"/>
        <w:rPr>
          <w:rFonts w:ascii="Calibri" w:hAnsi="Calibri" w:cs="Calibri"/>
          <w:sz w:val="24"/>
          <w:szCs w:val="24"/>
        </w:rPr>
      </w:pPr>
      <w:r w:rsidRPr="00845AF8">
        <w:rPr>
          <w:rFonts w:ascii="Calibri" w:hAnsi="Calibri" w:cs="Calibri"/>
          <w:sz w:val="24"/>
          <w:szCs w:val="24"/>
        </w:rPr>
        <w:lastRenderedPageBreak/>
        <w:t>Decyzja administracyjna wydana w sprawie, której załatwienia w formie decyzji prawo nie przewiduje, jest decyzją wadliwą - wydaną bez podstawy prawnej, jako taka podlega stwierdzeniu nieważności w oparciu o przepis art. 156 § 1 pkt 2 ustawy z dnia 14 czerwca 1960 r. Kodeks postępowania administracyjnego (Dz. U. z 201</w:t>
      </w:r>
      <w:r w:rsidR="00DF5FC6">
        <w:rPr>
          <w:rFonts w:ascii="Calibri" w:hAnsi="Calibri" w:cs="Calibri"/>
          <w:sz w:val="24"/>
          <w:szCs w:val="24"/>
        </w:rPr>
        <w:t>8</w:t>
      </w:r>
      <w:r w:rsidRPr="00845AF8">
        <w:rPr>
          <w:rFonts w:ascii="Calibri" w:hAnsi="Calibri" w:cs="Calibri"/>
          <w:sz w:val="24"/>
          <w:szCs w:val="24"/>
        </w:rPr>
        <w:t xml:space="preserve"> r. poz. </w:t>
      </w:r>
      <w:r w:rsidR="00DF5FC6">
        <w:rPr>
          <w:rFonts w:ascii="Calibri" w:hAnsi="Calibri" w:cs="Calibri"/>
          <w:sz w:val="24"/>
          <w:szCs w:val="24"/>
        </w:rPr>
        <w:t>2096</w:t>
      </w:r>
      <w:r w:rsidRPr="00845AF8">
        <w:rPr>
          <w:rFonts w:ascii="Calibri" w:hAnsi="Calibri" w:cs="Calibri"/>
          <w:sz w:val="24"/>
          <w:szCs w:val="24"/>
        </w:rPr>
        <w:t>, z późn. zm.).</w:t>
      </w:r>
    </w:p>
    <w:p w:rsidR="00845AF8" w:rsidRPr="00845AF8" w:rsidRDefault="00845AF8" w:rsidP="006577C5">
      <w:pPr>
        <w:pStyle w:val="NormalnyWeb"/>
        <w:spacing w:before="120" w:beforeAutospacing="0" w:after="120" w:afterAutospacing="0"/>
        <w:ind w:firstLine="284"/>
        <w:jc w:val="both"/>
        <w:rPr>
          <w:rFonts w:ascii="Calibri" w:hAnsi="Calibri" w:cs="Calibri"/>
          <w:color w:val="000000"/>
        </w:rPr>
      </w:pPr>
      <w:r w:rsidRPr="00845AF8">
        <w:rPr>
          <w:rFonts w:ascii="Calibri" w:hAnsi="Calibri" w:cs="Calibri"/>
        </w:rPr>
        <w:t xml:space="preserve">Warto zwrócić uwagę również, że </w:t>
      </w:r>
      <w:r w:rsidRPr="00845AF8">
        <w:rPr>
          <w:rFonts w:ascii="Calibri" w:hAnsi="Calibri" w:cs="Calibri"/>
          <w:color w:val="000000"/>
        </w:rPr>
        <w:t>regulacje zawarte w ustawie o finansowaniu zadań oświatowych, określające organy właściwe do ustalania wysokości opłat za korzystanie z wychowania przedszkolnego i wyżywienie w przedszkolach oraz sposób ustalania tych opłat, należy uznać za odrębne przepisy, o któryc</w:t>
      </w:r>
      <w:r w:rsidR="00DF5FC6">
        <w:rPr>
          <w:rFonts w:ascii="Calibri" w:hAnsi="Calibri" w:cs="Calibri"/>
          <w:color w:val="000000"/>
        </w:rPr>
        <w:t>h mowa w art. 61 ust. 1 ustawy</w:t>
      </w:r>
      <w:r w:rsidRPr="00845AF8">
        <w:rPr>
          <w:rStyle w:val="object2"/>
          <w:rFonts w:ascii="Calibri" w:hAnsi="Calibri" w:cs="Calibri"/>
        </w:rPr>
        <w:t xml:space="preserve"> </w:t>
      </w:r>
      <w:r w:rsidR="00DF5FC6">
        <w:rPr>
          <w:rStyle w:val="object2"/>
          <w:rFonts w:ascii="Calibri" w:hAnsi="Calibri" w:cs="Calibri"/>
          <w:color w:val="auto"/>
        </w:rPr>
        <w:t>o finansach publicznych.</w:t>
      </w:r>
      <w:r w:rsidR="00A0288F">
        <w:rPr>
          <w:rStyle w:val="object2"/>
          <w:rFonts w:ascii="Calibri" w:hAnsi="Calibri" w:cs="Calibri"/>
          <w:color w:val="auto"/>
        </w:rPr>
        <w:t xml:space="preserve"> </w:t>
      </w:r>
      <w:r w:rsidR="00DF5FC6">
        <w:rPr>
          <w:rFonts w:ascii="Calibri" w:hAnsi="Calibri" w:cs="Calibri"/>
          <w:color w:val="000000"/>
        </w:rPr>
        <w:t xml:space="preserve">Uchwała </w:t>
      </w:r>
      <w:r w:rsidR="006577C5">
        <w:rPr>
          <w:rFonts w:ascii="Calibri" w:hAnsi="Calibri" w:cs="Calibri"/>
          <w:color w:val="000000"/>
        </w:rPr>
        <w:br/>
      </w:r>
      <w:r w:rsidRPr="00845AF8">
        <w:rPr>
          <w:rFonts w:ascii="Calibri" w:hAnsi="Calibri" w:cs="Calibri"/>
          <w:color w:val="000000"/>
        </w:rPr>
        <w:t xml:space="preserve">w przedmiocie ustalenia opłat za korzystanie z wychowania przedszkolnego oraz warunków całkowitego lub </w:t>
      </w:r>
      <w:r w:rsidRPr="00845AF8">
        <w:rPr>
          <w:rStyle w:val="object2"/>
          <w:rFonts w:ascii="Calibri" w:hAnsi="Calibri" w:cs="Calibri"/>
        </w:rPr>
        <w:t>cz</w:t>
      </w:r>
      <w:r w:rsidRPr="00845AF8">
        <w:rPr>
          <w:rFonts w:ascii="Calibri" w:hAnsi="Calibri" w:cs="Calibri"/>
          <w:color w:val="000000"/>
        </w:rPr>
        <w:t xml:space="preserve">ęściowego zwolnienia z nich ma charakter aktu prawa miejscowego – nie ma zatem zastosowania reguła wynikająca z art. 61 ust. 1 ustawy o finansach publicznych, przewidująca ustalanie należności, o których mowa w art. 60 tej ustawy (tj. niepodatkowych należności budżetowych </w:t>
      </w:r>
      <w:r w:rsidR="006577C5">
        <w:rPr>
          <w:rFonts w:ascii="Calibri" w:hAnsi="Calibri" w:cs="Calibri"/>
          <w:color w:val="000000"/>
        </w:rPr>
        <w:br/>
      </w:r>
      <w:r w:rsidRPr="00845AF8">
        <w:rPr>
          <w:rFonts w:ascii="Calibri" w:hAnsi="Calibri" w:cs="Calibri"/>
          <w:color w:val="000000"/>
        </w:rPr>
        <w:t>o charakterze publicznoprawnym), w drodze decyzji właściwych organów.</w:t>
      </w:r>
    </w:p>
    <w:p w:rsidR="00DD5772" w:rsidRDefault="00845AF8" w:rsidP="006577C5">
      <w:pPr>
        <w:spacing w:before="120" w:after="120" w:line="240" w:lineRule="auto"/>
        <w:ind w:firstLine="284"/>
        <w:rPr>
          <w:rFonts w:ascii="Calibri" w:hAnsi="Calibri" w:cs="Calibri"/>
          <w:color w:val="000000"/>
          <w:sz w:val="24"/>
          <w:szCs w:val="24"/>
        </w:rPr>
      </w:pPr>
      <w:r w:rsidRPr="00845AF8">
        <w:rPr>
          <w:rFonts w:ascii="Calibri" w:hAnsi="Calibri" w:cs="Calibri"/>
          <w:color w:val="000000"/>
          <w:sz w:val="24"/>
          <w:szCs w:val="24"/>
        </w:rPr>
        <w:t xml:space="preserve">Obowiązek ponoszenia opłat za korzystanie z wychowania przedszkolnego w wysokości określonej we wspomnianej wcześniej uchwale rady gminy (która ustala stawkę godzinową za korzystanie </w:t>
      </w:r>
      <w:r w:rsidR="006577C5">
        <w:rPr>
          <w:rFonts w:ascii="Calibri" w:hAnsi="Calibri" w:cs="Calibri"/>
          <w:color w:val="000000"/>
          <w:sz w:val="24"/>
          <w:szCs w:val="24"/>
        </w:rPr>
        <w:br/>
      </w:r>
      <w:r w:rsidRPr="00845AF8">
        <w:rPr>
          <w:rFonts w:ascii="Calibri" w:hAnsi="Calibri" w:cs="Calibri"/>
          <w:color w:val="000000"/>
          <w:sz w:val="24"/>
          <w:szCs w:val="24"/>
        </w:rPr>
        <w:t xml:space="preserve">z wychowania przedszkolnego) wynika wprost z przepisów prawa o charakterze powszechnie obowiązującym i aktualizuje się z chwilą rozpoczęcia korzystania z tego świadczenia. </w:t>
      </w:r>
    </w:p>
    <w:p w:rsidR="00FD3568" w:rsidRDefault="00805868" w:rsidP="006577C5">
      <w:pPr>
        <w:spacing w:before="120" w:after="120" w:line="240" w:lineRule="auto"/>
        <w:ind w:firstLine="284"/>
        <w:rPr>
          <w:rFonts w:cstheme="minorHAnsi"/>
          <w:sz w:val="24"/>
          <w:szCs w:val="24"/>
        </w:rPr>
      </w:pPr>
      <w:r>
        <w:rPr>
          <w:rFonts w:cstheme="minorHAnsi"/>
          <w:sz w:val="24"/>
          <w:szCs w:val="24"/>
        </w:rPr>
        <w:t xml:space="preserve">Jak wynika z powyższego, Rada Gminy dokonała zdublowania kompetencji. Z jednej strony określiła </w:t>
      </w:r>
      <w:r w:rsidR="00DA4D3B">
        <w:rPr>
          <w:rFonts w:cstheme="minorHAnsi"/>
          <w:sz w:val="24"/>
          <w:szCs w:val="24"/>
        </w:rPr>
        <w:t>opłaty za korzystanie z wychowania przedszkolnego na poziomie aktu prawa miejscowego, a z d</w:t>
      </w:r>
      <w:r w:rsidR="00FD3568">
        <w:rPr>
          <w:rFonts w:cstheme="minorHAnsi"/>
          <w:sz w:val="24"/>
          <w:szCs w:val="24"/>
        </w:rPr>
        <w:t>rugiej upoważniła organ wykonawczy do wydawania decyzji administracyjnych w tym przedmiocie.</w:t>
      </w:r>
      <w:r w:rsidR="00DA4D3B">
        <w:rPr>
          <w:rFonts w:cstheme="minorHAnsi"/>
          <w:sz w:val="24"/>
          <w:szCs w:val="24"/>
        </w:rPr>
        <w:t xml:space="preserve"> </w:t>
      </w:r>
    </w:p>
    <w:p w:rsidR="006B30FD" w:rsidRDefault="006B30FD" w:rsidP="006577C5">
      <w:pPr>
        <w:spacing w:before="120" w:after="120" w:line="240" w:lineRule="auto"/>
        <w:ind w:firstLine="284"/>
        <w:rPr>
          <w:rFonts w:cstheme="minorHAnsi"/>
          <w:sz w:val="24"/>
          <w:szCs w:val="24"/>
        </w:rPr>
      </w:pPr>
      <w:r>
        <w:rPr>
          <w:rFonts w:cstheme="minorHAnsi"/>
          <w:sz w:val="24"/>
          <w:szCs w:val="24"/>
        </w:rPr>
        <w:t>Odnosząc się do opłat za korzystanie z wyżywienia, tryb ich ustalania został wskazany w powołanych</w:t>
      </w:r>
      <w:r w:rsidR="009576FA">
        <w:rPr>
          <w:rFonts w:cstheme="minorHAnsi"/>
          <w:sz w:val="24"/>
          <w:szCs w:val="24"/>
        </w:rPr>
        <w:t xml:space="preserve"> uprzednio</w:t>
      </w:r>
      <w:r>
        <w:rPr>
          <w:rFonts w:cstheme="minorHAnsi"/>
          <w:sz w:val="24"/>
          <w:szCs w:val="24"/>
        </w:rPr>
        <w:t xml:space="preserve"> w rozstrzygnięciu nadzorczym przepisach</w:t>
      </w:r>
      <w:r w:rsidR="009576FA">
        <w:rPr>
          <w:rFonts w:cstheme="minorHAnsi"/>
          <w:sz w:val="24"/>
          <w:szCs w:val="24"/>
        </w:rPr>
        <w:t>. Brak zatem podstaw</w:t>
      </w:r>
      <w:r>
        <w:rPr>
          <w:rFonts w:cstheme="minorHAnsi"/>
          <w:sz w:val="24"/>
          <w:szCs w:val="24"/>
        </w:rPr>
        <w:t xml:space="preserve"> do upoważnienia dyrektora zespołu szkół do wydawania decyzji administracyjnych</w:t>
      </w:r>
      <w:r w:rsidR="00AA17AD">
        <w:rPr>
          <w:rFonts w:cstheme="minorHAnsi"/>
          <w:sz w:val="24"/>
          <w:szCs w:val="24"/>
        </w:rPr>
        <w:t xml:space="preserve"> czy postanowień</w:t>
      </w:r>
      <w:r>
        <w:rPr>
          <w:rFonts w:cstheme="minorHAnsi"/>
          <w:sz w:val="24"/>
          <w:szCs w:val="24"/>
        </w:rPr>
        <w:t>, skoro przepis</w:t>
      </w:r>
      <w:r w:rsidR="00AA17AD">
        <w:rPr>
          <w:rFonts w:cstheme="minorHAnsi"/>
          <w:sz w:val="24"/>
          <w:szCs w:val="24"/>
        </w:rPr>
        <w:t xml:space="preserve"> ustawy</w:t>
      </w:r>
      <w:r>
        <w:rPr>
          <w:rFonts w:cstheme="minorHAnsi"/>
          <w:sz w:val="24"/>
          <w:szCs w:val="24"/>
        </w:rPr>
        <w:t xml:space="preserve"> wprost określa, że ma się to odbyć w drodze</w:t>
      </w:r>
      <w:r w:rsidR="009576FA">
        <w:rPr>
          <w:rFonts w:cstheme="minorHAnsi"/>
          <w:sz w:val="24"/>
          <w:szCs w:val="24"/>
        </w:rPr>
        <w:t xml:space="preserve"> porozumienia</w:t>
      </w:r>
      <w:r w:rsidR="006A1E55">
        <w:rPr>
          <w:rFonts w:cstheme="minorHAnsi"/>
          <w:sz w:val="24"/>
          <w:szCs w:val="24"/>
        </w:rPr>
        <w:t xml:space="preserve">, jak </w:t>
      </w:r>
      <w:r w:rsidR="009576FA">
        <w:rPr>
          <w:rFonts w:cstheme="minorHAnsi"/>
          <w:sz w:val="24"/>
          <w:szCs w:val="24"/>
        </w:rPr>
        <w:t xml:space="preserve">również wskazuje pomioty, które mają owe porozumienie zawrzeć. </w:t>
      </w:r>
    </w:p>
    <w:p w:rsidR="007A44A6" w:rsidRDefault="00154B1C" w:rsidP="006577C5">
      <w:pPr>
        <w:spacing w:before="120" w:after="120" w:line="240" w:lineRule="auto"/>
        <w:ind w:firstLine="284"/>
        <w:rPr>
          <w:rFonts w:cstheme="minorHAnsi"/>
          <w:sz w:val="24"/>
          <w:szCs w:val="24"/>
        </w:rPr>
      </w:pPr>
      <w:r>
        <w:rPr>
          <w:rFonts w:cstheme="minorHAnsi"/>
          <w:sz w:val="24"/>
          <w:szCs w:val="24"/>
        </w:rPr>
        <w:t xml:space="preserve">Warto w tym miejscu przytoczyć uzasadnienie Wyroku Wojewódzkiego Sądu Administracyjnego </w:t>
      </w:r>
      <w:r w:rsidR="00102D18">
        <w:rPr>
          <w:rFonts w:cstheme="minorHAnsi"/>
          <w:sz w:val="24"/>
          <w:szCs w:val="24"/>
        </w:rPr>
        <w:br/>
      </w:r>
      <w:r>
        <w:rPr>
          <w:rFonts w:cstheme="minorHAnsi"/>
          <w:sz w:val="24"/>
          <w:szCs w:val="24"/>
        </w:rPr>
        <w:t>w Warszawie z dnia 25 kwietnia 2019 r. sygn. akt II Sa/Wa 1413/18:</w:t>
      </w:r>
    </w:p>
    <w:p w:rsidR="007A44A6" w:rsidRPr="007A44A6" w:rsidRDefault="00154B1C" w:rsidP="006577C5">
      <w:pPr>
        <w:spacing w:before="120" w:after="120" w:line="240" w:lineRule="auto"/>
        <w:ind w:firstLine="284"/>
        <w:rPr>
          <w:rStyle w:val="Teksttreci2"/>
          <w:rFonts w:asciiTheme="minorHAnsi" w:hAnsiTheme="minorHAnsi" w:cstheme="minorHAnsi"/>
          <w:i/>
          <w:color w:val="000000"/>
          <w:sz w:val="24"/>
          <w:szCs w:val="24"/>
        </w:rPr>
      </w:pPr>
      <w:r w:rsidRPr="007A44A6">
        <w:rPr>
          <w:rFonts w:cstheme="minorHAnsi"/>
          <w:sz w:val="24"/>
          <w:szCs w:val="24"/>
        </w:rPr>
        <w:t>„</w:t>
      </w:r>
      <w:r w:rsidR="007A44A6" w:rsidRPr="007A44A6">
        <w:rPr>
          <w:rStyle w:val="Teksttreci2"/>
          <w:rFonts w:asciiTheme="minorHAnsi" w:hAnsiTheme="minorHAnsi" w:cstheme="minorHAnsi"/>
          <w:i/>
          <w:color w:val="000000"/>
          <w:sz w:val="24"/>
          <w:szCs w:val="24"/>
        </w:rPr>
        <w:t>Na podstawie art. 39 ust. 4 u.s.g., do załatwiania indywidualnych spraw z zakresu administracji publicznej rada gminy może upoważnić również organ wykonawczy jednostki pomocniczej oraz organy jednostek i podmiotów, o których mowa w art. 9 ust. 1.</w:t>
      </w:r>
    </w:p>
    <w:p w:rsidR="007A44A6" w:rsidRPr="007A44A6" w:rsidRDefault="007A44A6" w:rsidP="006577C5">
      <w:pPr>
        <w:spacing w:before="120" w:after="120" w:line="240" w:lineRule="auto"/>
        <w:ind w:firstLine="284"/>
        <w:rPr>
          <w:rStyle w:val="Teksttreci2"/>
          <w:rFonts w:asciiTheme="minorHAnsi" w:hAnsiTheme="minorHAnsi" w:cstheme="minorHAnsi"/>
          <w:i/>
          <w:color w:val="000000"/>
          <w:sz w:val="24"/>
          <w:szCs w:val="24"/>
        </w:rPr>
      </w:pPr>
      <w:r w:rsidRPr="007A44A6">
        <w:rPr>
          <w:rStyle w:val="Teksttreci2"/>
          <w:rFonts w:asciiTheme="minorHAnsi" w:hAnsiTheme="minorHAnsi" w:cstheme="minorHAnsi"/>
          <w:i/>
          <w:color w:val="000000"/>
          <w:sz w:val="24"/>
          <w:szCs w:val="24"/>
        </w:rPr>
        <w:t>Przytoczony przepis dopuszcza ogólnie udzielanie przez rady gmin upoważnień do załatwiania indywidualnych spraw z zakresu administracji publicznej, nie określając ich przedmiotu. Przepisy ustaw szczególnych mogą wyłączyć możliwość upoważnienia,</w:t>
      </w:r>
      <w:r w:rsidRPr="007A44A6">
        <w:rPr>
          <w:rFonts w:cstheme="minorHAnsi"/>
          <w:i/>
          <w:sz w:val="24"/>
          <w:szCs w:val="24"/>
        </w:rPr>
        <w:t xml:space="preserve"> o </w:t>
      </w:r>
      <w:r w:rsidRPr="007A44A6">
        <w:rPr>
          <w:rStyle w:val="Teksttreci2"/>
          <w:rFonts w:asciiTheme="minorHAnsi" w:hAnsiTheme="minorHAnsi" w:cstheme="minorHAnsi"/>
          <w:i/>
          <w:color w:val="000000"/>
          <w:sz w:val="24"/>
          <w:szCs w:val="24"/>
        </w:rPr>
        <w:t>jakim mowa w art. 39 ust. 4 u.s.g. Taka sytuacja wystąpiła w rozpoznawanej sprawie, ponieważ kwestie objęte materią zaskarżonej uchwały, a dotyczące ustalania opłat za korzystanie z wychowania przedszkolnego określone zostały w ustawie finansowaniu zadań oświatowych. (…)</w:t>
      </w:r>
    </w:p>
    <w:p w:rsidR="007A44A6" w:rsidRPr="007A44A6" w:rsidRDefault="007A44A6" w:rsidP="006577C5">
      <w:pPr>
        <w:spacing w:before="120" w:after="120" w:line="240" w:lineRule="auto"/>
        <w:ind w:firstLine="284"/>
        <w:rPr>
          <w:rStyle w:val="Teksttreci2"/>
          <w:rFonts w:asciiTheme="minorHAnsi" w:hAnsiTheme="minorHAnsi" w:cstheme="minorHAnsi"/>
          <w:i/>
          <w:color w:val="000000"/>
          <w:sz w:val="24"/>
          <w:szCs w:val="24"/>
        </w:rPr>
      </w:pPr>
      <w:r w:rsidRPr="007A44A6">
        <w:rPr>
          <w:rStyle w:val="Teksttreci2"/>
          <w:rFonts w:asciiTheme="minorHAnsi" w:hAnsiTheme="minorHAnsi" w:cstheme="minorHAnsi"/>
          <w:i/>
          <w:color w:val="000000"/>
          <w:sz w:val="24"/>
          <w:szCs w:val="24"/>
        </w:rPr>
        <w:t>W świetle przytoczonych przepisów, w ocenie Sądu, nie może być wątpliwości, że ustalanie spornych opłat (…) - nie następuje w drodze decyzji administracyjnych, czy czynności skierowanych do konkretnego</w:t>
      </w:r>
      <w:r w:rsidRPr="007A44A6">
        <w:rPr>
          <w:rFonts w:cstheme="minorHAnsi"/>
          <w:i/>
          <w:sz w:val="24"/>
          <w:szCs w:val="24"/>
        </w:rPr>
        <w:t xml:space="preserve"> </w:t>
      </w:r>
      <w:r w:rsidRPr="007A44A6">
        <w:rPr>
          <w:rStyle w:val="Teksttreci2"/>
          <w:rFonts w:asciiTheme="minorHAnsi" w:hAnsiTheme="minorHAnsi" w:cstheme="minorHAnsi"/>
          <w:i/>
          <w:color w:val="000000"/>
          <w:sz w:val="24"/>
          <w:szCs w:val="24"/>
        </w:rPr>
        <w:t xml:space="preserve">podmiotu i dotyczących jego prawa lub obowiązków. Ustalenie opłat ma zatem jedynie charakter technicznego wyliczenia ich wysokości. Przepisy ustawy o finansowaniu zadań oświatowych i odpowiednio stosowane przepisy ustawy Prawo oświatowe nie nakazują wydawania decyzji </w:t>
      </w:r>
      <w:r w:rsidR="006577C5">
        <w:rPr>
          <w:rStyle w:val="Teksttreci2"/>
          <w:rFonts w:asciiTheme="minorHAnsi" w:hAnsiTheme="minorHAnsi" w:cstheme="minorHAnsi"/>
          <w:i/>
          <w:color w:val="000000"/>
          <w:sz w:val="24"/>
          <w:szCs w:val="24"/>
        </w:rPr>
        <w:br/>
      </w:r>
      <w:r w:rsidRPr="007A44A6">
        <w:rPr>
          <w:rStyle w:val="Teksttreci2"/>
          <w:rFonts w:asciiTheme="minorHAnsi" w:hAnsiTheme="minorHAnsi" w:cstheme="minorHAnsi"/>
          <w:i/>
          <w:color w:val="000000"/>
          <w:sz w:val="24"/>
          <w:szCs w:val="24"/>
        </w:rPr>
        <w:t>w przypadku spornych opłat, co oznacza, że art. 61 ustawy o finansach publicznych nie znajduje zastosowania.</w:t>
      </w:r>
    </w:p>
    <w:p w:rsidR="007A44A6" w:rsidRPr="007A44A6" w:rsidRDefault="007A44A6" w:rsidP="006577C5">
      <w:pPr>
        <w:spacing w:before="120" w:after="120" w:line="240" w:lineRule="auto"/>
        <w:ind w:firstLine="284"/>
        <w:rPr>
          <w:rStyle w:val="Teksttreci2"/>
          <w:rFonts w:asciiTheme="minorHAnsi" w:hAnsiTheme="minorHAnsi" w:cstheme="minorHAnsi"/>
          <w:i/>
          <w:color w:val="000000"/>
          <w:sz w:val="24"/>
          <w:szCs w:val="24"/>
        </w:rPr>
      </w:pPr>
      <w:r w:rsidRPr="007A44A6">
        <w:rPr>
          <w:rStyle w:val="Teksttreci2"/>
          <w:rFonts w:asciiTheme="minorHAnsi" w:hAnsiTheme="minorHAnsi" w:cstheme="minorHAnsi"/>
          <w:i/>
          <w:color w:val="000000"/>
          <w:sz w:val="24"/>
          <w:szCs w:val="24"/>
        </w:rPr>
        <w:lastRenderedPageBreak/>
        <w:t>Za trafne należy więc uznać argumentację organu nadzoru w powyższym zakresie. Dyrektor placówki przedszkolnej bowiem, w drodze czynności materialno - technicznych, dokonuje jedynie stosownego obliczenia miesięcznej należności wynikającej z liczby godzin, w których dziecko faktycznie korzystało w danym miesiącu z wychowania przedszkolnego.</w:t>
      </w:r>
    </w:p>
    <w:p w:rsidR="00154B1C" w:rsidRPr="007A44A6" w:rsidRDefault="007A44A6" w:rsidP="006577C5">
      <w:pPr>
        <w:spacing w:before="120" w:after="120" w:line="240" w:lineRule="auto"/>
        <w:ind w:firstLine="284"/>
        <w:rPr>
          <w:rFonts w:cstheme="minorHAnsi"/>
          <w:sz w:val="24"/>
          <w:szCs w:val="24"/>
        </w:rPr>
      </w:pPr>
      <w:r w:rsidRPr="007A44A6">
        <w:rPr>
          <w:rStyle w:val="Teksttreci2"/>
          <w:rFonts w:asciiTheme="minorHAnsi" w:hAnsiTheme="minorHAnsi" w:cstheme="minorHAnsi"/>
          <w:i/>
          <w:color w:val="000000"/>
          <w:sz w:val="24"/>
          <w:szCs w:val="24"/>
        </w:rPr>
        <w:t>Tym samym, zgodzić się należy ze skarżącym, że Rada dopuściła się istotnego naruszenia prawa skutkującego stwierdzeniem nieważności § 4 w zaskarżonej części. Z powyższego zapisu §</w:t>
      </w:r>
      <w:r w:rsidR="00102D18">
        <w:rPr>
          <w:rStyle w:val="Teksttreci2"/>
          <w:rFonts w:asciiTheme="minorHAnsi" w:hAnsiTheme="minorHAnsi" w:cstheme="minorHAnsi"/>
          <w:i/>
          <w:color w:val="000000"/>
          <w:sz w:val="24"/>
          <w:szCs w:val="24"/>
        </w:rPr>
        <w:t> </w:t>
      </w:r>
      <w:r w:rsidRPr="007A44A6">
        <w:rPr>
          <w:rStyle w:val="Teksttreci2"/>
          <w:rFonts w:asciiTheme="minorHAnsi" w:hAnsiTheme="minorHAnsi" w:cstheme="minorHAnsi"/>
          <w:i/>
          <w:color w:val="000000"/>
          <w:sz w:val="24"/>
          <w:szCs w:val="24"/>
        </w:rPr>
        <w:t xml:space="preserve">4 wynika bowiem, że w każdym przypadku dotyczącym opłat, o których mowa w § 2 zaskarżonej uchwały, prowadzone jest postępowanie, które kończy się wydaniem decyzji administracyjnej. Potwierdza </w:t>
      </w:r>
      <w:r w:rsidR="00102D18">
        <w:rPr>
          <w:rStyle w:val="Teksttreci2"/>
          <w:rFonts w:asciiTheme="minorHAnsi" w:hAnsiTheme="minorHAnsi" w:cstheme="minorHAnsi"/>
          <w:i/>
          <w:color w:val="000000"/>
          <w:sz w:val="24"/>
          <w:szCs w:val="24"/>
        </w:rPr>
        <w:br/>
      </w:r>
      <w:r w:rsidRPr="007A44A6">
        <w:rPr>
          <w:rStyle w:val="Teksttreci2"/>
          <w:rFonts w:asciiTheme="minorHAnsi" w:hAnsiTheme="minorHAnsi" w:cstheme="minorHAnsi"/>
          <w:i/>
          <w:color w:val="000000"/>
          <w:sz w:val="24"/>
          <w:szCs w:val="24"/>
        </w:rPr>
        <w:t>to również uzasadnienie uchwały w którym Rada wskazała, że wprowadzono zapis upoważniający dyrektora placówki wychowania przedszkolnego do wydawania decyzji w sprawie opłat</w:t>
      </w:r>
      <w:r>
        <w:rPr>
          <w:rStyle w:val="Teksttreci2"/>
          <w:rFonts w:asciiTheme="minorHAnsi" w:hAnsiTheme="minorHAnsi" w:cstheme="minorHAnsi"/>
          <w:color w:val="000000"/>
          <w:sz w:val="24"/>
          <w:szCs w:val="24"/>
        </w:rPr>
        <w:t xml:space="preserve"> (…)</w:t>
      </w:r>
      <w:r w:rsidR="001806A6">
        <w:rPr>
          <w:rStyle w:val="Teksttreci2"/>
          <w:rFonts w:asciiTheme="minorHAnsi" w:hAnsiTheme="minorHAnsi" w:cstheme="minorHAnsi"/>
          <w:color w:val="000000"/>
          <w:sz w:val="24"/>
          <w:szCs w:val="24"/>
        </w:rPr>
        <w:t>.”.</w:t>
      </w:r>
    </w:p>
    <w:p w:rsidR="00030673" w:rsidRPr="00030673" w:rsidRDefault="00030673" w:rsidP="006577C5">
      <w:pPr>
        <w:spacing w:before="120" w:after="120" w:line="240" w:lineRule="auto"/>
        <w:ind w:firstLine="284"/>
        <w:rPr>
          <w:rFonts w:cstheme="minorHAnsi"/>
          <w:sz w:val="24"/>
          <w:szCs w:val="24"/>
        </w:rPr>
      </w:pPr>
      <w:r w:rsidRPr="00030673">
        <w:rPr>
          <w:rFonts w:cstheme="minorHAnsi"/>
          <w:sz w:val="24"/>
          <w:szCs w:val="24"/>
        </w:rPr>
        <w:t xml:space="preserve">Mając na uwadze powyższe, stwierdzenie nieważności przedmiotowych </w:t>
      </w:r>
      <w:r w:rsidRPr="00030673">
        <w:rPr>
          <w:rFonts w:cstheme="minorHAnsi"/>
          <w:bCs/>
          <w:sz w:val="24"/>
          <w:szCs w:val="24"/>
        </w:rPr>
        <w:t xml:space="preserve">uchwał </w:t>
      </w:r>
      <w:r w:rsidRPr="00030673">
        <w:rPr>
          <w:rFonts w:cstheme="minorHAnsi"/>
          <w:sz w:val="24"/>
          <w:szCs w:val="24"/>
        </w:rPr>
        <w:t xml:space="preserve">Rady </w:t>
      </w:r>
      <w:r>
        <w:rPr>
          <w:rFonts w:cstheme="minorHAnsi"/>
          <w:sz w:val="24"/>
          <w:szCs w:val="24"/>
        </w:rPr>
        <w:t>Gminy Jaktorów</w:t>
      </w:r>
      <w:r w:rsidRPr="00030673">
        <w:rPr>
          <w:rFonts w:cstheme="minorHAnsi"/>
          <w:sz w:val="24"/>
          <w:szCs w:val="24"/>
        </w:rPr>
        <w:t>,</w:t>
      </w:r>
      <w:r>
        <w:rPr>
          <w:rFonts w:cstheme="minorHAnsi"/>
          <w:sz w:val="24"/>
          <w:szCs w:val="24"/>
        </w:rPr>
        <w:t xml:space="preserve"> w całości</w:t>
      </w:r>
      <w:r w:rsidRPr="00030673">
        <w:rPr>
          <w:rFonts w:cstheme="minorHAnsi"/>
          <w:sz w:val="24"/>
          <w:szCs w:val="24"/>
        </w:rPr>
        <w:t>, jest w pełni uzasadnione.</w:t>
      </w:r>
    </w:p>
    <w:p w:rsidR="00030673" w:rsidRPr="00030673" w:rsidRDefault="00030673" w:rsidP="006577C5">
      <w:pPr>
        <w:spacing w:before="120" w:after="120" w:line="240" w:lineRule="auto"/>
        <w:ind w:firstLine="284"/>
        <w:rPr>
          <w:rFonts w:cstheme="minorHAnsi"/>
          <w:sz w:val="24"/>
          <w:szCs w:val="24"/>
        </w:rPr>
      </w:pPr>
      <w:r w:rsidRPr="00030673">
        <w:rPr>
          <w:rFonts w:cstheme="minorHAnsi"/>
          <w:sz w:val="24"/>
          <w:szCs w:val="24"/>
        </w:rPr>
        <w:t xml:space="preserve">Na niniejsze rozstrzygnięcie nadzorcze </w:t>
      </w:r>
      <w:r>
        <w:rPr>
          <w:rFonts w:cstheme="minorHAnsi"/>
          <w:sz w:val="24"/>
          <w:szCs w:val="24"/>
        </w:rPr>
        <w:t>Gminie p</w:t>
      </w:r>
      <w:r w:rsidRPr="00030673">
        <w:rPr>
          <w:rFonts w:cstheme="minorHAnsi"/>
          <w:sz w:val="24"/>
          <w:szCs w:val="24"/>
        </w:rPr>
        <w:t xml:space="preserve">rzysługuje skarga do Wojewódzkiego Sądu Administracyjnego w Warszawie w terminie 30 dni od daty jego doręczenia, wnoszona </w:t>
      </w:r>
      <w:r w:rsidR="00102D18">
        <w:rPr>
          <w:rFonts w:cstheme="minorHAnsi"/>
          <w:sz w:val="24"/>
          <w:szCs w:val="24"/>
        </w:rPr>
        <w:br/>
      </w:r>
      <w:bookmarkStart w:id="0" w:name="_GoBack"/>
      <w:bookmarkEnd w:id="0"/>
      <w:r w:rsidRPr="00030673">
        <w:rPr>
          <w:rFonts w:cstheme="minorHAnsi"/>
          <w:sz w:val="24"/>
          <w:szCs w:val="24"/>
        </w:rPr>
        <w:t>za pośrednictwem organu, który skarżone orzeczenie wydał.</w:t>
      </w:r>
    </w:p>
    <w:p w:rsidR="00030673" w:rsidRPr="00030673" w:rsidRDefault="00030673" w:rsidP="006577C5">
      <w:pPr>
        <w:pStyle w:val="Tekstpodstawowy"/>
        <w:spacing w:line="240" w:lineRule="auto"/>
        <w:ind w:right="-1" w:firstLine="284"/>
        <w:rPr>
          <w:rFonts w:asciiTheme="minorHAnsi" w:hAnsiTheme="minorHAnsi" w:cstheme="minorHAnsi"/>
          <w:sz w:val="24"/>
        </w:rPr>
      </w:pPr>
      <w:r w:rsidRPr="00030673">
        <w:rPr>
          <w:rFonts w:asciiTheme="minorHAnsi" w:hAnsiTheme="minorHAnsi" w:cstheme="minorHAnsi"/>
          <w:sz w:val="24"/>
        </w:rPr>
        <w:t>Informuję, że rozstrzygnięcie nadzorcze wstrzymuje</w:t>
      </w:r>
      <w:r>
        <w:rPr>
          <w:rFonts w:asciiTheme="minorHAnsi" w:hAnsiTheme="minorHAnsi" w:cstheme="minorHAnsi"/>
          <w:sz w:val="24"/>
        </w:rPr>
        <w:t xml:space="preserve"> wykonanie uchwał z mocy prawa</w:t>
      </w:r>
      <w:r w:rsidRPr="00030673">
        <w:rPr>
          <w:rFonts w:asciiTheme="minorHAnsi" w:hAnsiTheme="minorHAnsi" w:cstheme="minorHAnsi"/>
          <w:sz w:val="24"/>
        </w:rPr>
        <w:t>, z dniem jego doręczenia.</w:t>
      </w:r>
    </w:p>
    <w:p w:rsidR="006B30FD" w:rsidRDefault="006B30FD" w:rsidP="006577C5">
      <w:pPr>
        <w:spacing w:line="240" w:lineRule="auto"/>
        <w:rPr>
          <w:rFonts w:cstheme="minorHAnsi"/>
          <w:sz w:val="24"/>
          <w:szCs w:val="24"/>
        </w:rPr>
      </w:pPr>
    </w:p>
    <w:p w:rsidR="006577C5" w:rsidRDefault="006577C5" w:rsidP="006577C5">
      <w:pPr>
        <w:spacing w:line="240" w:lineRule="auto"/>
        <w:jc w:val="right"/>
        <w:rPr>
          <w:i/>
        </w:rPr>
      </w:pPr>
      <w:r>
        <w:t>Wojewoda Mazowiecki:</w:t>
      </w:r>
      <w:r>
        <w:br/>
      </w:r>
      <w:r>
        <w:rPr>
          <w:i/>
        </w:rPr>
        <w:t>Zdzisław Sipiera</w:t>
      </w:r>
    </w:p>
    <w:p w:rsidR="006577C5" w:rsidRDefault="006577C5" w:rsidP="006577C5">
      <w:pPr>
        <w:spacing w:line="240" w:lineRule="auto"/>
        <w:jc w:val="right"/>
        <w:rPr>
          <w:rFonts w:cstheme="minorHAnsi"/>
          <w:sz w:val="24"/>
          <w:szCs w:val="24"/>
        </w:rPr>
      </w:pPr>
    </w:p>
    <w:p w:rsidR="006577C5" w:rsidRPr="00030673" w:rsidRDefault="006577C5" w:rsidP="006577C5">
      <w:pPr>
        <w:spacing w:line="240" w:lineRule="auto"/>
        <w:rPr>
          <w:rFonts w:cstheme="minorHAnsi"/>
          <w:sz w:val="24"/>
          <w:szCs w:val="24"/>
        </w:rPr>
      </w:pPr>
    </w:p>
    <w:sectPr w:rsidR="006577C5" w:rsidRPr="00030673" w:rsidSect="00837627">
      <w:footerReference w:type="default" r:id="rId10"/>
      <w:pgSz w:w="11906" w:h="16838"/>
      <w:pgMar w:top="1418" w:right="1021" w:bottom="992"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45D" w:rsidRDefault="0037045D" w:rsidP="00F32D50">
      <w:pPr>
        <w:spacing w:line="240" w:lineRule="auto"/>
      </w:pPr>
      <w:r>
        <w:separator/>
      </w:r>
    </w:p>
  </w:endnote>
  <w:endnote w:type="continuationSeparator" w:id="0">
    <w:p w:rsidR="0037045D" w:rsidRDefault="0037045D" w:rsidP="00F32D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900687"/>
      <w:docPartObj>
        <w:docPartGallery w:val="Page Numbers (Bottom of Page)"/>
        <w:docPartUnique/>
      </w:docPartObj>
    </w:sdtPr>
    <w:sdtEndPr/>
    <w:sdtContent>
      <w:p w:rsidR="00F32D50" w:rsidRDefault="00F32D50">
        <w:pPr>
          <w:pStyle w:val="Stopka"/>
          <w:jc w:val="center"/>
        </w:pPr>
        <w:r>
          <w:fldChar w:fldCharType="begin"/>
        </w:r>
        <w:r>
          <w:instrText>PAGE   \* MERGEFORMAT</w:instrText>
        </w:r>
        <w:r>
          <w:fldChar w:fldCharType="separate"/>
        </w:r>
        <w:r w:rsidR="00102D18">
          <w:rPr>
            <w:noProof/>
          </w:rPr>
          <w:t>4</w:t>
        </w:r>
        <w:r>
          <w:fldChar w:fldCharType="end"/>
        </w:r>
      </w:p>
    </w:sdtContent>
  </w:sdt>
  <w:p w:rsidR="00F32D50" w:rsidRDefault="00F32D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45D" w:rsidRDefault="0037045D" w:rsidP="00F32D50">
      <w:pPr>
        <w:spacing w:line="240" w:lineRule="auto"/>
      </w:pPr>
      <w:r>
        <w:separator/>
      </w:r>
    </w:p>
  </w:footnote>
  <w:footnote w:type="continuationSeparator" w:id="0">
    <w:p w:rsidR="0037045D" w:rsidRDefault="0037045D" w:rsidP="00F32D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3">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4">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5">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6">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7">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8">
      <w:numFmt w:val="decimal"/>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3">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4">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5">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6">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7">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8">
      <w:numFmt w:val="decimal"/>
      <w:lvlText w:val="%1"/>
      <w:lvlJc w:val="left"/>
      <w:rPr>
        <w:rFonts w:ascii="Arial" w:hAnsi="Arial" w:cs="Arial"/>
        <w:b w:val="0"/>
        <w:bCs w:val="0"/>
        <w:i w:val="0"/>
        <w:iCs w:val="0"/>
        <w:smallCaps w:val="0"/>
        <w:strike w:val="0"/>
        <w:color w:val="000000"/>
        <w:spacing w:val="0"/>
        <w:w w:val="100"/>
        <w:position w:val="0"/>
        <w:sz w:val="24"/>
        <w:szCs w:val="24"/>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71C"/>
    <w:rsid w:val="00030673"/>
    <w:rsid w:val="000376DC"/>
    <w:rsid w:val="000B1A19"/>
    <w:rsid w:val="000D626E"/>
    <w:rsid w:val="00102D18"/>
    <w:rsid w:val="00154B1C"/>
    <w:rsid w:val="0015758D"/>
    <w:rsid w:val="001806A6"/>
    <w:rsid w:val="00193FA1"/>
    <w:rsid w:val="001C1D4F"/>
    <w:rsid w:val="00274440"/>
    <w:rsid w:val="0037045D"/>
    <w:rsid w:val="00393F43"/>
    <w:rsid w:val="003C432D"/>
    <w:rsid w:val="00412BAD"/>
    <w:rsid w:val="004335BF"/>
    <w:rsid w:val="00496F38"/>
    <w:rsid w:val="004F4294"/>
    <w:rsid w:val="00505CBA"/>
    <w:rsid w:val="00526894"/>
    <w:rsid w:val="00640E7D"/>
    <w:rsid w:val="006577C5"/>
    <w:rsid w:val="006A1E55"/>
    <w:rsid w:val="006B30FD"/>
    <w:rsid w:val="006C46C0"/>
    <w:rsid w:val="0074213E"/>
    <w:rsid w:val="00752868"/>
    <w:rsid w:val="00776300"/>
    <w:rsid w:val="007A44A6"/>
    <w:rsid w:val="007B58FF"/>
    <w:rsid w:val="0080406E"/>
    <w:rsid w:val="00805868"/>
    <w:rsid w:val="008060FA"/>
    <w:rsid w:val="00837627"/>
    <w:rsid w:val="00845AF8"/>
    <w:rsid w:val="00847DBC"/>
    <w:rsid w:val="00864DEA"/>
    <w:rsid w:val="00872CBA"/>
    <w:rsid w:val="00895798"/>
    <w:rsid w:val="00897CD0"/>
    <w:rsid w:val="008B6EA6"/>
    <w:rsid w:val="008C74C4"/>
    <w:rsid w:val="00912DF7"/>
    <w:rsid w:val="009576FA"/>
    <w:rsid w:val="00997CBD"/>
    <w:rsid w:val="00A0288F"/>
    <w:rsid w:val="00A223F0"/>
    <w:rsid w:val="00A22B7C"/>
    <w:rsid w:val="00A3271C"/>
    <w:rsid w:val="00AA17AD"/>
    <w:rsid w:val="00B764E7"/>
    <w:rsid w:val="00BD5F20"/>
    <w:rsid w:val="00BE2C54"/>
    <w:rsid w:val="00BE6989"/>
    <w:rsid w:val="00C44971"/>
    <w:rsid w:val="00C553FE"/>
    <w:rsid w:val="00C92AD2"/>
    <w:rsid w:val="00CA48FA"/>
    <w:rsid w:val="00CA72E0"/>
    <w:rsid w:val="00CB573B"/>
    <w:rsid w:val="00D25977"/>
    <w:rsid w:val="00D35CEC"/>
    <w:rsid w:val="00D5317D"/>
    <w:rsid w:val="00D724A3"/>
    <w:rsid w:val="00D905BE"/>
    <w:rsid w:val="00DA4D3B"/>
    <w:rsid w:val="00DB3827"/>
    <w:rsid w:val="00DB755D"/>
    <w:rsid w:val="00DD5772"/>
    <w:rsid w:val="00DD5AF1"/>
    <w:rsid w:val="00DF5FC6"/>
    <w:rsid w:val="00E058E2"/>
    <w:rsid w:val="00E579FF"/>
    <w:rsid w:val="00E9656F"/>
    <w:rsid w:val="00F32D50"/>
    <w:rsid w:val="00F54068"/>
    <w:rsid w:val="00FC096F"/>
    <w:rsid w:val="00FD35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CA42"/>
  <w15:docId w15:val="{542D0F2E-2447-4EE2-8AAA-44E0E7D6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aliases w:val="Czarny,Interl...,Normalny + 12 pt,Po:  0 pt,Wyrównany do środka"/>
    <w:basedOn w:val="Domylnaczcionkaakapitu"/>
    <w:uiPriority w:val="99"/>
    <w:qFormat/>
    <w:rsid w:val="000376DC"/>
    <w:rPr>
      <w:rFonts w:ascii="Times New Roman" w:hAnsi="Times New Roman" w:cs="Times New Roman" w:hint="default"/>
      <w:bCs w:val="0"/>
    </w:rPr>
  </w:style>
  <w:style w:type="paragraph" w:styleId="Tekstdymka">
    <w:name w:val="Balloon Text"/>
    <w:basedOn w:val="Normalny"/>
    <w:link w:val="TekstdymkaZnak"/>
    <w:uiPriority w:val="99"/>
    <w:semiHidden/>
    <w:unhideWhenUsed/>
    <w:rsid w:val="000376DC"/>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376DC"/>
    <w:rPr>
      <w:rFonts w:ascii="Tahoma" w:hAnsi="Tahoma" w:cs="Tahoma"/>
      <w:sz w:val="16"/>
      <w:szCs w:val="16"/>
    </w:rPr>
  </w:style>
  <w:style w:type="paragraph" w:styleId="Tekstpodstawowy">
    <w:name w:val="Body Text"/>
    <w:basedOn w:val="Normalny"/>
    <w:link w:val="TekstpodstawowyZnak"/>
    <w:semiHidden/>
    <w:unhideWhenUsed/>
    <w:rsid w:val="000376DC"/>
    <w:pPr>
      <w:suppressAutoHyphens/>
      <w:ind w:firstLine="0"/>
    </w:pPr>
    <w:rPr>
      <w:rFonts w:ascii="Times New Roman" w:eastAsia="Times New Roman" w:hAnsi="Times New Roman" w:cs="Times New Roman"/>
      <w:sz w:val="28"/>
      <w:szCs w:val="24"/>
      <w:lang w:eastAsia="ar-SA"/>
    </w:rPr>
  </w:style>
  <w:style w:type="character" w:customStyle="1" w:styleId="TekstpodstawowyZnak">
    <w:name w:val="Tekst podstawowy Znak"/>
    <w:basedOn w:val="Domylnaczcionkaakapitu"/>
    <w:link w:val="Tekstpodstawowy"/>
    <w:semiHidden/>
    <w:rsid w:val="000376DC"/>
    <w:rPr>
      <w:rFonts w:ascii="Times New Roman" w:eastAsia="Times New Roman" w:hAnsi="Times New Roman" w:cs="Times New Roman"/>
      <w:sz w:val="28"/>
      <w:szCs w:val="24"/>
      <w:lang w:eastAsia="ar-SA"/>
    </w:rPr>
  </w:style>
  <w:style w:type="paragraph" w:styleId="NormalnyWeb">
    <w:name w:val="Normal (Web)"/>
    <w:basedOn w:val="Normalny"/>
    <w:uiPriority w:val="99"/>
    <w:unhideWhenUsed/>
    <w:rsid w:val="00845AF8"/>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character" w:customStyle="1" w:styleId="object2">
    <w:name w:val="object2"/>
    <w:rsid w:val="00845AF8"/>
    <w:rPr>
      <w:strike w:val="0"/>
      <w:dstrike w:val="0"/>
      <w:color w:val="00008B"/>
      <w:u w:val="none"/>
      <w:effect w:val="none"/>
    </w:rPr>
  </w:style>
  <w:style w:type="paragraph" w:styleId="Nagwek">
    <w:name w:val="header"/>
    <w:basedOn w:val="Normalny"/>
    <w:link w:val="NagwekZnak"/>
    <w:uiPriority w:val="99"/>
    <w:unhideWhenUsed/>
    <w:rsid w:val="00F32D50"/>
    <w:pPr>
      <w:tabs>
        <w:tab w:val="center" w:pos="4536"/>
        <w:tab w:val="right" w:pos="9072"/>
      </w:tabs>
      <w:spacing w:line="240" w:lineRule="auto"/>
    </w:pPr>
  </w:style>
  <w:style w:type="character" w:customStyle="1" w:styleId="NagwekZnak">
    <w:name w:val="Nagłówek Znak"/>
    <w:basedOn w:val="Domylnaczcionkaakapitu"/>
    <w:link w:val="Nagwek"/>
    <w:uiPriority w:val="99"/>
    <w:rsid w:val="00F32D50"/>
  </w:style>
  <w:style w:type="paragraph" w:styleId="Stopka">
    <w:name w:val="footer"/>
    <w:basedOn w:val="Normalny"/>
    <w:link w:val="StopkaZnak"/>
    <w:uiPriority w:val="99"/>
    <w:unhideWhenUsed/>
    <w:rsid w:val="00F32D50"/>
    <w:pPr>
      <w:tabs>
        <w:tab w:val="center" w:pos="4536"/>
        <w:tab w:val="right" w:pos="9072"/>
      </w:tabs>
      <w:spacing w:line="240" w:lineRule="auto"/>
    </w:pPr>
  </w:style>
  <w:style w:type="character" w:customStyle="1" w:styleId="StopkaZnak">
    <w:name w:val="Stopka Znak"/>
    <w:basedOn w:val="Domylnaczcionkaakapitu"/>
    <w:link w:val="Stopka"/>
    <w:uiPriority w:val="99"/>
    <w:rsid w:val="00F32D50"/>
  </w:style>
  <w:style w:type="character" w:styleId="Hipercze">
    <w:name w:val="Hyperlink"/>
    <w:basedOn w:val="Domylnaczcionkaakapitu"/>
    <w:uiPriority w:val="99"/>
    <w:semiHidden/>
    <w:unhideWhenUsed/>
    <w:rsid w:val="00393F43"/>
    <w:rPr>
      <w:color w:val="0000FF"/>
      <w:u w:val="single"/>
    </w:rPr>
  </w:style>
  <w:style w:type="paragraph" w:customStyle="1" w:styleId="Default">
    <w:name w:val="Default"/>
    <w:rsid w:val="004335BF"/>
    <w:pPr>
      <w:autoSpaceDE w:val="0"/>
      <w:autoSpaceDN w:val="0"/>
      <w:adjustRightInd w:val="0"/>
      <w:spacing w:line="240" w:lineRule="auto"/>
      <w:ind w:firstLine="0"/>
      <w:jc w:val="left"/>
    </w:pPr>
    <w:rPr>
      <w:rFonts w:ascii="Times New Roman" w:hAnsi="Times New Roman" w:cs="Times New Roman"/>
      <w:color w:val="000000"/>
      <w:sz w:val="24"/>
      <w:szCs w:val="24"/>
    </w:rPr>
  </w:style>
  <w:style w:type="character" w:customStyle="1" w:styleId="Teksttreci2">
    <w:name w:val="Tekst treści (2)_"/>
    <w:basedOn w:val="Domylnaczcionkaakapitu"/>
    <w:link w:val="Teksttreci20"/>
    <w:uiPriority w:val="99"/>
    <w:rsid w:val="007A44A6"/>
    <w:rPr>
      <w:rFonts w:ascii="Arial" w:hAnsi="Arial" w:cs="Arial"/>
      <w:shd w:val="clear" w:color="auto" w:fill="FFFFFF"/>
    </w:rPr>
  </w:style>
  <w:style w:type="paragraph" w:customStyle="1" w:styleId="Teksttreci20">
    <w:name w:val="Tekst treści (2)"/>
    <w:basedOn w:val="Normalny"/>
    <w:link w:val="Teksttreci2"/>
    <w:uiPriority w:val="99"/>
    <w:rsid w:val="007A44A6"/>
    <w:pPr>
      <w:widowControl w:val="0"/>
      <w:shd w:val="clear" w:color="auto" w:fill="FFFFFF"/>
      <w:spacing w:after="300" w:line="240" w:lineRule="atLeast"/>
      <w:ind w:firstLine="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50799">
      <w:bodyDiv w:val="1"/>
      <w:marLeft w:val="0"/>
      <w:marRight w:val="0"/>
      <w:marTop w:val="0"/>
      <w:marBottom w:val="0"/>
      <w:divBdr>
        <w:top w:val="none" w:sz="0" w:space="0" w:color="auto"/>
        <w:left w:val="none" w:sz="0" w:space="0" w:color="auto"/>
        <w:bottom w:val="none" w:sz="0" w:space="0" w:color="auto"/>
        <w:right w:val="none" w:sz="0" w:space="0" w:color="auto"/>
      </w:divBdr>
    </w:div>
    <w:div w:id="1193151390">
      <w:bodyDiv w:val="1"/>
      <w:marLeft w:val="0"/>
      <w:marRight w:val="0"/>
      <w:marTop w:val="0"/>
      <w:marBottom w:val="0"/>
      <w:divBdr>
        <w:top w:val="none" w:sz="0" w:space="0" w:color="auto"/>
        <w:left w:val="none" w:sz="0" w:space="0" w:color="auto"/>
        <w:bottom w:val="none" w:sz="0" w:space="0" w:color="auto"/>
        <w:right w:val="none" w:sz="0" w:space="0" w:color="auto"/>
      </w:divBdr>
      <w:divsChild>
        <w:div w:id="1211453454">
          <w:marLeft w:val="0"/>
          <w:marRight w:val="0"/>
          <w:marTop w:val="0"/>
          <w:marBottom w:val="0"/>
          <w:divBdr>
            <w:top w:val="none" w:sz="0" w:space="0" w:color="auto"/>
            <w:left w:val="none" w:sz="0" w:space="0" w:color="auto"/>
            <w:bottom w:val="none" w:sz="0" w:space="0" w:color="auto"/>
            <w:right w:val="none" w:sz="0" w:space="0" w:color="auto"/>
          </w:divBdr>
          <w:divsChild>
            <w:div w:id="855003397">
              <w:marLeft w:val="0"/>
              <w:marRight w:val="0"/>
              <w:marTop w:val="0"/>
              <w:marBottom w:val="0"/>
              <w:divBdr>
                <w:top w:val="none" w:sz="0" w:space="0" w:color="auto"/>
                <w:left w:val="none" w:sz="0" w:space="0" w:color="auto"/>
                <w:bottom w:val="none" w:sz="0" w:space="0" w:color="auto"/>
                <w:right w:val="none" w:sz="0" w:space="0" w:color="auto"/>
              </w:divBdr>
              <w:divsChild>
                <w:div w:id="822042685">
                  <w:marLeft w:val="0"/>
                  <w:marRight w:val="0"/>
                  <w:marTop w:val="0"/>
                  <w:marBottom w:val="0"/>
                  <w:divBdr>
                    <w:top w:val="none" w:sz="0" w:space="0" w:color="auto"/>
                    <w:left w:val="none" w:sz="0" w:space="0" w:color="auto"/>
                    <w:bottom w:val="none" w:sz="0" w:space="0" w:color="auto"/>
                    <w:right w:val="none" w:sz="0" w:space="0" w:color="auto"/>
                  </w:divBdr>
                  <w:divsChild>
                    <w:div w:id="283386410">
                      <w:marLeft w:val="0"/>
                      <w:marRight w:val="0"/>
                      <w:marTop w:val="0"/>
                      <w:marBottom w:val="0"/>
                      <w:divBdr>
                        <w:top w:val="none" w:sz="0" w:space="0" w:color="auto"/>
                        <w:left w:val="none" w:sz="0" w:space="0" w:color="auto"/>
                        <w:bottom w:val="none" w:sz="0" w:space="0" w:color="auto"/>
                        <w:right w:val="none" w:sz="0" w:space="0" w:color="auto"/>
                      </w:divBdr>
                      <w:divsChild>
                        <w:div w:id="1764690491">
                          <w:marLeft w:val="0"/>
                          <w:marRight w:val="0"/>
                          <w:marTop w:val="0"/>
                          <w:marBottom w:val="0"/>
                          <w:divBdr>
                            <w:top w:val="none" w:sz="0" w:space="0" w:color="auto"/>
                            <w:left w:val="none" w:sz="0" w:space="0" w:color="auto"/>
                            <w:bottom w:val="none" w:sz="0" w:space="0" w:color="auto"/>
                            <w:right w:val="none" w:sz="0" w:space="0" w:color="auto"/>
                          </w:divBdr>
                          <w:divsChild>
                            <w:div w:id="1046100061">
                              <w:marLeft w:val="0"/>
                              <w:marRight w:val="0"/>
                              <w:marTop w:val="0"/>
                              <w:marBottom w:val="0"/>
                              <w:divBdr>
                                <w:top w:val="none" w:sz="0" w:space="0" w:color="auto"/>
                                <w:left w:val="none" w:sz="0" w:space="0" w:color="auto"/>
                                <w:bottom w:val="none" w:sz="0" w:space="0" w:color="auto"/>
                                <w:right w:val="none" w:sz="0" w:space="0" w:color="auto"/>
                              </w:divBdr>
                              <w:divsChild>
                                <w:div w:id="1376655090">
                                  <w:marLeft w:val="0"/>
                                  <w:marRight w:val="0"/>
                                  <w:marTop w:val="0"/>
                                  <w:marBottom w:val="0"/>
                                  <w:divBdr>
                                    <w:top w:val="none" w:sz="0" w:space="0" w:color="auto"/>
                                    <w:left w:val="none" w:sz="0" w:space="0" w:color="auto"/>
                                    <w:bottom w:val="none" w:sz="0" w:space="0" w:color="auto"/>
                                    <w:right w:val="none" w:sz="0" w:space="0" w:color="auto"/>
                                  </w:divBdr>
                                  <w:divsChild>
                                    <w:div w:id="711610462">
                                      <w:marLeft w:val="0"/>
                                      <w:marRight w:val="0"/>
                                      <w:marTop w:val="0"/>
                                      <w:marBottom w:val="0"/>
                                      <w:divBdr>
                                        <w:top w:val="none" w:sz="0" w:space="0" w:color="auto"/>
                                        <w:left w:val="none" w:sz="0" w:space="0" w:color="auto"/>
                                        <w:bottom w:val="none" w:sz="0" w:space="0" w:color="auto"/>
                                        <w:right w:val="none" w:sz="0" w:space="0" w:color="auto"/>
                                      </w:divBdr>
                                      <w:divsChild>
                                        <w:div w:id="515072495">
                                          <w:marLeft w:val="0"/>
                                          <w:marRight w:val="0"/>
                                          <w:marTop w:val="0"/>
                                          <w:marBottom w:val="0"/>
                                          <w:divBdr>
                                            <w:top w:val="none" w:sz="0" w:space="0" w:color="auto"/>
                                            <w:left w:val="none" w:sz="0" w:space="0" w:color="auto"/>
                                            <w:bottom w:val="none" w:sz="0" w:space="0" w:color="auto"/>
                                            <w:right w:val="none" w:sz="0" w:space="0" w:color="auto"/>
                                          </w:divBdr>
                                          <w:divsChild>
                                            <w:div w:id="1009721320">
                                              <w:marLeft w:val="0"/>
                                              <w:marRight w:val="0"/>
                                              <w:marTop w:val="0"/>
                                              <w:marBottom w:val="0"/>
                                              <w:divBdr>
                                                <w:top w:val="none" w:sz="0" w:space="0" w:color="auto"/>
                                                <w:left w:val="none" w:sz="0" w:space="0" w:color="auto"/>
                                                <w:bottom w:val="none" w:sz="0" w:space="0" w:color="auto"/>
                                                <w:right w:val="none" w:sz="0" w:space="0" w:color="auto"/>
                                              </w:divBdr>
                                              <w:divsChild>
                                                <w:div w:id="692343602">
                                                  <w:marLeft w:val="0"/>
                                                  <w:marRight w:val="0"/>
                                                  <w:marTop w:val="0"/>
                                                  <w:marBottom w:val="0"/>
                                                  <w:divBdr>
                                                    <w:top w:val="none" w:sz="0" w:space="0" w:color="auto"/>
                                                    <w:left w:val="none" w:sz="0" w:space="0" w:color="auto"/>
                                                    <w:bottom w:val="none" w:sz="0" w:space="0" w:color="auto"/>
                                                    <w:right w:val="none" w:sz="0" w:space="0" w:color="auto"/>
                                                  </w:divBdr>
                                                  <w:divsChild>
                                                    <w:div w:id="1827745643">
                                                      <w:marLeft w:val="0"/>
                                                      <w:marRight w:val="0"/>
                                                      <w:marTop w:val="0"/>
                                                      <w:marBottom w:val="0"/>
                                                      <w:divBdr>
                                                        <w:top w:val="none" w:sz="0" w:space="0" w:color="auto"/>
                                                        <w:left w:val="none" w:sz="0" w:space="0" w:color="auto"/>
                                                        <w:bottom w:val="none" w:sz="0" w:space="0" w:color="auto"/>
                                                        <w:right w:val="none" w:sz="0" w:space="0" w:color="auto"/>
                                                      </w:divBdr>
                                                    </w:div>
                                                    <w:div w:id="761804748">
                                                      <w:marLeft w:val="0"/>
                                                      <w:marRight w:val="0"/>
                                                      <w:marTop w:val="0"/>
                                                      <w:marBottom w:val="0"/>
                                                      <w:divBdr>
                                                        <w:top w:val="none" w:sz="0" w:space="0" w:color="auto"/>
                                                        <w:left w:val="none" w:sz="0" w:space="0" w:color="auto"/>
                                                        <w:bottom w:val="none" w:sz="0" w:space="0" w:color="auto"/>
                                                        <w:right w:val="none" w:sz="0" w:space="0" w:color="auto"/>
                                                      </w:divBdr>
                                                      <w:divsChild>
                                                        <w:div w:id="2130279527">
                                                          <w:marLeft w:val="0"/>
                                                          <w:marRight w:val="0"/>
                                                          <w:marTop w:val="0"/>
                                                          <w:marBottom w:val="0"/>
                                                          <w:divBdr>
                                                            <w:top w:val="none" w:sz="0" w:space="0" w:color="auto"/>
                                                            <w:left w:val="none" w:sz="0" w:space="0" w:color="auto"/>
                                                            <w:bottom w:val="none" w:sz="0" w:space="0" w:color="auto"/>
                                                            <w:right w:val="none" w:sz="0" w:space="0" w:color="auto"/>
                                                          </w:divBdr>
                                                          <w:divsChild>
                                                            <w:div w:id="6729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9981">
                                                      <w:marLeft w:val="0"/>
                                                      <w:marRight w:val="0"/>
                                                      <w:marTop w:val="0"/>
                                                      <w:marBottom w:val="0"/>
                                                      <w:divBdr>
                                                        <w:top w:val="none" w:sz="0" w:space="0" w:color="auto"/>
                                                        <w:left w:val="none" w:sz="0" w:space="0" w:color="auto"/>
                                                        <w:bottom w:val="none" w:sz="0" w:space="0" w:color="auto"/>
                                                        <w:right w:val="none" w:sz="0" w:space="0" w:color="auto"/>
                                                      </w:divBdr>
                                                      <w:divsChild>
                                                        <w:div w:id="61761550">
                                                          <w:marLeft w:val="0"/>
                                                          <w:marRight w:val="0"/>
                                                          <w:marTop w:val="0"/>
                                                          <w:marBottom w:val="0"/>
                                                          <w:divBdr>
                                                            <w:top w:val="none" w:sz="0" w:space="0" w:color="auto"/>
                                                            <w:left w:val="none" w:sz="0" w:space="0" w:color="auto"/>
                                                            <w:bottom w:val="none" w:sz="0" w:space="0" w:color="auto"/>
                                                            <w:right w:val="none" w:sz="0" w:space="0" w:color="auto"/>
                                                          </w:divBdr>
                                                          <w:divsChild>
                                                            <w:div w:id="3524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ytanzuhe3teltqmfyc4mzxgq2tmnbyh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A5820-515E-453A-8705-23DACAB0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1596</Words>
  <Characters>9577</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Koleński</dc:creator>
  <cp:keywords/>
  <dc:description/>
  <cp:lastModifiedBy>Dorota Bujak</cp:lastModifiedBy>
  <cp:revision>2</cp:revision>
  <cp:lastPrinted>2019-06-03T08:03:00Z</cp:lastPrinted>
  <dcterms:created xsi:type="dcterms:W3CDTF">2019-10-15T08:21:00Z</dcterms:created>
  <dcterms:modified xsi:type="dcterms:W3CDTF">2019-10-15T08:21:00Z</dcterms:modified>
</cp:coreProperties>
</file>