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51E3B5" w14:textId="3928CE3F" w:rsidR="004B0843" w:rsidRDefault="004B0843" w:rsidP="004B0843">
      <w:pPr>
        <w:pStyle w:val="Domylne"/>
        <w:spacing w:before="0" w:line="276" w:lineRule="auto"/>
        <w:jc w:val="center"/>
        <w:rPr>
          <w:rFonts w:ascii="Times New Roman" w:hAnsi="Times New Roman" w:cs="Times New Roman"/>
          <w:b/>
          <w:bCs/>
        </w:rPr>
      </w:pPr>
      <w:r>
        <w:rPr>
          <w:rFonts w:ascii="Times New Roman" w:hAnsi="Times New Roman" w:cs="Times New Roman"/>
          <w:b/>
          <w:noProof/>
          <w:lang w:val="pl-PL"/>
          <w14:textOutline w14:w="0" w14:cap="rnd" w14:cmpd="sng" w14:algn="ctr">
            <w14:noFill/>
            <w14:prstDash w14:val="solid"/>
            <w14:bevel/>
          </w14:textOutline>
        </w:rPr>
        <w:drawing>
          <wp:inline distT="0" distB="0" distL="0" distR="0" wp14:anchorId="2EBFFAA3" wp14:editId="2C97085E">
            <wp:extent cx="2406650" cy="17018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06650" cy="1701800"/>
                    </a:xfrm>
                    <a:prstGeom prst="rect">
                      <a:avLst/>
                    </a:prstGeom>
                    <a:noFill/>
                    <a:ln>
                      <a:noFill/>
                    </a:ln>
                  </pic:spPr>
                </pic:pic>
              </a:graphicData>
            </a:graphic>
          </wp:inline>
        </w:drawing>
      </w:r>
      <w:r>
        <w:rPr>
          <w:noProof/>
          <w:lang w:val="pl-PL"/>
          <w14:textOutline w14:w="0" w14:cap="rnd" w14:cmpd="sng" w14:algn="ctr">
            <w14:noFill/>
            <w14:prstDash w14:val="solid"/>
            <w14:bevel/>
          </w14:textOutline>
        </w:rPr>
        <w:drawing>
          <wp:inline distT="0" distB="0" distL="0" distR="0" wp14:anchorId="15FF043A" wp14:editId="75AA30DD">
            <wp:extent cx="3022600" cy="1701800"/>
            <wp:effectExtent l="0" t="0" r="6350" b="0"/>
            <wp:docPr id="1" name="Obraz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22600" cy="1701800"/>
                    </a:xfrm>
                    <a:prstGeom prst="rect">
                      <a:avLst/>
                    </a:prstGeom>
                    <a:noFill/>
                    <a:ln>
                      <a:noFill/>
                    </a:ln>
                  </pic:spPr>
                </pic:pic>
              </a:graphicData>
            </a:graphic>
          </wp:inline>
        </w:drawing>
      </w:r>
    </w:p>
    <w:p w14:paraId="2B73877F" w14:textId="4202A71E" w:rsidR="00F42CFE" w:rsidRDefault="00F42CFE" w:rsidP="00F42CFE">
      <w:pPr>
        <w:spacing w:after="12"/>
        <w:rPr>
          <w:i/>
          <w:color w:val="2E74B5" w:themeColor="accent1" w:themeShade="BF"/>
          <w:sz w:val="24"/>
          <w:szCs w:val="24"/>
          <w:lang w:val="en-US"/>
        </w:rPr>
      </w:pPr>
    </w:p>
    <w:p w14:paraId="5208CA71" w14:textId="77777777" w:rsidR="00F42CFE" w:rsidRDefault="00F42CFE" w:rsidP="00F42CFE">
      <w:pPr>
        <w:spacing w:after="12"/>
        <w:rPr>
          <w:i/>
          <w:color w:val="2E74B5" w:themeColor="accent1" w:themeShade="BF"/>
          <w:sz w:val="24"/>
          <w:szCs w:val="24"/>
          <w:lang w:val="en-US"/>
        </w:rPr>
      </w:pPr>
    </w:p>
    <w:p w14:paraId="57AED0FC" w14:textId="2E3A6E25" w:rsidR="00F42CFE" w:rsidRPr="00F42CFE" w:rsidRDefault="00F42CFE" w:rsidP="00F42CFE">
      <w:pPr>
        <w:autoSpaceDE w:val="0"/>
        <w:autoSpaceDN w:val="0"/>
        <w:adjustRightInd w:val="0"/>
        <w:spacing w:after="12" w:line="276" w:lineRule="auto"/>
        <w:jc w:val="both"/>
        <w:rPr>
          <w:b/>
          <w:iCs/>
          <w:sz w:val="24"/>
          <w:szCs w:val="24"/>
          <w:lang w:val="en-US"/>
        </w:rPr>
      </w:pPr>
      <w:r w:rsidRPr="00F42CFE">
        <w:rPr>
          <w:b/>
          <w:iCs/>
          <w:sz w:val="24"/>
          <w:szCs w:val="24"/>
          <w:lang w:val="en-US"/>
        </w:rPr>
        <w:t xml:space="preserve">2020 Ministerial to Advance </w:t>
      </w:r>
      <w:r w:rsidR="00B86765">
        <w:rPr>
          <w:b/>
          <w:iCs/>
          <w:sz w:val="24"/>
          <w:szCs w:val="24"/>
          <w:lang w:val="en-US"/>
        </w:rPr>
        <w:t xml:space="preserve">Freedom of Religion </w:t>
      </w:r>
      <w:r w:rsidRPr="00F42CFE">
        <w:rPr>
          <w:b/>
          <w:iCs/>
          <w:sz w:val="24"/>
          <w:szCs w:val="24"/>
          <w:lang w:val="en-US"/>
        </w:rPr>
        <w:t>or Belief</w:t>
      </w:r>
    </w:p>
    <w:p w14:paraId="68943FF7" w14:textId="77777777" w:rsidR="00F42CFE" w:rsidRDefault="00F42CFE" w:rsidP="00F42CFE">
      <w:pPr>
        <w:autoSpaceDE w:val="0"/>
        <w:autoSpaceDN w:val="0"/>
        <w:adjustRightInd w:val="0"/>
        <w:spacing w:after="12" w:line="276" w:lineRule="auto"/>
        <w:jc w:val="both"/>
        <w:rPr>
          <w:iCs/>
          <w:sz w:val="24"/>
          <w:szCs w:val="24"/>
          <w:lang w:val="en-US"/>
        </w:rPr>
      </w:pPr>
      <w:r w:rsidRPr="00F42CFE">
        <w:rPr>
          <w:iCs/>
          <w:sz w:val="24"/>
          <w:szCs w:val="24"/>
          <w:lang w:val="en-US"/>
        </w:rPr>
        <w:t>Warsaw, November 16–17, 2020</w:t>
      </w:r>
    </w:p>
    <w:p w14:paraId="343530FF" w14:textId="77777777" w:rsidR="00B86765" w:rsidRPr="005C671C" w:rsidRDefault="00B86765" w:rsidP="00B86765">
      <w:pPr>
        <w:autoSpaceDE w:val="0"/>
        <w:autoSpaceDN w:val="0"/>
        <w:adjustRightInd w:val="0"/>
        <w:spacing w:after="0"/>
        <w:jc w:val="both"/>
        <w:rPr>
          <w:i/>
          <w:iCs/>
          <w:sz w:val="24"/>
          <w:szCs w:val="24"/>
          <w:lang w:val="en-US"/>
        </w:rPr>
      </w:pPr>
      <w:r w:rsidRPr="005C671C">
        <w:rPr>
          <w:i/>
          <w:iCs/>
          <w:sz w:val="24"/>
          <w:szCs w:val="24"/>
          <w:lang w:val="en-US"/>
        </w:rPr>
        <w:t>Statement of Concern</w:t>
      </w:r>
    </w:p>
    <w:p w14:paraId="21F2005A" w14:textId="6D3FE870" w:rsidR="00F42CFE" w:rsidRPr="00F42CFE" w:rsidRDefault="00F42CFE" w:rsidP="00F42CFE">
      <w:pPr>
        <w:autoSpaceDE w:val="0"/>
        <w:autoSpaceDN w:val="0"/>
        <w:adjustRightInd w:val="0"/>
        <w:spacing w:after="12" w:line="276" w:lineRule="auto"/>
        <w:jc w:val="both"/>
        <w:rPr>
          <w:i/>
          <w:iCs/>
          <w:sz w:val="24"/>
          <w:szCs w:val="24"/>
          <w:lang w:val="en-US"/>
        </w:rPr>
      </w:pPr>
    </w:p>
    <w:p w14:paraId="35575BC7" w14:textId="180F4F27" w:rsidR="003E56CC" w:rsidRDefault="003E56CC" w:rsidP="00A4349E">
      <w:pPr>
        <w:jc w:val="both"/>
        <w:rPr>
          <w:b/>
          <w:color w:val="2E74B5" w:themeColor="accent1" w:themeShade="BF"/>
          <w:sz w:val="36"/>
          <w:szCs w:val="36"/>
          <w:lang w:val="en-US"/>
        </w:rPr>
      </w:pPr>
      <w:r w:rsidRPr="00F42CFE">
        <w:rPr>
          <w:b/>
          <w:color w:val="2E74B5" w:themeColor="accent1" w:themeShade="BF"/>
          <w:sz w:val="36"/>
          <w:szCs w:val="36"/>
          <w:lang w:val="en-US"/>
        </w:rPr>
        <w:t>Statement on protection of minorities persecuted based on religion or belief</w:t>
      </w:r>
    </w:p>
    <w:p w14:paraId="1E5C5606" w14:textId="77777777" w:rsidR="00F42CFE" w:rsidRPr="00F42CFE" w:rsidRDefault="00F42CFE" w:rsidP="00F42CFE">
      <w:pPr>
        <w:rPr>
          <w:b/>
          <w:color w:val="2E74B5" w:themeColor="accent1" w:themeShade="BF"/>
          <w:sz w:val="24"/>
          <w:szCs w:val="24"/>
          <w:lang w:val="en-US"/>
        </w:rPr>
      </w:pPr>
    </w:p>
    <w:p w14:paraId="7368A7F3" w14:textId="4F65B14F" w:rsidR="00636504" w:rsidRPr="00636504" w:rsidRDefault="00636504" w:rsidP="00F42CFE">
      <w:pPr>
        <w:shd w:val="clear" w:color="auto" w:fill="FFFFFF" w:themeFill="background1"/>
        <w:spacing w:line="276" w:lineRule="auto"/>
        <w:jc w:val="both"/>
        <w:rPr>
          <w:rFonts w:ascii="Calibri" w:eastAsia="Calibri" w:hAnsi="Calibri" w:cs="Times New Roman"/>
          <w:sz w:val="24"/>
          <w:szCs w:val="24"/>
          <w:lang w:val="en" w:eastAsia="pl-PL"/>
        </w:rPr>
      </w:pPr>
      <w:r w:rsidRPr="1D00B420">
        <w:rPr>
          <w:rFonts w:ascii="Calibri" w:eastAsia="Calibri" w:hAnsi="Calibri" w:cs="Times New Roman"/>
          <w:sz w:val="24"/>
          <w:szCs w:val="24"/>
          <w:lang w:val="en-US" w:eastAsia="pl-PL"/>
        </w:rPr>
        <w:t xml:space="preserve">As representatives of the international community we strongly condemn all acts of </w:t>
      </w:r>
      <w:r w:rsidRPr="1D00B420">
        <w:rPr>
          <w:rFonts w:ascii="Calibri" w:eastAsia="Calibri" w:hAnsi="Calibri" w:cs="Times New Roman"/>
          <w:sz w:val="24"/>
          <w:szCs w:val="24"/>
          <w:lang w:val="en" w:eastAsia="pl-PL"/>
        </w:rPr>
        <w:t>violence based on religion or belief, intimidation and mistreatment of people belonging to religious minorit</w:t>
      </w:r>
      <w:r w:rsidR="39A78B5D" w:rsidRPr="1D00B420">
        <w:rPr>
          <w:rFonts w:ascii="Calibri" w:eastAsia="Calibri" w:hAnsi="Calibri" w:cs="Times New Roman"/>
          <w:sz w:val="24"/>
          <w:szCs w:val="24"/>
          <w:lang w:val="en" w:eastAsia="pl-PL"/>
        </w:rPr>
        <w:t>y</w:t>
      </w:r>
      <w:r w:rsidR="6D7ECD6D" w:rsidRPr="1D00B420">
        <w:rPr>
          <w:rFonts w:ascii="Calibri" w:eastAsia="Calibri" w:hAnsi="Calibri" w:cs="Times New Roman"/>
          <w:sz w:val="24"/>
          <w:szCs w:val="24"/>
          <w:lang w:val="en" w:eastAsia="pl-PL"/>
        </w:rPr>
        <w:t xml:space="preserve"> groups</w:t>
      </w:r>
      <w:r w:rsidRPr="1D00B420">
        <w:rPr>
          <w:rFonts w:ascii="Calibri" w:eastAsia="Calibri" w:hAnsi="Calibri" w:cs="Times New Roman"/>
          <w:sz w:val="24"/>
          <w:szCs w:val="24"/>
          <w:lang w:val="en" w:eastAsia="pl-PL"/>
        </w:rPr>
        <w:t xml:space="preserve"> wherever </w:t>
      </w:r>
      <w:r w:rsidR="7BB66B9B" w:rsidRPr="1D00B420">
        <w:rPr>
          <w:rFonts w:ascii="Calibri" w:eastAsia="Calibri" w:hAnsi="Calibri" w:cs="Times New Roman"/>
          <w:sz w:val="24"/>
          <w:szCs w:val="24"/>
          <w:lang w:val="en" w:eastAsia="pl-PL"/>
        </w:rPr>
        <w:t xml:space="preserve">and </w:t>
      </w:r>
      <w:r w:rsidR="7BB66B9B" w:rsidRPr="1D00B420">
        <w:rPr>
          <w:rFonts w:ascii="Calibri" w:eastAsia="Calibri" w:hAnsi="Calibri" w:cs="Calibri"/>
          <w:sz w:val="24"/>
          <w:szCs w:val="24"/>
          <w:lang w:val="en"/>
        </w:rPr>
        <w:t xml:space="preserve">by whomever </w:t>
      </w:r>
      <w:r w:rsidRPr="1D00B420">
        <w:rPr>
          <w:rFonts w:ascii="Calibri" w:eastAsia="Calibri" w:hAnsi="Calibri" w:cs="Times New Roman"/>
          <w:sz w:val="24"/>
          <w:szCs w:val="24"/>
          <w:lang w:val="en" w:eastAsia="pl-PL"/>
        </w:rPr>
        <w:t>they are being perpetrated. We stand in solidarity with all victims and survivors of persecutions based or religion or belief. We commit ourselves to fulfill</w:t>
      </w:r>
      <w:r w:rsidR="00F94464" w:rsidRPr="1D00B420">
        <w:rPr>
          <w:rFonts w:ascii="Calibri" w:eastAsia="Calibri" w:hAnsi="Calibri" w:cs="Times New Roman"/>
          <w:sz w:val="24"/>
          <w:szCs w:val="24"/>
          <w:lang w:val="en" w:eastAsia="pl-PL"/>
        </w:rPr>
        <w:t>ing</w:t>
      </w:r>
      <w:r w:rsidRPr="1D00B420">
        <w:rPr>
          <w:rFonts w:ascii="Calibri" w:eastAsia="Calibri" w:hAnsi="Calibri" w:cs="Times New Roman"/>
          <w:sz w:val="24"/>
          <w:szCs w:val="24"/>
          <w:lang w:val="en" w:eastAsia="pl-PL"/>
        </w:rPr>
        <w:t xml:space="preserve"> obligations under the international human rights law to protect </w:t>
      </w:r>
      <w:r w:rsidRPr="1D00B420">
        <w:rPr>
          <w:rFonts w:ascii="Calibri" w:eastAsia="Calibri" w:hAnsi="Calibri" w:cs="Times New Roman"/>
          <w:sz w:val="24"/>
          <w:szCs w:val="24"/>
          <w:lang w:val="en-US" w:eastAsia="pl-PL"/>
        </w:rPr>
        <w:t xml:space="preserve">the right to freedom of thought, conscience, </w:t>
      </w:r>
      <w:r w:rsidR="34A2ACAE" w:rsidRPr="1D00B420">
        <w:rPr>
          <w:rFonts w:ascii="Calibri" w:eastAsia="Calibri" w:hAnsi="Calibri" w:cs="Times New Roman"/>
          <w:sz w:val="24"/>
          <w:szCs w:val="24"/>
          <w:lang w:val="en-US" w:eastAsia="pl-PL"/>
        </w:rPr>
        <w:t xml:space="preserve">and </w:t>
      </w:r>
      <w:r w:rsidRPr="1D00B420">
        <w:rPr>
          <w:rFonts w:ascii="Calibri" w:eastAsia="Calibri" w:hAnsi="Calibri" w:cs="Times New Roman"/>
          <w:sz w:val="24"/>
          <w:szCs w:val="24"/>
          <w:lang w:val="en-US" w:eastAsia="pl-PL"/>
        </w:rPr>
        <w:t xml:space="preserve">religion, which is an inalienable right of every human being. </w:t>
      </w:r>
    </w:p>
    <w:p w14:paraId="10FFFA22" w14:textId="5C0F9442" w:rsidR="00636504" w:rsidRDefault="00636504" w:rsidP="00F42CFE">
      <w:pPr>
        <w:shd w:val="clear" w:color="auto" w:fill="FFFFFF" w:themeFill="background1"/>
        <w:spacing w:line="276" w:lineRule="auto"/>
        <w:jc w:val="both"/>
        <w:rPr>
          <w:rFonts w:ascii="Calibri" w:eastAsia="Calibri" w:hAnsi="Calibri" w:cs="Times New Roman"/>
          <w:sz w:val="24"/>
          <w:szCs w:val="24"/>
          <w:lang w:val="en-US"/>
        </w:rPr>
      </w:pPr>
      <w:r w:rsidRPr="2247430B">
        <w:rPr>
          <w:rFonts w:ascii="Calibri" w:eastAsia="Calibri" w:hAnsi="Calibri" w:cs="Times New Roman"/>
          <w:sz w:val="24"/>
          <w:szCs w:val="24"/>
          <w:lang w:val="en"/>
        </w:rPr>
        <w:t xml:space="preserve">Alarming reports, as well as testimonies of survivors of violence, indicate that the scale of religious persecutions is on the rise. We are witnessing attacks on innocent people in places of religious worship in different parts of the world. We are concerned that negative stereotyping, stigmatization, hate speech, intolerance and communal violence based on religion or belief has grown in recent years. </w:t>
      </w:r>
      <w:r w:rsidRPr="2247430B">
        <w:rPr>
          <w:rFonts w:ascii="Calibri" w:eastAsia="Calibri" w:hAnsi="Calibri" w:cs="Times New Roman"/>
          <w:sz w:val="24"/>
          <w:szCs w:val="24"/>
          <w:lang w:val="en-US"/>
        </w:rPr>
        <w:t xml:space="preserve">While </w:t>
      </w:r>
      <w:r w:rsidR="4102E72A" w:rsidRPr="2247430B">
        <w:rPr>
          <w:rFonts w:ascii="Calibri" w:eastAsia="Calibri" w:hAnsi="Calibri" w:cs="Times New Roman"/>
          <w:sz w:val="24"/>
          <w:szCs w:val="24"/>
          <w:lang w:val="en-US"/>
        </w:rPr>
        <w:t>the presence of such conditions</w:t>
      </w:r>
      <w:r w:rsidR="00F42CFE" w:rsidRPr="2247430B">
        <w:rPr>
          <w:rFonts w:ascii="Calibri" w:eastAsia="Calibri" w:hAnsi="Calibri" w:cs="Times New Roman"/>
          <w:sz w:val="24"/>
          <w:szCs w:val="24"/>
          <w:lang w:val="en-US"/>
        </w:rPr>
        <w:t xml:space="preserve"> </w:t>
      </w:r>
      <w:r w:rsidR="1133D527" w:rsidRPr="2247430B">
        <w:rPr>
          <w:rFonts w:ascii="Calibri" w:eastAsia="Calibri" w:hAnsi="Calibri" w:cs="Times New Roman"/>
          <w:sz w:val="24"/>
          <w:szCs w:val="24"/>
          <w:lang w:val="en-US"/>
        </w:rPr>
        <w:t xml:space="preserve">can </w:t>
      </w:r>
      <w:r w:rsidRPr="2247430B">
        <w:rPr>
          <w:rFonts w:ascii="Calibri" w:eastAsia="Calibri" w:hAnsi="Calibri" w:cs="Times New Roman"/>
          <w:sz w:val="24"/>
          <w:szCs w:val="24"/>
          <w:lang w:val="en-US"/>
        </w:rPr>
        <w:t xml:space="preserve">constitute early indicators of potential violence and conflict, they also </w:t>
      </w:r>
      <w:r w:rsidR="18BFDF7A" w:rsidRPr="2247430B">
        <w:rPr>
          <w:rFonts w:ascii="Calibri" w:eastAsia="Calibri" w:hAnsi="Calibri" w:cs="Times New Roman"/>
          <w:sz w:val="24"/>
          <w:szCs w:val="24"/>
          <w:lang w:val="en-US"/>
        </w:rPr>
        <w:t xml:space="preserve">can </w:t>
      </w:r>
      <w:r w:rsidRPr="2247430B">
        <w:rPr>
          <w:rFonts w:ascii="Calibri" w:eastAsia="Calibri" w:hAnsi="Calibri" w:cs="Times New Roman"/>
          <w:sz w:val="24"/>
          <w:szCs w:val="24"/>
          <w:lang w:val="en-US"/>
        </w:rPr>
        <w:t xml:space="preserve">leave individuals exposed and vulnerable. The effective protection of </w:t>
      </w:r>
      <w:r w:rsidR="3AEC4B2D" w:rsidRPr="2247430B">
        <w:rPr>
          <w:rFonts w:ascii="Calibri" w:eastAsia="Calibri" w:hAnsi="Calibri" w:cs="Times New Roman"/>
          <w:sz w:val="24"/>
          <w:szCs w:val="24"/>
          <w:lang w:val="en-US"/>
        </w:rPr>
        <w:t xml:space="preserve">members of </w:t>
      </w:r>
      <w:r w:rsidRPr="2247430B">
        <w:rPr>
          <w:rFonts w:ascii="Calibri" w:eastAsia="Calibri" w:hAnsi="Calibri" w:cs="Times New Roman"/>
          <w:sz w:val="24"/>
          <w:szCs w:val="24"/>
          <w:lang w:val="en-US"/>
        </w:rPr>
        <w:t>religious minorit</w:t>
      </w:r>
      <w:r w:rsidR="55629E06" w:rsidRPr="2247430B">
        <w:rPr>
          <w:rFonts w:ascii="Calibri" w:eastAsia="Calibri" w:hAnsi="Calibri" w:cs="Times New Roman"/>
          <w:sz w:val="24"/>
          <w:szCs w:val="24"/>
          <w:lang w:val="en-US"/>
        </w:rPr>
        <w:t>y</w:t>
      </w:r>
      <w:r w:rsidRPr="2247430B">
        <w:rPr>
          <w:rFonts w:ascii="Calibri" w:eastAsia="Calibri" w:hAnsi="Calibri" w:cs="Times New Roman"/>
          <w:sz w:val="24"/>
          <w:szCs w:val="24"/>
          <w:lang w:val="en-US"/>
        </w:rPr>
        <w:t xml:space="preserve"> </w:t>
      </w:r>
      <w:r w:rsidR="4A9E169F" w:rsidRPr="2247430B">
        <w:rPr>
          <w:rFonts w:ascii="Calibri" w:eastAsia="Calibri" w:hAnsi="Calibri" w:cs="Times New Roman"/>
          <w:sz w:val="24"/>
          <w:szCs w:val="24"/>
          <w:lang w:val="en-US"/>
        </w:rPr>
        <w:t xml:space="preserve">groups </w:t>
      </w:r>
      <w:r w:rsidRPr="2247430B">
        <w:rPr>
          <w:rFonts w:ascii="Calibri" w:eastAsia="Calibri" w:hAnsi="Calibri" w:cs="Times New Roman"/>
          <w:sz w:val="24"/>
          <w:szCs w:val="24"/>
          <w:lang w:val="en-US"/>
        </w:rPr>
        <w:t xml:space="preserve">is one of the essential issues for the maintenance of peace and sustainable development. </w:t>
      </w:r>
    </w:p>
    <w:p w14:paraId="5CB798D1" w14:textId="77777777" w:rsidR="00F42CFE" w:rsidRPr="00636504" w:rsidRDefault="00F42CFE" w:rsidP="00F42CFE">
      <w:pPr>
        <w:shd w:val="clear" w:color="auto" w:fill="FFFFFF" w:themeFill="background1"/>
        <w:spacing w:line="276" w:lineRule="auto"/>
        <w:jc w:val="both"/>
        <w:rPr>
          <w:rFonts w:ascii="Calibri" w:eastAsia="Calibri" w:hAnsi="Calibri" w:cs="Times New Roman"/>
          <w:sz w:val="24"/>
          <w:szCs w:val="24"/>
          <w:lang w:val="en-US"/>
        </w:rPr>
      </w:pPr>
    </w:p>
    <w:p w14:paraId="472BB0B6" w14:textId="72B50D13" w:rsidR="00636504" w:rsidRDefault="00636504" w:rsidP="00F42CFE">
      <w:pPr>
        <w:shd w:val="clear" w:color="auto" w:fill="FFFFFF" w:themeFill="background1"/>
        <w:spacing w:line="276" w:lineRule="auto"/>
        <w:jc w:val="both"/>
        <w:rPr>
          <w:rFonts w:ascii="Calibri" w:eastAsia="Calibri" w:hAnsi="Calibri" w:cs="Times New Roman"/>
          <w:b/>
          <w:sz w:val="24"/>
          <w:szCs w:val="24"/>
          <w:lang w:val="en-US"/>
        </w:rPr>
      </w:pPr>
      <w:r w:rsidRPr="00F42CFE">
        <w:rPr>
          <w:rFonts w:ascii="Calibri" w:eastAsia="Calibri" w:hAnsi="Calibri" w:cs="Times New Roman"/>
          <w:b/>
          <w:sz w:val="24"/>
          <w:szCs w:val="24"/>
          <w:lang w:val="en-US"/>
        </w:rPr>
        <w:t>Therefore</w:t>
      </w:r>
      <w:r w:rsidR="00227B92">
        <w:rPr>
          <w:rFonts w:ascii="Calibri" w:eastAsia="Calibri" w:hAnsi="Calibri" w:cs="Times New Roman"/>
          <w:b/>
          <w:sz w:val="24"/>
          <w:szCs w:val="24"/>
          <w:lang w:val="en-US"/>
        </w:rPr>
        <w:t>,</w:t>
      </w:r>
      <w:r w:rsidRPr="00F42CFE">
        <w:rPr>
          <w:rFonts w:ascii="Calibri" w:eastAsia="Calibri" w:hAnsi="Calibri" w:cs="Times New Roman"/>
          <w:b/>
          <w:sz w:val="24"/>
          <w:szCs w:val="24"/>
          <w:lang w:val="en-US"/>
        </w:rPr>
        <w:t xml:space="preserve"> we commit to work collectively to enhance the protection of </w:t>
      </w:r>
      <w:r w:rsidR="2040D1F3" w:rsidRPr="00F42CFE">
        <w:rPr>
          <w:rFonts w:ascii="Calibri" w:eastAsia="Calibri" w:hAnsi="Calibri" w:cs="Times New Roman"/>
          <w:b/>
          <w:sz w:val="24"/>
          <w:szCs w:val="24"/>
          <w:lang w:val="en-US"/>
        </w:rPr>
        <w:t xml:space="preserve">members of </w:t>
      </w:r>
      <w:r w:rsidRPr="00F42CFE">
        <w:rPr>
          <w:rFonts w:ascii="Calibri" w:eastAsia="Calibri" w:hAnsi="Calibri" w:cs="Times New Roman"/>
          <w:b/>
          <w:sz w:val="24"/>
          <w:szCs w:val="24"/>
          <w:lang w:val="en-US"/>
        </w:rPr>
        <w:t>persecuted minorit</w:t>
      </w:r>
      <w:r w:rsidR="0535C7FC" w:rsidRPr="00F42CFE">
        <w:rPr>
          <w:rFonts w:ascii="Calibri" w:eastAsia="Calibri" w:hAnsi="Calibri" w:cs="Times New Roman"/>
          <w:b/>
          <w:sz w:val="24"/>
          <w:szCs w:val="24"/>
          <w:lang w:val="en-US"/>
        </w:rPr>
        <w:t>y groups</w:t>
      </w:r>
      <w:r w:rsidRPr="00F42CFE">
        <w:rPr>
          <w:rFonts w:ascii="Calibri" w:eastAsia="Calibri" w:hAnsi="Calibri" w:cs="Times New Roman"/>
          <w:b/>
          <w:sz w:val="24"/>
          <w:szCs w:val="24"/>
          <w:lang w:val="en-US"/>
        </w:rPr>
        <w:t xml:space="preserve"> by the following actions: </w:t>
      </w:r>
    </w:p>
    <w:p w14:paraId="521A11D9" w14:textId="61BE5E92" w:rsidR="00A1444D" w:rsidRPr="00A1444D" w:rsidRDefault="00B86765" w:rsidP="00A1444D">
      <w:pPr>
        <w:numPr>
          <w:ilvl w:val="0"/>
          <w:numId w:val="7"/>
        </w:numPr>
        <w:shd w:val="clear" w:color="auto" w:fill="FFFFFF"/>
        <w:spacing w:line="276" w:lineRule="auto"/>
        <w:ind w:left="0" w:hanging="357"/>
        <w:contextualSpacing/>
        <w:jc w:val="both"/>
        <w:rPr>
          <w:rFonts w:ascii="Calibri" w:eastAsia="Calibri" w:hAnsi="Calibri" w:cs="Times New Roman"/>
          <w:sz w:val="24"/>
          <w:szCs w:val="24"/>
          <w:lang w:val="en-US"/>
        </w:rPr>
      </w:pPr>
      <w:r>
        <w:rPr>
          <w:rFonts w:ascii="Calibri" w:eastAsia="Calibri" w:hAnsi="Calibri" w:cs="Times New Roman"/>
          <w:sz w:val="24"/>
          <w:szCs w:val="24"/>
          <w:lang w:val="en-US"/>
        </w:rPr>
        <w:t>Promoting:</w:t>
      </w:r>
      <w:r w:rsidR="00636504" w:rsidRPr="00636504">
        <w:rPr>
          <w:rFonts w:ascii="Calibri" w:eastAsia="Calibri" w:hAnsi="Calibri" w:cs="Times New Roman"/>
          <w:sz w:val="24"/>
          <w:szCs w:val="24"/>
          <w:lang w:val="en-US"/>
        </w:rPr>
        <w:t xml:space="preserve"> to create </w:t>
      </w:r>
      <w:r w:rsidR="00F94464">
        <w:rPr>
          <w:rFonts w:ascii="Calibri" w:eastAsia="Calibri" w:hAnsi="Calibri" w:cs="Times New Roman"/>
          <w:sz w:val="24"/>
          <w:szCs w:val="24"/>
          <w:lang w:val="en-US"/>
        </w:rPr>
        <w:t>a</w:t>
      </w:r>
      <w:r w:rsidR="00636504" w:rsidRPr="00636504">
        <w:rPr>
          <w:rFonts w:ascii="Calibri" w:eastAsia="Calibri" w:hAnsi="Calibri" w:cs="Times New Roman"/>
          <w:sz w:val="24"/>
          <w:szCs w:val="24"/>
          <w:lang w:val="en-US"/>
        </w:rPr>
        <w:t xml:space="preserve"> favorable environment for fr</w:t>
      </w:r>
      <w:r>
        <w:rPr>
          <w:rFonts w:ascii="Calibri" w:eastAsia="Calibri" w:hAnsi="Calibri" w:cs="Times New Roman"/>
          <w:sz w:val="24"/>
          <w:szCs w:val="24"/>
          <w:lang w:val="en-US"/>
        </w:rPr>
        <w:t>eedom of religion or belief by </w:t>
      </w:r>
      <w:r w:rsidR="00636504" w:rsidRPr="00636504">
        <w:rPr>
          <w:rFonts w:ascii="Calibri" w:eastAsia="Calibri" w:hAnsi="Calibri" w:cs="Times New Roman"/>
          <w:sz w:val="24"/>
          <w:szCs w:val="24"/>
          <w:lang w:val="en-US"/>
        </w:rPr>
        <w:t>fostering tolerance and respect for religious and cultural diver</w:t>
      </w:r>
      <w:r w:rsidR="00A1444D">
        <w:rPr>
          <w:rFonts w:ascii="Calibri" w:eastAsia="Calibri" w:hAnsi="Calibri" w:cs="Times New Roman"/>
          <w:sz w:val="24"/>
          <w:szCs w:val="24"/>
          <w:lang w:val="en-US"/>
        </w:rPr>
        <w:t>sity within and among societies;</w:t>
      </w:r>
    </w:p>
    <w:p w14:paraId="5D1538C6" w14:textId="4252DF93" w:rsidR="00636504" w:rsidRPr="00636504" w:rsidRDefault="00636504" w:rsidP="00F42CFE">
      <w:pPr>
        <w:numPr>
          <w:ilvl w:val="0"/>
          <w:numId w:val="7"/>
        </w:numPr>
        <w:shd w:val="clear" w:color="auto" w:fill="FFFFFF"/>
        <w:spacing w:after="12" w:line="276" w:lineRule="auto"/>
        <w:ind w:left="0"/>
        <w:contextualSpacing/>
        <w:jc w:val="both"/>
        <w:rPr>
          <w:rFonts w:ascii="Calibri" w:eastAsia="Calibri" w:hAnsi="Calibri" w:cs="Times New Roman"/>
          <w:sz w:val="24"/>
          <w:szCs w:val="24"/>
          <w:lang w:val="en-US"/>
        </w:rPr>
      </w:pPr>
      <w:r w:rsidRPr="00636504">
        <w:rPr>
          <w:rFonts w:ascii="Calibri" w:eastAsia="Calibri" w:hAnsi="Calibri" w:cs="Times New Roman"/>
          <w:sz w:val="24"/>
          <w:szCs w:val="24"/>
          <w:lang w:val="en-US"/>
        </w:rPr>
        <w:lastRenderedPageBreak/>
        <w:t xml:space="preserve">Monitoring and reporting: to support data collection on the situation of freedom of religion or belief around the world, including the initiatives dedicated to </w:t>
      </w:r>
      <w:r w:rsidR="00227B92" w:rsidRPr="00636504">
        <w:rPr>
          <w:rFonts w:ascii="Calibri" w:eastAsia="Calibri" w:hAnsi="Calibri" w:cs="Times New Roman"/>
          <w:sz w:val="24"/>
          <w:szCs w:val="24"/>
          <w:lang w:val="en-US"/>
        </w:rPr>
        <w:t>providing</w:t>
      </w:r>
      <w:r w:rsidRPr="00636504">
        <w:rPr>
          <w:rFonts w:ascii="Calibri" w:eastAsia="Calibri" w:hAnsi="Calibri" w:cs="Times New Roman"/>
          <w:sz w:val="24"/>
          <w:szCs w:val="24"/>
          <w:lang w:val="en-US"/>
        </w:rPr>
        <w:t xml:space="preserve"> information on this issue, improve the exchange of information about the situation of religious minorities;</w:t>
      </w:r>
    </w:p>
    <w:p w14:paraId="122FE3EA" w14:textId="22EE1D9E" w:rsidR="00636504" w:rsidRPr="00636504" w:rsidRDefault="00F94464" w:rsidP="00F42CFE">
      <w:pPr>
        <w:numPr>
          <w:ilvl w:val="0"/>
          <w:numId w:val="7"/>
        </w:numPr>
        <w:shd w:val="clear" w:color="auto" w:fill="FFFFFF" w:themeFill="background1"/>
        <w:spacing w:after="12" w:line="276" w:lineRule="auto"/>
        <w:ind w:left="0"/>
        <w:contextualSpacing/>
        <w:jc w:val="both"/>
        <w:rPr>
          <w:rFonts w:ascii="Calibri" w:eastAsia="Calibri" w:hAnsi="Calibri" w:cs="Times New Roman"/>
          <w:sz w:val="24"/>
          <w:szCs w:val="24"/>
          <w:lang w:val="en-US"/>
        </w:rPr>
      </w:pPr>
      <w:r>
        <w:rPr>
          <w:rFonts w:ascii="Calibri" w:eastAsia="Calibri" w:hAnsi="Calibri" w:cs="Times New Roman"/>
          <w:sz w:val="24"/>
          <w:szCs w:val="24"/>
          <w:lang w:val="en-US"/>
        </w:rPr>
        <w:t>Sharing knowledge</w:t>
      </w:r>
      <w:r w:rsidR="00B86765">
        <w:rPr>
          <w:rFonts w:ascii="Calibri" w:eastAsia="Calibri" w:hAnsi="Calibri" w:cs="Times New Roman"/>
          <w:sz w:val="24"/>
          <w:szCs w:val="24"/>
          <w:lang w:val="en-US"/>
        </w:rPr>
        <w:t xml:space="preserve">: to bring </w:t>
      </w:r>
      <w:r w:rsidR="00636504" w:rsidRPr="4283116D">
        <w:rPr>
          <w:rFonts w:ascii="Calibri" w:eastAsia="Calibri" w:hAnsi="Calibri" w:cs="Times New Roman"/>
          <w:sz w:val="24"/>
          <w:szCs w:val="24"/>
          <w:lang w:val="en-US"/>
        </w:rPr>
        <w:t xml:space="preserve">national laws in line with international </w:t>
      </w:r>
      <w:r w:rsidR="7463E825" w:rsidRPr="4283116D">
        <w:rPr>
          <w:rFonts w:ascii="Calibri" w:eastAsia="Calibri" w:hAnsi="Calibri" w:cs="Times New Roman"/>
          <w:sz w:val="24"/>
          <w:szCs w:val="24"/>
          <w:lang w:val="en-US"/>
        </w:rPr>
        <w:t xml:space="preserve">human rights law </w:t>
      </w:r>
      <w:r w:rsidR="00636504" w:rsidRPr="4283116D">
        <w:rPr>
          <w:rFonts w:ascii="Calibri" w:eastAsia="Calibri" w:hAnsi="Calibri" w:cs="Times New Roman"/>
          <w:sz w:val="24"/>
          <w:szCs w:val="24"/>
          <w:lang w:val="en-US"/>
        </w:rPr>
        <w:t>protecting the right of religion or belief;</w:t>
      </w:r>
    </w:p>
    <w:p w14:paraId="524755A2" w14:textId="49023F92" w:rsidR="00636504" w:rsidRPr="00636504" w:rsidRDefault="00636504" w:rsidP="00F42CFE">
      <w:pPr>
        <w:numPr>
          <w:ilvl w:val="0"/>
          <w:numId w:val="7"/>
        </w:numPr>
        <w:shd w:val="clear" w:color="auto" w:fill="FFFFFF"/>
        <w:spacing w:after="12" w:line="276" w:lineRule="auto"/>
        <w:ind w:left="0"/>
        <w:contextualSpacing/>
        <w:jc w:val="both"/>
        <w:rPr>
          <w:rFonts w:ascii="Calibri" w:eastAsia="Calibri" w:hAnsi="Calibri" w:cs="Times New Roman"/>
          <w:sz w:val="24"/>
          <w:szCs w:val="24"/>
          <w:lang w:val="en-US"/>
        </w:rPr>
      </w:pPr>
      <w:r w:rsidRPr="00636504">
        <w:rPr>
          <w:rFonts w:ascii="Calibri" w:eastAsia="Calibri" w:hAnsi="Calibri" w:cs="Times New Roman"/>
          <w:sz w:val="24"/>
          <w:szCs w:val="24"/>
          <w:lang w:val="en-US"/>
        </w:rPr>
        <w:t>Defending: collectively and individually react</w:t>
      </w:r>
      <w:r w:rsidR="009E3407">
        <w:rPr>
          <w:rFonts w:ascii="Calibri" w:eastAsia="Calibri" w:hAnsi="Calibri" w:cs="Times New Roman"/>
          <w:sz w:val="24"/>
          <w:szCs w:val="24"/>
          <w:lang w:val="en-US"/>
        </w:rPr>
        <w:t>ing</w:t>
      </w:r>
      <w:r w:rsidRPr="00636504">
        <w:rPr>
          <w:rFonts w:ascii="Calibri" w:eastAsia="Calibri" w:hAnsi="Calibri" w:cs="Times New Roman"/>
          <w:sz w:val="24"/>
          <w:szCs w:val="24"/>
          <w:lang w:val="en-US"/>
        </w:rPr>
        <w:t xml:space="preserve"> to individual cases </w:t>
      </w:r>
      <w:r w:rsidR="009E3407">
        <w:rPr>
          <w:rFonts w:ascii="Calibri" w:eastAsia="Calibri" w:hAnsi="Calibri" w:cs="Times New Roman"/>
          <w:sz w:val="24"/>
          <w:szCs w:val="24"/>
          <w:lang w:val="en-US"/>
        </w:rPr>
        <w:t xml:space="preserve">of persecution </w:t>
      </w:r>
      <w:r w:rsidRPr="00636504">
        <w:rPr>
          <w:rFonts w:ascii="Calibri" w:eastAsia="Calibri" w:hAnsi="Calibri" w:cs="Times New Roman"/>
          <w:sz w:val="24"/>
          <w:szCs w:val="24"/>
          <w:lang w:val="en-US"/>
        </w:rPr>
        <w:t>using foreign policy tools;</w:t>
      </w:r>
    </w:p>
    <w:p w14:paraId="187CB144" w14:textId="0057ED63" w:rsidR="00A90BFF" w:rsidRDefault="00636504" w:rsidP="2DCA9A41">
      <w:pPr>
        <w:numPr>
          <w:ilvl w:val="0"/>
          <w:numId w:val="7"/>
        </w:numPr>
        <w:shd w:val="clear" w:color="auto" w:fill="FFFFFF" w:themeFill="background1"/>
        <w:spacing w:after="12" w:line="276" w:lineRule="auto"/>
        <w:ind w:left="0"/>
        <w:jc w:val="both"/>
        <w:rPr>
          <w:rFonts w:ascii="Calibri" w:eastAsia="Calibri" w:hAnsi="Calibri" w:cs="Times New Roman"/>
          <w:sz w:val="24"/>
          <w:szCs w:val="24"/>
          <w:lang w:val="en-US"/>
        </w:rPr>
      </w:pPr>
      <w:r w:rsidRPr="2DCA9A41">
        <w:rPr>
          <w:rFonts w:ascii="Calibri" w:eastAsia="Calibri" w:hAnsi="Calibri" w:cs="Times New Roman"/>
          <w:sz w:val="24"/>
          <w:szCs w:val="24"/>
          <w:lang w:val="en-US"/>
        </w:rPr>
        <w:t xml:space="preserve">Supporting: enhancing judicial institutions responsible for prosecution of those responsible for persecution. </w:t>
      </w:r>
    </w:p>
    <w:p w14:paraId="5DA91560" w14:textId="77777777" w:rsidR="009C3461" w:rsidRDefault="009C3461" w:rsidP="009C3461">
      <w:pPr>
        <w:shd w:val="clear" w:color="auto" w:fill="FFFFFF" w:themeFill="background1"/>
        <w:spacing w:after="12" w:line="276" w:lineRule="auto"/>
        <w:jc w:val="both"/>
        <w:rPr>
          <w:rFonts w:ascii="Calibri" w:eastAsia="Calibri" w:hAnsi="Calibri" w:cs="Times New Roman"/>
          <w:sz w:val="24"/>
          <w:szCs w:val="24"/>
          <w:lang w:val="en-US"/>
        </w:rPr>
      </w:pPr>
    </w:p>
    <w:p w14:paraId="3AA5E2BC" w14:textId="77777777" w:rsidR="009C3461" w:rsidRDefault="009C3461" w:rsidP="009C3461">
      <w:pPr>
        <w:shd w:val="clear" w:color="auto" w:fill="FFFFFF" w:themeFill="background1"/>
        <w:spacing w:after="120" w:line="276" w:lineRule="auto"/>
        <w:jc w:val="both"/>
        <w:rPr>
          <w:rFonts w:ascii="Calibri" w:eastAsia="Calibri" w:hAnsi="Calibri" w:cs="Times New Roman"/>
          <w:sz w:val="24"/>
          <w:szCs w:val="24"/>
          <w:lang w:val="en-US"/>
        </w:rPr>
      </w:pPr>
    </w:p>
    <w:p w14:paraId="31B6733C" w14:textId="3E63C2E2" w:rsidR="009C3461" w:rsidRPr="009C3461" w:rsidRDefault="009C3461" w:rsidP="009C3461">
      <w:pPr>
        <w:spacing w:after="120"/>
        <w:rPr>
          <w:sz w:val="24"/>
          <w:szCs w:val="24"/>
        </w:rPr>
      </w:pPr>
      <w:r>
        <w:rPr>
          <w:b/>
          <w:sz w:val="24"/>
          <w:szCs w:val="24"/>
        </w:rPr>
        <w:t>Co-</w:t>
      </w:r>
      <w:proofErr w:type="spellStart"/>
      <w:r>
        <w:rPr>
          <w:b/>
          <w:sz w:val="24"/>
          <w:szCs w:val="24"/>
        </w:rPr>
        <w:t>signatories</w:t>
      </w:r>
      <w:proofErr w:type="spellEnd"/>
      <w:r>
        <w:rPr>
          <w:b/>
          <w:sz w:val="24"/>
          <w:szCs w:val="24"/>
        </w:rPr>
        <w:t>:</w:t>
      </w:r>
    </w:p>
    <w:p w14:paraId="3F6F85C3" w14:textId="1FD4ADDF" w:rsidR="009C3461" w:rsidRPr="009C3461" w:rsidRDefault="009C3461" w:rsidP="009C3461">
      <w:pPr>
        <w:jc w:val="both"/>
        <w:rPr>
          <w:sz w:val="24"/>
          <w:szCs w:val="24"/>
          <w:lang w:val="en-US"/>
        </w:rPr>
      </w:pPr>
      <w:r w:rsidRPr="009C3461">
        <w:rPr>
          <w:sz w:val="24"/>
          <w:szCs w:val="24"/>
          <w:lang w:val="en-US"/>
        </w:rPr>
        <w:t xml:space="preserve">Australia, </w:t>
      </w:r>
      <w:r w:rsidRPr="009C3461">
        <w:rPr>
          <w:sz w:val="24"/>
          <w:szCs w:val="24"/>
          <w:lang w:val="en-US"/>
        </w:rPr>
        <w:t>Azerbaijan</w:t>
      </w:r>
      <w:r w:rsidRPr="009C3461">
        <w:rPr>
          <w:sz w:val="24"/>
          <w:szCs w:val="24"/>
          <w:lang w:val="en-US"/>
        </w:rPr>
        <w:t xml:space="preserve">, </w:t>
      </w:r>
      <w:r w:rsidRPr="009C3461">
        <w:rPr>
          <w:sz w:val="24"/>
          <w:szCs w:val="24"/>
          <w:lang w:val="en-US"/>
        </w:rPr>
        <w:t>Brazil</w:t>
      </w:r>
      <w:r w:rsidRPr="009C3461">
        <w:rPr>
          <w:sz w:val="24"/>
          <w:szCs w:val="24"/>
          <w:lang w:val="en-US"/>
        </w:rPr>
        <w:t xml:space="preserve">, </w:t>
      </w:r>
      <w:r w:rsidRPr="009C3461">
        <w:rPr>
          <w:sz w:val="24"/>
          <w:szCs w:val="24"/>
          <w:lang w:val="en-US"/>
        </w:rPr>
        <w:t>Canada, Croatia</w:t>
      </w:r>
      <w:r w:rsidRPr="009C3461">
        <w:rPr>
          <w:sz w:val="24"/>
          <w:szCs w:val="24"/>
          <w:lang w:val="en-US"/>
        </w:rPr>
        <w:t xml:space="preserve">, </w:t>
      </w:r>
      <w:r w:rsidRPr="009C3461">
        <w:rPr>
          <w:sz w:val="24"/>
          <w:szCs w:val="24"/>
          <w:lang w:val="en-US"/>
        </w:rPr>
        <w:t>Demark</w:t>
      </w:r>
      <w:r w:rsidRPr="009C3461">
        <w:rPr>
          <w:sz w:val="24"/>
          <w:szCs w:val="24"/>
          <w:lang w:val="en-US"/>
        </w:rPr>
        <w:t xml:space="preserve">, </w:t>
      </w:r>
      <w:r w:rsidRPr="009C3461">
        <w:rPr>
          <w:sz w:val="24"/>
          <w:szCs w:val="24"/>
          <w:lang w:val="en-US"/>
        </w:rPr>
        <w:t>Georgia</w:t>
      </w:r>
      <w:r w:rsidRPr="009C3461">
        <w:rPr>
          <w:sz w:val="24"/>
          <w:szCs w:val="24"/>
          <w:lang w:val="en-US"/>
        </w:rPr>
        <w:t xml:space="preserve">, </w:t>
      </w:r>
      <w:r>
        <w:rPr>
          <w:sz w:val="24"/>
          <w:szCs w:val="24"/>
          <w:lang w:val="en-US"/>
        </w:rPr>
        <w:t xml:space="preserve">Hungary, </w:t>
      </w:r>
      <w:r w:rsidRPr="009C3461">
        <w:rPr>
          <w:sz w:val="24"/>
          <w:szCs w:val="24"/>
          <w:lang w:val="en-US"/>
        </w:rPr>
        <w:t xml:space="preserve">Iceland, </w:t>
      </w:r>
      <w:r>
        <w:rPr>
          <w:sz w:val="24"/>
          <w:szCs w:val="24"/>
          <w:lang w:val="en-US"/>
        </w:rPr>
        <w:t xml:space="preserve">Italy, </w:t>
      </w:r>
      <w:r w:rsidRPr="009C3461">
        <w:rPr>
          <w:sz w:val="24"/>
          <w:szCs w:val="24"/>
          <w:lang w:val="en-US"/>
        </w:rPr>
        <w:t>Japan</w:t>
      </w:r>
      <w:r w:rsidRPr="009C3461">
        <w:rPr>
          <w:sz w:val="24"/>
          <w:szCs w:val="24"/>
          <w:lang w:val="en-US"/>
        </w:rPr>
        <w:t xml:space="preserve">, </w:t>
      </w:r>
      <w:r w:rsidRPr="009C3461">
        <w:rPr>
          <w:sz w:val="24"/>
          <w:szCs w:val="24"/>
          <w:lang w:val="en-US"/>
        </w:rPr>
        <w:t>Kazakhstan, Kosov</w:t>
      </w:r>
      <w:r w:rsidRPr="009C3461">
        <w:rPr>
          <w:sz w:val="24"/>
          <w:szCs w:val="24"/>
          <w:lang w:val="en-US"/>
        </w:rPr>
        <w:t xml:space="preserve">o, Malta, </w:t>
      </w:r>
      <w:r w:rsidRPr="009C3461">
        <w:rPr>
          <w:sz w:val="24"/>
          <w:szCs w:val="24"/>
          <w:lang w:val="en-US"/>
        </w:rPr>
        <w:t xml:space="preserve">North </w:t>
      </w:r>
      <w:r w:rsidRPr="009C3461">
        <w:rPr>
          <w:sz w:val="24"/>
          <w:szCs w:val="24"/>
          <w:lang w:val="en-US"/>
        </w:rPr>
        <w:t>Macedonia</w:t>
      </w:r>
      <w:r w:rsidRPr="009C3461">
        <w:rPr>
          <w:sz w:val="24"/>
          <w:szCs w:val="24"/>
          <w:lang w:val="en-US"/>
        </w:rPr>
        <w:t>,</w:t>
      </w:r>
      <w:r w:rsidRPr="009C3461">
        <w:rPr>
          <w:sz w:val="24"/>
          <w:szCs w:val="24"/>
          <w:lang w:val="en-US"/>
        </w:rPr>
        <w:t xml:space="preserve"> </w:t>
      </w:r>
      <w:r w:rsidRPr="009C3461">
        <w:rPr>
          <w:sz w:val="24"/>
          <w:szCs w:val="24"/>
          <w:lang w:val="en-US"/>
        </w:rPr>
        <w:t>Norway, Poland</w:t>
      </w:r>
      <w:r w:rsidRPr="009C3461">
        <w:rPr>
          <w:sz w:val="24"/>
          <w:szCs w:val="24"/>
          <w:lang w:val="en-US"/>
        </w:rPr>
        <w:t xml:space="preserve">, </w:t>
      </w:r>
      <w:r w:rsidRPr="009C3461">
        <w:rPr>
          <w:sz w:val="24"/>
          <w:szCs w:val="24"/>
          <w:lang w:val="en-US"/>
        </w:rPr>
        <w:t>Slovakia, Togo, Tri</w:t>
      </w:r>
      <w:r w:rsidRPr="009C3461">
        <w:rPr>
          <w:sz w:val="24"/>
          <w:szCs w:val="24"/>
          <w:lang w:val="en-US"/>
        </w:rPr>
        <w:t xml:space="preserve">nidad </w:t>
      </w:r>
      <w:r w:rsidRPr="009C3461">
        <w:rPr>
          <w:sz w:val="24"/>
          <w:szCs w:val="24"/>
          <w:lang w:val="en-US"/>
        </w:rPr>
        <w:t>a</w:t>
      </w:r>
      <w:r w:rsidRPr="009C3461">
        <w:rPr>
          <w:sz w:val="24"/>
          <w:szCs w:val="24"/>
          <w:lang w:val="en-US"/>
        </w:rPr>
        <w:t>n</w:t>
      </w:r>
      <w:r w:rsidRPr="009C3461">
        <w:rPr>
          <w:sz w:val="24"/>
          <w:szCs w:val="24"/>
          <w:lang w:val="en-US"/>
        </w:rPr>
        <w:t>d Tobago, Ukraine</w:t>
      </w:r>
      <w:r w:rsidRPr="009C3461">
        <w:rPr>
          <w:sz w:val="24"/>
          <w:szCs w:val="24"/>
          <w:lang w:val="en-US"/>
        </w:rPr>
        <w:t>, U</w:t>
      </w:r>
      <w:r w:rsidRPr="009C3461">
        <w:rPr>
          <w:sz w:val="24"/>
          <w:szCs w:val="24"/>
          <w:lang w:val="en-US"/>
        </w:rPr>
        <w:t xml:space="preserve">nited Kingdom, United States of </w:t>
      </w:r>
      <w:r w:rsidRPr="009C3461">
        <w:rPr>
          <w:sz w:val="24"/>
          <w:szCs w:val="24"/>
          <w:lang w:val="en-US"/>
        </w:rPr>
        <w:t>A</w:t>
      </w:r>
      <w:r w:rsidRPr="009C3461">
        <w:rPr>
          <w:sz w:val="24"/>
          <w:szCs w:val="24"/>
          <w:lang w:val="en-US"/>
        </w:rPr>
        <w:t>merica</w:t>
      </w:r>
    </w:p>
    <w:p w14:paraId="08F81E7E" w14:textId="77777777" w:rsidR="009C3461" w:rsidRPr="009C3461" w:rsidRDefault="009C3461" w:rsidP="009C3461">
      <w:pPr>
        <w:shd w:val="clear" w:color="auto" w:fill="FFFFFF" w:themeFill="background1"/>
        <w:spacing w:after="12" w:line="276" w:lineRule="auto"/>
        <w:jc w:val="both"/>
        <w:rPr>
          <w:rFonts w:ascii="Calibri" w:eastAsia="Calibri" w:hAnsi="Calibri" w:cs="Times New Roman"/>
          <w:sz w:val="24"/>
          <w:szCs w:val="24"/>
          <w:lang w:val="en-US"/>
        </w:rPr>
      </w:pPr>
      <w:bookmarkStart w:id="0" w:name="_GoBack"/>
      <w:bookmarkEnd w:id="0"/>
    </w:p>
    <w:sectPr w:rsidR="009C3461" w:rsidRPr="009C3461">
      <w:pgSz w:w="11906" w:h="16838"/>
      <w:pgMar w:top="1417" w:right="1417" w:bottom="1417" w:left="1417"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204F9D" w14:textId="77777777" w:rsidR="00751DE4" w:rsidRDefault="00751DE4" w:rsidP="00E22D30">
      <w:pPr>
        <w:spacing w:after="0" w:line="240" w:lineRule="auto"/>
      </w:pPr>
      <w:r>
        <w:separator/>
      </w:r>
    </w:p>
  </w:endnote>
  <w:endnote w:type="continuationSeparator" w:id="0">
    <w:p w14:paraId="4C109F1C" w14:textId="77777777" w:rsidR="00751DE4" w:rsidRDefault="00751DE4" w:rsidP="00E22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9A1045" w14:textId="77777777" w:rsidR="00751DE4" w:rsidRDefault="00751DE4" w:rsidP="00E22D30">
      <w:pPr>
        <w:spacing w:after="0" w:line="240" w:lineRule="auto"/>
      </w:pPr>
      <w:r>
        <w:separator/>
      </w:r>
    </w:p>
  </w:footnote>
  <w:footnote w:type="continuationSeparator" w:id="0">
    <w:p w14:paraId="12E96343" w14:textId="77777777" w:rsidR="00751DE4" w:rsidRDefault="00751DE4" w:rsidP="00E22D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D3637"/>
    <w:multiLevelType w:val="hybridMultilevel"/>
    <w:tmpl w:val="2D00C8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4DA15C16"/>
    <w:multiLevelType w:val="hybridMultilevel"/>
    <w:tmpl w:val="789C5B3E"/>
    <w:lvl w:ilvl="0" w:tplc="0415000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60FC7296"/>
    <w:multiLevelType w:val="hybridMultilevel"/>
    <w:tmpl w:val="8AF44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DA2E25"/>
    <w:multiLevelType w:val="hybridMultilevel"/>
    <w:tmpl w:val="E3C21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8D5682"/>
    <w:multiLevelType w:val="hybridMultilevel"/>
    <w:tmpl w:val="6812E778"/>
    <w:lvl w:ilvl="0" w:tplc="4DD67D46">
      <w:numFmt w:val="bullet"/>
      <w:lvlText w:val="-"/>
      <w:lvlJc w:val="left"/>
      <w:pPr>
        <w:ind w:left="720" w:hanging="360"/>
      </w:pPr>
      <w:rPr>
        <w:rFonts w:ascii="Calibri" w:eastAsia="Calibri"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7FB81065"/>
    <w:multiLevelType w:val="hybridMultilevel"/>
    <w:tmpl w:val="EE1AFD14"/>
    <w:lvl w:ilvl="0" w:tplc="734808BA">
      <w:start w:val="1"/>
      <w:numFmt w:val="bullet"/>
      <w:pStyle w:val="Teza"/>
      <w:lvlText w:val=""/>
      <w:lvlJc w:val="left"/>
      <w:pPr>
        <w:ind w:left="652" w:hanging="360"/>
      </w:pPr>
      <w:rPr>
        <w:rFonts w:ascii="Symbol" w:hAnsi="Symbol" w:hint="default"/>
        <w:color w:val="auto"/>
      </w:rPr>
    </w:lvl>
    <w:lvl w:ilvl="1" w:tplc="04090003" w:tentative="1">
      <w:start w:val="1"/>
      <w:numFmt w:val="bullet"/>
      <w:lvlText w:val="o"/>
      <w:lvlJc w:val="left"/>
      <w:pPr>
        <w:ind w:left="1372" w:hanging="360"/>
      </w:pPr>
      <w:rPr>
        <w:rFonts w:ascii="Courier New" w:hAnsi="Courier New" w:cs="Courier New" w:hint="default"/>
      </w:rPr>
    </w:lvl>
    <w:lvl w:ilvl="2" w:tplc="04090005" w:tentative="1">
      <w:start w:val="1"/>
      <w:numFmt w:val="bullet"/>
      <w:lvlText w:val=""/>
      <w:lvlJc w:val="left"/>
      <w:pPr>
        <w:ind w:left="2092" w:hanging="360"/>
      </w:pPr>
      <w:rPr>
        <w:rFonts w:ascii="Wingdings" w:hAnsi="Wingdings" w:hint="default"/>
      </w:rPr>
    </w:lvl>
    <w:lvl w:ilvl="3" w:tplc="04090001" w:tentative="1">
      <w:start w:val="1"/>
      <w:numFmt w:val="bullet"/>
      <w:lvlText w:val=""/>
      <w:lvlJc w:val="left"/>
      <w:pPr>
        <w:ind w:left="2812" w:hanging="360"/>
      </w:pPr>
      <w:rPr>
        <w:rFonts w:ascii="Symbol" w:hAnsi="Symbol" w:hint="default"/>
      </w:rPr>
    </w:lvl>
    <w:lvl w:ilvl="4" w:tplc="04090003" w:tentative="1">
      <w:start w:val="1"/>
      <w:numFmt w:val="bullet"/>
      <w:lvlText w:val="o"/>
      <w:lvlJc w:val="left"/>
      <w:pPr>
        <w:ind w:left="3532" w:hanging="360"/>
      </w:pPr>
      <w:rPr>
        <w:rFonts w:ascii="Courier New" w:hAnsi="Courier New" w:cs="Courier New" w:hint="default"/>
      </w:rPr>
    </w:lvl>
    <w:lvl w:ilvl="5" w:tplc="04090005" w:tentative="1">
      <w:start w:val="1"/>
      <w:numFmt w:val="bullet"/>
      <w:lvlText w:val=""/>
      <w:lvlJc w:val="left"/>
      <w:pPr>
        <w:ind w:left="4252" w:hanging="360"/>
      </w:pPr>
      <w:rPr>
        <w:rFonts w:ascii="Wingdings" w:hAnsi="Wingdings" w:hint="default"/>
      </w:rPr>
    </w:lvl>
    <w:lvl w:ilvl="6" w:tplc="04090001" w:tentative="1">
      <w:start w:val="1"/>
      <w:numFmt w:val="bullet"/>
      <w:lvlText w:val=""/>
      <w:lvlJc w:val="left"/>
      <w:pPr>
        <w:ind w:left="4972" w:hanging="360"/>
      </w:pPr>
      <w:rPr>
        <w:rFonts w:ascii="Symbol" w:hAnsi="Symbol" w:hint="default"/>
      </w:rPr>
    </w:lvl>
    <w:lvl w:ilvl="7" w:tplc="04090003" w:tentative="1">
      <w:start w:val="1"/>
      <w:numFmt w:val="bullet"/>
      <w:lvlText w:val="o"/>
      <w:lvlJc w:val="left"/>
      <w:pPr>
        <w:ind w:left="5692" w:hanging="360"/>
      </w:pPr>
      <w:rPr>
        <w:rFonts w:ascii="Courier New" w:hAnsi="Courier New" w:cs="Courier New" w:hint="default"/>
      </w:rPr>
    </w:lvl>
    <w:lvl w:ilvl="8" w:tplc="04090005" w:tentative="1">
      <w:start w:val="1"/>
      <w:numFmt w:val="bullet"/>
      <w:lvlText w:val=""/>
      <w:lvlJc w:val="left"/>
      <w:pPr>
        <w:ind w:left="6412"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4"/>
  </w:num>
  <w:num w:numId="6">
    <w:abstractNumId w:val="4"/>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Walker, Duncan H">
    <w15:presenceInfo w15:providerId="AD" w15:userId="S::walkerdh3@state.gov::87915dc3-c1b4-44fc-82ca-596cd0fd1b9c"/>
  </w15:person>
  <w15:person w15:author="Samantha">
    <w15:presenceInfo w15:providerId="AD" w15:userId="S::LibratySA@state.gov::117dde88-d1e2-4215-9af8-8723e18bb7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802"/>
    <w:rsid w:val="00011865"/>
    <w:rsid w:val="00034D4A"/>
    <w:rsid w:val="000407BF"/>
    <w:rsid w:val="000B1E64"/>
    <w:rsid w:val="000C0276"/>
    <w:rsid w:val="0015726E"/>
    <w:rsid w:val="00167112"/>
    <w:rsid w:val="001A33C7"/>
    <w:rsid w:val="001D0BC4"/>
    <w:rsid w:val="001E03E3"/>
    <w:rsid w:val="001F7DA0"/>
    <w:rsid w:val="00227B92"/>
    <w:rsid w:val="002533F5"/>
    <w:rsid w:val="00277A92"/>
    <w:rsid w:val="00281D23"/>
    <w:rsid w:val="002B0A61"/>
    <w:rsid w:val="002F0917"/>
    <w:rsid w:val="00356802"/>
    <w:rsid w:val="00362C44"/>
    <w:rsid w:val="003745E1"/>
    <w:rsid w:val="0038035C"/>
    <w:rsid w:val="00390AE1"/>
    <w:rsid w:val="003D714E"/>
    <w:rsid w:val="003E56CC"/>
    <w:rsid w:val="004A4598"/>
    <w:rsid w:val="004B0843"/>
    <w:rsid w:val="004F35D9"/>
    <w:rsid w:val="00587CF1"/>
    <w:rsid w:val="005B31FB"/>
    <w:rsid w:val="0061263F"/>
    <w:rsid w:val="00636504"/>
    <w:rsid w:val="00690F6C"/>
    <w:rsid w:val="00751DE4"/>
    <w:rsid w:val="00764F7A"/>
    <w:rsid w:val="00855049"/>
    <w:rsid w:val="00860AC2"/>
    <w:rsid w:val="00887743"/>
    <w:rsid w:val="008930BF"/>
    <w:rsid w:val="008A786F"/>
    <w:rsid w:val="00913F5A"/>
    <w:rsid w:val="009142C3"/>
    <w:rsid w:val="00957213"/>
    <w:rsid w:val="00974C16"/>
    <w:rsid w:val="009C3461"/>
    <w:rsid w:val="009E3407"/>
    <w:rsid w:val="00A1444D"/>
    <w:rsid w:val="00A4349E"/>
    <w:rsid w:val="00A90BFF"/>
    <w:rsid w:val="00A911B2"/>
    <w:rsid w:val="00AB5A23"/>
    <w:rsid w:val="00B86765"/>
    <w:rsid w:val="00BD01CA"/>
    <w:rsid w:val="00BF7E8B"/>
    <w:rsid w:val="00C147A7"/>
    <w:rsid w:val="00C260CF"/>
    <w:rsid w:val="00C66AA1"/>
    <w:rsid w:val="00C90601"/>
    <w:rsid w:val="00CD2565"/>
    <w:rsid w:val="00D239F8"/>
    <w:rsid w:val="00D603A4"/>
    <w:rsid w:val="00D6558F"/>
    <w:rsid w:val="00D65A35"/>
    <w:rsid w:val="00D76466"/>
    <w:rsid w:val="00DA5912"/>
    <w:rsid w:val="00E22D30"/>
    <w:rsid w:val="00E47608"/>
    <w:rsid w:val="00E61B73"/>
    <w:rsid w:val="00EC2702"/>
    <w:rsid w:val="00EE0CE3"/>
    <w:rsid w:val="00EE7AA1"/>
    <w:rsid w:val="00F36DF9"/>
    <w:rsid w:val="00F42CFE"/>
    <w:rsid w:val="00F85079"/>
    <w:rsid w:val="00F94464"/>
    <w:rsid w:val="00FB00D5"/>
    <w:rsid w:val="00FD7E63"/>
    <w:rsid w:val="0535C7FC"/>
    <w:rsid w:val="0785B37D"/>
    <w:rsid w:val="08430822"/>
    <w:rsid w:val="0A2520E2"/>
    <w:rsid w:val="0F209AC9"/>
    <w:rsid w:val="1133D527"/>
    <w:rsid w:val="175550B7"/>
    <w:rsid w:val="18BFDF7A"/>
    <w:rsid w:val="1D00B420"/>
    <w:rsid w:val="1E8984A7"/>
    <w:rsid w:val="2040D1F3"/>
    <w:rsid w:val="21558FB4"/>
    <w:rsid w:val="2247430B"/>
    <w:rsid w:val="23713577"/>
    <w:rsid w:val="287D6E81"/>
    <w:rsid w:val="2DCA9A41"/>
    <w:rsid w:val="316B1FD0"/>
    <w:rsid w:val="34A2ACAE"/>
    <w:rsid w:val="38A2F1B4"/>
    <w:rsid w:val="39A78B5D"/>
    <w:rsid w:val="3AEC4B2D"/>
    <w:rsid w:val="4102E72A"/>
    <w:rsid w:val="4283116D"/>
    <w:rsid w:val="4A9E169F"/>
    <w:rsid w:val="505A1270"/>
    <w:rsid w:val="50A6C81E"/>
    <w:rsid w:val="55629E06"/>
    <w:rsid w:val="575049F5"/>
    <w:rsid w:val="5B65F9A8"/>
    <w:rsid w:val="5E5381DD"/>
    <w:rsid w:val="5F6A7EE2"/>
    <w:rsid w:val="69E1E4D9"/>
    <w:rsid w:val="6D7ECD6D"/>
    <w:rsid w:val="7463E825"/>
    <w:rsid w:val="7960691D"/>
    <w:rsid w:val="7BB66B9B"/>
    <w:rsid w:val="7EE9FE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92F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35680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974C16"/>
    <w:rPr>
      <w:sz w:val="16"/>
      <w:szCs w:val="16"/>
    </w:rPr>
  </w:style>
  <w:style w:type="paragraph" w:styleId="Tekstkomentarza">
    <w:name w:val="annotation text"/>
    <w:basedOn w:val="Normalny"/>
    <w:link w:val="TekstkomentarzaZnak"/>
    <w:uiPriority w:val="99"/>
    <w:semiHidden/>
    <w:unhideWhenUsed/>
    <w:rsid w:val="00974C1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74C16"/>
    <w:rPr>
      <w:sz w:val="20"/>
      <w:szCs w:val="20"/>
    </w:rPr>
  </w:style>
  <w:style w:type="paragraph" w:styleId="Tematkomentarza">
    <w:name w:val="annotation subject"/>
    <w:basedOn w:val="Tekstkomentarza"/>
    <w:next w:val="Tekstkomentarza"/>
    <w:link w:val="TematkomentarzaZnak"/>
    <w:uiPriority w:val="99"/>
    <w:semiHidden/>
    <w:unhideWhenUsed/>
    <w:rsid w:val="00974C16"/>
    <w:rPr>
      <w:b/>
      <w:bCs/>
    </w:rPr>
  </w:style>
  <w:style w:type="character" w:customStyle="1" w:styleId="TematkomentarzaZnak">
    <w:name w:val="Temat komentarza Znak"/>
    <w:basedOn w:val="TekstkomentarzaZnak"/>
    <w:link w:val="Tematkomentarza"/>
    <w:uiPriority w:val="99"/>
    <w:semiHidden/>
    <w:rsid w:val="00974C16"/>
    <w:rPr>
      <w:b/>
      <w:bCs/>
      <w:sz w:val="20"/>
      <w:szCs w:val="20"/>
    </w:rPr>
  </w:style>
  <w:style w:type="paragraph" w:styleId="Tekstdymka">
    <w:name w:val="Balloon Text"/>
    <w:basedOn w:val="Normalny"/>
    <w:link w:val="TekstdymkaZnak"/>
    <w:uiPriority w:val="99"/>
    <w:semiHidden/>
    <w:unhideWhenUsed/>
    <w:rsid w:val="00974C1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74C16"/>
    <w:rPr>
      <w:rFonts w:ascii="Segoe UI" w:hAnsi="Segoe UI" w:cs="Segoe UI"/>
      <w:sz w:val="18"/>
      <w:szCs w:val="18"/>
    </w:rPr>
  </w:style>
  <w:style w:type="paragraph" w:customStyle="1" w:styleId="Teza">
    <w:name w:val="Teza"/>
    <w:basedOn w:val="Akapitzlist"/>
    <w:link w:val="TezaZnak"/>
    <w:qFormat/>
    <w:rsid w:val="003E56CC"/>
    <w:pPr>
      <w:numPr>
        <w:numId w:val="1"/>
      </w:numPr>
      <w:ind w:left="720" w:firstLine="0"/>
    </w:pPr>
  </w:style>
  <w:style w:type="character" w:customStyle="1" w:styleId="TezaZnak">
    <w:name w:val="Teza Znak"/>
    <w:basedOn w:val="Domylnaczcionkaakapitu"/>
    <w:link w:val="Teza"/>
    <w:rsid w:val="003E56CC"/>
  </w:style>
  <w:style w:type="paragraph" w:styleId="Akapitzlist">
    <w:name w:val="List Paragraph"/>
    <w:basedOn w:val="Normalny"/>
    <w:uiPriority w:val="34"/>
    <w:qFormat/>
    <w:rsid w:val="003E56CC"/>
    <w:pPr>
      <w:spacing w:after="200" w:line="276" w:lineRule="auto"/>
      <w:ind w:left="720"/>
      <w:contextualSpacing/>
    </w:pPr>
  </w:style>
  <w:style w:type="character" w:styleId="Odwoanieprzypisudolnego">
    <w:name w:val="footnote reference"/>
    <w:basedOn w:val="Domylnaczcionkaakapitu"/>
    <w:uiPriority w:val="99"/>
    <w:semiHidden/>
    <w:unhideWhenUsed/>
    <w:rsid w:val="00E22D30"/>
    <w:rPr>
      <w:vertAlign w:val="superscript"/>
    </w:rPr>
  </w:style>
  <w:style w:type="paragraph" w:styleId="Tekstprzypisudolnego">
    <w:name w:val="footnote text"/>
    <w:basedOn w:val="Normalny"/>
    <w:link w:val="TekstprzypisudolnegoZnak1"/>
    <w:uiPriority w:val="99"/>
    <w:semiHidden/>
    <w:unhideWhenUsed/>
    <w:rsid w:val="00E22D30"/>
    <w:pPr>
      <w:spacing w:after="0" w:line="240" w:lineRule="auto"/>
    </w:pPr>
    <w:rPr>
      <w:sz w:val="20"/>
      <w:szCs w:val="20"/>
    </w:rPr>
  </w:style>
  <w:style w:type="character" w:customStyle="1" w:styleId="TekstprzypisudolnegoZnak">
    <w:name w:val="Tekst przypisu dolnego Znak"/>
    <w:basedOn w:val="Domylnaczcionkaakapitu"/>
    <w:uiPriority w:val="99"/>
    <w:semiHidden/>
    <w:rsid w:val="00E22D30"/>
    <w:rPr>
      <w:sz w:val="20"/>
      <w:szCs w:val="20"/>
    </w:rPr>
  </w:style>
  <w:style w:type="character" w:customStyle="1" w:styleId="TekstprzypisudolnegoZnak1">
    <w:name w:val="Tekst przypisu dolnego Znak1"/>
    <w:basedOn w:val="Domylnaczcionkaakapitu"/>
    <w:link w:val="Tekstprzypisudolnego"/>
    <w:uiPriority w:val="99"/>
    <w:semiHidden/>
    <w:rsid w:val="00E22D30"/>
    <w:rPr>
      <w:sz w:val="20"/>
      <w:szCs w:val="20"/>
    </w:rPr>
  </w:style>
  <w:style w:type="paragraph" w:styleId="Poprawka">
    <w:name w:val="Revision"/>
    <w:hidden/>
    <w:uiPriority w:val="99"/>
    <w:semiHidden/>
    <w:rsid w:val="00690F6C"/>
    <w:pPr>
      <w:spacing w:after="0" w:line="240" w:lineRule="auto"/>
    </w:pPr>
  </w:style>
  <w:style w:type="paragraph" w:customStyle="1" w:styleId="Domylne">
    <w:name w:val="Domyślne"/>
    <w:rsid w:val="004B0843"/>
    <w:pPr>
      <w:spacing w:before="160" w:after="0" w:line="240" w:lineRule="auto"/>
    </w:pPr>
    <w:rPr>
      <w:rFonts w:ascii="Helvetica Neue" w:eastAsia="Arial Unicode MS" w:hAnsi="Helvetica Neue" w:cs="Arial Unicode MS"/>
      <w:color w:val="000000"/>
      <w:sz w:val="24"/>
      <w:szCs w:val="24"/>
      <w:u w:color="000000"/>
      <w:lang w:val="en-US" w:eastAsia="pl-PL"/>
      <w14:textOutline w14:w="12700" w14:cap="flat" w14:cmpd="sng" w14:algn="ctr">
        <w14:noFill/>
        <w14:prstDash w14:val="solid"/>
        <w14:miter w14:lim="100000"/>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35680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974C16"/>
    <w:rPr>
      <w:sz w:val="16"/>
      <w:szCs w:val="16"/>
    </w:rPr>
  </w:style>
  <w:style w:type="paragraph" w:styleId="Tekstkomentarza">
    <w:name w:val="annotation text"/>
    <w:basedOn w:val="Normalny"/>
    <w:link w:val="TekstkomentarzaZnak"/>
    <w:uiPriority w:val="99"/>
    <w:semiHidden/>
    <w:unhideWhenUsed/>
    <w:rsid w:val="00974C1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74C16"/>
    <w:rPr>
      <w:sz w:val="20"/>
      <w:szCs w:val="20"/>
    </w:rPr>
  </w:style>
  <w:style w:type="paragraph" w:styleId="Tematkomentarza">
    <w:name w:val="annotation subject"/>
    <w:basedOn w:val="Tekstkomentarza"/>
    <w:next w:val="Tekstkomentarza"/>
    <w:link w:val="TematkomentarzaZnak"/>
    <w:uiPriority w:val="99"/>
    <w:semiHidden/>
    <w:unhideWhenUsed/>
    <w:rsid w:val="00974C16"/>
    <w:rPr>
      <w:b/>
      <w:bCs/>
    </w:rPr>
  </w:style>
  <w:style w:type="character" w:customStyle="1" w:styleId="TematkomentarzaZnak">
    <w:name w:val="Temat komentarza Znak"/>
    <w:basedOn w:val="TekstkomentarzaZnak"/>
    <w:link w:val="Tematkomentarza"/>
    <w:uiPriority w:val="99"/>
    <w:semiHidden/>
    <w:rsid w:val="00974C16"/>
    <w:rPr>
      <w:b/>
      <w:bCs/>
      <w:sz w:val="20"/>
      <w:szCs w:val="20"/>
    </w:rPr>
  </w:style>
  <w:style w:type="paragraph" w:styleId="Tekstdymka">
    <w:name w:val="Balloon Text"/>
    <w:basedOn w:val="Normalny"/>
    <w:link w:val="TekstdymkaZnak"/>
    <w:uiPriority w:val="99"/>
    <w:semiHidden/>
    <w:unhideWhenUsed/>
    <w:rsid w:val="00974C1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74C16"/>
    <w:rPr>
      <w:rFonts w:ascii="Segoe UI" w:hAnsi="Segoe UI" w:cs="Segoe UI"/>
      <w:sz w:val="18"/>
      <w:szCs w:val="18"/>
    </w:rPr>
  </w:style>
  <w:style w:type="paragraph" w:customStyle="1" w:styleId="Teza">
    <w:name w:val="Teza"/>
    <w:basedOn w:val="Akapitzlist"/>
    <w:link w:val="TezaZnak"/>
    <w:qFormat/>
    <w:rsid w:val="003E56CC"/>
    <w:pPr>
      <w:numPr>
        <w:numId w:val="1"/>
      </w:numPr>
      <w:ind w:left="720" w:firstLine="0"/>
    </w:pPr>
  </w:style>
  <w:style w:type="character" w:customStyle="1" w:styleId="TezaZnak">
    <w:name w:val="Teza Znak"/>
    <w:basedOn w:val="Domylnaczcionkaakapitu"/>
    <w:link w:val="Teza"/>
    <w:rsid w:val="003E56CC"/>
  </w:style>
  <w:style w:type="paragraph" w:styleId="Akapitzlist">
    <w:name w:val="List Paragraph"/>
    <w:basedOn w:val="Normalny"/>
    <w:uiPriority w:val="34"/>
    <w:qFormat/>
    <w:rsid w:val="003E56CC"/>
    <w:pPr>
      <w:spacing w:after="200" w:line="276" w:lineRule="auto"/>
      <w:ind w:left="720"/>
      <w:contextualSpacing/>
    </w:pPr>
  </w:style>
  <w:style w:type="character" w:styleId="Odwoanieprzypisudolnego">
    <w:name w:val="footnote reference"/>
    <w:basedOn w:val="Domylnaczcionkaakapitu"/>
    <w:uiPriority w:val="99"/>
    <w:semiHidden/>
    <w:unhideWhenUsed/>
    <w:rsid w:val="00E22D30"/>
    <w:rPr>
      <w:vertAlign w:val="superscript"/>
    </w:rPr>
  </w:style>
  <w:style w:type="paragraph" w:styleId="Tekstprzypisudolnego">
    <w:name w:val="footnote text"/>
    <w:basedOn w:val="Normalny"/>
    <w:link w:val="TekstprzypisudolnegoZnak1"/>
    <w:uiPriority w:val="99"/>
    <w:semiHidden/>
    <w:unhideWhenUsed/>
    <w:rsid w:val="00E22D30"/>
    <w:pPr>
      <w:spacing w:after="0" w:line="240" w:lineRule="auto"/>
    </w:pPr>
    <w:rPr>
      <w:sz w:val="20"/>
      <w:szCs w:val="20"/>
    </w:rPr>
  </w:style>
  <w:style w:type="character" w:customStyle="1" w:styleId="TekstprzypisudolnegoZnak">
    <w:name w:val="Tekst przypisu dolnego Znak"/>
    <w:basedOn w:val="Domylnaczcionkaakapitu"/>
    <w:uiPriority w:val="99"/>
    <w:semiHidden/>
    <w:rsid w:val="00E22D30"/>
    <w:rPr>
      <w:sz w:val="20"/>
      <w:szCs w:val="20"/>
    </w:rPr>
  </w:style>
  <w:style w:type="character" w:customStyle="1" w:styleId="TekstprzypisudolnegoZnak1">
    <w:name w:val="Tekst przypisu dolnego Znak1"/>
    <w:basedOn w:val="Domylnaczcionkaakapitu"/>
    <w:link w:val="Tekstprzypisudolnego"/>
    <w:uiPriority w:val="99"/>
    <w:semiHidden/>
    <w:rsid w:val="00E22D30"/>
    <w:rPr>
      <w:sz w:val="20"/>
      <w:szCs w:val="20"/>
    </w:rPr>
  </w:style>
  <w:style w:type="paragraph" w:styleId="Poprawka">
    <w:name w:val="Revision"/>
    <w:hidden/>
    <w:uiPriority w:val="99"/>
    <w:semiHidden/>
    <w:rsid w:val="00690F6C"/>
    <w:pPr>
      <w:spacing w:after="0" w:line="240" w:lineRule="auto"/>
    </w:pPr>
  </w:style>
  <w:style w:type="paragraph" w:customStyle="1" w:styleId="Domylne">
    <w:name w:val="Domyślne"/>
    <w:rsid w:val="004B0843"/>
    <w:pPr>
      <w:spacing w:before="160" w:after="0" w:line="240" w:lineRule="auto"/>
    </w:pPr>
    <w:rPr>
      <w:rFonts w:ascii="Helvetica Neue" w:eastAsia="Arial Unicode MS" w:hAnsi="Helvetica Neue" w:cs="Arial Unicode MS"/>
      <w:color w:val="000000"/>
      <w:sz w:val="24"/>
      <w:szCs w:val="24"/>
      <w:u w:color="000000"/>
      <w:lang w:val="en-US" w:eastAsia="pl-PL"/>
      <w14:textOutline w14:w="12700" w14:cap="flat" w14:cmpd="sng" w14:algn="ctr">
        <w14:noFill/>
        <w14:prstDash w14:val="solid"/>
        <w14:miter w14:lim="1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880499">
      <w:bodyDiv w:val="1"/>
      <w:marLeft w:val="0"/>
      <w:marRight w:val="0"/>
      <w:marTop w:val="0"/>
      <w:marBottom w:val="0"/>
      <w:divBdr>
        <w:top w:val="none" w:sz="0" w:space="0" w:color="auto"/>
        <w:left w:val="none" w:sz="0" w:space="0" w:color="auto"/>
        <w:bottom w:val="none" w:sz="0" w:space="0" w:color="auto"/>
        <w:right w:val="none" w:sz="0" w:space="0" w:color="auto"/>
      </w:divBdr>
    </w:div>
    <w:div w:id="1125856361">
      <w:bodyDiv w:val="1"/>
      <w:marLeft w:val="0"/>
      <w:marRight w:val="0"/>
      <w:marTop w:val="0"/>
      <w:marBottom w:val="0"/>
      <w:divBdr>
        <w:top w:val="none" w:sz="0" w:space="0" w:color="auto"/>
        <w:left w:val="none" w:sz="0" w:space="0" w:color="auto"/>
        <w:bottom w:val="none" w:sz="0" w:space="0" w:color="auto"/>
        <w:right w:val="none" w:sz="0" w:space="0" w:color="auto"/>
      </w:divBdr>
    </w:div>
    <w:div w:id="1204638760">
      <w:bodyDiv w:val="1"/>
      <w:marLeft w:val="0"/>
      <w:marRight w:val="0"/>
      <w:marTop w:val="0"/>
      <w:marBottom w:val="0"/>
      <w:divBdr>
        <w:top w:val="none" w:sz="0" w:space="0" w:color="auto"/>
        <w:left w:val="none" w:sz="0" w:space="0" w:color="auto"/>
        <w:bottom w:val="none" w:sz="0" w:space="0" w:color="auto"/>
        <w:right w:val="none" w:sz="0" w:space="0" w:color="auto"/>
      </w:divBdr>
    </w:div>
    <w:div w:id="1407262163">
      <w:bodyDiv w:val="1"/>
      <w:marLeft w:val="0"/>
      <w:marRight w:val="0"/>
      <w:marTop w:val="0"/>
      <w:marBottom w:val="0"/>
      <w:divBdr>
        <w:top w:val="none" w:sz="0" w:space="0" w:color="auto"/>
        <w:left w:val="none" w:sz="0" w:space="0" w:color="auto"/>
        <w:bottom w:val="none" w:sz="0" w:space="0" w:color="auto"/>
        <w:right w:val="none" w:sz="0" w:space="0" w:color="auto"/>
      </w:divBdr>
    </w:div>
    <w:div w:id="1634096832">
      <w:bodyDiv w:val="1"/>
      <w:marLeft w:val="0"/>
      <w:marRight w:val="0"/>
      <w:marTop w:val="0"/>
      <w:marBottom w:val="0"/>
      <w:divBdr>
        <w:top w:val="none" w:sz="0" w:space="0" w:color="auto"/>
        <w:left w:val="none" w:sz="0" w:space="0" w:color="auto"/>
        <w:bottom w:val="none" w:sz="0" w:space="0" w:color="auto"/>
        <w:right w:val="none" w:sz="0" w:space="0" w:color="auto"/>
      </w:divBdr>
    </w:div>
    <w:div w:id="204547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microsoft.com/office/2011/relationships/commentsExtended" Target="commentsExtended.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4B01F029692041A7486645BF369C0F" ma:contentTypeVersion="9" ma:contentTypeDescription="Create a new document." ma:contentTypeScope="" ma:versionID="3782cc71a42f7cbaebef0df3ed01c392">
  <xsd:schema xmlns:xsd="http://www.w3.org/2001/XMLSchema" xmlns:xs="http://www.w3.org/2001/XMLSchema" xmlns:p="http://schemas.microsoft.com/office/2006/metadata/properties" xmlns:ns3="f9ed9578-d32b-44f4-833c-23a98eae8c72" xmlns:ns4="63cd4b08-1e1e-4154-b8f6-beaff3d9baa2" targetNamespace="http://schemas.microsoft.com/office/2006/metadata/properties" ma:root="true" ma:fieldsID="d47b0a8a32d281c06128bfbeabde50e0" ns3:_="" ns4:_="">
    <xsd:import namespace="f9ed9578-d32b-44f4-833c-23a98eae8c72"/>
    <xsd:import namespace="63cd4b08-1e1e-4154-b8f6-beaff3d9baa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d9578-d32b-44f4-833c-23a98eae8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d4b08-1e1e-4154-b8f6-beaff3d9ba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FF8E7-4CED-4AF3-8440-BD624C066EA5}">
  <ds:schemaRefs>
    <ds:schemaRef ds:uri="http://schemas.microsoft.com/sharepoint/v3/contenttype/forms"/>
  </ds:schemaRefs>
</ds:datastoreItem>
</file>

<file path=customXml/itemProps2.xml><?xml version="1.0" encoding="utf-8"?>
<ds:datastoreItem xmlns:ds="http://schemas.openxmlformats.org/officeDocument/2006/customXml" ds:itemID="{843FF6E6-051A-474F-878F-6221E0A469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ED9146-5B33-4D31-8FAD-64AEDE80B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d9578-d32b-44f4-833c-23a98eae8c72"/>
    <ds:schemaRef ds:uri="63cd4b08-1e1e-4154-b8f6-beaff3d9b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7ACBBC-8975-4E3C-B94B-CFC340514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383</Words>
  <Characters>2303</Characters>
  <Application>Microsoft Office Word</Application>
  <DocSecurity>0</DocSecurity>
  <Lines>19</Lines>
  <Paragraphs>5</Paragraphs>
  <ScaleCrop>false</ScaleCrop>
  <Company/>
  <LinksUpToDate>false</LinksUpToDate>
  <CharactersWithSpaces>2681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Wyżnikiewicz</dc:creator>
  <cp:lastModifiedBy>Chmiel Piotr</cp:lastModifiedBy>
  <cp:revision>16</cp:revision>
  <dcterms:created xsi:type="dcterms:W3CDTF">2020-10-20T12:59:00Z</dcterms:created>
  <dcterms:modified xsi:type="dcterms:W3CDTF">2020-12-01T14:11:00Z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CadieuxAL@state.gov</vt:lpwstr>
  </property>
  <property fmtid="{D5CDD505-2E9C-101B-9397-08002B2CF9AE}" pid="5" name="MSIP_Label_1665d9ee-429a-4d5f-97cc-cfb56e044a6e_SetDate">
    <vt:lpwstr>2020-09-02T16:19:43.8520047Z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983a58bf-90a4-4032-a0f7-ffce66f31564</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ContentTypeId">
    <vt:lpwstr>0x010100AF4B01F029692041A7486645BF369C0F</vt:lpwstr>
  </property>
</Properties>
</file>