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78" w:rsidRPr="00870878" w:rsidRDefault="00870878" w:rsidP="00870878">
      <w:pPr>
        <w:keepNext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:rsidR="00870878" w:rsidRPr="00870878" w:rsidRDefault="00870878" w:rsidP="008708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0878" w:rsidRPr="00870878" w:rsidRDefault="00870878" w:rsidP="008708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870878" w:rsidRPr="00870878" w:rsidRDefault="00870878" w:rsidP="008708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870878" w:rsidRPr="00870878" w:rsidRDefault="00870878" w:rsidP="00870878">
      <w:pPr>
        <w:keepNext/>
        <w:tabs>
          <w:tab w:val="left" w:pos="850"/>
          <w:tab w:val="left" w:pos="1584"/>
          <w:tab w:val="center" w:pos="4535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Nr ew.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/2023/WD/DEKiD</w:t>
      </w:r>
    </w:p>
    <w:p w:rsidR="00870878" w:rsidRPr="00870878" w:rsidRDefault="00870878" w:rsidP="008708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Otwartego Konkursu Ofert</w:t>
      </w:r>
    </w:p>
    <w:p w:rsidR="00870878" w:rsidRPr="00870878" w:rsidRDefault="00870878" w:rsidP="0087087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Otwarty Konkurs Ofert, zwany dalej „konkursem”, ogłasza się na podstawie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13 ustawy z dnia 24 kwietnia 2003 roku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o wolontariacie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2023 r. poz. 571)</w:t>
      </w:r>
      <w:r w:rsidR="00121E2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„ustawą”.</w:t>
      </w:r>
    </w:p>
    <w:p w:rsidR="00870878" w:rsidRPr="00870878" w:rsidRDefault="00870878" w:rsidP="0087087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konkursie </w:t>
      </w:r>
    </w:p>
    <w:p w:rsidR="00870878" w:rsidRPr="00870878" w:rsidRDefault="00870878" w:rsidP="00851C99">
      <w:pPr>
        <w:numPr>
          <w:ilvl w:val="0"/>
          <w:numId w:val="8"/>
        </w:numPr>
        <w:spacing w:after="0" w:line="276" w:lineRule="auto"/>
        <w:ind w:left="851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złożenia w konkursie oferty realizacji zadania publicznego, zwanej dalej „ofertą”, są:</w:t>
      </w:r>
    </w:p>
    <w:p w:rsidR="00870878" w:rsidRPr="00870878" w:rsidRDefault="00870878" w:rsidP="00851C99">
      <w:pPr>
        <w:numPr>
          <w:ilvl w:val="0"/>
          <w:numId w:val="9"/>
        </w:numPr>
        <w:spacing w:after="0" w:line="276" w:lineRule="auto"/>
        <w:ind w:left="1276" w:hanging="4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ust. 2 ustawy m.in. stowarzyszenia, fundacje, z wyjątkiem fundacji utworzonych przez partie polityczne, oddziały stowarzyszeń posiadające osobowość prawną, związki stowarzyszeń, kółka rolnicze, cechy rzemieślnicze, izby rzemieślnicze, izby gospodarcze;</w:t>
      </w:r>
    </w:p>
    <w:p w:rsidR="00870878" w:rsidRPr="00870878" w:rsidRDefault="00870878" w:rsidP="00851C99">
      <w:pPr>
        <w:numPr>
          <w:ilvl w:val="0"/>
          <w:numId w:val="9"/>
        </w:numPr>
        <w:spacing w:after="0" w:line="276" w:lineRule="auto"/>
        <w:ind w:left="1276" w:hanging="4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prawne i jednostki organizacyjne działające na podstawie przepisów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stosunku Państwa do Kościoła Katolickiego w Rzeczypospolitej Polskiej,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stosunku Państwa do innych kościołów i związków wyznaniowych oraz gwarancjach wolności sumienia i wyznania, jeżeli ich cele statutowe obejmują prowadzenie działalności pożytku publicznego;</w:t>
      </w:r>
    </w:p>
    <w:p w:rsidR="00870878" w:rsidRPr="00870878" w:rsidRDefault="00870878" w:rsidP="00851C99">
      <w:pPr>
        <w:numPr>
          <w:ilvl w:val="0"/>
          <w:numId w:val="9"/>
        </w:numPr>
        <w:spacing w:after="0" w:line="276" w:lineRule="auto"/>
        <w:ind w:left="1276" w:hanging="4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870878" w:rsidRPr="00870878" w:rsidRDefault="00870878" w:rsidP="00851C99">
      <w:pPr>
        <w:numPr>
          <w:ilvl w:val="0"/>
          <w:numId w:val="9"/>
        </w:numPr>
        <w:spacing w:after="0" w:line="276" w:lineRule="auto"/>
        <w:ind w:left="1276" w:hanging="4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870878" w:rsidRPr="00870878" w:rsidRDefault="00870878" w:rsidP="00851C99">
      <w:pPr>
        <w:numPr>
          <w:ilvl w:val="0"/>
          <w:numId w:val="9"/>
        </w:numPr>
        <w:spacing w:after="0" w:line="276" w:lineRule="auto"/>
        <w:ind w:left="1276" w:hanging="4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2010 r.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sporcie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2022 r. poz. 1599, z późn. zm.), które nie działają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osiągnięcia zysku oraz przeznaczają całość dochodu na realizację celów statutowych oraz nie przeznaczają zysku do podziału między swoich udziałowców, akcjonariuszy i pracowników.</w:t>
      </w:r>
    </w:p>
    <w:p w:rsidR="00870878" w:rsidRPr="00870878" w:rsidRDefault="00870878" w:rsidP="00851C99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Podmiotami nieuprawnionymi do składania ofert są podmioty wskazane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3 ust. 4 ustawy, tj. partie polityczne, związki zawodowe i organizacje pracodawców, samorządy zawodowe oraz fundacje utworzone przez partie polityczne.</w:t>
      </w: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</w:t>
      </w:r>
    </w:p>
    <w:p w:rsidR="00870878" w:rsidRPr="00870878" w:rsidRDefault="00870878" w:rsidP="00870878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Oferta musi zostać złożona za pośrednictwem serwisu internetowego Witkac.pl poprzez elektroniczny formularz dostępny w tym serwisie. </w:t>
      </w:r>
    </w:p>
    <w:p w:rsidR="00870878" w:rsidRPr="00870878" w:rsidRDefault="00870878" w:rsidP="00870878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w ramach konkursu może złożyć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tylko jedną ofertę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0878" w:rsidRPr="00870878" w:rsidRDefault="00870878" w:rsidP="00870878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Przed przystąpieniem do wypełniania oferty należy zapoznać się z niniejszym Regulaminem. Złożenie oferty w ramach konkursu oznacza akceptację niniejszego Regulaminu. Dotyczy to również akceptacji wymogu wypełnienia i przesłania elektronicznej wersji oferty poprzez elektroniczny formularz dostępny </w:t>
      </w:r>
      <w:r w:rsidRPr="00870878">
        <w:rPr>
          <w:rFonts w:ascii="Times New Roman" w:hAnsi="Times New Roman" w:cs="Times New Roman"/>
          <w:b/>
          <w:sz w:val="24"/>
          <w:szCs w:val="24"/>
        </w:rPr>
        <w:t>w serwisie Witkac.pl.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jest wypełnienie wszystkich pól i tabel w ofercie, w szczególności tabeli z dodatkowymi informacjami dotyczącymi celów realizacji zadania oraz rezultatów realizacji zadania, z określeniem wskaźników rezultatu, sposobu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monitorowania oraz źródła danych. Cele muszą być mierzalne, osiągalne, realne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określone w czasie. Rezultaty to efekty zrealizowanego zadania publicznego, muszą być weryfikowalne i mierzalne (np. podniesienie kwalifikacji u 40 uczestników szkolenia, nabycie umiejętności strzeleckich przez 100 uczniów, 200 informatorów historycznych itp).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są wynikiem działań, a nie działaniem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elektronicznym formularzu oferty w sekcji 3 „Opis zadania” w polu „Działania promocyjne” jest zobowiązany przedstawić plan promocji, który powinien zawierać:</w:t>
      </w:r>
    </w:p>
    <w:p w:rsidR="00870878" w:rsidRPr="00870878" w:rsidRDefault="00870878" w:rsidP="00851C99">
      <w:pPr>
        <w:numPr>
          <w:ilvl w:val="0"/>
          <w:numId w:val="39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planowanych działań w zakresie rozpowszechnienia wiedzy o realizowanym zadaniu publicznym, uwzględniający m.in.: </w:t>
      </w:r>
    </w:p>
    <w:p w:rsidR="00870878" w:rsidRPr="00870878" w:rsidRDefault="00870878" w:rsidP="00851C99">
      <w:pPr>
        <w:numPr>
          <w:ilvl w:val="0"/>
          <w:numId w:val="35"/>
        </w:numPr>
        <w:spacing w:after="0" w:line="276" w:lineRule="auto"/>
        <w:ind w:left="1560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celowych; dostęp powinien być możliwy ze strony głównej, </w:t>
      </w:r>
    </w:p>
    <w:p w:rsidR="00870878" w:rsidRPr="00870878" w:rsidRDefault="00870878" w:rsidP="00851C99">
      <w:pPr>
        <w:numPr>
          <w:ilvl w:val="0"/>
          <w:numId w:val="35"/>
        </w:numPr>
        <w:spacing w:after="0" w:line="276" w:lineRule="auto"/>
        <w:ind w:left="1560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promocję w mediach społecznościowych – z wykorzystaniem oddzielnego profilu zadania i/lub przy pomocy profilu podmiotu, z wykorzystaniem przynajmniej jednego medium społecznościowego, </w:t>
      </w:r>
    </w:p>
    <w:p w:rsidR="00870878" w:rsidRPr="00870878" w:rsidRDefault="00870878" w:rsidP="00851C99">
      <w:pPr>
        <w:numPr>
          <w:ilvl w:val="0"/>
          <w:numId w:val="35"/>
        </w:numPr>
        <w:spacing w:after="0" w:line="276" w:lineRule="auto"/>
        <w:ind w:left="1560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w przestrzeni publicznej – z wykorzystaniem plakatów, billboardów, reklam umieszczanych na budynkach, przystankach czy środkach komunikacji miejskiej, reklam w radiu lub szkolnych radiowęzłach, ulotek rozdawanych osobiście lub doręczanych do skrzynek pocztowych;</w:t>
      </w:r>
    </w:p>
    <w:p w:rsidR="00870878" w:rsidRPr="00870878" w:rsidRDefault="00870878" w:rsidP="00851C99">
      <w:pPr>
        <w:numPr>
          <w:ilvl w:val="0"/>
          <w:numId w:val="39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uwzględniać zakres oraz intensywność prowadzonych działań, w szczególności ilość publikowanych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informacji o zadaniu, w formie artykułu/postu umieszczonego:</w:t>
      </w:r>
    </w:p>
    <w:p w:rsidR="00870878" w:rsidRPr="00870878" w:rsidRDefault="00870878" w:rsidP="00851C99">
      <w:pPr>
        <w:numPr>
          <w:ilvl w:val="0"/>
          <w:numId w:val="38"/>
        </w:numPr>
        <w:spacing w:after="0" w:line="276" w:lineRule="auto"/>
        <w:ind w:left="1560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etapie rekrutacji i/lub przygotowania do realizacji głównej części zadania, </w:t>
      </w:r>
    </w:p>
    <w:p w:rsidR="00870878" w:rsidRPr="00870878" w:rsidRDefault="00870878" w:rsidP="00851C99">
      <w:pPr>
        <w:numPr>
          <w:ilvl w:val="0"/>
          <w:numId w:val="38"/>
        </w:numPr>
        <w:spacing w:after="0" w:line="276" w:lineRule="auto"/>
        <w:ind w:left="1560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etapie realizacji głównej części zadania, </w:t>
      </w:r>
    </w:p>
    <w:p w:rsidR="00870878" w:rsidRPr="00870878" w:rsidRDefault="00870878" w:rsidP="00851C99">
      <w:pPr>
        <w:numPr>
          <w:ilvl w:val="0"/>
          <w:numId w:val="38"/>
        </w:numPr>
        <w:spacing w:after="0" w:line="276" w:lineRule="auto"/>
        <w:ind w:left="1560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etapie podsumowania w końcowym okresie realizacji zadania.</w:t>
      </w:r>
    </w:p>
    <w:p w:rsidR="00870878" w:rsidRPr="00870878" w:rsidRDefault="00870878" w:rsidP="00870878">
      <w:pPr>
        <w:spacing w:after="0" w:line="276" w:lineRule="auto"/>
        <w:ind w:left="851" w:right="1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 promocji nie musi wskazywać konkretnych kanałów medialnych, np. tytułów prasowych, stron internetowych bądź kanałów telewizyjnych, audycji radiowych itp.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musi być komplementarny z informacjami zawartymi w elektronicznym formularzu w sekcji 4 „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Harmonogram i rezultaty” oraz sekcji 6 „Kalkulacja kosztów”.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w elektronic</w:t>
      </w:r>
      <w:r w:rsidR="00121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znym formularzu ofert w sekcji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4 „Harmonogram i rezultaty” w polu „Plan i harmonogram działań” szczegółowo wymienić i opisać w porządku logicznym wszystkie planowane w ofercie działania oraz określić ich uczestników i miejsce ich realizacji.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oferent planuje zlecić określoną część zadania innemu podmiotowi, zobowiązany jest do wskazania tego zakresu w kolumnie „Zakres działania realizowany przez podmiot niebędący stroną umowy” wpisując zlecaną czynność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np.: obsługa finansowo-księgowa, przeprowadzenie zajęć strzeleckich, koordynacja zadania, konferansjerka, obsługa sędziowska, wyżywienie, zakwaterowanie, transport, opracowanie graficzne i wydruk materiałów promocyjnych itp. Jeżeli oferent nie planuje zlecić do realizacji określonej części działania podmiotowi niebędącemu stroną umowy w ww. polu należy wpisać „Nie dotyczy”. Brak wskazania zakresu działania realizowanego przez podmiot niebędący stroną umowy oznacza zobowiązanie oferenta do samodzielnej realizacji zadania publicznego i jest tożsame z posiadaniem wymaganych przepisami prawa uprawnień, zezwoleń, decyzji itp., posiadaniem we własnych zasobach kadry instruktorskiej itp. Brak takich uprawnień,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zezwoleń, decyzji i zasobów nie oznacza automatycznej zgody zleceniodawcy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realizowanie tychże czynności przez podmioty trzecie.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zadania musi być czytelny i logiczny. 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wskazane przez oferenta w elektronicznym formularzu oferty w sekcji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„Harmonogram i rezultaty” są automatycznie ujmowane jako rodzaj kosztu w sekcji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 „Kalkulacja kosztów”. Oferent musi wskazać koszty składowe danego rodzaju działania wraz z wartościami. W przypadku działań bezkosztowych należy uzupełnić poszczególne pozycje kosztorysu wpisując wartość liczbową „0”.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określeniu rodzaju miary należy używać takich miar, jak: sztuka, kilogram, kilometr, godzina, osobogodzina, osobodoba itp. W przypadku użycia miar typu: zestaw, komplet, opakowanie, itp. w elektronicznym formularzu oferty w sekcji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w polu „Inne działania, które mogą mieć znaczenie przy ocenie oferty, w tym odnoszące się do kalkulacji przewidywanych kosztów oraz oświadczeń zawartych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tej ofercie” należy szczegółowo opisać sposób oszacowania kosztu wraz z podaniem liczby, np. zestaw zawiera: długopis (cena), zeszyt (cena) itp.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wskazania w ofercie czy kosztorys zadania uwzględnia podatek VAT, czy też nie. W przypadku, gdy oferent nie wskaże, że koszty ujęte w kosztorysie zadania uwzględniają podatek VAT, wówczas organ uznaje,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że kosztorys uwzględnia podatek VAT. 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 zadania nie mogą przekroczyć 5% planowanej kwoty dotacji. Wypełniając elektroni</w:t>
      </w:r>
      <w:r w:rsidR="00121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czny formularz oferty w sekcji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4 „Harmonogram i rezultaty” w polu „Plan i harmonogram działań” w kolumnie „Działanie związane z poniesieniem” należy dokonać wyboru rodzaju kosztu,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tzn. czy dany koszt jest „kosztem realizacji działań” czy „kosztem administracyjnym”. 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Oferent wypełniając elektroniczny formularz oferty w sekcji 7 „Inne informacje” zobowiązany jest do wskazania </w:t>
      </w:r>
      <w:r w:rsidRPr="00870878">
        <w:rPr>
          <w:rFonts w:ascii="Times New Roman" w:hAnsi="Times New Roman" w:cs="Times New Roman"/>
          <w:b/>
          <w:sz w:val="24"/>
          <w:szCs w:val="24"/>
        </w:rPr>
        <w:t>warunków służących zapewnieniu dostępności osobom ze szczególnymi potrzebami</w:t>
      </w:r>
      <w:r w:rsidRPr="00870878">
        <w:rPr>
          <w:rFonts w:ascii="Times New Roman" w:hAnsi="Times New Roman" w:cs="Times New Roman"/>
          <w:sz w:val="24"/>
          <w:szCs w:val="24"/>
        </w:rPr>
        <w:t xml:space="preserve"> w zakresie realizowanego zadania publicznego </w:t>
      </w:r>
      <w:r w:rsidRPr="00870878">
        <w:rPr>
          <w:rFonts w:ascii="Times New Roman" w:hAnsi="Times New Roman" w:cs="Times New Roman"/>
          <w:sz w:val="24"/>
          <w:szCs w:val="24"/>
        </w:rPr>
        <w:br/>
        <w:t xml:space="preserve">z uwzględnieniem przepisów ustawy z dnia 19 lipca 2019 r. </w:t>
      </w:r>
      <w:r w:rsidRPr="00870878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870878">
        <w:rPr>
          <w:rFonts w:ascii="Times New Roman" w:hAnsi="Times New Roman" w:cs="Times New Roman"/>
          <w:sz w:val="24"/>
          <w:szCs w:val="24"/>
        </w:rPr>
        <w:t xml:space="preserve"> (Dz. U. z 2022 r. poz. 2240), uwzględniając iż:</w:t>
      </w:r>
    </w:p>
    <w:p w:rsidR="00870878" w:rsidRPr="00870878" w:rsidRDefault="00870878" w:rsidP="00851C99">
      <w:pPr>
        <w:numPr>
          <w:ilvl w:val="0"/>
          <w:numId w:val="40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realizowanego zadania należy zapewnić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poniższe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służące zapewnienie dostępności osobom ze szczególnymi potrzebami, które obejmują:</w:t>
      </w:r>
    </w:p>
    <w:p w:rsidR="00870878" w:rsidRPr="00870878" w:rsidRDefault="00870878" w:rsidP="00851C99">
      <w:pPr>
        <w:numPr>
          <w:ilvl w:val="0"/>
          <w:numId w:val="18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8708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architektonicznej: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informacji na temat rozkładu pomieszczeń w budynku,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w sposób wizualny i dotykowy lub głosowy,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wstępu do budynku osobie korzystającej z psa asystującego,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którym mowa w art. 2 pkt 11 ustawy z dnia 27 sierpnia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1997 r.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rehabilitacji zawodowej i społecznej oraz zatrudnianiu osób niepełnosprawnych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2023 r. poz. 100, z późn. zm.),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osobom ze szczególnymi potrzebami możliwości ewakuacji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ich uratowania w inny sposób;</w:t>
      </w:r>
    </w:p>
    <w:p w:rsidR="00870878" w:rsidRPr="00870878" w:rsidRDefault="00870878" w:rsidP="00851C99">
      <w:pPr>
        <w:numPr>
          <w:ilvl w:val="0"/>
          <w:numId w:val="18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zakresie </w:t>
      </w:r>
      <w:r w:rsidRPr="008708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cyfrowej – wymagania określone w ustawie z dnia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kwietnia 2019 r.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8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2023 r. poz. 82, z późn. zm.);</w:t>
      </w:r>
    </w:p>
    <w:p w:rsidR="00870878" w:rsidRPr="00870878" w:rsidRDefault="00870878" w:rsidP="00851C99">
      <w:pPr>
        <w:numPr>
          <w:ilvl w:val="0"/>
          <w:numId w:val="18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8708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których mowa w </w:t>
      </w:r>
      <w:hyperlink r:id="rId8" w:anchor="/document/17736247?unitId=art(3)pkt(5)&amp;cm=DOCUMENT" w:history="1">
        <w:r w:rsidRPr="0087087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2023 r. poz. 20) lub przez wykorzystanie zdalnego dostępu online do usługi tłumacza przez strony internetowe i aplikacje,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przynajmniej trzech form komunikacji z podmiotem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np. w postaci listownej, telefonicznej, z wykorzystaniem poczty elektronicznej, z wykorzystaniem mediów społecznościowych,</w:t>
      </w:r>
    </w:p>
    <w:p w:rsidR="00870878" w:rsidRPr="00870878" w:rsidRDefault="00870878" w:rsidP="00851C99">
      <w:pPr>
        <w:numPr>
          <w:ilvl w:val="0"/>
          <w:numId w:val="41"/>
        </w:numPr>
        <w:spacing w:after="0" w:line="276" w:lineRule="auto"/>
        <w:ind w:left="1843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szczególnymi potrzebami, komunikacji z podmiotem publicznym w formie określonej w tym wniosku;</w:t>
      </w:r>
    </w:p>
    <w:p w:rsidR="00870878" w:rsidRPr="00870878" w:rsidRDefault="00870878" w:rsidP="00851C99">
      <w:pPr>
        <w:numPr>
          <w:ilvl w:val="0"/>
          <w:numId w:val="40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Pr="00870878">
        <w:rPr>
          <w:rFonts w:ascii="Times New Roman" w:hAnsi="Times New Roman" w:cs="Times New Roman"/>
          <w:sz w:val="24"/>
          <w:szCs w:val="24"/>
        </w:rPr>
        <w:t>przypadku</w:t>
      </w:r>
      <w:r w:rsidRPr="008708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braku możliwości zapewnienia dostępności architektonicznej i informacyjno-komunikacyjnej, oferent zobowiązany jest zapewnić dostęp alternatywny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; oferent jest zobowiązany wskazać dla</w:t>
      </w:r>
      <w:r w:rsidRPr="008708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których konkretnych wymogów zostanie zapewniony dostęp alternatywny;</w:t>
      </w:r>
    </w:p>
    <w:p w:rsidR="00870878" w:rsidRPr="00870878" w:rsidRDefault="00870878" w:rsidP="00851C99">
      <w:pPr>
        <w:numPr>
          <w:ilvl w:val="0"/>
          <w:numId w:val="40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708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warunków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dostępności osobom ze szczególnymi potrzebami, 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których mowa powyżej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dotyczy wszystkich odbiorców zadania (uczestnicy, opiekunowie, publiczność).</w:t>
      </w:r>
    </w:p>
    <w:p w:rsidR="00870878" w:rsidRPr="00870878" w:rsidRDefault="00870878" w:rsidP="00870878">
      <w:pPr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Do elektronicznego formularza oferty należy załączyć kopię aktualnego wyciągu </w:t>
      </w:r>
      <w:r w:rsidRPr="00870878">
        <w:rPr>
          <w:rFonts w:ascii="Times New Roman" w:hAnsi="Times New Roman" w:cs="Times New Roman"/>
          <w:sz w:val="24"/>
          <w:szCs w:val="24"/>
        </w:rPr>
        <w:br/>
        <w:t xml:space="preserve">z właściwego rejestru lub ewidencji/pobrany samodzielnie wydruk komputerowy aktualnych informacji o podmiocie wpisanym do Krajowego Rejestru Sądowego, oświadczenie o VAT oraz oświadczenie o prowadzonej działalności statutowej, </w:t>
      </w:r>
      <w:r w:rsidRPr="00870878">
        <w:rPr>
          <w:rFonts w:ascii="Times New Roman" w:hAnsi="Times New Roman" w:cs="Times New Roman"/>
          <w:sz w:val="24"/>
          <w:szCs w:val="24"/>
        </w:rPr>
        <w:br/>
        <w:t>a także inne załączniki wymagane w ogłoszeniu otwartego konkursu ofert. Załącznikami mogą być tylko pliki w formacie pdf lub jpg i muszą być czytelne.</w:t>
      </w:r>
    </w:p>
    <w:p w:rsidR="00870878" w:rsidRPr="00870878" w:rsidRDefault="00870878" w:rsidP="00870878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Bezpośrednio po złożeniu oferty poprzez serwis Witkac.pl oferent ma obowiązek wydrukować ofertę w wersji papierowej oraz podpisać ją przez osoby upoważnione </w:t>
      </w:r>
      <w:r w:rsidRPr="00870878">
        <w:rPr>
          <w:rFonts w:ascii="Times New Roman" w:hAnsi="Times New Roman" w:cs="Times New Roman"/>
          <w:sz w:val="24"/>
          <w:szCs w:val="24"/>
        </w:rPr>
        <w:br/>
        <w:t>do składania oświadczeń woli w imieniu oferenta z datą tożsamą z datą złożenia oferty poprzez serwis Witkac.pl. Oryginał oferty w wersji papierowej musi być opatrzony</w:t>
      </w:r>
      <w:r w:rsidRPr="00870878">
        <w:rPr>
          <w:rFonts w:ascii="Times New Roman" w:hAnsi="Times New Roman" w:cs="Times New Roman"/>
          <w:sz w:val="24"/>
          <w:szCs w:val="24"/>
        </w:rPr>
        <w:br/>
        <w:t xml:space="preserve">tą samą sumą kontrolną co oferta złożona poprzez serwis Witkac.pl. Na tym etapie nie jest wymagane złożenie oryginalnej oferty w wersji papierowej – </w:t>
      </w:r>
      <w:r w:rsidRPr="00870878">
        <w:rPr>
          <w:rFonts w:ascii="Times New Roman" w:hAnsi="Times New Roman" w:cs="Times New Roman"/>
          <w:b/>
          <w:sz w:val="24"/>
          <w:szCs w:val="24"/>
        </w:rPr>
        <w:t>obowiązek przekazania ww. dokumentów (w wersji papierowej) zaistnieje dopiero na etapie zawierania umowy w przypadku przyznania dotacji.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b/>
          <w:sz w:val="24"/>
          <w:szCs w:val="24"/>
        </w:rPr>
        <w:t xml:space="preserve">UWAGA: Każda wersja oferty opatrzona jest indywidualnym numerem tzw. sumą kontrolną - każda edycja lub zmiana w elektronicznym formularzu oferty generuje nową sumę kontrolną. 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Podpisy pod ofertą składają osoby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Krajowego Rejestru Sądowego lub innego właściwego rejestru lub ewidencji, a w przypadku innego sposobu reprezentacji niż wynikający z Krajowego Rejestru Sądowego lub innego właściwego rejestru lub ewidencji, innych dokumentów potwierdzających upoważnienie do działania w imieniu oferenta.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przypadku braku pieczęci imiennych, ofertę podpisuje się czytelnie (pełnym imieniem i nazwiskiem). 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oryginału oferty w wersji papierowej będzie wymagane na etapie podpisywania umowy realizacji zadania publicznego, w przypadku gdy oferentowi zostanie przyznana dotacja. </w:t>
      </w: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870878" w:rsidRPr="00870878" w:rsidRDefault="00870878" w:rsidP="00851C99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870878" w:rsidRPr="00870878" w:rsidRDefault="00870878" w:rsidP="00870878">
      <w:pPr>
        <w:numPr>
          <w:ilvl w:val="0"/>
          <w:numId w:val="2"/>
        </w:numPr>
        <w:spacing w:after="120" w:line="276" w:lineRule="auto"/>
        <w:ind w:left="127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–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 w serwisie Witkac.pl. Ocena formalna polega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na stwierdzeniu, czy oferta nie zawiera uchybień i/lub błędów formalnych. Uchybienia formalne podlegają uzupełnieniu, natomiast błędy formalne powodują odrzucenie oferty z przyczyn formalnych, bez możliwości ich usunięcia. Oferty odrzucone z przyczyn formalnych nie podlegają ocenie merytorycznej. </w:t>
      </w:r>
    </w:p>
    <w:p w:rsidR="00870878" w:rsidRPr="00870878" w:rsidRDefault="00870878" w:rsidP="00870878">
      <w:p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870878" w:rsidRPr="00870878" w:rsidRDefault="00870878" w:rsidP="00851C99">
      <w:pPr>
        <w:numPr>
          <w:ilvl w:val="0"/>
          <w:numId w:val="33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wymaganych w ogłoszeniu otwartego konkursu ofert,</w:t>
      </w:r>
    </w:p>
    <w:p w:rsidR="00870878" w:rsidRPr="00870878" w:rsidRDefault="00870878" w:rsidP="00851C99">
      <w:pPr>
        <w:numPr>
          <w:ilvl w:val="0"/>
          <w:numId w:val="33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załączenie do oferty nieprawidłowych dokumentów,</w:t>
      </w:r>
    </w:p>
    <w:p w:rsidR="00870878" w:rsidRPr="00870878" w:rsidRDefault="00870878" w:rsidP="00851C99">
      <w:pPr>
        <w:numPr>
          <w:ilvl w:val="0"/>
          <w:numId w:val="33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oczywiste omyłki pisarskie i/lub rachunkowe,</w:t>
      </w:r>
    </w:p>
    <w:p w:rsidR="00870878" w:rsidRPr="00870878" w:rsidRDefault="00870878" w:rsidP="00851C99">
      <w:pPr>
        <w:numPr>
          <w:ilvl w:val="0"/>
          <w:numId w:val="33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nieprawidłowe wypełnienie pól w elektronicznym formularzu oferty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(„pola otwarte” – do wypełnienia),</w:t>
      </w:r>
    </w:p>
    <w:p w:rsidR="00870878" w:rsidRPr="00870878" w:rsidRDefault="00870878" w:rsidP="00851C99">
      <w:pPr>
        <w:numPr>
          <w:ilvl w:val="0"/>
          <w:numId w:val="33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większej liczby ofert niż dopuszczalna w otwartym konkursie ofert;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przypadku oferent zobowiązany jest wskazać, którą/które ofertę/oferty wycofuje z konkursu. 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publikowany jest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0878">
        <w:rPr>
          <w:rFonts w:ascii="Times New Roman" w:hAnsi="Times New Roman" w:cs="Times New Roman"/>
          <w:sz w:val="24"/>
          <w:szCs w:val="24"/>
        </w:rPr>
        <w:t>w Biuletynie Informacji Publicznej MON na stronie internetowej dostępnej pod linkiem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7087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7087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870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konkretnych uchybieniach formalnych zostanie przekazana indywidualnie do oferenta za pośrednictwem serwisu Witkac.pl niezwłocznie po opublikowaniu ww. wykazu w Biuletynie Informacji Publicznej MON. </w:t>
      </w:r>
    </w:p>
    <w:p w:rsidR="00870878" w:rsidRPr="00870878" w:rsidRDefault="00870878" w:rsidP="00870878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formalne,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terminie określonym każdorazowo w ogłoszeniu otwartego konkursu ofert mają prawo do usunięcia uchybień formalnych (decyduje data złożenia uzupełnionego elektronicznego formularza ofert w serwisie Witkac.pl). Uchybienia formalne oferent musi usunąć w serwisie Witkac.pl. W tym celu zostanie aktywowana sekcja elektronicznego formularza oferty, która wymaga poprawienia/uzupełnienia.</w:t>
      </w:r>
    </w:p>
    <w:p w:rsidR="00870878" w:rsidRPr="00870878" w:rsidRDefault="00870878" w:rsidP="00870878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Nieusunięcie uchybień formalnych we wskazanym terminie, a także wprowadzenie samodzielnie zmian odbiegających od oryginalnej oferty lub poza zakres stwierdzonych uchybień formalnych (np. wprowadzenie dodatkowych pozycji kosztorysu, zmiany w kosztorysie odbiegające od wersji oryginalnej lub w innym miejscu) powodować będzie odrzucenie oferty z przyczyn formalnych,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co spowoduje, iż oferta nie będzie podlegała ocenie merytorycznej.</w:t>
      </w:r>
    </w:p>
    <w:p w:rsidR="00870878" w:rsidRPr="00870878" w:rsidRDefault="00870878" w:rsidP="00870878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lastRenderedPageBreak/>
        <w:t xml:space="preserve">Bezpośrednio po usunięciu uchybień formalnych i złożeniu poprzez serwis Witkac.pl oferty z usuniętymi uchybieniami formalnymi oferent ma obowiązek </w:t>
      </w:r>
      <w:r w:rsidRPr="00870878">
        <w:rPr>
          <w:rFonts w:ascii="Times New Roman" w:hAnsi="Times New Roman" w:cs="Times New Roman"/>
          <w:sz w:val="24"/>
          <w:szCs w:val="24"/>
        </w:rPr>
        <w:br/>
        <w:t xml:space="preserve">ją wydrukować w wersji papierowej oraz podpisać ją przez osoby upoważnione </w:t>
      </w:r>
      <w:r w:rsidRPr="00870878">
        <w:rPr>
          <w:rFonts w:ascii="Times New Roman" w:hAnsi="Times New Roman" w:cs="Times New Roman"/>
          <w:sz w:val="24"/>
          <w:szCs w:val="24"/>
        </w:rPr>
        <w:br/>
        <w:t xml:space="preserve">do składania oświadczeń woli w imieniu oferenta z datą tożsamą z datą złożenia oferty z usuniętymi uchybieniami formalnymi. Oryginał oferty w wersji papierowej z usuniętymi uchybieniami formalnymi musi być opatrzony tą samą sumą kontrolną co oferta z usuniętymi uchybieniami złożona poprzez serwis Witkac.pl. </w:t>
      </w:r>
    </w:p>
    <w:p w:rsidR="00870878" w:rsidRPr="00870878" w:rsidRDefault="00870878" w:rsidP="00870878">
      <w:pPr>
        <w:spacing w:after="0" w:line="276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870878" w:rsidRPr="00870878" w:rsidRDefault="00870878" w:rsidP="00851C99">
      <w:pPr>
        <w:numPr>
          <w:ilvl w:val="0"/>
          <w:numId w:val="32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z pominięciem serwisu Witkac.pl, w tym złożenie oferty jedynie w wersji papierowej, </w:t>
      </w:r>
    </w:p>
    <w:p w:rsidR="00870878" w:rsidRPr="00870878" w:rsidRDefault="00870878" w:rsidP="00851C99">
      <w:pPr>
        <w:numPr>
          <w:ilvl w:val="0"/>
          <w:numId w:val="32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870878" w:rsidRPr="00870878" w:rsidRDefault="00870878" w:rsidP="00851C99">
      <w:pPr>
        <w:numPr>
          <w:ilvl w:val="0"/>
          <w:numId w:val="32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przez podmiot nieprowadzący działalności statutowej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dziedzinie określonej w ogłoszeniu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otwartego konkursu ofert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70878" w:rsidRPr="00870878" w:rsidRDefault="00870878" w:rsidP="00851C99">
      <w:pPr>
        <w:numPr>
          <w:ilvl w:val="0"/>
          <w:numId w:val="32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nieusunięcie uchybień formalnych we wskazanym terminie, a także wprowadzenie samodzielnie w ramach usuwania uchybień formalnych zmian odbiegających od oryginalnej oferty lub poza zakres stwierdzonych uchybień formalnych. </w:t>
      </w:r>
    </w:p>
    <w:p w:rsidR="00870878" w:rsidRPr="00870878" w:rsidRDefault="00870878" w:rsidP="00870878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870878">
        <w:rPr>
          <w:rFonts w:ascii="Times New Roman" w:hAnsi="Times New Roman" w:cs="Times New Roman"/>
          <w:sz w:val="24"/>
          <w:szCs w:val="24"/>
        </w:rPr>
        <w:t>błędów publikowany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870878">
        <w:rPr>
          <w:rFonts w:ascii="Times New Roman" w:hAnsi="Times New Roman" w:cs="Times New Roman"/>
          <w:sz w:val="24"/>
          <w:szCs w:val="24"/>
        </w:rPr>
        <w:t xml:space="preserve">w Biuletynie Informacji Publicznej MON, na stronie internetowej dostępnej pod linkiem: </w:t>
      </w:r>
      <w:hyperlink r:id="rId10" w:history="1">
        <w:r w:rsidRPr="0087087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87087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870878" w:rsidRPr="00870878" w:rsidRDefault="00870878" w:rsidP="00870878">
      <w:pPr>
        <w:numPr>
          <w:ilvl w:val="0"/>
          <w:numId w:val="2"/>
        </w:numPr>
        <w:spacing w:after="0" w:line="276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70878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Pr="00870878">
        <w:rPr>
          <w:rFonts w:ascii="Times New Roman" w:hAnsi="Times New Roman" w:cs="Times New Roman"/>
          <w:sz w:val="24"/>
          <w:szCs w:val="24"/>
        </w:rPr>
        <w:br/>
        <w:t>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870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70878" w:rsidRPr="00870878" w:rsidRDefault="00870878" w:rsidP="00870878">
      <w:pPr>
        <w:spacing w:after="0" w:line="276" w:lineRule="auto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Przy ocenie merytorycznej w pierwszej kolejności brane jest pod uwagę kryterium </w:t>
      </w:r>
      <w:r w:rsidRPr="00870878">
        <w:rPr>
          <w:rFonts w:ascii="Times New Roman" w:hAnsi="Times New Roman" w:cs="Times New Roman"/>
          <w:b/>
          <w:bCs/>
          <w:sz w:val="24"/>
          <w:szCs w:val="24"/>
        </w:rPr>
        <w:t xml:space="preserve">zgodności treści oferty ze wskazanym w ogłoszeniu otwartego konkursu ofert rodzajem zadania oraz celem/celami wskazanym/i w ogłoszeniu otwartego konkursu ofert. W przypadku gdy Komisja uzna, że oferta nie spełnia powyższego kryterium, oferta nie podlega dalszej ocenia merytorycznej, </w:t>
      </w:r>
      <w:r w:rsidRPr="00870878">
        <w:rPr>
          <w:rFonts w:ascii="Times New Roman" w:hAnsi="Times New Roman" w:cs="Times New Roman"/>
          <w:b/>
          <w:bCs/>
          <w:sz w:val="24"/>
          <w:szCs w:val="24"/>
        </w:rPr>
        <w:br/>
        <w:t>co wiąże się z brakiem rekomendacji co do przyznania dotacji.</w:t>
      </w:r>
      <w:r w:rsidRPr="00870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878" w:rsidRPr="00870878" w:rsidRDefault="00870878" w:rsidP="00870878">
      <w:pPr>
        <w:spacing w:after="0" w:line="276" w:lineRule="auto"/>
        <w:ind w:left="127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W pozostałych przypadkach oferta podlega dalszej ocenie merytorycznej </w:t>
      </w:r>
      <w:r w:rsidRPr="00870878">
        <w:rPr>
          <w:rFonts w:ascii="Times New Roman" w:hAnsi="Times New Roman" w:cs="Times New Roman"/>
          <w:sz w:val="24"/>
          <w:szCs w:val="24"/>
        </w:rPr>
        <w:br/>
        <w:t>w szczególności w następujących kryteriach:</w:t>
      </w:r>
    </w:p>
    <w:p w:rsidR="00870878" w:rsidRPr="00870878" w:rsidRDefault="00870878" w:rsidP="00851C99">
      <w:pPr>
        <w:numPr>
          <w:ilvl w:val="0"/>
          <w:numId w:val="16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możliwość realizacji zadania, </w:t>
      </w:r>
      <w:r w:rsidRPr="00870878">
        <w:rPr>
          <w:rFonts w:ascii="Times New Roman" w:hAnsi="Times New Roman" w:cs="Times New Roman"/>
          <w:sz w:val="24"/>
          <w:szCs w:val="24"/>
          <w:lang w:eastAsia="pl-PL"/>
        </w:rPr>
        <w:t>możliwość i realność realizacji zadania publicznego przez oferenta, adekwatność miejsca,</w:t>
      </w:r>
    </w:p>
    <w:p w:rsidR="00870878" w:rsidRPr="00870878" w:rsidRDefault="00870878" w:rsidP="00851C99">
      <w:pPr>
        <w:numPr>
          <w:ilvl w:val="0"/>
          <w:numId w:val="16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adekwatność kalkulacji kosztów realizacji zadania publicznego, w tym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odniesieniu do zakresu rzeczowego zadania,</w:t>
      </w:r>
    </w:p>
    <w:p w:rsidR="00870878" w:rsidRPr="00870878" w:rsidRDefault="00870878" w:rsidP="00851C99">
      <w:pPr>
        <w:numPr>
          <w:ilvl w:val="0"/>
          <w:numId w:val="16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proponowana jakość wykonania zadania, </w:t>
      </w:r>
    </w:p>
    <w:p w:rsidR="00870878" w:rsidRPr="00870878" w:rsidRDefault="00870878" w:rsidP="00851C99">
      <w:pPr>
        <w:numPr>
          <w:ilvl w:val="0"/>
          <w:numId w:val="16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kwalifikacje osób, przy udziale których oferent będzie realizował zadanie,</w:t>
      </w:r>
    </w:p>
    <w:p w:rsidR="00870878" w:rsidRPr="00870878" w:rsidRDefault="00870878" w:rsidP="00851C99">
      <w:pPr>
        <w:numPr>
          <w:ilvl w:val="0"/>
          <w:numId w:val="16"/>
        </w:numPr>
        <w:spacing w:after="0" w:line="276" w:lineRule="auto"/>
        <w:ind w:left="1560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doświadczenie oferenta w organizacji podobnych przedsięwzięć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dotychczasowy sposób realizacji i rozliczenia zleconych przez organ zadań publicznych, </w:t>
      </w:r>
    </w:p>
    <w:p w:rsidR="00870878" w:rsidRPr="00870878" w:rsidRDefault="00870878" w:rsidP="00851C99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sporządza ocenę oferty na „Karcie Oceny Merytorycznej” wraz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rekomendacją co do przyznania (w tym w mniejszej niż wnioskowana wysokości) lub nieprzyznania dotacji. </w:t>
      </w:r>
    </w:p>
    <w:p w:rsidR="00870878" w:rsidRPr="00870878" w:rsidRDefault="00870878" w:rsidP="00851C99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wnioskowana kwota dotacji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870878" w:rsidRPr="00870878" w:rsidRDefault="00870878" w:rsidP="00851C99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kiedy w opinii Komisji, zakres rzeczowy zadania nie jest adekwatny do zakładanych celów zadania, Komisja może zmniejszyć jego zakres rzeczowy. </w:t>
      </w:r>
    </w:p>
    <w:p w:rsidR="00870878" w:rsidRPr="00870878" w:rsidRDefault="00870878" w:rsidP="00851C99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870878" w:rsidRPr="00870878" w:rsidRDefault="00870878" w:rsidP="00851C99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razie potrzeby, w celu wyjaśnienia wątpliwości co do treści oferty, Komisja może zlecić wykonanie stosownej ekspertyzy, a oceny oferty dokonać po zapoznaniu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się z przedmiotową ekspertyzą.</w:t>
      </w:r>
    </w:p>
    <w:p w:rsidR="00870878" w:rsidRPr="00870878" w:rsidRDefault="00870878" w:rsidP="00851C99">
      <w:pPr>
        <w:numPr>
          <w:ilvl w:val="0"/>
          <w:numId w:val="31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sporządzany jest protokół, który przedstawiany jest Ministrowi Obrony Narodowej lub upoważnionemu Sekretarzowi Stanu w Ministerstwie Obrony Narodowej, w celu podjęcia decyzji o przyznaniu dotacji.</w:t>
      </w:r>
    </w:p>
    <w:p w:rsidR="00870878" w:rsidRPr="00870878" w:rsidRDefault="00870878" w:rsidP="00851C99">
      <w:pPr>
        <w:numPr>
          <w:ilvl w:val="0"/>
          <w:numId w:val="31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sobie prawo do przyznania mniejszej kwoty dotacji niż wnioskowana.</w:t>
      </w:r>
    </w:p>
    <w:p w:rsidR="00870878" w:rsidRPr="00870878" w:rsidRDefault="00870878" w:rsidP="00851C99">
      <w:pPr>
        <w:numPr>
          <w:ilvl w:val="0"/>
          <w:numId w:val="31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ogłaszane są </w:t>
      </w:r>
      <w:r w:rsidRPr="00870878">
        <w:rPr>
          <w:rFonts w:ascii="Times New Roman" w:hAnsi="Times New Roman" w:cs="Times New Roman"/>
          <w:sz w:val="24"/>
          <w:szCs w:val="24"/>
        </w:rPr>
        <w:t xml:space="preserve">w Biuletynie Informacji Publicznej MON, na stronie internetowej dostępnej pod linkiem: </w:t>
      </w:r>
      <w:hyperlink r:id="rId11" w:history="1">
        <w:r w:rsidRPr="0087087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870878">
        <w:rPr>
          <w:rFonts w:ascii="Times New Roman" w:hAnsi="Times New Roman" w:cs="Times New Roman"/>
          <w:sz w:val="24"/>
          <w:szCs w:val="24"/>
        </w:rPr>
        <w:t xml:space="preserve">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siedzibie organu.</w:t>
      </w:r>
    </w:p>
    <w:p w:rsidR="00870878" w:rsidRPr="00870878" w:rsidRDefault="00870878" w:rsidP="00851C99">
      <w:pPr>
        <w:numPr>
          <w:ilvl w:val="0"/>
          <w:numId w:val="31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którym przyznano dotację zobowiązane są do skontaktowania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się z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 poprzez adres e-mailowy </w:t>
      </w:r>
      <w:hyperlink r:id="rId12" w:history="1">
        <w:r w:rsidRPr="00870878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 (m.in. harmonogramu działań, kalkulacji przewidywanych kosztów realizacji zadania publicznego, rezultatów realizacji zadania publicznego itp.), w terminie 30 dni od dnia ogłoszenia wyników otwartego konkursu ofert. Brak kontaktu ze strony oferenta w ww. terminie może zostać uznany za rezygnację z podpisania umowy. </w:t>
      </w:r>
    </w:p>
    <w:p w:rsidR="00870878" w:rsidRPr="00870878" w:rsidRDefault="00870878" w:rsidP="00851C99">
      <w:pPr>
        <w:numPr>
          <w:ilvl w:val="0"/>
          <w:numId w:val="31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i umieszczenie tej informacji w Biuletynie Informacji Publicznej MON nie jest jednoznaczne ze zgodą zleceniodawcy na realizację zadania publicznego.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Realizacja zadania publicznego może odbywać się wyłącznie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 zawarciu umowy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</w:p>
    <w:p w:rsidR="00870878" w:rsidRPr="00870878" w:rsidRDefault="00870878" w:rsidP="00870878">
      <w:pPr>
        <w:numPr>
          <w:ilvl w:val="0"/>
          <w:numId w:val="5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870878" w:rsidRPr="00870878" w:rsidRDefault="00870878" w:rsidP="00870878">
      <w:pPr>
        <w:numPr>
          <w:ilvl w:val="3"/>
          <w:numId w:val="3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konkursu.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niezbędne do zawarcia umowy:</w:t>
      </w:r>
    </w:p>
    <w:p w:rsidR="00870878" w:rsidRPr="00870878" w:rsidRDefault="00870878" w:rsidP="00870878">
      <w:pPr>
        <w:numPr>
          <w:ilvl w:val="3"/>
          <w:numId w:val="1"/>
        </w:numPr>
        <w:spacing w:after="0" w:line="276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wydrukowany i podpisany przez osoby upoważnione do składania oświadczeń woli w imieniu oferenta oryginał oferty, o którym mowa w rozdziale III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pkt 1</w:t>
      </w:r>
      <w:r w:rsidR="00121E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niniejszego Regulaminu, a w przypadku gdy oferent usuwał uchybienia formalne także oryginał oferty z usuniętymi uchybieniami formalnymi, o którym mowa w rozdziale IV pkt 1 niniejszego Regulaminu;</w:t>
      </w:r>
    </w:p>
    <w:p w:rsidR="00870878" w:rsidRPr="00870878" w:rsidRDefault="00870878" w:rsidP="00870878">
      <w:pPr>
        <w:numPr>
          <w:ilvl w:val="3"/>
          <w:numId w:val="1"/>
        </w:numPr>
        <w:spacing w:after="0" w:line="276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gdy oferta wymaga aktualizacji – zaktualizowana wersja oferty lub zaktualizowane jej poszczególne elementy, tj.: </w:t>
      </w:r>
    </w:p>
    <w:p w:rsidR="00870878" w:rsidRPr="00870878" w:rsidRDefault="00870878" w:rsidP="00870878">
      <w:pPr>
        <w:spacing w:after="0" w:line="276" w:lineRule="auto"/>
        <w:ind w:left="1560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zaktualizowany syntetyczny opis zadania,</w:t>
      </w:r>
    </w:p>
    <w:p w:rsidR="00870878" w:rsidRPr="00870878" w:rsidRDefault="00870878" w:rsidP="00870878">
      <w:pPr>
        <w:spacing w:after="0" w:line="276" w:lineRule="auto"/>
        <w:ind w:left="1560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zaktualizowana kalkulacja przewidywanych kosztów realizacji zadania, </w:t>
      </w:r>
    </w:p>
    <w:p w:rsidR="00870878" w:rsidRPr="00870878" w:rsidRDefault="00870878" w:rsidP="00870878">
      <w:pPr>
        <w:spacing w:after="0" w:line="276" w:lineRule="auto"/>
        <w:ind w:left="1560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zaktualizowany harmonogram działań,</w:t>
      </w:r>
    </w:p>
    <w:p w:rsidR="00870878" w:rsidRPr="00870878" w:rsidRDefault="00870878" w:rsidP="00870878">
      <w:pPr>
        <w:spacing w:after="0" w:line="276" w:lineRule="auto"/>
        <w:ind w:left="1560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zaktualizowany opis zakładanych rezultatów realizacji zadania,</w:t>
      </w:r>
    </w:p>
    <w:p w:rsidR="00870878" w:rsidRPr="00870878" w:rsidRDefault="00870878" w:rsidP="00870878">
      <w:pPr>
        <w:spacing w:after="0" w:line="276" w:lineRule="auto"/>
        <w:ind w:left="1560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e)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zaktualizowane inne informacje.</w:t>
      </w:r>
    </w:p>
    <w:p w:rsidR="00870878" w:rsidRPr="00870878" w:rsidRDefault="00870878" w:rsidP="00870878">
      <w:pPr>
        <w:spacing w:after="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UWAGA: aktualizacja oferty lub jej części następuje po ogłoszeniu wyników konkursu. Zaktualizowana oferta składa się m. in. ze zaktualizowanych poszczególnych elementów oferty. Aktualizacja elementów oferty odbywa się poprzez naniesienie i przesłanie zmian we właściwej sekcji formularza za pośrednictwem serwisu Witkac.pl;</w:t>
      </w:r>
    </w:p>
    <w:p w:rsidR="00870878" w:rsidRPr="00870878" w:rsidRDefault="00870878" w:rsidP="00870878">
      <w:pPr>
        <w:numPr>
          <w:ilvl w:val="3"/>
          <w:numId w:val="1"/>
        </w:numPr>
        <w:spacing w:after="0" w:line="276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umowy pomiędzy oferentami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– w przypadku złożenia oferty wspólnej;</w:t>
      </w:r>
    </w:p>
    <w:p w:rsidR="00870878" w:rsidRPr="00870878" w:rsidRDefault="00870878" w:rsidP="00870878">
      <w:pPr>
        <w:numPr>
          <w:ilvl w:val="3"/>
          <w:numId w:val="1"/>
        </w:numPr>
        <w:spacing w:after="0" w:line="276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(wydruk) aktualnego odpisu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Krajowego Rejestru Sądowego, innego właściwego rejestru lub ewidencji,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a w przypadku innego sposobu reprezentacji niż wynikający z Krajowego Rejestru Sądowego lub innego właściwego rejestru lub ewidencji, innych dokumentów potwierdzających upoważnienie do działania w imieniu oferenta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(np. pełnomocnictwo);</w:t>
      </w:r>
    </w:p>
    <w:p w:rsidR="00870878" w:rsidRPr="00870878" w:rsidRDefault="00870878" w:rsidP="00870878">
      <w:pPr>
        <w:numPr>
          <w:ilvl w:val="3"/>
          <w:numId w:val="1"/>
        </w:numPr>
        <w:spacing w:after="0" w:line="276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oryginały wszystkich innych załączników do oferty, nie wskazanych powyżej. </w:t>
      </w:r>
    </w:p>
    <w:p w:rsidR="00870878" w:rsidRPr="00870878" w:rsidRDefault="00870878" w:rsidP="00870878">
      <w:p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ze strony oferenta podpisywana jest w siedzibie Departamentu Edukacji, Kultury i Dziedzictwa MON przez osoby upoważnione do </w:t>
      </w:r>
      <w:r w:rsidRPr="00870878">
        <w:rPr>
          <w:rFonts w:ascii="Times New Roman" w:hAnsi="Times New Roman" w:cs="Times New Roman"/>
          <w:sz w:val="24"/>
          <w:szCs w:val="24"/>
        </w:rPr>
        <w:t xml:space="preserve">składania oświadczeń woli w imieniu oferenta.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braku pieczęci imiennych, umowę podpisuje się czytelnie (pełnym imieniem i nazwiskiem). Tożsamość osób podpisujących umowę weryfikowana jest na podstawie dokumentów tożsamości. Za datę zawarcia umowy uważa się datę złożenia ostatniego podpisu przez osobę upoważnioną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do reprezentowania stron.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uzasadnionych przypadkach, w tym związanych z obostrzeniami epidemiologicznymi, umowa (trzy egzemplarze) może zostać przesłana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do zleceniobiorcy za pośrednictwem operatora pocztowego. Zleceniobiorca zobowiązany jest podpisać wszystkie egzemplarze umowy, dołączyć wymagane załączniki i odesłać dwa egzemplarze umowy do zleceniodawcy.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870878" w:rsidRPr="00870878" w:rsidRDefault="00870878" w:rsidP="00851C99">
      <w:pPr>
        <w:numPr>
          <w:ilvl w:val="0"/>
          <w:numId w:val="3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oferent nie złożył sprawozdania z realizacji zadania publicznego za lata poprzednie lub sprawozdanie to nie zostało ostatecznie zatwierdzone przez zleceniodawcę lub nie złożył sprawozdania z realizacji zadania publicznego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roku, w którym ma zostać podpisana umowa, jeżeli upłynął już termin na jego złożenie;</w:t>
      </w:r>
    </w:p>
    <w:p w:rsidR="00870878" w:rsidRPr="00870878" w:rsidRDefault="00870878" w:rsidP="00851C99">
      <w:pPr>
        <w:numPr>
          <w:ilvl w:val="0"/>
          <w:numId w:val="3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stosunku do oferenta toczy się postępowanie administracyjne w sprawie określenia wysokości dotacji przypadającej do zwrotu do budżetu państwa;</w:t>
      </w:r>
    </w:p>
    <w:p w:rsidR="00870878" w:rsidRPr="00870878" w:rsidRDefault="00870878" w:rsidP="00851C99">
      <w:pPr>
        <w:numPr>
          <w:ilvl w:val="0"/>
          <w:numId w:val="3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państwa;</w:t>
      </w:r>
    </w:p>
    <w:p w:rsidR="00870878" w:rsidRPr="00870878" w:rsidRDefault="00870878" w:rsidP="00851C99">
      <w:pPr>
        <w:numPr>
          <w:ilvl w:val="0"/>
          <w:numId w:val="3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postępowanie egzekucyjne przeciwko oferentowi, co mogłoby spowodować zajęcie dotacji na poczet zobowiązań oferenta.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2001 r.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dostępie do informacji publicznej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2022 r. poz. 902), z zastrzeżeniem wynikającym z art. 5 ust. 2 ww. ustawy.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Zawarcie umowy na realizację zadania publicznego nie oznacza, że wszelkie stosunki pomiędzy zleceniodawcą a zleceniobiorcą będą regulowane przez przepisy prawa prywatnego.</w:t>
      </w:r>
    </w:p>
    <w:p w:rsidR="00870878" w:rsidRPr="00870878" w:rsidRDefault="00870878" w:rsidP="00870878">
      <w:pPr>
        <w:numPr>
          <w:ilvl w:val="3"/>
          <w:numId w:val="3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870878" w:rsidRPr="00870878" w:rsidRDefault="00870878" w:rsidP="00851C99">
      <w:pPr>
        <w:numPr>
          <w:ilvl w:val="0"/>
          <w:numId w:val="1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 pod rygorem nieważności;</w:t>
      </w:r>
    </w:p>
    <w:p w:rsidR="00870878" w:rsidRPr="00870878" w:rsidRDefault="00870878" w:rsidP="00851C99">
      <w:pPr>
        <w:numPr>
          <w:ilvl w:val="0"/>
          <w:numId w:val="1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870878" w:rsidRPr="00870878" w:rsidRDefault="00870878" w:rsidP="00851C99">
      <w:pPr>
        <w:numPr>
          <w:ilvl w:val="0"/>
          <w:numId w:val="1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wymagają zmiany umowy dokonanej w formie pisemnej;</w:t>
      </w:r>
    </w:p>
    <w:p w:rsidR="00870878" w:rsidRPr="00870878" w:rsidRDefault="00870878" w:rsidP="00851C99">
      <w:pPr>
        <w:numPr>
          <w:ilvl w:val="0"/>
          <w:numId w:val="1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bez konieczności zmiany umowy dokonanej w formie pisemnej; </w:t>
      </w:r>
    </w:p>
    <w:p w:rsidR="00870878" w:rsidRPr="00870878" w:rsidRDefault="00870878" w:rsidP="00851C99">
      <w:pPr>
        <w:numPr>
          <w:ilvl w:val="0"/>
          <w:numId w:val="1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stosowna informacja o wniesieniu dodatkowego wkładu do zadania musi zostać zawarta w sprawozdaniu z realizacji zadania publicznego;</w:t>
      </w:r>
    </w:p>
    <w:p w:rsidR="00870878" w:rsidRPr="00870878" w:rsidRDefault="00870878" w:rsidP="00851C99">
      <w:pPr>
        <w:numPr>
          <w:ilvl w:val="0"/>
          <w:numId w:val="1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wniosku; wniosek o zmianę umowy wraz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uzasadnieniem zleceniobiorca zobowiązany jest przesłać do Departamentu Edukacji, Kultury i Dziedzictwa MON w terminie umożliwiającym dokonanie zmiany umowy na piśmie.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567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publicznego zleceniobiorca zobowiązany jest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bieżącego śledzenia aktualnych wytycznych i zaleceń dotyczących sytuacji epidemiologicznej i realizować zadanie zgodnie z tymi wytycznymi.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do umieszczania orła Ministerstwa Obrony Narodowej oraz znaku promocyjnego Wojska Polskiego, określonych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Ministra Obrony Narodowej z dnia 4 maja 2009 r.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870878">
        <w:rPr>
          <w:rFonts w:ascii="Times New Roman" w:hAnsi="Times New Roman" w:cs="Times New Roman"/>
          <w:sz w:val="24"/>
          <w:szCs w:val="24"/>
        </w:rPr>
        <w:t xml:space="preserve">Dz.U. z 2009 r. poz. 689, z późn. zm.),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informacji, że zadanie publiczne jest współfinansowane ze środków otrzymanych od zleceniodawcy, na wszystkich materiałach, w szczególności promocyjnych, informacyjnych, szkoleniowych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edukacyjnych, dotyczących realizowanego zadania publicznego oraz zakupionych rzeczach, o ile ich wielkość i przeznaczenie tego nie uniemożliwia, proporcjonalnie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wielkości innych oznaczeń, w sposób zapewniający jego dobrą widoczność.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sytuacji, kiedy </w:t>
      </w:r>
      <w:r w:rsidRPr="00870878">
        <w:rPr>
          <w:rFonts w:ascii="Times New Roman" w:hAnsi="Times New Roman" w:cs="Times New Roman"/>
          <w:sz w:val="24"/>
          <w:szCs w:val="24"/>
        </w:rPr>
        <w:t xml:space="preserve">zadanie publiczne zostało sfinansowane lub dofinansowane </w:t>
      </w:r>
      <w:r w:rsidRPr="00870878">
        <w:rPr>
          <w:rFonts w:ascii="Times New Roman" w:hAnsi="Times New Roman" w:cs="Times New Roman"/>
          <w:sz w:val="24"/>
          <w:szCs w:val="24"/>
        </w:rPr>
        <w:br/>
        <w:t xml:space="preserve">w wysokości powyżej 50.000,00 zł, zleceniobiorca jest zobowiązany do wykonania obowiązku, o którym mowa w art. 35a ustawy z dnia 27 sierpnia 2009 r. </w:t>
      </w:r>
      <w:r w:rsidRPr="00870878">
        <w:rPr>
          <w:rFonts w:ascii="Times New Roman" w:hAnsi="Times New Roman" w:cs="Times New Roman"/>
          <w:i/>
          <w:sz w:val="24"/>
          <w:szCs w:val="24"/>
        </w:rPr>
        <w:t>o finansach publicznych</w:t>
      </w:r>
      <w:r w:rsidRPr="00870878">
        <w:rPr>
          <w:rFonts w:ascii="Times New Roman" w:hAnsi="Times New Roman" w:cs="Times New Roman"/>
          <w:sz w:val="24"/>
          <w:szCs w:val="24"/>
        </w:rPr>
        <w:t xml:space="preserve"> (Dz.U. z 2022 r. poz. 1634, z późn. zm.), tj. do podjęcia działań informacyjnych dotyczących udzielonego finansowania lub dofinansowania z budżetu państwa, o których mowa w § 2 pkt 2 i 3 rozporządzenia Rady Ministrów z dnia </w:t>
      </w:r>
      <w:r w:rsidRPr="00870878">
        <w:rPr>
          <w:rFonts w:ascii="Times New Roman" w:hAnsi="Times New Roman" w:cs="Times New Roman"/>
          <w:sz w:val="24"/>
          <w:szCs w:val="24"/>
        </w:rPr>
        <w:br/>
        <w:t>7 maja 2021 r.</w:t>
      </w:r>
      <w:r w:rsidRPr="00870878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realizujące zadania finansowane i dofinansowane z budżetu państwa lub</w:t>
      </w:r>
      <w:r w:rsidRPr="0087087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70878">
        <w:rPr>
          <w:rFonts w:ascii="Times New Roman" w:hAnsi="Times New Roman" w:cs="Times New Roman"/>
          <w:i/>
          <w:iCs/>
          <w:sz w:val="24"/>
          <w:szCs w:val="24"/>
        </w:rPr>
        <w:lastRenderedPageBreak/>
        <w:t>z państwowych funduszy celowych</w:t>
      </w:r>
      <w:r w:rsidRPr="00870878">
        <w:rPr>
          <w:rFonts w:ascii="Times New Roman" w:hAnsi="Times New Roman" w:cs="Times New Roman"/>
          <w:sz w:val="24"/>
          <w:szCs w:val="24"/>
        </w:rPr>
        <w:t xml:space="preserve"> (Dz. U. poz. 953, z późn. zm.), w sposób określony w tym rozporządzeniu.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W ramach realizowanego zadania publicznego zleceniobiorca jest zobowiązany do zapewnienia dostępności osobom ze szczególnymi potrzebami w zakresie określonym w zawartej umowie, o czym mowa w ustawie z dnia 19 lipca 2019 r. </w:t>
      </w:r>
      <w:r w:rsidR="00B536C9">
        <w:rPr>
          <w:rFonts w:ascii="Times New Roman" w:hAnsi="Times New Roman" w:cs="Times New Roman"/>
          <w:sz w:val="24"/>
          <w:szCs w:val="24"/>
        </w:rPr>
        <w:br/>
      </w:r>
      <w:r w:rsidRPr="00870878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870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W ramach realizowanego zadania publicznego zleceniobiorca jest zobowiązany </w:t>
      </w:r>
      <w:r w:rsidRPr="00870878">
        <w:rPr>
          <w:rFonts w:ascii="Times New Roman" w:hAnsi="Times New Roman" w:cs="Times New Roman"/>
          <w:sz w:val="24"/>
          <w:szCs w:val="24"/>
        </w:rPr>
        <w:br/>
        <w:t>do prowadzenia działań informacyjnych wskazanych w ofercie, stosując następujące zasady:</w:t>
      </w:r>
    </w:p>
    <w:p w:rsidR="00870878" w:rsidRPr="00870878" w:rsidRDefault="00870878" w:rsidP="00851C99">
      <w:pPr>
        <w:numPr>
          <w:ilvl w:val="0"/>
          <w:numId w:val="36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>informacje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zadaniu publicznym umieszczone na stronie internetowej, profilach 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internetowych serwisach społecznościowych, materiałach umieszczonych </w:t>
      </w: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przestrzeni publicznej powinny zawierać m.in. informacje takie jak: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tytuł zadania,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 i założenia zadania publicznego,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realizacji zadania publicznego,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szkolenia,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 szkolenia,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grupa docelowa zadania publicznego,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informacja o odpłatności zadania publicznego,</w:t>
      </w:r>
    </w:p>
    <w:p w:rsidR="00870878" w:rsidRPr="00870878" w:rsidRDefault="00870878" w:rsidP="00851C99">
      <w:pPr>
        <w:numPr>
          <w:ilvl w:val="0"/>
          <w:numId w:val="37"/>
        </w:numPr>
        <w:spacing w:after="0" w:line="276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informacja o dofinansowaniu zadania publicznego;</w:t>
      </w:r>
    </w:p>
    <w:p w:rsidR="00870878" w:rsidRPr="00870878" w:rsidRDefault="00870878" w:rsidP="00851C99">
      <w:pPr>
        <w:numPr>
          <w:ilvl w:val="0"/>
          <w:numId w:val="36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plakaty, banery, materiały informacyjne itp. należy umieścić w miejscu realizacji zadania publicznego w dniu podjęcia pierwszych czynności zmierzających bezpośrednio do jego realizacji i powinny się tam znajdować do momentu zakończenia tych czynności.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przekazana zleceniobiorcy przez zleceniodawcę ma charakter publicznoprawny i podlega szczególnym zasadom rozliczania.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prawidłowości wykorzystania dotacji decyduje między innymi termin, w którym środki z dotacji pozostają w dyspozycji zleceniobiorcy, czyli od dnia otrzymania dotacji na rachunek bankowy do 14 dni od dnia zakończenia realizacji zadania publicznego, nie później jednak niż do dnia 31 grudnia danego roku. W przypadku dotacji celowych udzielanych przez Ministra Obrony Narodowej obowiązuje zasada roczności budżetu.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z dotacji mają charakter „znaczony” i mogą być wykorzystane dopiero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otrzymaniu przez zleceniobiorcę dotacji na rachunek bankowy, tj. dotacja nie może być przeznaczona np. na zwrot wydatków wcześniej poniesionych przez zleceniobiorcę.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Zleceniodawca nie ponosi odpowiedzialności za działania podmiotów współpracujących ze zleceniobiorcą podczas realizacji zadania publicznego,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oznacza, że to zleceniobiorca jest w całości odpowiedzialny za realizację zadania publicznego oraz prawidłowość wydatkowania dotacji i tylko zleceniobiorca może być stroną w postępowaniu dotyczącym zwrotu dotacji w związku z jej nieprawidłowym wykorzystaniem.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przedstawienia na żądanie zleceniobiorcy wszelkich dokumentów, dodatkowych informacji, wyjaśnień oraz dowodów związanych z realizowanym zadaniem.</w:t>
      </w:r>
    </w:p>
    <w:p w:rsidR="00870878" w:rsidRPr="00870878" w:rsidRDefault="00870878" w:rsidP="00870878">
      <w:pPr>
        <w:numPr>
          <w:ilvl w:val="3"/>
          <w:numId w:val="4"/>
        </w:numPr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zleceniobiorcy jest takie dokumentowanie prowadzonych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tego zadania czynności i związanych z nimi wydatków, by organ, od którego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środki te pochodzą, w oparciu o przedstawione i wiarygodne dokumenty, był w stanie powiązać każdy poniesiony wydatek z realizowanym w ramach zadania celem. Dokumentacja taka będzie stanowić podstawę do dokonania oceny sprawozdania końcowego z realizacji zadania publicznego. Dokumentacja powinna obejmować faktury i inne dowody księgowe, potwierdzenia dokonania zapłaty, potwierdzenia przepływu gotówkowego (dotyczące wydatków poniesionych na realizację zadania zarówno ze środków z dotacji, jak też ze środków finansowych innych niż dotacja) oraz inne dokumenty potwierdzające realizację zadania publicznego (np. listy odbiorców nagród, wykaz uczestników, zdjęcia/filmy dokumentujące realizowane czynności, harmonogramy, plany i/lub inną dokumentację szkoleniową itp.). </w:t>
      </w:r>
    </w:p>
    <w:p w:rsidR="00870878" w:rsidRPr="00870878" w:rsidRDefault="00870878" w:rsidP="00870878">
      <w:pPr>
        <w:numPr>
          <w:ilvl w:val="0"/>
          <w:numId w:val="5"/>
        </w:numPr>
        <w:suppressAutoHyphens/>
        <w:autoSpaceDN w:val="0"/>
        <w:spacing w:after="0" w:line="276" w:lineRule="auto"/>
        <w:ind w:left="567" w:hanging="57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870878" w:rsidRPr="00870878" w:rsidRDefault="00870878" w:rsidP="00851C99">
      <w:pPr>
        <w:numPr>
          <w:ilvl w:val="0"/>
          <w:numId w:val="2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870878" w:rsidRPr="00870878" w:rsidRDefault="00870878" w:rsidP="00851C99">
      <w:pPr>
        <w:numPr>
          <w:ilvl w:val="0"/>
          <w:numId w:val="2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kwalifikowalne.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Koszty kwalifikowane – koszty poniesione na realizację zadania, zarówno ze środków z dotacji, jak i środków finansowych innych niż dotacja: </w:t>
      </w:r>
    </w:p>
    <w:p w:rsidR="00870878" w:rsidRPr="00870878" w:rsidRDefault="00870878" w:rsidP="00851C99">
      <w:pPr>
        <w:numPr>
          <w:ilvl w:val="1"/>
          <w:numId w:val="21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efektywne;</w:t>
      </w:r>
    </w:p>
    <w:p w:rsidR="00870878" w:rsidRPr="00870878" w:rsidRDefault="00870878" w:rsidP="00851C99">
      <w:pPr>
        <w:numPr>
          <w:ilvl w:val="1"/>
          <w:numId w:val="21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zadania;</w:t>
      </w:r>
    </w:p>
    <w:p w:rsidR="00870878" w:rsidRPr="00870878" w:rsidRDefault="00870878" w:rsidP="00851C99">
      <w:pPr>
        <w:numPr>
          <w:ilvl w:val="1"/>
          <w:numId w:val="21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poz. 120, z późn. zm.) oraz w ustawie z dnia 11 marca 2004 r.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 usług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2022 r. poz. 931, z późn. zm.);</w:t>
      </w:r>
    </w:p>
    <w:p w:rsidR="00870878" w:rsidRPr="00870878" w:rsidRDefault="00870878" w:rsidP="00851C99">
      <w:pPr>
        <w:numPr>
          <w:ilvl w:val="1"/>
          <w:numId w:val="21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zadania);</w:t>
      </w:r>
    </w:p>
    <w:p w:rsidR="00870878" w:rsidRPr="00870878" w:rsidRDefault="00870878" w:rsidP="00851C99">
      <w:pPr>
        <w:numPr>
          <w:ilvl w:val="1"/>
          <w:numId w:val="21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Regulaminie;</w:t>
      </w:r>
    </w:p>
    <w:p w:rsidR="00870878" w:rsidRPr="00870878" w:rsidRDefault="00870878" w:rsidP="00851C99">
      <w:pPr>
        <w:numPr>
          <w:ilvl w:val="1"/>
          <w:numId w:val="21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amortyzacji;</w:t>
      </w:r>
    </w:p>
    <w:p w:rsidR="00870878" w:rsidRPr="00870878" w:rsidRDefault="00870878" w:rsidP="00851C99">
      <w:pPr>
        <w:numPr>
          <w:ilvl w:val="1"/>
          <w:numId w:val="21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wynagrodzenia osobowe i bezosobowe (zatrudnienie w ramach stosunku pracy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na podstawie umów cywilnoprawnych) w zakresie bezpośrednio związanym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realizacją zadania publicznego.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– koszty pokryte zarówno z dotacji, jak również </w:t>
      </w: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ze środków finansowych innych niż dotacja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się jednoznacznie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zadania, a także: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(podlegających amortyzacji) w rozumieniu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art. 3 ust. 1 pkt 15 ustawy </w:t>
      </w:r>
      <w:r w:rsidRPr="00870878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ust. 1 ustawy z dnia 15 lutego 1992 r.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(Dz. U. z 2022 r. poz. 2587, z późn. zm.);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koszty procesów sądowych;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w zakresie niezwiązanym z realizacją zadania publicznego;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osobowe i bezosobowe osób będących żołnierzami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pracownikami Departamentu Edukacji, Kultury i Dziedzictwa MON, bądź innego podmiotu (instytucji, jednostki organizacyjnej, itp.) biorącego udział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strony zleceniodawcy w procesie finansowania, nadzoru i kontroli zadania publicznego;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podatki z wyłączeniem podatku dochodowego od osób fizycznych oraz składek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na ubezpieczenie społeczne i zdrowotne związane z realizacją zadania publicznego;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wydatki poniesione przed terminem realizacji zadania oraz po upływie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zakończenia realizacji zadania publicznego, nie później jednak niż do dnia 31 grudnia danego roku;</w:t>
      </w:r>
    </w:p>
    <w:p w:rsidR="00870878" w:rsidRPr="00870878" w:rsidRDefault="00870878" w:rsidP="00851C99">
      <w:pPr>
        <w:numPr>
          <w:ilvl w:val="5"/>
          <w:numId w:val="22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przy pomocy dokumentów księgowych, które:</w:t>
      </w:r>
    </w:p>
    <w:p w:rsidR="00870878" w:rsidRPr="00870878" w:rsidRDefault="00870878" w:rsidP="00851C99">
      <w:pPr>
        <w:numPr>
          <w:ilvl w:val="0"/>
          <w:numId w:val="23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 zostały przed datą zawarcia umowy,</w:t>
      </w:r>
    </w:p>
    <w:p w:rsidR="00870878" w:rsidRPr="00870878" w:rsidRDefault="00870878" w:rsidP="00851C99">
      <w:pPr>
        <w:numPr>
          <w:ilvl w:val="0"/>
          <w:numId w:val="23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spełniają warunków określonych w ustawie o rachunkowości oraz ustawie o podatku od towarów i usług,</w:t>
      </w:r>
    </w:p>
    <w:p w:rsidR="00870878" w:rsidRPr="00870878" w:rsidRDefault="00870878" w:rsidP="00851C99">
      <w:pPr>
        <w:numPr>
          <w:ilvl w:val="0"/>
          <w:numId w:val="23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wskazują, że data rzeczywistego odbioru towaru lub data wykonania usługi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nie zawiera się w faktycznym terminie realizacji zadania publicznego i jego poszczególnych działań w ramach tego zadania.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8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nieudokumentowany lub nienależycie udokumentowany wkład osobowy i rzeczowy, niepodlegający z tego tytułu wycenie, a tym samym niestanowiący kosztu zadania publicznego.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wyłącznie w terminie określonym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umowie, przy czym dla środków pochodzących z dotacji termin ich wydatkowania nie może być wcześniejszy niż od dnia ich otrzymania na rachunek bankowy zleceniobiorcy. Dotyczy to również kosztów eksploatacji, za które faktury wystawione są w miesiącu następnym. Faktury za usługi za telefon lub inne usługi eksploatacyjne (np. energia, woda, itp.) należy zaliczkowo zapłacić w miesiącu, w którym kończy się realizacja zadania.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ponoszone z dotacji muszą być dokonywane z rachunku bankowego zleceniobiorcy wskazanego w umowie, natomiast płatności ze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finansowych innych niż dotacja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też dokonywać z innych rachunków bankowych zleceniobiorcy. Dopuszcza się dokonywanie płatności gotówkowych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przypadku, gdy nie jest możliwy obrót bezgotówkowy, jednakże wydatki (transakcje) powyżej 15 tys. zł (zakup wszelkich usług i towarów u jednego kontrahenta), bez względu na liczbę dokonanych płatności mogą być dokonywane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tylko za pośrednictwem rachunku bankowego.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 tys. zł, dokonywane poza rachunkiem bankowym będą traktowane jako koszt niekwalifikowany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mogą być dokonywane również z karty płatniczej przypisanej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właściwego rachunku bankowego zleceniobiorcy.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podmiot. Intencja powierzenia realizacji części zadania innemu podmiotowi (podmiotom) musi wynikać z oferty, co też stanowić będzie podstawę do udzielenia stosownego zezwolenia na wykonanie określonej części zadania przez podmiot niebędący stroną umowy w treści zawartej umowy.</w:t>
      </w:r>
      <w:r w:rsidRPr="00870878" w:rsidDel="00095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zadania zarówno z dotacji jak i ze środków finansowych innych niż dotacja wyłącznie na podstawie dowodów księgowych spełniających warunki określone w przepisach ustawy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(w szczególności w art. 20 ust. 2 i art. 21) oraz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podatku od towarów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i usług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szczególności art. 106e, 106i, 106m).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oryginału dowodu księgowego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uwzględnieniem art. 21 ustawy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powinny zawierać:</w:t>
      </w:r>
    </w:p>
    <w:p w:rsidR="00870878" w:rsidRPr="00870878" w:rsidRDefault="00870878" w:rsidP="00851C99">
      <w:pPr>
        <w:numPr>
          <w:ilvl w:val="0"/>
          <w:numId w:val="24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870878" w:rsidRPr="00870878" w:rsidRDefault="00870878" w:rsidP="00851C99">
      <w:pPr>
        <w:numPr>
          <w:ilvl w:val="0"/>
          <w:numId w:val="25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…….”,</w:t>
      </w:r>
    </w:p>
    <w:p w:rsidR="00870878" w:rsidRPr="00870878" w:rsidRDefault="00870878" w:rsidP="00851C99">
      <w:pPr>
        <w:numPr>
          <w:ilvl w:val="0"/>
          <w:numId w:val="25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……..”; </w:t>
      </w:r>
    </w:p>
    <w:p w:rsidR="00870878" w:rsidRPr="00870878" w:rsidRDefault="00870878" w:rsidP="00851C99">
      <w:pPr>
        <w:numPr>
          <w:ilvl w:val="0"/>
          <w:numId w:val="2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870878" w:rsidRPr="00870878" w:rsidRDefault="00870878" w:rsidP="00851C99">
      <w:pPr>
        <w:numPr>
          <w:ilvl w:val="0"/>
          <w:numId w:val="26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870878" w:rsidRPr="00870878" w:rsidRDefault="00870878" w:rsidP="00851C99">
      <w:pPr>
        <w:numPr>
          <w:ilvl w:val="0"/>
          <w:numId w:val="26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opłacona ze środków pochodzących z dotacji, a z jakiej ze środków finansowych innych niż dotacja, ze wskazaniem pozycji kosztorysu,</w:t>
      </w:r>
    </w:p>
    <w:p w:rsidR="00870878" w:rsidRPr="00870878" w:rsidRDefault="00870878" w:rsidP="00851C99">
      <w:pPr>
        <w:numPr>
          <w:ilvl w:val="0"/>
          <w:numId w:val="26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– data i czytelny podpis osoby upoważnionej, odpowiedzialnej za część merytoryczną,</w:t>
      </w:r>
    </w:p>
    <w:p w:rsidR="00870878" w:rsidRPr="00870878" w:rsidRDefault="00870878" w:rsidP="00851C99">
      <w:pPr>
        <w:numPr>
          <w:ilvl w:val="0"/>
          <w:numId w:val="26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– data i czytelny podpis osoby odpowiedzialnej za prowadzenie ksiąg rachunkowych,</w:t>
      </w:r>
    </w:p>
    <w:p w:rsidR="00870878" w:rsidRPr="00870878" w:rsidRDefault="00870878" w:rsidP="00851C99">
      <w:pPr>
        <w:numPr>
          <w:ilvl w:val="0"/>
          <w:numId w:val="26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– sposób ujęcia dowodu w księgach rachunkowych wraz z podpisem osoby dokonującej wpisu do ewidencji księgowej oraz numerem dowodu księgowego,</w:t>
      </w:r>
    </w:p>
    <w:p w:rsidR="00870878" w:rsidRPr="00870878" w:rsidRDefault="00870878" w:rsidP="00851C99">
      <w:pPr>
        <w:numPr>
          <w:ilvl w:val="0"/>
          <w:numId w:val="26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księgowego (lub inną osobę odpowiedzialną za prowadzenie spraw finansowych podmiotu) dowodu księgowego do zapłaty (data i czytelny podpis),</w:t>
      </w:r>
    </w:p>
    <w:p w:rsidR="00870878" w:rsidRPr="00870878" w:rsidRDefault="00870878" w:rsidP="00851C99">
      <w:pPr>
        <w:numPr>
          <w:ilvl w:val="0"/>
          <w:numId w:val="26"/>
        </w:numPr>
        <w:suppressAutoHyphens/>
        <w:autoSpaceDN w:val="0"/>
        <w:spacing w:after="0" w:line="276" w:lineRule="auto"/>
        <w:ind w:left="1560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podpis).</w:t>
      </w:r>
    </w:p>
    <w:p w:rsidR="00870878" w:rsidRDefault="00870878" w:rsidP="00870878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0878" w:rsidRDefault="00870878" w:rsidP="00870878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34AE" w:rsidRDefault="003C34AE" w:rsidP="00870878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34AE" w:rsidRPr="00870878" w:rsidRDefault="003C34AE" w:rsidP="00870878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0878" w:rsidRPr="00870878" w:rsidRDefault="00870878" w:rsidP="00870878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Przykład</w:t>
      </w: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4"/>
      </w:tblGrid>
      <w:tr w:rsidR="00870878" w:rsidRPr="00870878" w:rsidTr="00870878">
        <w:trPr>
          <w:trHeight w:val="646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51C99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Operacja dotyczy realizacji zadania: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124234620"/>
                <w:placeholder>
                  <w:docPart w:val="48524EE2949848DEA9E9349E18E46BC0"/>
                </w:placeholder>
              </w:sdtPr>
              <w:sdtEndPr/>
              <w:sdtContent>
                <w:r w:rsidRPr="00870878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nazwa zadania</w:t>
                </w:r>
              </w:sdtContent>
            </w:sdt>
          </w:p>
        </w:tc>
      </w:tr>
      <w:tr w:rsidR="00870878" w:rsidRPr="00870878" w:rsidTr="00870878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umową nr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1061296841"/>
                <w:placeholder>
                  <w:docPart w:val="BAF82EDC46E041C1820423DD51266D73"/>
                </w:placeholder>
              </w:sdtPr>
              <w:sdtEndPr/>
              <w:sdtContent>
                <w:r w:rsidRPr="00870878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numer umowy</w:t>
                </w:r>
              </w:sdtContent>
            </w:sdt>
            <w:r w:rsidRPr="0087087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-865128554"/>
                <w:placeholder>
                  <w:docPart w:val="B2E2FB71B5734705993A9456112407F1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870878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data zawarcia umowy</w:t>
                </w:r>
              </w:sdtContent>
            </w:sdt>
          </w:p>
        </w:tc>
      </w:tr>
      <w:tr w:rsidR="00870878" w:rsidRPr="00870878" w:rsidTr="00870878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993521401"/>
                <w:placeholder>
                  <w:docPart w:val="A5DF52942F844EC5B5234BD7697A1FCF"/>
                </w:placeholder>
              </w:sdtPr>
              <w:sdtEndPr/>
              <w:sdtContent>
                <w:r w:rsidRPr="00870878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aneksu</w:t>
                </w:r>
              </w:sdtContent>
            </w:sdt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78039385"/>
                <w:placeholder>
                  <w:docPart w:val="6A81A79CE91C48208394F252C37CAFFC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870878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39"/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74"/>
      </w:tblGrid>
      <w:tr w:rsidR="00870878" w:rsidRPr="00870878" w:rsidTr="00870878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878013978"/>
                <w:placeholder>
                  <w:docPart w:val="1CCD5C81884C45E29E29FA2489A7ED39"/>
                </w:placeholder>
                <w:showingPlcHdr/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870878" w:rsidRPr="00870878" w:rsidTr="00870878">
        <w:trPr>
          <w:trHeight w:val="39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pl-PL"/>
                </w:rPr>
                <w:id w:val="-1974129147"/>
                <w:placeholder>
                  <w:docPart w:val="D97481382CA04C67BC1F29D8E2CB60CC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Numer pozycji np. I.A.3</w:t>
                </w:r>
              </w:sdtContent>
            </w:sdt>
          </w:p>
        </w:tc>
      </w:tr>
      <w:tr w:rsidR="00870878" w:rsidRPr="00870878" w:rsidTr="00870878">
        <w:trPr>
          <w:trHeight w:val="8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1200627297"/>
                <w:placeholder>
                  <w:docPart w:val="5261B3E6012E4ACAA8DFB32879DF3956"/>
                </w:placeholder>
                <w:showingPlcHdr/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  <w:tr w:rsidR="00870878" w:rsidRPr="00870878" w:rsidTr="00870878">
        <w:trPr>
          <w:trHeight w:val="4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 innych środków finansowych niż dotacja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42607926"/>
                <w:placeholder>
                  <w:docPart w:val="29D6EC420E9C4236BD0AD7CC069E6962"/>
                </w:placeholder>
                <w:showingPlcHdr/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3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870878" w:rsidRPr="00870878" w:rsidTr="00870878">
        <w:trPr>
          <w:gridAfter w:val="2"/>
          <w:wAfter w:w="86" w:type="dxa"/>
          <w:trHeight w:val="300"/>
        </w:trPr>
        <w:tc>
          <w:tcPr>
            <w:tcW w:w="9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Stwierdzam zgodność merytoryczną</w:t>
            </w:r>
          </w:p>
        </w:tc>
      </w:tr>
      <w:tr w:rsidR="00870878" w:rsidRPr="00870878" w:rsidTr="00870878">
        <w:trPr>
          <w:gridAfter w:val="2"/>
          <w:wAfter w:w="86" w:type="dxa"/>
          <w:trHeight w:val="636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475076248"/>
                <w:placeholder>
                  <w:docPart w:val="64E2E83B32884CCC95D8ECC220A9D79C"/>
                </w:placeholder>
                <w:date w:fullDate="2023-03-2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2023-03-23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gridAfter w:val="2"/>
          <w:wAfter w:w="86" w:type="dxa"/>
          <w:trHeight w:val="300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870878" w:rsidRPr="00870878" w:rsidTr="00870878">
        <w:trPr>
          <w:gridAfter w:val="1"/>
          <w:wAfter w:w="76" w:type="dxa"/>
          <w:trHeight w:val="685"/>
        </w:trPr>
        <w:tc>
          <w:tcPr>
            <w:tcW w:w="92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Sprawdzono pod względem rachunkowym</w:t>
            </w:r>
          </w:p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formalnym</w:t>
            </w:r>
          </w:p>
        </w:tc>
      </w:tr>
      <w:tr w:rsidR="00870878" w:rsidRPr="00870878" w:rsidTr="00870878">
        <w:trPr>
          <w:gridAfter w:val="1"/>
          <w:wAfter w:w="76" w:type="dxa"/>
          <w:trHeight w:val="557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810081491"/>
                <w:placeholder>
                  <w:docPart w:val="7010BA8394254ECDAD4881DC478671B7"/>
                </w:placeholder>
                <w:date w:fullDate="2023-03-2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2023-03-23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gridAfter w:val="1"/>
          <w:wAfter w:w="76" w:type="dxa"/>
          <w:trHeight w:val="476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gridAfter w:val="1"/>
          <w:wAfter w:w="76" w:type="dxa"/>
          <w:trHeight w:val="20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870878" w:rsidRPr="00870878" w:rsidTr="00870878">
        <w:trPr>
          <w:trHeight w:val="311"/>
        </w:trPr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Zatwierdzono do wypłaty</w:t>
            </w:r>
          </w:p>
        </w:tc>
      </w:tr>
      <w:tr w:rsidR="00870878" w:rsidRPr="00870878" w:rsidTr="00870878">
        <w:trPr>
          <w:trHeight w:val="557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1991896775"/>
                <w:placeholder>
                  <w:docPart w:val="F34D6A500524440B8267C618BE07C3AB"/>
                </w:placeholder>
                <w:date w:fullDate="2023-03-2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2023-03-23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trHeight w:val="476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trHeight w:val="3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870878" w:rsidRPr="00870878" w:rsidTr="00870878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</w:t>
            </w:r>
          </w:p>
          <w:p w:rsidR="00870878" w:rsidRPr="00870878" w:rsidRDefault="00870878" w:rsidP="0087087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</w:t>
            </w:r>
          </w:p>
        </w:tc>
      </w:tr>
      <w:tr w:rsidR="00870878" w:rsidRPr="00870878" w:rsidTr="00870878">
        <w:trPr>
          <w:gridBefore w:val="1"/>
          <w:gridAfter w:val="3"/>
          <w:wBefore w:w="814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023664214"/>
                <w:placeholder>
                  <w:docPart w:val="9B73991FD4FD4B3797D4B7BF7660C613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1788503642"/>
                <w:placeholder>
                  <w:docPart w:val="6E8BB367907448ADA749625F980E04BE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58686302"/>
                <w:placeholder>
                  <w:docPart w:val="4496783CB1DD4ECBBB8255E2DBD0663F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</w:tr>
      <w:tr w:rsidR="00870878" w:rsidRPr="00870878" w:rsidTr="00870878">
        <w:trPr>
          <w:gridBefore w:val="1"/>
          <w:gridAfter w:val="3"/>
          <w:wBefore w:w="814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106782055"/>
                <w:placeholder>
                  <w:docPart w:val="A1056245392247F593962AFC7D9F3ED0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624705030"/>
                <w:placeholder>
                  <w:docPart w:val="FFF2B093F0A54BB5957BECB57053BCE1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  <w:tr w:rsidR="00870878" w:rsidRPr="00870878" w:rsidTr="00870878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761952831"/>
                <w:placeholder>
                  <w:docPart w:val="2A9D6FEA8B534D7EA3536BD92ECBA347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09200060"/>
                <w:placeholder>
                  <w:docPart w:val="C50E50FC798D447FA9DFE65EB5861F55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362396875"/>
                <w:placeholder>
                  <w:docPart w:val="FCD7F18D6B2D43358F39966234400963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</w:tbl>
    <w:p w:rsidR="00870878" w:rsidRDefault="00870878" w:rsidP="00870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0878" w:rsidRPr="00870878" w:rsidRDefault="00870878" w:rsidP="00870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870878" w:rsidRPr="00870878" w:rsidTr="00870878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Księgowość</w:t>
            </w:r>
          </w:p>
        </w:tc>
      </w:tr>
      <w:tr w:rsidR="00870878" w:rsidRPr="00870878" w:rsidTr="00870878">
        <w:trPr>
          <w:trHeight w:val="557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734092070"/>
                <w:placeholder>
                  <w:docPart w:val="31D2B4162C5D4CAEBAE9069155FEF720"/>
                </w:placeholder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393B01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-1412073359"/>
                <w:placeholder>
                  <w:docPart w:val="8368FE22E97445F6B94EC1CACF3E95E7"/>
                </w:placeholder>
                <w:date w:fullDate="2023-03-2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70878" w:rsidRPr="0087087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l-PL"/>
                  </w:rPr>
                  <w:t>2023-03-23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trHeight w:val="563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0878" w:rsidRPr="00870878" w:rsidTr="00870878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78" w:rsidRPr="00870878" w:rsidRDefault="00870878" w:rsidP="008708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08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</w:tbl>
    <w:p w:rsidR="00870878" w:rsidRPr="00870878" w:rsidRDefault="00870878" w:rsidP="00870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Rozliczenie podróży służbowych odbywa się w oparciu o rozporządzenie Ministra Pracy i Polityki Społecznej z dnia 29 stycznia 2013 r. </w:t>
      </w:r>
      <w:r w:rsidRPr="008708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167, z późń. zm.).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 bezpośredni związek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</w:t>
      </w:r>
      <w:r w:rsidR="003C3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publicznego określonego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870878">
        <w:rPr>
          <w:rFonts w:ascii="Times New Roman" w:hAnsi="Times New Roman" w:cs="Times New Roman"/>
          <w:sz w:val="24"/>
          <w:szCs w:val="24"/>
        </w:rPr>
        <w:t>.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niekwalifikowany. 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udokumentowania fakturami (rachunkami) diety oraz wydatki objęte ryczałtem.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rozliczający podróż służbową (Polecenie wyjazdu służbowego) powinien zawierać wszystkie dane określające cel i koszty dotyczące podróży służbowej, a po jej zakończeniu powinien być zaakceptowany przez osobę upoważnioną.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prywatnym. W takim przypadku osobie odbywającej podróż służbową przysługuje zwrot kosztów przejazdu w wysokości stanowiącej iloczyn ilości przejechanych kilometrów i stawki za jeden kilometr przebiegu, właściwej dla danego pojazdu,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większej niż określona w rozporządzeniu Ministra Infrastruktury z dnia 25 marca 2002 r.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 poz. 271, z późn. zm.), tj.:</w:t>
      </w:r>
    </w:p>
    <w:p w:rsidR="00870878" w:rsidRPr="00870878" w:rsidRDefault="00870878" w:rsidP="00851C99">
      <w:pPr>
        <w:numPr>
          <w:ilvl w:val="0"/>
          <w:numId w:val="2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</w:t>
      </w:r>
      <w:r w:rsidRPr="008708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0,89 zł/km;</w:t>
      </w:r>
    </w:p>
    <w:p w:rsidR="00870878" w:rsidRPr="00870878" w:rsidRDefault="00870878" w:rsidP="00851C99">
      <w:pPr>
        <w:numPr>
          <w:ilvl w:val="0"/>
          <w:numId w:val="2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</w:t>
      </w:r>
      <w:r w:rsidRPr="008708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1,15 zł/km;</w:t>
      </w:r>
    </w:p>
    <w:p w:rsidR="00870878" w:rsidRPr="00870878" w:rsidRDefault="00870878" w:rsidP="00851C99">
      <w:pPr>
        <w:numPr>
          <w:ilvl w:val="0"/>
          <w:numId w:val="27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– 0,69 zł/km;</w:t>
      </w:r>
    </w:p>
    <w:p w:rsidR="00870878" w:rsidRPr="00870878" w:rsidRDefault="00870878" w:rsidP="00851C99">
      <w:pPr>
        <w:numPr>
          <w:ilvl w:val="0"/>
          <w:numId w:val="27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– 0,42 zł/km.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pojazdu stanowiącego środek trwały zleceniobiorcy lub samochodu wypożyczonego w trakcie realizacji zadania, wymaga udokumentowania poprzez:</w:t>
      </w:r>
    </w:p>
    <w:p w:rsidR="00870878" w:rsidRPr="00870878" w:rsidRDefault="00870878" w:rsidP="00851C99">
      <w:pPr>
        <w:numPr>
          <w:ilvl w:val="0"/>
          <w:numId w:val="28"/>
        </w:numPr>
        <w:suppressAutoHyphens/>
        <w:autoSpaceDN w:val="0"/>
        <w:spacing w:after="0" w:line="276" w:lineRule="auto"/>
        <w:ind w:left="1134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:rsidR="00870878" w:rsidRPr="00870878" w:rsidRDefault="00870878" w:rsidP="00851C99">
      <w:pPr>
        <w:numPr>
          <w:ilvl w:val="0"/>
          <w:numId w:val="28"/>
        </w:numPr>
        <w:suppressAutoHyphens/>
        <w:autoSpaceDN w:val="0"/>
        <w:spacing w:after="0" w:line="276" w:lineRule="auto"/>
        <w:ind w:left="1134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paliwo.</w:t>
      </w:r>
    </w:p>
    <w:p w:rsidR="00870878" w:rsidRPr="00870878" w:rsidRDefault="00870878" w:rsidP="00870878">
      <w:p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ewidencji przebiegu pojazdu bądź dokumentów potwierdzających poniesione wydatki na paliwo, wykluczają możliwość zaliczenia wykazanych wydatków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kosztów kwalifikowalnych. </w:t>
      </w:r>
    </w:p>
    <w:p w:rsidR="00870878" w:rsidRPr="00870878" w:rsidRDefault="00870878" w:rsidP="00870878">
      <w:p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przebiegu pojazdu musi zawierać co najmniej następujące dane: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pojazd;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silnika;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wyjazdu;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kilometrów;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przebiegu;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przebiegu;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pojazd;</w:t>
      </w:r>
    </w:p>
    <w:p w:rsidR="00870878" w:rsidRPr="00870878" w:rsidRDefault="00870878" w:rsidP="00851C99">
      <w:pPr>
        <w:numPr>
          <w:ilvl w:val="1"/>
          <w:numId w:val="29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w jego imieniu.</w:t>
      </w:r>
    </w:p>
    <w:p w:rsidR="00870878" w:rsidRPr="00870878" w:rsidRDefault="00870878" w:rsidP="00851C99">
      <w:pPr>
        <w:numPr>
          <w:ilvl w:val="3"/>
          <w:numId w:val="1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Koszty ubezpieczenia pojazdu lub koszty związane z obsługą techniczną czy naprawą (w całości bądź w części) nie podlegają rozliczeniu w ramach rozliczenia podróży samochodem. 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rozliczania podróży służbowej pracowników można stosować analogicznie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odniesieniu do osób, których podstawą wykonywania tych czynności jest umowa cywilnoprawna (o ile ta umowa określa zasady i sposób podróży służbowych),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np. umowa zlecenia. 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powyżej.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 danym państwie. Dokument powinien być przetłumaczony na język polski i podany kurs danej waluty w stosunku do złotego na dzień transakcji.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terminie. Płatności dokonane poza terminem płatności wskazanym w umowie stanowią koszt niekwalifikowany zadania publicznego.</w:t>
      </w:r>
    </w:p>
    <w:p w:rsidR="00870878" w:rsidRPr="00870878" w:rsidRDefault="00870878" w:rsidP="00851C99">
      <w:pPr>
        <w:numPr>
          <w:ilvl w:val="3"/>
          <w:numId w:val="10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księgowej zadania publicznego, nawet w przypadku prowadzenia działalności uproszczonej ewidencji przychodów i kosztów.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567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i zatwierdzenie sprawozdania z wykonania zadania publicznego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hAnsi="Times New Roman" w:cs="Times New Roman"/>
          <w:sz w:val="24"/>
          <w:szCs w:val="24"/>
        </w:rPr>
        <w:t xml:space="preserve">Zleceniobiorca ma obowiązek przygotowania i złożenia sprawozdania z wykonania zadania publicznego, zwanego dalej „sprawozdaniem”, za pośrednictwem serwisu internetowego Witkac.pl poprzez elektroniczny formularz dostępny w tym serwisie, </w:t>
      </w:r>
      <w:r w:rsidRPr="0087087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870878">
        <w:rPr>
          <w:rFonts w:ascii="Times New Roman" w:hAnsi="Times New Roman" w:cs="Times New Roman"/>
          <w:sz w:val="24"/>
          <w:szCs w:val="24"/>
        </w:rPr>
        <w:t xml:space="preserve">w terminie 30 dni od daty zakończenia jego realizacji. W tym samym terminie zleceniobiorca ma obowiązek wydrukować sprawozdanie w wersji papierowej, podpisać je przez osoby upoważnione do składania oświadczeń woli w imieniu zleceniobiorcy z datą tożsamą z datą złożenia sprawozdania poprzez serwis Witkac.pl. Oryginał sprawozdania w wersji papierowej musi być opatrzony tą samą sumą kontrolną co sprawozdanie złożone poprzez serwis Witkac.pl. 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wersji papierowej należy złożyć w Biurze Podawczym Ministerstwa Obrony Narodowej mieszczącym się w Warszawie, przy al. Niepodległości 218 (wejście od ul. Filtrowej) lub przesłać na adres: </w:t>
      </w:r>
    </w:p>
    <w:p w:rsidR="00870878" w:rsidRPr="00870878" w:rsidRDefault="00870878" w:rsidP="00870878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870878" w:rsidRPr="00870878" w:rsidRDefault="00870878" w:rsidP="00870878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sprawozdania nie załącza się oryginałów ani kopii faktur, rachunków, umów cywilnoprawnych (wraz z rachunkami), list obecności, list odbiorców nagród, wykazu uczestników itp. 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ma możliwość sporządzenia w elektronicznym formularzu sprawozdania w sekcji 3 „Faktury/rachunki” oraz w sekcji 4 „Zestawienie innych dokumentów” zestawienia faktur (rachunków) związanych z realizacją zadania publicznego oraz zestawienia innych dokumentów potwierdzających realizację zadania publicznego. 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żądanie zleceniodawcy zleceniobiorca</w:t>
      </w: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przedstawienia kopii dokumentów wskazanych w pkt 3 potwierdzonych obustronnie za zgodność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oryginałem. W takim przypadku ww. dokumenty mogą być przesłane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pośrednictwem serwisu Witkac.pl lub na adres wskazany w pkt 2.</w:t>
      </w:r>
    </w:p>
    <w:p w:rsidR="00870878" w:rsidRPr="00870878" w:rsidRDefault="00870878" w:rsidP="00870878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odbiorców nagród, wykaz uczestników) zawierające dane osobowe winny zostać poddane procesowi anonimizacji.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z realizacji zadania z wykorzystaniem broni i amunicji należy dołączyć dokumenty wskazane w rozdziale VII pkt 9 ppkt 1-8 niniejszego Regulaminu.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>Zleceniobiorca w elektronicznym formularzu sprawozdania w sekcji 6 „Dodatkowe Informacje” zobowiązany jest do zamieszczenia:</w:t>
      </w:r>
    </w:p>
    <w:p w:rsidR="00870878" w:rsidRPr="00870878" w:rsidRDefault="00870878" w:rsidP="00851C99">
      <w:pPr>
        <w:numPr>
          <w:ilvl w:val="0"/>
          <w:numId w:val="3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>informacji o podjętych działaniach informacyjnych w trakcie realizacji zadania publicznego;</w:t>
      </w:r>
    </w:p>
    <w:p w:rsidR="00870878" w:rsidRPr="00870878" w:rsidRDefault="00870878" w:rsidP="00851C99">
      <w:pPr>
        <w:numPr>
          <w:ilvl w:val="0"/>
          <w:numId w:val="3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>informacji o sposobie spełnienia warunków służących zapewnieniu dostępności osobom ze szczególnymi potrzebami.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określone w umowie uznaje się za wykonane z chwilą zatwierdzenia sprawozdania przez zleceniodawcę.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zakładanych w ofercie rezultatów, działań oraz prawidłowości poniesionych kosztów.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osiągnie minimum 80% zaplanowanych w ofercie rezultatów. 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Osiągnięcie zaplanowanych rezultatów i wykonanie zaplanowanych działań zleceniobiorca potwierdza w swoim oświadczeniu zawartym w treści sprawozdania. 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Zleceniobiorca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dokumenty i materiały lub inne źródła, na podstawie których możliwa jest weryfikacja poziomu osiągnięcia wskaźników rezultatów</w:t>
      </w:r>
      <w:r w:rsidRPr="00870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870878" w:rsidRPr="00870878" w:rsidRDefault="00870878" w:rsidP="00851C99">
      <w:pPr>
        <w:numPr>
          <w:ilvl w:val="0"/>
          <w:numId w:val="12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nieosiągnięcie rezultatu/niezrealizowanie wszystkich działań jest z winy zleceniobiorcy czy z przyczyn obiektywnych; jeżeli miały miejsce przyczyny obiektywne – uzasadnione w sprawozdaniu lub wystąpiły ryzyka wskazane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ofercie, wówczas taka informacja może stanowić podstawę do akceptacji realizacji rezultatów w mniejszym zakresie;</w:t>
      </w:r>
    </w:p>
    <w:p w:rsidR="00870878" w:rsidRPr="00870878" w:rsidRDefault="00870878" w:rsidP="00851C99">
      <w:pPr>
        <w:numPr>
          <w:ilvl w:val="0"/>
          <w:numId w:val="12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nieosiągnięcie rezultatu/niezrealizowanie wszystkich działań wpływa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koszty jednostkowe? jeżeli tak, to proporcjonalnie zostanie obniżona należna kwota dotacji.</w:t>
      </w:r>
    </w:p>
    <w:p w:rsidR="00870878" w:rsidRPr="00870878" w:rsidRDefault="00870878" w:rsidP="00870878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prawidłowe jeżeli:</w:t>
      </w:r>
    </w:p>
    <w:p w:rsidR="00870878" w:rsidRPr="00870878" w:rsidRDefault="00870878" w:rsidP="00851C99">
      <w:pPr>
        <w:numPr>
          <w:ilvl w:val="0"/>
          <w:numId w:val="13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  <w:lang w:eastAsia="pl-PL"/>
        </w:rPr>
        <w:t xml:space="preserve">złożone zostało poprzez serwis Witkac.pl oraz przekazane w wersji papierowej </w:t>
      </w:r>
      <w:r w:rsidRPr="00870878">
        <w:rPr>
          <w:rFonts w:ascii="Times New Roman" w:hAnsi="Times New Roman" w:cs="Times New Roman"/>
          <w:sz w:val="24"/>
          <w:szCs w:val="24"/>
          <w:lang w:eastAsia="pl-PL"/>
        </w:rPr>
        <w:br/>
        <w:t>do organu;</w:t>
      </w:r>
    </w:p>
    <w:p w:rsidR="00870878" w:rsidRPr="00870878" w:rsidRDefault="00870878" w:rsidP="00851C99">
      <w:pPr>
        <w:numPr>
          <w:ilvl w:val="0"/>
          <w:numId w:val="13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terminie; </w:t>
      </w:r>
    </w:p>
    <w:p w:rsidR="00870878" w:rsidRPr="00870878" w:rsidRDefault="00870878" w:rsidP="00851C99">
      <w:pPr>
        <w:numPr>
          <w:ilvl w:val="0"/>
          <w:numId w:val="13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  <w:lang w:eastAsia="pl-PL"/>
        </w:rPr>
        <w:t xml:space="preserve">sprawozdanie w wersji papierowej jest tożsame ze sprawozdaniem złożonym poprzez serwis Witkac.pl; </w:t>
      </w:r>
    </w:p>
    <w:p w:rsidR="00870878" w:rsidRPr="00870878" w:rsidRDefault="00870878" w:rsidP="00851C99">
      <w:pPr>
        <w:numPr>
          <w:ilvl w:val="0"/>
          <w:numId w:val="13"/>
        </w:numPr>
        <w:spacing w:after="0" w:line="276" w:lineRule="auto"/>
        <w:ind w:left="1276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  <w:lang w:eastAsia="pl-PL"/>
        </w:rPr>
        <w:t xml:space="preserve">wypełnione zostały wszystkie wymagane rubryki/pola sprawozdania w sposób przedstawiający rzeczywisty przebieg realizacji zadania publicznego, zwłaszcza </w:t>
      </w:r>
      <w:r w:rsidRPr="0087087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wskazujące na istnienie logicznego powiązania pomiędzy ofertą, kosztorysem a poszczególnymi częściami sprawozdania;</w:t>
      </w:r>
    </w:p>
    <w:p w:rsidR="00870878" w:rsidRPr="00870878" w:rsidRDefault="00870878" w:rsidP="00851C99">
      <w:pPr>
        <w:numPr>
          <w:ilvl w:val="0"/>
          <w:numId w:val="13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870878" w:rsidRPr="00870878" w:rsidRDefault="00870878" w:rsidP="00851C99">
      <w:pPr>
        <w:numPr>
          <w:ilvl w:val="0"/>
          <w:numId w:val="13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zwrot niewykorzystanej części środków z dotacji;</w:t>
      </w:r>
    </w:p>
    <w:p w:rsidR="00870878" w:rsidRPr="00870878" w:rsidRDefault="00870878" w:rsidP="00851C99">
      <w:pPr>
        <w:numPr>
          <w:ilvl w:val="0"/>
          <w:numId w:val="13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870878" w:rsidRPr="00870878" w:rsidRDefault="00870878" w:rsidP="00851C99">
      <w:pPr>
        <w:numPr>
          <w:ilvl w:val="0"/>
          <w:numId w:val="13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wymagane umową i niniejszym Regulaminem oświadczenia oraz dokumenty; </w:t>
      </w:r>
    </w:p>
    <w:p w:rsidR="00870878" w:rsidRPr="00870878" w:rsidRDefault="00870878" w:rsidP="00851C99">
      <w:pPr>
        <w:numPr>
          <w:ilvl w:val="0"/>
          <w:numId w:val="13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wersji papierowej zostało podpisane przez osoby upoważnione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składania oświadczeń woli </w:t>
      </w:r>
      <w:r w:rsidRPr="00870878">
        <w:rPr>
          <w:rFonts w:ascii="Times New Roman" w:hAnsi="Times New Roman" w:cs="Times New Roman"/>
          <w:sz w:val="24"/>
          <w:szCs w:val="24"/>
        </w:rPr>
        <w:t>w imieniu zleceniobiorcy.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870878" w:rsidRPr="00870878" w:rsidRDefault="00870878" w:rsidP="00870878">
      <w:pPr>
        <w:numPr>
          <w:ilvl w:val="0"/>
          <w:numId w:val="5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870878" w:rsidRPr="00870878" w:rsidRDefault="00870878" w:rsidP="00851C99">
      <w:pPr>
        <w:numPr>
          <w:ilvl w:val="3"/>
          <w:numId w:val="19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i nieprawidłowości w wydatkowaniu dotacji może być obowiązek zwrotu części lub całości otrzymanej dotacji. </w:t>
      </w:r>
    </w:p>
    <w:p w:rsidR="00870878" w:rsidRPr="00870878" w:rsidRDefault="00870878" w:rsidP="00851C99">
      <w:pPr>
        <w:numPr>
          <w:ilvl w:val="3"/>
          <w:numId w:val="19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:rsidR="00870878" w:rsidRPr="00870878" w:rsidRDefault="00870878" w:rsidP="00851C99">
      <w:pPr>
        <w:numPr>
          <w:ilvl w:val="0"/>
          <w:numId w:val="1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870878" w:rsidRPr="00870878" w:rsidRDefault="00870878" w:rsidP="00851C99">
      <w:pPr>
        <w:numPr>
          <w:ilvl w:val="0"/>
          <w:numId w:val="1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870878" w:rsidRPr="00870878" w:rsidRDefault="00870878" w:rsidP="00851C99">
      <w:pPr>
        <w:numPr>
          <w:ilvl w:val="0"/>
          <w:numId w:val="1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870878" w:rsidRPr="00870878" w:rsidRDefault="00870878" w:rsidP="00851C99">
      <w:pPr>
        <w:numPr>
          <w:ilvl w:val="0"/>
          <w:numId w:val="1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870878" w:rsidRPr="00870878" w:rsidRDefault="00870878" w:rsidP="00851C99">
      <w:pPr>
        <w:numPr>
          <w:ilvl w:val="0"/>
          <w:numId w:val="1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porozumienia rozwiązali umowę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realizację zadania publicznego i określili obowiązek zwrotu środków,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wskazaniem kwoty i terminu dokonania zwrotu;</w:t>
      </w:r>
    </w:p>
    <w:p w:rsidR="00870878" w:rsidRPr="00870878" w:rsidRDefault="00870878" w:rsidP="00851C99">
      <w:pPr>
        <w:numPr>
          <w:ilvl w:val="0"/>
          <w:numId w:val="14"/>
        </w:numPr>
        <w:suppressAutoHyphens/>
        <w:autoSpaceDN w:val="0"/>
        <w:spacing w:after="0" w:line="276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naruszenia przez zleceniobiorcę innych obowiązków określonych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umowie, zleceniodawca dokonał jednostronnego rozwiązania umowy.</w:t>
      </w:r>
    </w:p>
    <w:p w:rsidR="00870878" w:rsidRPr="00870878" w:rsidRDefault="00870878" w:rsidP="00870878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870878">
        <w:rPr>
          <w:rFonts w:ascii="Times New Roman" w:hAnsi="Times New Roman" w:cs="Times New Roman"/>
          <w:sz w:val="24"/>
          <w:szCs w:val="24"/>
        </w:rPr>
        <w:t>, a także wykonania obowiązku do podjęcia działań informacyjnych dotyczących udzielonego finansowania lub dofinansowania.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kontroli prawidłowości realizacji zadania publicznego wynika z art. 17 ustawy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 o wolontariacie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przeprowadzić mogą także upoważnieni przedstawiciele innych państwowych organów kontroli.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wezwanie zleceniodawcy zleceniobiorca zobowiązany jest w wyznaczonym terminie i miejscu do przedłożenia do wglądu dokumentów potwierdzających osiągnięcie zakładanych rezultatów, oryginałów faktur i innych dowodów księgowych, dotyczących wydatków poniesionych na realizację zadania zarówno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środków z dotacji, jak też ze środków finansowych innych niż dotacja oraz innych dokumentów potwierdzających realizację zadania publicznego (np. listy strzelań, listy odbiorców nagród, wykaz uczestników, harmonogramów, planów i/lub innej dokumentacji szkoleniowej itp.) lub przesłania ich uwierzytelnionych kopii w celu kontroli dokonanych przez zleceniobiorcę wydatków.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sporządzanie sprawozdań ze spotkań, harmonogramów, planów i/lub innej dokumentacji szkoleniowej itp. Rolą zleceniobiorcy jest takie dokumentowanie prowadzonych w ramach tego zadania czynności i związanych z nim wydatków,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 w oparciu o przedstawione i wiarygodne dokumenty, był w stanie powiązać każdy poniesiony wydatek z realizowanym w ramach zadania działaniem.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870878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870878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</w:t>
      </w:r>
      <w:r w:rsidRPr="00870878">
        <w:rPr>
          <w:rFonts w:ascii="Times New Roman" w:hAnsi="Times New Roman" w:cs="Times New Roman"/>
          <w:i/>
          <w:sz w:val="24"/>
          <w:szCs w:val="24"/>
          <w:lang w:eastAsia="pl-PL"/>
        </w:rPr>
        <w:br/>
        <w:t>i ramowych wzorów umów dotyczących realizacji zadań publicznych oraz wzorów sprawozdań z wykonania tych zadań</w:t>
      </w:r>
      <w:r w:rsidRPr="00870878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4 - 6, powinna być okazywana na wezwanie każdego organu uprawnionego do kontroli oraz 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prowadzenia monitoringu. 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 prze</w:t>
      </w:r>
      <w:r w:rsidR="003C3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kazuje mu wnioski i zalecenia </w:t>
      </w:r>
      <w:r w:rsidR="003C34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mające na celu ich usunięcie. Zleceniobiorca w terminie określonym w protokole zobowiązany jest do wykonania zaleceń i pisemnego poinformowania o tym zleceniodawcy.</w:t>
      </w:r>
    </w:p>
    <w:p w:rsidR="00870878" w:rsidRPr="00870878" w:rsidRDefault="00870878" w:rsidP="00851C99">
      <w:pPr>
        <w:numPr>
          <w:ilvl w:val="3"/>
          <w:numId w:val="7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Ministerstwa Obrony Narodowej lub osoby z jednostek organizacyjnych podległych Ministrowi Obrony Narodowej lub przez niego nadzorowanych. Osoba dokonująca oceny merytorycznej zadania publicznego przygotowuje notatkę, którą przesyła do dyrektora Departamentu Edukacji, Kultury i Dziedzictwa MON.</w:t>
      </w:r>
    </w:p>
    <w:p w:rsidR="00870878" w:rsidRPr="00870878" w:rsidRDefault="00870878" w:rsidP="00870878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870878" w:rsidRPr="00870878" w:rsidRDefault="00870878" w:rsidP="00870878">
      <w:pPr>
        <w:numPr>
          <w:ilvl w:val="0"/>
          <w:numId w:val="5"/>
        </w:numPr>
        <w:spacing w:after="0" w:line="276" w:lineRule="auto"/>
        <w:ind w:left="426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870878" w:rsidRPr="00870878" w:rsidRDefault="00870878" w:rsidP="00851C99">
      <w:pPr>
        <w:numPr>
          <w:ilvl w:val="3"/>
          <w:numId w:val="15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8708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870878" w:rsidRPr="00870878" w:rsidRDefault="00870878" w:rsidP="00851C99">
      <w:pPr>
        <w:numPr>
          <w:ilvl w:val="3"/>
          <w:numId w:val="15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870878">
        <w:rPr>
          <w:rFonts w:ascii="Times New Roman" w:eastAsia="Calibri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 95/46/WE</w:t>
      </w:r>
      <w:r w:rsidRPr="00870878">
        <w:rPr>
          <w:rFonts w:ascii="Times New Roman" w:eastAsia="Calibri" w:hAnsi="Times New Roman" w:cs="Times New Roman"/>
          <w:sz w:val="24"/>
          <w:szCs w:val="24"/>
        </w:rPr>
        <w:t xml:space="preserve"> (ogólnego rozporządzenia o ochronie danych (</w:t>
      </w:r>
      <w:r w:rsidRPr="008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870878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870878" w:rsidRPr="00870878" w:rsidRDefault="00870878" w:rsidP="00851C99">
      <w:pPr>
        <w:numPr>
          <w:ilvl w:val="3"/>
          <w:numId w:val="15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78">
        <w:rPr>
          <w:rFonts w:ascii="Times New Roman" w:hAnsi="Times New Roman" w:cs="Times New Roman"/>
          <w:sz w:val="24"/>
          <w:szCs w:val="24"/>
        </w:rPr>
        <w:t>Na podstawie RODO zleceniobiorca zobowiązany jest m.in. do: zapewnienia osobom, których dane dotyczą, możliwości realizacji ich praw wskazanych w art. 12-22 RODO, prowadzenia rejestru czynności przetwarzania (art. 30 RODO), rejestru naruszeń (art. 33 RODO), wdrożenia odpowiednich środków technicznych i organizacyjnych zapewniających odpowiedni stopień bezpieczeństwa (art. 32 RODO), wyznaczenia Inspektora Ochrony Danych (art. 37 ust. 1 RODO).</w:t>
      </w:r>
    </w:p>
    <w:sectPr w:rsidR="00870878" w:rsidRPr="00870878" w:rsidSect="00870878">
      <w:footerReference w:type="even" r:id="rId13"/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01" w:rsidRDefault="00393B01" w:rsidP="00870878">
      <w:pPr>
        <w:spacing w:after="0" w:line="240" w:lineRule="auto"/>
      </w:pPr>
      <w:r>
        <w:separator/>
      </w:r>
    </w:p>
  </w:endnote>
  <w:endnote w:type="continuationSeparator" w:id="0">
    <w:p w:rsidR="00393B01" w:rsidRDefault="00393B01" w:rsidP="0087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78" w:rsidRDefault="008708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0878" w:rsidRDefault="008708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78" w:rsidRDefault="008708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3C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70878" w:rsidRDefault="008708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01" w:rsidRDefault="00393B01" w:rsidP="00870878">
      <w:pPr>
        <w:spacing w:after="0" w:line="240" w:lineRule="auto"/>
      </w:pPr>
      <w:r>
        <w:separator/>
      </w:r>
    </w:p>
  </w:footnote>
  <w:footnote w:type="continuationSeparator" w:id="0">
    <w:p w:rsidR="00393B01" w:rsidRDefault="00393B01" w:rsidP="0087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AC"/>
    <w:multiLevelType w:val="multilevel"/>
    <w:tmpl w:val="CED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E5B"/>
    <w:multiLevelType w:val="multilevel"/>
    <w:tmpl w:val="ACC6D1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B76A23"/>
    <w:multiLevelType w:val="hybridMultilevel"/>
    <w:tmpl w:val="83BE9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162E25D6"/>
    <w:multiLevelType w:val="hybridMultilevel"/>
    <w:tmpl w:val="8006C95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71E74"/>
    <w:multiLevelType w:val="hybridMultilevel"/>
    <w:tmpl w:val="1680B0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E4390B"/>
    <w:multiLevelType w:val="hybridMultilevel"/>
    <w:tmpl w:val="483ED684"/>
    <w:lvl w:ilvl="0" w:tplc="461893F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D824E5"/>
    <w:multiLevelType w:val="hybridMultilevel"/>
    <w:tmpl w:val="4D04E328"/>
    <w:lvl w:ilvl="0" w:tplc="27A659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087624"/>
    <w:multiLevelType w:val="hybridMultilevel"/>
    <w:tmpl w:val="194E428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38E1506E"/>
    <w:multiLevelType w:val="hybridMultilevel"/>
    <w:tmpl w:val="371C89FE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FDA771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814CBDD8">
      <w:start w:val="1"/>
      <w:numFmt w:val="decimal"/>
      <w:lvlText w:val="%6)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7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EF4683E"/>
    <w:multiLevelType w:val="multilevel"/>
    <w:tmpl w:val="F38C0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D78E5"/>
    <w:multiLevelType w:val="hybridMultilevel"/>
    <w:tmpl w:val="FC76D8D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 w15:restartNumberingAfterBreak="0">
    <w:nsid w:val="5C074499"/>
    <w:multiLevelType w:val="hybridMultilevel"/>
    <w:tmpl w:val="D3DC5B64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C98150C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7C071FE"/>
    <w:multiLevelType w:val="hybridMultilevel"/>
    <w:tmpl w:val="FC3C0F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AF204C8"/>
    <w:multiLevelType w:val="hybridMultilevel"/>
    <w:tmpl w:val="135E3CB2"/>
    <w:lvl w:ilvl="0" w:tplc="BC2A3B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39"/>
  </w:num>
  <w:num w:numId="4">
    <w:abstractNumId w:val="28"/>
  </w:num>
  <w:num w:numId="5">
    <w:abstractNumId w:val="30"/>
  </w:num>
  <w:num w:numId="6">
    <w:abstractNumId w:val="25"/>
  </w:num>
  <w:num w:numId="7">
    <w:abstractNumId w:val="7"/>
  </w:num>
  <w:num w:numId="8">
    <w:abstractNumId w:val="21"/>
  </w:num>
  <w:num w:numId="9">
    <w:abstractNumId w:val="6"/>
  </w:num>
  <w:num w:numId="10">
    <w:abstractNumId w:val="33"/>
  </w:num>
  <w:num w:numId="11">
    <w:abstractNumId w:val="17"/>
  </w:num>
  <w:num w:numId="12">
    <w:abstractNumId w:val="13"/>
  </w:num>
  <w:num w:numId="13">
    <w:abstractNumId w:val="1"/>
  </w:num>
  <w:num w:numId="14">
    <w:abstractNumId w:val="32"/>
  </w:num>
  <w:num w:numId="15">
    <w:abstractNumId w:val="0"/>
  </w:num>
  <w:num w:numId="16">
    <w:abstractNumId w:val="24"/>
  </w:num>
  <w:num w:numId="17">
    <w:abstractNumId w:val="22"/>
  </w:num>
  <w:num w:numId="18">
    <w:abstractNumId w:val="5"/>
  </w:num>
  <w:num w:numId="19">
    <w:abstractNumId w:val="20"/>
  </w:num>
  <w:num w:numId="20">
    <w:abstractNumId w:val="23"/>
  </w:num>
  <w:num w:numId="21">
    <w:abstractNumId w:val="2"/>
  </w:num>
  <w:num w:numId="22">
    <w:abstractNumId w:val="11"/>
  </w:num>
  <w:num w:numId="23">
    <w:abstractNumId w:val="34"/>
  </w:num>
  <w:num w:numId="24">
    <w:abstractNumId w:val="4"/>
  </w:num>
  <w:num w:numId="25">
    <w:abstractNumId w:val="19"/>
  </w:num>
  <w:num w:numId="26">
    <w:abstractNumId w:val="40"/>
  </w:num>
  <w:num w:numId="27">
    <w:abstractNumId w:val="18"/>
  </w:num>
  <w:num w:numId="28">
    <w:abstractNumId w:val="26"/>
  </w:num>
  <w:num w:numId="29">
    <w:abstractNumId w:val="27"/>
  </w:num>
  <w:num w:numId="30">
    <w:abstractNumId w:val="35"/>
  </w:num>
  <w:num w:numId="31">
    <w:abstractNumId w:val="14"/>
  </w:num>
  <w:num w:numId="32">
    <w:abstractNumId w:val="8"/>
  </w:num>
  <w:num w:numId="33">
    <w:abstractNumId w:val="15"/>
  </w:num>
  <w:num w:numId="34">
    <w:abstractNumId w:val="3"/>
  </w:num>
  <w:num w:numId="35">
    <w:abstractNumId w:val="38"/>
  </w:num>
  <w:num w:numId="36">
    <w:abstractNumId w:val="36"/>
  </w:num>
  <w:num w:numId="37">
    <w:abstractNumId w:val="10"/>
  </w:num>
  <w:num w:numId="38">
    <w:abstractNumId w:val="29"/>
  </w:num>
  <w:num w:numId="39">
    <w:abstractNumId w:val="9"/>
  </w:num>
  <w:num w:numId="40">
    <w:abstractNumId w:val="12"/>
  </w:num>
  <w:num w:numId="41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78"/>
    <w:rsid w:val="00002BC8"/>
    <w:rsid w:val="00121E2B"/>
    <w:rsid w:val="0013175A"/>
    <w:rsid w:val="00393B01"/>
    <w:rsid w:val="003C34AE"/>
    <w:rsid w:val="0082381F"/>
    <w:rsid w:val="00851C99"/>
    <w:rsid w:val="00870878"/>
    <w:rsid w:val="00B536C9"/>
    <w:rsid w:val="00BB4D90"/>
    <w:rsid w:val="00DF247E"/>
    <w:rsid w:val="00F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E82993-DD77-40FC-B16F-2FC808B9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0878"/>
    <w:pPr>
      <w:keepNext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0878"/>
    <w:pPr>
      <w:keepNext/>
      <w:spacing w:after="0" w:line="276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8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08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878"/>
  </w:style>
  <w:style w:type="paragraph" w:styleId="Stopka">
    <w:name w:val="footer"/>
    <w:basedOn w:val="Normalny"/>
    <w:link w:val="StopkaZnak"/>
    <w:uiPriority w:val="99"/>
    <w:unhideWhenUsed/>
    <w:rsid w:val="0087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878"/>
  </w:style>
  <w:style w:type="character" w:styleId="Numerstrony">
    <w:name w:val="page number"/>
    <w:basedOn w:val="Domylnaczcionkaakapitu"/>
    <w:semiHidden/>
    <w:rsid w:val="00870878"/>
  </w:style>
  <w:style w:type="paragraph" w:styleId="Akapitzlist">
    <w:name w:val="List Paragraph"/>
    <w:basedOn w:val="Normalny"/>
    <w:uiPriority w:val="34"/>
    <w:qFormat/>
    <w:rsid w:val="00870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0878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870878"/>
  </w:style>
  <w:style w:type="paragraph" w:styleId="Tekstpodstawowy">
    <w:name w:val="Body Text"/>
    <w:basedOn w:val="Normalny"/>
    <w:link w:val="TekstpodstawowyZnak"/>
    <w:uiPriority w:val="99"/>
    <w:unhideWhenUsed/>
    <w:rsid w:val="00870878"/>
    <w:pPr>
      <w:jc w:val="both"/>
    </w:pPr>
    <w:rPr>
      <w:rFonts w:ascii="Times New Roman" w:hAnsi="Times New Roman" w:cs="Times New Roman"/>
      <w:color w:val="5B9BD5" w:themeColor="accent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0878"/>
    <w:rPr>
      <w:rFonts w:ascii="Times New Roman" w:hAnsi="Times New Roman" w:cs="Times New Roman"/>
      <w:color w:val="5B9BD5" w:themeColor="accent1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87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878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878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8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87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0878"/>
    <w:pPr>
      <w:spacing w:after="120" w:line="276" w:lineRule="auto"/>
      <w:ind w:left="709"/>
      <w:jc w:val="both"/>
    </w:pPr>
    <w:rPr>
      <w:rFonts w:ascii="Times New Roman" w:eastAsia="Times New Roman" w:hAnsi="Times New Roman" w:cs="Times New Roman"/>
      <w:bCs/>
      <w:strike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0878"/>
    <w:rPr>
      <w:rFonts w:ascii="Times New Roman" w:eastAsia="Times New Roman" w:hAnsi="Times New Roman" w:cs="Times New Roman"/>
      <w:bCs/>
      <w:strike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0878"/>
    <w:pPr>
      <w:spacing w:after="0" w:line="276" w:lineRule="auto"/>
      <w:ind w:left="567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087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xt-bold">
    <w:name w:val="text-bold"/>
    <w:basedOn w:val="Domylnaczcionkaakapitu"/>
    <w:rsid w:val="00870878"/>
  </w:style>
  <w:style w:type="character" w:styleId="Pogrubienie">
    <w:name w:val="Strong"/>
    <w:basedOn w:val="Domylnaczcionkaakapitu"/>
    <w:uiPriority w:val="22"/>
    <w:qFormat/>
    <w:rsid w:val="00870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DEKiD@mon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524EE2949848DEA9E9349E18E46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FD3085-F92B-4EF5-B6E2-5F2A87B77163}"/>
      </w:docPartPr>
      <w:docPartBody>
        <w:p w:rsidR="00CA2FA8" w:rsidRDefault="00CA2FA8" w:rsidP="00CA2FA8">
          <w:pPr>
            <w:pStyle w:val="48524EE2949848DEA9E9349E18E46BC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BAF82EDC46E041C1820423DD51266D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5B25B-02D7-4109-8961-770F5376328A}"/>
      </w:docPartPr>
      <w:docPartBody>
        <w:p w:rsidR="00CA2FA8" w:rsidRDefault="00CA2FA8" w:rsidP="00CA2FA8">
          <w:pPr>
            <w:pStyle w:val="BAF82EDC46E041C1820423DD51266D73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E2FB71B5734705993A945611240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C723B-7C24-40F0-8D88-E4C1C72197C5}"/>
      </w:docPartPr>
      <w:docPartBody>
        <w:p w:rsidR="00CA2FA8" w:rsidRDefault="00CA2FA8" w:rsidP="00CA2FA8">
          <w:pPr>
            <w:pStyle w:val="B2E2FB71B5734705993A9456112407F1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A5DF52942F844EC5B5234BD7697A1F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CA8F7-E6F2-43D4-BD0D-28582B1429DB}"/>
      </w:docPartPr>
      <w:docPartBody>
        <w:p w:rsidR="00CA2FA8" w:rsidRDefault="00CA2FA8" w:rsidP="00CA2FA8">
          <w:pPr>
            <w:pStyle w:val="A5DF52942F844EC5B5234BD7697A1FCF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6A81A79CE91C48208394F252C37CA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A9A14-672B-4485-A1A6-DBAA44F0C045}"/>
      </w:docPartPr>
      <w:docPartBody>
        <w:p w:rsidR="00CA2FA8" w:rsidRDefault="00CA2FA8" w:rsidP="00CA2FA8">
          <w:pPr>
            <w:pStyle w:val="6A81A79CE91C48208394F252C37CAFFC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1CCD5C81884C45E29E29FA2489A7E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CBB89-C91C-4E91-A471-6128B251F8F9}"/>
      </w:docPartPr>
      <w:docPartBody>
        <w:p w:rsidR="00CA2FA8" w:rsidRDefault="00CA2FA8" w:rsidP="00CA2FA8">
          <w:pPr>
            <w:pStyle w:val="1CCD5C81884C45E29E29FA2489A7ED39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D97481382CA04C67BC1F29D8E2CB60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D0F3B-CBD5-4403-AC8E-A2D890947F46}"/>
      </w:docPartPr>
      <w:docPartBody>
        <w:p w:rsidR="00CA2FA8" w:rsidRDefault="00CA2FA8" w:rsidP="00CA2FA8">
          <w:pPr>
            <w:pStyle w:val="D97481382CA04C67BC1F29D8E2CB60CC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5261B3E6012E4ACAA8DFB32879DF39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59F7B-F1DB-436D-B3D1-1B7139BA2DC2}"/>
      </w:docPartPr>
      <w:docPartBody>
        <w:p w:rsidR="00CA2FA8" w:rsidRDefault="00CA2FA8" w:rsidP="00CA2FA8">
          <w:pPr>
            <w:pStyle w:val="5261B3E6012E4ACAA8DFB32879DF3956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29D6EC420E9C4236BD0AD7CC069E6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BBA72-79D3-4809-92FE-67334E9BC15D}"/>
      </w:docPartPr>
      <w:docPartBody>
        <w:p w:rsidR="00CA2FA8" w:rsidRDefault="00CA2FA8" w:rsidP="00CA2FA8">
          <w:pPr>
            <w:pStyle w:val="29D6EC420E9C4236BD0AD7CC069E6962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64E2E83B32884CCC95D8ECC220A9D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430BD8-F387-4FAF-886B-AA6BA5D2D64D}"/>
      </w:docPartPr>
      <w:docPartBody>
        <w:p w:rsidR="00CA2FA8" w:rsidRDefault="00CA2FA8" w:rsidP="00CA2FA8">
          <w:pPr>
            <w:pStyle w:val="64E2E83B32884CCC95D8ECC220A9D79C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7010BA8394254ECDAD4881DC47867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BA619-8CBA-4026-9A38-99DA5FD8CB27}"/>
      </w:docPartPr>
      <w:docPartBody>
        <w:p w:rsidR="00CA2FA8" w:rsidRDefault="00CA2FA8" w:rsidP="00CA2FA8">
          <w:pPr>
            <w:pStyle w:val="7010BA8394254ECDAD4881DC478671B7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34D6A500524440B8267C618BE07C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32214-43B8-4A44-A54C-3F6504778E51}"/>
      </w:docPartPr>
      <w:docPartBody>
        <w:p w:rsidR="00CA2FA8" w:rsidRDefault="00CA2FA8" w:rsidP="00CA2FA8">
          <w:pPr>
            <w:pStyle w:val="F34D6A500524440B8267C618BE07C3AB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9B73991FD4FD4B3797D4B7BF7660C6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3EA40-606E-4CAB-8B30-0808456909B9}"/>
      </w:docPartPr>
      <w:docPartBody>
        <w:p w:rsidR="00CA2FA8" w:rsidRDefault="00CA2FA8" w:rsidP="00CA2FA8">
          <w:pPr>
            <w:pStyle w:val="9B73991FD4FD4B3797D4B7BF7660C613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6E8BB367907448ADA749625F980E0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30BCF-6B3A-44ED-BD3F-CD5A0166696B}"/>
      </w:docPartPr>
      <w:docPartBody>
        <w:p w:rsidR="00CA2FA8" w:rsidRDefault="00CA2FA8" w:rsidP="00CA2FA8">
          <w:pPr>
            <w:pStyle w:val="6E8BB367907448ADA749625F980E04BE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4496783CB1DD4ECBBB8255E2DBD06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FE6D0-579C-4DD2-AEF1-4472CDE5621C}"/>
      </w:docPartPr>
      <w:docPartBody>
        <w:p w:rsidR="00CA2FA8" w:rsidRDefault="00CA2FA8" w:rsidP="00CA2FA8">
          <w:pPr>
            <w:pStyle w:val="4496783CB1DD4ECBBB8255E2DBD0663F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1056245392247F593962AFC7D9F3E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13175-7AA9-49F4-9E84-488836DAF7E1}"/>
      </w:docPartPr>
      <w:docPartBody>
        <w:p w:rsidR="00CA2FA8" w:rsidRDefault="00CA2FA8" w:rsidP="00CA2FA8">
          <w:pPr>
            <w:pStyle w:val="A1056245392247F593962AFC7D9F3ED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FFF2B093F0A54BB5957BECB57053B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8A6A07-C534-48C8-BFBA-5861F108B21F}"/>
      </w:docPartPr>
      <w:docPartBody>
        <w:p w:rsidR="00CA2FA8" w:rsidRDefault="00CA2FA8" w:rsidP="00CA2FA8">
          <w:pPr>
            <w:pStyle w:val="FFF2B093F0A54BB5957BECB57053BCE1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A9D6FEA8B534D7EA3536BD92ECBA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FD5F2-5FF5-4D2C-9921-3CA1EC3BCC66}"/>
      </w:docPartPr>
      <w:docPartBody>
        <w:p w:rsidR="00CA2FA8" w:rsidRDefault="00CA2FA8" w:rsidP="00CA2FA8">
          <w:pPr>
            <w:pStyle w:val="2A9D6FEA8B534D7EA3536BD92ECBA347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C50E50FC798D447FA9DFE65EB5861F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FFF74-1A8C-4939-9A22-3F9D0C5F747D}"/>
      </w:docPartPr>
      <w:docPartBody>
        <w:p w:rsidR="00CA2FA8" w:rsidRDefault="00CA2FA8" w:rsidP="00CA2FA8">
          <w:pPr>
            <w:pStyle w:val="C50E50FC798D447FA9DFE65EB5861F55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FCD7F18D6B2D43358F39966234400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0C36F-292C-4E93-B817-2844551D2C0D}"/>
      </w:docPartPr>
      <w:docPartBody>
        <w:p w:rsidR="00CA2FA8" w:rsidRDefault="00CA2FA8" w:rsidP="00CA2FA8">
          <w:pPr>
            <w:pStyle w:val="FCD7F18D6B2D43358F39966234400963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1D2B4162C5D4CAEBAE9069155FEF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AA948-7FBF-4CB5-8A1C-B09965FDE8B9}"/>
      </w:docPartPr>
      <w:docPartBody>
        <w:p w:rsidR="00CA2FA8" w:rsidRDefault="00CA2FA8" w:rsidP="00CA2FA8">
          <w:pPr>
            <w:pStyle w:val="31D2B4162C5D4CAEBAE9069155FEF72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368FE22E97445F6B94EC1CACF3E95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37A2F-FF98-47AB-B9AD-A16151AD152E}"/>
      </w:docPartPr>
      <w:docPartBody>
        <w:p w:rsidR="00CA2FA8" w:rsidRDefault="00CA2FA8" w:rsidP="00CA2FA8">
          <w:pPr>
            <w:pStyle w:val="8368FE22E97445F6B94EC1CACF3E95E7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A8"/>
    <w:rsid w:val="00297063"/>
    <w:rsid w:val="006266AD"/>
    <w:rsid w:val="00BE2AF6"/>
    <w:rsid w:val="00C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2FA8"/>
    <w:rPr>
      <w:color w:val="808080"/>
    </w:rPr>
  </w:style>
  <w:style w:type="paragraph" w:customStyle="1" w:styleId="48524EE2949848DEA9E9349E18E46BC0">
    <w:name w:val="48524EE2949848DEA9E9349E18E46BC0"/>
    <w:rsid w:val="00CA2FA8"/>
  </w:style>
  <w:style w:type="paragraph" w:customStyle="1" w:styleId="BAF82EDC46E041C1820423DD51266D73">
    <w:name w:val="BAF82EDC46E041C1820423DD51266D73"/>
    <w:rsid w:val="00CA2FA8"/>
  </w:style>
  <w:style w:type="paragraph" w:customStyle="1" w:styleId="B2E2FB71B5734705993A9456112407F1">
    <w:name w:val="B2E2FB71B5734705993A9456112407F1"/>
    <w:rsid w:val="00CA2FA8"/>
  </w:style>
  <w:style w:type="paragraph" w:customStyle="1" w:styleId="A5DF52942F844EC5B5234BD7697A1FCF">
    <w:name w:val="A5DF52942F844EC5B5234BD7697A1FCF"/>
    <w:rsid w:val="00CA2FA8"/>
  </w:style>
  <w:style w:type="paragraph" w:customStyle="1" w:styleId="6A81A79CE91C48208394F252C37CAFFC">
    <w:name w:val="6A81A79CE91C48208394F252C37CAFFC"/>
    <w:rsid w:val="00CA2FA8"/>
  </w:style>
  <w:style w:type="paragraph" w:customStyle="1" w:styleId="1CCD5C81884C45E29E29FA2489A7ED39">
    <w:name w:val="1CCD5C81884C45E29E29FA2489A7ED39"/>
    <w:rsid w:val="00CA2FA8"/>
  </w:style>
  <w:style w:type="paragraph" w:customStyle="1" w:styleId="D97481382CA04C67BC1F29D8E2CB60CC">
    <w:name w:val="D97481382CA04C67BC1F29D8E2CB60CC"/>
    <w:rsid w:val="00CA2FA8"/>
  </w:style>
  <w:style w:type="paragraph" w:customStyle="1" w:styleId="5261B3E6012E4ACAA8DFB32879DF3956">
    <w:name w:val="5261B3E6012E4ACAA8DFB32879DF3956"/>
    <w:rsid w:val="00CA2FA8"/>
  </w:style>
  <w:style w:type="paragraph" w:customStyle="1" w:styleId="29D6EC420E9C4236BD0AD7CC069E6962">
    <w:name w:val="29D6EC420E9C4236BD0AD7CC069E6962"/>
    <w:rsid w:val="00CA2FA8"/>
  </w:style>
  <w:style w:type="paragraph" w:customStyle="1" w:styleId="64E2E83B32884CCC95D8ECC220A9D79C">
    <w:name w:val="64E2E83B32884CCC95D8ECC220A9D79C"/>
    <w:rsid w:val="00CA2FA8"/>
  </w:style>
  <w:style w:type="paragraph" w:customStyle="1" w:styleId="7010BA8394254ECDAD4881DC478671B7">
    <w:name w:val="7010BA8394254ECDAD4881DC478671B7"/>
    <w:rsid w:val="00CA2FA8"/>
  </w:style>
  <w:style w:type="paragraph" w:customStyle="1" w:styleId="F34D6A500524440B8267C618BE07C3AB">
    <w:name w:val="F34D6A500524440B8267C618BE07C3AB"/>
    <w:rsid w:val="00CA2FA8"/>
  </w:style>
  <w:style w:type="paragraph" w:customStyle="1" w:styleId="9B73991FD4FD4B3797D4B7BF7660C613">
    <w:name w:val="9B73991FD4FD4B3797D4B7BF7660C613"/>
    <w:rsid w:val="00CA2FA8"/>
  </w:style>
  <w:style w:type="paragraph" w:customStyle="1" w:styleId="6E8BB367907448ADA749625F980E04BE">
    <w:name w:val="6E8BB367907448ADA749625F980E04BE"/>
    <w:rsid w:val="00CA2FA8"/>
  </w:style>
  <w:style w:type="paragraph" w:customStyle="1" w:styleId="4496783CB1DD4ECBBB8255E2DBD0663F">
    <w:name w:val="4496783CB1DD4ECBBB8255E2DBD0663F"/>
    <w:rsid w:val="00CA2FA8"/>
  </w:style>
  <w:style w:type="paragraph" w:customStyle="1" w:styleId="A1056245392247F593962AFC7D9F3ED0">
    <w:name w:val="A1056245392247F593962AFC7D9F3ED0"/>
    <w:rsid w:val="00CA2FA8"/>
  </w:style>
  <w:style w:type="paragraph" w:customStyle="1" w:styleId="FFF2B093F0A54BB5957BECB57053BCE1">
    <w:name w:val="FFF2B093F0A54BB5957BECB57053BCE1"/>
    <w:rsid w:val="00CA2FA8"/>
  </w:style>
  <w:style w:type="paragraph" w:customStyle="1" w:styleId="2A9D6FEA8B534D7EA3536BD92ECBA347">
    <w:name w:val="2A9D6FEA8B534D7EA3536BD92ECBA347"/>
    <w:rsid w:val="00CA2FA8"/>
  </w:style>
  <w:style w:type="paragraph" w:customStyle="1" w:styleId="C50E50FC798D447FA9DFE65EB5861F55">
    <w:name w:val="C50E50FC798D447FA9DFE65EB5861F55"/>
    <w:rsid w:val="00CA2FA8"/>
  </w:style>
  <w:style w:type="paragraph" w:customStyle="1" w:styleId="FCD7F18D6B2D43358F39966234400963">
    <w:name w:val="FCD7F18D6B2D43358F39966234400963"/>
    <w:rsid w:val="00CA2FA8"/>
  </w:style>
  <w:style w:type="paragraph" w:customStyle="1" w:styleId="31D2B4162C5D4CAEBAE9069155FEF720">
    <w:name w:val="31D2B4162C5D4CAEBAE9069155FEF720"/>
    <w:rsid w:val="00CA2FA8"/>
  </w:style>
  <w:style w:type="paragraph" w:customStyle="1" w:styleId="8368FE22E97445F6B94EC1CACF3E95E7">
    <w:name w:val="8368FE22E97445F6B94EC1CACF3E95E7"/>
    <w:rsid w:val="00CA2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BCC58AD-CDCD-4A67-8564-EFF969AA50C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7775</Words>
  <Characters>46653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2023-07-12T10:42:00Z</dcterms:created>
  <dcterms:modified xsi:type="dcterms:W3CDTF">2023-07-12T10:42:00Z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0bdc6b43-e466-4695-9e0c-f7abf883fe69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