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94BE" w14:textId="77777777" w:rsidR="00B06A9C" w:rsidRDefault="00B06A9C" w:rsidP="009E744D">
      <w:pPr>
        <w:jc w:val="center"/>
        <w:rPr>
          <w:b/>
          <w:bCs/>
        </w:rPr>
      </w:pPr>
    </w:p>
    <w:p w14:paraId="44F75393" w14:textId="77777777" w:rsidR="00B06A9C" w:rsidRDefault="00B06A9C" w:rsidP="009E744D">
      <w:pPr>
        <w:jc w:val="center"/>
        <w:rPr>
          <w:b/>
          <w:bCs/>
        </w:rPr>
      </w:pPr>
    </w:p>
    <w:p w14:paraId="640CD975" w14:textId="2BCF2626" w:rsidR="009E744D" w:rsidRDefault="009E744D" w:rsidP="009E744D">
      <w:pPr>
        <w:jc w:val="center"/>
        <w:rPr>
          <w:b/>
          <w:bCs/>
        </w:rPr>
      </w:pPr>
      <w:r>
        <w:rPr>
          <w:b/>
          <w:bCs/>
        </w:rPr>
        <w:t>SEMINARIUM ONLINE</w:t>
      </w:r>
    </w:p>
    <w:p w14:paraId="5458C523" w14:textId="2C260DBE" w:rsidR="009E744D" w:rsidRDefault="009E744D" w:rsidP="009E744D">
      <w:pPr>
        <w:jc w:val="center"/>
        <w:rPr>
          <w:b/>
          <w:bCs/>
        </w:rPr>
      </w:pPr>
      <w:r>
        <w:rPr>
          <w:b/>
          <w:bCs/>
        </w:rPr>
        <w:t>ZAMÓWIENIA PODPROGOWE -PRAKTYKA UDZIELANIA ZAMÓWIEŃ, REGULAMINY WEWNĘTRZNE A PRZEPISY USTAWY PRAWO ZAMÓWIEN PUBLICZNYCH</w:t>
      </w:r>
    </w:p>
    <w:p w14:paraId="03437C9A" w14:textId="246CD43D" w:rsidR="00B06A9C" w:rsidRPr="006F1E8C" w:rsidRDefault="00B06A9C" w:rsidP="006F1E8C">
      <w:pPr>
        <w:tabs>
          <w:tab w:val="left" w:pos="2085"/>
        </w:tabs>
        <w:spacing w:line="276" w:lineRule="auto"/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Seminarium</w:t>
      </w:r>
      <w:r w:rsidRPr="00264380">
        <w:rPr>
          <w:rFonts w:ascii="Arial" w:hAnsi="Arial" w:cs="Arial"/>
          <w:bCs/>
          <w:i/>
          <w:iCs/>
          <w:sz w:val="18"/>
          <w:szCs w:val="18"/>
        </w:rPr>
        <w:t xml:space="preserve"> dla beneficjentów Polityki zakupowej państwa</w:t>
      </w:r>
    </w:p>
    <w:p w14:paraId="06F5B183" w14:textId="4C76C3D4" w:rsidR="009E744D" w:rsidRDefault="009E744D" w:rsidP="009E744D">
      <w:pPr>
        <w:jc w:val="center"/>
        <w:rPr>
          <w:b/>
          <w:bCs/>
        </w:rPr>
      </w:pPr>
      <w:r>
        <w:rPr>
          <w:b/>
          <w:bCs/>
        </w:rPr>
        <w:t>1 LIPCA 2026 R.</w:t>
      </w:r>
    </w:p>
    <w:p w14:paraId="68FF534E" w14:textId="77777777" w:rsidR="009E744D" w:rsidRPr="00972C19" w:rsidRDefault="009E744D" w:rsidP="009E744D">
      <w:pPr>
        <w:tabs>
          <w:tab w:val="left" w:pos="2085"/>
        </w:tabs>
        <w:spacing w:line="240" w:lineRule="auto"/>
        <w:rPr>
          <w:rFonts w:ascii="Aptos" w:hAnsi="Aptos" w:cs="Arial"/>
          <w:b/>
          <w:i/>
          <w:sz w:val="16"/>
          <w:szCs w:val="16"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9E744D" w:rsidRPr="00AF348B" w14:paraId="46809B2B" w14:textId="77777777" w:rsidTr="00B27E27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262BC256" w14:textId="77777777" w:rsidR="009E744D" w:rsidRPr="00AF348B" w:rsidRDefault="009E744D" w:rsidP="00B27E27">
            <w:pPr>
              <w:autoSpaceDE w:val="0"/>
              <w:autoSpaceDN w:val="0"/>
              <w:adjustRightInd w:val="0"/>
              <w:spacing w:before="60" w:after="60" w:line="240" w:lineRule="auto"/>
              <w:ind w:left="142"/>
              <w:rPr>
                <w:rFonts w:ascii="Aptos" w:eastAsiaTheme="minorEastAsia" w:hAnsi="Aptos" w:cs="Arial"/>
                <w:b/>
              </w:rPr>
            </w:pPr>
            <w:r w:rsidRPr="00AF348B">
              <w:rPr>
                <w:rFonts w:ascii="Aptos" w:eastAsiaTheme="minorEastAsia" w:hAnsi="Aptos" w:cs="Arial"/>
                <w:b/>
              </w:rPr>
              <w:t>9:00 – 10:00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77CB1F67" w14:textId="77777777" w:rsidR="009E744D" w:rsidRPr="00AF348B" w:rsidRDefault="009E744D" w:rsidP="00B27E27">
            <w:pPr>
              <w:spacing w:before="60" w:after="60" w:line="240" w:lineRule="auto"/>
              <w:ind w:left="142"/>
              <w:rPr>
                <w:rFonts w:ascii="Aptos" w:eastAsiaTheme="minorEastAsia" w:hAnsi="Aptos" w:cs="Arial"/>
                <w:i/>
              </w:rPr>
            </w:pPr>
            <w:r w:rsidRPr="00AF348B">
              <w:rPr>
                <w:rFonts w:ascii="Aptos" w:eastAsiaTheme="minorEastAsia" w:hAnsi="Aptos" w:cs="Arial"/>
                <w:i/>
              </w:rPr>
              <w:t xml:space="preserve">Rejestracja uczestników </w:t>
            </w:r>
          </w:p>
        </w:tc>
      </w:tr>
      <w:tr w:rsidR="009E744D" w:rsidRPr="00AF348B" w14:paraId="74F9F739" w14:textId="77777777" w:rsidTr="00B27E27"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CD9810" w14:textId="77777777" w:rsidR="009E744D" w:rsidRPr="00AF348B" w:rsidRDefault="009E744D" w:rsidP="00B27E27">
            <w:pPr>
              <w:spacing w:before="60" w:after="60" w:line="240" w:lineRule="auto"/>
              <w:ind w:left="142"/>
              <w:rPr>
                <w:rFonts w:ascii="Aptos" w:eastAsiaTheme="minorEastAsia" w:hAnsi="Aptos" w:cs="Arial"/>
                <w:b/>
              </w:rPr>
            </w:pPr>
            <w:r w:rsidRPr="00AF348B">
              <w:rPr>
                <w:rFonts w:ascii="Aptos" w:eastAsiaTheme="minorEastAsia" w:hAnsi="Aptos" w:cs="Arial"/>
                <w:b/>
              </w:rPr>
              <w:t>10:00 – 10:</w:t>
            </w:r>
            <w:r>
              <w:rPr>
                <w:rFonts w:ascii="Aptos" w:eastAsiaTheme="minorEastAsia" w:hAnsi="Aptos" w:cs="Arial"/>
                <w:b/>
              </w:rPr>
              <w:t>10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88B505" w14:textId="54FAA05B" w:rsidR="009E744D" w:rsidRPr="0024473A" w:rsidRDefault="009E744D" w:rsidP="0024473A">
            <w:pPr>
              <w:spacing w:before="60" w:after="60" w:line="240" w:lineRule="auto"/>
              <w:ind w:left="142"/>
              <w:rPr>
                <w:rFonts w:ascii="Aptos" w:eastAsiaTheme="minorEastAsia" w:hAnsi="Aptos" w:cs="Arial"/>
                <w:b/>
              </w:rPr>
            </w:pPr>
            <w:r w:rsidRPr="00AF348B">
              <w:rPr>
                <w:rFonts w:ascii="Aptos" w:eastAsiaTheme="minorEastAsia" w:hAnsi="Aptos" w:cs="Arial"/>
                <w:b/>
              </w:rPr>
              <w:t xml:space="preserve">Powitanie uczestników </w:t>
            </w:r>
            <w:r>
              <w:rPr>
                <w:rFonts w:ascii="Aptos" w:eastAsiaTheme="minorEastAsia" w:hAnsi="Aptos" w:cs="Arial"/>
                <w:i/>
              </w:rPr>
              <w:t xml:space="preserve">  </w:t>
            </w:r>
          </w:p>
          <w:p w14:paraId="6E95696A" w14:textId="77777777" w:rsidR="009E744D" w:rsidRPr="00AF348B" w:rsidRDefault="009E744D" w:rsidP="00B27E27">
            <w:pPr>
              <w:spacing w:before="60" w:after="60" w:line="240" w:lineRule="auto"/>
              <w:ind w:left="142"/>
              <w:rPr>
                <w:rFonts w:ascii="Aptos" w:eastAsiaTheme="minorEastAsia" w:hAnsi="Aptos" w:cs="Arial"/>
                <w:i/>
              </w:rPr>
            </w:pPr>
          </w:p>
        </w:tc>
      </w:tr>
      <w:tr w:rsidR="009E744D" w:rsidRPr="00AF348B" w14:paraId="5AA87932" w14:textId="77777777" w:rsidTr="00B27E27">
        <w:trPr>
          <w:trHeight w:val="75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8E3F51" w14:textId="0F8292B6" w:rsidR="009E744D" w:rsidRPr="00AF348B" w:rsidRDefault="009E744D" w:rsidP="00B27E27">
            <w:pPr>
              <w:spacing w:before="60" w:after="60" w:line="240" w:lineRule="auto"/>
              <w:ind w:left="142"/>
              <w:rPr>
                <w:rFonts w:ascii="Aptos" w:eastAsiaTheme="minorEastAsia" w:hAnsi="Aptos" w:cs="Arial"/>
                <w:b/>
              </w:rPr>
            </w:pPr>
            <w:r w:rsidRPr="00AF348B">
              <w:rPr>
                <w:rFonts w:ascii="Aptos" w:eastAsiaTheme="minorEastAsia" w:hAnsi="Aptos" w:cs="Arial"/>
                <w:b/>
              </w:rPr>
              <w:t>10:</w:t>
            </w:r>
            <w:r>
              <w:rPr>
                <w:rFonts w:ascii="Aptos" w:eastAsiaTheme="minorEastAsia" w:hAnsi="Aptos" w:cs="Arial"/>
                <w:b/>
              </w:rPr>
              <w:t>1</w:t>
            </w:r>
            <w:r w:rsidRPr="00AF348B">
              <w:rPr>
                <w:rFonts w:ascii="Aptos" w:eastAsiaTheme="minorEastAsia" w:hAnsi="Aptos" w:cs="Arial"/>
                <w:b/>
              </w:rPr>
              <w:t>0 – 1</w:t>
            </w:r>
            <w:r>
              <w:rPr>
                <w:rFonts w:ascii="Aptos" w:eastAsiaTheme="minorEastAsia" w:hAnsi="Aptos" w:cs="Arial"/>
                <w:b/>
              </w:rPr>
              <w:t>1</w:t>
            </w:r>
            <w:r w:rsidRPr="00AF348B">
              <w:rPr>
                <w:rFonts w:ascii="Aptos" w:eastAsiaTheme="minorEastAsia" w:hAnsi="Aptos" w:cs="Arial"/>
                <w:b/>
              </w:rPr>
              <w:t>:</w:t>
            </w:r>
            <w:r>
              <w:rPr>
                <w:rFonts w:ascii="Aptos" w:eastAsiaTheme="minorEastAsia" w:hAnsi="Aptos" w:cs="Arial"/>
                <w:b/>
              </w:rPr>
              <w:t>40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8DAA5A" w14:textId="79318F11" w:rsidR="009E744D" w:rsidRPr="009E744D" w:rsidRDefault="009E744D" w:rsidP="009E744D">
            <w:bookmarkStart w:id="0" w:name="_Hlk206503036"/>
            <w:bookmarkStart w:id="1" w:name="_Hlk206500539"/>
            <w:r w:rsidRPr="009E744D">
              <w:t>Przepisy i procedury udzielania zamówień poniżej 170 tys. zł.</w:t>
            </w:r>
          </w:p>
          <w:p w14:paraId="46CD0DAB" w14:textId="77777777" w:rsidR="009E744D" w:rsidRPr="009E744D" w:rsidRDefault="009E744D" w:rsidP="009E744D">
            <w:r w:rsidRPr="009E744D">
              <w:t>Czy zamówienia do 170 tys. zł netto to są zamówienia bagatelne?</w:t>
            </w:r>
          </w:p>
          <w:p w14:paraId="43924432" w14:textId="77777777" w:rsidR="009E744D" w:rsidRPr="009E744D" w:rsidRDefault="009E744D" w:rsidP="009E744D">
            <w:r w:rsidRPr="009E744D">
              <w:t xml:space="preserve">Czy poniżej tej kwoty obowiązują jakieś przepisy? </w:t>
            </w:r>
          </w:p>
          <w:p w14:paraId="5D4EFB4B" w14:textId="77777777" w:rsidR="009E744D" w:rsidRPr="009E744D" w:rsidRDefault="009E744D" w:rsidP="009E744D">
            <w:r w:rsidRPr="009E744D">
              <w:t>Czy stosuje się Komunikat wyjaśniający Komisji 2006/C 179/02?</w:t>
            </w:r>
          </w:p>
          <w:p w14:paraId="3A0B50E0" w14:textId="77777777" w:rsidR="009E744D" w:rsidRPr="009E744D" w:rsidRDefault="009E744D" w:rsidP="009E744D">
            <w:r w:rsidRPr="009E744D">
              <w:t>Co to są zamówienia mające znaczenie dla rynku wewnętrznego?</w:t>
            </w:r>
          </w:p>
          <w:p w14:paraId="5F2A790A" w14:textId="77777777" w:rsidR="009E744D" w:rsidRPr="009E744D" w:rsidRDefault="009E744D" w:rsidP="009E744D">
            <w:r w:rsidRPr="009E744D">
              <w:t>Jakie procedury wybrać, aby efektywnie wydatkować środki?</w:t>
            </w:r>
          </w:p>
          <w:bookmarkEnd w:id="0"/>
          <w:p w14:paraId="70CBEF4E" w14:textId="45040DAC" w:rsidR="009E744D" w:rsidRPr="006F1E8C" w:rsidRDefault="009E744D" w:rsidP="009E744D">
            <w:pPr>
              <w:spacing w:before="60" w:after="60" w:line="240" w:lineRule="auto"/>
              <w:rPr>
                <w:rFonts w:ascii="Aptos" w:eastAsiaTheme="minorEastAsia" w:hAnsi="Aptos" w:cs="Arial"/>
                <w:b/>
                <w:bCs/>
                <w:i/>
              </w:rPr>
            </w:pPr>
            <w:r w:rsidRPr="006F1E8C">
              <w:rPr>
                <w:rFonts w:ascii="Aptos" w:eastAsiaTheme="minorEastAsia" w:hAnsi="Aptos" w:cs="Arial"/>
                <w:b/>
                <w:bCs/>
                <w:i/>
              </w:rPr>
              <w:t xml:space="preserve">Dariusz Koba – ekspert w obszarze zamówień publicznych </w:t>
            </w:r>
            <w:bookmarkEnd w:id="1"/>
          </w:p>
        </w:tc>
      </w:tr>
      <w:tr w:rsidR="009E744D" w:rsidRPr="00AF348B" w14:paraId="1D177786" w14:textId="77777777" w:rsidTr="00B27E27">
        <w:trPr>
          <w:trHeight w:val="555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4CCF2B40" w14:textId="7966876E" w:rsidR="009E744D" w:rsidRPr="00AF348B" w:rsidRDefault="009E744D" w:rsidP="00B27E27">
            <w:pPr>
              <w:spacing w:before="60" w:after="60" w:line="240" w:lineRule="auto"/>
              <w:ind w:left="142"/>
              <w:rPr>
                <w:rFonts w:ascii="Aptos" w:eastAsiaTheme="minorEastAsia" w:hAnsi="Aptos" w:cs="Arial"/>
                <w:b/>
              </w:rPr>
            </w:pPr>
            <w:r w:rsidRPr="00AF348B">
              <w:rPr>
                <w:rFonts w:ascii="Aptos" w:eastAsiaTheme="minorEastAsia" w:hAnsi="Aptos" w:cs="Arial"/>
                <w:b/>
              </w:rPr>
              <w:t>1</w:t>
            </w:r>
            <w:r>
              <w:rPr>
                <w:rFonts w:ascii="Aptos" w:eastAsiaTheme="minorEastAsia" w:hAnsi="Aptos" w:cs="Arial"/>
                <w:b/>
              </w:rPr>
              <w:t>1</w:t>
            </w:r>
            <w:r w:rsidRPr="00AF348B">
              <w:rPr>
                <w:rFonts w:ascii="Aptos" w:eastAsiaTheme="minorEastAsia" w:hAnsi="Aptos" w:cs="Arial"/>
                <w:b/>
              </w:rPr>
              <w:t>:</w:t>
            </w:r>
            <w:r>
              <w:rPr>
                <w:rFonts w:ascii="Aptos" w:eastAsiaTheme="minorEastAsia" w:hAnsi="Aptos" w:cs="Arial"/>
                <w:b/>
              </w:rPr>
              <w:t>4</w:t>
            </w:r>
            <w:r w:rsidRPr="00AF348B">
              <w:rPr>
                <w:rFonts w:ascii="Aptos" w:eastAsiaTheme="minorEastAsia" w:hAnsi="Aptos" w:cs="Arial"/>
                <w:b/>
              </w:rPr>
              <w:t>0 – 1</w:t>
            </w:r>
            <w:r>
              <w:rPr>
                <w:rFonts w:ascii="Aptos" w:eastAsiaTheme="minorEastAsia" w:hAnsi="Aptos" w:cs="Arial"/>
                <w:b/>
              </w:rPr>
              <w:t>2</w:t>
            </w:r>
            <w:r w:rsidRPr="00AF348B">
              <w:rPr>
                <w:rFonts w:ascii="Aptos" w:eastAsiaTheme="minorEastAsia" w:hAnsi="Aptos" w:cs="Arial"/>
                <w:b/>
              </w:rPr>
              <w:t>:</w:t>
            </w:r>
            <w:r>
              <w:rPr>
                <w:rFonts w:ascii="Aptos" w:eastAsiaTheme="minorEastAsia" w:hAnsi="Aptos" w:cs="Arial"/>
                <w:b/>
              </w:rPr>
              <w:t>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42BB0E11" w14:textId="77777777" w:rsidR="009E744D" w:rsidRPr="00AF348B" w:rsidRDefault="009E744D" w:rsidP="00B27E27">
            <w:pPr>
              <w:spacing w:before="60" w:after="60" w:line="240" w:lineRule="auto"/>
              <w:ind w:left="142"/>
              <w:rPr>
                <w:rFonts w:ascii="Aptos" w:eastAsiaTheme="minorEastAsia" w:hAnsi="Aptos" w:cs="Arial"/>
                <w:b/>
                <w:i/>
              </w:rPr>
            </w:pPr>
            <w:r w:rsidRPr="00AF348B">
              <w:rPr>
                <w:rFonts w:ascii="Aptos" w:eastAsiaTheme="minorEastAsia" w:hAnsi="Aptos" w:cs="Arial"/>
                <w:i/>
              </w:rPr>
              <w:t xml:space="preserve">Przerwa </w:t>
            </w:r>
          </w:p>
        </w:tc>
      </w:tr>
      <w:tr w:rsidR="009E744D" w:rsidRPr="00AF348B" w14:paraId="2833AFD3" w14:textId="77777777" w:rsidTr="00B27E27">
        <w:trPr>
          <w:trHeight w:val="832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50FEE3" w14:textId="18CC9CBE" w:rsidR="009E744D" w:rsidRPr="00AF348B" w:rsidRDefault="009E744D" w:rsidP="00B27E27">
            <w:pPr>
              <w:spacing w:before="60" w:after="60" w:line="240" w:lineRule="auto"/>
              <w:ind w:left="142"/>
              <w:rPr>
                <w:rFonts w:ascii="Aptos" w:eastAsiaTheme="minorEastAsia" w:hAnsi="Aptos" w:cs="Arial"/>
                <w:b/>
              </w:rPr>
            </w:pPr>
            <w:r w:rsidRPr="00AF348B">
              <w:rPr>
                <w:rFonts w:ascii="Aptos" w:eastAsiaTheme="minorEastAsia" w:hAnsi="Aptos" w:cs="Arial"/>
                <w:b/>
              </w:rPr>
              <w:t>1</w:t>
            </w:r>
            <w:r>
              <w:rPr>
                <w:rFonts w:ascii="Aptos" w:eastAsiaTheme="minorEastAsia" w:hAnsi="Aptos" w:cs="Arial"/>
                <w:b/>
              </w:rPr>
              <w:t>2</w:t>
            </w:r>
            <w:r w:rsidRPr="00AF348B">
              <w:rPr>
                <w:rFonts w:ascii="Aptos" w:eastAsiaTheme="minorEastAsia" w:hAnsi="Aptos" w:cs="Arial"/>
                <w:b/>
              </w:rPr>
              <w:t>:</w:t>
            </w:r>
            <w:r>
              <w:rPr>
                <w:rFonts w:ascii="Aptos" w:eastAsiaTheme="minorEastAsia" w:hAnsi="Aptos" w:cs="Arial"/>
                <w:b/>
              </w:rPr>
              <w:t>00</w:t>
            </w:r>
            <w:r w:rsidRPr="00AF348B">
              <w:rPr>
                <w:rFonts w:ascii="Aptos" w:eastAsiaTheme="minorEastAsia" w:hAnsi="Aptos" w:cs="Arial"/>
                <w:b/>
              </w:rPr>
              <w:t xml:space="preserve"> – 1</w:t>
            </w:r>
            <w:r>
              <w:rPr>
                <w:rFonts w:ascii="Aptos" w:eastAsiaTheme="minorEastAsia" w:hAnsi="Aptos" w:cs="Arial"/>
                <w:b/>
              </w:rPr>
              <w:t>3</w:t>
            </w:r>
            <w:r w:rsidRPr="00AF348B">
              <w:rPr>
                <w:rFonts w:ascii="Aptos" w:eastAsiaTheme="minorEastAsia" w:hAnsi="Aptos" w:cs="Arial"/>
                <w:b/>
              </w:rPr>
              <w:t>:</w:t>
            </w:r>
            <w:r>
              <w:rPr>
                <w:rFonts w:ascii="Aptos" w:eastAsiaTheme="minorEastAsia" w:hAnsi="Aptos" w:cs="Arial"/>
                <w:b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201B3D" w14:textId="77777777" w:rsidR="009E744D" w:rsidRPr="009E744D" w:rsidRDefault="009E744D" w:rsidP="009E744D">
            <w:r w:rsidRPr="009E744D">
              <w:t xml:space="preserve">Jaki jest wskazany sposób komunikacji zamawiającego z wykonawcami w postępowaniach poniżej 170 tys. zł </w:t>
            </w:r>
          </w:p>
          <w:p w14:paraId="20C1B673" w14:textId="77777777" w:rsidR="009E744D" w:rsidRPr="009E744D" w:rsidRDefault="009E744D" w:rsidP="009E744D">
            <w:r w:rsidRPr="009E744D">
              <w:t>Czy „warto” podwyższać wymagania co do formy składania ofert, oświadczeń i dokumentów w postępowaniach o zamówienie poniżej 170 tys. zł (netto)?</w:t>
            </w:r>
          </w:p>
          <w:p w14:paraId="42811199" w14:textId="77777777" w:rsidR="009E744D" w:rsidRPr="009E744D" w:rsidRDefault="009E744D" w:rsidP="009E744D">
            <w:r w:rsidRPr="009E744D">
              <w:t>Które z „trybów” postępowania poprzedzających udzielanie zamówień poniżej 170 tys. zł (netto) mogą być optymalne?  </w:t>
            </w:r>
          </w:p>
          <w:p w14:paraId="6C8D00C8" w14:textId="77777777" w:rsidR="009E744D" w:rsidRPr="009E744D" w:rsidRDefault="009E744D" w:rsidP="009E744D">
            <w:r w:rsidRPr="009E744D">
              <w:t>Czy wskazane jest formalizowanie postępowań poprzedzających udzielanie zamówień poniżej 170 tys. zł (netto)?</w:t>
            </w:r>
          </w:p>
          <w:p w14:paraId="7863EF90" w14:textId="77777777" w:rsidR="009E744D" w:rsidRPr="009E744D" w:rsidRDefault="009E744D" w:rsidP="009E744D">
            <w:r w:rsidRPr="009E744D">
              <w:t>Przykłady działań umożliwiających zwiększenie efektywności udzielania zamówień poniżej 170 tys. zł w tym także zwiększania efektywności ekonomicznej?</w:t>
            </w:r>
          </w:p>
          <w:p w14:paraId="2CEA71B5" w14:textId="77777777" w:rsidR="009E744D" w:rsidRPr="009E744D" w:rsidRDefault="009E744D" w:rsidP="009E744D">
            <w:r w:rsidRPr="009E744D">
              <w:t>Niebezpieczeństwa związane z procesem udzielania zamówień poniżej 170 tys. zł ?</w:t>
            </w:r>
          </w:p>
          <w:p w14:paraId="61EEFB83" w14:textId="22EE7125" w:rsidR="009E744D" w:rsidRPr="006F1E8C" w:rsidRDefault="009E744D" w:rsidP="00B27E27">
            <w:pPr>
              <w:spacing w:before="60" w:after="60" w:line="240" w:lineRule="auto"/>
              <w:ind w:left="142"/>
              <w:rPr>
                <w:rFonts w:ascii="Aptos" w:hAnsi="Aptos"/>
                <w:b/>
                <w:bCs/>
                <w:i/>
                <w:iCs/>
              </w:rPr>
            </w:pPr>
            <w:r w:rsidRPr="006F1E8C">
              <w:rPr>
                <w:rFonts w:ascii="Aptos" w:hAnsi="Aptos"/>
                <w:b/>
                <w:bCs/>
                <w:i/>
                <w:iCs/>
              </w:rPr>
              <w:t xml:space="preserve">Jacek Jerka - </w:t>
            </w:r>
            <w:r w:rsidRPr="006F1E8C">
              <w:rPr>
                <w:rFonts w:ascii="Aptos" w:eastAsiaTheme="minorEastAsia" w:hAnsi="Aptos" w:cs="Arial"/>
                <w:b/>
                <w:bCs/>
                <w:i/>
              </w:rPr>
              <w:t>ekspert w obszarze zamówień publicznych</w:t>
            </w:r>
          </w:p>
        </w:tc>
      </w:tr>
    </w:tbl>
    <w:p w14:paraId="7EC54E5B" w14:textId="77777777" w:rsidR="009E744D" w:rsidRDefault="009E744D" w:rsidP="009E744D">
      <w:pPr>
        <w:spacing w:after="0"/>
        <w:rPr>
          <w:rFonts w:ascii="Aptos" w:hAnsi="Aptos" w:cs="Open Sans"/>
        </w:rPr>
      </w:pPr>
    </w:p>
    <w:p w14:paraId="7435EC6C" w14:textId="124D2CB6" w:rsidR="00A66114" w:rsidRDefault="00A66114"/>
    <w:sectPr w:rsidR="00A661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A975" w14:textId="77777777" w:rsidR="00F552C1" w:rsidRDefault="00F552C1" w:rsidP="00B06A9C">
      <w:pPr>
        <w:spacing w:after="0" w:line="240" w:lineRule="auto"/>
      </w:pPr>
      <w:r>
        <w:separator/>
      </w:r>
    </w:p>
  </w:endnote>
  <w:endnote w:type="continuationSeparator" w:id="0">
    <w:p w14:paraId="4353BF8A" w14:textId="77777777" w:rsidR="00F552C1" w:rsidRDefault="00F552C1" w:rsidP="00B0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CCD3" w14:textId="77777777" w:rsidR="00F552C1" w:rsidRDefault="00F552C1" w:rsidP="00B06A9C">
      <w:pPr>
        <w:spacing w:after="0" w:line="240" w:lineRule="auto"/>
      </w:pPr>
      <w:r>
        <w:separator/>
      </w:r>
    </w:p>
  </w:footnote>
  <w:footnote w:type="continuationSeparator" w:id="0">
    <w:p w14:paraId="1C534FF7" w14:textId="77777777" w:rsidR="00F552C1" w:rsidRDefault="00F552C1" w:rsidP="00B0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BC84" w14:textId="19A85F5E" w:rsidR="00B06A9C" w:rsidRDefault="00B06A9C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6B5F6B31" wp14:editId="46A03308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5762625" cy="733425"/>
          <wp:effectExtent l="0" t="0" r="0" b="0"/>
          <wp:wrapNone/>
          <wp:docPr id="1" name="Image 1" descr="Obraz zawierający zrzut ekranu, Grafika, linia, Czcion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zrzut ekranu, Grafika, linia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4D"/>
    <w:rsid w:val="001C30D2"/>
    <w:rsid w:val="0024473A"/>
    <w:rsid w:val="00252B3B"/>
    <w:rsid w:val="00311B49"/>
    <w:rsid w:val="00351156"/>
    <w:rsid w:val="006F1E8C"/>
    <w:rsid w:val="007D46AA"/>
    <w:rsid w:val="00885444"/>
    <w:rsid w:val="009E744D"/>
    <w:rsid w:val="009E7955"/>
    <w:rsid w:val="00A40008"/>
    <w:rsid w:val="00A66114"/>
    <w:rsid w:val="00B06A9C"/>
    <w:rsid w:val="00C66174"/>
    <w:rsid w:val="00DD032E"/>
    <w:rsid w:val="00F5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BB2C"/>
  <w15:chartTrackingRefBased/>
  <w15:docId w15:val="{D3CD410D-9010-4C4C-87B0-F9A1BE5E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7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4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4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4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74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4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4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4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A9C"/>
  </w:style>
  <w:style w:type="paragraph" w:styleId="Stopka">
    <w:name w:val="footer"/>
    <w:basedOn w:val="Normalny"/>
    <w:link w:val="StopkaZnak"/>
    <w:uiPriority w:val="99"/>
    <w:unhideWhenUsed/>
    <w:rsid w:val="00B0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Wichniak-Olczak Anita</dc:creator>
  <cp:keywords/>
  <dc:description/>
  <cp:lastModifiedBy>Jarosz Katarzyna</cp:lastModifiedBy>
  <cp:revision>6</cp:revision>
  <dcterms:created xsi:type="dcterms:W3CDTF">2026-05-06T09:42:00Z</dcterms:created>
  <dcterms:modified xsi:type="dcterms:W3CDTF">2026-06-25T10:11:00Z</dcterms:modified>
</cp:coreProperties>
</file>