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1BDD" w14:textId="05DC18E4" w:rsidR="00D12E91" w:rsidRPr="004616DF" w:rsidRDefault="004616DF" w:rsidP="004616DF">
      <w:pPr>
        <w:pStyle w:val="Tre9c9ce6e6tekstu"/>
        <w:spacing w:line="276" w:lineRule="auto"/>
        <w:jc w:val="right"/>
        <w:rPr>
          <w:rFonts w:ascii="Arial" w:hAnsi="Arial"/>
          <w:sz w:val="20"/>
          <w:szCs w:val="20"/>
        </w:rPr>
      </w:pPr>
      <w:r w:rsidRPr="004616DF">
        <w:rPr>
          <w:rFonts w:ascii="Arial" w:hAnsi="Arial"/>
          <w:sz w:val="20"/>
          <w:szCs w:val="20"/>
        </w:rPr>
        <w:t>Załącznik do Zarządzenia nr</w:t>
      </w:r>
      <w:r w:rsidR="005B704B">
        <w:rPr>
          <w:rFonts w:ascii="Arial" w:hAnsi="Arial"/>
          <w:sz w:val="20"/>
          <w:szCs w:val="20"/>
        </w:rPr>
        <w:t xml:space="preserve"> PO.0230.6.2024</w:t>
      </w:r>
      <w:r w:rsidRPr="004616DF">
        <w:rPr>
          <w:rFonts w:ascii="Arial" w:hAnsi="Arial"/>
          <w:sz w:val="20"/>
          <w:szCs w:val="20"/>
        </w:rPr>
        <w:br/>
        <w:t xml:space="preserve">Komendanta </w:t>
      </w:r>
      <w:r w:rsidR="005B704B">
        <w:rPr>
          <w:rFonts w:ascii="Arial" w:hAnsi="Arial"/>
          <w:sz w:val="20"/>
          <w:szCs w:val="20"/>
        </w:rPr>
        <w:t>Powiatowego</w:t>
      </w:r>
      <w:r w:rsidRPr="004616DF">
        <w:rPr>
          <w:rFonts w:ascii="Arial" w:hAnsi="Arial"/>
          <w:sz w:val="20"/>
          <w:szCs w:val="20"/>
        </w:rPr>
        <w:t xml:space="preserve"> PSP</w:t>
      </w:r>
      <w:r w:rsidR="005B704B">
        <w:rPr>
          <w:rFonts w:ascii="Arial" w:hAnsi="Arial"/>
          <w:sz w:val="20"/>
          <w:szCs w:val="20"/>
        </w:rPr>
        <w:t xml:space="preserve"> w Bolesławcu</w:t>
      </w:r>
      <w:r w:rsidRPr="004616DF">
        <w:rPr>
          <w:rFonts w:ascii="Arial" w:hAnsi="Arial"/>
          <w:sz w:val="20"/>
          <w:szCs w:val="20"/>
        </w:rPr>
        <w:br/>
        <w:t>z dnia 23 grudnia 2024 r.</w:t>
      </w:r>
    </w:p>
    <w:p w14:paraId="184EB12C" w14:textId="77777777" w:rsidR="009A6BBF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  <w:b/>
          <w:bCs/>
        </w:rPr>
      </w:pPr>
      <w:r w:rsidRPr="004616DF">
        <w:rPr>
          <w:rFonts w:ascii="Arial" w:hAnsi="Arial"/>
          <w:b/>
          <w:bCs/>
        </w:rPr>
        <w:t xml:space="preserve">Procedura </w:t>
      </w:r>
    </w:p>
    <w:p w14:paraId="1DEFAE32" w14:textId="6F918E82" w:rsidR="00D12E91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 xml:space="preserve">przyjmowania zewnętrznych zgłoszeń naruszenia prawa od sygnalistów </w:t>
      </w:r>
      <w:r w:rsidR="00D12E91" w:rsidRPr="004616DF">
        <w:rPr>
          <w:rFonts w:ascii="Arial" w:hAnsi="Arial"/>
          <w:b/>
          <w:bCs/>
        </w:rPr>
        <w:br/>
      </w:r>
      <w:r w:rsidRPr="004616DF">
        <w:rPr>
          <w:rFonts w:ascii="Arial" w:hAnsi="Arial"/>
          <w:b/>
          <w:bCs/>
        </w:rPr>
        <w:t xml:space="preserve">w </w:t>
      </w:r>
      <w:r w:rsidR="00D12E91" w:rsidRPr="004616DF">
        <w:rPr>
          <w:rFonts w:ascii="Arial" w:hAnsi="Arial"/>
          <w:b/>
          <w:bCs/>
        </w:rPr>
        <w:t xml:space="preserve">Komendzie </w:t>
      </w:r>
      <w:r w:rsidR="005B704B">
        <w:rPr>
          <w:rFonts w:ascii="Arial" w:hAnsi="Arial"/>
          <w:b/>
          <w:bCs/>
        </w:rPr>
        <w:t>Powiatowej</w:t>
      </w:r>
      <w:r w:rsidR="00D12E91" w:rsidRPr="004616DF">
        <w:rPr>
          <w:rFonts w:ascii="Arial" w:hAnsi="Arial"/>
          <w:b/>
          <w:bCs/>
        </w:rPr>
        <w:t xml:space="preserve"> Państwowej Straży Pożarnej w</w:t>
      </w:r>
      <w:r w:rsidR="005B704B">
        <w:rPr>
          <w:rFonts w:ascii="Arial" w:hAnsi="Arial"/>
          <w:b/>
          <w:bCs/>
        </w:rPr>
        <w:t xml:space="preserve"> Bolesławcu</w:t>
      </w:r>
    </w:p>
    <w:p w14:paraId="46C3233E" w14:textId="77777777" w:rsidR="009D6BB8" w:rsidRDefault="009D6BB8" w:rsidP="009D6BB8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</w:p>
    <w:p w14:paraId="3DF80F37" w14:textId="74B724F1" w:rsidR="009D6BB8" w:rsidRDefault="009D6BB8" w:rsidP="009D6BB8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bookmarkStart w:id="0" w:name="_Hlk186181484"/>
      <w:r>
        <w:rPr>
          <w:rFonts w:ascii="Arial" w:hAnsi="Arial"/>
          <w:b/>
          <w:bCs/>
        </w:rPr>
        <w:t>§</w:t>
      </w:r>
      <w:r w:rsidR="002D6ED9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1</w:t>
      </w:r>
    </w:p>
    <w:bookmarkEnd w:id="0"/>
    <w:p w14:paraId="0EFA6A0A" w14:textId="1F1D3146" w:rsidR="00E45A76" w:rsidRPr="004616DF" w:rsidRDefault="00E45A76" w:rsidP="009D6BB8">
      <w:pPr>
        <w:pStyle w:val="Tre9c9ce6e6tekstu"/>
        <w:spacing w:after="0" w:line="276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Zakres stosowania procedury</w:t>
      </w:r>
    </w:p>
    <w:p w14:paraId="37C2CC1D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Procedura dotyczy zgłoszeń naruszeń prawa w innych podmiotach, które znajdują </w:t>
      </w:r>
      <w:r w:rsidR="00D12E91" w:rsidRP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się w dziedzinie należącej do zakresu naszego działania. </w:t>
      </w:r>
    </w:p>
    <w:p w14:paraId="471D3D24" w14:textId="58838EC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należy do zakresu działania innego organu publicznego, przekażemy to zgłoszenie do właściwego podmiotu.</w:t>
      </w:r>
    </w:p>
    <w:p w14:paraId="47BF684B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ramach naszej Procedury zgłoszeń wewnętrznych, można zgłaszać naruszenia prawa dotyczące naszej organizacji, w kontekście związanym z wykonywaną dla nas pracą lub przed nawiązaniem z nami stosunku pracy.</w:t>
      </w:r>
    </w:p>
    <w:p w14:paraId="1510D366" w14:textId="4A093E4F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który dotyczy podmiotu, w którym doszło do naruszenia prawa, zachęcamy do skorzystania z procedury zgłoszeń wewnętrznych tego podmiotu, szczególnie wtedy, gdy naruszeniu prawa można skutecznie zaradzić w ramach struktury organizacyjnej tego podmiotu.</w:t>
      </w:r>
    </w:p>
    <w:p w14:paraId="418AB4D7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obawia się Pan/Pani działań odwetowych ze strony podmiotu, którego dotyczy zgłoszenie, można dokonać zgłoszenia zewnętrznego, z pominięciem zgłoszenia wewnętrznego.</w:t>
      </w:r>
    </w:p>
    <w:p w14:paraId="01486C35" w14:textId="3E1504EB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Przed dokonaniem zgłoszenia zewnętrznego, może Pan/Pani skorzystać z poufnej porady upoważnionego przez nas pracownika. W tym celu proszę skorzystać </w:t>
      </w:r>
      <w:r w:rsidR="005B704B">
        <w:rPr>
          <w:rFonts w:ascii="Arial" w:hAnsi="Arial"/>
        </w:rPr>
        <w:br/>
      </w:r>
      <w:r w:rsidRPr="004616DF">
        <w:rPr>
          <w:rFonts w:ascii="Arial" w:hAnsi="Arial"/>
        </w:rPr>
        <w:t>z danych kontaktowych podanych poniżej.</w:t>
      </w:r>
    </w:p>
    <w:p w14:paraId="526BE766" w14:textId="77777777" w:rsidR="009A6BBF" w:rsidRPr="004616DF" w:rsidRDefault="009A6BBF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0D4259C0" w14:textId="2A28A7B9" w:rsidR="009D6BB8" w:rsidRDefault="009D6BB8" w:rsidP="009D6BB8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bookmarkStart w:id="1" w:name="_Hlk186181557"/>
      <w:r>
        <w:rPr>
          <w:rFonts w:ascii="Arial" w:hAnsi="Arial"/>
          <w:b/>
          <w:bCs/>
        </w:rPr>
        <w:t>§</w:t>
      </w:r>
      <w:r w:rsidR="002D6ED9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2</w:t>
      </w:r>
    </w:p>
    <w:bookmarkEnd w:id="1"/>
    <w:p w14:paraId="10990C1A" w14:textId="77777777" w:rsidR="00E45A76" w:rsidRPr="004616DF" w:rsidRDefault="00E45A76" w:rsidP="009D6BB8">
      <w:pPr>
        <w:pStyle w:val="Tre9c9ce6e6tekstu"/>
        <w:spacing w:after="0" w:line="276" w:lineRule="auto"/>
        <w:ind w:firstLine="360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Sposób przekazania zgłoszenia – dane kontaktowe</w:t>
      </w:r>
    </w:p>
    <w:p w14:paraId="5A71EA6E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może być dokonane:</w:t>
      </w:r>
    </w:p>
    <w:p w14:paraId="5F3B6583" w14:textId="36326704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na adres do korespondencji: Komenda </w:t>
      </w:r>
      <w:r w:rsidR="005B704B">
        <w:rPr>
          <w:rFonts w:ascii="Arial" w:hAnsi="Arial"/>
        </w:rPr>
        <w:t>Powiatowa</w:t>
      </w:r>
      <w:r w:rsidRPr="004616DF">
        <w:rPr>
          <w:rFonts w:ascii="Arial" w:hAnsi="Arial"/>
        </w:rPr>
        <w:t xml:space="preserve"> PSP w</w:t>
      </w:r>
      <w:r w:rsidR="005B704B">
        <w:rPr>
          <w:rFonts w:ascii="Arial" w:hAnsi="Arial"/>
        </w:rPr>
        <w:t xml:space="preserve"> Bolesławcu</w:t>
      </w:r>
      <w:r w:rsidRPr="004616DF">
        <w:rPr>
          <w:rFonts w:ascii="Arial" w:hAnsi="Arial"/>
        </w:rPr>
        <w:t xml:space="preserve">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ul. </w:t>
      </w:r>
      <w:r w:rsidR="005B704B">
        <w:rPr>
          <w:rFonts w:ascii="Arial" w:hAnsi="Arial"/>
        </w:rPr>
        <w:t>Wesoła 2</w:t>
      </w:r>
      <w:r w:rsidRPr="004616DF">
        <w:rPr>
          <w:rFonts w:ascii="Arial" w:hAnsi="Arial"/>
        </w:rPr>
        <w:t>,  5</w:t>
      </w:r>
      <w:r w:rsidR="005B704B">
        <w:rPr>
          <w:rFonts w:ascii="Arial" w:hAnsi="Arial"/>
        </w:rPr>
        <w:t>9-700</w:t>
      </w:r>
      <w:r w:rsidRPr="004616DF">
        <w:rPr>
          <w:rFonts w:ascii="Arial" w:hAnsi="Arial"/>
        </w:rPr>
        <w:t xml:space="preserve"> </w:t>
      </w:r>
      <w:r w:rsidR="005B704B">
        <w:rPr>
          <w:rFonts w:ascii="Arial" w:hAnsi="Arial"/>
        </w:rPr>
        <w:t>Bolesławiec</w:t>
      </w:r>
      <w:r w:rsidRPr="004616DF">
        <w:rPr>
          <w:rFonts w:ascii="Arial" w:hAnsi="Arial"/>
        </w:rPr>
        <w:t>, z dopiskiem „SYGNALISTA”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(korespondencja podlega wyłączeniu z obiegu kancelaryjnego);</w:t>
      </w:r>
    </w:p>
    <w:p w14:paraId="04B22D7B" w14:textId="067E3660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poprzez e-mail na adres: </w:t>
      </w:r>
      <w:r w:rsidR="005B704B">
        <w:rPr>
          <w:rFonts w:ascii="Arial" w:hAnsi="Arial"/>
        </w:rPr>
        <w:t>kpboleslawiec</w:t>
      </w:r>
      <w:r w:rsidRPr="004616DF">
        <w:rPr>
          <w:rFonts w:ascii="Arial" w:hAnsi="Arial"/>
        </w:rPr>
        <w:t>@kwpsp.wroc.pl, dla którego zapewnione jest bezpieczeństwo i poufność poczty elektronicznej;</w:t>
      </w:r>
    </w:p>
    <w:p w14:paraId="428787D3" w14:textId="5A431C83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ustnie - telefonicznie: numer: 7</w:t>
      </w:r>
      <w:r w:rsidR="005B704B">
        <w:rPr>
          <w:rFonts w:ascii="Arial" w:hAnsi="Arial"/>
        </w:rPr>
        <w:t>5 644 33 00</w:t>
      </w:r>
      <w:r w:rsidRPr="004616DF">
        <w:rPr>
          <w:rFonts w:ascii="Arial" w:hAnsi="Arial"/>
        </w:rPr>
        <w:t>, dla którego zapewnione jest bezpieczeństwo i poufność dedykowanego łącza telefonicznego;</w:t>
      </w:r>
    </w:p>
    <w:p w14:paraId="64726FB5" w14:textId="7DBBA6CB" w:rsidR="00040187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ustnie podczas bezpośredniego spotkania z </w:t>
      </w:r>
      <w:r w:rsidR="00710962" w:rsidRPr="00710962">
        <w:rPr>
          <w:rFonts w:ascii="Arial" w:hAnsi="Arial"/>
        </w:rPr>
        <w:t xml:space="preserve">zastępcą komendanta powiatowego PSP w Bolesławcu </w:t>
      </w:r>
      <w:r w:rsidRPr="00710962">
        <w:rPr>
          <w:rFonts w:ascii="Arial" w:hAnsi="Arial"/>
        </w:rPr>
        <w:t xml:space="preserve">lub </w:t>
      </w:r>
      <w:r w:rsidR="00710962" w:rsidRPr="00710962">
        <w:rPr>
          <w:rFonts w:ascii="Arial" w:hAnsi="Arial"/>
        </w:rPr>
        <w:t xml:space="preserve">kierownikiem sekcji ds. kadrowo-organizacyjnych </w:t>
      </w:r>
      <w:r w:rsidR="00710962" w:rsidRPr="00710962">
        <w:rPr>
          <w:rFonts w:ascii="Arial" w:hAnsi="Arial"/>
        </w:rPr>
        <w:br/>
        <w:t>i szkoleniowych</w:t>
      </w:r>
      <w:r w:rsidRPr="004616DF">
        <w:rPr>
          <w:rFonts w:ascii="Arial" w:hAnsi="Arial"/>
        </w:rPr>
        <w:t xml:space="preserve">, zorganizowanego w terminie 14 dni od otrzymania wniosku </w:t>
      </w:r>
      <w:r w:rsidR="00710962">
        <w:rPr>
          <w:rFonts w:ascii="Arial" w:hAnsi="Arial"/>
        </w:rPr>
        <w:br/>
      </w:r>
      <w:r w:rsidRPr="004616DF">
        <w:rPr>
          <w:rFonts w:ascii="Arial" w:hAnsi="Arial"/>
        </w:rPr>
        <w:t>o taką formę zgłoszenia.</w:t>
      </w:r>
    </w:p>
    <w:p w14:paraId="6BCD6EE0" w14:textId="77777777" w:rsidR="00757E45" w:rsidRPr="004616DF" w:rsidRDefault="00757E45" w:rsidP="00757E45">
      <w:pPr>
        <w:pStyle w:val="Tre9c9ce6e6tekstu"/>
        <w:spacing w:line="276" w:lineRule="auto"/>
        <w:ind w:left="720"/>
        <w:jc w:val="both"/>
        <w:rPr>
          <w:rFonts w:ascii="Arial" w:hAnsi="Arial"/>
        </w:rPr>
      </w:pPr>
    </w:p>
    <w:p w14:paraId="15346C97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>Za zgodą sygnalisty zgłoszenie ustne będzie dokumentowane w formie:</w:t>
      </w:r>
    </w:p>
    <w:p w14:paraId="17369DAC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dokładnej transkrypcji rozmowy, lub</w:t>
      </w:r>
    </w:p>
    <w:p w14:paraId="254B8788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protokołu rozmowy, odtwarzającego jego dokładny przebieg.</w:t>
      </w:r>
    </w:p>
    <w:p w14:paraId="5D9B4126" w14:textId="14A1319D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zgody na udokumentowanie ustnego zgłoszenia, sygnalista może dokonać sprawdzenia, poprawienia i zatwierdzenia transkrypcji rozmowy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protokołu rozmowy przez ich podpisanie.</w:t>
      </w:r>
    </w:p>
    <w:p w14:paraId="281F395B" w14:textId="77777777" w:rsidR="00040187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Wskazane kanały komunikacji: </w:t>
      </w:r>
    </w:p>
    <w:p w14:paraId="50E816C6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są niezależne od kanałów komunikacji wykorzystywanych w ramach naszej zwykłej działalności; </w:t>
      </w:r>
    </w:p>
    <w:p w14:paraId="72BE850A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zapewniają kompletność, poufność i integralność danych, w tym ich zabezpieczenie przed dostępem osób nieupoważnionych; </w:t>
      </w:r>
    </w:p>
    <w:p w14:paraId="1202CC0B" w14:textId="77777777" w:rsidR="00D12E91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105A7BC5" w14:textId="77777777" w:rsidR="00E45A76" w:rsidRPr="004616DF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</w:p>
    <w:p w14:paraId="1F9AA85B" w14:textId="278B456F" w:rsidR="002D6ED9" w:rsidRDefault="002D6ED9" w:rsidP="002D6ED9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3</w:t>
      </w:r>
    </w:p>
    <w:p w14:paraId="7A4AE9C3" w14:textId="77777777" w:rsidR="00E45A76" w:rsidRPr="004616DF" w:rsidRDefault="00E45A76" w:rsidP="002D6ED9">
      <w:pPr>
        <w:pStyle w:val="Tre9c9ce6e6tekstu"/>
        <w:spacing w:after="0" w:line="276" w:lineRule="auto"/>
        <w:ind w:left="340" w:hanging="340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Treść zgłoszenia</w:t>
      </w:r>
    </w:p>
    <w:p w14:paraId="26F6DCB2" w14:textId="77777777" w:rsidR="00040187" w:rsidRPr="004616DF" w:rsidRDefault="00E45A76" w:rsidP="001D6094">
      <w:pPr>
        <w:pStyle w:val="Tre9c9ce6e6tekstu"/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powinno zawierać co najmniej następujące informacje</w:t>
      </w:r>
      <w:r w:rsidR="00040187" w:rsidRPr="004616DF">
        <w:rPr>
          <w:rFonts w:ascii="Arial" w:hAnsi="Arial"/>
        </w:rPr>
        <w:t>;</w:t>
      </w:r>
    </w:p>
    <w:p w14:paraId="677D6012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szczegółowy opis zgłaszanego naruszenia prawa;</w:t>
      </w:r>
    </w:p>
    <w:p w14:paraId="4FDB7059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dowody na poparcie zgłoszenia (jeśli są dostępne);</w:t>
      </w:r>
    </w:p>
    <w:p w14:paraId="3071F00F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identyfikacyjne, o ile zgłoszenie nie jest anonimowe;</w:t>
      </w:r>
    </w:p>
    <w:p w14:paraId="1E132E3E" w14:textId="77777777" w:rsidR="00E45A76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umożliwiające kontakt, jeżeli chce być Pan/Pani informowana o wynikach naszych działań w związku z otrzymanym zgłoszeniem.</w:t>
      </w:r>
    </w:p>
    <w:p w14:paraId="60E1BC3D" w14:textId="77777777" w:rsidR="00E45A76" w:rsidRPr="004616DF" w:rsidRDefault="00E45A76" w:rsidP="001D6094">
      <w:pPr>
        <w:pStyle w:val="Tre9c9ce6e6tekstu"/>
        <w:spacing w:after="0" w:line="276" w:lineRule="auto"/>
        <w:ind w:left="1647"/>
        <w:jc w:val="both"/>
        <w:rPr>
          <w:rFonts w:ascii="Arial" w:hAnsi="Arial"/>
          <w:i/>
          <w:iCs/>
        </w:rPr>
      </w:pPr>
    </w:p>
    <w:p w14:paraId="7E3B7955" w14:textId="24F37051" w:rsidR="002D6ED9" w:rsidRDefault="002D6ED9" w:rsidP="002D6ED9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4</w:t>
      </w:r>
    </w:p>
    <w:p w14:paraId="4EFF6772" w14:textId="4AAAA558" w:rsidR="00E45A76" w:rsidRPr="004616DF" w:rsidRDefault="00E45A76" w:rsidP="002D6ED9">
      <w:pPr>
        <w:pStyle w:val="Tre9c9ce6e6tekstu"/>
        <w:spacing w:after="0" w:line="276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Ochrona Sygnalisty</w:t>
      </w:r>
    </w:p>
    <w:p w14:paraId="373060D9" w14:textId="45057534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Sygnalistą może być każda osoba fizyczna, która zgłasza lub ujawnia publicznie informację o naruszeniu prawa uzyskaną w kontekście związanym z pracą, w tym pracownik, stażysta, pracownik tymczasowy, zleceniobiorca, wspólnik, itp. Dotyczy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to także przypadku zgłoszenia lub ujawnienia publicznego informacji o naruszeniu prawa uzyskanej w kontekście związanym z pracą przed nawiązaniem stosunku pracy lub innego stosunku prawnego stanowiącego podstawę świadczenia pracy lub usług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pełnienia funkcji w podmiocie prawnym lub na rzecz tego podmiotu, lub pełnienia służby w podmiocie prawnym lub już po ich ustaniu.</w:t>
      </w:r>
    </w:p>
    <w:p w14:paraId="560035E7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Zapewniamy ochronę Sygnalistów poprzez:</w:t>
      </w:r>
    </w:p>
    <w:p w14:paraId="6120CD49" w14:textId="04E6D16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ochronę Pani/a tożsamości, chyba że otrzymamy od Pani/a wyraźną zgodę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na ujawnienie Pani/a danych</w:t>
      </w:r>
      <w:r w:rsidR="00760B49" w:rsidRPr="004616DF">
        <w:rPr>
          <w:rFonts w:ascii="Arial" w:hAnsi="Arial"/>
        </w:rPr>
        <w:t xml:space="preserve"> - zgodnie z wzorem, który stanowi </w:t>
      </w:r>
      <w:r w:rsidR="00760B49" w:rsidRPr="004616DF">
        <w:rPr>
          <w:rFonts w:ascii="Arial" w:hAnsi="Arial"/>
          <w:u w:val="single"/>
        </w:rPr>
        <w:t>załącznik nr 1</w:t>
      </w:r>
      <w:r w:rsidR="00760B49" w:rsidRPr="004616DF">
        <w:rPr>
          <w:rFonts w:ascii="Arial" w:hAnsi="Arial"/>
        </w:rPr>
        <w:t xml:space="preserve"> </w:t>
      </w:r>
      <w:r w:rsidR="004616DF">
        <w:rPr>
          <w:rFonts w:ascii="Arial" w:hAnsi="Arial"/>
        </w:rPr>
        <w:br/>
      </w:r>
      <w:r w:rsidR="00760B49" w:rsidRPr="004616DF">
        <w:rPr>
          <w:rFonts w:ascii="Arial" w:hAnsi="Arial"/>
        </w:rPr>
        <w:t>do Procedury</w:t>
      </w:r>
      <w:r w:rsidRPr="004616DF">
        <w:rPr>
          <w:rFonts w:ascii="Arial" w:hAnsi="Arial"/>
        </w:rPr>
        <w:t>;</w:t>
      </w:r>
    </w:p>
    <w:p w14:paraId="427058B7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dotyczy innych osób, zapewnimy także ochronę poufności ich tożsamości;</w:t>
      </w:r>
    </w:p>
    <w:p w14:paraId="6B082D3C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udział w procesie rozpatrywania bezstronnych osób, które zostały zobligowane </w:t>
      </w:r>
      <w:r w:rsidR="009A6BBF" w:rsidRPr="004616DF">
        <w:rPr>
          <w:rFonts w:ascii="Arial" w:hAnsi="Arial"/>
        </w:rPr>
        <w:br/>
      </w:r>
      <w:r w:rsidRPr="004616DF">
        <w:rPr>
          <w:rFonts w:ascii="Arial" w:hAnsi="Arial"/>
        </w:rPr>
        <w:t>do zachowania poufności, także po ustaniu stosunku pracy lub zakończeniu współpracy;</w:t>
      </w:r>
    </w:p>
    <w:p w14:paraId="33BC3EF3" w14:textId="53AF8234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zapewnienie, że dostęp do Pana/Pani danych oraz dokumentacji związanej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ze zgłoszeniem, będą miały tylko uprawnione osoby, które zostały przeszkolone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zakresie zapewnienia ochrony Sygnalistów.</w:t>
      </w:r>
    </w:p>
    <w:p w14:paraId="57C7B656" w14:textId="0F22F80F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>Na Pana/Pani żądanie wydamy w terminie miesiąca od jego otrzymania, zaświadczenie potwierdzające, że podlega Pan/Pani ochronie przed działaniami odwetowymi przewidzianej w ustawie o ochronie sygnalistów.</w:t>
      </w:r>
    </w:p>
    <w:p w14:paraId="23AAD4B7" w14:textId="1F4E93A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Dokonanie przez Pana/Panią zgłoszenia lub ujawnienia publicznego nie może stanowić podstawy odpowiedzialności, w tym odpowiedzialności dyscyplinarnej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 xml:space="preserve">odpowiedzialności za szkodę z tytułu naruszenia praw innych osób lub obowiązków określonych w przepisach prawa, w szczególności w przedmiocie zniesławienia, naruszenia dóbr osobistych, praw autorskich, ochrony danych osobowych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oraz obowiązku zachowania tajemnicy, w tym tajemnicy przedsiębiorstwa,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pod warunkiem że miał Pan/Pani uzasadnione podstawy sądzić, że zgłoszenie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ujawnienie publiczne jest niezbędne do ujawnienia naruszenia prawa zgodnie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z ustawą o sygnalistach.</w:t>
      </w:r>
    </w:p>
    <w:p w14:paraId="6BAF314B" w14:textId="248333BA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wszczęcia postępowania prawnego dotyczącego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której mowa w ustępie powyżej, może Pan/Pani wystąpić o umorzenie takiego postępowania.</w:t>
      </w:r>
    </w:p>
    <w:p w14:paraId="3B02E8A8" w14:textId="181378D0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Uzyskanie informacji będących przedmiotem zgłoszenia lub ujawnienia publicznego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dostęp do takich informacji nie mogą stanowić podstawy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pod warunkiem że takie uzyskanie lub taki dostęp nie stanowią czynu zabronionego.</w:t>
      </w:r>
    </w:p>
    <w:p w14:paraId="79A449C6" w14:textId="3E0E7B9C" w:rsidR="00040187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podjęcia wobec Pana/Pani działań odwetowych, ma Pan/Pani prawo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do odszkodowania (w wysokości nie niższej niż przeciętne miesięczne wynagrodzenie) lub prawo do zadośćuczynienia. </w:t>
      </w:r>
    </w:p>
    <w:p w14:paraId="2EAF1B7B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Środki ochrony sygnalisty opisane w Procedurze oraz przepisach, dotyczą także:</w:t>
      </w:r>
    </w:p>
    <w:p w14:paraId="0EBDFC8D" w14:textId="77777777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osoby pomagającej w dokonaniu zgłoszenia oraz osoby powiązanej z sygnalistą;</w:t>
      </w:r>
    </w:p>
    <w:p w14:paraId="298E6FE9" w14:textId="064FA10F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osoby prawnej lub innej jednostki organizacyjnej pomagającej sygnaliście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z nim powiązanej, w szczególności stanowiącej własność sygnalisty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go zatrudniającej.</w:t>
      </w:r>
    </w:p>
    <w:p w14:paraId="58680A72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związku z przyjmowaniem zgłoszeń zewnętrznych zapewniamy ochronę poufności tożsamości osoby, której dotyczy zgłoszenie.</w:t>
      </w:r>
    </w:p>
    <w:p w14:paraId="2A659839" w14:textId="37E27B2A" w:rsidR="00040187" w:rsidRPr="004616DF" w:rsidRDefault="00040187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Zgłoszenia dokonywane anonimowo nie będą podlegały rozpoznaniu w oparciu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przepisy niniejszej Procedury.</w:t>
      </w:r>
    </w:p>
    <w:p w14:paraId="168D9043" w14:textId="77777777" w:rsidR="00E45A76" w:rsidRPr="004616DF" w:rsidRDefault="00E45A76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0D57C5CE" w14:textId="47897636" w:rsidR="002D6ED9" w:rsidRDefault="002D6ED9" w:rsidP="002D6ED9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5</w:t>
      </w:r>
    </w:p>
    <w:p w14:paraId="4FE40DBD" w14:textId="77777777" w:rsidR="00E45A76" w:rsidRPr="004616DF" w:rsidRDefault="00E45A76" w:rsidP="002D6ED9">
      <w:pPr>
        <w:pStyle w:val="Tre9c9ce6e6tekstu"/>
        <w:spacing w:after="0" w:line="276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Naruszenia prawa, które podlegają zgłoszeniu</w:t>
      </w:r>
    </w:p>
    <w:p w14:paraId="7AEFFCB9" w14:textId="2355728F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Zgłoszenie może dotyczyć uzasadnionego podejrzenia dotyczącego zaistniałego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potencjalnego naruszenia prawa, do którego doszło lub prawdopodobnie dojdzie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podmiocie, którego dotyczy zgłoszenie.</w:t>
      </w:r>
    </w:p>
    <w:p w14:paraId="63BF4914" w14:textId="77777777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Może Pan/Pani przekazać nam informacje o naruszeniu prawa</w:t>
      </w:r>
      <w:r w:rsidRPr="004616DF">
        <w:rPr>
          <w:rFonts w:ascii="Arial" w:hAnsi="Arial"/>
          <w:color w:val="000000"/>
        </w:rPr>
        <w:t>, które dotyczą</w:t>
      </w:r>
      <w:r w:rsidRPr="004616DF">
        <w:rPr>
          <w:rFonts w:ascii="Arial" w:hAnsi="Arial"/>
          <w:b/>
          <w:bCs/>
          <w:color w:val="000000"/>
        </w:rPr>
        <w:t>:</w:t>
      </w:r>
    </w:p>
    <w:p w14:paraId="3C63787B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korupcji;</w:t>
      </w:r>
    </w:p>
    <w:p w14:paraId="4F11D5F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zamówień publicznych;</w:t>
      </w:r>
    </w:p>
    <w:p w14:paraId="7A49F89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środowiska;</w:t>
      </w:r>
    </w:p>
    <w:p w14:paraId="02D27181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prywatności i danych osobowych;</w:t>
      </w:r>
    </w:p>
    <w:p w14:paraId="5E5921A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bezpieczeństwa sieci i systemów teleinformatycznych;</w:t>
      </w:r>
    </w:p>
    <w:p w14:paraId="1C6BE713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interesów finansowych Skarbu Państwa Rzeczypospolitej Polskiej</w:t>
      </w:r>
      <w:r w:rsidR="00040187" w:rsidRP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oraz Unii Europejskiej;</w:t>
      </w:r>
    </w:p>
    <w:p w14:paraId="728C764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>konstytucyjnych wolności i praw człowieka i obywatela - występujące w stosunkach jednostki z organami władzy publicznej i niezwiązane z dziedzinami wskazanymi wcześniej.</w:t>
      </w:r>
    </w:p>
    <w:p w14:paraId="11A177DA" w14:textId="1947AA20" w:rsidR="00040187" w:rsidRPr="004616DF" w:rsidRDefault="00040187" w:rsidP="004616DF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 uwagi na wprowadzoną Politykę antykorupcyjną w Komendzie </w:t>
      </w:r>
      <w:r w:rsidR="005B704B">
        <w:rPr>
          <w:rFonts w:ascii="Arial" w:hAnsi="Arial"/>
        </w:rPr>
        <w:t>Powiatowej</w:t>
      </w:r>
      <w:r w:rsidRPr="004616DF">
        <w:rPr>
          <w:rFonts w:ascii="Arial" w:hAnsi="Arial"/>
        </w:rPr>
        <w:t xml:space="preserve"> PSP </w:t>
      </w:r>
      <w:r w:rsidR="005B704B">
        <w:rPr>
          <w:rFonts w:ascii="Arial" w:hAnsi="Arial"/>
        </w:rPr>
        <w:br/>
      </w:r>
      <w:r w:rsidRPr="004616DF">
        <w:rPr>
          <w:rFonts w:ascii="Arial" w:hAnsi="Arial"/>
        </w:rPr>
        <w:t>w</w:t>
      </w:r>
      <w:r w:rsidR="005B704B">
        <w:rPr>
          <w:rFonts w:ascii="Arial" w:hAnsi="Arial"/>
        </w:rPr>
        <w:t xml:space="preserve"> Bolesławcu</w:t>
      </w:r>
      <w:r w:rsidRPr="004616DF">
        <w:rPr>
          <w:rFonts w:ascii="Arial" w:hAnsi="Arial"/>
        </w:rPr>
        <w:t>, zgłoszenia dotyczące</w:t>
      </w:r>
      <w:r w:rsidR="002D6ED9">
        <w:rPr>
          <w:rFonts w:ascii="Arial" w:hAnsi="Arial"/>
        </w:rPr>
        <w:t xml:space="preserve"> ust.2</w:t>
      </w:r>
      <w:r w:rsidRPr="004616DF">
        <w:rPr>
          <w:rFonts w:ascii="Arial" w:hAnsi="Arial"/>
        </w:rPr>
        <w:t xml:space="preserve"> pkt a, które wpłyną do K</w:t>
      </w:r>
      <w:r w:rsidR="005B704B">
        <w:rPr>
          <w:rFonts w:ascii="Arial" w:hAnsi="Arial"/>
        </w:rPr>
        <w:t>P</w:t>
      </w:r>
      <w:r w:rsidRPr="004616DF">
        <w:rPr>
          <w:rFonts w:ascii="Arial" w:hAnsi="Arial"/>
        </w:rPr>
        <w:t xml:space="preserve"> PSP,  będą rejestrowane i rozpatrywane w trybie niniejszego regulaminu</w:t>
      </w:r>
      <w:r w:rsidR="005B704B">
        <w:rPr>
          <w:rFonts w:ascii="Arial" w:hAnsi="Arial"/>
        </w:rPr>
        <w:t>.</w:t>
      </w:r>
    </w:p>
    <w:p w14:paraId="7A7FB0BF" w14:textId="77777777" w:rsidR="009A6BBF" w:rsidRPr="004616DF" w:rsidRDefault="009A6BB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4469B3B0" w14:textId="77777777" w:rsidR="004616DF" w:rsidRDefault="004616D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7F88C317" w14:textId="0F2EDF4E" w:rsidR="002D6ED9" w:rsidRDefault="002D6ED9" w:rsidP="002D6ED9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6</w:t>
      </w:r>
    </w:p>
    <w:p w14:paraId="0FAC8554" w14:textId="347D426A" w:rsidR="00E45A76" w:rsidRPr="004616DF" w:rsidRDefault="00E45A76" w:rsidP="002D6ED9">
      <w:pPr>
        <w:pStyle w:val="Tre9c9ce6e6tekstu"/>
        <w:spacing w:after="0" w:line="276" w:lineRule="auto"/>
        <w:ind w:left="397" w:hanging="340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Informacje zwrotne oraz kontakt w związku z przyjęciem zgłoszenia</w:t>
      </w:r>
    </w:p>
    <w:p w14:paraId="68839765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Potwierdzimy Panu/Pani przyjęcie zgłoszenia na podany adres kontaktowy. Informacje przekażemy niezwłocznie, nie później niż w terminie 7 dni od dnia przyjęcia zgłoszenia, o ile nie otrzymaliśmy od Pana/Pani sprzeciwu na wysłanie potwierdzenia.</w:t>
      </w:r>
    </w:p>
    <w:p w14:paraId="1B53DA28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zgłoszeń anonimowych, informacje zwrotne będą przekazywane tylko </w:t>
      </w:r>
      <w:r w:rsidR="001D6094" w:rsidRP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przypadku pozostawienia danych kontaktowych.</w:t>
      </w:r>
    </w:p>
    <w:p w14:paraId="7AE4E98C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Informacji o przyjęciu zgłoszenia nie przekażemy, jeżeli będziemy mieli uzasadnione podstawy sądzić, że takie działanie zagroziłoby ochronie poufności Pana/Pani tożsamości.</w:t>
      </w:r>
    </w:p>
    <w:p w14:paraId="3AE0A8D4" w14:textId="4162B8BB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Możemy zwrócić się do Pana/Pani, na podany adres do kontaktu, o wyjaśnienia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lub dodatkowe informacje, jakie mogą być w Pana/Pani posiadaniu – podanie ich jest dobrowolne.</w:t>
      </w:r>
    </w:p>
    <w:p w14:paraId="57B9A85A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Jeżeli wstępna weryfikacja wykaże, że zgłoszenie nie dotyczy naruszenia prawa, poinformujemy Pana/Panią o odstąpieniu od jego rozpatrywania oraz przyczynie odstąpienia.</w:t>
      </w:r>
    </w:p>
    <w:p w14:paraId="087C6EA6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przekazaniu zgłoszenia do innego organu publicznego, jeżeli wstępna weryfikacja wykaże, że jest on właściwy do rozpatrzenia zgłoszenia.</w:t>
      </w:r>
    </w:p>
    <w:p w14:paraId="28AD83A3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Przekażemy Panu/Pani informację zwrotną w terminie nieprzekraczającym 3 miesięcy od dnia przyjęcia zgłoszenia, a w uzasadnionych przypadkach w terminie nieprzekraczającym 6 miesięcy od dnia przyjęcia zgłoszenia.</w:t>
      </w:r>
    </w:p>
    <w:p w14:paraId="239FD9E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Przekażemy Panu/Pani informację, jeżeli odstąpimy od podjęcia działań następczych, podając uzasadnienie odstąpienia. </w:t>
      </w:r>
    </w:p>
    <w:p w14:paraId="467877D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ostatecznym wyniku naszych działań następczych realizowanych na skutek zgłoszenia.</w:t>
      </w:r>
    </w:p>
    <w:p w14:paraId="169B7BE2" w14:textId="77777777" w:rsidR="00E45A76" w:rsidRPr="004616DF" w:rsidRDefault="00E45A76" w:rsidP="001D6094">
      <w:pPr>
        <w:pStyle w:val="Tre9c9ce6e6tekstu"/>
        <w:spacing w:after="0" w:line="276" w:lineRule="auto"/>
        <w:ind w:left="1117"/>
        <w:jc w:val="both"/>
        <w:rPr>
          <w:rFonts w:ascii="Arial" w:hAnsi="Arial"/>
        </w:rPr>
      </w:pPr>
    </w:p>
    <w:p w14:paraId="14395A3A" w14:textId="66FA1BAC" w:rsidR="002D6ED9" w:rsidRDefault="002D6ED9" w:rsidP="002D6ED9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7</w:t>
      </w:r>
    </w:p>
    <w:p w14:paraId="65EC46B8" w14:textId="77777777" w:rsidR="00E45A76" w:rsidRPr="004616DF" w:rsidRDefault="00E45A76" w:rsidP="002D6ED9">
      <w:pPr>
        <w:pStyle w:val="Tre9c9ce6e6tekstu"/>
        <w:spacing w:after="0" w:line="240" w:lineRule="auto"/>
        <w:ind w:left="397" w:hanging="340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Sposób postępowania z otrzymanymi zgłoszeniami</w:t>
      </w:r>
    </w:p>
    <w:p w14:paraId="3461F4D5" w14:textId="0355C111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naruszeń prawa są weryfikowane przez upoważnionych pracowników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zakresie wiarygodności zgłoszenia oraz naszej odpowiedzialności za jego rozpatrzenie i przeprowadzanie działań następczych.</w:t>
      </w:r>
    </w:p>
    <w:p w14:paraId="2CFA701D" w14:textId="0BDC6892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ramach postępowania, możemy zbierać dodatkowe informacje, w tym zwrócić się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Pana/Pani o udzielenie dodatkowych wyjaśnień. </w:t>
      </w:r>
    </w:p>
    <w:p w14:paraId="1EABCF1F" w14:textId="1437B4B0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Jeżeli zgłoszenie zostanie uznane za uzasadnione i dotyczy naruszenia prawa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dziedzinie należącej do zakresu naszego działania, podejmiemy dalsze kroki w celu zbadania sprawy i naprawienia naruszenia prawa. W szczególności możemy podjąć jedno lub kilka z poniższych działań:</w:t>
      </w:r>
    </w:p>
    <w:p w14:paraId="40358FC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lastRenderedPageBreak/>
        <w:t xml:space="preserve">wprowadzenie zmian w naszych procedurach; </w:t>
      </w:r>
    </w:p>
    <w:p w14:paraId="61D9DC5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odpowiednim organom; </w:t>
      </w:r>
    </w:p>
    <w:p w14:paraId="7DE7235C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nałożenia sankcji na osoby odpowiedzialne;</w:t>
      </w:r>
    </w:p>
    <w:p w14:paraId="2744893E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przeszkolenia personelu;</w:t>
      </w:r>
    </w:p>
    <w:p w14:paraId="0B51DD14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wdrożenia nowych systemów kontroli.</w:t>
      </w:r>
    </w:p>
    <w:p w14:paraId="5E9AFBAA" w14:textId="77777777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uzasadnionych przypadkach, w celu przeprowadzenia postępowania wyjaśniającego możemy przekazać zgłoszenie: </w:t>
      </w:r>
    </w:p>
    <w:p w14:paraId="7AB599D2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jednostkom organizacyjnym podległym lub nadzorowanym;</w:t>
      </w:r>
    </w:p>
    <w:p w14:paraId="23DB112A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innej jednostce organizacyjnej, której powierzono zadania w drodze porozumienia.</w:t>
      </w:r>
    </w:p>
    <w:p w14:paraId="262E461C" w14:textId="11BB03EE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gdy zgłoszenie dotyczy naruszeń prawa w dziedzinie nienależącej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zakresu naszego działania, przekażemy je niezwłocznie, nie później jednak niż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terminie 14 dni od dnia dokonania zgłoszenia, a w uzasadnionych przypadkach - nie później niż w terminie 30 dni, do organu publicznego właściwego do podjęcia działań następczych.</w:t>
      </w:r>
    </w:p>
    <w:p w14:paraId="58446F72" w14:textId="674EA24F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Możemy nie podjąć działań następczych w przypadku, gdy w Pana/Pani zgłoszeniu, dotyczącym sprawy będącej już przedmiotem Pana/Pani wcześniejszego zgłoszenia lub zgłoszenia od innego Sygnalisty, nie zawarto istotnych nowych informacji na temat naruszenia prawa w porównaniu z wcześniejszym zgłoszeniem tego naruszenia. Poinformujemy Pana/Panią o takim odstąpieniu. W razie kolejnego zgłoszenia - pozostawimy je bez rozpoznania oraz informacji zwrotnej.</w:t>
      </w:r>
    </w:p>
    <w:p w14:paraId="0C213DA6" w14:textId="2D512BF6" w:rsidR="009A6BBF" w:rsidRDefault="00E45A76" w:rsidP="004616DF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Wszystkie zgłoszenia odnotowujemy w naszym wewnętrznym rejestrze. W rejestrze odnotowujemy: numer zgłoszenia; przedmiot naruszenia prawa; dane osobowe sygnalisty oraz osoby, której dotyczy zgłoszenie, niezbędne do identyfikacji tych osób; datę dokonania zgłoszenia; informację o podjętych działaniach następczych; informację o wydaniu zaświadczenia, o podleganiu ochronie przed działaniami odwetowymi; datę zakończenia sprawy; informacje o niepodejmowaniu dalszych działań w przypadku (jeśli zachodzi); szacunkową szkodę majątkową, jeżeli została stwierdzona, oraz kwoty odzyskane w wyniku postępowań dotyczących naruszeń prawa będących przedmiotem zgłoszenia (jeśli posiadamy taką informację).</w:t>
      </w:r>
    </w:p>
    <w:p w14:paraId="70A32522" w14:textId="77777777" w:rsidR="004616DF" w:rsidRDefault="004616DF" w:rsidP="00757E45">
      <w:pPr>
        <w:pStyle w:val="Tre9c9ce6e6tekstu"/>
        <w:spacing w:after="0" w:line="276" w:lineRule="auto"/>
        <w:jc w:val="both"/>
        <w:rPr>
          <w:rFonts w:ascii="Arial" w:hAnsi="Arial"/>
        </w:rPr>
      </w:pPr>
    </w:p>
    <w:p w14:paraId="1E0F99F0" w14:textId="77777777" w:rsidR="004616DF" w:rsidRPr="004616DF" w:rsidRDefault="004616DF" w:rsidP="004616DF">
      <w:pPr>
        <w:pStyle w:val="Tre9c9ce6e6tekstu"/>
        <w:spacing w:after="0" w:line="276" w:lineRule="auto"/>
        <w:ind w:left="417"/>
        <w:jc w:val="both"/>
        <w:rPr>
          <w:rFonts w:ascii="Arial" w:hAnsi="Arial"/>
        </w:rPr>
      </w:pPr>
    </w:p>
    <w:p w14:paraId="24047877" w14:textId="1F341AEF" w:rsidR="002D6ED9" w:rsidRDefault="002D6ED9" w:rsidP="002D6ED9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§ </w:t>
      </w:r>
      <w:r w:rsidR="00BC69FB">
        <w:rPr>
          <w:rFonts w:ascii="Arial" w:hAnsi="Arial"/>
          <w:b/>
          <w:bCs/>
        </w:rPr>
        <w:t>8</w:t>
      </w:r>
    </w:p>
    <w:p w14:paraId="7246C911" w14:textId="77777777" w:rsidR="00E45A76" w:rsidRPr="004616DF" w:rsidRDefault="00E45A76" w:rsidP="002D6ED9">
      <w:pPr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Klauzula informacyjna w związku z przetwarzaniem danych osobowych</w:t>
      </w:r>
    </w:p>
    <w:p w14:paraId="209C811F" w14:textId="0DCF5BD5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4472C4" w:themeColor="accent1"/>
          <w:szCs w:val="24"/>
        </w:rPr>
      </w:pPr>
      <w:r w:rsidRPr="004616DF">
        <w:rPr>
          <w:rFonts w:ascii="Arial" w:hAnsi="Arial" w:cs="Arial"/>
          <w:szCs w:val="24"/>
        </w:rPr>
        <w:t>Administratorem Pani/</w:t>
      </w:r>
      <w:r w:rsidRPr="004616DF">
        <w:rPr>
          <w:rFonts w:ascii="Arial" w:hAnsi="Arial" w:cs="Arial"/>
          <w:bCs/>
          <w:szCs w:val="24"/>
        </w:rPr>
        <w:t>Pan</w:t>
      </w:r>
      <w:r w:rsidRPr="004616DF">
        <w:rPr>
          <w:rFonts w:ascii="Arial" w:hAnsi="Arial" w:cs="Arial"/>
          <w:szCs w:val="24"/>
        </w:rPr>
        <w:t>a danych osobowych jest</w:t>
      </w:r>
      <w:r w:rsidR="00FE7B2C">
        <w:rPr>
          <w:rFonts w:ascii="Arial" w:hAnsi="Arial" w:cs="Arial"/>
          <w:szCs w:val="24"/>
        </w:rPr>
        <w:t xml:space="preserve"> </w:t>
      </w:r>
      <w:r w:rsidR="009A6BBF" w:rsidRPr="004616DF">
        <w:rPr>
          <w:rFonts w:ascii="Arial" w:hAnsi="Arial" w:cs="Arial"/>
          <w:szCs w:val="24"/>
        </w:rPr>
        <w:t xml:space="preserve">Komendant </w:t>
      </w:r>
      <w:r w:rsidR="00FE7B2C">
        <w:rPr>
          <w:rFonts w:ascii="Arial" w:hAnsi="Arial" w:cs="Arial"/>
          <w:szCs w:val="24"/>
        </w:rPr>
        <w:t>Powiatowy</w:t>
      </w:r>
      <w:r w:rsidR="009A6BBF" w:rsidRPr="004616DF">
        <w:rPr>
          <w:rFonts w:ascii="Arial" w:hAnsi="Arial" w:cs="Arial"/>
          <w:szCs w:val="24"/>
        </w:rPr>
        <w:t xml:space="preserve"> Państwowej Straży Pożarnej w</w:t>
      </w:r>
      <w:r w:rsidR="00FE7B2C">
        <w:rPr>
          <w:rFonts w:ascii="Arial" w:hAnsi="Arial" w:cs="Arial"/>
          <w:szCs w:val="24"/>
        </w:rPr>
        <w:t xml:space="preserve"> Bolesławcu</w:t>
      </w:r>
      <w:r w:rsidR="009A6BBF" w:rsidRPr="004616DF">
        <w:rPr>
          <w:rFonts w:ascii="Arial" w:hAnsi="Arial" w:cs="Arial"/>
          <w:szCs w:val="24"/>
        </w:rPr>
        <w:t xml:space="preserve">, ul. </w:t>
      </w:r>
      <w:r w:rsidR="00FE7B2C">
        <w:rPr>
          <w:rFonts w:ascii="Arial" w:hAnsi="Arial" w:cs="Arial"/>
          <w:szCs w:val="24"/>
        </w:rPr>
        <w:t>Wesoła</w:t>
      </w:r>
      <w:r w:rsidR="009A6BBF" w:rsidRPr="004616DF">
        <w:rPr>
          <w:rFonts w:ascii="Arial" w:hAnsi="Arial" w:cs="Arial"/>
          <w:szCs w:val="24"/>
        </w:rPr>
        <w:t xml:space="preserve"> </w:t>
      </w:r>
      <w:r w:rsidR="00FE7B2C">
        <w:rPr>
          <w:rFonts w:ascii="Arial" w:hAnsi="Arial" w:cs="Arial"/>
          <w:szCs w:val="24"/>
        </w:rPr>
        <w:t>2</w:t>
      </w:r>
      <w:r w:rsidR="009A6BBF" w:rsidRPr="004616DF">
        <w:rPr>
          <w:rFonts w:ascii="Arial" w:hAnsi="Arial" w:cs="Arial"/>
          <w:szCs w:val="24"/>
        </w:rPr>
        <w:t>, 5</w:t>
      </w:r>
      <w:r w:rsidR="00FE7B2C">
        <w:rPr>
          <w:rFonts w:ascii="Arial" w:hAnsi="Arial" w:cs="Arial"/>
          <w:szCs w:val="24"/>
        </w:rPr>
        <w:t>9-700</w:t>
      </w:r>
      <w:r w:rsidR="009A6BBF" w:rsidRPr="004616DF">
        <w:rPr>
          <w:rFonts w:ascii="Arial" w:hAnsi="Arial" w:cs="Arial"/>
          <w:szCs w:val="24"/>
        </w:rPr>
        <w:t xml:space="preserve"> </w:t>
      </w:r>
      <w:r w:rsidR="00FE7B2C">
        <w:rPr>
          <w:rFonts w:ascii="Arial" w:hAnsi="Arial" w:cs="Arial"/>
          <w:szCs w:val="24"/>
        </w:rPr>
        <w:t>Bolesławiec</w:t>
      </w:r>
      <w:r w:rsidR="009A6BBF" w:rsidRPr="004616DF">
        <w:rPr>
          <w:rFonts w:ascii="Arial" w:hAnsi="Arial" w:cs="Arial"/>
          <w:szCs w:val="24"/>
        </w:rPr>
        <w:t xml:space="preserve">, e-mail: </w:t>
      </w:r>
      <w:r w:rsidR="00FE7B2C" w:rsidRPr="00FE7B2C">
        <w:rPr>
          <w:rFonts w:ascii="Arial" w:hAnsi="Arial" w:cs="Arial"/>
          <w:szCs w:val="24"/>
          <w:u w:color="FF0000"/>
        </w:rPr>
        <w:t>kpboleslawiec@kwpsp.wroc.pl</w:t>
      </w:r>
      <w:r w:rsidR="009A6BBF" w:rsidRPr="004616DF">
        <w:rPr>
          <w:rFonts w:ascii="Arial" w:hAnsi="Arial" w:cs="Arial"/>
          <w:color w:val="4472C4" w:themeColor="accent1"/>
          <w:szCs w:val="24"/>
        </w:rPr>
        <w:t>.</w:t>
      </w:r>
    </w:p>
    <w:p w14:paraId="2F124420" w14:textId="1D9D52DF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Może Pan/Pani kontaktować się w sprawach związanych z przetwarzaniem danych osobowych oraz z wykonywaniem praw przysługujących na mocy RODO z Administratorem z wykorzystaniem powyższych danych teleadresowych lub z wyznaczonym u Administratora inspektorem ochrony danych na adres e-mail: </w:t>
      </w:r>
      <w:hyperlink r:id="rId8" w:history="1">
        <w:r w:rsidR="009A6BBF" w:rsidRPr="004616DF">
          <w:rPr>
            <w:rStyle w:val="Hipercze"/>
            <w:rFonts w:ascii="Arial" w:hAnsi="Arial" w:cs="Arial"/>
            <w:color w:val="4472C4" w:themeColor="accent1"/>
            <w:szCs w:val="24"/>
          </w:rPr>
          <w:t>iod@kwpsp.wroc.pl</w:t>
        </w:r>
      </w:hyperlink>
      <w:r w:rsidR="009A6BBF" w:rsidRPr="004616DF">
        <w:rPr>
          <w:rFonts w:ascii="Arial" w:hAnsi="Arial" w:cs="Arial"/>
          <w:szCs w:val="24"/>
        </w:rPr>
        <w:t xml:space="preserve"> lub listownie na adres: Komenda Wojewódzka PSP we Wrocławiu, ul. Borowska 138, 50-552 Wrocław</w:t>
      </w:r>
      <w:r w:rsidR="00FE7B2C">
        <w:rPr>
          <w:rFonts w:ascii="Arial" w:hAnsi="Arial" w:cs="Arial"/>
          <w:szCs w:val="24"/>
        </w:rPr>
        <w:t>.</w:t>
      </w:r>
    </w:p>
    <w:p w14:paraId="6ACC4C80" w14:textId="57915385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Pani/a dane osobowe będą przetwarzane w celu przyjęcia zgłoszenia oraz przeprowadzania postępowania wyjaśniającego na podstawie obowiązku prawnego, </w:t>
      </w:r>
      <w:r w:rsidRPr="004616DF">
        <w:rPr>
          <w:rFonts w:ascii="Arial" w:hAnsi="Arial" w:cs="Arial"/>
          <w:szCs w:val="24"/>
        </w:rPr>
        <w:lastRenderedPageBreak/>
        <w:t xml:space="preserve">jakiemu podlega administrator na podstawie ustawy z dnia 14 czerwca 2024 r.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o ochronie sygnalistów.</w:t>
      </w:r>
    </w:p>
    <w:p w14:paraId="3A9FB247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t>Ochrona tożsamości sygnalisty:</w:t>
      </w:r>
      <w:r w:rsidRPr="004616DF">
        <w:rPr>
          <w:rFonts w:ascii="Arial" w:hAnsi="Arial" w:cs="Arial"/>
          <w:i/>
          <w:iCs/>
          <w:szCs w:val="24"/>
        </w:rPr>
        <w:t>.</w:t>
      </w:r>
      <w:r w:rsidRPr="004616DF">
        <w:rPr>
          <w:rFonts w:ascii="Arial" w:hAnsi="Arial" w:cs="Arial"/>
          <w:szCs w:val="24"/>
        </w:rPr>
        <w:t xml:space="preserve"> 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1B87174D" w14:textId="3780FE4B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t xml:space="preserve">Szczególne przypadki, gdy może dojść do ujawnienia danych: </w:t>
      </w:r>
      <w:r w:rsidRPr="004616DF">
        <w:rPr>
          <w:rFonts w:ascii="Arial" w:hAnsi="Arial" w:cs="Arial"/>
          <w:szCs w:val="24"/>
        </w:rPr>
        <w:t xml:space="preserve">W związku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z postępowaniami wyjaśniającymi prowadzonymi przez organy publiczne lub postępowaniami przygotowawczymi lub sądowymi prowadzonymi przez sądy, w tym </w:t>
      </w:r>
      <w:r w:rsidR="00FE7B2C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lub elektronicznej wyjaśnienie powodów ujawnienia danych osobowych. Powiadomienie nie jest przekazywane, jeżeli może zagrozić postępowaniu wyjaśniającemu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postępowaniu przygotowawczemu, lub sądowemu.</w:t>
      </w:r>
    </w:p>
    <w:p w14:paraId="28959FB8" w14:textId="7A5D27A4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Administrator zapewnia poufność Pani/a danych, w związku z otrzymanym zgłoszeniem. W związku z tym dane mogą być udostępnione jedynie podmiotom uprawnionym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do tego na podstawie przepisów prawa </w:t>
      </w:r>
      <w:r w:rsidR="00E9715F" w:rsidRPr="004616DF">
        <w:rPr>
          <w:rFonts w:ascii="Arial" w:hAnsi="Arial" w:cs="Arial"/>
          <w:szCs w:val="24"/>
        </w:rPr>
        <w:t xml:space="preserve">(np. wykonawcy usług pocztowych i kurierskich) oraz podmioty przetwarzające, realizujące usługi na rzecz Administratora </w:t>
      </w:r>
      <w:r w:rsidR="004616DF">
        <w:rPr>
          <w:rFonts w:ascii="Arial" w:hAnsi="Arial" w:cs="Arial"/>
          <w:szCs w:val="24"/>
        </w:rPr>
        <w:br/>
      </w:r>
      <w:r w:rsidR="00E9715F" w:rsidRPr="004616DF">
        <w:rPr>
          <w:rFonts w:ascii="Arial" w:hAnsi="Arial" w:cs="Arial"/>
          <w:szCs w:val="24"/>
        </w:rPr>
        <w:t>(np. w zakresie fizycznego wybrakowania i zniszczenia dokumentów, firma zapewniająca wsparcie techniczne IT).</w:t>
      </w:r>
      <w:r w:rsidR="009A6BBF" w:rsidRPr="004616DF">
        <w:rPr>
          <w:rFonts w:ascii="Arial" w:hAnsi="Arial" w:cs="Arial"/>
          <w:szCs w:val="24"/>
        </w:rPr>
        <w:t xml:space="preserve"> </w:t>
      </w:r>
    </w:p>
    <w:p w14:paraId="0F1D18E8" w14:textId="79C91C0F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A51458F" w14:textId="33465A7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Posiada Pan/Pani prawo żądania dostępu do swoich danych osobowych, a także ich sprostowania (poprawiania). Przysługuje Pani/</w:t>
      </w:r>
      <w:r w:rsidRPr="004616DF">
        <w:rPr>
          <w:rFonts w:ascii="Arial" w:hAnsi="Arial" w:cs="Arial"/>
          <w:bCs/>
          <w:szCs w:val="24"/>
        </w:rPr>
        <w:t>Pan</w:t>
      </w:r>
      <w:r w:rsidRPr="004616DF">
        <w:rPr>
          <w:rFonts w:ascii="Arial" w:hAnsi="Arial" w:cs="Arial"/>
          <w:szCs w:val="24"/>
        </w:rPr>
        <w:t xml:space="preserve">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14:paraId="4AE67184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Przysługuje Pani/Panu prawo wniesienia skargi na realizowane przez Administratora przetwarzanie do Prezesa UODO (uodo.gov.pl). </w:t>
      </w:r>
    </w:p>
    <w:p w14:paraId="059DA462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0BB7E566" w14:textId="77777777" w:rsidR="001D6094" w:rsidRDefault="001D6094" w:rsidP="001D6094">
      <w:pPr>
        <w:pStyle w:val="Tre9c9ce6e6tekstu"/>
        <w:spacing w:after="0" w:line="276" w:lineRule="auto"/>
        <w:jc w:val="both"/>
        <w:rPr>
          <w:rFonts w:ascii="Arial" w:hAnsi="Arial"/>
          <w:b/>
          <w:bCs/>
        </w:rPr>
      </w:pPr>
    </w:p>
    <w:p w14:paraId="11500143" w14:textId="77777777" w:rsidR="00BC69FB" w:rsidRDefault="00BC69FB" w:rsidP="001D6094">
      <w:pPr>
        <w:pStyle w:val="Tre9c9ce6e6tekstu"/>
        <w:spacing w:after="0" w:line="276" w:lineRule="auto"/>
        <w:jc w:val="both"/>
        <w:rPr>
          <w:rFonts w:ascii="Arial" w:hAnsi="Arial"/>
          <w:b/>
          <w:bCs/>
        </w:rPr>
      </w:pPr>
    </w:p>
    <w:p w14:paraId="3AEACB83" w14:textId="77777777" w:rsidR="00BC69FB" w:rsidRPr="004616DF" w:rsidRDefault="00BC69FB" w:rsidP="001D6094">
      <w:pPr>
        <w:pStyle w:val="Tre9c9ce6e6tekstu"/>
        <w:spacing w:after="0" w:line="276" w:lineRule="auto"/>
        <w:jc w:val="both"/>
        <w:rPr>
          <w:rFonts w:ascii="Arial" w:hAnsi="Arial"/>
          <w:b/>
          <w:bCs/>
        </w:rPr>
      </w:pPr>
    </w:p>
    <w:p w14:paraId="0183EAA7" w14:textId="19B2E91C" w:rsidR="00757E45" w:rsidRDefault="00757E45" w:rsidP="00757E45">
      <w:pPr>
        <w:pStyle w:val="Tre9c9ce6e6tekstu"/>
        <w:spacing w:after="0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§ </w:t>
      </w:r>
      <w:r w:rsidR="00BC69FB">
        <w:rPr>
          <w:rFonts w:ascii="Arial" w:hAnsi="Arial"/>
          <w:b/>
          <w:bCs/>
        </w:rPr>
        <w:t>9</w:t>
      </w:r>
    </w:p>
    <w:p w14:paraId="28E82A76" w14:textId="77777777" w:rsidR="00E45A76" w:rsidRPr="004616DF" w:rsidRDefault="00E45A76" w:rsidP="00757E45">
      <w:pPr>
        <w:pStyle w:val="Tre9c9ce6e6tekstu"/>
        <w:spacing w:after="0" w:line="276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>Kontakt do Rzecznika Praw Obywatelskich</w:t>
      </w:r>
    </w:p>
    <w:p w14:paraId="6DB1B161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54EEBF23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Informacyjna linia obywatelska: 800 676 676, e-mail biurorzecznika@brpo.gov.pl,</w:t>
      </w:r>
    </w:p>
    <w:p w14:paraId="662786F1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Adres korespondencyjny: Biuro RPO, al. Solidarności 77, 00-090 Warszawa</w:t>
      </w:r>
    </w:p>
    <w:p w14:paraId="1570B49A" w14:textId="77777777" w:rsidR="007925F5" w:rsidRPr="004616DF" w:rsidRDefault="007925F5" w:rsidP="001D6094">
      <w:pPr>
        <w:spacing w:line="276" w:lineRule="auto"/>
        <w:jc w:val="both"/>
        <w:rPr>
          <w:rFonts w:ascii="Arial" w:hAnsi="Arial"/>
        </w:rPr>
      </w:pPr>
    </w:p>
    <w:sectPr w:rsidR="007925F5" w:rsidRPr="004616DF" w:rsidSect="00E45A76">
      <w:footerReference w:type="default" r:id="rId9"/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A02D" w14:textId="77777777" w:rsidR="004078B8" w:rsidRDefault="004078B8">
      <w:pPr>
        <w:spacing w:line="240" w:lineRule="auto"/>
      </w:pPr>
      <w:r>
        <w:separator/>
      </w:r>
    </w:p>
  </w:endnote>
  <w:endnote w:type="continuationSeparator" w:id="0">
    <w:p w14:paraId="535DCF9D" w14:textId="77777777" w:rsidR="004078B8" w:rsidRDefault="00407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914884"/>
      <w:docPartObj>
        <w:docPartGallery w:val="Page Numbers (Bottom of Page)"/>
        <w:docPartUnique/>
      </w:docPartObj>
    </w:sdtPr>
    <w:sdtContent>
      <w:p w14:paraId="28D75AB1" w14:textId="36A6EF63" w:rsidR="009D6BB8" w:rsidRDefault="009D6B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20132F" w14:textId="77777777" w:rsidR="009D6BB8" w:rsidRDefault="009D6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BD136" w14:textId="77777777" w:rsidR="004078B8" w:rsidRDefault="004078B8">
      <w:r>
        <w:rPr>
          <w:rFonts w:ascii="Liberation Serif" w:eastAsiaTheme="minorEastAsia" w:hAnsi="Liberation Serif" w:cs="Times New Roman"/>
          <w:kern w:val="0"/>
          <w:lang w:eastAsia="pl-PL" w:bidi="ar-SA"/>
        </w:rPr>
        <w:separator/>
      </w:r>
    </w:p>
  </w:footnote>
  <w:footnote w:type="continuationSeparator" w:id="0">
    <w:p w14:paraId="0E6FDB02" w14:textId="77777777" w:rsidR="004078B8" w:rsidRDefault="004078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654A5D12"/>
    <w:lvl w:ilvl="0">
      <w:start w:val="1"/>
      <w:numFmt w:val="decimal"/>
      <w:lvlText w:val="%1."/>
      <w:lvlJc w:val="left"/>
      <w:pPr>
        <w:ind w:left="41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7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13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9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5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1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7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3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97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1B746989"/>
    <w:multiLevelType w:val="hybridMultilevel"/>
    <w:tmpl w:val="F0B02720"/>
    <w:lvl w:ilvl="0" w:tplc="57C6BC6A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47254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0E5F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02811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031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EF483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161164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60B7AF4"/>
    <w:multiLevelType w:val="multilevel"/>
    <w:tmpl w:val="B5A863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69232FF9"/>
    <w:multiLevelType w:val="multilevel"/>
    <w:tmpl w:val="A3D24B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6A7E210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925155"/>
    <w:multiLevelType w:val="multilevel"/>
    <w:tmpl w:val="7E0646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610162352">
    <w:abstractNumId w:val="0"/>
  </w:num>
  <w:num w:numId="2" w16cid:durableId="666130576">
    <w:abstractNumId w:val="1"/>
  </w:num>
  <w:num w:numId="3" w16cid:durableId="1138452541">
    <w:abstractNumId w:val="2"/>
  </w:num>
  <w:num w:numId="4" w16cid:durableId="1202092143">
    <w:abstractNumId w:val="3"/>
  </w:num>
  <w:num w:numId="5" w16cid:durableId="67459230">
    <w:abstractNumId w:val="4"/>
  </w:num>
  <w:num w:numId="6" w16cid:durableId="21169845">
    <w:abstractNumId w:val="5"/>
  </w:num>
  <w:num w:numId="7" w16cid:durableId="144586849">
    <w:abstractNumId w:val="18"/>
  </w:num>
  <w:num w:numId="8" w16cid:durableId="368997022">
    <w:abstractNumId w:val="6"/>
  </w:num>
  <w:num w:numId="9" w16cid:durableId="1829783216">
    <w:abstractNumId w:val="15"/>
  </w:num>
  <w:num w:numId="10" w16cid:durableId="441993805">
    <w:abstractNumId w:val="9"/>
  </w:num>
  <w:num w:numId="11" w16cid:durableId="963731237">
    <w:abstractNumId w:val="14"/>
  </w:num>
  <w:num w:numId="12" w16cid:durableId="1178538273">
    <w:abstractNumId w:val="17"/>
  </w:num>
  <w:num w:numId="13" w16cid:durableId="1146125733">
    <w:abstractNumId w:val="8"/>
  </w:num>
  <w:num w:numId="14" w16cid:durableId="2016032728">
    <w:abstractNumId w:val="10"/>
  </w:num>
  <w:num w:numId="15" w16cid:durableId="291523756">
    <w:abstractNumId w:val="11"/>
  </w:num>
  <w:num w:numId="16" w16cid:durableId="870611381">
    <w:abstractNumId w:val="12"/>
  </w:num>
  <w:num w:numId="17" w16cid:durableId="1684358529">
    <w:abstractNumId w:val="16"/>
  </w:num>
  <w:num w:numId="18" w16cid:durableId="632715823">
    <w:abstractNumId w:val="13"/>
  </w:num>
  <w:num w:numId="19" w16cid:durableId="1033656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0"/>
    <w:rsid w:val="00040187"/>
    <w:rsid w:val="00155E11"/>
    <w:rsid w:val="001A6330"/>
    <w:rsid w:val="001D6094"/>
    <w:rsid w:val="00214260"/>
    <w:rsid w:val="00252963"/>
    <w:rsid w:val="002D6ED9"/>
    <w:rsid w:val="003B02BF"/>
    <w:rsid w:val="004078B8"/>
    <w:rsid w:val="00445FF0"/>
    <w:rsid w:val="004616DF"/>
    <w:rsid w:val="0048455C"/>
    <w:rsid w:val="005B704B"/>
    <w:rsid w:val="00710962"/>
    <w:rsid w:val="00757E45"/>
    <w:rsid w:val="00760B49"/>
    <w:rsid w:val="007925F5"/>
    <w:rsid w:val="007F686D"/>
    <w:rsid w:val="0082473E"/>
    <w:rsid w:val="008E7A6F"/>
    <w:rsid w:val="00986E9C"/>
    <w:rsid w:val="009A5275"/>
    <w:rsid w:val="009A6BBF"/>
    <w:rsid w:val="009D6BB8"/>
    <w:rsid w:val="00AC2F4B"/>
    <w:rsid w:val="00BC35F7"/>
    <w:rsid w:val="00BC69FB"/>
    <w:rsid w:val="00BE6376"/>
    <w:rsid w:val="00BF6882"/>
    <w:rsid w:val="00C47214"/>
    <w:rsid w:val="00D12E91"/>
    <w:rsid w:val="00D36D15"/>
    <w:rsid w:val="00D602AB"/>
    <w:rsid w:val="00D62433"/>
    <w:rsid w:val="00E45A76"/>
    <w:rsid w:val="00E9715F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D88"/>
  <w14:defaultImageDpi w14:val="0"/>
  <w15:docId w15:val="{634812AC-177C-4567-A5CC-99F4D915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color w:val="000000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customStyle="1" w:styleId="Znakinumeracji">
    <w:name w:val="Znaki numeracji"/>
    <w:uiPriority w:val="99"/>
    <w:rPr>
      <w:rFonts w:ascii="Times New Roman" w:hAnsi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hAnsi="Times New Roman" w:cs="Mangal"/>
      <w:color w:val="000000"/>
      <w:sz w:val="21"/>
      <w:szCs w:val="21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 w:color="FF0000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  <w:pPr>
      <w:spacing w:line="276" w:lineRule="exact"/>
    </w:p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Nagb3b3f3f3wek1">
    <w:name w:val="Nagłb3b3óf3f3wek 1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40" w:after="120" w:line="360" w:lineRule="auto"/>
    </w:pPr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customStyle="1" w:styleId="Nagb3b3f3f3wek2">
    <w:name w:val="Nagłb3b3óf3f3wek 2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00" w:after="120" w:line="360" w:lineRule="auto"/>
    </w:pPr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paragraph" w:customStyle="1" w:styleId="Nagb3b3f3f3wek3">
    <w:name w:val="Nagłb3b3óf3f3wek 3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140" w:after="120" w:line="360" w:lineRule="auto"/>
    </w:pPr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exact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819"/>
        <w:tab w:val="right" w:pos="9638"/>
      </w:tabs>
    </w:pPr>
  </w:style>
  <w:style w:type="paragraph" w:customStyle="1" w:styleId="Gb3b3f3f3wka">
    <w:name w:val="Głb3b3óf3f3wka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uiPriority w:val="99"/>
    <w:pPr>
      <w:spacing w:before="120" w:after="120"/>
    </w:pPr>
    <w:rPr>
      <w:i/>
      <w:iCs/>
    </w:rPr>
  </w:style>
  <w:style w:type="paragraph" w:customStyle="1" w:styleId="Podtytub3b3">
    <w:name w:val="Podtytułb3b3"/>
    <w:basedOn w:val="Gb3b3f3f3wka"/>
    <w:uiPriority w:val="99"/>
    <w:pPr>
      <w:spacing w:before="60"/>
      <w:jc w:val="center"/>
    </w:pPr>
    <w:rPr>
      <w:sz w:val="36"/>
      <w:szCs w:val="36"/>
    </w:rPr>
  </w:style>
  <w:style w:type="paragraph" w:customStyle="1" w:styleId="Tytub3b3">
    <w:name w:val="Tytułb3b3"/>
    <w:basedOn w:val="Gb3b3f3f3wka"/>
    <w:uiPriority w:val="99"/>
    <w:pPr>
      <w:jc w:val="center"/>
    </w:pPr>
    <w:rPr>
      <w:b/>
      <w:bCs/>
      <w:sz w:val="56"/>
      <w:szCs w:val="56"/>
    </w:rPr>
  </w:style>
  <w:style w:type="paragraph" w:customStyle="1" w:styleId="Zawarto9c9ce6e6listy">
    <w:name w:val="Zawartoś9c9cće6e6 listy"/>
    <w:basedOn w:val="Normalny"/>
    <w:uiPriority w:val="99"/>
    <w:pPr>
      <w:ind w:left="567"/>
    </w:pPr>
  </w:style>
  <w:style w:type="paragraph" w:customStyle="1" w:styleId="Zawarto9c9ce6e6tabeli">
    <w:name w:val="Zawartoś9c9cće6e6 tabeli"/>
    <w:basedOn w:val="Normalny"/>
    <w:uiPriority w:val="99"/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NSimSun" w:hAnsi="Calibri" w:cs="Mangal"/>
      <w:kern w:val="1"/>
      <w:sz w:val="18"/>
      <w:szCs w:val="18"/>
      <w:lang w:val="x-none"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imes New Roman" w:hAnsi="Times New Roman" w:cs="Mangal"/>
      <w:szCs w:val="21"/>
      <w:lang w:eastAsia="pl-PL"/>
    </w:rPr>
  </w:style>
  <w:style w:type="paragraph" w:customStyle="1" w:styleId="Tre9c9c9ce6e6e6tekstu">
    <w:name w:val="Treś9c9c9cće6e6e6 tekstu"/>
    <w:basedOn w:val="Normalny"/>
    <w:uiPriority w:val="99"/>
    <w:rsid w:val="00E45A76"/>
    <w:pPr>
      <w:spacing w:after="140" w:line="276" w:lineRule="exac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A6BBF"/>
    <w:rPr>
      <w:rFonts w:cs="Times New Roman"/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6BB8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6BB8"/>
    <w:rPr>
      <w:rFonts w:ascii="Calibri" w:eastAsia="NSimSun" w:hAnsi="Calibri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6BB8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6BB8"/>
    <w:rPr>
      <w:rFonts w:ascii="Calibri" w:eastAsia="NSimSun" w:hAnsi="Calibri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83A4-9EC3-498C-A071-F9FA8161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2254</Words>
  <Characters>13530</Characters>
  <Application>Microsoft Office Word</Application>
  <DocSecurity>0</DocSecurity>
  <Lines>112</Lines>
  <Paragraphs>31</Paragraphs>
  <ScaleCrop>false</ScaleCrop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IOD</dc:creator>
  <cp:keywords/>
  <dc:description>ZNAKI:17014</dc:description>
  <cp:lastModifiedBy>Ewa Gora</cp:lastModifiedBy>
  <cp:revision>9</cp:revision>
  <cp:lastPrinted>2024-12-27T08:08:00Z</cp:lastPrinted>
  <dcterms:created xsi:type="dcterms:W3CDTF">2024-12-22T19:23:00Z</dcterms:created>
  <dcterms:modified xsi:type="dcterms:W3CDTF">2024-12-27T08:13:00Z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 Magulska</vt:lpwstr>
  </property>
  <property fmtid="{D5CDD505-2E9C-101B-9397-08002B2CF9AE}" pid="3" name="TekstJI">
    <vt:lpwstr>NIE</vt:lpwstr>
  </property>
  <property fmtid="{D5CDD505-2E9C-101B-9397-08002B2CF9AE}" pid="4" name="wk_stat:zapis">
    <vt:lpwstr>2024-09-04 14:42:24</vt:lpwstr>
  </property>
  <property fmtid="{D5CDD505-2E9C-101B-9397-08002B2CF9AE}" pid="5" name="wk_stat:znaki:liczba">
    <vt:lpwstr>17014</vt:lpwstr>
  </property>
  <property fmtid="{D5CDD505-2E9C-101B-9397-08002B2CF9AE}" pid="6" name="ZNAKI:">
    <vt:lpwstr>17014</vt:lpwstr>
  </property>
  <property fmtid="{D5CDD505-2E9C-101B-9397-08002B2CF9AE}" pid="7" name="wk_stat:linki:liczba">
    <vt:lpwstr>0</vt:lpwstr>
  </property>
</Properties>
</file>