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393D4" w14:textId="241CE55A" w:rsidR="00096218" w:rsidRPr="00664FDB" w:rsidRDefault="004475EB" w:rsidP="004475EB">
      <w:pPr>
        <w:pStyle w:val="Pagedecouverture"/>
        <w:rPr>
          <w:noProof/>
        </w:rPr>
      </w:pPr>
      <w:bookmarkStart w:id="0" w:name="LW_BM_COVERPAGE"/>
      <w:r>
        <w:rPr>
          <w:noProof/>
        </w:rPr>
        <w:pict w14:anchorId="7E888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8631858-9CA0-497F-BDCA-E9BC7A07CA17" style="width:455.25pt;height:324pt">
            <v:imagedata r:id="rId8" o:title=""/>
          </v:shape>
        </w:pict>
      </w:r>
    </w:p>
    <w:bookmarkEnd w:id="0"/>
    <w:p w14:paraId="107B30B8" w14:textId="77777777" w:rsidR="00096218" w:rsidRPr="00664FDB" w:rsidRDefault="00096218" w:rsidP="00096218">
      <w:pPr>
        <w:rPr>
          <w:noProof/>
        </w:rPr>
        <w:sectPr w:rsidR="00096218" w:rsidRPr="00664FDB" w:rsidSect="004475EB">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6108AA54" w14:textId="77777777" w:rsidR="000C423F" w:rsidRPr="00664FDB" w:rsidRDefault="000C423F" w:rsidP="2E5F65CC">
      <w:pPr>
        <w:spacing w:line="257" w:lineRule="auto"/>
        <w:jc w:val="both"/>
        <w:rPr>
          <w:rFonts w:ascii="Times New Roman" w:eastAsia="Times New Roman" w:hAnsi="Times New Roman" w:cs="Times New Roman"/>
          <w:b/>
          <w:bCs/>
          <w:smallCaps/>
          <w:noProof/>
          <w:sz w:val="24"/>
          <w:szCs w:val="24"/>
        </w:rPr>
      </w:pPr>
      <w:bookmarkStart w:id="1" w:name="_GoBack"/>
      <w:bookmarkEnd w:id="1"/>
      <w:r w:rsidRPr="00664FDB">
        <w:rPr>
          <w:rFonts w:ascii="Times New Roman" w:hAnsi="Times New Roman"/>
          <w:b/>
          <w:smallCaps/>
          <w:noProof/>
          <w:sz w:val="24"/>
        </w:rPr>
        <w:lastRenderedPageBreak/>
        <w:t>Wprowadzenie</w:t>
      </w:r>
    </w:p>
    <w:p w14:paraId="247B4E28" w14:textId="160CC319" w:rsidR="00114A56" w:rsidRPr="00664FDB" w:rsidRDefault="75D542CB" w:rsidP="00606F55">
      <w:pPr>
        <w:spacing w:line="257" w:lineRule="auto"/>
        <w:jc w:val="both"/>
        <w:rPr>
          <w:rFonts w:ascii="Times New Roman" w:hAnsi="Times New Roman" w:cs="Times New Roman"/>
          <w:noProof/>
          <w:sz w:val="24"/>
          <w:szCs w:val="24"/>
        </w:rPr>
      </w:pPr>
      <w:r w:rsidRPr="00664FDB">
        <w:rPr>
          <w:rFonts w:ascii="Times New Roman" w:hAnsi="Times New Roman"/>
          <w:noProof/>
          <w:sz w:val="24"/>
        </w:rPr>
        <w:t>Nieuzasadniona agresja wojskowa Rosji wobec Ukrainy</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wyk</w:t>
      </w:r>
      <w:r w:rsidRPr="00664FDB">
        <w:rPr>
          <w:rFonts w:ascii="Times New Roman" w:hAnsi="Times New Roman"/>
          <w:noProof/>
          <w:sz w:val="24"/>
        </w:rPr>
        <w:t>orzystywanie przez Rosję energii jako broni doprowadziły do bezprecedensowego kryzysu energetycznego. Działania te spowodowały gwałtowny wzrost cen energii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zmn</w:t>
      </w:r>
      <w:r w:rsidRPr="00664FDB">
        <w:rPr>
          <w:rFonts w:ascii="Times New Roman" w:hAnsi="Times New Roman"/>
          <w:noProof/>
          <w:sz w:val="24"/>
        </w:rPr>
        <w:t>iejszyły nasze bezpieczeństwo dostaw energii. Decyzja Rosji</w:t>
      </w:r>
      <w:r w:rsidR="00664FDB" w:rsidRPr="00664FDB">
        <w:rPr>
          <w:rFonts w:ascii="Times New Roman" w:hAnsi="Times New Roman"/>
          <w:noProof/>
          <w:sz w:val="24"/>
        </w:rPr>
        <w:t xml:space="preserve"> o</w:t>
      </w:r>
      <w:r w:rsidR="00664FDB">
        <w:rPr>
          <w:rFonts w:ascii="Times New Roman" w:hAnsi="Times New Roman"/>
          <w:noProof/>
          <w:sz w:val="24"/>
        </w:rPr>
        <w:t> </w:t>
      </w:r>
      <w:r w:rsidR="00664FDB" w:rsidRPr="00664FDB">
        <w:rPr>
          <w:rFonts w:ascii="Times New Roman" w:hAnsi="Times New Roman"/>
          <w:noProof/>
          <w:sz w:val="24"/>
        </w:rPr>
        <w:t>odc</w:t>
      </w:r>
      <w:r w:rsidRPr="00664FDB">
        <w:rPr>
          <w:rFonts w:ascii="Times New Roman" w:hAnsi="Times New Roman"/>
          <w:noProof/>
          <w:sz w:val="24"/>
        </w:rPr>
        <w:t>ięciu dostaw przez gazociąg Nord Stream 1 oznaczała rozpoczęcie nowej fazy kryzysu.</w:t>
      </w:r>
    </w:p>
    <w:p w14:paraId="29720EC1" w14:textId="615F5C5A" w:rsidR="00114A56" w:rsidRPr="00664FDB" w:rsidRDefault="6FC53DFF" w:rsidP="2E5F65CC">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Unia Europejska działa jednomyślnie. Komisja zaproponowała plan</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roz</w:t>
      </w:r>
      <w:r w:rsidRPr="00664FDB">
        <w:rPr>
          <w:rFonts w:ascii="Times New Roman" w:hAnsi="Times New Roman"/>
          <w:noProof/>
          <w:sz w:val="24"/>
        </w:rPr>
        <w:t>porządzenie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cel</w:t>
      </w:r>
      <w:r w:rsidRPr="00664FDB">
        <w:rPr>
          <w:rFonts w:ascii="Times New Roman" w:hAnsi="Times New Roman"/>
          <w:noProof/>
          <w:sz w:val="24"/>
        </w:rPr>
        <w:t>u ograniczenia zapotrzebowania na gaz</w:t>
      </w:r>
      <w:r w:rsidRPr="00664FDB">
        <w:rPr>
          <w:rStyle w:val="FootnoteReference"/>
          <w:rFonts w:ascii="Times New Roman" w:eastAsia="Times New Roman" w:hAnsi="Times New Roman" w:cs="Times New Roman"/>
          <w:noProof/>
          <w:sz w:val="24"/>
          <w:szCs w:val="24"/>
        </w:rPr>
        <w:footnoteReference w:id="2"/>
      </w:r>
      <w:r w:rsidRPr="00664FDB">
        <w:rPr>
          <w:rFonts w:ascii="Times New Roman" w:hAnsi="Times New Roman"/>
          <w:noProof/>
          <w:sz w:val="24"/>
        </w:rPr>
        <w:t>,</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tak</w:t>
      </w:r>
      <w:r w:rsidRPr="00664FDB">
        <w:rPr>
          <w:rFonts w:ascii="Times New Roman" w:hAnsi="Times New Roman"/>
          <w:noProof/>
          <w:sz w:val="24"/>
        </w:rPr>
        <w:t>że środki nadzwyczajne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zak</w:t>
      </w:r>
      <w:r w:rsidRPr="00664FDB">
        <w:rPr>
          <w:rFonts w:ascii="Times New Roman" w:hAnsi="Times New Roman"/>
          <w:noProof/>
          <w:sz w:val="24"/>
        </w:rPr>
        <w:t>resie interwencji na rynkach energii</w:t>
      </w:r>
      <w:r w:rsidRPr="00664FDB">
        <w:rPr>
          <w:rStyle w:val="FootnoteReference"/>
          <w:rFonts w:ascii="Times New Roman" w:eastAsia="Times New Roman" w:hAnsi="Times New Roman" w:cs="Times New Roman"/>
          <w:noProof/>
          <w:sz w:val="24"/>
          <w:szCs w:val="24"/>
        </w:rPr>
        <w:footnoteReference w:id="3"/>
      </w:r>
      <w:r w:rsidRPr="00664FDB">
        <w:rPr>
          <w:rFonts w:ascii="Times New Roman" w:hAnsi="Times New Roman"/>
          <w:noProof/>
          <w:sz w:val="24"/>
        </w:rPr>
        <w:t>. Inicjatywy te przygotowują nas na najbliższą zimę. Unia zmniejsza obecnie swoje zużycie gazu</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czy</w:t>
      </w:r>
      <w:r w:rsidRPr="00664FDB">
        <w:rPr>
          <w:rFonts w:ascii="Times New Roman" w:hAnsi="Times New Roman"/>
          <w:noProof/>
          <w:sz w:val="24"/>
        </w:rPr>
        <w:t>niła to od początku rosyjskiej agresji</w:t>
      </w:r>
      <w:bookmarkStart w:id="2" w:name="_Hlk116727647"/>
      <w:r w:rsidRPr="00664FDB">
        <w:rPr>
          <w:rStyle w:val="FootnoteReference"/>
          <w:rFonts w:ascii="Times New Roman" w:eastAsia="Times New Roman" w:hAnsi="Times New Roman" w:cs="Times New Roman"/>
          <w:noProof/>
          <w:sz w:val="24"/>
          <w:szCs w:val="24"/>
        </w:rPr>
        <w:footnoteReference w:id="4"/>
      </w:r>
      <w:r w:rsidRPr="00664FDB">
        <w:rPr>
          <w:rFonts w:ascii="Times New Roman" w:hAnsi="Times New Roman"/>
          <w:noProof/>
          <w:sz w:val="24"/>
        </w:rPr>
        <w:t>. Przyspieszono tempo stopniowego wycofywania rosyjskich paliw. We wrześniu 2022</w:t>
      </w:r>
      <w:r w:rsidR="00664FDB" w:rsidRPr="00664FDB">
        <w:rPr>
          <w:rFonts w:ascii="Times New Roman" w:hAnsi="Times New Roman"/>
          <w:noProof/>
          <w:sz w:val="24"/>
        </w:rPr>
        <w:t> </w:t>
      </w:r>
      <w:r w:rsidRPr="00664FDB">
        <w:rPr>
          <w:rFonts w:ascii="Times New Roman" w:hAnsi="Times New Roman"/>
          <w:noProof/>
          <w:sz w:val="24"/>
        </w:rPr>
        <w:t>r.</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Ros</w:t>
      </w:r>
      <w:r w:rsidRPr="00664FDB">
        <w:rPr>
          <w:rFonts w:ascii="Times New Roman" w:hAnsi="Times New Roman"/>
          <w:noProof/>
          <w:sz w:val="24"/>
        </w:rPr>
        <w:t>ji pochodziło 9</w:t>
      </w:r>
      <w:r w:rsidR="00664FDB" w:rsidRPr="00664FDB">
        <w:rPr>
          <w:rFonts w:ascii="Times New Roman" w:hAnsi="Times New Roman"/>
          <w:noProof/>
          <w:sz w:val="24"/>
        </w:rPr>
        <w:t> </w:t>
      </w:r>
      <w:r w:rsidRPr="00664FDB">
        <w:rPr>
          <w:rFonts w:ascii="Times New Roman" w:hAnsi="Times New Roman"/>
          <w:noProof/>
          <w:sz w:val="24"/>
        </w:rPr>
        <w:t>% naszych dostaw gazu za pośrednictwem gazociągów,</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wli</w:t>
      </w:r>
      <w:r w:rsidRPr="00664FDB">
        <w:rPr>
          <w:rFonts w:ascii="Times New Roman" w:hAnsi="Times New Roman"/>
          <w:noProof/>
          <w:sz w:val="24"/>
        </w:rPr>
        <w:t>czając LNG było to</w:t>
      </w:r>
      <w:r w:rsidR="00664FDB" w:rsidRPr="00664FDB">
        <w:rPr>
          <w:rFonts w:ascii="Times New Roman" w:hAnsi="Times New Roman"/>
          <w:noProof/>
          <w:sz w:val="24"/>
        </w:rPr>
        <w:t> </w:t>
      </w:r>
      <w:r w:rsidRPr="00664FDB">
        <w:rPr>
          <w:rFonts w:ascii="Times New Roman" w:hAnsi="Times New Roman"/>
          <w:noProof/>
          <w:sz w:val="24"/>
        </w:rPr>
        <w:t>14 %. Dla porównania</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2</w:t>
      </w:r>
      <w:r w:rsidRPr="00664FDB">
        <w:rPr>
          <w:rFonts w:ascii="Times New Roman" w:hAnsi="Times New Roman"/>
          <w:noProof/>
          <w:sz w:val="24"/>
        </w:rPr>
        <w:t>021</w:t>
      </w:r>
      <w:r w:rsidR="00664FDB" w:rsidRPr="00664FDB">
        <w:rPr>
          <w:rFonts w:ascii="Times New Roman" w:hAnsi="Times New Roman"/>
          <w:noProof/>
          <w:sz w:val="24"/>
        </w:rPr>
        <w:t> </w:t>
      </w:r>
      <w:r w:rsidRPr="00664FDB">
        <w:rPr>
          <w:rFonts w:ascii="Times New Roman" w:hAnsi="Times New Roman"/>
          <w:noProof/>
          <w:sz w:val="24"/>
        </w:rPr>
        <w:t>r. udział rosyjskiego gazu</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dos</w:t>
      </w:r>
      <w:r w:rsidRPr="00664FDB">
        <w:rPr>
          <w:rFonts w:ascii="Times New Roman" w:hAnsi="Times New Roman"/>
          <w:noProof/>
          <w:sz w:val="24"/>
        </w:rPr>
        <w:t>tawach poprzez gazociągi wynosił 41 %,</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raz</w:t>
      </w:r>
      <w:r w:rsidRPr="00664FDB">
        <w:rPr>
          <w:rFonts w:ascii="Times New Roman" w:hAnsi="Times New Roman"/>
          <w:noProof/>
          <w:sz w:val="24"/>
        </w:rPr>
        <w:t>em z LNG – 45 %</w:t>
      </w:r>
      <w:bookmarkEnd w:id="2"/>
      <w:r w:rsidRPr="00664FDB">
        <w:rPr>
          <w:rFonts w:ascii="Times New Roman" w:hAnsi="Times New Roman"/>
          <w:noProof/>
          <w:sz w:val="24"/>
        </w:rPr>
        <w:t>. Gwałtowna redukcja importu gazu</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Ros</w:t>
      </w:r>
      <w:r w:rsidRPr="00664FDB">
        <w:rPr>
          <w:rFonts w:ascii="Times New Roman" w:hAnsi="Times New Roman"/>
          <w:noProof/>
          <w:sz w:val="24"/>
        </w:rPr>
        <w:t>ji jest kompensowana dzięki zwiększeniu współpracy</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wia</w:t>
      </w:r>
      <w:r w:rsidRPr="00664FDB">
        <w:rPr>
          <w:rFonts w:ascii="Times New Roman" w:hAnsi="Times New Roman"/>
          <w:noProof/>
          <w:sz w:val="24"/>
        </w:rPr>
        <w:t>rygodnymi partnerami</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zak</w:t>
      </w:r>
      <w:r w:rsidRPr="00664FDB">
        <w:rPr>
          <w:rFonts w:ascii="Times New Roman" w:hAnsi="Times New Roman"/>
          <w:noProof/>
          <w:sz w:val="24"/>
        </w:rPr>
        <w:t>resie dostaw. Do połowy października napełniliśmy magazyny gazu</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pon</w:t>
      </w:r>
      <w:r w:rsidRPr="00664FDB">
        <w:rPr>
          <w:rFonts w:ascii="Times New Roman" w:hAnsi="Times New Roman"/>
          <w:noProof/>
          <w:sz w:val="24"/>
        </w:rPr>
        <w:t>ad 91 %. Nasza pozycja jest teraz mocniejsza niż jeszcze kilka miesięcy temu.</w:t>
      </w:r>
      <w:r w:rsidR="00664FDB" w:rsidRPr="00664FDB">
        <w:rPr>
          <w:rFonts w:ascii="Times New Roman" w:hAnsi="Times New Roman"/>
          <w:noProof/>
          <w:sz w:val="24"/>
        </w:rPr>
        <w:t xml:space="preserve"> </w:t>
      </w:r>
    </w:p>
    <w:p w14:paraId="17ACBAC3" w14:textId="4E796006" w:rsidR="00114A56" w:rsidRPr="00664FDB" w:rsidRDefault="4DC93B64" w:rsidP="392D12E6">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Pomimo tych działań sytuacja na początku tegorocznej zimy pozostaje niezwykle trudna Konsumenci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edsiębiorstwa</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Eur</w:t>
      </w:r>
      <w:r w:rsidRPr="00664FDB">
        <w:rPr>
          <w:rFonts w:ascii="Times New Roman" w:hAnsi="Times New Roman"/>
          <w:noProof/>
          <w:sz w:val="24"/>
        </w:rPr>
        <w:t>opie są wciąż narażeni na zbyt wysokie</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zmi</w:t>
      </w:r>
      <w:r w:rsidRPr="00664FDB">
        <w:rPr>
          <w:rFonts w:ascii="Times New Roman" w:hAnsi="Times New Roman"/>
          <w:noProof/>
          <w:sz w:val="24"/>
        </w:rPr>
        <w:t xml:space="preserve">enne ceny. Nieprzewidywalne wydarzenia, takie jak sabotaż rurociągów, mogą jeszcze bardziej zakłócić nasze bezpieczeństwo dostaw. Napięcia na rynkach gazu prawdopodobnie utrzymają się jeszcze po zakończeniu zimy. </w:t>
      </w:r>
    </w:p>
    <w:p w14:paraId="58858A9A" w14:textId="6E08CE51" w:rsidR="001E128A" w:rsidRPr="00664FDB" w:rsidRDefault="00763498" w:rsidP="2E5F65CC">
      <w:pPr>
        <w:spacing w:line="257" w:lineRule="auto"/>
        <w:jc w:val="both"/>
        <w:rPr>
          <w:rFonts w:ascii="Times New Roman" w:eastAsia="Times New Roman" w:hAnsi="Times New Roman" w:cs="Times New Roman"/>
          <w:noProof/>
          <w:sz w:val="24"/>
          <w:szCs w:val="24"/>
        </w:rPr>
      </w:pPr>
      <w:r w:rsidRPr="00664FDB">
        <w:rPr>
          <w:rStyle w:val="normaltextrun"/>
          <w:rFonts w:ascii="Times New Roman" w:hAnsi="Times New Roman"/>
          <w:noProof/>
          <w:color w:val="000000" w:themeColor="text1"/>
          <w:sz w:val="24"/>
        </w:rPr>
        <w:t>Rada Europejska podczas nieformalnego posiedzenia 6 października</w:t>
      </w:r>
      <w:r w:rsidR="00664FDB" w:rsidRPr="00664FDB">
        <w:rPr>
          <w:rStyle w:val="normaltextrun"/>
          <w:rFonts w:ascii="Times New Roman" w:hAnsi="Times New Roman"/>
          <w:noProof/>
          <w:color w:val="000000" w:themeColor="text1"/>
          <w:sz w:val="24"/>
        </w:rPr>
        <w:t xml:space="preserve"> w</w:t>
      </w:r>
      <w:r w:rsidR="00664FDB">
        <w:rPr>
          <w:rStyle w:val="normaltextrun"/>
          <w:rFonts w:ascii="Times New Roman" w:hAnsi="Times New Roman"/>
          <w:noProof/>
          <w:color w:val="000000" w:themeColor="text1"/>
          <w:sz w:val="24"/>
        </w:rPr>
        <w:t> </w:t>
      </w:r>
      <w:r w:rsidR="00664FDB" w:rsidRPr="00664FDB">
        <w:rPr>
          <w:rStyle w:val="normaltextrun"/>
          <w:rFonts w:ascii="Times New Roman" w:hAnsi="Times New Roman"/>
          <w:noProof/>
          <w:color w:val="000000" w:themeColor="text1"/>
          <w:sz w:val="24"/>
        </w:rPr>
        <w:t>Pra</w:t>
      </w:r>
      <w:r w:rsidRPr="00664FDB">
        <w:rPr>
          <w:rStyle w:val="normaltextrun"/>
          <w:rFonts w:ascii="Times New Roman" w:hAnsi="Times New Roman"/>
          <w:noProof/>
          <w:color w:val="000000" w:themeColor="text1"/>
          <w:sz w:val="24"/>
        </w:rPr>
        <w:t>dze</w:t>
      </w:r>
      <w:r w:rsidR="00664FDB" w:rsidRPr="00664FDB">
        <w:rPr>
          <w:rStyle w:val="normaltextrun"/>
          <w:rFonts w:ascii="Times New Roman" w:hAnsi="Times New Roman"/>
          <w:noProof/>
          <w:color w:val="000000" w:themeColor="text1"/>
          <w:sz w:val="24"/>
        </w:rPr>
        <w:t xml:space="preserve"> i</w:t>
      </w:r>
      <w:r w:rsidR="00664FDB">
        <w:rPr>
          <w:rStyle w:val="normaltextrun"/>
          <w:rFonts w:ascii="Times New Roman" w:hAnsi="Times New Roman"/>
          <w:noProof/>
          <w:color w:val="000000" w:themeColor="text1"/>
          <w:sz w:val="24"/>
        </w:rPr>
        <w:t> </w:t>
      </w:r>
      <w:r w:rsidR="00664FDB" w:rsidRPr="00664FDB">
        <w:rPr>
          <w:rStyle w:val="normaltextrun"/>
          <w:rFonts w:ascii="Times New Roman" w:hAnsi="Times New Roman"/>
          <w:noProof/>
          <w:color w:val="000000" w:themeColor="text1"/>
          <w:sz w:val="24"/>
        </w:rPr>
        <w:t>nie</w:t>
      </w:r>
      <w:r w:rsidRPr="00664FDB">
        <w:rPr>
          <w:rStyle w:val="normaltextrun"/>
          <w:rFonts w:ascii="Times New Roman" w:hAnsi="Times New Roman"/>
          <w:noProof/>
          <w:color w:val="000000" w:themeColor="text1"/>
          <w:sz w:val="24"/>
        </w:rPr>
        <w:t>formalnego posiedzenia</w:t>
      </w:r>
      <w:r w:rsidR="00664FDB" w:rsidRPr="00664FDB">
        <w:rPr>
          <w:rStyle w:val="normaltextrun"/>
          <w:rFonts w:ascii="Times New Roman" w:hAnsi="Times New Roman"/>
          <w:noProof/>
          <w:color w:val="000000" w:themeColor="text1"/>
          <w:sz w:val="24"/>
        </w:rPr>
        <w:t xml:space="preserve"> w</w:t>
      </w:r>
      <w:r w:rsidR="00664FDB">
        <w:rPr>
          <w:rStyle w:val="normaltextrun"/>
          <w:rFonts w:ascii="Times New Roman" w:hAnsi="Times New Roman"/>
          <w:noProof/>
          <w:color w:val="000000" w:themeColor="text1"/>
          <w:sz w:val="24"/>
        </w:rPr>
        <w:t> </w:t>
      </w:r>
      <w:r w:rsidR="00664FDB" w:rsidRPr="00664FDB">
        <w:rPr>
          <w:rStyle w:val="normaltextrun"/>
          <w:rFonts w:ascii="Times New Roman" w:hAnsi="Times New Roman"/>
          <w:noProof/>
          <w:color w:val="000000" w:themeColor="text1"/>
          <w:sz w:val="24"/>
        </w:rPr>
        <w:t>skł</w:t>
      </w:r>
      <w:r w:rsidRPr="00664FDB">
        <w:rPr>
          <w:rStyle w:val="normaltextrun"/>
          <w:rFonts w:ascii="Times New Roman" w:hAnsi="Times New Roman"/>
          <w:noProof/>
          <w:color w:val="000000" w:themeColor="text1"/>
          <w:sz w:val="24"/>
        </w:rPr>
        <w:t>adzie ministrów energii 12 października,</w:t>
      </w:r>
      <w:r w:rsidR="00664FDB" w:rsidRPr="00664FDB">
        <w:rPr>
          <w:rStyle w:val="normaltextrun"/>
          <w:rFonts w:ascii="Times New Roman" w:hAnsi="Times New Roman"/>
          <w:noProof/>
          <w:color w:val="000000" w:themeColor="text1"/>
          <w:sz w:val="24"/>
        </w:rPr>
        <w:t xml:space="preserve"> a</w:t>
      </w:r>
      <w:r w:rsidR="00664FDB">
        <w:rPr>
          <w:rStyle w:val="normaltextrun"/>
          <w:rFonts w:ascii="Times New Roman" w:hAnsi="Times New Roman"/>
          <w:noProof/>
          <w:color w:val="000000" w:themeColor="text1"/>
          <w:sz w:val="24"/>
        </w:rPr>
        <w:t> </w:t>
      </w:r>
      <w:r w:rsidR="00664FDB" w:rsidRPr="00664FDB">
        <w:rPr>
          <w:rStyle w:val="normaltextrun"/>
          <w:rFonts w:ascii="Times New Roman" w:hAnsi="Times New Roman"/>
          <w:noProof/>
          <w:color w:val="000000" w:themeColor="text1"/>
          <w:sz w:val="24"/>
        </w:rPr>
        <w:t>tak</w:t>
      </w:r>
      <w:r w:rsidRPr="00664FDB">
        <w:rPr>
          <w:rStyle w:val="normaltextrun"/>
          <w:rFonts w:ascii="Times New Roman" w:hAnsi="Times New Roman"/>
          <w:noProof/>
          <w:color w:val="000000" w:themeColor="text1"/>
          <w:sz w:val="24"/>
        </w:rPr>
        <w:t>że Parlament Europejski</w:t>
      </w:r>
      <w:r w:rsidR="00664FDB" w:rsidRPr="00664FDB">
        <w:rPr>
          <w:rStyle w:val="normaltextrun"/>
          <w:rFonts w:ascii="Times New Roman" w:hAnsi="Times New Roman"/>
          <w:noProof/>
          <w:color w:val="000000" w:themeColor="text1"/>
          <w:sz w:val="24"/>
        </w:rPr>
        <w:t xml:space="preserve"> w</w:t>
      </w:r>
      <w:r w:rsidR="00664FDB">
        <w:rPr>
          <w:rStyle w:val="normaltextrun"/>
          <w:rFonts w:ascii="Times New Roman" w:hAnsi="Times New Roman"/>
          <w:noProof/>
          <w:color w:val="000000" w:themeColor="text1"/>
          <w:sz w:val="24"/>
        </w:rPr>
        <w:t> </w:t>
      </w:r>
      <w:r w:rsidR="00664FDB" w:rsidRPr="00664FDB">
        <w:rPr>
          <w:rStyle w:val="normaltextrun"/>
          <w:rFonts w:ascii="Times New Roman" w:hAnsi="Times New Roman"/>
          <w:noProof/>
          <w:color w:val="000000" w:themeColor="text1"/>
          <w:sz w:val="24"/>
        </w:rPr>
        <w:t>rez</w:t>
      </w:r>
      <w:r w:rsidRPr="00664FDB">
        <w:rPr>
          <w:rStyle w:val="normaltextrun"/>
          <w:rFonts w:ascii="Times New Roman" w:hAnsi="Times New Roman"/>
          <w:noProof/>
          <w:color w:val="000000" w:themeColor="text1"/>
          <w:sz w:val="24"/>
        </w:rPr>
        <w:t>olucji</w:t>
      </w:r>
      <w:r w:rsidR="00664FDB" w:rsidRPr="00664FDB">
        <w:rPr>
          <w:rStyle w:val="normaltextrun"/>
          <w:rFonts w:ascii="Times New Roman" w:hAnsi="Times New Roman"/>
          <w:noProof/>
          <w:color w:val="000000" w:themeColor="text1"/>
          <w:sz w:val="24"/>
        </w:rPr>
        <w:t xml:space="preserve"> w</w:t>
      </w:r>
      <w:r w:rsidR="00664FDB">
        <w:rPr>
          <w:rStyle w:val="normaltextrun"/>
          <w:rFonts w:ascii="Times New Roman" w:hAnsi="Times New Roman"/>
          <w:noProof/>
          <w:color w:val="000000" w:themeColor="text1"/>
          <w:sz w:val="24"/>
        </w:rPr>
        <w:t> </w:t>
      </w:r>
      <w:r w:rsidR="00664FDB" w:rsidRPr="00664FDB">
        <w:rPr>
          <w:rStyle w:val="normaltextrun"/>
          <w:rFonts w:ascii="Times New Roman" w:hAnsi="Times New Roman"/>
          <w:noProof/>
          <w:color w:val="000000" w:themeColor="text1"/>
          <w:sz w:val="24"/>
        </w:rPr>
        <w:t>spr</w:t>
      </w:r>
      <w:r w:rsidRPr="00664FDB">
        <w:rPr>
          <w:rStyle w:val="normaltextrun"/>
          <w:rFonts w:ascii="Times New Roman" w:hAnsi="Times New Roman"/>
          <w:noProof/>
          <w:color w:val="000000" w:themeColor="text1"/>
          <w:sz w:val="24"/>
        </w:rPr>
        <w:t>awie reakcji UE na wzrost cen energii</w:t>
      </w:r>
      <w:r w:rsidR="00664FDB" w:rsidRPr="00664FDB">
        <w:rPr>
          <w:rStyle w:val="normaltextrun"/>
          <w:rFonts w:ascii="Times New Roman" w:hAnsi="Times New Roman"/>
          <w:noProof/>
          <w:color w:val="000000" w:themeColor="text1"/>
          <w:sz w:val="24"/>
        </w:rPr>
        <w:t xml:space="preserve"> w</w:t>
      </w:r>
      <w:r w:rsidR="00664FDB">
        <w:rPr>
          <w:rStyle w:val="normaltextrun"/>
          <w:rFonts w:ascii="Times New Roman" w:hAnsi="Times New Roman"/>
          <w:noProof/>
          <w:color w:val="000000" w:themeColor="text1"/>
          <w:sz w:val="24"/>
        </w:rPr>
        <w:t> </w:t>
      </w:r>
      <w:r w:rsidR="00664FDB" w:rsidRPr="00664FDB">
        <w:rPr>
          <w:rStyle w:val="normaltextrun"/>
          <w:rFonts w:ascii="Times New Roman" w:hAnsi="Times New Roman"/>
          <w:noProof/>
          <w:color w:val="000000" w:themeColor="text1"/>
          <w:sz w:val="24"/>
        </w:rPr>
        <w:t>Eur</w:t>
      </w:r>
      <w:r w:rsidRPr="00664FDB">
        <w:rPr>
          <w:rStyle w:val="normaltextrun"/>
          <w:rFonts w:ascii="Times New Roman" w:hAnsi="Times New Roman"/>
          <w:noProof/>
          <w:color w:val="000000" w:themeColor="text1"/>
          <w:sz w:val="24"/>
        </w:rPr>
        <w:t>opie</w:t>
      </w:r>
      <w:r w:rsidRPr="00664FDB">
        <w:rPr>
          <w:rStyle w:val="FootnoteReference"/>
          <w:rFonts w:ascii="Times New Roman" w:eastAsia="Times New Roman" w:hAnsi="Times New Roman" w:cs="Times New Roman"/>
          <w:noProof/>
          <w:color w:val="000000" w:themeColor="text1"/>
          <w:sz w:val="24"/>
          <w:szCs w:val="24"/>
        </w:rPr>
        <w:footnoteReference w:id="5"/>
      </w:r>
      <w:r w:rsidRPr="00664FDB">
        <w:rPr>
          <w:rStyle w:val="normaltextrun"/>
          <w:rFonts w:ascii="Times New Roman" w:hAnsi="Times New Roman"/>
          <w:noProof/>
          <w:color w:val="000000" w:themeColor="text1"/>
          <w:sz w:val="24"/>
        </w:rPr>
        <w:t xml:space="preserve"> zwróciły się do Komisji</w:t>
      </w:r>
      <w:r w:rsidR="00664FDB" w:rsidRPr="00664FDB">
        <w:rPr>
          <w:rStyle w:val="normaltextrun"/>
          <w:rFonts w:ascii="Times New Roman" w:hAnsi="Times New Roman"/>
          <w:noProof/>
          <w:color w:val="000000" w:themeColor="text1"/>
          <w:sz w:val="24"/>
        </w:rPr>
        <w:t xml:space="preserve"> o</w:t>
      </w:r>
      <w:r w:rsidR="00664FDB">
        <w:rPr>
          <w:rStyle w:val="normaltextrun"/>
          <w:rFonts w:ascii="Times New Roman" w:hAnsi="Times New Roman"/>
          <w:noProof/>
          <w:color w:val="000000" w:themeColor="text1"/>
          <w:sz w:val="24"/>
        </w:rPr>
        <w:t> </w:t>
      </w:r>
      <w:r w:rsidR="00664FDB" w:rsidRPr="00664FDB">
        <w:rPr>
          <w:rStyle w:val="normaltextrun"/>
          <w:rFonts w:ascii="Times New Roman" w:hAnsi="Times New Roman"/>
          <w:noProof/>
          <w:color w:val="000000" w:themeColor="text1"/>
          <w:sz w:val="24"/>
        </w:rPr>
        <w:t>zap</w:t>
      </w:r>
      <w:r w:rsidRPr="00664FDB">
        <w:rPr>
          <w:rStyle w:val="normaltextrun"/>
          <w:rFonts w:ascii="Times New Roman" w:hAnsi="Times New Roman"/>
          <w:noProof/>
          <w:color w:val="000000" w:themeColor="text1"/>
          <w:sz w:val="24"/>
        </w:rPr>
        <w:t>roponowanie środków mających na celu koordynację działań solidarnościowych, zabezpieczenie dostaw energii, ustabilizowanie poziomów cen oraz pomoc gospodarstwom domowym</w:t>
      </w:r>
      <w:r w:rsidR="00664FDB" w:rsidRPr="00664FDB">
        <w:rPr>
          <w:rStyle w:val="normaltextrun"/>
          <w:rFonts w:ascii="Times New Roman" w:hAnsi="Times New Roman"/>
          <w:noProof/>
          <w:color w:val="000000" w:themeColor="text1"/>
          <w:sz w:val="24"/>
        </w:rPr>
        <w:t xml:space="preserve"> i</w:t>
      </w:r>
      <w:r w:rsidR="00664FDB">
        <w:rPr>
          <w:rStyle w:val="normaltextrun"/>
          <w:rFonts w:ascii="Times New Roman" w:hAnsi="Times New Roman"/>
          <w:noProof/>
          <w:color w:val="000000" w:themeColor="text1"/>
          <w:sz w:val="24"/>
        </w:rPr>
        <w:t> </w:t>
      </w:r>
      <w:r w:rsidR="00664FDB" w:rsidRPr="00664FDB">
        <w:rPr>
          <w:rStyle w:val="normaltextrun"/>
          <w:rFonts w:ascii="Times New Roman" w:hAnsi="Times New Roman"/>
          <w:noProof/>
          <w:color w:val="000000" w:themeColor="text1"/>
          <w:sz w:val="24"/>
        </w:rPr>
        <w:t>prz</w:t>
      </w:r>
      <w:r w:rsidRPr="00664FDB">
        <w:rPr>
          <w:rStyle w:val="normaltextrun"/>
          <w:rFonts w:ascii="Times New Roman" w:hAnsi="Times New Roman"/>
          <w:noProof/>
          <w:color w:val="000000" w:themeColor="text1"/>
          <w:sz w:val="24"/>
        </w:rPr>
        <w:t>edsiębiorstwom borykającym się</w:t>
      </w:r>
      <w:r w:rsidR="00664FDB" w:rsidRPr="00664FDB">
        <w:rPr>
          <w:rStyle w:val="normaltextrun"/>
          <w:rFonts w:ascii="Times New Roman" w:hAnsi="Times New Roman"/>
          <w:noProof/>
          <w:color w:val="000000" w:themeColor="text1"/>
          <w:sz w:val="24"/>
        </w:rPr>
        <w:t xml:space="preserve"> z</w:t>
      </w:r>
      <w:r w:rsidR="00664FDB">
        <w:rPr>
          <w:rStyle w:val="normaltextrun"/>
          <w:rFonts w:ascii="Times New Roman" w:hAnsi="Times New Roman"/>
          <w:noProof/>
          <w:color w:val="000000" w:themeColor="text1"/>
          <w:sz w:val="24"/>
        </w:rPr>
        <w:t> </w:t>
      </w:r>
      <w:r w:rsidR="00664FDB" w:rsidRPr="00664FDB">
        <w:rPr>
          <w:rStyle w:val="normaltextrun"/>
          <w:rFonts w:ascii="Times New Roman" w:hAnsi="Times New Roman"/>
          <w:noProof/>
          <w:color w:val="000000" w:themeColor="text1"/>
          <w:sz w:val="24"/>
        </w:rPr>
        <w:t>wys</w:t>
      </w:r>
      <w:r w:rsidRPr="00664FDB">
        <w:rPr>
          <w:rStyle w:val="normaltextrun"/>
          <w:rFonts w:ascii="Times New Roman" w:hAnsi="Times New Roman"/>
          <w:noProof/>
          <w:color w:val="000000" w:themeColor="text1"/>
          <w:sz w:val="24"/>
        </w:rPr>
        <w:t xml:space="preserve">okimi cenami energii. </w:t>
      </w:r>
    </w:p>
    <w:p w14:paraId="32F4D3EC" w14:textId="75904571" w:rsidR="00206ED1" w:rsidRPr="00664FDB" w:rsidRDefault="38A45E90" w:rsidP="392D12E6">
      <w:pPr>
        <w:jc w:val="both"/>
        <w:rPr>
          <w:rFonts w:ascii="Times New Roman" w:eastAsia="Times New Roman" w:hAnsi="Times New Roman" w:cs="Times New Roman"/>
          <w:noProof/>
          <w:sz w:val="24"/>
          <w:szCs w:val="24"/>
        </w:rPr>
      </w:pPr>
      <w:r w:rsidRPr="00664FDB">
        <w:rPr>
          <w:rFonts w:ascii="Times New Roman" w:hAnsi="Times New Roman"/>
          <w:noProof/>
          <w:sz w:val="24"/>
        </w:rPr>
        <w:t>W piśmie do szefów państw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rzą</w:t>
      </w:r>
      <w:r w:rsidRPr="00664FDB">
        <w:rPr>
          <w:rFonts w:ascii="Times New Roman" w:hAnsi="Times New Roman"/>
          <w:noProof/>
          <w:sz w:val="24"/>
        </w:rPr>
        <w:t xml:space="preserve">dów przewodnicząca Ursula von der Leyen przedstawiła </w:t>
      </w:r>
      <w:r w:rsidRPr="00664FDB">
        <w:rPr>
          <w:rFonts w:ascii="Times New Roman" w:hAnsi="Times New Roman"/>
          <w:b/>
          <w:noProof/>
          <w:sz w:val="24"/>
        </w:rPr>
        <w:t>plan dalszych działań</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opa</w:t>
      </w:r>
      <w:r w:rsidRPr="00664FDB">
        <w:rPr>
          <w:rFonts w:ascii="Times New Roman" w:hAnsi="Times New Roman"/>
          <w:noProof/>
          <w:sz w:val="24"/>
        </w:rPr>
        <w:t>rciu</w:t>
      </w:r>
      <w:r w:rsidR="00664FDB" w:rsidRPr="00664FDB">
        <w:rPr>
          <w:rFonts w:ascii="Times New Roman" w:hAnsi="Times New Roman"/>
          <w:noProof/>
          <w:sz w:val="24"/>
        </w:rPr>
        <w:t xml:space="preserve"> o</w:t>
      </w:r>
      <w:r w:rsidR="00664FDB">
        <w:rPr>
          <w:rFonts w:ascii="Times New Roman" w:hAnsi="Times New Roman"/>
          <w:noProof/>
          <w:sz w:val="24"/>
        </w:rPr>
        <w:t> </w:t>
      </w:r>
      <w:r w:rsidR="00664FDB" w:rsidRPr="00664FDB">
        <w:rPr>
          <w:rFonts w:ascii="Times New Roman" w:hAnsi="Times New Roman"/>
          <w:noProof/>
          <w:sz w:val="24"/>
        </w:rPr>
        <w:t>czt</w:t>
      </w:r>
      <w:r w:rsidRPr="00664FDB">
        <w:rPr>
          <w:rFonts w:ascii="Times New Roman" w:hAnsi="Times New Roman"/>
          <w:noProof/>
          <w:sz w:val="24"/>
        </w:rPr>
        <w:t>ery zestawy działań: uzyskanie niższych cen za import gazu bez narażania naszego bezpieczeństwa dostaw, współpraca</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pań</w:t>
      </w:r>
      <w:r w:rsidRPr="00664FDB">
        <w:rPr>
          <w:rFonts w:ascii="Times New Roman" w:hAnsi="Times New Roman"/>
          <w:noProof/>
          <w:sz w:val="24"/>
        </w:rPr>
        <w:t>stwami członkowskimi</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cel</w:t>
      </w:r>
      <w:r w:rsidRPr="00664FDB">
        <w:rPr>
          <w:rFonts w:ascii="Times New Roman" w:hAnsi="Times New Roman"/>
          <w:noProof/>
          <w:sz w:val="24"/>
        </w:rPr>
        <w:t>u ograniczenia cen na rynku gazu ziemnego, ograniczenie wpływu cen gazu na ceny energii elektrycznej, utrzymanie równych warunków działania na jednolitym rynku</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yspieszenie transformacji</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kie</w:t>
      </w:r>
      <w:r w:rsidRPr="00664FDB">
        <w:rPr>
          <w:rFonts w:ascii="Times New Roman" w:hAnsi="Times New Roman"/>
          <w:noProof/>
          <w:sz w:val="24"/>
        </w:rPr>
        <w:t xml:space="preserve">runku niezależności energetycznej. </w:t>
      </w:r>
      <w:bookmarkStart w:id="3" w:name="_Hlk116577232"/>
      <w:r w:rsidRPr="00664FDB">
        <w:rPr>
          <w:rFonts w:ascii="Times New Roman" w:hAnsi="Times New Roman"/>
          <w:noProof/>
          <w:sz w:val="24"/>
        </w:rPr>
        <w:t>Pilnie potrzebne są również działania zwiększające zdolność UE do obrony przed potencjalnymi atakami na infrastrukturę krytyczną, dlatego jednocześnie</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pak</w:t>
      </w:r>
      <w:r w:rsidRPr="00664FDB">
        <w:rPr>
          <w:rFonts w:ascii="Times New Roman" w:hAnsi="Times New Roman"/>
          <w:noProof/>
          <w:sz w:val="24"/>
        </w:rPr>
        <w:t>ietem środków związanych</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ene</w:t>
      </w:r>
      <w:r w:rsidRPr="00664FDB">
        <w:rPr>
          <w:rFonts w:ascii="Times New Roman" w:hAnsi="Times New Roman"/>
          <w:noProof/>
          <w:sz w:val="24"/>
        </w:rPr>
        <w:t>rgią Komisja przedstawia wniosek dotyczący zalecenia Rady</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spr</w:t>
      </w:r>
      <w:r w:rsidRPr="00664FDB">
        <w:rPr>
          <w:rFonts w:ascii="Times New Roman" w:hAnsi="Times New Roman"/>
          <w:noProof/>
          <w:sz w:val="24"/>
        </w:rPr>
        <w:t xml:space="preserve">awie wzmocnienia odporności infrastruktury krytycznej. </w:t>
      </w:r>
    </w:p>
    <w:p w14:paraId="162325E4" w14:textId="7F3C95B3" w:rsidR="001F1B5B" w:rsidRPr="00664FDB" w:rsidRDefault="00520A24" w:rsidP="392D12E6">
      <w:pPr>
        <w:jc w:val="both"/>
        <w:rPr>
          <w:rFonts w:ascii="Times New Roman" w:eastAsia="Times New Roman" w:hAnsi="Times New Roman" w:cs="Times New Roman"/>
          <w:noProof/>
          <w:sz w:val="24"/>
          <w:szCs w:val="24"/>
        </w:rPr>
      </w:pPr>
      <w:r w:rsidRPr="00664FDB">
        <w:rPr>
          <w:rFonts w:ascii="Times New Roman" w:hAnsi="Times New Roman"/>
          <w:noProof/>
          <w:sz w:val="24"/>
        </w:rPr>
        <w:t>Komisja prezentuje dziś wzmocnione ramy</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cel</w:t>
      </w:r>
      <w:r w:rsidRPr="00664FDB">
        <w:rPr>
          <w:rFonts w:ascii="Times New Roman" w:hAnsi="Times New Roman"/>
          <w:noProof/>
          <w:sz w:val="24"/>
        </w:rPr>
        <w:t>u wdrożenia przedmiotowego planu działania</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spr</w:t>
      </w:r>
      <w:r w:rsidRPr="00664FDB">
        <w:rPr>
          <w:rFonts w:ascii="Times New Roman" w:hAnsi="Times New Roman"/>
          <w:noProof/>
          <w:sz w:val="24"/>
        </w:rPr>
        <w:t>ostania wyzwaniom</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dzi</w:t>
      </w:r>
      <w:r w:rsidRPr="00664FDB">
        <w:rPr>
          <w:rFonts w:ascii="Times New Roman" w:hAnsi="Times New Roman"/>
          <w:noProof/>
          <w:sz w:val="24"/>
        </w:rPr>
        <w:t>edzinie energii, przed którymi będziemy stać tej zimy,</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tak</w:t>
      </w:r>
      <w:r w:rsidRPr="00664FDB">
        <w:rPr>
          <w:rFonts w:ascii="Times New Roman" w:hAnsi="Times New Roman"/>
          <w:noProof/>
          <w:sz w:val="24"/>
        </w:rPr>
        <w:t>że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cel</w:t>
      </w:r>
      <w:r w:rsidRPr="00664FDB">
        <w:rPr>
          <w:rFonts w:ascii="Times New Roman" w:hAnsi="Times New Roman"/>
          <w:noProof/>
          <w:sz w:val="24"/>
        </w:rPr>
        <w:t xml:space="preserve">u przygotowania się na kolejną zimę. </w:t>
      </w:r>
    </w:p>
    <w:bookmarkEnd w:id="3"/>
    <w:p w14:paraId="5D715D8A" w14:textId="48C4D672" w:rsidR="00114A56" w:rsidRPr="00664FDB" w:rsidRDefault="75D542CB" w:rsidP="2E5F65CC">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Europa może wykorzystać swoje atuty</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opr</w:t>
      </w:r>
      <w:r w:rsidRPr="00664FDB">
        <w:rPr>
          <w:rFonts w:ascii="Times New Roman" w:hAnsi="Times New Roman"/>
          <w:noProof/>
          <w:sz w:val="24"/>
        </w:rPr>
        <w:t>zeć się na jednolitym rynku, aby wprowadzić</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życ</w:t>
      </w:r>
      <w:r w:rsidRPr="00664FDB">
        <w:rPr>
          <w:rFonts w:ascii="Times New Roman" w:hAnsi="Times New Roman"/>
          <w:noProof/>
          <w:sz w:val="24"/>
        </w:rPr>
        <w:t>ie wspólne zakupy energii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pow</w:t>
      </w:r>
      <w:r w:rsidRPr="00664FDB">
        <w:rPr>
          <w:rFonts w:ascii="Times New Roman" w:hAnsi="Times New Roman"/>
          <w:noProof/>
          <w:sz w:val="24"/>
        </w:rPr>
        <w:t>strzymać nadmierny wzrost cen rynkowych,</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tym</w:t>
      </w:r>
      <w:r w:rsidRPr="00664FDB">
        <w:rPr>
          <w:rFonts w:ascii="Times New Roman" w:hAnsi="Times New Roman"/>
          <w:noProof/>
          <w:sz w:val="24"/>
        </w:rPr>
        <w:t xml:space="preserve"> poprzez wprowadzenie pułapów ograniczających gwałtowne skoki cen,</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tak</w:t>
      </w:r>
      <w:r w:rsidRPr="00664FDB">
        <w:rPr>
          <w:rFonts w:ascii="Times New Roman" w:hAnsi="Times New Roman"/>
          <w:noProof/>
          <w:sz w:val="24"/>
        </w:rPr>
        <w:t xml:space="preserve">że poprzez optymalne wykorzystanie istniejącej infrastruktury, aby zapewnić przepływy gazu do miejsc, gdzie jest najbardziej potrzebny. </w:t>
      </w:r>
    </w:p>
    <w:p w14:paraId="611E5C6F" w14:textId="3ECDB500" w:rsidR="00E87AED" w:rsidRPr="00664FDB" w:rsidRDefault="7943568A" w:rsidP="00E87AED">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Należy działać już teraz, żeby przygotować się na najbliższą zimę</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póź</w:t>
      </w:r>
      <w:r w:rsidRPr="00664FDB">
        <w:rPr>
          <w:rFonts w:ascii="Times New Roman" w:hAnsi="Times New Roman"/>
          <w:noProof/>
          <w:sz w:val="24"/>
        </w:rPr>
        <w:t>niejszy okres. Proponowane dziś nowe środki dotyczące energii mają charakter wyjątkowy</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tym</w:t>
      </w:r>
      <w:r w:rsidRPr="00664FDB">
        <w:rPr>
          <w:rFonts w:ascii="Times New Roman" w:hAnsi="Times New Roman"/>
          <w:noProof/>
          <w:sz w:val="24"/>
        </w:rPr>
        <w:t>czasowy. Stanowią one odpowiedź na obecny kryzys</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roz</w:t>
      </w:r>
      <w:r w:rsidRPr="00664FDB">
        <w:rPr>
          <w:rFonts w:ascii="Times New Roman" w:hAnsi="Times New Roman"/>
          <w:noProof/>
          <w:sz w:val="24"/>
        </w:rPr>
        <w:t>wiązują doraźne problemy. Kładą one jednak fundament pod działania</w:t>
      </w:r>
      <w:r w:rsidR="00664FDB" w:rsidRPr="00664FDB">
        <w:rPr>
          <w:rFonts w:ascii="Times New Roman" w:hAnsi="Times New Roman"/>
          <w:noProof/>
          <w:sz w:val="24"/>
        </w:rPr>
        <w:t xml:space="preserve"> o</w:t>
      </w:r>
      <w:r w:rsidR="00664FDB">
        <w:rPr>
          <w:rFonts w:ascii="Times New Roman" w:hAnsi="Times New Roman"/>
          <w:noProof/>
          <w:sz w:val="24"/>
        </w:rPr>
        <w:t> </w:t>
      </w:r>
      <w:r w:rsidR="00664FDB" w:rsidRPr="00664FDB">
        <w:rPr>
          <w:rFonts w:ascii="Times New Roman" w:hAnsi="Times New Roman"/>
          <w:noProof/>
          <w:sz w:val="24"/>
        </w:rPr>
        <w:t>cha</w:t>
      </w:r>
      <w:r w:rsidRPr="00664FDB">
        <w:rPr>
          <w:rFonts w:ascii="Times New Roman" w:hAnsi="Times New Roman"/>
          <w:noProof/>
          <w:sz w:val="24"/>
        </w:rPr>
        <w:t>rakterze strukturalnym, które wzmocnią jeszcze bardziej odporność</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efe</w:t>
      </w:r>
      <w:r w:rsidRPr="00664FDB">
        <w:rPr>
          <w:rFonts w:ascii="Times New Roman" w:hAnsi="Times New Roman"/>
          <w:noProof/>
          <w:sz w:val="24"/>
        </w:rPr>
        <w:t xml:space="preserve">ktywność unii energetycznej. </w:t>
      </w:r>
    </w:p>
    <w:p w14:paraId="64CCFE57" w14:textId="394B434C" w:rsidR="00E87AED" w:rsidRPr="00664FDB" w:rsidRDefault="00E87AED" w:rsidP="00E87AED">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Opierając się na zaproponowanych dzisiaj środkach, Komisja przedstawi zwykłe wnioski ustawodawcze do rozpatrzenia przez współprawodawców, którzy mają do odegrania kluczową rolę</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zap</w:t>
      </w:r>
      <w:r w:rsidRPr="00664FDB">
        <w:rPr>
          <w:rFonts w:ascii="Times New Roman" w:hAnsi="Times New Roman"/>
          <w:noProof/>
          <w:sz w:val="24"/>
        </w:rPr>
        <w:t>ewnieniu, aby po przezwyciężeniu obecnego kryzysu Europa mogła korzystać</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bez</w:t>
      </w:r>
      <w:r w:rsidRPr="00664FDB">
        <w:rPr>
          <w:rFonts w:ascii="Times New Roman" w:hAnsi="Times New Roman"/>
          <w:noProof/>
          <w:sz w:val="24"/>
        </w:rPr>
        <w:t>pieczniejszej, bardziej przystępnej cenowo</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czy</w:t>
      </w:r>
      <w:r w:rsidRPr="00664FDB">
        <w:rPr>
          <w:rFonts w:ascii="Times New Roman" w:hAnsi="Times New Roman"/>
          <w:noProof/>
          <w:sz w:val="24"/>
        </w:rPr>
        <w:t>stej energii. Jeden</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tyc</w:t>
      </w:r>
      <w:r w:rsidRPr="00664FDB">
        <w:rPr>
          <w:rFonts w:ascii="Times New Roman" w:hAnsi="Times New Roman"/>
          <w:noProof/>
          <w:sz w:val="24"/>
        </w:rPr>
        <w:t xml:space="preserve">h wniosków ustawodawczych będzie dotyczyć reformy struktury rynku energii elektrycznej. </w:t>
      </w:r>
    </w:p>
    <w:p w14:paraId="27463EA7" w14:textId="77A38635" w:rsidR="00E87AED" w:rsidRPr="00664FDB" w:rsidRDefault="00E87AED" w:rsidP="00E87AED">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W międzyczasie Komisja nawiąże ścisłą współpracę</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Par</w:t>
      </w:r>
      <w:r w:rsidRPr="00664FDB">
        <w:rPr>
          <w:rFonts w:ascii="Times New Roman" w:hAnsi="Times New Roman"/>
          <w:noProof/>
          <w:sz w:val="24"/>
        </w:rPr>
        <w:t>lamentem Europejskim poprzez utworzenie grupy kontaktowej ds. nadzwyczajnych działań</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syt</w:t>
      </w:r>
      <w:r w:rsidRPr="00664FDB">
        <w:rPr>
          <w:rFonts w:ascii="Times New Roman" w:hAnsi="Times New Roman"/>
          <w:noProof/>
          <w:sz w:val="24"/>
        </w:rPr>
        <w:t>uacji kryzysu energetycznego, która to grupa będzie prowadzić dialog</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cza</w:t>
      </w:r>
      <w:r w:rsidRPr="00664FDB">
        <w:rPr>
          <w:rFonts w:ascii="Times New Roman" w:hAnsi="Times New Roman"/>
          <w:noProof/>
          <w:sz w:val="24"/>
        </w:rPr>
        <w:t>sie rzeczywistym.</w:t>
      </w:r>
    </w:p>
    <w:p w14:paraId="4CDE477C" w14:textId="77777777" w:rsidR="00DA69E9" w:rsidRPr="00664FDB" w:rsidRDefault="00DA69E9" w:rsidP="00E87AED">
      <w:pPr>
        <w:spacing w:line="257" w:lineRule="auto"/>
        <w:jc w:val="both"/>
        <w:rPr>
          <w:rFonts w:ascii="Times New Roman" w:eastAsia="Times New Roman" w:hAnsi="Times New Roman" w:cs="Times New Roman"/>
          <w:noProof/>
          <w:sz w:val="24"/>
          <w:szCs w:val="24"/>
        </w:rPr>
      </w:pPr>
    </w:p>
    <w:p w14:paraId="06695071" w14:textId="59184405" w:rsidR="00EC1B7C" w:rsidRPr="00664FDB" w:rsidRDefault="00086104" w:rsidP="00D447E3">
      <w:pPr>
        <w:pStyle w:val="ListParagraph"/>
        <w:numPr>
          <w:ilvl w:val="0"/>
          <w:numId w:val="9"/>
        </w:numPr>
        <w:rPr>
          <w:rFonts w:ascii="Times New Roman" w:eastAsia="Times New Roman" w:hAnsi="Times New Roman" w:cs="Times New Roman"/>
          <w:b/>
          <w:bCs/>
          <w:smallCaps/>
          <w:noProof/>
          <w:sz w:val="24"/>
          <w:szCs w:val="24"/>
        </w:rPr>
      </w:pPr>
      <w:r w:rsidRPr="00664FDB">
        <w:rPr>
          <w:rFonts w:ascii="Times New Roman" w:hAnsi="Times New Roman"/>
          <w:b/>
          <w:smallCaps/>
          <w:noProof/>
          <w:sz w:val="24"/>
        </w:rPr>
        <w:t>Wspólne zakupy gazu</w:t>
      </w:r>
      <w:r w:rsidR="00664FDB" w:rsidRPr="00664FDB">
        <w:rPr>
          <w:rFonts w:ascii="Times New Roman" w:hAnsi="Times New Roman"/>
          <w:b/>
          <w:smallCaps/>
          <w:noProof/>
          <w:sz w:val="24"/>
        </w:rPr>
        <w:t xml:space="preserve"> i</w:t>
      </w:r>
      <w:r w:rsidR="00664FDB">
        <w:rPr>
          <w:rFonts w:ascii="Times New Roman" w:hAnsi="Times New Roman"/>
          <w:b/>
          <w:smallCaps/>
          <w:noProof/>
          <w:sz w:val="24"/>
        </w:rPr>
        <w:t> </w:t>
      </w:r>
      <w:r w:rsidR="00664FDB" w:rsidRPr="00664FDB">
        <w:rPr>
          <w:rFonts w:ascii="Times New Roman" w:hAnsi="Times New Roman"/>
          <w:b/>
          <w:smallCaps/>
          <w:noProof/>
          <w:sz w:val="24"/>
        </w:rPr>
        <w:t>zap</w:t>
      </w:r>
      <w:r w:rsidRPr="00664FDB">
        <w:rPr>
          <w:rFonts w:ascii="Times New Roman" w:hAnsi="Times New Roman"/>
          <w:b/>
          <w:smallCaps/>
          <w:noProof/>
          <w:sz w:val="24"/>
        </w:rPr>
        <w:t>ewnienie bezpieczeństwa dostaw</w:t>
      </w:r>
    </w:p>
    <w:p w14:paraId="113FC436" w14:textId="6AF899D9" w:rsidR="00EC1B7C" w:rsidRPr="00664FDB" w:rsidRDefault="00EC1B7C" w:rsidP="00EC1B7C">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UE będzie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sta</w:t>
      </w:r>
      <w:r w:rsidRPr="00664FDB">
        <w:rPr>
          <w:rFonts w:ascii="Times New Roman" w:hAnsi="Times New Roman"/>
          <w:noProof/>
          <w:sz w:val="24"/>
        </w:rPr>
        <w:t>nie poradzić sobie</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tru</w:t>
      </w:r>
      <w:r w:rsidRPr="00664FDB">
        <w:rPr>
          <w:rFonts w:ascii="Times New Roman" w:hAnsi="Times New Roman"/>
          <w:noProof/>
          <w:sz w:val="24"/>
        </w:rPr>
        <w:t>dnościami</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cza</w:t>
      </w:r>
      <w:r w:rsidRPr="00664FDB">
        <w:rPr>
          <w:rFonts w:ascii="Times New Roman" w:hAnsi="Times New Roman"/>
          <w:noProof/>
          <w:sz w:val="24"/>
        </w:rPr>
        <w:t>sie najbliższej zimy, ale musimy być gotowi na możliwość kolejnych wstrząsów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zad</w:t>
      </w:r>
      <w:r w:rsidRPr="00664FDB">
        <w:rPr>
          <w:rFonts w:ascii="Times New Roman" w:hAnsi="Times New Roman"/>
          <w:noProof/>
          <w:sz w:val="24"/>
        </w:rPr>
        <w:t>bać</w:t>
      </w:r>
      <w:r w:rsidR="00664FDB" w:rsidRPr="00664FDB">
        <w:rPr>
          <w:rFonts w:ascii="Times New Roman" w:hAnsi="Times New Roman"/>
          <w:noProof/>
          <w:sz w:val="24"/>
        </w:rPr>
        <w:t xml:space="preserve"> o</w:t>
      </w:r>
      <w:r w:rsidR="00664FDB">
        <w:rPr>
          <w:rFonts w:ascii="Times New Roman" w:hAnsi="Times New Roman"/>
          <w:noProof/>
          <w:sz w:val="24"/>
        </w:rPr>
        <w:t> </w:t>
      </w:r>
      <w:r w:rsidR="00664FDB" w:rsidRPr="00664FDB">
        <w:rPr>
          <w:rFonts w:ascii="Times New Roman" w:hAnsi="Times New Roman"/>
          <w:noProof/>
          <w:sz w:val="24"/>
        </w:rPr>
        <w:t>sol</w:t>
      </w:r>
      <w:r w:rsidRPr="00664FDB">
        <w:rPr>
          <w:rFonts w:ascii="Times New Roman" w:hAnsi="Times New Roman"/>
          <w:noProof/>
          <w:sz w:val="24"/>
        </w:rPr>
        <w:t>idne przygotowanie na następną zimę. Obecne prognozy wskazują, że zbyt niski poziom napełnienia magazynów</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mar</w:t>
      </w:r>
      <w:r w:rsidRPr="00664FDB">
        <w:rPr>
          <w:rFonts w:ascii="Times New Roman" w:hAnsi="Times New Roman"/>
          <w:noProof/>
          <w:sz w:val="24"/>
        </w:rPr>
        <w:t>cu 2023</w:t>
      </w:r>
      <w:r w:rsidR="00664FDB" w:rsidRPr="00664FDB">
        <w:rPr>
          <w:rFonts w:ascii="Times New Roman" w:hAnsi="Times New Roman"/>
          <w:noProof/>
          <w:sz w:val="24"/>
        </w:rPr>
        <w:t> </w:t>
      </w:r>
      <w:r w:rsidRPr="00664FDB">
        <w:rPr>
          <w:rFonts w:ascii="Times New Roman" w:hAnsi="Times New Roman"/>
          <w:noProof/>
          <w:sz w:val="24"/>
        </w:rPr>
        <w:t>r. może sprawić, że znajdziemy się</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tru</w:t>
      </w:r>
      <w:r w:rsidRPr="00664FDB">
        <w:rPr>
          <w:rFonts w:ascii="Times New Roman" w:hAnsi="Times New Roman"/>
          <w:noProof/>
          <w:sz w:val="24"/>
        </w:rPr>
        <w:t>dnej sytuacji</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mie</w:t>
      </w:r>
      <w:r w:rsidRPr="00664FDB">
        <w:rPr>
          <w:rFonts w:ascii="Times New Roman" w:hAnsi="Times New Roman"/>
          <w:noProof/>
          <w:sz w:val="24"/>
        </w:rPr>
        <w:t>siącach zimowych na przełomie 2023</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2</w:t>
      </w:r>
      <w:r w:rsidRPr="00664FDB">
        <w:rPr>
          <w:rFonts w:ascii="Times New Roman" w:hAnsi="Times New Roman"/>
          <w:noProof/>
          <w:sz w:val="24"/>
        </w:rPr>
        <w:t>024</w:t>
      </w:r>
      <w:r w:rsidR="00664FDB" w:rsidRPr="00664FDB">
        <w:rPr>
          <w:rFonts w:ascii="Times New Roman" w:hAnsi="Times New Roman"/>
          <w:noProof/>
          <w:sz w:val="24"/>
        </w:rPr>
        <w:t> </w:t>
      </w:r>
      <w:r w:rsidRPr="00664FDB">
        <w:rPr>
          <w:rFonts w:ascii="Times New Roman" w:hAnsi="Times New Roman"/>
          <w:noProof/>
          <w:sz w:val="24"/>
        </w:rPr>
        <w:t>r. Większe oszczędności gazu sprawią wprawdzie, że Unia będzie mniej narażona na wysokie ceny importowe, ale powinna ona również wykorzystać swoją pozycję rynkową do zapewnienia dostaw gazu po cenach, które będą konkurencyjne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ska</w:t>
      </w:r>
      <w:r w:rsidRPr="00664FDB">
        <w:rPr>
          <w:rFonts w:ascii="Times New Roman" w:hAnsi="Times New Roman"/>
          <w:noProof/>
          <w:sz w:val="24"/>
        </w:rPr>
        <w:t xml:space="preserve">li światowej. </w:t>
      </w:r>
    </w:p>
    <w:p w14:paraId="56571831" w14:textId="565363B8" w:rsidR="0098513E" w:rsidRPr="00664FDB" w:rsidRDefault="000E3BC0" w:rsidP="0098513E">
      <w:pPr>
        <w:jc w:val="both"/>
        <w:rPr>
          <w:rFonts w:ascii="Times New Roman" w:eastAsia="Times New Roman" w:hAnsi="Times New Roman" w:cs="Times New Roman"/>
          <w:noProof/>
          <w:sz w:val="24"/>
          <w:szCs w:val="24"/>
        </w:rPr>
      </w:pPr>
      <w:r w:rsidRPr="00664FDB">
        <w:rPr>
          <w:rFonts w:ascii="Times New Roman" w:hAnsi="Times New Roman"/>
          <w:noProof/>
          <w:sz w:val="24"/>
        </w:rPr>
        <w:t>Komisja ożywiła relacje</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wia</w:t>
      </w:r>
      <w:r w:rsidRPr="00664FDB">
        <w:rPr>
          <w:rFonts w:ascii="Times New Roman" w:hAnsi="Times New Roman"/>
          <w:noProof/>
          <w:sz w:val="24"/>
        </w:rPr>
        <w:t>rygodnymi dostawcami gazu i LNG. Zawarła umowy ze Stanami Zjednoczonymi, Kanadą, Norwegią, Azerbejdżanem, Egiptem</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Izr</w:t>
      </w:r>
      <w:r w:rsidRPr="00664FDB">
        <w:rPr>
          <w:rFonts w:ascii="Times New Roman" w:hAnsi="Times New Roman"/>
          <w:noProof/>
          <w:sz w:val="24"/>
        </w:rPr>
        <w:t>aelem</w:t>
      </w:r>
      <w:r w:rsidR="00664FDB" w:rsidRPr="00664FDB">
        <w:rPr>
          <w:rFonts w:ascii="Times New Roman" w:hAnsi="Times New Roman"/>
          <w:noProof/>
          <w:sz w:val="24"/>
        </w:rPr>
        <w:t>. W</w:t>
      </w:r>
      <w:r w:rsidR="00664FDB">
        <w:rPr>
          <w:rFonts w:ascii="Times New Roman" w:hAnsi="Times New Roman"/>
          <w:noProof/>
          <w:sz w:val="24"/>
        </w:rPr>
        <w:t> </w:t>
      </w:r>
      <w:r w:rsidR="00664FDB" w:rsidRPr="00664FDB">
        <w:rPr>
          <w:rFonts w:ascii="Times New Roman" w:hAnsi="Times New Roman"/>
          <w:noProof/>
          <w:sz w:val="24"/>
        </w:rPr>
        <w:t>paź</w:t>
      </w:r>
      <w:r w:rsidRPr="00664FDB">
        <w:rPr>
          <w:rFonts w:ascii="Times New Roman" w:hAnsi="Times New Roman"/>
          <w:noProof/>
          <w:sz w:val="24"/>
        </w:rPr>
        <w:t>dzierniku UE</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Nor</w:t>
      </w:r>
      <w:r w:rsidRPr="00664FDB">
        <w:rPr>
          <w:rFonts w:ascii="Times New Roman" w:hAnsi="Times New Roman"/>
          <w:noProof/>
          <w:sz w:val="24"/>
        </w:rPr>
        <w:t>wegia powołały grupę zadaniową ds. stabilizacji rynków energii</w:t>
      </w:r>
      <w:r w:rsidR="00664FDB" w:rsidRPr="00664FDB">
        <w:rPr>
          <w:rFonts w:ascii="Times New Roman" w:hAnsi="Times New Roman"/>
          <w:noProof/>
          <w:sz w:val="24"/>
        </w:rPr>
        <w:t>. W</w:t>
      </w:r>
      <w:r w:rsidR="00664FDB">
        <w:rPr>
          <w:rFonts w:ascii="Times New Roman" w:hAnsi="Times New Roman"/>
          <w:noProof/>
          <w:sz w:val="24"/>
        </w:rPr>
        <w:t> </w:t>
      </w:r>
      <w:r w:rsidR="00664FDB" w:rsidRPr="00664FDB">
        <w:rPr>
          <w:rFonts w:ascii="Times New Roman" w:hAnsi="Times New Roman"/>
          <w:noProof/>
          <w:sz w:val="24"/>
        </w:rPr>
        <w:t>paź</w:t>
      </w:r>
      <w:r w:rsidRPr="00664FDB">
        <w:rPr>
          <w:rFonts w:ascii="Times New Roman" w:hAnsi="Times New Roman"/>
          <w:noProof/>
          <w:sz w:val="24"/>
        </w:rPr>
        <w:t>dzierniku wznowiono dialog energetyczny między UE</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Alg</w:t>
      </w:r>
      <w:r w:rsidRPr="00664FDB">
        <w:rPr>
          <w:rFonts w:ascii="Times New Roman" w:hAnsi="Times New Roman"/>
          <w:noProof/>
          <w:sz w:val="24"/>
        </w:rPr>
        <w:t>ierią. Komisja będzie dalej koordynować</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zac</w:t>
      </w:r>
      <w:r w:rsidRPr="00664FDB">
        <w:rPr>
          <w:rFonts w:ascii="Times New Roman" w:hAnsi="Times New Roman"/>
          <w:noProof/>
          <w:sz w:val="24"/>
        </w:rPr>
        <w:t>ieśniać współpracę</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wia</w:t>
      </w:r>
      <w:r w:rsidRPr="00664FDB">
        <w:rPr>
          <w:rFonts w:ascii="Times New Roman" w:hAnsi="Times New Roman"/>
          <w:noProof/>
          <w:sz w:val="24"/>
        </w:rPr>
        <w:t>rygodnymi partnerami.</w:t>
      </w:r>
    </w:p>
    <w:p w14:paraId="66480210" w14:textId="22BD2E4F" w:rsidR="0098513E" w:rsidRPr="00664FDB" w:rsidRDefault="000E3BC0" w:rsidP="0098513E">
      <w:pPr>
        <w:jc w:val="both"/>
        <w:rPr>
          <w:rFonts w:ascii="Times New Roman" w:hAnsi="Times New Roman" w:cs="Times New Roman"/>
          <w:noProof/>
          <w:sz w:val="24"/>
          <w:szCs w:val="24"/>
        </w:rPr>
      </w:pPr>
      <w:r w:rsidRPr="00664FDB">
        <w:rPr>
          <w:rFonts w:ascii="Times New Roman" w:hAnsi="Times New Roman"/>
          <w:noProof/>
          <w:sz w:val="24"/>
        </w:rPr>
        <w:t>UE będzie kontynuować współpracę ze swoimi partnerami zgodnie ze wspólnym komunikatem dotyczącym zewnętrznych zobowiązań energetycznych UE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zmi</w:t>
      </w:r>
      <w:r w:rsidRPr="00664FDB">
        <w:rPr>
          <w:rFonts w:ascii="Times New Roman" w:hAnsi="Times New Roman"/>
          <w:noProof/>
          <w:sz w:val="24"/>
        </w:rPr>
        <w:t>eniającym się świecie</w:t>
      </w:r>
      <w:r w:rsidRPr="00664FDB">
        <w:rPr>
          <w:rStyle w:val="FootnoteReference"/>
          <w:rFonts w:ascii="Times New Roman" w:eastAsia="Times New Roman" w:hAnsi="Times New Roman" w:cs="Times New Roman"/>
          <w:noProof/>
          <w:sz w:val="24"/>
          <w:szCs w:val="24"/>
        </w:rPr>
        <w:footnoteReference w:id="6"/>
      </w:r>
      <w:r w:rsidRPr="00664FDB">
        <w:rPr>
          <w:rFonts w:ascii="Times New Roman" w:hAnsi="Times New Roman"/>
          <w:noProof/>
          <w:sz w:val="24"/>
        </w:rPr>
        <w:t>. Zwiększamy również nasze zaangażowanie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rel</w:t>
      </w:r>
      <w:r w:rsidRPr="00664FDB">
        <w:rPr>
          <w:rFonts w:ascii="Times New Roman" w:hAnsi="Times New Roman"/>
          <w:noProof/>
          <w:sz w:val="24"/>
        </w:rPr>
        <w:t>acje</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sol</w:t>
      </w:r>
      <w:r w:rsidRPr="00664FDB">
        <w:rPr>
          <w:rFonts w:ascii="Times New Roman" w:hAnsi="Times New Roman"/>
          <w:noProof/>
          <w:sz w:val="24"/>
        </w:rPr>
        <w:t>idarność</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kra</w:t>
      </w:r>
      <w:r w:rsidRPr="00664FDB">
        <w:rPr>
          <w:rFonts w:ascii="Times New Roman" w:hAnsi="Times New Roman"/>
          <w:noProof/>
          <w:sz w:val="24"/>
        </w:rPr>
        <w:t>jami Bałkanów Zachodnich</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Par</w:t>
      </w:r>
      <w:r w:rsidRPr="00664FDB">
        <w:rPr>
          <w:rFonts w:ascii="Times New Roman" w:hAnsi="Times New Roman"/>
          <w:noProof/>
          <w:sz w:val="24"/>
        </w:rPr>
        <w:t>tnerstwa Wschodniego, czyli</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nas</w:t>
      </w:r>
      <w:r w:rsidRPr="00664FDB">
        <w:rPr>
          <w:rFonts w:ascii="Times New Roman" w:hAnsi="Times New Roman"/>
          <w:noProof/>
          <w:sz w:val="24"/>
        </w:rPr>
        <w:t xml:space="preserve">zymi najbliższymi sąsiadami. Unijna platforma energetyczna jest otwarta dla naszych partnerów ze Wspólnoty Energetycznej. </w:t>
      </w:r>
      <w:r w:rsidRPr="00664FDB">
        <w:rPr>
          <w:rFonts w:ascii="Times New Roman" w:hAnsi="Times New Roman"/>
          <w:noProof/>
          <w:sz w:val="24"/>
          <w:shd w:val="clear" w:color="auto" w:fill="FFFFFF"/>
        </w:rPr>
        <w:t>Na początku tego roku sieci elektroenergetyczne Ukrainy</w:t>
      </w:r>
      <w:r w:rsidR="00664FDB" w:rsidRPr="00664FDB">
        <w:rPr>
          <w:rFonts w:ascii="Times New Roman" w:hAnsi="Times New Roman"/>
          <w:noProof/>
          <w:sz w:val="24"/>
          <w:shd w:val="clear" w:color="auto" w:fill="FFFFFF"/>
        </w:rPr>
        <w:t xml:space="preserve"> i</w:t>
      </w:r>
      <w:r w:rsidR="00664FDB">
        <w:rPr>
          <w:rFonts w:ascii="Times New Roman" w:hAnsi="Times New Roman"/>
          <w:noProof/>
          <w:sz w:val="24"/>
          <w:shd w:val="clear" w:color="auto" w:fill="FFFFFF"/>
        </w:rPr>
        <w:t> </w:t>
      </w:r>
      <w:r w:rsidR="00664FDB" w:rsidRPr="00664FDB">
        <w:rPr>
          <w:rFonts w:ascii="Times New Roman" w:hAnsi="Times New Roman"/>
          <w:noProof/>
          <w:sz w:val="24"/>
          <w:shd w:val="clear" w:color="auto" w:fill="FFFFFF"/>
        </w:rPr>
        <w:t>Moł</w:t>
      </w:r>
      <w:r w:rsidRPr="00664FDB">
        <w:rPr>
          <w:rFonts w:ascii="Times New Roman" w:hAnsi="Times New Roman"/>
          <w:noProof/>
          <w:sz w:val="24"/>
          <w:shd w:val="clear" w:color="auto" w:fill="FFFFFF"/>
        </w:rPr>
        <w:t>dawii zostały zsynchronizowane</w:t>
      </w:r>
      <w:r w:rsidR="00664FDB" w:rsidRPr="00664FDB">
        <w:rPr>
          <w:rFonts w:ascii="Times New Roman" w:hAnsi="Times New Roman"/>
          <w:noProof/>
          <w:sz w:val="24"/>
          <w:shd w:val="clear" w:color="auto" w:fill="FFFFFF"/>
        </w:rPr>
        <w:t xml:space="preserve"> z</w:t>
      </w:r>
      <w:r w:rsidR="00664FDB">
        <w:rPr>
          <w:rFonts w:ascii="Times New Roman" w:hAnsi="Times New Roman"/>
          <w:noProof/>
          <w:sz w:val="24"/>
          <w:shd w:val="clear" w:color="auto" w:fill="FFFFFF"/>
        </w:rPr>
        <w:t> </w:t>
      </w:r>
      <w:r w:rsidR="00664FDB" w:rsidRPr="00664FDB">
        <w:rPr>
          <w:rFonts w:ascii="Times New Roman" w:hAnsi="Times New Roman"/>
          <w:noProof/>
          <w:sz w:val="24"/>
          <w:shd w:val="clear" w:color="auto" w:fill="FFFFFF"/>
        </w:rPr>
        <w:t>eur</w:t>
      </w:r>
      <w:r w:rsidRPr="00664FDB">
        <w:rPr>
          <w:rFonts w:ascii="Times New Roman" w:hAnsi="Times New Roman"/>
          <w:noProof/>
          <w:sz w:val="24"/>
          <w:shd w:val="clear" w:color="auto" w:fill="FFFFFF"/>
        </w:rPr>
        <w:t>opejską siecią kontynentalną. Na początku bieżącego miesiąca</w:t>
      </w:r>
      <w:r w:rsidRPr="00664FDB">
        <w:rPr>
          <w:rFonts w:ascii="Times New Roman" w:hAnsi="Times New Roman"/>
          <w:noProof/>
          <w:sz w:val="24"/>
        </w:rPr>
        <w:t xml:space="preserve"> uruchomiono nowe gazowe połączenie międzysystemowe między Bułgarią</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Gre</w:t>
      </w:r>
      <w:r w:rsidRPr="00664FDB">
        <w:rPr>
          <w:rFonts w:ascii="Times New Roman" w:hAnsi="Times New Roman"/>
          <w:noProof/>
          <w:sz w:val="24"/>
        </w:rPr>
        <w:t>cją, które będzie również obsługiwać Macedonię Północną</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Ser</w:t>
      </w:r>
      <w:r w:rsidRPr="00664FDB">
        <w:rPr>
          <w:rFonts w:ascii="Times New Roman" w:hAnsi="Times New Roman"/>
          <w:noProof/>
          <w:sz w:val="24"/>
        </w:rPr>
        <w:t>bię. Ponieważ cały ten region czeka trudna zima ze względu na wojnę energetyczną prowadzoną przez Rosję, należy przyspieszyć takie działania, aby jeszcze bardziej zintegrować go</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nas</w:t>
      </w:r>
      <w:r w:rsidRPr="00664FDB">
        <w:rPr>
          <w:rFonts w:ascii="Times New Roman" w:hAnsi="Times New Roman"/>
          <w:noProof/>
          <w:sz w:val="24"/>
        </w:rPr>
        <w:t xml:space="preserve">zą unią energetyczną. </w:t>
      </w:r>
    </w:p>
    <w:p w14:paraId="73842016" w14:textId="770B0631" w:rsidR="00EC1B7C" w:rsidRPr="00664FDB" w:rsidRDefault="00B01E72" w:rsidP="392D12E6">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Za pomocą unijnej platformy energetycznej, którą utworzono</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kwi</w:t>
      </w:r>
      <w:r w:rsidRPr="00664FDB">
        <w:rPr>
          <w:rFonts w:ascii="Times New Roman" w:hAnsi="Times New Roman"/>
          <w:noProof/>
          <w:sz w:val="24"/>
        </w:rPr>
        <w:t>etniu 2022</w:t>
      </w:r>
      <w:r w:rsidR="00664FDB" w:rsidRPr="00664FDB">
        <w:rPr>
          <w:rFonts w:ascii="Times New Roman" w:hAnsi="Times New Roman"/>
          <w:noProof/>
          <w:sz w:val="24"/>
        </w:rPr>
        <w:t> </w:t>
      </w:r>
      <w:r w:rsidRPr="00664FDB">
        <w:rPr>
          <w:rFonts w:ascii="Times New Roman" w:hAnsi="Times New Roman"/>
          <w:noProof/>
          <w:sz w:val="24"/>
        </w:rPr>
        <w:t>r., Komisja będzie dalej pogłębiać długoterminową współpracę ze wszystkimi wiarygodnymi dostawcami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wsp</w:t>
      </w:r>
      <w:r w:rsidRPr="00664FDB">
        <w:rPr>
          <w:rFonts w:ascii="Times New Roman" w:hAnsi="Times New Roman"/>
          <w:noProof/>
          <w:sz w:val="24"/>
        </w:rPr>
        <w:t>ierać ich, aby zwiększyć globalne wydobycie gazu</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już</w:t>
      </w:r>
      <w:r w:rsidRPr="00664FDB">
        <w:rPr>
          <w:rFonts w:ascii="Times New Roman" w:hAnsi="Times New Roman"/>
          <w:noProof/>
          <w:sz w:val="24"/>
        </w:rPr>
        <w:t xml:space="preserve"> eksploatowanych</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now</w:t>
      </w:r>
      <w:r w:rsidRPr="00664FDB">
        <w:rPr>
          <w:rFonts w:ascii="Times New Roman" w:hAnsi="Times New Roman"/>
          <w:noProof/>
          <w:sz w:val="24"/>
        </w:rPr>
        <w:t>ych złóż, jednocześnie zastępując gaz</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Ros</w:t>
      </w:r>
      <w:r w:rsidRPr="00664FDB">
        <w:rPr>
          <w:rFonts w:ascii="Times New Roman" w:hAnsi="Times New Roman"/>
          <w:noProof/>
          <w:sz w:val="24"/>
        </w:rPr>
        <w:t>ji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zap</w:t>
      </w:r>
      <w:r w:rsidRPr="00664FDB">
        <w:rPr>
          <w:rFonts w:ascii="Times New Roman" w:hAnsi="Times New Roman"/>
          <w:noProof/>
          <w:sz w:val="24"/>
        </w:rPr>
        <w:t>ewniając stały przepływ gazu,</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szc</w:t>
      </w:r>
      <w:r w:rsidRPr="00664FDB">
        <w:rPr>
          <w:rFonts w:ascii="Times New Roman" w:hAnsi="Times New Roman"/>
          <w:noProof/>
          <w:sz w:val="24"/>
        </w:rPr>
        <w:t>zególności LNG, do Europy. Komisja kładzie również podwaliny pod partnerstwa na rzecz wodoru, aby osiągnąć cel REPowerEU, jakim jest przywóz 10 mln ton ekologicznego wodoru</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2</w:t>
      </w:r>
      <w:r w:rsidRPr="00664FDB">
        <w:rPr>
          <w:rFonts w:ascii="Times New Roman" w:hAnsi="Times New Roman"/>
          <w:noProof/>
          <w:sz w:val="24"/>
        </w:rPr>
        <w:t>030</w:t>
      </w:r>
      <w:r w:rsidR="00664FDB" w:rsidRPr="00664FDB">
        <w:rPr>
          <w:rFonts w:ascii="Times New Roman" w:hAnsi="Times New Roman"/>
          <w:noProof/>
          <w:sz w:val="24"/>
        </w:rPr>
        <w:t> </w:t>
      </w:r>
      <w:r w:rsidRPr="00664FDB">
        <w:rPr>
          <w:rFonts w:ascii="Times New Roman" w:hAnsi="Times New Roman"/>
          <w:noProof/>
          <w:sz w:val="24"/>
        </w:rPr>
        <w:t>r. Rozmowy</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par</w:t>
      </w:r>
      <w:r w:rsidRPr="00664FDB">
        <w:rPr>
          <w:rFonts w:ascii="Times New Roman" w:hAnsi="Times New Roman"/>
          <w:noProof/>
          <w:sz w:val="24"/>
        </w:rPr>
        <w:t>tnerami międzynarodowymi dotyczą również ceny gazu dostarczanego przez nich do Europy</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ram</w:t>
      </w:r>
      <w:r w:rsidRPr="00664FDB">
        <w:rPr>
          <w:rFonts w:ascii="Times New Roman" w:hAnsi="Times New Roman"/>
          <w:noProof/>
          <w:sz w:val="24"/>
        </w:rPr>
        <w:t>ach wzajemnie korzystnych umów.</w:t>
      </w:r>
    </w:p>
    <w:p w14:paraId="6D4F34B8" w14:textId="77777777" w:rsidR="00EC0D22" w:rsidRPr="00664FDB" w:rsidRDefault="00EC0D22" w:rsidP="392D12E6">
      <w:pPr>
        <w:spacing w:line="257" w:lineRule="auto"/>
        <w:jc w:val="both"/>
        <w:rPr>
          <w:rFonts w:ascii="Times New Roman" w:eastAsia="Times New Roman" w:hAnsi="Times New Roman" w:cs="Times New Roman"/>
          <w:noProof/>
          <w:sz w:val="24"/>
          <w:szCs w:val="24"/>
        </w:rPr>
      </w:pPr>
    </w:p>
    <w:p w14:paraId="2ECFEAFF" w14:textId="7647F0B0" w:rsidR="00D148BA" w:rsidRPr="00664FDB" w:rsidRDefault="00520A24" w:rsidP="00EC1B7C">
      <w:pPr>
        <w:spacing w:line="257" w:lineRule="auto"/>
        <w:jc w:val="both"/>
        <w:rPr>
          <w:rFonts w:ascii="Times New Roman" w:eastAsia="Times New Roman" w:hAnsi="Times New Roman" w:cs="Times New Roman"/>
          <w:noProof/>
          <w:sz w:val="24"/>
          <w:szCs w:val="24"/>
        </w:rPr>
      </w:pPr>
      <w:r w:rsidRPr="00664FDB">
        <w:rPr>
          <w:rFonts w:ascii="Times New Roman" w:hAnsi="Times New Roman"/>
          <w:b/>
          <w:noProof/>
          <w:sz w:val="24"/>
        </w:rPr>
        <w:t>Proponujemy dziś wyposażenie UE</w:t>
      </w:r>
      <w:r w:rsidR="00664FDB" w:rsidRPr="00664FDB">
        <w:rPr>
          <w:rFonts w:ascii="Times New Roman" w:hAnsi="Times New Roman"/>
          <w:b/>
          <w:noProof/>
          <w:sz w:val="24"/>
        </w:rPr>
        <w:t xml:space="preserve"> w</w:t>
      </w:r>
      <w:r w:rsidR="00664FDB">
        <w:rPr>
          <w:rFonts w:ascii="Times New Roman" w:hAnsi="Times New Roman"/>
          <w:b/>
          <w:noProof/>
          <w:sz w:val="24"/>
        </w:rPr>
        <w:t> </w:t>
      </w:r>
      <w:r w:rsidR="00664FDB" w:rsidRPr="00664FDB">
        <w:rPr>
          <w:rFonts w:ascii="Times New Roman" w:hAnsi="Times New Roman"/>
          <w:b/>
          <w:noProof/>
          <w:sz w:val="24"/>
        </w:rPr>
        <w:t>nar</w:t>
      </w:r>
      <w:r w:rsidRPr="00664FDB">
        <w:rPr>
          <w:rFonts w:ascii="Times New Roman" w:hAnsi="Times New Roman"/>
          <w:b/>
          <w:noProof/>
          <w:sz w:val="24"/>
        </w:rPr>
        <w:t xml:space="preserve">zędzia prawne umożliwiające wspólne zakupy gazu. </w:t>
      </w:r>
      <w:r w:rsidRPr="00664FDB">
        <w:rPr>
          <w:rFonts w:ascii="Times New Roman" w:hAnsi="Times New Roman"/>
          <w:noProof/>
          <w:sz w:val="24"/>
        </w:rPr>
        <w:t>Główną funkcją platformy powinna być koordynacja napełniania magazynów gazu, zgodnie</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nas</w:t>
      </w:r>
      <w:r w:rsidRPr="00664FDB">
        <w:rPr>
          <w:rFonts w:ascii="Times New Roman" w:hAnsi="Times New Roman"/>
          <w:noProof/>
          <w:sz w:val="24"/>
        </w:rPr>
        <w:t>zymi celami</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tym</w:t>
      </w:r>
      <w:r w:rsidRPr="00664FDB">
        <w:rPr>
          <w:rFonts w:ascii="Times New Roman" w:hAnsi="Times New Roman"/>
          <w:noProof/>
          <w:sz w:val="24"/>
        </w:rPr>
        <w:t xml:space="preserve"> zakresie. Szacuje się, że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ypadku całkowitej przerwy</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dos</w:t>
      </w:r>
      <w:r w:rsidRPr="00664FDB">
        <w:rPr>
          <w:rFonts w:ascii="Times New Roman" w:hAnsi="Times New Roman"/>
          <w:noProof/>
          <w:sz w:val="24"/>
        </w:rPr>
        <w:t>tawach rosyjskich podczas kolejnych zim do</w:t>
      </w:r>
      <w:r w:rsidR="00664FDB" w:rsidRPr="00664FDB">
        <w:rPr>
          <w:rFonts w:ascii="Times New Roman" w:hAnsi="Times New Roman"/>
          <w:noProof/>
          <w:sz w:val="24"/>
        </w:rPr>
        <w:t> </w:t>
      </w:r>
      <w:r w:rsidRPr="00664FDB">
        <w:rPr>
          <w:rFonts w:ascii="Times New Roman" w:hAnsi="Times New Roman"/>
          <w:noProof/>
          <w:sz w:val="24"/>
        </w:rPr>
        <w:t>2025</w:t>
      </w:r>
      <w:r w:rsidR="00664FDB" w:rsidRPr="00664FDB">
        <w:rPr>
          <w:rFonts w:ascii="Times New Roman" w:hAnsi="Times New Roman"/>
          <w:noProof/>
          <w:sz w:val="24"/>
        </w:rPr>
        <w:t> </w:t>
      </w:r>
      <w:r w:rsidRPr="00664FDB">
        <w:rPr>
          <w:rFonts w:ascii="Times New Roman" w:hAnsi="Times New Roman"/>
          <w:noProof/>
          <w:sz w:val="24"/>
        </w:rPr>
        <w:t>r.,</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tym</w:t>
      </w:r>
      <w:r w:rsidRPr="00664FDB">
        <w:rPr>
          <w:rFonts w:ascii="Times New Roman" w:hAnsi="Times New Roman"/>
          <w:noProof/>
          <w:sz w:val="24"/>
        </w:rPr>
        <w:t xml:space="preserve"> zimy na przełomie lat</w:t>
      </w:r>
      <w:r w:rsidR="00664FDB" w:rsidRPr="00664FDB">
        <w:rPr>
          <w:rFonts w:ascii="Times New Roman" w:hAnsi="Times New Roman"/>
          <w:noProof/>
          <w:sz w:val="24"/>
        </w:rPr>
        <w:t> </w:t>
      </w:r>
      <w:r w:rsidRPr="00664FDB">
        <w:rPr>
          <w:rFonts w:ascii="Times New Roman" w:hAnsi="Times New Roman"/>
          <w:noProof/>
          <w:sz w:val="24"/>
        </w:rPr>
        <w:t>2023</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2</w:t>
      </w:r>
      <w:r w:rsidRPr="00664FDB">
        <w:rPr>
          <w:rFonts w:ascii="Times New Roman" w:hAnsi="Times New Roman"/>
          <w:noProof/>
          <w:sz w:val="24"/>
        </w:rPr>
        <w:t>024, pojawi się luka podażowa wynosząca nawet 100 mld m³ rocznie. Jeśli na koniec tej zimy okaże się, że zapasy gazu zostały wyczerpane, napełnienie magazynów do poziomu 90 % do listopada 2023</w:t>
      </w:r>
      <w:r w:rsidR="00664FDB" w:rsidRPr="00664FDB">
        <w:rPr>
          <w:rFonts w:ascii="Times New Roman" w:hAnsi="Times New Roman"/>
          <w:noProof/>
          <w:sz w:val="24"/>
        </w:rPr>
        <w:t> </w:t>
      </w:r>
      <w:r w:rsidRPr="00664FDB">
        <w:rPr>
          <w:rFonts w:ascii="Times New Roman" w:hAnsi="Times New Roman"/>
          <w:noProof/>
          <w:sz w:val="24"/>
        </w:rPr>
        <w:t>r. – jak tego wymaga unijne rozporządzenie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spr</w:t>
      </w:r>
      <w:r w:rsidRPr="00664FDB">
        <w:rPr>
          <w:rFonts w:ascii="Times New Roman" w:hAnsi="Times New Roman"/>
          <w:noProof/>
          <w:sz w:val="24"/>
        </w:rPr>
        <w:t>awie magazynowania gazu – może być trudniejsze niż</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tym</w:t>
      </w:r>
      <w:r w:rsidRPr="00664FDB">
        <w:rPr>
          <w:rFonts w:ascii="Times New Roman" w:hAnsi="Times New Roman"/>
          <w:noProof/>
          <w:sz w:val="24"/>
        </w:rPr>
        <w:t xml:space="preserve"> roku. </w:t>
      </w:r>
    </w:p>
    <w:p w14:paraId="79770DFA" w14:textId="18AEB2D6" w:rsidR="00EC1B7C" w:rsidRPr="00664FDB" w:rsidRDefault="00B01E72" w:rsidP="00EC1B7C">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Aby umożliwić wspólne zakupy, zwłaszcza</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eznaczeniem do napełniania magazynów gazu, Komisja proponuje, co następuje:</w:t>
      </w:r>
    </w:p>
    <w:p w14:paraId="67602BC0" w14:textId="664E7C0F" w:rsidR="00EC1B7C" w:rsidRPr="00664FDB" w:rsidRDefault="00B01E72" w:rsidP="00EC1B7C">
      <w:pPr>
        <w:pStyle w:val="ListParagraph"/>
        <w:numPr>
          <w:ilvl w:val="0"/>
          <w:numId w:val="4"/>
        </w:numPr>
        <w:rPr>
          <w:rFonts w:ascii="Times New Roman" w:eastAsia="Times New Roman" w:hAnsi="Times New Roman" w:cs="Times New Roman"/>
          <w:noProof/>
          <w:sz w:val="24"/>
          <w:szCs w:val="24"/>
        </w:rPr>
      </w:pPr>
      <w:r w:rsidRPr="00664FDB">
        <w:rPr>
          <w:rFonts w:ascii="Times New Roman" w:hAnsi="Times New Roman"/>
          <w:noProof/>
          <w:sz w:val="24"/>
        </w:rPr>
        <w:t>agregację zapotrzebowania na poziomie UE</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par</w:t>
      </w:r>
      <w:r w:rsidRPr="00664FDB">
        <w:rPr>
          <w:rFonts w:ascii="Times New Roman" w:hAnsi="Times New Roman"/>
          <w:noProof/>
          <w:sz w:val="24"/>
        </w:rPr>
        <w:t>tnerów będących członkami Wspólnoty Energetycznej, tzn. grupowanie potrzeb</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zak</w:t>
      </w:r>
      <w:r w:rsidRPr="00664FDB">
        <w:rPr>
          <w:rFonts w:ascii="Times New Roman" w:hAnsi="Times New Roman"/>
          <w:noProof/>
          <w:sz w:val="24"/>
        </w:rPr>
        <w:t>resie importu gazu</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pos</w:t>
      </w:r>
      <w:r w:rsidRPr="00664FDB">
        <w:rPr>
          <w:rFonts w:ascii="Times New Roman" w:hAnsi="Times New Roman"/>
          <w:noProof/>
          <w:sz w:val="24"/>
        </w:rPr>
        <w:t>zukiwanie ofert na rynku</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opa</w:t>
      </w:r>
      <w:r w:rsidRPr="00664FDB">
        <w:rPr>
          <w:rFonts w:ascii="Times New Roman" w:hAnsi="Times New Roman"/>
          <w:noProof/>
          <w:sz w:val="24"/>
        </w:rPr>
        <w:t>rciu o to zagregowane zapotrzebowanie,</w:t>
      </w:r>
    </w:p>
    <w:p w14:paraId="6F7B4F5F" w14:textId="5F6748C4" w:rsidR="00216C3A" w:rsidRPr="00664FDB" w:rsidRDefault="00216C3A" w:rsidP="00216C3A">
      <w:pPr>
        <w:pStyle w:val="ListParagraph"/>
        <w:numPr>
          <w:ilvl w:val="0"/>
          <w:numId w:val="4"/>
        </w:numPr>
        <w:rPr>
          <w:rFonts w:ascii="Times New Roman" w:eastAsia="Times New Roman" w:hAnsi="Times New Roman" w:cs="Times New Roman"/>
          <w:noProof/>
          <w:sz w:val="24"/>
          <w:szCs w:val="24"/>
        </w:rPr>
      </w:pPr>
      <w:r w:rsidRPr="00664FDB">
        <w:rPr>
          <w:rFonts w:ascii="Times New Roman" w:hAnsi="Times New Roman"/>
          <w:noProof/>
          <w:sz w:val="24"/>
        </w:rPr>
        <w:t>obowiązkowy udział państw członkowskich</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uni</w:t>
      </w:r>
      <w:r w:rsidRPr="00664FDB">
        <w:rPr>
          <w:rFonts w:ascii="Times New Roman" w:hAnsi="Times New Roman"/>
          <w:noProof/>
          <w:sz w:val="24"/>
        </w:rPr>
        <w:t>jnej agregacji zapotrzebowania, odpowiadający co najmniej 15 % wolumenu gazu, który muszą magazynować,</w:t>
      </w:r>
    </w:p>
    <w:p w14:paraId="68A0DB8E" w14:textId="044DD6EB" w:rsidR="0098513E" w:rsidRPr="00664FDB" w:rsidRDefault="00EC1B7C" w:rsidP="00AA3D2E">
      <w:pPr>
        <w:pStyle w:val="ListParagraph"/>
        <w:numPr>
          <w:ilvl w:val="0"/>
          <w:numId w:val="4"/>
        </w:num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dobrowolny system zakupów umożliwiający przedsiębiorstwom tworzenie europejskiego konsorcjum na rzecz zakupu gazu. Komisja jest gotowa pomagać przedsiębiorstwom</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two</w:t>
      </w:r>
      <w:r w:rsidRPr="00664FDB">
        <w:rPr>
          <w:rFonts w:ascii="Times New Roman" w:hAnsi="Times New Roman"/>
          <w:noProof/>
          <w:sz w:val="24"/>
        </w:rPr>
        <w:t>rzeniu takiego konsorcjum</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będ</w:t>
      </w:r>
      <w:r w:rsidRPr="00664FDB">
        <w:rPr>
          <w:rFonts w:ascii="Times New Roman" w:hAnsi="Times New Roman"/>
          <w:noProof/>
          <w:sz w:val="24"/>
        </w:rPr>
        <w:t>zie szybko wydawać decyzję</w:t>
      </w:r>
      <w:r w:rsidR="00664FDB" w:rsidRPr="00664FDB">
        <w:rPr>
          <w:rFonts w:ascii="Times New Roman" w:hAnsi="Times New Roman"/>
          <w:noProof/>
          <w:sz w:val="24"/>
        </w:rPr>
        <w:t xml:space="preserve"> o</w:t>
      </w:r>
      <w:r w:rsidR="00664FDB">
        <w:rPr>
          <w:rFonts w:ascii="Times New Roman" w:hAnsi="Times New Roman"/>
          <w:noProof/>
          <w:sz w:val="24"/>
        </w:rPr>
        <w:t> </w:t>
      </w:r>
      <w:r w:rsidR="00664FDB" w:rsidRPr="00664FDB">
        <w:rPr>
          <w:rFonts w:ascii="Times New Roman" w:hAnsi="Times New Roman"/>
          <w:noProof/>
          <w:sz w:val="24"/>
        </w:rPr>
        <w:t>nie</w:t>
      </w:r>
      <w:r w:rsidRPr="00664FDB">
        <w:rPr>
          <w:rFonts w:ascii="Times New Roman" w:hAnsi="Times New Roman"/>
          <w:noProof/>
          <w:sz w:val="24"/>
        </w:rPr>
        <w:t>stosowaniu art.</w:t>
      </w:r>
      <w:r w:rsidR="00664FDB" w:rsidRPr="00664FDB">
        <w:rPr>
          <w:rFonts w:ascii="Times New Roman" w:hAnsi="Times New Roman"/>
          <w:noProof/>
          <w:sz w:val="24"/>
        </w:rPr>
        <w:t> </w:t>
      </w:r>
      <w:r w:rsidRPr="00664FDB">
        <w:rPr>
          <w:rFonts w:ascii="Times New Roman" w:hAnsi="Times New Roman"/>
          <w:noProof/>
          <w:sz w:val="24"/>
        </w:rPr>
        <w:t>101 lub</w:t>
      </w:r>
      <w:r w:rsidR="00664FDB" w:rsidRPr="00664FDB">
        <w:rPr>
          <w:rFonts w:ascii="Times New Roman" w:hAnsi="Times New Roman"/>
          <w:noProof/>
          <w:sz w:val="24"/>
        </w:rPr>
        <w:t> </w:t>
      </w:r>
      <w:r w:rsidRPr="00664FDB">
        <w:rPr>
          <w:rFonts w:ascii="Times New Roman" w:hAnsi="Times New Roman"/>
          <w:noProof/>
          <w:sz w:val="24"/>
        </w:rPr>
        <w:t>102 TFUE,</w:t>
      </w:r>
      <w:r w:rsidR="00664FDB" w:rsidRPr="00664FDB">
        <w:rPr>
          <w:rFonts w:ascii="Times New Roman" w:hAnsi="Times New Roman"/>
          <w:noProof/>
          <w:sz w:val="24"/>
        </w:rPr>
        <w:t xml:space="preserve"> o</w:t>
      </w:r>
      <w:r w:rsidR="00664FDB">
        <w:rPr>
          <w:rFonts w:ascii="Times New Roman" w:hAnsi="Times New Roman"/>
          <w:noProof/>
          <w:sz w:val="24"/>
        </w:rPr>
        <w:t> </w:t>
      </w:r>
      <w:r w:rsidR="00664FDB" w:rsidRPr="00664FDB">
        <w:rPr>
          <w:rFonts w:ascii="Times New Roman" w:hAnsi="Times New Roman"/>
          <w:noProof/>
          <w:sz w:val="24"/>
        </w:rPr>
        <w:t>ile</w:t>
      </w:r>
      <w:r w:rsidRPr="00664FDB">
        <w:rPr>
          <w:rFonts w:ascii="Times New Roman" w:hAnsi="Times New Roman"/>
          <w:noProof/>
          <w:sz w:val="24"/>
        </w:rPr>
        <w:t xml:space="preserve"> spełnione zostaną odpowiednie przesłanki materialne. </w:t>
      </w:r>
    </w:p>
    <w:p w14:paraId="7E13D416" w14:textId="75E9403D" w:rsidR="00EC1B7C" w:rsidRPr="00664FDB" w:rsidRDefault="00B01E72" w:rsidP="0098513E">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Wspólne zakupy przyczynią się do równiejszego dostępu do nowych dostawców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ryn</w:t>
      </w:r>
      <w:r w:rsidRPr="00664FDB">
        <w:rPr>
          <w:rFonts w:ascii="Times New Roman" w:hAnsi="Times New Roman"/>
          <w:noProof/>
          <w:sz w:val="24"/>
        </w:rPr>
        <w:t>ków międzynarodowych oraz wzmocnią pozycję negocjacyjną europejskich importerów. Rosyjskie źródła dostaw zostaną wyłączone</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udz</w:t>
      </w:r>
      <w:r w:rsidRPr="00664FDB">
        <w:rPr>
          <w:rFonts w:ascii="Times New Roman" w:hAnsi="Times New Roman"/>
          <w:noProof/>
          <w:sz w:val="24"/>
        </w:rPr>
        <w:t>iału</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pla</w:t>
      </w:r>
      <w:r w:rsidRPr="00664FDB">
        <w:rPr>
          <w:rFonts w:ascii="Times New Roman" w:hAnsi="Times New Roman"/>
          <w:noProof/>
          <w:sz w:val="24"/>
        </w:rPr>
        <w:t>tformie.</w:t>
      </w:r>
    </w:p>
    <w:p w14:paraId="59BC59B6" w14:textId="1A2DE01D" w:rsidR="56949B7D" w:rsidRPr="00664FDB" w:rsidRDefault="56F6C0EF" w:rsidP="56949B7D">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Wspólne zakupy będą przynosić pełne korzyści tylko wtedy, gdy Komisja</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pań</w:t>
      </w:r>
      <w:r w:rsidRPr="00664FDB">
        <w:rPr>
          <w:rFonts w:ascii="Times New Roman" w:hAnsi="Times New Roman"/>
          <w:noProof/>
          <w:sz w:val="24"/>
        </w:rPr>
        <w:t xml:space="preserve">stwa członkowskie zapewnią </w:t>
      </w:r>
      <w:r w:rsidRPr="00664FDB">
        <w:rPr>
          <w:rFonts w:ascii="Times New Roman" w:hAnsi="Times New Roman"/>
          <w:b/>
          <w:noProof/>
          <w:sz w:val="24"/>
        </w:rPr>
        <w:t>przejrzystość</w:t>
      </w:r>
      <w:r w:rsidRPr="00664FDB">
        <w:rPr>
          <w:rFonts w:ascii="Times New Roman" w:hAnsi="Times New Roman"/>
          <w:noProof/>
          <w:sz w:val="24"/>
        </w:rPr>
        <w:t xml:space="preserve"> unijnej platformy energetycznej</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zak</w:t>
      </w:r>
      <w:r w:rsidRPr="00664FDB">
        <w:rPr>
          <w:rFonts w:ascii="Times New Roman" w:hAnsi="Times New Roman"/>
          <w:noProof/>
          <w:sz w:val="24"/>
        </w:rPr>
        <w:t>resie umów na dostawy gazu, które są planowane</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zos</w:t>
      </w:r>
      <w:r w:rsidRPr="00664FDB">
        <w:rPr>
          <w:rFonts w:ascii="Times New Roman" w:hAnsi="Times New Roman"/>
          <w:noProof/>
          <w:sz w:val="24"/>
        </w:rPr>
        <w:t>tały zawarte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cał</w:t>
      </w:r>
      <w:r w:rsidRPr="00664FDB">
        <w:rPr>
          <w:rFonts w:ascii="Times New Roman" w:hAnsi="Times New Roman"/>
          <w:noProof/>
          <w:sz w:val="24"/>
        </w:rPr>
        <w:t>ej Unii. Umożliwi to ocenę, czy osiągnięto cele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zak</w:t>
      </w:r>
      <w:r w:rsidRPr="00664FDB">
        <w:rPr>
          <w:rFonts w:ascii="Times New Roman" w:hAnsi="Times New Roman"/>
          <w:noProof/>
          <w:sz w:val="24"/>
        </w:rPr>
        <w:t>resie bezpieczeństwa dostaw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sol</w:t>
      </w:r>
      <w:r w:rsidRPr="00664FDB">
        <w:rPr>
          <w:rFonts w:ascii="Times New Roman" w:hAnsi="Times New Roman"/>
          <w:noProof/>
          <w:sz w:val="24"/>
        </w:rPr>
        <w:t>idarności energetycznej.</w:t>
      </w:r>
      <w:r w:rsidRPr="00664FDB">
        <w:rPr>
          <w:noProof/>
        </w:rPr>
        <w:t xml:space="preserve"> </w:t>
      </w:r>
      <w:r w:rsidRPr="00664FDB">
        <w:rPr>
          <w:rFonts w:ascii="Times New Roman" w:hAnsi="Times New Roman"/>
          <w:noProof/>
          <w:sz w:val="24"/>
        </w:rPr>
        <w:t>Ścisła koordynacja przez Komisję</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pań</w:t>
      </w:r>
      <w:r w:rsidRPr="00664FDB">
        <w:rPr>
          <w:rFonts w:ascii="Times New Roman" w:hAnsi="Times New Roman"/>
          <w:noProof/>
          <w:sz w:val="24"/>
        </w:rPr>
        <w:t>stwami członkowskimi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pom</w:t>
      </w:r>
      <w:r w:rsidRPr="00664FDB">
        <w:rPr>
          <w:rFonts w:ascii="Times New Roman" w:hAnsi="Times New Roman"/>
          <w:noProof/>
          <w:sz w:val="24"/>
        </w:rPr>
        <w:t>iędzy samymi państwami członkowskimi wobec państw trzecich za pośrednictwem platformy energetycznej zapewni lepsze wykorzystanie silnej pozycji, którą ma Unia jako kolektyw. Będzie to zapobiegać przelicytowywaniu się państw członkowskich</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imp</w:t>
      </w:r>
      <w:r w:rsidRPr="00664FDB">
        <w:rPr>
          <w:rFonts w:ascii="Times New Roman" w:hAnsi="Times New Roman"/>
          <w:noProof/>
          <w:sz w:val="24"/>
        </w:rPr>
        <w:t xml:space="preserve">orterów gazu oraz wzrostowi cen. </w:t>
      </w:r>
    </w:p>
    <w:p w14:paraId="29CA6F90" w14:textId="35FA592F" w:rsidR="00641DC6" w:rsidRPr="00664FDB" w:rsidRDefault="00641DC6" w:rsidP="00641DC6">
      <w:pPr>
        <w:spacing w:line="257" w:lineRule="auto"/>
        <w:jc w:val="both"/>
        <w:rPr>
          <w:noProof/>
        </w:rPr>
      </w:pPr>
      <w:r w:rsidRPr="00664FDB">
        <w:rPr>
          <w:rFonts w:ascii="Times New Roman" w:hAnsi="Times New Roman"/>
          <w:noProof/>
          <w:sz w:val="24"/>
        </w:rPr>
        <w:t>Kluczowe znaczenie dla powodzenia wspólnych zakupów będzie mieć dostępność zdolności odbioru gazu</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ter</w:t>
      </w:r>
      <w:r w:rsidRPr="00664FDB">
        <w:rPr>
          <w:rFonts w:ascii="Times New Roman" w:hAnsi="Times New Roman"/>
          <w:noProof/>
          <w:sz w:val="24"/>
        </w:rPr>
        <w:t>minalach LNG</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w:t>
      </w:r>
      <w:r w:rsidR="00664FDB">
        <w:rPr>
          <w:rFonts w:ascii="Times New Roman" w:hAnsi="Times New Roman"/>
          <w:noProof/>
          <w:sz w:val="24"/>
        </w:rPr>
        <w:t> </w:t>
      </w:r>
      <w:r w:rsidR="00664FDB" w:rsidRPr="00664FDB">
        <w:rPr>
          <w:rFonts w:ascii="Times New Roman" w:hAnsi="Times New Roman"/>
          <w:noProof/>
          <w:sz w:val="24"/>
        </w:rPr>
        <w:t>rur</w:t>
      </w:r>
      <w:r w:rsidRPr="00664FDB">
        <w:rPr>
          <w:rFonts w:ascii="Times New Roman" w:hAnsi="Times New Roman"/>
          <w:noProof/>
          <w:sz w:val="24"/>
        </w:rPr>
        <w:t>ociągach. Zdolności te są szczególnie ważne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syt</w:t>
      </w:r>
      <w:r w:rsidRPr="00664FDB">
        <w:rPr>
          <w:rFonts w:ascii="Times New Roman" w:hAnsi="Times New Roman"/>
          <w:noProof/>
          <w:sz w:val="24"/>
        </w:rPr>
        <w:t>uacji nadzwyczajnej, gdy przeciążenie gazociągów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ter</w:t>
      </w:r>
      <w:r w:rsidRPr="00664FDB">
        <w:rPr>
          <w:rFonts w:ascii="Times New Roman" w:hAnsi="Times New Roman"/>
          <w:noProof/>
          <w:sz w:val="24"/>
        </w:rPr>
        <w:t>minali powoduje wąskie gardła</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dos</w:t>
      </w:r>
      <w:r w:rsidRPr="00664FDB">
        <w:rPr>
          <w:rFonts w:ascii="Times New Roman" w:hAnsi="Times New Roman"/>
          <w:noProof/>
          <w:sz w:val="24"/>
        </w:rPr>
        <w:t>tawach gazu,</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tym</w:t>
      </w:r>
      <w:r w:rsidRPr="00664FDB">
        <w:rPr>
          <w:rFonts w:ascii="Times New Roman" w:hAnsi="Times New Roman"/>
          <w:noProof/>
          <w:sz w:val="24"/>
        </w:rPr>
        <w:t xml:space="preserve"> przeznaczonych na napełnianie magazynów</w:t>
      </w:r>
      <w:r w:rsidR="00664FDB" w:rsidRPr="00664FDB">
        <w:rPr>
          <w:rFonts w:ascii="Times New Roman" w:hAnsi="Times New Roman"/>
          <w:noProof/>
          <w:sz w:val="24"/>
        </w:rPr>
        <w:t>. W</w:t>
      </w:r>
      <w:r w:rsidR="00664FDB">
        <w:rPr>
          <w:rFonts w:ascii="Times New Roman" w:hAnsi="Times New Roman"/>
          <w:noProof/>
          <w:sz w:val="24"/>
        </w:rPr>
        <w:t> </w:t>
      </w:r>
      <w:r w:rsidR="00664FDB" w:rsidRPr="00664FDB">
        <w:rPr>
          <w:rFonts w:ascii="Times New Roman" w:hAnsi="Times New Roman"/>
          <w:noProof/>
          <w:sz w:val="24"/>
        </w:rPr>
        <w:t>zwi</w:t>
      </w:r>
      <w:r w:rsidRPr="00664FDB">
        <w:rPr>
          <w:rFonts w:ascii="Times New Roman" w:hAnsi="Times New Roman"/>
          <w:noProof/>
          <w:sz w:val="24"/>
        </w:rPr>
        <w:t>ązku</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tym</w:t>
      </w:r>
      <w:r w:rsidRPr="00664FDB">
        <w:rPr>
          <w:rFonts w:ascii="Times New Roman" w:hAnsi="Times New Roman"/>
          <w:noProof/>
          <w:sz w:val="24"/>
        </w:rPr>
        <w:t xml:space="preserve"> wniosek zawiera przepisy zapewniające przejrzystość</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zak</w:t>
      </w:r>
      <w:r w:rsidRPr="00664FDB">
        <w:rPr>
          <w:rFonts w:ascii="Times New Roman" w:hAnsi="Times New Roman"/>
          <w:noProof/>
          <w:sz w:val="24"/>
        </w:rPr>
        <w:t>resie niewykorzystywanych długoterminowych zdolności terminali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gaz</w:t>
      </w:r>
      <w:r w:rsidRPr="00664FDB">
        <w:rPr>
          <w:rFonts w:ascii="Times New Roman" w:hAnsi="Times New Roman"/>
          <w:noProof/>
          <w:sz w:val="24"/>
        </w:rPr>
        <w:t>ociągów</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ypadku krótkotrwałego przeciążenia.</w:t>
      </w:r>
    </w:p>
    <w:p w14:paraId="5626B5FC" w14:textId="4A620DD2" w:rsidR="00643EE8" w:rsidRPr="00664FDB" w:rsidRDefault="00F649B2" w:rsidP="392D12E6">
      <w:pPr>
        <w:spacing w:line="257" w:lineRule="auto"/>
        <w:jc w:val="both"/>
        <w:rPr>
          <w:rFonts w:ascii="Times New Roman" w:eastAsia="Times New Roman" w:hAnsi="Times New Roman" w:cs="Times New Roman"/>
          <w:i/>
          <w:noProof/>
          <w:sz w:val="24"/>
          <w:szCs w:val="24"/>
        </w:rPr>
      </w:pPr>
      <w:r w:rsidRPr="00664FDB">
        <w:rPr>
          <w:rFonts w:ascii="Times New Roman" w:hAnsi="Times New Roman"/>
          <w:b/>
          <w:i/>
          <w:noProof/>
          <w:sz w:val="24"/>
        </w:rPr>
        <w:t>Solidarność</w:t>
      </w:r>
      <w:r w:rsidR="00664FDB" w:rsidRPr="00664FDB">
        <w:rPr>
          <w:rFonts w:ascii="Times New Roman" w:hAnsi="Times New Roman"/>
          <w:b/>
          <w:i/>
          <w:noProof/>
          <w:sz w:val="24"/>
        </w:rPr>
        <w:t xml:space="preserve"> i</w:t>
      </w:r>
      <w:r w:rsidR="00664FDB">
        <w:rPr>
          <w:rFonts w:ascii="Times New Roman" w:hAnsi="Times New Roman"/>
          <w:b/>
          <w:i/>
          <w:noProof/>
          <w:sz w:val="24"/>
        </w:rPr>
        <w:t> </w:t>
      </w:r>
      <w:r w:rsidR="00664FDB" w:rsidRPr="00664FDB">
        <w:rPr>
          <w:rFonts w:ascii="Times New Roman" w:hAnsi="Times New Roman"/>
          <w:b/>
          <w:i/>
          <w:noProof/>
          <w:sz w:val="24"/>
        </w:rPr>
        <w:t>zap</w:t>
      </w:r>
      <w:r w:rsidRPr="00664FDB">
        <w:rPr>
          <w:rFonts w:ascii="Times New Roman" w:hAnsi="Times New Roman"/>
          <w:b/>
          <w:i/>
          <w:noProof/>
          <w:sz w:val="24"/>
        </w:rPr>
        <w:t>ewnienie przepływu gazu tam, gdzie jest potrzebny</w:t>
      </w:r>
    </w:p>
    <w:p w14:paraId="26207A1C" w14:textId="1907A86B" w:rsidR="001423CF" w:rsidRPr="00664FDB" w:rsidRDefault="001423CF" w:rsidP="001423CF">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 xml:space="preserve">UE wzmocniła swoje narzędzia służące </w:t>
      </w:r>
      <w:r w:rsidRPr="00664FDB">
        <w:rPr>
          <w:rFonts w:ascii="Times New Roman" w:hAnsi="Times New Roman"/>
          <w:b/>
          <w:noProof/>
          <w:sz w:val="24"/>
        </w:rPr>
        <w:t>oszczędzaniu gazu</w:t>
      </w:r>
      <w:r w:rsidR="00664FDB" w:rsidRPr="00664FDB">
        <w:rPr>
          <w:rFonts w:ascii="Times New Roman" w:hAnsi="Times New Roman"/>
          <w:b/>
          <w:noProof/>
          <w:sz w:val="24"/>
        </w:rPr>
        <w:t xml:space="preserve"> i</w:t>
      </w:r>
      <w:r w:rsidR="00664FDB">
        <w:rPr>
          <w:rFonts w:ascii="Times New Roman" w:hAnsi="Times New Roman"/>
          <w:b/>
          <w:noProof/>
          <w:sz w:val="24"/>
        </w:rPr>
        <w:t> </w:t>
      </w:r>
      <w:r w:rsidR="00664FDB" w:rsidRPr="00664FDB">
        <w:rPr>
          <w:rFonts w:ascii="Times New Roman" w:hAnsi="Times New Roman"/>
          <w:b/>
          <w:noProof/>
          <w:sz w:val="24"/>
        </w:rPr>
        <w:t>ene</w:t>
      </w:r>
      <w:r w:rsidRPr="00664FDB">
        <w:rPr>
          <w:rFonts w:ascii="Times New Roman" w:hAnsi="Times New Roman"/>
          <w:b/>
          <w:noProof/>
          <w:sz w:val="24"/>
        </w:rPr>
        <w:t>rgii elektrycznej</w:t>
      </w:r>
      <w:r w:rsidRPr="00664FDB">
        <w:rPr>
          <w:rFonts w:ascii="Times New Roman" w:hAnsi="Times New Roman"/>
          <w:noProof/>
          <w:sz w:val="24"/>
        </w:rPr>
        <w:t>. Teraz musimy jednak</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peł</w:t>
      </w:r>
      <w:r w:rsidRPr="00664FDB">
        <w:rPr>
          <w:rFonts w:ascii="Times New Roman" w:hAnsi="Times New Roman"/>
          <w:noProof/>
          <w:sz w:val="24"/>
        </w:rPr>
        <w:t>ni wykorzystywać uzgodnione regulacje, aby osiągnąć nasze cele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zak</w:t>
      </w:r>
      <w:r w:rsidRPr="00664FDB">
        <w:rPr>
          <w:rFonts w:ascii="Times New Roman" w:hAnsi="Times New Roman"/>
          <w:noProof/>
          <w:sz w:val="24"/>
        </w:rPr>
        <w:t>resie ograniczenia popytu. Pomoże to nam przetrwać dalsze zakłócenia</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dos</w:t>
      </w:r>
      <w:r w:rsidRPr="00664FDB">
        <w:rPr>
          <w:rFonts w:ascii="Times New Roman" w:hAnsi="Times New Roman"/>
          <w:noProof/>
          <w:sz w:val="24"/>
        </w:rPr>
        <w:t>tawach gazu</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zmn</w:t>
      </w:r>
      <w:r w:rsidRPr="00664FDB">
        <w:rPr>
          <w:rFonts w:ascii="Times New Roman" w:hAnsi="Times New Roman"/>
          <w:noProof/>
          <w:sz w:val="24"/>
        </w:rPr>
        <w:t>iejszy presję na międzynarodowe rynki gazu,</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tym</w:t>
      </w:r>
      <w:r w:rsidRPr="00664FDB">
        <w:rPr>
          <w:rFonts w:ascii="Times New Roman" w:hAnsi="Times New Roman"/>
          <w:noProof/>
          <w:sz w:val="24"/>
        </w:rPr>
        <w:t xml:space="preserve"> samym na ceny. Komisja będzie ściśle monitorować środki ograniczające zapotrzebowanie</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ich</w:t>
      </w:r>
      <w:r w:rsidRPr="00664FDB">
        <w:rPr>
          <w:rFonts w:ascii="Times New Roman" w:hAnsi="Times New Roman"/>
          <w:noProof/>
          <w:sz w:val="24"/>
        </w:rPr>
        <w:t xml:space="preserve"> wpływ na dystrybucję, dopilnowując, aby wysiłki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wkł</w:t>
      </w:r>
      <w:r w:rsidRPr="00664FDB">
        <w:rPr>
          <w:rFonts w:ascii="Times New Roman" w:hAnsi="Times New Roman"/>
          <w:noProof/>
          <w:sz w:val="24"/>
        </w:rPr>
        <w:t>ady ze strony wszystkich sektorów gospodarki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gru</w:t>
      </w:r>
      <w:r w:rsidRPr="00664FDB">
        <w:rPr>
          <w:rFonts w:ascii="Times New Roman" w:hAnsi="Times New Roman"/>
          <w:noProof/>
          <w:sz w:val="24"/>
        </w:rPr>
        <w:t xml:space="preserve">p społecznych miały sprawiedliwy charakter. Jest też gotowa uruchomić unijny stan alarmowy lub nawet zmienić docelową redukcję zapotrzebowania na gaz, jeżeli dobrowolne środki zmniejszające zapotrzebowanie okażą się niewystarczające do zapewnienia, aby zapasy gazu wystarczyły na zimę. </w:t>
      </w:r>
    </w:p>
    <w:p w14:paraId="46F95DC9" w14:textId="10E7396A" w:rsidR="00A1128F" w:rsidRPr="00664FDB" w:rsidRDefault="00A1128F" w:rsidP="001423CF">
      <w:pPr>
        <w:spacing w:line="257" w:lineRule="auto"/>
        <w:jc w:val="both"/>
        <w:rPr>
          <w:rFonts w:ascii="Times New Roman" w:eastAsia="Times New Roman" w:hAnsi="Times New Roman" w:cs="Times New Roman"/>
          <w:noProof/>
          <w:sz w:val="24"/>
          <w:szCs w:val="24"/>
        </w:rPr>
      </w:pPr>
      <w:bookmarkStart w:id="4" w:name="_Hlk116912084"/>
      <w:r w:rsidRPr="00664FDB">
        <w:rPr>
          <w:rFonts w:ascii="Times New Roman" w:hAnsi="Times New Roman"/>
          <w:noProof/>
          <w:sz w:val="24"/>
        </w:rPr>
        <w:t>W celu lepszego przygotowania na ewentualne sytuacje nadzwyczajne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okr</w:t>
      </w:r>
      <w:r w:rsidRPr="00664FDB">
        <w:rPr>
          <w:rFonts w:ascii="Times New Roman" w:hAnsi="Times New Roman"/>
          <w:noProof/>
          <w:sz w:val="24"/>
        </w:rPr>
        <w:t xml:space="preserve">esie zimowym Komisja proponuje wprowadzenie środków, które umożliwią państwom członkowskim wyjątkowe </w:t>
      </w:r>
      <w:r w:rsidRPr="00664FDB">
        <w:rPr>
          <w:rFonts w:ascii="Times New Roman" w:hAnsi="Times New Roman"/>
          <w:b/>
          <w:noProof/>
          <w:sz w:val="24"/>
        </w:rPr>
        <w:t>ograniczenie zużycia innego niż nieodzowne</w:t>
      </w:r>
      <w:r w:rsidRPr="00664FDB">
        <w:rPr>
          <w:rFonts w:ascii="Times New Roman" w:hAnsi="Times New Roman"/>
          <w:noProof/>
          <w:sz w:val="24"/>
        </w:rPr>
        <w:t>, takiego jak ogrzewanie przestrzeni zewnętrznych,</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zap</w:t>
      </w:r>
      <w:r w:rsidRPr="00664FDB">
        <w:rPr>
          <w:rFonts w:ascii="Times New Roman" w:hAnsi="Times New Roman"/>
          <w:noProof/>
          <w:sz w:val="24"/>
        </w:rPr>
        <w:t>ewnienie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ten</w:t>
      </w:r>
      <w:r w:rsidRPr="00664FDB">
        <w:rPr>
          <w:rFonts w:ascii="Times New Roman" w:hAnsi="Times New Roman"/>
          <w:noProof/>
          <w:sz w:val="24"/>
        </w:rPr>
        <w:t xml:space="preserve"> sposób dostaw gazu na potrzeby innych kluczowych sektorów, usług</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gał</w:t>
      </w:r>
      <w:r w:rsidRPr="00664FDB">
        <w:rPr>
          <w:rFonts w:ascii="Times New Roman" w:hAnsi="Times New Roman"/>
          <w:noProof/>
          <w:sz w:val="24"/>
        </w:rPr>
        <w:t>ęzi przemysłu. Środki te nie powinny</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żad</w:t>
      </w:r>
      <w:r w:rsidRPr="00664FDB">
        <w:rPr>
          <w:rFonts w:ascii="Times New Roman" w:hAnsi="Times New Roman"/>
          <w:noProof/>
          <w:sz w:val="24"/>
        </w:rPr>
        <w:t>nym wypadku wpływać na zużycie energii</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gos</w:t>
      </w:r>
      <w:r w:rsidRPr="00664FDB">
        <w:rPr>
          <w:rFonts w:ascii="Times New Roman" w:hAnsi="Times New Roman"/>
          <w:noProof/>
          <w:sz w:val="24"/>
        </w:rPr>
        <w:t xml:space="preserve">podarstwach domowych będących odbiorcami wrażliwymi. </w:t>
      </w:r>
    </w:p>
    <w:bookmarkEnd w:id="4"/>
    <w:p w14:paraId="678FCB26" w14:textId="551FC5E3" w:rsidR="7CC21E15" w:rsidRPr="00664FDB" w:rsidRDefault="00E24D5C" w:rsidP="392D12E6">
      <w:pPr>
        <w:spacing w:line="257" w:lineRule="auto"/>
        <w:jc w:val="both"/>
        <w:rPr>
          <w:rFonts w:ascii="Times New Roman" w:eastAsia="Times New Roman" w:hAnsi="Times New Roman" w:cs="Times New Roman"/>
          <w:noProof/>
          <w:sz w:val="24"/>
          <w:szCs w:val="24"/>
        </w:rPr>
      </w:pPr>
      <w:r w:rsidRPr="00664FDB">
        <w:rPr>
          <w:rFonts w:ascii="Times New Roman" w:hAnsi="Times New Roman"/>
          <w:b/>
          <w:noProof/>
          <w:sz w:val="24"/>
        </w:rPr>
        <w:t>Solidarność</w:t>
      </w:r>
      <w:r w:rsidRPr="00664FDB">
        <w:rPr>
          <w:rFonts w:ascii="Times New Roman" w:hAnsi="Times New Roman"/>
          <w:noProof/>
          <w:sz w:val="24"/>
        </w:rPr>
        <w:t xml:space="preserve"> jest kamieniem węgielnym Unii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war</w:t>
      </w:r>
      <w:r w:rsidRPr="00664FDB">
        <w:rPr>
          <w:rFonts w:ascii="Times New Roman" w:hAnsi="Times New Roman"/>
          <w:noProof/>
          <w:sz w:val="24"/>
        </w:rPr>
        <w:t>unkiem skuteczności jej działań. Pięć lat po uzgodnieniu rozporządzenia</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spr</w:t>
      </w:r>
      <w:r w:rsidRPr="00664FDB">
        <w:rPr>
          <w:rFonts w:ascii="Times New Roman" w:hAnsi="Times New Roman"/>
          <w:noProof/>
          <w:sz w:val="24"/>
        </w:rPr>
        <w:t>awie bezpieczeństwa dostaw</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4</w:t>
      </w:r>
      <w:r w:rsidRPr="00664FDB">
        <w:rPr>
          <w:rFonts w:ascii="Times New Roman" w:hAnsi="Times New Roman"/>
          <w:noProof/>
          <w:sz w:val="24"/>
        </w:rPr>
        <w:t>0 możliwych dwustronnych umów solidarnościowych między państwami członkowskimi podpisano jedynie 6. Proces ten przebiega zbyt wolno. Komisja proponuje zwiększenie zdolności Unii do szybkiego reagowania</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syt</w:t>
      </w:r>
      <w:r w:rsidRPr="00664FDB">
        <w:rPr>
          <w:rFonts w:ascii="Times New Roman" w:hAnsi="Times New Roman"/>
          <w:noProof/>
          <w:sz w:val="24"/>
        </w:rPr>
        <w:t>uacji nadzwyczajnej poprzez ustanowienie domyślnych zasad solidarności gwarantujących, że państwo członkowskie dotknięte sytuacją nadzwyczajną otrzyma gaz od innych państw</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zam</w:t>
      </w:r>
      <w:r w:rsidRPr="00664FDB">
        <w:rPr>
          <w:rFonts w:ascii="Times New Roman" w:hAnsi="Times New Roman"/>
          <w:noProof/>
          <w:sz w:val="24"/>
        </w:rPr>
        <w:t>ian za godziwą rekompensatę. Zakres tej inicjatywy zostanie również rozszerzony, tak że będzie obejmował nie tylko państwa członkowskie, których systemy przesyłowe są połączone bezpośrednio lub za pośrednictwem państwa trzeciego, ale również państwa członkowskie posiadające instalacje LNG, nawet jeśli nie mają one bezpośredniego połączenia. Bezpieczna zima dla wszystkich Europejczyków</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bie</w:t>
      </w:r>
      <w:r w:rsidRPr="00664FDB">
        <w:rPr>
          <w:rFonts w:ascii="Times New Roman" w:hAnsi="Times New Roman"/>
          <w:noProof/>
          <w:sz w:val="24"/>
        </w:rPr>
        <w:t>żącym</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yszłym roku zależy od europejskiego jednolitego rynku gazu</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nie</w:t>
      </w:r>
      <w:r w:rsidRPr="00664FDB">
        <w:rPr>
          <w:rFonts w:ascii="Times New Roman" w:hAnsi="Times New Roman"/>
          <w:noProof/>
          <w:sz w:val="24"/>
        </w:rPr>
        <w:t>zakłóconego handlu gazem</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obr</w:t>
      </w:r>
      <w:r w:rsidRPr="00664FDB">
        <w:rPr>
          <w:rFonts w:ascii="Times New Roman" w:hAnsi="Times New Roman"/>
          <w:noProof/>
          <w:sz w:val="24"/>
        </w:rPr>
        <w:t xml:space="preserve">ębie Unii. </w:t>
      </w:r>
    </w:p>
    <w:p w14:paraId="1271568F" w14:textId="77777777" w:rsidR="009D07A9" w:rsidRPr="00664FDB" w:rsidRDefault="009D07A9" w:rsidP="392D12E6">
      <w:pPr>
        <w:spacing w:line="257" w:lineRule="auto"/>
        <w:jc w:val="both"/>
        <w:rPr>
          <w:rFonts w:ascii="Times New Roman" w:eastAsia="Times New Roman" w:hAnsi="Times New Roman" w:cs="Times New Roman"/>
          <w:noProof/>
          <w:sz w:val="24"/>
          <w:szCs w:val="24"/>
        </w:rPr>
      </w:pPr>
    </w:p>
    <w:p w14:paraId="2112790D" w14:textId="77777777" w:rsidR="392D12E6" w:rsidRPr="00664FDB" w:rsidRDefault="392D12E6" w:rsidP="00D447E3">
      <w:pPr>
        <w:pStyle w:val="ListParagraph"/>
        <w:numPr>
          <w:ilvl w:val="0"/>
          <w:numId w:val="9"/>
        </w:numPr>
        <w:spacing w:line="257" w:lineRule="auto"/>
        <w:jc w:val="both"/>
        <w:rPr>
          <w:rFonts w:ascii="Times New Roman" w:eastAsia="Times New Roman" w:hAnsi="Times New Roman" w:cs="Times New Roman"/>
          <w:b/>
          <w:bCs/>
          <w:smallCaps/>
          <w:noProof/>
          <w:sz w:val="24"/>
          <w:szCs w:val="24"/>
        </w:rPr>
      </w:pPr>
      <w:r w:rsidRPr="00664FDB">
        <w:rPr>
          <w:rFonts w:ascii="Times New Roman" w:hAnsi="Times New Roman"/>
          <w:b/>
          <w:smallCaps/>
          <w:noProof/>
          <w:sz w:val="24"/>
        </w:rPr>
        <w:t xml:space="preserve">Rozwiązanie problemu wysokich cen energii </w:t>
      </w:r>
    </w:p>
    <w:p w14:paraId="5CBABE0A" w14:textId="5B158A72" w:rsidR="392D12E6" w:rsidRPr="00664FDB" w:rsidRDefault="392D12E6" w:rsidP="392D12E6">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Ceny hurtowe spadły wprawdzie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por</w:t>
      </w:r>
      <w:r w:rsidRPr="00664FDB">
        <w:rPr>
          <w:rFonts w:ascii="Times New Roman" w:hAnsi="Times New Roman"/>
          <w:noProof/>
          <w:sz w:val="24"/>
        </w:rPr>
        <w:t>ównaniu ze szczytowym poziomem latem 2022</w:t>
      </w:r>
      <w:r w:rsidR="00664FDB" w:rsidRPr="00664FDB">
        <w:rPr>
          <w:rFonts w:ascii="Times New Roman" w:hAnsi="Times New Roman"/>
          <w:noProof/>
          <w:sz w:val="24"/>
        </w:rPr>
        <w:t> </w:t>
      </w:r>
      <w:r w:rsidRPr="00664FDB">
        <w:rPr>
          <w:rFonts w:ascii="Times New Roman" w:hAnsi="Times New Roman"/>
          <w:noProof/>
          <w:sz w:val="24"/>
        </w:rPr>
        <w:t>r., ale pozostają nadmiernie wysokie dla coraz większej liczby Europejczyków. Rośnie liczba osób doświadczających ubóstwa energetycznego lub nim zagrożonych. Najbardziej dotknięci są odbiorcy wrażliwi, ale wysokie rachunki za gaz</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ele</w:t>
      </w:r>
      <w:r w:rsidRPr="00664FDB">
        <w:rPr>
          <w:rFonts w:ascii="Times New Roman" w:hAnsi="Times New Roman"/>
          <w:noProof/>
          <w:sz w:val="24"/>
        </w:rPr>
        <w:t>ktryczność stanowią coraz większe obciążenie zarówno dla przedsiębiorstw, jak</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gos</w:t>
      </w:r>
      <w:r w:rsidRPr="00664FDB">
        <w:rPr>
          <w:rFonts w:ascii="Times New Roman" w:hAnsi="Times New Roman"/>
          <w:noProof/>
          <w:sz w:val="24"/>
        </w:rPr>
        <w:t>podarstw domowych,</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tym o</w:t>
      </w:r>
      <w:r w:rsidR="00664FDB">
        <w:rPr>
          <w:rFonts w:ascii="Times New Roman" w:hAnsi="Times New Roman"/>
          <w:noProof/>
          <w:sz w:val="24"/>
        </w:rPr>
        <w:t> </w:t>
      </w:r>
      <w:r w:rsidR="00664FDB" w:rsidRPr="00664FDB">
        <w:rPr>
          <w:rFonts w:ascii="Times New Roman" w:hAnsi="Times New Roman"/>
          <w:noProof/>
          <w:sz w:val="24"/>
        </w:rPr>
        <w:t>śre</w:t>
      </w:r>
      <w:r w:rsidRPr="00664FDB">
        <w:rPr>
          <w:rFonts w:ascii="Times New Roman" w:hAnsi="Times New Roman"/>
          <w:noProof/>
          <w:sz w:val="24"/>
        </w:rPr>
        <w:t xml:space="preserve">dnich dochodach. </w:t>
      </w:r>
    </w:p>
    <w:p w14:paraId="03196911" w14:textId="1E24D6FF" w:rsidR="392D12E6" w:rsidRPr="00664FDB" w:rsidRDefault="00D922E8" w:rsidP="392D12E6">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Sytuacja ta wymaga interwencji, szczególnie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ypadku gazu, ze względu na jego znaczenie dla gospodarstw domowych</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 xml:space="preserve">emysłu oraz wpływ na ceny energii elektrycznej. </w:t>
      </w:r>
    </w:p>
    <w:p w14:paraId="00E06614" w14:textId="1FC4A646" w:rsidR="392D12E6" w:rsidRPr="00664FDB" w:rsidRDefault="009D07A9" w:rsidP="392D12E6">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Ceny gazu na głównej europejskiej giełdzie gazu, Title Transfer Facility (TTF), osiągają bezprecedensowy poziom</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cec</w:t>
      </w:r>
      <w:r w:rsidRPr="00664FDB">
        <w:rPr>
          <w:rFonts w:ascii="Times New Roman" w:hAnsi="Times New Roman"/>
          <w:noProof/>
          <w:sz w:val="24"/>
        </w:rPr>
        <w:t>huje je wysoka zmienność. Ceny na TTF odzwierciedlają wprawdzie szczególną sytuację Europy Północno-Zachodniej</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jej</w:t>
      </w:r>
      <w:r w:rsidRPr="00664FDB">
        <w:rPr>
          <w:rFonts w:ascii="Times New Roman" w:hAnsi="Times New Roman"/>
          <w:noProof/>
          <w:sz w:val="24"/>
        </w:rPr>
        <w:t xml:space="preserve"> lokalnymi niedoborami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wąs</w:t>
      </w:r>
      <w:r w:rsidRPr="00664FDB">
        <w:rPr>
          <w:rFonts w:ascii="Times New Roman" w:hAnsi="Times New Roman"/>
          <w:noProof/>
          <w:sz w:val="24"/>
        </w:rPr>
        <w:t>kimi gardłami</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inf</w:t>
      </w:r>
      <w:r w:rsidRPr="00664FDB">
        <w:rPr>
          <w:rFonts w:ascii="Times New Roman" w:hAnsi="Times New Roman"/>
          <w:noProof/>
          <w:sz w:val="24"/>
        </w:rPr>
        <w:t>rastrukturze, ale giełda ta wpływa często na poziomy cen</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umo</w:t>
      </w:r>
      <w:r w:rsidRPr="00664FDB">
        <w:rPr>
          <w:rFonts w:ascii="Times New Roman" w:hAnsi="Times New Roman"/>
          <w:noProof/>
          <w:sz w:val="24"/>
        </w:rPr>
        <w:t>wach długoterminowych poza Europą Północno-Zachodnią</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w:t>
      </w:r>
      <w:r w:rsidR="00664FDB">
        <w:rPr>
          <w:rFonts w:ascii="Times New Roman" w:hAnsi="Times New Roman"/>
          <w:noProof/>
          <w:sz w:val="24"/>
        </w:rPr>
        <w:t> </w:t>
      </w:r>
      <w:r w:rsidR="00664FDB" w:rsidRPr="00664FDB">
        <w:rPr>
          <w:rFonts w:ascii="Times New Roman" w:hAnsi="Times New Roman"/>
          <w:noProof/>
          <w:sz w:val="24"/>
        </w:rPr>
        <w:t>ram</w:t>
      </w:r>
      <w:r w:rsidRPr="00664FDB">
        <w:rPr>
          <w:rFonts w:ascii="Times New Roman" w:hAnsi="Times New Roman"/>
          <w:noProof/>
          <w:sz w:val="24"/>
        </w:rPr>
        <w:t>ach wielu transakcji LNG. Potrzebujemy indeksów cen odzwierciedlających rzeczywiste warunki rynkowe.</w:t>
      </w:r>
    </w:p>
    <w:p w14:paraId="3BB8C9E3" w14:textId="42BA2B87" w:rsidR="392D12E6" w:rsidRPr="00664FDB" w:rsidRDefault="392D12E6" w:rsidP="392D12E6">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Komisja proponuje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zwi</w:t>
      </w:r>
      <w:r w:rsidRPr="00664FDB">
        <w:rPr>
          <w:rFonts w:ascii="Times New Roman" w:hAnsi="Times New Roman"/>
          <w:noProof/>
          <w:sz w:val="24"/>
        </w:rPr>
        <w:t>ązku</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tym</w:t>
      </w:r>
      <w:r w:rsidRPr="00664FDB">
        <w:rPr>
          <w:rFonts w:ascii="Times New Roman" w:hAnsi="Times New Roman"/>
          <w:noProof/>
          <w:sz w:val="24"/>
        </w:rPr>
        <w:t xml:space="preserve"> opracowanie </w:t>
      </w:r>
      <w:r w:rsidRPr="00664FDB">
        <w:rPr>
          <w:rFonts w:ascii="Times New Roman" w:hAnsi="Times New Roman"/>
          <w:b/>
          <w:noProof/>
          <w:sz w:val="24"/>
        </w:rPr>
        <w:t>nowego uzupełniającego indeksu, tj. poziomu odniesienia cen LNG</w:t>
      </w:r>
      <w:r w:rsidRPr="00664FDB">
        <w:rPr>
          <w:rFonts w:ascii="Times New Roman" w:hAnsi="Times New Roman"/>
          <w:noProof/>
          <w:sz w:val="24"/>
        </w:rPr>
        <w:t>. Poziom odniesienia oparty na LNG będzie stanowić bardziej precyzyjną podstawę do transakcji LNG, jako bardziej uczciwy</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ejrzysty indeks cen. Agencja Unii Europejskiej ds. Współpracy Organów Regulacji Energetyki (ACER) powinna zgromadzić informacje niezbędne do opracowania tego nowego poziomu odniesienia przed końcem 2022</w:t>
      </w:r>
      <w:r w:rsidR="00664FDB" w:rsidRPr="00664FDB">
        <w:rPr>
          <w:rFonts w:ascii="Times New Roman" w:hAnsi="Times New Roman"/>
          <w:noProof/>
          <w:sz w:val="24"/>
        </w:rPr>
        <w:t> </w:t>
      </w:r>
      <w:r w:rsidRPr="00664FDB">
        <w:rPr>
          <w:rFonts w:ascii="Times New Roman" w:hAnsi="Times New Roman"/>
          <w:noProof/>
          <w:sz w:val="24"/>
        </w:rPr>
        <w:t>r.,</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ind</w:t>
      </w:r>
      <w:r w:rsidRPr="00664FDB">
        <w:rPr>
          <w:rFonts w:ascii="Times New Roman" w:hAnsi="Times New Roman"/>
          <w:noProof/>
          <w:sz w:val="24"/>
        </w:rPr>
        <w:t>eks powinien być dostępny odpowiednio wcześnie przed kolejnym sezonem napełniania magazynów na początku 2023</w:t>
      </w:r>
      <w:r w:rsidR="00664FDB" w:rsidRPr="00664FDB">
        <w:rPr>
          <w:rFonts w:ascii="Times New Roman" w:hAnsi="Times New Roman"/>
          <w:noProof/>
          <w:sz w:val="24"/>
        </w:rPr>
        <w:t> </w:t>
      </w:r>
      <w:r w:rsidRPr="00664FDB">
        <w:rPr>
          <w:rFonts w:ascii="Times New Roman" w:hAnsi="Times New Roman"/>
          <w:noProof/>
          <w:sz w:val="24"/>
        </w:rPr>
        <w:t>r.</w:t>
      </w:r>
    </w:p>
    <w:p w14:paraId="3B25D1EA" w14:textId="093F5BFB" w:rsidR="00970FE8" w:rsidRPr="00664FDB" w:rsidRDefault="00064D92" w:rsidP="006722C0">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 xml:space="preserve">W odpowiedzi na trwający kryzys energetyczny Komisja proponuje ponadto wprowadzenie mechanizmu </w:t>
      </w:r>
      <w:r w:rsidRPr="00664FDB">
        <w:rPr>
          <w:rFonts w:ascii="Times New Roman" w:hAnsi="Times New Roman"/>
          <w:b/>
          <w:noProof/>
          <w:sz w:val="24"/>
        </w:rPr>
        <w:t>ograniczania cen na głównej europejskiej giełdzie gazu</w:t>
      </w:r>
      <w:r w:rsidRPr="00664FDB">
        <w:rPr>
          <w:rFonts w:ascii="Times New Roman" w:hAnsi="Times New Roman"/>
          <w:noProof/>
          <w:sz w:val="24"/>
        </w:rPr>
        <w:t>, tj. TTF, który będzie uruchamiany</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raz</w:t>
      </w:r>
      <w:r w:rsidRPr="00664FDB">
        <w:rPr>
          <w:rFonts w:ascii="Times New Roman" w:hAnsi="Times New Roman"/>
          <w:noProof/>
          <w:sz w:val="24"/>
        </w:rPr>
        <w:t>ie potrzeby</w:t>
      </w:r>
      <w:r w:rsidR="00664FDB" w:rsidRPr="00664FDB">
        <w:rPr>
          <w:rFonts w:ascii="Times New Roman" w:hAnsi="Times New Roman"/>
          <w:noProof/>
          <w:sz w:val="24"/>
        </w:rPr>
        <w:t>. W</w:t>
      </w:r>
      <w:r w:rsidR="00664FDB">
        <w:rPr>
          <w:rFonts w:ascii="Times New Roman" w:hAnsi="Times New Roman"/>
          <w:noProof/>
          <w:sz w:val="24"/>
        </w:rPr>
        <w:t> </w:t>
      </w:r>
      <w:r w:rsidR="00664FDB" w:rsidRPr="00664FDB">
        <w:rPr>
          <w:rFonts w:ascii="Times New Roman" w:hAnsi="Times New Roman"/>
          <w:noProof/>
          <w:sz w:val="24"/>
        </w:rPr>
        <w:t>ram</w:t>
      </w:r>
      <w:r w:rsidRPr="00664FDB">
        <w:rPr>
          <w:rFonts w:ascii="Times New Roman" w:hAnsi="Times New Roman"/>
          <w:noProof/>
          <w:sz w:val="24"/>
        </w:rPr>
        <w:t>ach tego mechanizmu korekty cen zostanie tymczasowo ustanowiony dynamiczny limit cenowy dla transakcji na TTF. Pomoże to zapobiec ekstremalnym wahaniom</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nad</w:t>
      </w:r>
      <w:r w:rsidRPr="00664FDB">
        <w:rPr>
          <w:rFonts w:ascii="Times New Roman" w:hAnsi="Times New Roman"/>
          <w:noProof/>
          <w:sz w:val="24"/>
        </w:rPr>
        <w:t>miernemu poziomowi cen. Komisja zaproponowała ten mechanizm jako jedno</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moż</w:t>
      </w:r>
      <w:r w:rsidRPr="00664FDB">
        <w:rPr>
          <w:rFonts w:ascii="Times New Roman" w:hAnsi="Times New Roman"/>
          <w:noProof/>
          <w:sz w:val="24"/>
        </w:rPr>
        <w:t>liwych rozwiązań już</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mar</w:t>
      </w:r>
      <w:r w:rsidRPr="00664FDB">
        <w:rPr>
          <w:rFonts w:ascii="Times New Roman" w:hAnsi="Times New Roman"/>
          <w:noProof/>
          <w:sz w:val="24"/>
        </w:rPr>
        <w:t>cu 2022</w:t>
      </w:r>
      <w:r w:rsidR="00664FDB" w:rsidRPr="00664FDB">
        <w:rPr>
          <w:rFonts w:ascii="Times New Roman" w:hAnsi="Times New Roman"/>
          <w:noProof/>
          <w:sz w:val="24"/>
        </w:rPr>
        <w:t> </w:t>
      </w:r>
      <w:r w:rsidRPr="00664FDB">
        <w:rPr>
          <w:rFonts w:ascii="Times New Roman" w:hAnsi="Times New Roman"/>
          <w:noProof/>
          <w:sz w:val="24"/>
        </w:rPr>
        <w:t>r</w:t>
      </w:r>
      <w:r w:rsidR="00664FDB" w:rsidRPr="00664FDB">
        <w:rPr>
          <w:rFonts w:ascii="Times New Roman" w:hAnsi="Times New Roman"/>
          <w:noProof/>
          <w:sz w:val="24"/>
        </w:rPr>
        <w:t>. W</w:t>
      </w:r>
      <w:r w:rsidR="00664FDB">
        <w:rPr>
          <w:rFonts w:ascii="Times New Roman" w:hAnsi="Times New Roman"/>
          <w:noProof/>
          <w:sz w:val="24"/>
        </w:rPr>
        <w:t> </w:t>
      </w:r>
      <w:r w:rsidR="00664FDB" w:rsidRPr="00664FDB">
        <w:rPr>
          <w:rFonts w:ascii="Times New Roman" w:hAnsi="Times New Roman"/>
          <w:noProof/>
          <w:sz w:val="24"/>
        </w:rPr>
        <w:t>świ</w:t>
      </w:r>
      <w:r w:rsidRPr="00664FDB">
        <w:rPr>
          <w:rFonts w:ascii="Times New Roman" w:hAnsi="Times New Roman"/>
          <w:noProof/>
          <w:sz w:val="24"/>
        </w:rPr>
        <w:t>etle bezprecedensowego charakteru kryzysu energetycznego obecnie nadszedł czas na wprowadzenie takiego mechanizmu</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opa</w:t>
      </w:r>
      <w:r w:rsidRPr="00664FDB">
        <w:rPr>
          <w:rFonts w:ascii="Times New Roman" w:hAnsi="Times New Roman"/>
          <w:noProof/>
          <w:sz w:val="24"/>
        </w:rPr>
        <w:t>rciu</w:t>
      </w:r>
      <w:r w:rsidR="00664FDB" w:rsidRPr="00664FDB">
        <w:rPr>
          <w:rFonts w:ascii="Times New Roman" w:hAnsi="Times New Roman"/>
          <w:noProof/>
          <w:sz w:val="24"/>
        </w:rPr>
        <w:t xml:space="preserve"> o</w:t>
      </w:r>
      <w:r w:rsidR="00664FDB">
        <w:rPr>
          <w:rFonts w:ascii="Times New Roman" w:hAnsi="Times New Roman"/>
          <w:noProof/>
          <w:sz w:val="24"/>
        </w:rPr>
        <w:t> </w:t>
      </w:r>
      <w:r w:rsidR="00664FDB" w:rsidRPr="00664FDB">
        <w:rPr>
          <w:rFonts w:ascii="Times New Roman" w:hAnsi="Times New Roman"/>
          <w:noProof/>
          <w:sz w:val="24"/>
        </w:rPr>
        <w:t>ust</w:t>
      </w:r>
      <w:r w:rsidRPr="00664FDB">
        <w:rPr>
          <w:rFonts w:ascii="Times New Roman" w:hAnsi="Times New Roman"/>
          <w:noProof/>
          <w:sz w:val="24"/>
        </w:rPr>
        <w:t>anowione teraz ramy prawne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pos</w:t>
      </w:r>
      <w:r w:rsidRPr="00664FDB">
        <w:rPr>
          <w:rFonts w:ascii="Times New Roman" w:hAnsi="Times New Roman"/>
          <w:noProof/>
          <w:sz w:val="24"/>
        </w:rPr>
        <w:t xml:space="preserve">taci środków ograniczających zapotrzebowanie. </w:t>
      </w:r>
    </w:p>
    <w:p w14:paraId="34F2DD8B" w14:textId="7B03811A" w:rsidR="75671447" w:rsidRPr="00664FDB" w:rsidRDefault="00C34DBC" w:rsidP="75671447">
      <w:pPr>
        <w:spacing w:line="257" w:lineRule="auto"/>
        <w:jc w:val="both"/>
        <w:rPr>
          <w:rFonts w:ascii="Times New Roman" w:eastAsia="Times New Roman" w:hAnsi="Times New Roman" w:cs="Times New Roman"/>
          <w:noProof/>
          <w:sz w:val="24"/>
          <w:szCs w:val="24"/>
        </w:rPr>
      </w:pPr>
      <w:bookmarkStart w:id="5" w:name="_Hlk116842412"/>
      <w:r w:rsidRPr="00664FDB">
        <w:rPr>
          <w:rFonts w:ascii="Times New Roman" w:hAnsi="Times New Roman"/>
          <w:noProof/>
          <w:sz w:val="24"/>
        </w:rPr>
        <w:t xml:space="preserve">W celu ograniczenia </w:t>
      </w:r>
      <w:r w:rsidRPr="00664FDB">
        <w:rPr>
          <w:rFonts w:ascii="Times New Roman" w:hAnsi="Times New Roman"/>
          <w:b/>
          <w:noProof/>
          <w:sz w:val="24"/>
        </w:rPr>
        <w:t>śróddziennej zmienności</w:t>
      </w:r>
      <w:r w:rsidRPr="00664FDB">
        <w:rPr>
          <w:rFonts w:ascii="Times New Roman" w:hAnsi="Times New Roman"/>
          <w:noProof/>
          <w:sz w:val="24"/>
        </w:rPr>
        <w:t xml:space="preserve"> Komisja proponuje wprowadzenie nowego tymczasowego mechanizmu </w:t>
      </w:r>
      <w:r w:rsidRPr="00664FDB">
        <w:rPr>
          <w:rFonts w:ascii="Times New Roman" w:hAnsi="Times New Roman"/>
          <w:b/>
          <w:noProof/>
          <w:sz w:val="24"/>
        </w:rPr>
        <w:t>korytarza cen zapobiegającego ich gwałtownym śróddziennym skokom</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cel</w:t>
      </w:r>
      <w:r w:rsidRPr="00664FDB">
        <w:rPr>
          <w:rFonts w:ascii="Times New Roman" w:hAnsi="Times New Roman"/>
          <w:noProof/>
          <w:sz w:val="24"/>
        </w:rPr>
        <w:t>u zapobiegania nadmiernej zmienności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gwa</w:t>
      </w:r>
      <w:r w:rsidRPr="00664FDB">
        <w:rPr>
          <w:rFonts w:ascii="Times New Roman" w:hAnsi="Times New Roman"/>
          <w:noProof/>
          <w:sz w:val="24"/>
        </w:rPr>
        <w:t>łtownym skokom cen na rynku instrumentów pochodnych dotyczących produktów energetycznych. Mechanizm taki zapewni rzetelniejszy proces kształtowania cen na tych rynkach, chroniąc unijnych operatorów</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sek</w:t>
      </w:r>
      <w:r w:rsidRPr="00664FDB">
        <w:rPr>
          <w:rFonts w:ascii="Times New Roman" w:hAnsi="Times New Roman"/>
          <w:noProof/>
          <w:sz w:val="24"/>
        </w:rPr>
        <w:t>tora energetycznego przed dużymi śróddziennymi wzrostami cen</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pom</w:t>
      </w:r>
      <w:r w:rsidRPr="00664FDB">
        <w:rPr>
          <w:rFonts w:ascii="Times New Roman" w:hAnsi="Times New Roman"/>
          <w:noProof/>
          <w:sz w:val="24"/>
        </w:rPr>
        <w:t>agając im zabezpieczyć dostawy energii</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per</w:t>
      </w:r>
      <w:r w:rsidRPr="00664FDB">
        <w:rPr>
          <w:rFonts w:ascii="Times New Roman" w:hAnsi="Times New Roman"/>
          <w:noProof/>
          <w:sz w:val="24"/>
        </w:rPr>
        <w:t>spektywie średnioterminowej.</w:t>
      </w:r>
    </w:p>
    <w:p w14:paraId="6429E7AC" w14:textId="7F127E30" w:rsidR="00781170" w:rsidRPr="00664FDB" w:rsidRDefault="00781170" w:rsidP="00781170">
      <w:pPr>
        <w:spacing w:line="257" w:lineRule="auto"/>
        <w:jc w:val="both"/>
        <w:rPr>
          <w:rFonts w:ascii="Times New Roman" w:eastAsia="Times New Roman" w:hAnsi="Times New Roman" w:cs="Times New Roman"/>
          <w:noProof/>
          <w:sz w:val="24"/>
          <w:szCs w:val="24"/>
        </w:rPr>
      </w:pPr>
      <w:bookmarkStart w:id="6" w:name="_Hlk116842434"/>
      <w:bookmarkEnd w:id="5"/>
      <w:r w:rsidRPr="00664FDB">
        <w:rPr>
          <w:rFonts w:ascii="Times New Roman" w:hAnsi="Times New Roman"/>
          <w:noProof/>
          <w:sz w:val="24"/>
        </w:rPr>
        <w:t>Komisja opracuje wspólnie</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pań</w:t>
      </w:r>
      <w:r w:rsidRPr="00664FDB">
        <w:rPr>
          <w:rFonts w:ascii="Times New Roman" w:hAnsi="Times New Roman"/>
          <w:noProof/>
          <w:sz w:val="24"/>
        </w:rPr>
        <w:t xml:space="preserve">stwami członkowskimi sposoby </w:t>
      </w:r>
      <w:r w:rsidRPr="00664FDB">
        <w:rPr>
          <w:rFonts w:ascii="Times New Roman" w:hAnsi="Times New Roman"/>
          <w:b/>
          <w:noProof/>
          <w:sz w:val="24"/>
        </w:rPr>
        <w:t>ograniczenia wpływu wysokich cen gazu na ceny energii elektrycznej</w:t>
      </w:r>
      <w:r w:rsidRPr="00664FDB">
        <w:rPr>
          <w:rFonts w:ascii="Times New Roman" w:hAnsi="Times New Roman"/>
          <w:noProof/>
          <w:sz w:val="24"/>
        </w:rPr>
        <w:t>. Wprowadzenie pułapu cenowego dla gazu używanego do produkcji energii elektrycznej obniżyło jego ceny</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His</w:t>
      </w:r>
      <w:r w:rsidRPr="00664FDB">
        <w:rPr>
          <w:rFonts w:ascii="Times New Roman" w:hAnsi="Times New Roman"/>
          <w:noProof/>
          <w:sz w:val="24"/>
        </w:rPr>
        <w:t>zpanii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Por</w:t>
      </w:r>
      <w:r w:rsidRPr="00664FDB">
        <w:rPr>
          <w:rFonts w:ascii="Times New Roman" w:hAnsi="Times New Roman"/>
          <w:noProof/>
          <w:sz w:val="24"/>
        </w:rPr>
        <w:t>tugalii. Warto rozważyć wprowadzenie tego instrumentu na szczeblu UE,</w:t>
      </w:r>
      <w:r w:rsidR="00664FDB" w:rsidRPr="00664FDB">
        <w:rPr>
          <w:rFonts w:ascii="Times New Roman" w:hAnsi="Times New Roman"/>
          <w:noProof/>
          <w:sz w:val="24"/>
        </w:rPr>
        <w:t xml:space="preserve"> o</w:t>
      </w:r>
      <w:r w:rsidR="00664FDB">
        <w:rPr>
          <w:rFonts w:ascii="Times New Roman" w:hAnsi="Times New Roman"/>
          <w:noProof/>
          <w:sz w:val="24"/>
        </w:rPr>
        <w:t> </w:t>
      </w:r>
      <w:r w:rsidR="00664FDB" w:rsidRPr="00664FDB">
        <w:rPr>
          <w:rFonts w:ascii="Times New Roman" w:hAnsi="Times New Roman"/>
          <w:noProof/>
          <w:sz w:val="24"/>
        </w:rPr>
        <w:t>ile</w:t>
      </w:r>
      <w:r w:rsidRPr="00664FDB">
        <w:rPr>
          <w:rFonts w:ascii="Times New Roman" w:hAnsi="Times New Roman"/>
          <w:noProof/>
          <w:sz w:val="24"/>
        </w:rPr>
        <w:t xml:space="preserve"> uda się</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zad</w:t>
      </w:r>
      <w:r w:rsidRPr="00664FDB">
        <w:rPr>
          <w:rFonts w:ascii="Times New Roman" w:hAnsi="Times New Roman"/>
          <w:noProof/>
          <w:sz w:val="24"/>
        </w:rPr>
        <w:t>owalający sposób rozwiązać pewne kwestie, które są jeszcze otwarte. Państwa członkowskie UE różnią się pod względem koszyka energetycznego,</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tak</w:t>
      </w:r>
      <w:r w:rsidRPr="00664FDB">
        <w:rPr>
          <w:rFonts w:ascii="Times New Roman" w:hAnsi="Times New Roman"/>
          <w:noProof/>
          <w:sz w:val="24"/>
        </w:rPr>
        <w:t>że połączeń</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sys</w:t>
      </w:r>
      <w:r w:rsidRPr="00664FDB">
        <w:rPr>
          <w:rFonts w:ascii="Times New Roman" w:hAnsi="Times New Roman"/>
          <w:noProof/>
          <w:sz w:val="24"/>
        </w:rPr>
        <w:t>temów energetycznych. Należy opracować rozwiązanie, które sprawdzi się</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ypadku wszystkich tych państw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zap</w:t>
      </w:r>
      <w:r w:rsidRPr="00664FDB">
        <w:rPr>
          <w:rFonts w:ascii="Times New Roman" w:hAnsi="Times New Roman"/>
          <w:noProof/>
          <w:sz w:val="24"/>
        </w:rPr>
        <w:t>obiegnie wzrostowi zużycia gazu, rozwiąże problem nierównego wpływu finansowego</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pos</w:t>
      </w:r>
      <w:r w:rsidRPr="00664FDB">
        <w:rPr>
          <w:rFonts w:ascii="Times New Roman" w:hAnsi="Times New Roman"/>
          <w:noProof/>
          <w:sz w:val="24"/>
        </w:rPr>
        <w:t>zczególnych państwach członkowskich</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umo</w:t>
      </w:r>
      <w:r w:rsidRPr="00664FDB">
        <w:rPr>
          <w:rFonts w:ascii="Times New Roman" w:hAnsi="Times New Roman"/>
          <w:noProof/>
          <w:sz w:val="24"/>
        </w:rPr>
        <w:t xml:space="preserve">żliwi zarządzanie przepływami poza granice UE. </w:t>
      </w:r>
    </w:p>
    <w:bookmarkEnd w:id="6"/>
    <w:p w14:paraId="36A9AAF2" w14:textId="479F9870" w:rsidR="000F1991" w:rsidRPr="00664FDB" w:rsidRDefault="000F1991" w:rsidP="00781170">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Komisja wspiera również nową grupę zadaniową powołaną przez ACER</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Eur</w:t>
      </w:r>
      <w:r w:rsidRPr="00664FDB">
        <w:rPr>
          <w:rFonts w:ascii="Times New Roman" w:hAnsi="Times New Roman"/>
          <w:noProof/>
          <w:sz w:val="24"/>
        </w:rPr>
        <w:t>opejski Urząd Nadzoru Giełd</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Pap</w:t>
      </w:r>
      <w:r w:rsidRPr="00664FDB">
        <w:rPr>
          <w:rFonts w:ascii="Times New Roman" w:hAnsi="Times New Roman"/>
          <w:noProof/>
          <w:sz w:val="24"/>
        </w:rPr>
        <w:t>ierów Wartościowych (ESMA) wraz</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kra</w:t>
      </w:r>
      <w:r w:rsidRPr="00664FDB">
        <w:rPr>
          <w:rFonts w:ascii="Times New Roman" w:hAnsi="Times New Roman"/>
          <w:noProof/>
          <w:sz w:val="24"/>
        </w:rPr>
        <w:t>jowymi organami nadzoru rynków energii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ryn</w:t>
      </w:r>
      <w:r w:rsidRPr="00664FDB">
        <w:rPr>
          <w:rFonts w:ascii="Times New Roman" w:hAnsi="Times New Roman"/>
          <w:noProof/>
          <w:sz w:val="24"/>
        </w:rPr>
        <w:t>ków finansowych, której zadaniem jest ścisłe monitorowanie sytuacji na rynku energii. To wspólne działanie pomoże śledzić strukturę</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dyn</w:t>
      </w:r>
      <w:r w:rsidRPr="00664FDB">
        <w:rPr>
          <w:rFonts w:ascii="Times New Roman" w:hAnsi="Times New Roman"/>
          <w:noProof/>
          <w:sz w:val="24"/>
        </w:rPr>
        <w:t>amikę handlu</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róż</w:t>
      </w:r>
      <w:r w:rsidRPr="00664FDB">
        <w:rPr>
          <w:rFonts w:ascii="Times New Roman" w:hAnsi="Times New Roman"/>
          <w:noProof/>
          <w:sz w:val="24"/>
        </w:rPr>
        <w:t>nych segmentach rynków gazu</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ene</w:t>
      </w:r>
      <w:r w:rsidRPr="00664FDB">
        <w:rPr>
          <w:rFonts w:ascii="Times New Roman" w:hAnsi="Times New Roman"/>
          <w:noProof/>
          <w:sz w:val="24"/>
        </w:rPr>
        <w:t>rgii elektrycznej. Wzmocni ono nadzór rynku</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wsz</w:t>
      </w:r>
      <w:r w:rsidRPr="00664FDB">
        <w:rPr>
          <w:rFonts w:ascii="Times New Roman" w:hAnsi="Times New Roman"/>
          <w:noProof/>
          <w:sz w:val="24"/>
        </w:rPr>
        <w:t>elkie niezbędne działania właściwych organów</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zak</w:t>
      </w:r>
      <w:r w:rsidRPr="00664FDB">
        <w:rPr>
          <w:rFonts w:ascii="Times New Roman" w:hAnsi="Times New Roman"/>
          <w:noProof/>
          <w:sz w:val="24"/>
        </w:rPr>
        <w:t>resie egzekwowania przepisów. </w:t>
      </w:r>
    </w:p>
    <w:p w14:paraId="260FCA40" w14:textId="77777777" w:rsidR="00665579" w:rsidRPr="00664FDB" w:rsidRDefault="00665579" w:rsidP="00781170">
      <w:pPr>
        <w:spacing w:line="257" w:lineRule="auto"/>
        <w:jc w:val="both"/>
        <w:rPr>
          <w:rFonts w:ascii="Times New Roman" w:eastAsia="Times New Roman" w:hAnsi="Times New Roman" w:cs="Times New Roman"/>
          <w:noProof/>
          <w:sz w:val="24"/>
          <w:szCs w:val="24"/>
        </w:rPr>
      </w:pPr>
    </w:p>
    <w:p w14:paraId="46CEC5E7" w14:textId="77777777" w:rsidR="000350B5" w:rsidRPr="00664FDB" w:rsidRDefault="00F80609" w:rsidP="00D84933">
      <w:pPr>
        <w:pStyle w:val="ListParagraph"/>
        <w:numPr>
          <w:ilvl w:val="0"/>
          <w:numId w:val="9"/>
        </w:numPr>
        <w:spacing w:line="257" w:lineRule="auto"/>
        <w:jc w:val="both"/>
        <w:rPr>
          <w:rFonts w:ascii="Times New Roman" w:eastAsia="Times New Roman" w:hAnsi="Times New Roman" w:cs="Times New Roman"/>
          <w:b/>
          <w:bCs/>
          <w:smallCaps/>
          <w:noProof/>
          <w:sz w:val="24"/>
          <w:szCs w:val="24"/>
        </w:rPr>
      </w:pPr>
      <w:r w:rsidRPr="00664FDB">
        <w:rPr>
          <w:rFonts w:ascii="Times New Roman" w:hAnsi="Times New Roman"/>
          <w:b/>
          <w:smallCaps/>
          <w:noProof/>
          <w:sz w:val="24"/>
        </w:rPr>
        <w:t xml:space="preserve">łagodzenie skutków wysokich cen gazu </w:t>
      </w:r>
    </w:p>
    <w:p w14:paraId="058B01CB" w14:textId="548E41B1" w:rsidR="000350B5" w:rsidRPr="00664FDB" w:rsidRDefault="000350B5" w:rsidP="000350B5">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Oprócz działań</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odn</w:t>
      </w:r>
      <w:r w:rsidRPr="00664FDB">
        <w:rPr>
          <w:rFonts w:ascii="Times New Roman" w:hAnsi="Times New Roman"/>
          <w:noProof/>
          <w:sz w:val="24"/>
        </w:rPr>
        <w:t>iesieniu do cen Komisja</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pań</w:t>
      </w:r>
      <w:r w:rsidRPr="00664FDB">
        <w:rPr>
          <w:rFonts w:ascii="Times New Roman" w:hAnsi="Times New Roman"/>
          <w:noProof/>
          <w:sz w:val="24"/>
        </w:rPr>
        <w:t>stwa członkowskie opracowały środki finansowe</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inn</w:t>
      </w:r>
      <w:r w:rsidRPr="00664FDB">
        <w:rPr>
          <w:rFonts w:ascii="Times New Roman" w:hAnsi="Times New Roman"/>
          <w:noProof/>
          <w:sz w:val="24"/>
        </w:rPr>
        <w:t>e, by chronić konsumentów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edsiębiorstwa dotknięte zewnętrznym wstrząsem związanym</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cen</w:t>
      </w:r>
      <w:r w:rsidRPr="00664FDB">
        <w:rPr>
          <w:rFonts w:ascii="Times New Roman" w:hAnsi="Times New Roman"/>
          <w:noProof/>
          <w:sz w:val="24"/>
        </w:rPr>
        <w:t>ami energii. Należy chronić jednolity rynek, który pomógł Unii</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rad</w:t>
      </w:r>
      <w:r w:rsidRPr="00664FDB">
        <w:rPr>
          <w:rFonts w:ascii="Times New Roman" w:hAnsi="Times New Roman"/>
          <w:noProof/>
          <w:sz w:val="24"/>
        </w:rPr>
        <w:t>zeniu sobie</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pop</w:t>
      </w:r>
      <w:r w:rsidRPr="00664FDB">
        <w:rPr>
          <w:rFonts w:ascii="Times New Roman" w:hAnsi="Times New Roman"/>
          <w:noProof/>
          <w:sz w:val="24"/>
        </w:rPr>
        <w:t>rzednimi kryzysami, oraz utrzymać wysoki poziom zatrudnienia. Komisja będzie ściśle monitorowała rozwój sytuacji</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tym</w:t>
      </w:r>
      <w:r w:rsidRPr="00664FDB">
        <w:rPr>
          <w:rFonts w:ascii="Times New Roman" w:hAnsi="Times New Roman"/>
          <w:noProof/>
          <w:sz w:val="24"/>
        </w:rPr>
        <w:t xml:space="preserve"> zakresie. Kluczowe znaczenie ma dążenie do wspólnych rozwiązań na poziomie UE, które pozwolą uniknąć fragmentarycznych rozwiązań krajowych uzależnionych od zróżnicowanej przestrzeni fiskalnej państw członkowskich.</w:t>
      </w:r>
    </w:p>
    <w:p w14:paraId="40D0782D" w14:textId="018C0EE3" w:rsidR="000350B5" w:rsidRPr="00664FDB" w:rsidRDefault="000350B5" w:rsidP="4DA95C5C">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Komisja zamierza przyznać państwom członkowskim większą swobodę</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zak</w:t>
      </w:r>
      <w:r w:rsidRPr="00664FDB">
        <w:rPr>
          <w:rFonts w:ascii="Times New Roman" w:hAnsi="Times New Roman"/>
          <w:noProof/>
          <w:sz w:val="24"/>
        </w:rPr>
        <w:t xml:space="preserve">resie wspierania swoich przedsiębiorstw poprzez zmianę </w:t>
      </w:r>
      <w:r w:rsidRPr="00664FDB">
        <w:rPr>
          <w:rFonts w:ascii="Times New Roman" w:hAnsi="Times New Roman"/>
          <w:b/>
          <w:noProof/>
          <w:sz w:val="24"/>
        </w:rPr>
        <w:t>tymczasowych ram kryzysowych</w:t>
      </w:r>
      <w:r w:rsidRPr="00664FDB">
        <w:rPr>
          <w:rFonts w:ascii="Times New Roman" w:hAnsi="Times New Roman"/>
          <w:noProof/>
          <w:sz w:val="24"/>
        </w:rPr>
        <w:t xml:space="preserve"> przy jednoczesnym zachowaniu równych warunków działania. Limity czasowe udzielania wsparcia przez państwo zostaną przedłużone,</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w</w:t>
      </w:r>
      <w:r w:rsidR="00664FDB">
        <w:rPr>
          <w:rFonts w:ascii="Times New Roman" w:hAnsi="Times New Roman"/>
          <w:noProof/>
          <w:sz w:val="24"/>
        </w:rPr>
        <w:t> </w:t>
      </w:r>
      <w:r w:rsidR="00664FDB" w:rsidRPr="00664FDB">
        <w:rPr>
          <w:rFonts w:ascii="Times New Roman" w:hAnsi="Times New Roman"/>
          <w:noProof/>
          <w:sz w:val="24"/>
        </w:rPr>
        <w:t>cel</w:t>
      </w:r>
      <w:r w:rsidRPr="00664FDB">
        <w:rPr>
          <w:rFonts w:ascii="Times New Roman" w:hAnsi="Times New Roman"/>
          <w:noProof/>
          <w:sz w:val="24"/>
        </w:rPr>
        <w:t>u zapewnienia zgodności naszych krótkoterminowych działań</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nas</w:t>
      </w:r>
      <w:r w:rsidRPr="00664FDB">
        <w:rPr>
          <w:rFonts w:ascii="Times New Roman" w:hAnsi="Times New Roman"/>
          <w:noProof/>
          <w:sz w:val="24"/>
        </w:rPr>
        <w:t>zymi celami długoterminowymi zaproponowane zostaną nowe opcje umożliwiające państwom członkowskim wspieranie przedsiębiorstw, które zmniejszą swoje zapotrzebowanie na energię elektryczną. Ramy te zapewnią państwom członkowskim większe możliwości wspierania tych przedsiębiorstw, które tego wsparcia najbardziej potrzebują, przy jednoczesnym uproszczeniu niektórych wymogów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utr</w:t>
      </w:r>
      <w:r w:rsidRPr="00664FDB">
        <w:rPr>
          <w:rFonts w:ascii="Times New Roman" w:hAnsi="Times New Roman"/>
          <w:noProof/>
          <w:sz w:val="24"/>
        </w:rPr>
        <w:t>zymaniu równych warunków działania w UE. Komisja zapewni szybkie</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spó</w:t>
      </w:r>
      <w:r w:rsidRPr="00664FDB">
        <w:rPr>
          <w:rFonts w:ascii="Times New Roman" w:hAnsi="Times New Roman"/>
          <w:noProof/>
          <w:sz w:val="24"/>
        </w:rPr>
        <w:t>jne rozpatrywanie wszystkich wniosków państw członkowskich</w:t>
      </w:r>
      <w:r w:rsidR="00664FDB" w:rsidRPr="00664FDB">
        <w:rPr>
          <w:rFonts w:ascii="Times New Roman" w:hAnsi="Times New Roman"/>
          <w:noProof/>
          <w:sz w:val="24"/>
        </w:rPr>
        <w:t xml:space="preserve"> o</w:t>
      </w:r>
      <w:r w:rsidR="00664FDB">
        <w:rPr>
          <w:rFonts w:ascii="Times New Roman" w:hAnsi="Times New Roman"/>
          <w:noProof/>
          <w:sz w:val="24"/>
        </w:rPr>
        <w:t> </w:t>
      </w:r>
      <w:r w:rsidR="00664FDB" w:rsidRPr="00664FDB">
        <w:rPr>
          <w:rFonts w:ascii="Times New Roman" w:hAnsi="Times New Roman"/>
          <w:noProof/>
          <w:sz w:val="24"/>
        </w:rPr>
        <w:t>tym</w:t>
      </w:r>
      <w:r w:rsidRPr="00664FDB">
        <w:rPr>
          <w:rFonts w:ascii="Times New Roman" w:hAnsi="Times New Roman"/>
          <w:noProof/>
          <w:sz w:val="24"/>
        </w:rPr>
        <w:t>czasowe wsparcie.</w:t>
      </w:r>
    </w:p>
    <w:p w14:paraId="189F2F5D" w14:textId="63A8C874" w:rsidR="002139B7" w:rsidRPr="00664FDB" w:rsidRDefault="000F1991" w:rsidP="000F1991">
      <w:pPr>
        <w:pStyle w:val="paragraph"/>
        <w:spacing w:before="0" w:beforeAutospacing="0" w:after="0" w:afterAutospacing="0"/>
        <w:jc w:val="both"/>
        <w:textAlignment w:val="baseline"/>
        <w:rPr>
          <w:rStyle w:val="normaltextrun"/>
          <w:noProof/>
        </w:rPr>
      </w:pPr>
      <w:r w:rsidRPr="00664FDB">
        <w:rPr>
          <w:rStyle w:val="normaltextrun"/>
          <w:noProof/>
        </w:rPr>
        <w:t>Zasadnicze znaczenie dla kontynuowania działalności przez przedsiębiorstwa energetyczne mają rynki instrumentów pochodnych. Gwałtowne skoki cen</w:t>
      </w:r>
      <w:r w:rsidR="00664FDB" w:rsidRPr="00664FDB">
        <w:rPr>
          <w:rStyle w:val="normaltextrun"/>
          <w:noProof/>
        </w:rPr>
        <w:t xml:space="preserve"> i</w:t>
      </w:r>
      <w:r w:rsidR="00664FDB">
        <w:rPr>
          <w:rStyle w:val="normaltextrun"/>
          <w:noProof/>
        </w:rPr>
        <w:t> </w:t>
      </w:r>
      <w:r w:rsidR="00664FDB" w:rsidRPr="00664FDB">
        <w:rPr>
          <w:rStyle w:val="normaltextrun"/>
          <w:noProof/>
        </w:rPr>
        <w:t>skr</w:t>
      </w:r>
      <w:r w:rsidRPr="00664FDB">
        <w:rPr>
          <w:rStyle w:val="normaltextrun"/>
          <w:noProof/>
        </w:rPr>
        <w:t>ajne wahania na rynkach instrumentów pochodnych</w:t>
      </w:r>
      <w:r w:rsidR="00664FDB" w:rsidRPr="00664FDB">
        <w:rPr>
          <w:rStyle w:val="normaltextrun"/>
          <w:noProof/>
        </w:rPr>
        <w:t xml:space="preserve"> w</w:t>
      </w:r>
      <w:r w:rsidR="00664FDB">
        <w:rPr>
          <w:rStyle w:val="normaltextrun"/>
          <w:noProof/>
        </w:rPr>
        <w:t> </w:t>
      </w:r>
      <w:r w:rsidR="00664FDB" w:rsidRPr="00664FDB">
        <w:rPr>
          <w:rStyle w:val="normaltextrun"/>
          <w:noProof/>
        </w:rPr>
        <w:t>dzi</w:t>
      </w:r>
      <w:r w:rsidRPr="00664FDB">
        <w:rPr>
          <w:rStyle w:val="normaltextrun"/>
          <w:noProof/>
        </w:rPr>
        <w:t>edzinie energii doprowadziły jednak do problemów</w:t>
      </w:r>
      <w:r w:rsidR="00664FDB" w:rsidRPr="00664FDB">
        <w:rPr>
          <w:rStyle w:val="normaltextrun"/>
          <w:noProof/>
        </w:rPr>
        <w:t xml:space="preserve"> z</w:t>
      </w:r>
      <w:r w:rsidR="00664FDB">
        <w:rPr>
          <w:rStyle w:val="normaltextrun"/>
          <w:noProof/>
        </w:rPr>
        <w:t> </w:t>
      </w:r>
      <w:r w:rsidR="00664FDB" w:rsidRPr="00664FDB">
        <w:rPr>
          <w:rStyle w:val="normaltextrun"/>
          <w:b/>
          <w:noProof/>
        </w:rPr>
        <w:t>pły</w:t>
      </w:r>
      <w:r w:rsidRPr="00664FDB">
        <w:rPr>
          <w:rStyle w:val="normaltextrun"/>
          <w:b/>
          <w:noProof/>
        </w:rPr>
        <w:t>nnością</w:t>
      </w:r>
      <w:r w:rsidRPr="00664FDB">
        <w:rPr>
          <w:rStyle w:val="normaltextrun"/>
          <w:noProof/>
        </w:rPr>
        <w:t xml:space="preserve"> wśród przedsiębiorstw energetycznych. Jest sprawą najwyższej wagi, by zapewnić naszym przedsiębiorstwom energetycznym dodatkowe pole manewru, tak aby mogły one zabezpieczyć dostawy</w:t>
      </w:r>
      <w:r w:rsidR="00664FDB" w:rsidRPr="00664FDB">
        <w:rPr>
          <w:rStyle w:val="normaltextrun"/>
          <w:noProof/>
        </w:rPr>
        <w:t xml:space="preserve"> i</w:t>
      </w:r>
      <w:r w:rsidR="00664FDB">
        <w:rPr>
          <w:rStyle w:val="normaltextrun"/>
          <w:noProof/>
        </w:rPr>
        <w:t> </w:t>
      </w:r>
      <w:r w:rsidR="00664FDB" w:rsidRPr="00664FDB">
        <w:rPr>
          <w:rStyle w:val="normaltextrun"/>
          <w:noProof/>
        </w:rPr>
        <w:t>zak</w:t>
      </w:r>
      <w:r w:rsidRPr="00664FDB">
        <w:rPr>
          <w:rStyle w:val="normaltextrun"/>
          <w:noProof/>
        </w:rPr>
        <w:t>upy surowców energetycznych</w:t>
      </w:r>
      <w:r w:rsidR="00664FDB" w:rsidRPr="00664FDB">
        <w:rPr>
          <w:rStyle w:val="normaltextrun"/>
          <w:noProof/>
        </w:rPr>
        <w:t xml:space="preserve"> w</w:t>
      </w:r>
      <w:r w:rsidR="00664FDB">
        <w:rPr>
          <w:rStyle w:val="normaltextrun"/>
          <w:noProof/>
        </w:rPr>
        <w:t> </w:t>
      </w:r>
      <w:r w:rsidR="00664FDB" w:rsidRPr="00664FDB">
        <w:rPr>
          <w:rStyle w:val="normaltextrun"/>
          <w:noProof/>
        </w:rPr>
        <w:t>per</w:t>
      </w:r>
      <w:r w:rsidRPr="00664FDB">
        <w:rPr>
          <w:rStyle w:val="normaltextrun"/>
          <w:noProof/>
        </w:rPr>
        <w:t>spektywie średnioterminowej. Dlatego też zgodnie</w:t>
      </w:r>
      <w:r w:rsidR="00664FDB" w:rsidRPr="00664FDB">
        <w:rPr>
          <w:rStyle w:val="normaltextrun"/>
          <w:noProof/>
        </w:rPr>
        <w:t xml:space="preserve"> z</w:t>
      </w:r>
      <w:r w:rsidR="00664FDB">
        <w:rPr>
          <w:rStyle w:val="normaltextrun"/>
          <w:noProof/>
        </w:rPr>
        <w:t> </w:t>
      </w:r>
      <w:r w:rsidR="00664FDB" w:rsidRPr="00664FDB">
        <w:rPr>
          <w:rStyle w:val="normaltextrun"/>
          <w:noProof/>
        </w:rPr>
        <w:t>opi</w:t>
      </w:r>
      <w:r w:rsidRPr="00664FDB">
        <w:rPr>
          <w:rStyle w:val="normaltextrun"/>
          <w:noProof/>
        </w:rPr>
        <w:t>nią Europejskiego Urzędu Nadzoru Giełd</w:t>
      </w:r>
      <w:r w:rsidR="00664FDB" w:rsidRPr="00664FDB">
        <w:rPr>
          <w:rStyle w:val="normaltextrun"/>
          <w:noProof/>
        </w:rPr>
        <w:t xml:space="preserve"> i</w:t>
      </w:r>
      <w:r w:rsidR="00664FDB">
        <w:rPr>
          <w:rStyle w:val="normaltextrun"/>
          <w:noProof/>
        </w:rPr>
        <w:t> </w:t>
      </w:r>
      <w:r w:rsidR="00664FDB" w:rsidRPr="00664FDB">
        <w:rPr>
          <w:rStyle w:val="normaltextrun"/>
          <w:noProof/>
        </w:rPr>
        <w:t>Pap</w:t>
      </w:r>
      <w:r w:rsidRPr="00664FDB">
        <w:rPr>
          <w:rStyle w:val="normaltextrun"/>
          <w:noProof/>
        </w:rPr>
        <w:t xml:space="preserve">ierów Wartościowych (ESMA) Komisja przyjmuje dwa rozporządzenia delegowane, aby złagodzić wzmożoną presję na płynność uczestników rynku niefinansowego wynikającą ze zwiększonych wymogów dotyczących depozytu zabezpieczającego. </w:t>
      </w:r>
    </w:p>
    <w:p w14:paraId="2DE8D489" w14:textId="77777777" w:rsidR="002139B7" w:rsidRPr="00664FDB" w:rsidRDefault="002139B7" w:rsidP="000F1991">
      <w:pPr>
        <w:pStyle w:val="paragraph"/>
        <w:spacing w:before="0" w:beforeAutospacing="0" w:after="0" w:afterAutospacing="0"/>
        <w:jc w:val="both"/>
        <w:textAlignment w:val="baseline"/>
        <w:rPr>
          <w:rStyle w:val="normaltextrun"/>
          <w:noProof/>
        </w:rPr>
      </w:pPr>
    </w:p>
    <w:p w14:paraId="582E45C3" w14:textId="3B3B1912" w:rsidR="000F1991" w:rsidRPr="00664FDB" w:rsidRDefault="000F1991" w:rsidP="000F1991">
      <w:pPr>
        <w:pStyle w:val="paragraph"/>
        <w:spacing w:before="0" w:beforeAutospacing="0" w:after="0" w:afterAutospacing="0"/>
        <w:jc w:val="both"/>
        <w:textAlignment w:val="baseline"/>
        <w:rPr>
          <w:noProof/>
        </w:rPr>
      </w:pPr>
      <w:r w:rsidRPr="00664FDB">
        <w:rPr>
          <w:rStyle w:val="normaltextrun"/>
          <w:noProof/>
        </w:rPr>
        <w:t>Rozporządzenia te:</w:t>
      </w:r>
    </w:p>
    <w:p w14:paraId="02373A50" w14:textId="49FC63FD" w:rsidR="000F1991" w:rsidRPr="00664FDB" w:rsidRDefault="000F1991" w:rsidP="4031E0F3">
      <w:pPr>
        <w:pStyle w:val="paragraph"/>
        <w:numPr>
          <w:ilvl w:val="0"/>
          <w:numId w:val="12"/>
        </w:numPr>
        <w:spacing w:before="0" w:beforeAutospacing="0" w:after="0" w:afterAutospacing="0"/>
        <w:ind w:left="1080" w:firstLine="0"/>
        <w:jc w:val="both"/>
        <w:textAlignment w:val="baseline"/>
        <w:rPr>
          <w:rStyle w:val="normaltextrun"/>
          <w:noProof/>
        </w:rPr>
      </w:pPr>
      <w:r w:rsidRPr="00664FDB">
        <w:rPr>
          <w:rStyle w:val="normaltextrun"/>
          <w:noProof/>
        </w:rPr>
        <w:t>podniosą próg wiążący się</w:t>
      </w:r>
      <w:r w:rsidR="00664FDB" w:rsidRPr="00664FDB">
        <w:rPr>
          <w:rStyle w:val="normaltextrun"/>
          <w:noProof/>
        </w:rPr>
        <w:t xml:space="preserve"> z</w:t>
      </w:r>
      <w:r w:rsidR="00664FDB">
        <w:rPr>
          <w:rStyle w:val="normaltextrun"/>
          <w:noProof/>
        </w:rPr>
        <w:t> </w:t>
      </w:r>
      <w:r w:rsidR="00664FDB" w:rsidRPr="00664FDB">
        <w:rPr>
          <w:rStyle w:val="normaltextrun"/>
          <w:noProof/>
        </w:rPr>
        <w:t>obo</w:t>
      </w:r>
      <w:r w:rsidRPr="00664FDB">
        <w:rPr>
          <w:rStyle w:val="normaltextrun"/>
          <w:noProof/>
        </w:rPr>
        <w:t>wiązkiem rozliczania dla kontrahentów niefinansowych do</w:t>
      </w:r>
      <w:r w:rsidR="00664FDB" w:rsidRPr="00664FDB">
        <w:rPr>
          <w:rStyle w:val="normaltextrun"/>
          <w:noProof/>
        </w:rPr>
        <w:t> </w:t>
      </w:r>
      <w:r w:rsidRPr="00664FDB">
        <w:rPr>
          <w:rStyle w:val="normaltextrun"/>
          <w:noProof/>
        </w:rPr>
        <w:t>4 mld EUR</w:t>
      </w:r>
      <w:r w:rsidRPr="00664FDB">
        <w:rPr>
          <w:rStyle w:val="FootnoteReference"/>
          <w:noProof/>
          <w:sz w:val="19"/>
          <w:szCs w:val="19"/>
        </w:rPr>
        <w:footnoteReference w:id="7"/>
      </w:r>
      <w:r w:rsidRPr="00664FDB">
        <w:rPr>
          <w:rStyle w:val="normaltextrun"/>
          <w:noProof/>
        </w:rPr>
        <w:t>. Poniżej tego progu kontrahenci niefinansowi nie będą podlegać wymogom dotyczącym depozytu zabezpieczającego</w:t>
      </w:r>
      <w:r w:rsidR="00664FDB" w:rsidRPr="00664FDB">
        <w:rPr>
          <w:rStyle w:val="normaltextrun"/>
          <w:noProof/>
        </w:rPr>
        <w:t xml:space="preserve"> w</w:t>
      </w:r>
      <w:r w:rsidR="00664FDB">
        <w:rPr>
          <w:rStyle w:val="normaltextrun"/>
          <w:noProof/>
        </w:rPr>
        <w:t> </w:t>
      </w:r>
      <w:r w:rsidR="00664FDB" w:rsidRPr="00664FDB">
        <w:rPr>
          <w:rStyle w:val="normaltextrun"/>
          <w:noProof/>
        </w:rPr>
        <w:t>odn</w:t>
      </w:r>
      <w:r w:rsidRPr="00664FDB">
        <w:rPr>
          <w:rStyle w:val="normaltextrun"/>
          <w:noProof/>
        </w:rPr>
        <w:t>iesieniu do posiadanych instrumentów pochodnych</w:t>
      </w:r>
      <w:r w:rsidR="00664FDB" w:rsidRPr="00664FDB">
        <w:rPr>
          <w:rStyle w:val="normaltextrun"/>
          <w:noProof/>
        </w:rPr>
        <w:t xml:space="preserve"> w</w:t>
      </w:r>
      <w:r w:rsidR="00664FDB">
        <w:rPr>
          <w:rStyle w:val="normaltextrun"/>
          <w:noProof/>
        </w:rPr>
        <w:t> </w:t>
      </w:r>
      <w:r w:rsidR="00664FDB" w:rsidRPr="00664FDB">
        <w:rPr>
          <w:rStyle w:val="normaltextrun"/>
          <w:noProof/>
        </w:rPr>
        <w:t>dzi</w:t>
      </w:r>
      <w:r w:rsidRPr="00664FDB">
        <w:rPr>
          <w:rStyle w:val="normaltextrun"/>
          <w:noProof/>
        </w:rPr>
        <w:t xml:space="preserve">edzinie energii będących przedmiotem obrotu poza rynkiem regulowanym; </w:t>
      </w:r>
    </w:p>
    <w:p w14:paraId="1BC4B4D4" w14:textId="337EE206" w:rsidR="000F1991" w:rsidRPr="00664FDB" w:rsidRDefault="000F1991" w:rsidP="000F1991">
      <w:pPr>
        <w:pStyle w:val="paragraph"/>
        <w:numPr>
          <w:ilvl w:val="0"/>
          <w:numId w:val="12"/>
        </w:numPr>
        <w:spacing w:before="0" w:beforeAutospacing="0" w:after="0" w:afterAutospacing="0"/>
        <w:ind w:left="1080" w:firstLine="0"/>
        <w:jc w:val="both"/>
        <w:textAlignment w:val="baseline"/>
        <w:rPr>
          <w:rStyle w:val="normaltextrun"/>
          <w:noProof/>
        </w:rPr>
      </w:pPr>
      <w:r w:rsidRPr="00664FDB">
        <w:rPr>
          <w:rStyle w:val="normaltextrun"/>
          <w:noProof/>
        </w:rPr>
        <w:t>rozszerzą wykaz aktywów kwalifikowalnych, które kontrahenci centralni mogą akceptować</w:t>
      </w:r>
      <w:r w:rsidR="00664FDB" w:rsidRPr="00664FDB">
        <w:rPr>
          <w:rStyle w:val="normaltextrun"/>
          <w:noProof/>
        </w:rPr>
        <w:t xml:space="preserve"> w</w:t>
      </w:r>
      <w:r w:rsidR="00664FDB">
        <w:rPr>
          <w:rStyle w:val="normaltextrun"/>
          <w:noProof/>
        </w:rPr>
        <w:t> </w:t>
      </w:r>
      <w:r w:rsidR="00664FDB" w:rsidRPr="00664FDB">
        <w:rPr>
          <w:rStyle w:val="normaltextrun"/>
          <w:noProof/>
        </w:rPr>
        <w:t>cel</w:t>
      </w:r>
      <w:r w:rsidRPr="00664FDB">
        <w:rPr>
          <w:rStyle w:val="normaltextrun"/>
          <w:noProof/>
        </w:rPr>
        <w:t>u zabezpieczenia swoich ryzyk</w:t>
      </w:r>
      <w:r w:rsidRPr="00664FDB">
        <w:rPr>
          <w:rStyle w:val="FootnoteReference"/>
          <w:noProof/>
        </w:rPr>
        <w:footnoteReference w:id="8"/>
      </w:r>
      <w:r w:rsidRPr="00664FDB">
        <w:rPr>
          <w:rStyle w:val="normaltextrun"/>
          <w:noProof/>
        </w:rPr>
        <w:t xml:space="preserve"> przez okres jednego roku. Umożliwi to przedsiębiorstwom niefinansowym</w:t>
      </w:r>
      <w:r w:rsidRPr="00664FDB">
        <w:rPr>
          <w:rStyle w:val="FootnoteReference"/>
          <w:noProof/>
        </w:rPr>
        <w:footnoteReference w:id="9"/>
      </w:r>
      <w:r w:rsidRPr="00664FDB">
        <w:rPr>
          <w:rStyle w:val="normaltextrun"/>
          <w:noProof/>
        </w:rPr>
        <w:t xml:space="preserve"> oraz wszystkim uczestnikom rynku korzystanie – na określonych warunkach –</w:t>
      </w:r>
      <w:r w:rsidR="00664FDB" w:rsidRPr="00664FDB">
        <w:rPr>
          <w:rStyle w:val="normaltextrun"/>
          <w:noProof/>
        </w:rPr>
        <w:t xml:space="preserve"> z</w:t>
      </w:r>
      <w:r w:rsidR="00664FDB">
        <w:rPr>
          <w:rStyle w:val="normaltextrun"/>
          <w:noProof/>
        </w:rPr>
        <w:t> </w:t>
      </w:r>
      <w:r w:rsidR="00664FDB" w:rsidRPr="00664FDB">
        <w:rPr>
          <w:rStyle w:val="normaltextrun"/>
          <w:noProof/>
        </w:rPr>
        <w:t>dod</w:t>
      </w:r>
      <w:r w:rsidRPr="00664FDB">
        <w:rPr>
          <w:rStyle w:val="normaltextrun"/>
          <w:noProof/>
        </w:rPr>
        <w:t>atkowych rodzajów gwarancji</w:t>
      </w:r>
      <w:r w:rsidR="00664FDB" w:rsidRPr="00664FDB">
        <w:rPr>
          <w:rStyle w:val="normaltextrun"/>
          <w:noProof/>
        </w:rPr>
        <w:t xml:space="preserve"> w</w:t>
      </w:r>
      <w:r w:rsidR="00664FDB">
        <w:rPr>
          <w:rStyle w:val="normaltextrun"/>
          <w:noProof/>
        </w:rPr>
        <w:t> </w:t>
      </w:r>
      <w:r w:rsidR="00664FDB" w:rsidRPr="00664FDB">
        <w:rPr>
          <w:rStyle w:val="normaltextrun"/>
          <w:noProof/>
        </w:rPr>
        <w:t>cel</w:t>
      </w:r>
      <w:r w:rsidRPr="00664FDB">
        <w:rPr>
          <w:rStyle w:val="normaltextrun"/>
          <w:noProof/>
        </w:rPr>
        <w:t>u spełnienia wymogów wezwania do uzupełnienia depozytu zabezpieczającego</w:t>
      </w:r>
      <w:r w:rsidRPr="00664FDB">
        <w:rPr>
          <w:rStyle w:val="FootnoteReference"/>
          <w:noProof/>
        </w:rPr>
        <w:footnoteReference w:id="10"/>
      </w:r>
      <w:r w:rsidRPr="00664FDB">
        <w:rPr>
          <w:rStyle w:val="normaltextrun"/>
          <w:noProof/>
        </w:rPr>
        <w:t>.</w:t>
      </w:r>
    </w:p>
    <w:p w14:paraId="6459F179" w14:textId="77777777" w:rsidR="00641DC6" w:rsidRPr="00664FDB" w:rsidRDefault="00641DC6" w:rsidP="00641DC6">
      <w:pPr>
        <w:pStyle w:val="paragraph"/>
        <w:spacing w:before="0" w:beforeAutospacing="0" w:after="0" w:afterAutospacing="0"/>
        <w:ind w:left="1080"/>
        <w:jc w:val="both"/>
        <w:textAlignment w:val="baseline"/>
        <w:rPr>
          <w:noProof/>
        </w:rPr>
      </w:pPr>
    </w:p>
    <w:p w14:paraId="67BA4DD3" w14:textId="31A3AEF9" w:rsidR="0011369A" w:rsidRPr="00664FDB" w:rsidRDefault="0011369A" w:rsidP="0011369A">
      <w:pPr>
        <w:jc w:val="both"/>
        <w:rPr>
          <w:rStyle w:val="eop"/>
          <w:noProof/>
          <w:color w:val="000000"/>
          <w:shd w:val="clear" w:color="auto" w:fill="FFFFFF"/>
        </w:rPr>
      </w:pPr>
      <w:r w:rsidRPr="00664FDB">
        <w:rPr>
          <w:rFonts w:ascii="Times New Roman" w:hAnsi="Times New Roman"/>
          <w:noProof/>
          <w:sz w:val="24"/>
        </w:rPr>
        <w:t xml:space="preserve">Komisja proponuje również </w:t>
      </w:r>
      <w:r w:rsidRPr="00664FDB">
        <w:rPr>
          <w:rFonts w:ascii="Times New Roman" w:hAnsi="Times New Roman"/>
          <w:b/>
          <w:noProof/>
          <w:sz w:val="24"/>
        </w:rPr>
        <w:t>uelastycznienie ram polityki spójności na lata 2014–2020</w:t>
      </w:r>
      <w:r w:rsidRPr="00664FDB">
        <w:rPr>
          <w:rFonts w:ascii="Times New Roman" w:hAnsi="Times New Roman"/>
          <w:noProof/>
          <w:sz w:val="24"/>
        </w:rPr>
        <w:t>, które ma pomóc państwom członkowskim</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reg</w:t>
      </w:r>
      <w:r w:rsidRPr="00664FDB">
        <w:rPr>
          <w:rFonts w:ascii="Times New Roman" w:hAnsi="Times New Roman"/>
          <w:noProof/>
          <w:sz w:val="24"/>
        </w:rPr>
        <w:t>ionom</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sta</w:t>
      </w:r>
      <w:r w:rsidRPr="00664FDB">
        <w:rPr>
          <w:rFonts w:ascii="Times New Roman" w:hAnsi="Times New Roman"/>
          <w:noProof/>
          <w:sz w:val="24"/>
        </w:rPr>
        <w:t>wianiu czoła wyzwaniom wynikającym</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obe</w:t>
      </w:r>
      <w:r w:rsidRPr="00664FDB">
        <w:rPr>
          <w:rFonts w:ascii="Times New Roman" w:hAnsi="Times New Roman"/>
          <w:noProof/>
          <w:sz w:val="24"/>
        </w:rPr>
        <w:t>cnego kryzysu energetycznego za pomocą ukierunkowanych tymczasowych środków wyjątkowych, do maksymalnej wysokości 10 % środków przydzielonych państwom członkowskim</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wys</w:t>
      </w:r>
      <w:r w:rsidRPr="00664FDB">
        <w:rPr>
          <w:rFonts w:ascii="Times New Roman" w:hAnsi="Times New Roman"/>
          <w:noProof/>
          <w:sz w:val="24"/>
        </w:rPr>
        <w:t>okości blisko 40 mld EUR. Kwoty będą wypłacane</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zas</w:t>
      </w:r>
      <w:r w:rsidRPr="00664FDB">
        <w:rPr>
          <w:rFonts w:ascii="Times New Roman" w:hAnsi="Times New Roman"/>
          <w:noProof/>
          <w:sz w:val="24"/>
        </w:rPr>
        <w:t>trzeżeniem dostępności środków finansowych</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ram</w:t>
      </w:r>
      <w:r w:rsidRPr="00664FDB">
        <w:rPr>
          <w:rFonts w:ascii="Times New Roman" w:hAnsi="Times New Roman"/>
          <w:noProof/>
          <w:sz w:val="24"/>
        </w:rPr>
        <w:t>ach pułapów wieloletnich ram finansowych. Zapewni to wsparcie dla MŚP szczególnie dotkniętych wzrostem cen energii, pomoże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roz</w:t>
      </w:r>
      <w:r w:rsidRPr="00664FDB">
        <w:rPr>
          <w:rFonts w:ascii="Times New Roman" w:hAnsi="Times New Roman"/>
          <w:noProof/>
          <w:sz w:val="24"/>
        </w:rPr>
        <w:t>wiązaniu problemu ubóstwa energetycznego poprzez wsparcie dla gospodarstw domowych znajdujących się</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tru</w:t>
      </w:r>
      <w:r w:rsidRPr="00664FDB">
        <w:rPr>
          <w:rFonts w:ascii="Times New Roman" w:hAnsi="Times New Roman"/>
          <w:noProof/>
          <w:sz w:val="24"/>
        </w:rPr>
        <w:t>dnej sytuacji oraz zapewni wsparcie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zak</w:t>
      </w:r>
      <w:r w:rsidRPr="00664FDB">
        <w:rPr>
          <w:rFonts w:ascii="Times New Roman" w:hAnsi="Times New Roman"/>
          <w:noProof/>
          <w:sz w:val="24"/>
        </w:rPr>
        <w:t>resie dostępu do rynku pracy</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pos</w:t>
      </w:r>
      <w:r w:rsidRPr="00664FDB">
        <w:rPr>
          <w:rFonts w:ascii="Times New Roman" w:hAnsi="Times New Roman"/>
          <w:noProof/>
          <w:sz w:val="24"/>
        </w:rPr>
        <w:t>taci utrzymania miejsc pracy pracowników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osó</w:t>
      </w:r>
      <w:r w:rsidRPr="00664FDB">
        <w:rPr>
          <w:rFonts w:ascii="Times New Roman" w:hAnsi="Times New Roman"/>
          <w:noProof/>
          <w:sz w:val="24"/>
        </w:rPr>
        <w:t>b samozatrudnionych poprzez zatrudnienie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zmn</w:t>
      </w:r>
      <w:r w:rsidRPr="00664FDB">
        <w:rPr>
          <w:rFonts w:ascii="Times New Roman" w:hAnsi="Times New Roman"/>
          <w:noProof/>
          <w:sz w:val="24"/>
        </w:rPr>
        <w:t>iejszonym wymiarze czasu pracy</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sys</w:t>
      </w:r>
      <w:r w:rsidRPr="00664FDB">
        <w:rPr>
          <w:rFonts w:ascii="Times New Roman" w:hAnsi="Times New Roman"/>
          <w:noProof/>
          <w:sz w:val="24"/>
        </w:rPr>
        <w:t>temy równoważne.</w:t>
      </w:r>
      <w:r w:rsidRPr="00664FDB">
        <w:rPr>
          <w:rStyle w:val="eop"/>
          <w:noProof/>
          <w:color w:val="000000"/>
          <w:shd w:val="clear" w:color="auto" w:fill="FFFFFF"/>
        </w:rPr>
        <w:t xml:space="preserve"> </w:t>
      </w:r>
    </w:p>
    <w:p w14:paraId="272591D9" w14:textId="5B354AD9" w:rsidR="0048133A" w:rsidRPr="00664FDB" w:rsidRDefault="0048133A" w:rsidP="005C70CB">
      <w:pPr>
        <w:jc w:val="both"/>
        <w:rPr>
          <w:rFonts w:ascii="Times New Roman" w:eastAsia="Times New Roman" w:hAnsi="Times New Roman" w:cs="Times New Roman"/>
          <w:noProof/>
          <w:sz w:val="24"/>
          <w:szCs w:val="24"/>
        </w:rPr>
      </w:pPr>
      <w:r w:rsidRPr="00664FDB">
        <w:rPr>
          <w:rFonts w:ascii="Times New Roman" w:hAnsi="Times New Roman"/>
          <w:noProof/>
          <w:sz w:val="24"/>
        </w:rPr>
        <w:t>Przezwyciężenie kryzysu energetycznego wymaga ochrony podstaw naszej gospodarki,</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w</w:t>
      </w:r>
      <w:r w:rsidR="00664FDB">
        <w:rPr>
          <w:rFonts w:ascii="Times New Roman" w:hAnsi="Times New Roman"/>
          <w:noProof/>
          <w:sz w:val="24"/>
        </w:rPr>
        <w:t> </w:t>
      </w:r>
      <w:r w:rsidR="00664FDB" w:rsidRPr="00664FDB">
        <w:rPr>
          <w:rFonts w:ascii="Times New Roman" w:hAnsi="Times New Roman"/>
          <w:noProof/>
          <w:sz w:val="24"/>
        </w:rPr>
        <w:t>szc</w:t>
      </w:r>
      <w:r w:rsidRPr="00664FDB">
        <w:rPr>
          <w:rFonts w:ascii="Times New Roman" w:hAnsi="Times New Roman"/>
          <w:noProof/>
          <w:sz w:val="24"/>
        </w:rPr>
        <w:t>zególności ochrony naszego jednolitego rynku</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wys</w:t>
      </w:r>
      <w:r w:rsidRPr="00664FDB">
        <w:rPr>
          <w:rFonts w:ascii="Times New Roman" w:hAnsi="Times New Roman"/>
          <w:noProof/>
          <w:sz w:val="24"/>
        </w:rPr>
        <w:t>okiego poziomu zatrudnienia. Jednolite</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wsp</w:t>
      </w:r>
      <w:r w:rsidRPr="00664FDB">
        <w:rPr>
          <w:rFonts w:ascii="Times New Roman" w:hAnsi="Times New Roman"/>
          <w:noProof/>
          <w:sz w:val="24"/>
        </w:rPr>
        <w:t>ólne europejskie podejście ma ogromne znaczenie dla przeciwdziałania poważnemu ryzyku fragmentacji Unii.</w:t>
      </w:r>
    </w:p>
    <w:p w14:paraId="46D9A0C8" w14:textId="7E829285" w:rsidR="00A70FEA" w:rsidRPr="00664FDB" w:rsidRDefault="0048133A" w:rsidP="002A769B">
      <w:pPr>
        <w:jc w:val="both"/>
        <w:rPr>
          <w:rFonts w:ascii="Times New Roman" w:eastAsia="Times New Roman" w:hAnsi="Times New Roman" w:cs="Times New Roman"/>
          <w:noProof/>
          <w:sz w:val="24"/>
          <w:szCs w:val="24"/>
        </w:rPr>
      </w:pPr>
      <w:bookmarkStart w:id="7" w:name="_Hlk116911450"/>
      <w:r w:rsidRPr="00664FDB">
        <w:rPr>
          <w:rFonts w:ascii="Times New Roman" w:hAnsi="Times New Roman"/>
          <w:noProof/>
          <w:sz w:val="24"/>
        </w:rPr>
        <w:t>Konkretnie rzecz ujmując, przyspieszenie odchodzenia od rosyjskich paliw kopalnych wymaga ponownej oceny środków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tem</w:t>
      </w:r>
      <w:r w:rsidRPr="00664FDB">
        <w:rPr>
          <w:rFonts w:ascii="Times New Roman" w:hAnsi="Times New Roman"/>
          <w:noProof/>
          <w:sz w:val="24"/>
        </w:rPr>
        <w:t>pa transformacji zaproponowanych w RePowerEU. Komisja przeprowadzi zatem ocenę potrzeb</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odn</w:t>
      </w:r>
      <w:r w:rsidRPr="00664FDB">
        <w:rPr>
          <w:rFonts w:ascii="Times New Roman" w:hAnsi="Times New Roman"/>
          <w:noProof/>
          <w:sz w:val="24"/>
        </w:rPr>
        <w:t>iesieniu do REPowerEU. Ocena ta obejmie inwestycje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inf</w:t>
      </w:r>
      <w:r w:rsidRPr="00664FDB">
        <w:rPr>
          <w:rFonts w:ascii="Times New Roman" w:hAnsi="Times New Roman"/>
          <w:noProof/>
          <w:sz w:val="24"/>
        </w:rPr>
        <w:t>rastrukturę transgraniczną,</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tym w</w:t>
      </w:r>
      <w:r w:rsidR="00664FDB">
        <w:rPr>
          <w:rFonts w:ascii="Times New Roman" w:hAnsi="Times New Roman"/>
          <w:noProof/>
          <w:sz w:val="24"/>
        </w:rPr>
        <w:t> </w:t>
      </w:r>
      <w:r w:rsidR="00664FDB" w:rsidRPr="00664FDB">
        <w:rPr>
          <w:rFonts w:ascii="Times New Roman" w:hAnsi="Times New Roman"/>
          <w:noProof/>
          <w:sz w:val="24"/>
        </w:rPr>
        <w:t>klu</w:t>
      </w:r>
      <w:r w:rsidRPr="00664FDB">
        <w:rPr>
          <w:rFonts w:ascii="Times New Roman" w:hAnsi="Times New Roman"/>
          <w:noProof/>
          <w:sz w:val="24"/>
        </w:rPr>
        <w:t>czowe ogólnoeuropejskie połączenia międzysystemowe</w:t>
      </w:r>
      <w:r w:rsidRPr="00664FDB">
        <w:rPr>
          <w:rStyle w:val="FootnoteReference"/>
          <w:rFonts w:ascii="Times New Roman" w:eastAsia="Times New Roman" w:hAnsi="Times New Roman" w:cs="Times New Roman"/>
          <w:noProof/>
          <w:sz w:val="24"/>
          <w:szCs w:val="24"/>
        </w:rPr>
        <w:footnoteReference w:id="11"/>
      </w:r>
      <w:r w:rsidRPr="00664FDB">
        <w:rPr>
          <w:rFonts w:ascii="Times New Roman" w:hAnsi="Times New Roman"/>
          <w:noProof/>
          <w:sz w:val="24"/>
        </w:rPr>
        <w:t>, magazynowanie energii, efektywność energetyczną</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odn</w:t>
      </w:r>
      <w:r w:rsidRPr="00664FDB">
        <w:rPr>
          <w:rFonts w:ascii="Times New Roman" w:hAnsi="Times New Roman"/>
          <w:noProof/>
          <w:sz w:val="24"/>
        </w:rPr>
        <w:t>awialne źródła energii, które są niezbędne do przyspieszenia przejścia na czystą energię</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uni</w:t>
      </w:r>
      <w:r w:rsidRPr="00664FDB">
        <w:rPr>
          <w:rFonts w:ascii="Times New Roman" w:hAnsi="Times New Roman"/>
          <w:noProof/>
          <w:sz w:val="24"/>
        </w:rPr>
        <w:t>knięcia fragmentacji jednolitego rynku. Komisja zbada również zdolność absorpcyjną inwestycji. Wyniki tej oceny będą stanowiły podstawę wniosków Komisji dotyczących zwiększenia zaangażowania finansowego UE w REPowerEU</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cel</w:t>
      </w:r>
      <w:r w:rsidRPr="00664FDB">
        <w:rPr>
          <w:rFonts w:ascii="Times New Roman" w:hAnsi="Times New Roman"/>
          <w:noProof/>
          <w:sz w:val="24"/>
        </w:rPr>
        <w:t>u zapewnienia konkurencyjności europejskiego przemysłu</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nie</w:t>
      </w:r>
      <w:r w:rsidRPr="00664FDB">
        <w:rPr>
          <w:rFonts w:ascii="Times New Roman" w:hAnsi="Times New Roman"/>
          <w:noProof/>
          <w:sz w:val="24"/>
        </w:rPr>
        <w:t>zależności energetycznej</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cał</w:t>
      </w:r>
      <w:r w:rsidRPr="00664FDB">
        <w:rPr>
          <w:rFonts w:ascii="Times New Roman" w:hAnsi="Times New Roman"/>
          <w:noProof/>
          <w:sz w:val="24"/>
        </w:rPr>
        <w:t>ej UE.</w:t>
      </w:r>
    </w:p>
    <w:bookmarkEnd w:id="7"/>
    <w:p w14:paraId="4163326E" w14:textId="77777777" w:rsidR="00A70FEA" w:rsidRPr="00664FDB" w:rsidRDefault="00A70FEA" w:rsidP="005B4FA2">
      <w:pPr>
        <w:spacing w:line="257" w:lineRule="auto"/>
        <w:jc w:val="both"/>
        <w:rPr>
          <w:rFonts w:ascii="Times New Roman" w:eastAsia="Times New Roman" w:hAnsi="Times New Roman" w:cs="Times New Roman"/>
          <w:noProof/>
          <w:sz w:val="24"/>
          <w:szCs w:val="24"/>
        </w:rPr>
      </w:pPr>
    </w:p>
    <w:p w14:paraId="7DF3AF44" w14:textId="1C73DBB3" w:rsidR="00935996" w:rsidRPr="00664FDB" w:rsidRDefault="00C8206D" w:rsidP="00D84933">
      <w:pPr>
        <w:pStyle w:val="ListParagraph"/>
        <w:numPr>
          <w:ilvl w:val="0"/>
          <w:numId w:val="9"/>
        </w:numPr>
        <w:spacing w:line="257" w:lineRule="auto"/>
        <w:jc w:val="both"/>
        <w:rPr>
          <w:rFonts w:ascii="Times New Roman" w:eastAsia="Times New Roman" w:hAnsi="Times New Roman" w:cs="Times New Roman"/>
          <w:b/>
          <w:bCs/>
          <w:smallCaps/>
          <w:noProof/>
          <w:sz w:val="24"/>
          <w:szCs w:val="24"/>
        </w:rPr>
      </w:pPr>
      <w:r w:rsidRPr="00664FDB">
        <w:rPr>
          <w:rFonts w:ascii="Times New Roman" w:hAnsi="Times New Roman"/>
          <w:b/>
          <w:smallCaps/>
          <w:noProof/>
          <w:sz w:val="24"/>
        </w:rPr>
        <w:t>Ochrona</w:t>
      </w:r>
      <w:r w:rsidR="00664FDB" w:rsidRPr="00664FDB">
        <w:rPr>
          <w:rFonts w:ascii="Times New Roman" w:hAnsi="Times New Roman"/>
          <w:b/>
          <w:smallCaps/>
          <w:noProof/>
          <w:sz w:val="24"/>
        </w:rPr>
        <w:t xml:space="preserve"> i</w:t>
      </w:r>
      <w:r w:rsidR="00664FDB">
        <w:rPr>
          <w:rFonts w:ascii="Times New Roman" w:hAnsi="Times New Roman"/>
          <w:b/>
          <w:smallCaps/>
          <w:noProof/>
          <w:sz w:val="24"/>
        </w:rPr>
        <w:t> </w:t>
      </w:r>
      <w:r w:rsidR="00664FDB" w:rsidRPr="00664FDB">
        <w:rPr>
          <w:rFonts w:ascii="Times New Roman" w:hAnsi="Times New Roman"/>
          <w:b/>
          <w:smallCaps/>
          <w:noProof/>
          <w:sz w:val="24"/>
        </w:rPr>
        <w:t>opt</w:t>
      </w:r>
      <w:r w:rsidRPr="00664FDB">
        <w:rPr>
          <w:rFonts w:ascii="Times New Roman" w:hAnsi="Times New Roman"/>
          <w:b/>
          <w:smallCaps/>
          <w:noProof/>
          <w:sz w:val="24"/>
        </w:rPr>
        <w:t>ymalizacja infrastruktury</w:t>
      </w:r>
    </w:p>
    <w:p w14:paraId="0897C123" w14:textId="54CE7574" w:rsidR="00EF56D5" w:rsidRPr="00664FDB" w:rsidRDefault="00A36B24" w:rsidP="00EF56D5">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Wyposażenie UE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nar</w:t>
      </w:r>
      <w:r w:rsidRPr="00664FDB">
        <w:rPr>
          <w:rFonts w:ascii="Times New Roman" w:hAnsi="Times New Roman"/>
          <w:noProof/>
          <w:sz w:val="24"/>
        </w:rPr>
        <w:t>zędzia pozwalające reagować na zmieniający się krajobraz zagrożeń wymaga stałej czujności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dos</w:t>
      </w:r>
      <w:r w:rsidRPr="00664FDB">
        <w:rPr>
          <w:rFonts w:ascii="Times New Roman" w:hAnsi="Times New Roman"/>
          <w:noProof/>
          <w:sz w:val="24"/>
        </w:rPr>
        <w:t>tosowania się. Wojna napastnicza Rosji przeciwko Ukrainie przyniosła ze sobą szereg nowych zagrożeń, występujących nierzadko</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for</w:t>
      </w:r>
      <w:r w:rsidRPr="00664FDB">
        <w:rPr>
          <w:rFonts w:ascii="Times New Roman" w:hAnsi="Times New Roman"/>
          <w:noProof/>
          <w:sz w:val="24"/>
        </w:rPr>
        <w:t>mie hybrydowej. Jednym</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nic</w:t>
      </w:r>
      <w:r w:rsidRPr="00664FDB">
        <w:rPr>
          <w:rFonts w:ascii="Times New Roman" w:hAnsi="Times New Roman"/>
          <w:noProof/>
          <w:sz w:val="24"/>
        </w:rPr>
        <w:t>h jest ryzyko dla infrastruktury krytycznej</w:t>
      </w:r>
      <w:r w:rsidR="00664FDB" w:rsidRPr="00664FDB">
        <w:rPr>
          <w:rFonts w:ascii="Times New Roman" w:hAnsi="Times New Roman"/>
          <w:noProof/>
          <w:sz w:val="24"/>
        </w:rPr>
        <w:t xml:space="preserve"> o</w:t>
      </w:r>
      <w:r w:rsidR="00664FDB">
        <w:rPr>
          <w:rFonts w:ascii="Times New Roman" w:hAnsi="Times New Roman"/>
          <w:noProof/>
          <w:sz w:val="24"/>
        </w:rPr>
        <w:t> </w:t>
      </w:r>
      <w:r w:rsidR="00664FDB" w:rsidRPr="00664FDB">
        <w:rPr>
          <w:rFonts w:ascii="Times New Roman" w:hAnsi="Times New Roman"/>
          <w:noProof/>
          <w:sz w:val="24"/>
        </w:rPr>
        <w:t>zna</w:t>
      </w:r>
      <w:r w:rsidRPr="00664FDB">
        <w:rPr>
          <w:rFonts w:ascii="Times New Roman" w:hAnsi="Times New Roman"/>
          <w:noProof/>
          <w:sz w:val="24"/>
        </w:rPr>
        <w:t xml:space="preserve">czeniu europejskim. Stało się to jaskrawo widoczne na przykładzie domniemanego sabotażu gazociągów Nord Stream. </w:t>
      </w:r>
    </w:p>
    <w:p w14:paraId="40D911E3" w14:textId="4E42325E" w:rsidR="00EF56D5" w:rsidRPr="00664FDB" w:rsidRDefault="00EF56D5" w:rsidP="00EF56D5">
      <w:pPr>
        <w:jc w:val="both"/>
        <w:rPr>
          <w:rFonts w:ascii="Times New Roman" w:eastAsia="Times New Roman" w:hAnsi="Times New Roman" w:cs="Times New Roman"/>
          <w:noProof/>
          <w:sz w:val="24"/>
          <w:szCs w:val="24"/>
        </w:rPr>
      </w:pPr>
      <w:r w:rsidRPr="00664FDB">
        <w:rPr>
          <w:rFonts w:ascii="Times New Roman" w:hAnsi="Times New Roman"/>
          <w:noProof/>
          <w:sz w:val="24"/>
        </w:rPr>
        <w:t>Po eksplozjach, jakie wydarzyły się na gazociągu, Komisja zapowiedziała już działania mające na celu poprawę bezpieczeństwa infrastruktury krytycznej</w:t>
      </w:r>
      <w:r w:rsidR="00664FDB" w:rsidRPr="00664FDB">
        <w:rPr>
          <w:rFonts w:ascii="Times New Roman" w:hAnsi="Times New Roman"/>
          <w:noProof/>
          <w:sz w:val="24"/>
        </w:rPr>
        <w:t>. W</w:t>
      </w:r>
      <w:r w:rsidR="00664FDB">
        <w:rPr>
          <w:rFonts w:ascii="Times New Roman" w:hAnsi="Times New Roman"/>
          <w:noProof/>
          <w:sz w:val="24"/>
        </w:rPr>
        <w:t> </w:t>
      </w:r>
      <w:r w:rsidR="00664FDB" w:rsidRPr="00664FDB">
        <w:rPr>
          <w:rFonts w:ascii="Times New Roman" w:hAnsi="Times New Roman"/>
          <w:noProof/>
          <w:sz w:val="24"/>
        </w:rPr>
        <w:t>zwi</w:t>
      </w:r>
      <w:r w:rsidRPr="00664FDB">
        <w:rPr>
          <w:rFonts w:ascii="Times New Roman" w:hAnsi="Times New Roman"/>
          <w:noProof/>
          <w:sz w:val="24"/>
        </w:rPr>
        <w:t>ązku</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tym</w:t>
      </w:r>
      <w:r w:rsidRPr="00664FDB">
        <w:rPr>
          <w:rFonts w:ascii="Times New Roman" w:hAnsi="Times New Roman"/>
          <w:noProof/>
          <w:sz w:val="24"/>
        </w:rPr>
        <w:t xml:space="preserve"> Komisja przedkłada dziś wniosek dotyczący zalecenia Rady</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spr</w:t>
      </w:r>
      <w:r w:rsidRPr="00664FDB">
        <w:rPr>
          <w:rFonts w:ascii="Times New Roman" w:hAnsi="Times New Roman"/>
          <w:noProof/>
          <w:sz w:val="24"/>
        </w:rPr>
        <w:t>awie zintensyfikowania wsparcia UE na rzecz zwiększenia odporności infrastruktury krytycznej oraz zapewnienia koordynacji na szczeblu UE, jeśli chodzi</w:t>
      </w:r>
      <w:r w:rsidR="00664FDB" w:rsidRPr="00664FDB">
        <w:rPr>
          <w:rFonts w:ascii="Times New Roman" w:hAnsi="Times New Roman"/>
          <w:noProof/>
          <w:sz w:val="24"/>
        </w:rPr>
        <w:t xml:space="preserve"> o</w:t>
      </w:r>
      <w:r w:rsidR="00664FDB">
        <w:rPr>
          <w:rFonts w:ascii="Times New Roman" w:hAnsi="Times New Roman"/>
          <w:noProof/>
          <w:sz w:val="24"/>
        </w:rPr>
        <w:t> </w:t>
      </w:r>
      <w:r w:rsidR="00664FDB" w:rsidRPr="00664FDB">
        <w:rPr>
          <w:rFonts w:ascii="Times New Roman" w:hAnsi="Times New Roman"/>
          <w:noProof/>
          <w:sz w:val="24"/>
        </w:rPr>
        <w:t>got</w:t>
      </w:r>
      <w:r w:rsidRPr="00664FDB">
        <w:rPr>
          <w:rFonts w:ascii="Times New Roman" w:hAnsi="Times New Roman"/>
          <w:noProof/>
          <w:sz w:val="24"/>
        </w:rPr>
        <w:t>owość</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rea</w:t>
      </w:r>
      <w:r w:rsidRPr="00664FDB">
        <w:rPr>
          <w:rFonts w:ascii="Times New Roman" w:hAnsi="Times New Roman"/>
          <w:noProof/>
          <w:sz w:val="24"/>
        </w:rPr>
        <w:t>gowanie,</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tak</w:t>
      </w:r>
      <w:r w:rsidRPr="00664FDB">
        <w:rPr>
          <w:rFonts w:ascii="Times New Roman" w:hAnsi="Times New Roman"/>
          <w:noProof/>
          <w:sz w:val="24"/>
        </w:rPr>
        <w:t>że ściślejszej współpracy</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zak</w:t>
      </w:r>
      <w:r w:rsidRPr="00664FDB">
        <w:rPr>
          <w:rFonts w:ascii="Times New Roman" w:hAnsi="Times New Roman"/>
          <w:noProof/>
          <w:sz w:val="24"/>
        </w:rPr>
        <w:t>resie infrastruktury</w:t>
      </w:r>
      <w:r w:rsidR="00664FDB" w:rsidRPr="00664FDB">
        <w:rPr>
          <w:rFonts w:ascii="Times New Roman" w:hAnsi="Times New Roman"/>
          <w:noProof/>
          <w:sz w:val="24"/>
        </w:rPr>
        <w:t xml:space="preserve"> o</w:t>
      </w:r>
      <w:r w:rsidR="00664FDB">
        <w:rPr>
          <w:rFonts w:ascii="Times New Roman" w:hAnsi="Times New Roman"/>
          <w:noProof/>
          <w:sz w:val="24"/>
        </w:rPr>
        <w:t> </w:t>
      </w:r>
      <w:r w:rsidR="00664FDB" w:rsidRPr="00664FDB">
        <w:rPr>
          <w:rFonts w:ascii="Times New Roman" w:hAnsi="Times New Roman"/>
          <w:noProof/>
          <w:sz w:val="24"/>
        </w:rPr>
        <w:t>zna</w:t>
      </w:r>
      <w:r w:rsidRPr="00664FDB">
        <w:rPr>
          <w:rFonts w:ascii="Times New Roman" w:hAnsi="Times New Roman"/>
          <w:noProof/>
          <w:sz w:val="24"/>
        </w:rPr>
        <w:t>czeniu transgranicznym. Celem tego wniosku jest zmaksymalizowanie</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yspieszenie prac na rzecz ochrony aktywów, obiektów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sys</w:t>
      </w:r>
      <w:r w:rsidRPr="00664FDB">
        <w:rPr>
          <w:rFonts w:ascii="Times New Roman" w:hAnsi="Times New Roman"/>
          <w:noProof/>
          <w:sz w:val="24"/>
        </w:rPr>
        <w:t>temów, które są niezbędne do funkcjonowania gospodarki, na rzecz świadczenia podstawowych usług na rynku wewnętrznym, które służą obywatelom,</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tak</w:t>
      </w:r>
      <w:r w:rsidRPr="00664FDB">
        <w:rPr>
          <w:rFonts w:ascii="Times New Roman" w:hAnsi="Times New Roman"/>
          <w:noProof/>
          <w:sz w:val="24"/>
        </w:rPr>
        <w:t>że na rzecz łagodzenia skutków wszelkich ataków poprzez zagwarantowanie jak najszybszego przywrócenia stanu wyjściowego. Komisja będzie współpracowała</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pań</w:t>
      </w:r>
      <w:r w:rsidRPr="00664FDB">
        <w:rPr>
          <w:rFonts w:ascii="Times New Roman" w:hAnsi="Times New Roman"/>
          <w:noProof/>
          <w:sz w:val="24"/>
        </w:rPr>
        <w:t>stwami członkowskimi</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cel</w:t>
      </w:r>
      <w:r w:rsidRPr="00664FDB">
        <w:rPr>
          <w:rFonts w:ascii="Times New Roman" w:hAnsi="Times New Roman"/>
          <w:noProof/>
          <w:sz w:val="24"/>
        </w:rPr>
        <w:t>u poddania ich infrastruktury krytycznej testom warunków skrajnych, najpierw</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sek</w:t>
      </w:r>
      <w:r w:rsidRPr="00664FDB">
        <w:rPr>
          <w:rFonts w:ascii="Times New Roman" w:hAnsi="Times New Roman"/>
          <w:noProof/>
          <w:sz w:val="24"/>
        </w:rPr>
        <w:t>torze energetycznym,</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nas</w:t>
      </w:r>
      <w:r w:rsidRPr="00664FDB">
        <w:rPr>
          <w:rFonts w:ascii="Times New Roman" w:hAnsi="Times New Roman"/>
          <w:noProof/>
          <w:sz w:val="24"/>
        </w:rPr>
        <w:t>tępnie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inn</w:t>
      </w:r>
      <w:r w:rsidRPr="00664FDB">
        <w:rPr>
          <w:rFonts w:ascii="Times New Roman" w:hAnsi="Times New Roman"/>
          <w:noProof/>
          <w:sz w:val="24"/>
        </w:rPr>
        <w:t>ych sektorach wysokiego ryzyka, takich jak komunikacja, transport</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estrzeń kosmiczna. Test warunków skrajnych zostanie uzupełniony</w:t>
      </w:r>
      <w:r w:rsidR="00664FDB" w:rsidRPr="00664FDB">
        <w:rPr>
          <w:rFonts w:ascii="Times New Roman" w:hAnsi="Times New Roman"/>
          <w:noProof/>
          <w:sz w:val="24"/>
        </w:rPr>
        <w:t xml:space="preserve"> o</w:t>
      </w:r>
      <w:r w:rsidR="00664FDB">
        <w:rPr>
          <w:rFonts w:ascii="Times New Roman" w:hAnsi="Times New Roman"/>
          <w:noProof/>
          <w:sz w:val="24"/>
        </w:rPr>
        <w:t> </w:t>
      </w:r>
      <w:r w:rsidR="00664FDB" w:rsidRPr="00664FDB">
        <w:rPr>
          <w:rFonts w:ascii="Times New Roman" w:hAnsi="Times New Roman"/>
          <w:noProof/>
          <w:sz w:val="24"/>
        </w:rPr>
        <w:t>opr</w:t>
      </w:r>
      <w:r w:rsidRPr="00664FDB">
        <w:rPr>
          <w:rFonts w:ascii="Times New Roman" w:hAnsi="Times New Roman"/>
          <w:noProof/>
          <w:sz w:val="24"/>
        </w:rPr>
        <w:t>acowanie planu działania dotyczącego incydentów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kry</w:t>
      </w:r>
      <w:r w:rsidRPr="00664FDB">
        <w:rPr>
          <w:rFonts w:ascii="Times New Roman" w:hAnsi="Times New Roman"/>
          <w:noProof/>
          <w:sz w:val="24"/>
        </w:rPr>
        <w:t>zysów</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zak</w:t>
      </w:r>
      <w:r w:rsidRPr="00664FDB">
        <w:rPr>
          <w:rFonts w:ascii="Times New Roman" w:hAnsi="Times New Roman"/>
          <w:noProof/>
          <w:sz w:val="24"/>
        </w:rPr>
        <w:t>resie infrastruktury krytycznej, co zostanie wykonane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por</w:t>
      </w:r>
      <w:r w:rsidRPr="00664FDB">
        <w:rPr>
          <w:rFonts w:ascii="Times New Roman" w:hAnsi="Times New Roman"/>
          <w:noProof/>
          <w:sz w:val="24"/>
        </w:rPr>
        <w:t>ozumieniu</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pań</w:t>
      </w:r>
      <w:r w:rsidRPr="00664FDB">
        <w:rPr>
          <w:rFonts w:ascii="Times New Roman" w:hAnsi="Times New Roman"/>
          <w:noProof/>
          <w:sz w:val="24"/>
        </w:rPr>
        <w:t>stwami członkowskimi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y wsparciu odpowiednich agencji unijnych. Celem tego planu jest opisanie</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okr</w:t>
      </w:r>
      <w:r w:rsidRPr="00664FDB">
        <w:rPr>
          <w:rFonts w:ascii="Times New Roman" w:hAnsi="Times New Roman"/>
          <w:noProof/>
          <w:sz w:val="24"/>
        </w:rPr>
        <w:t>eślenie celów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spo</w:t>
      </w:r>
      <w:r w:rsidRPr="00664FDB">
        <w:rPr>
          <w:rFonts w:ascii="Times New Roman" w:hAnsi="Times New Roman"/>
          <w:noProof/>
          <w:sz w:val="24"/>
        </w:rPr>
        <w:t>sobów współpracy między państwami członkowskimi</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ins</w:t>
      </w:r>
      <w:r w:rsidRPr="00664FDB">
        <w:rPr>
          <w:rFonts w:ascii="Times New Roman" w:hAnsi="Times New Roman"/>
          <w:noProof/>
          <w:sz w:val="24"/>
        </w:rPr>
        <w:t>tytucjami, organami, urzędami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age</w:t>
      </w:r>
      <w:r w:rsidRPr="00664FDB">
        <w:rPr>
          <w:rFonts w:ascii="Times New Roman" w:hAnsi="Times New Roman"/>
          <w:noProof/>
          <w:sz w:val="24"/>
        </w:rPr>
        <w:t>ncjami UE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zak</w:t>
      </w:r>
      <w:r w:rsidRPr="00664FDB">
        <w:rPr>
          <w:rFonts w:ascii="Times New Roman" w:hAnsi="Times New Roman"/>
          <w:noProof/>
          <w:sz w:val="24"/>
        </w:rPr>
        <w:t>resie reagowania na incydenty przeciwko infrastrukturze krytycznej,</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szc</w:t>
      </w:r>
      <w:r w:rsidRPr="00664FDB">
        <w:rPr>
          <w:rFonts w:ascii="Times New Roman" w:hAnsi="Times New Roman"/>
          <w:noProof/>
          <w:sz w:val="24"/>
        </w:rPr>
        <w:t>zególności gdy pociągają one za sobą poważne zakłócenia</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świ</w:t>
      </w:r>
      <w:r w:rsidRPr="00664FDB">
        <w:rPr>
          <w:rFonts w:ascii="Times New Roman" w:hAnsi="Times New Roman"/>
          <w:noProof/>
          <w:sz w:val="24"/>
        </w:rPr>
        <w:t>adczeniu podstawowych usług na rynku wewnętrznym. Ponadto Komisja</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wys</w:t>
      </w:r>
      <w:r w:rsidRPr="00664FDB">
        <w:rPr>
          <w:rFonts w:ascii="Times New Roman" w:hAnsi="Times New Roman"/>
          <w:noProof/>
          <w:sz w:val="24"/>
        </w:rPr>
        <w:t>oki przedstawiciel wzmocnią współpracę</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klu</w:t>
      </w:r>
      <w:r w:rsidRPr="00664FDB">
        <w:rPr>
          <w:rFonts w:ascii="Times New Roman" w:hAnsi="Times New Roman"/>
          <w:noProof/>
          <w:sz w:val="24"/>
        </w:rPr>
        <w:t>czowymi partnerami</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zak</w:t>
      </w:r>
      <w:r w:rsidRPr="00664FDB">
        <w:rPr>
          <w:rFonts w:ascii="Times New Roman" w:hAnsi="Times New Roman"/>
          <w:noProof/>
          <w:sz w:val="24"/>
        </w:rPr>
        <w:t>resie odporności infrastruktury krytycznej,</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tak</w:t>
      </w:r>
      <w:r w:rsidRPr="00664FDB">
        <w:rPr>
          <w:rFonts w:ascii="Times New Roman" w:hAnsi="Times New Roman"/>
          <w:noProof/>
          <w:sz w:val="24"/>
        </w:rPr>
        <w:t>że z NATO poprzez zorganizowany dialog UE-NATO</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w:t>
      </w:r>
      <w:r w:rsidR="00664FDB">
        <w:rPr>
          <w:rFonts w:ascii="Times New Roman" w:hAnsi="Times New Roman"/>
          <w:noProof/>
          <w:sz w:val="24"/>
        </w:rPr>
        <w:t> </w:t>
      </w:r>
      <w:r w:rsidR="00664FDB" w:rsidRPr="00664FDB">
        <w:rPr>
          <w:rFonts w:ascii="Times New Roman" w:hAnsi="Times New Roman"/>
          <w:noProof/>
          <w:sz w:val="24"/>
        </w:rPr>
        <w:t>tym</w:t>
      </w:r>
      <w:r w:rsidRPr="00664FDB">
        <w:rPr>
          <w:rFonts w:ascii="Times New Roman" w:hAnsi="Times New Roman"/>
          <w:noProof/>
          <w:sz w:val="24"/>
        </w:rPr>
        <w:t xml:space="preserve"> celu powołana zostanie wraz z NATO grupa zadaniowa. </w:t>
      </w:r>
    </w:p>
    <w:p w14:paraId="629017D1" w14:textId="22E02DD3" w:rsidR="00114A56" w:rsidRPr="00664FDB" w:rsidRDefault="75D542CB" w:rsidP="2E5F65CC">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Jednocześnie, aby zoptymalizować wykorzystanie infrastruktury gazowej</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inf</w:t>
      </w:r>
      <w:r w:rsidRPr="00664FDB">
        <w:rPr>
          <w:rFonts w:ascii="Times New Roman" w:hAnsi="Times New Roman"/>
          <w:noProof/>
          <w:sz w:val="24"/>
        </w:rPr>
        <w:t xml:space="preserve">rastruktury LNG, Komisja proponuje nowe narzędzia zapewniające więcej </w:t>
      </w:r>
      <w:r w:rsidRPr="00664FDB">
        <w:rPr>
          <w:rFonts w:ascii="Times New Roman" w:hAnsi="Times New Roman"/>
          <w:b/>
          <w:noProof/>
          <w:sz w:val="24"/>
        </w:rPr>
        <w:t>informacji na temat dostępnej zdolności przepustowej infrastruktury</w:t>
      </w:r>
      <w:r w:rsidRPr="00664FDB">
        <w:rPr>
          <w:rFonts w:ascii="Times New Roman" w:hAnsi="Times New Roman"/>
          <w:noProof/>
          <w:sz w:val="24"/>
        </w:rPr>
        <w:t xml:space="preserve"> oraz nowe mechanizmy mające zagwarantować, że żadne przedsiębiorstwo nie będzie mogło zarezerwować zdolności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nas</w:t>
      </w:r>
      <w:r w:rsidRPr="00664FDB">
        <w:rPr>
          <w:rFonts w:ascii="Times New Roman" w:hAnsi="Times New Roman"/>
          <w:noProof/>
          <w:sz w:val="24"/>
        </w:rPr>
        <w:t>tępnie jej nie wykorzystać. Mechanizmy takie już istnieją, ale realokacja zdolności może trwać kilka miesięcy – nasz wniosek ma na celu umożliwienie szybkiego reagowania, zwłaszcza</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ypadku krótkotrwałego ograniczenia przesyłu. Dobrze funkcjonująca infrastruktura ma szczególne znaczenie dla śródlądowych państw członkowskich, które nie mają bezpośredniego dostępu do LNG</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w:t>
      </w:r>
      <w:r w:rsidR="00664FDB">
        <w:rPr>
          <w:rFonts w:ascii="Times New Roman" w:hAnsi="Times New Roman"/>
          <w:noProof/>
          <w:sz w:val="24"/>
        </w:rPr>
        <w:t> </w:t>
      </w:r>
      <w:r w:rsidR="00664FDB" w:rsidRPr="00664FDB">
        <w:rPr>
          <w:rFonts w:ascii="Times New Roman" w:hAnsi="Times New Roman"/>
          <w:noProof/>
          <w:sz w:val="24"/>
        </w:rPr>
        <w:t>zwi</w:t>
      </w:r>
      <w:r w:rsidRPr="00664FDB">
        <w:rPr>
          <w:rFonts w:ascii="Times New Roman" w:hAnsi="Times New Roman"/>
          <w:noProof/>
          <w:sz w:val="24"/>
        </w:rPr>
        <w:t>ązku</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tym</w:t>
      </w:r>
      <w:r w:rsidRPr="00664FDB">
        <w:rPr>
          <w:rFonts w:ascii="Times New Roman" w:hAnsi="Times New Roman"/>
          <w:noProof/>
          <w:sz w:val="24"/>
        </w:rPr>
        <w:t xml:space="preserve"> dysponują mniej oczywistymi środkami dywersyfikacji dostaw. </w:t>
      </w:r>
    </w:p>
    <w:p w14:paraId="4CEE8B69" w14:textId="337F9B65" w:rsidR="00114A56" w:rsidRPr="00664FDB" w:rsidRDefault="008953FF" w:rsidP="2E5F65CC">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Musimy również wrzucić wyższy bieg</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 xml:space="preserve">yspieszyć produkcję energii ze źródeł odnawialnych w UE oraz osiągnąć nasze długoterminowe cele klimatyczne. </w:t>
      </w:r>
      <w:r w:rsidRPr="00664FDB">
        <w:rPr>
          <w:rFonts w:ascii="Times New Roman" w:hAnsi="Times New Roman"/>
          <w:b/>
          <w:noProof/>
          <w:sz w:val="24"/>
        </w:rPr>
        <w:t>Procedury wydawania pozwoleń na projekty</w:t>
      </w:r>
      <w:r w:rsidR="00664FDB" w:rsidRPr="00664FDB">
        <w:rPr>
          <w:rFonts w:ascii="Times New Roman" w:hAnsi="Times New Roman"/>
          <w:b/>
          <w:noProof/>
          <w:sz w:val="24"/>
        </w:rPr>
        <w:t xml:space="preserve"> w</w:t>
      </w:r>
      <w:r w:rsidR="00664FDB">
        <w:rPr>
          <w:rFonts w:ascii="Times New Roman" w:hAnsi="Times New Roman"/>
          <w:b/>
          <w:noProof/>
          <w:sz w:val="24"/>
        </w:rPr>
        <w:t> </w:t>
      </w:r>
      <w:r w:rsidR="00664FDB" w:rsidRPr="00664FDB">
        <w:rPr>
          <w:rFonts w:ascii="Times New Roman" w:hAnsi="Times New Roman"/>
          <w:b/>
          <w:noProof/>
          <w:sz w:val="24"/>
        </w:rPr>
        <w:t>zak</w:t>
      </w:r>
      <w:r w:rsidRPr="00664FDB">
        <w:rPr>
          <w:rFonts w:ascii="Times New Roman" w:hAnsi="Times New Roman"/>
          <w:b/>
          <w:noProof/>
          <w:sz w:val="24"/>
        </w:rPr>
        <w:t>resie energii ze źródeł odnawialnych</w:t>
      </w:r>
      <w:r w:rsidRPr="00664FDB">
        <w:rPr>
          <w:rFonts w:ascii="Times New Roman" w:hAnsi="Times New Roman"/>
          <w:noProof/>
          <w:sz w:val="24"/>
        </w:rPr>
        <w:t xml:space="preserve"> są nadal zbyt długotrwałe. Kluczowe znaczenie ma zapewnienie, aby nowe projekty nie zagrażały różnorodności biologicznej</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był</w:t>
      </w:r>
      <w:r w:rsidRPr="00664FDB">
        <w:rPr>
          <w:rFonts w:ascii="Times New Roman" w:hAnsi="Times New Roman"/>
          <w:noProof/>
          <w:sz w:val="24"/>
        </w:rPr>
        <w:t>y dobrze przyjmowane przez obywateli, ale dalsze skrócenie tych procedur przy jednoczesnym spełnieniu przedmiotowych wymogów jest możliwe. Wnioski mające na celu przyspieszenie wydawania pozwoleń Komisja przedstawiła już</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ram</w:t>
      </w:r>
      <w:r w:rsidRPr="00664FDB">
        <w:rPr>
          <w:rFonts w:ascii="Times New Roman" w:hAnsi="Times New Roman"/>
          <w:noProof/>
          <w:sz w:val="24"/>
        </w:rPr>
        <w:t>ach REPowerEU. Biorąc pod uwagę pilną potrzebę zapewnienia dostatecznego bezpieczeństwa dostaw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yspieszenia wdrożenia energii ze źródeł odnawialnych, Komisja wzywa ustawodawców do szybkiego osiągnięcia porozumienia</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spr</w:t>
      </w:r>
      <w:r w:rsidRPr="00664FDB">
        <w:rPr>
          <w:rFonts w:ascii="Times New Roman" w:hAnsi="Times New Roman"/>
          <w:noProof/>
          <w:sz w:val="24"/>
        </w:rPr>
        <w:t>awie tych wniosków. Komisja jest gotowa przedstawić specjalny wniosek mający na celu bezpośrednie uproszczenie</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skr</w:t>
      </w:r>
      <w:r w:rsidRPr="00664FDB">
        <w:rPr>
          <w:rFonts w:ascii="Times New Roman" w:hAnsi="Times New Roman"/>
          <w:noProof/>
          <w:sz w:val="24"/>
        </w:rPr>
        <w:t>ócenie administracyjnych procedur wydawania pozwoleń mających zastosowanie do niektórych projektów</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dzi</w:t>
      </w:r>
      <w:r w:rsidRPr="00664FDB">
        <w:rPr>
          <w:rFonts w:ascii="Times New Roman" w:hAnsi="Times New Roman"/>
          <w:noProof/>
          <w:sz w:val="24"/>
        </w:rPr>
        <w:t>edzinie energii ze źródeł odnawialnych</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spo</w:t>
      </w:r>
      <w:r w:rsidRPr="00664FDB">
        <w:rPr>
          <w:rFonts w:ascii="Times New Roman" w:hAnsi="Times New Roman"/>
          <w:noProof/>
          <w:sz w:val="24"/>
        </w:rPr>
        <w:t>sób skoordynowany</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zha</w:t>
      </w:r>
      <w:r w:rsidRPr="00664FDB">
        <w:rPr>
          <w:rFonts w:ascii="Times New Roman" w:hAnsi="Times New Roman"/>
          <w:noProof/>
          <w:sz w:val="24"/>
        </w:rPr>
        <w:t>rmonizowany</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cał</w:t>
      </w:r>
      <w:r w:rsidRPr="00664FDB">
        <w:rPr>
          <w:rFonts w:ascii="Times New Roman" w:hAnsi="Times New Roman"/>
          <w:noProof/>
          <w:sz w:val="24"/>
        </w:rPr>
        <w:t xml:space="preserve">ej UE. </w:t>
      </w:r>
    </w:p>
    <w:p w14:paraId="766716DB" w14:textId="77777777" w:rsidR="00DA69E9" w:rsidRPr="00664FDB" w:rsidRDefault="00DA69E9" w:rsidP="2E5F65CC">
      <w:pPr>
        <w:spacing w:line="257" w:lineRule="auto"/>
        <w:jc w:val="both"/>
        <w:rPr>
          <w:rFonts w:ascii="Times New Roman" w:eastAsia="Times New Roman" w:hAnsi="Times New Roman" w:cs="Times New Roman"/>
          <w:noProof/>
          <w:sz w:val="24"/>
          <w:szCs w:val="24"/>
        </w:rPr>
      </w:pPr>
    </w:p>
    <w:p w14:paraId="6BE4B5FC" w14:textId="77777777" w:rsidR="00114A56" w:rsidRPr="00664FDB" w:rsidRDefault="75D542CB" w:rsidP="2E5F65CC">
      <w:pPr>
        <w:spacing w:line="257" w:lineRule="auto"/>
        <w:jc w:val="both"/>
        <w:rPr>
          <w:rFonts w:ascii="Times New Roman" w:eastAsia="Times New Roman" w:hAnsi="Times New Roman" w:cs="Times New Roman"/>
          <w:b/>
          <w:smallCaps/>
          <w:noProof/>
          <w:sz w:val="24"/>
          <w:szCs w:val="24"/>
        </w:rPr>
      </w:pPr>
      <w:r w:rsidRPr="00664FDB">
        <w:rPr>
          <w:rFonts w:ascii="Times New Roman" w:hAnsi="Times New Roman"/>
          <w:b/>
          <w:smallCaps/>
          <w:noProof/>
          <w:sz w:val="24"/>
        </w:rPr>
        <w:t>Wniosek: silniejsza unia energetyczna</w:t>
      </w:r>
    </w:p>
    <w:p w14:paraId="40266A13" w14:textId="17577CBD" w:rsidR="00604CC0" w:rsidRPr="00664FDB" w:rsidRDefault="75D542CB" w:rsidP="2E5F65CC">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Skala obecnego kryzysu energetycznego jest bezprecedensowa. Wymaga to nadzwyczajnej wspólnej reakcji</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syt</w:t>
      </w:r>
      <w:r w:rsidRPr="00664FDB">
        <w:rPr>
          <w:rFonts w:ascii="Times New Roman" w:hAnsi="Times New Roman"/>
          <w:noProof/>
          <w:sz w:val="24"/>
        </w:rPr>
        <w:t>uacji kryzysowej</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duc</w:t>
      </w:r>
      <w:r w:rsidRPr="00664FDB">
        <w:rPr>
          <w:rFonts w:ascii="Times New Roman" w:hAnsi="Times New Roman"/>
          <w:noProof/>
          <w:sz w:val="24"/>
        </w:rPr>
        <w:t>hu solidarności. UE podjęła już zdecydowane kroki</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jes</w:t>
      </w:r>
      <w:r w:rsidRPr="00664FDB">
        <w:rPr>
          <w:rFonts w:ascii="Times New Roman" w:hAnsi="Times New Roman"/>
          <w:noProof/>
          <w:sz w:val="24"/>
        </w:rPr>
        <w:t>t gotowa pójść dalej.</w:t>
      </w:r>
    </w:p>
    <w:p w14:paraId="1CC0398A" w14:textId="36B012A8" w:rsidR="00114A56" w:rsidRPr="00664FDB" w:rsidRDefault="582389CA" w:rsidP="458CA815">
      <w:pPr>
        <w:spacing w:before="120" w:after="120" w:line="240" w:lineRule="auto"/>
        <w:jc w:val="both"/>
        <w:rPr>
          <w:rFonts w:ascii="Times New Roman" w:eastAsia="Times New Roman" w:hAnsi="Times New Roman" w:cs="Times New Roman"/>
          <w:noProof/>
          <w:sz w:val="24"/>
          <w:szCs w:val="24"/>
        </w:rPr>
      </w:pPr>
      <w:r w:rsidRPr="00664FDB">
        <w:rPr>
          <w:rFonts w:ascii="Times New Roman" w:hAnsi="Times New Roman"/>
          <w:noProof/>
          <w:sz w:val="24"/>
        </w:rPr>
        <w:t>W ciągu ostatniego roku Komisja przedstawiła</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wdr</w:t>
      </w:r>
      <w:r w:rsidRPr="00664FDB">
        <w:rPr>
          <w:rFonts w:ascii="Times New Roman" w:hAnsi="Times New Roman"/>
          <w:noProof/>
          <w:sz w:val="24"/>
        </w:rPr>
        <w:t>ożyła szereg inicjatyw, stopniowo przechodząc od umożliwiania działań na szczeblu krajowym do ustanowienia zintegrowanej strategii bezpieczeństwa dostaw,</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ost</w:t>
      </w:r>
      <w:r w:rsidRPr="00664FDB">
        <w:rPr>
          <w:rFonts w:ascii="Times New Roman" w:hAnsi="Times New Roman"/>
          <w:noProof/>
          <w:sz w:val="24"/>
        </w:rPr>
        <w:t>atnio także środki nadzwyczajne mające na celu oddzielenie rachunków za energię elektryczną konsumentów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edsiębiorstw od cen gazu, koordynację zmniejszania zapotrzebowania na energię elektryczną, udoskonalenie zestawu narzędzi państw członkowskich służących ochronie konsumentów</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prz</w:t>
      </w:r>
      <w:r w:rsidRPr="00664FDB">
        <w:rPr>
          <w:rFonts w:ascii="Times New Roman" w:hAnsi="Times New Roman"/>
          <w:noProof/>
          <w:sz w:val="24"/>
        </w:rPr>
        <w:t>edsiębiorstw przed wysokimi cenami energii oraz wprowadzenie składki solidarnościowej</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odn</w:t>
      </w:r>
      <w:r w:rsidRPr="00664FDB">
        <w:rPr>
          <w:rFonts w:ascii="Times New Roman" w:hAnsi="Times New Roman"/>
          <w:noProof/>
          <w:sz w:val="24"/>
        </w:rPr>
        <w:t xml:space="preserve">iesieniu do sektora paliw kopalnych. </w:t>
      </w:r>
    </w:p>
    <w:p w14:paraId="156C266C" w14:textId="1FE078D5" w:rsidR="00FD0815" w:rsidRPr="00664FDB" w:rsidDel="000F6933" w:rsidRDefault="00FD0815" w:rsidP="00E87AED">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Nowy zestaw środków nadzwyczajnych idzie</w:t>
      </w:r>
      <w:r w:rsidR="00664FDB" w:rsidRPr="00664FDB">
        <w:rPr>
          <w:rFonts w:ascii="Times New Roman" w:hAnsi="Times New Roman"/>
          <w:noProof/>
          <w:sz w:val="24"/>
        </w:rPr>
        <w:t xml:space="preserve"> o</w:t>
      </w:r>
      <w:r w:rsidR="00664FDB">
        <w:rPr>
          <w:rFonts w:ascii="Times New Roman" w:hAnsi="Times New Roman"/>
          <w:noProof/>
          <w:sz w:val="24"/>
        </w:rPr>
        <w:t> </w:t>
      </w:r>
      <w:r w:rsidR="00664FDB" w:rsidRPr="00664FDB">
        <w:rPr>
          <w:rFonts w:ascii="Times New Roman" w:hAnsi="Times New Roman"/>
          <w:noProof/>
          <w:sz w:val="24"/>
        </w:rPr>
        <w:t>kro</w:t>
      </w:r>
      <w:r w:rsidRPr="00664FDB">
        <w:rPr>
          <w:rFonts w:ascii="Times New Roman" w:hAnsi="Times New Roman"/>
          <w:noProof/>
          <w:sz w:val="24"/>
        </w:rPr>
        <w:t>k dalej, jeśli chodzi</w:t>
      </w:r>
      <w:r w:rsidR="00664FDB" w:rsidRPr="00664FDB">
        <w:rPr>
          <w:rFonts w:ascii="Times New Roman" w:hAnsi="Times New Roman"/>
          <w:noProof/>
          <w:sz w:val="24"/>
        </w:rPr>
        <w:t xml:space="preserve"> o</w:t>
      </w:r>
      <w:r w:rsidR="00664FDB">
        <w:rPr>
          <w:rFonts w:ascii="Times New Roman" w:hAnsi="Times New Roman"/>
          <w:noProof/>
          <w:sz w:val="24"/>
        </w:rPr>
        <w:t> </w:t>
      </w:r>
      <w:r w:rsidR="00664FDB" w:rsidRPr="00664FDB">
        <w:rPr>
          <w:rFonts w:ascii="Times New Roman" w:hAnsi="Times New Roman"/>
          <w:noProof/>
          <w:sz w:val="24"/>
        </w:rPr>
        <w:t>sol</w:t>
      </w:r>
      <w:r w:rsidRPr="00664FDB">
        <w:rPr>
          <w:rFonts w:ascii="Times New Roman" w:hAnsi="Times New Roman"/>
          <w:noProof/>
          <w:sz w:val="24"/>
        </w:rPr>
        <w:t>idarność</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int</w:t>
      </w:r>
      <w:r w:rsidRPr="00664FDB">
        <w:rPr>
          <w:rFonts w:ascii="Times New Roman" w:hAnsi="Times New Roman"/>
          <w:noProof/>
          <w:sz w:val="24"/>
        </w:rPr>
        <w:t>egrację, zwiększając znaczenie jednolitego rynku dla bezpieczeństwa dostaw, przystępności cenowej</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zró</w:t>
      </w:r>
      <w:r w:rsidRPr="00664FDB">
        <w:rPr>
          <w:rFonts w:ascii="Times New Roman" w:hAnsi="Times New Roman"/>
          <w:noProof/>
          <w:sz w:val="24"/>
        </w:rPr>
        <w:t xml:space="preserve">wnoważonego charakteru energii oraz dostępu do podstawowych usług dla wszystkich. </w:t>
      </w:r>
    </w:p>
    <w:p w14:paraId="710AB50E" w14:textId="6C9ACEC8" w:rsidR="40F9975F" w:rsidRPr="00664FDB" w:rsidRDefault="40F9975F" w:rsidP="6F8179D6">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Komisja jest gotowa nawiązać natychmiast współpracę</w:t>
      </w:r>
      <w:r w:rsidR="00664FDB" w:rsidRPr="00664FDB">
        <w:rPr>
          <w:rFonts w:ascii="Times New Roman" w:hAnsi="Times New Roman"/>
          <w:noProof/>
          <w:sz w:val="24"/>
        </w:rPr>
        <w:t xml:space="preserve"> z</w:t>
      </w:r>
      <w:r w:rsidR="00664FDB">
        <w:rPr>
          <w:rFonts w:ascii="Times New Roman" w:hAnsi="Times New Roman"/>
          <w:noProof/>
          <w:sz w:val="24"/>
        </w:rPr>
        <w:t> </w:t>
      </w:r>
      <w:r w:rsidR="00664FDB" w:rsidRPr="00664FDB">
        <w:rPr>
          <w:rFonts w:ascii="Times New Roman" w:hAnsi="Times New Roman"/>
          <w:noProof/>
          <w:sz w:val="24"/>
        </w:rPr>
        <w:t>Rad</w:t>
      </w:r>
      <w:r w:rsidRPr="00664FDB">
        <w:rPr>
          <w:rFonts w:ascii="Times New Roman" w:hAnsi="Times New Roman"/>
          <w:noProof/>
          <w:sz w:val="24"/>
        </w:rPr>
        <w:t>ą</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wsp</w:t>
      </w:r>
      <w:r w:rsidRPr="00664FDB">
        <w:rPr>
          <w:rFonts w:ascii="Times New Roman" w:hAnsi="Times New Roman"/>
          <w:noProof/>
          <w:sz w:val="24"/>
        </w:rPr>
        <w:t>ierać ją</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szy</w:t>
      </w:r>
      <w:r w:rsidRPr="00664FDB">
        <w:rPr>
          <w:rFonts w:ascii="Times New Roman" w:hAnsi="Times New Roman"/>
          <w:noProof/>
          <w:sz w:val="24"/>
        </w:rPr>
        <w:t>bkiej realizacji przedmiotowej inicjatywy, począwszy od posiedzenia Rady ds. Energii</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dni</w:t>
      </w:r>
      <w:r w:rsidRPr="00664FDB">
        <w:rPr>
          <w:rFonts w:ascii="Times New Roman" w:hAnsi="Times New Roman"/>
          <w:noProof/>
          <w:sz w:val="24"/>
        </w:rPr>
        <w:t xml:space="preserve">u 25 października. </w:t>
      </w:r>
    </w:p>
    <w:p w14:paraId="42D0C04A" w14:textId="426A4475" w:rsidR="00665579" w:rsidRPr="00664FDB" w:rsidRDefault="000F1991" w:rsidP="2E5F65CC">
      <w:pPr>
        <w:spacing w:line="257" w:lineRule="auto"/>
        <w:jc w:val="both"/>
        <w:rPr>
          <w:rFonts w:ascii="Times New Roman" w:eastAsia="Times New Roman" w:hAnsi="Times New Roman" w:cs="Times New Roman"/>
          <w:noProof/>
          <w:sz w:val="24"/>
          <w:szCs w:val="24"/>
        </w:rPr>
      </w:pPr>
      <w:r w:rsidRPr="00664FDB">
        <w:rPr>
          <w:rFonts w:ascii="Times New Roman" w:hAnsi="Times New Roman"/>
          <w:noProof/>
          <w:sz w:val="24"/>
        </w:rPr>
        <w:t>Solidarność</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wsp</w:t>
      </w:r>
      <w:r w:rsidRPr="00664FDB">
        <w:rPr>
          <w:rFonts w:ascii="Times New Roman" w:hAnsi="Times New Roman"/>
          <w:noProof/>
          <w:sz w:val="24"/>
        </w:rPr>
        <w:t>ólne działania są najskuteczniejszą odpowiedzią na obecny kryzys,</w:t>
      </w:r>
      <w:r w:rsidR="00664FDB" w:rsidRPr="00664FDB">
        <w:rPr>
          <w:rFonts w:ascii="Times New Roman" w:hAnsi="Times New Roman"/>
          <w:noProof/>
          <w:sz w:val="24"/>
        </w:rPr>
        <w:t xml:space="preserve"> a</w:t>
      </w:r>
      <w:r w:rsidR="00664FDB">
        <w:rPr>
          <w:rFonts w:ascii="Times New Roman" w:hAnsi="Times New Roman"/>
          <w:noProof/>
          <w:sz w:val="24"/>
        </w:rPr>
        <w:t> </w:t>
      </w:r>
      <w:r w:rsidR="00664FDB" w:rsidRPr="00664FDB">
        <w:rPr>
          <w:rFonts w:ascii="Times New Roman" w:hAnsi="Times New Roman"/>
          <w:noProof/>
          <w:sz w:val="24"/>
        </w:rPr>
        <w:t>dzi</w:t>
      </w:r>
      <w:r w:rsidRPr="00664FDB">
        <w:rPr>
          <w:rFonts w:ascii="Times New Roman" w:hAnsi="Times New Roman"/>
          <w:noProof/>
          <w:sz w:val="24"/>
        </w:rPr>
        <w:t>ęki takiej jedności Unia</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jej</w:t>
      </w:r>
      <w:r w:rsidRPr="00664FDB">
        <w:rPr>
          <w:rFonts w:ascii="Times New Roman" w:hAnsi="Times New Roman"/>
          <w:noProof/>
          <w:sz w:val="24"/>
        </w:rPr>
        <w:t xml:space="preserve"> państwa członkowskie przezwyciężą ten kryzys</w:t>
      </w:r>
      <w:r w:rsidR="00664FDB" w:rsidRPr="00664FDB">
        <w:rPr>
          <w:rFonts w:ascii="Times New Roman" w:hAnsi="Times New Roman"/>
          <w:noProof/>
          <w:sz w:val="24"/>
        </w:rPr>
        <w:t xml:space="preserve"> i</w:t>
      </w:r>
      <w:r w:rsidR="00664FDB">
        <w:rPr>
          <w:rFonts w:ascii="Times New Roman" w:hAnsi="Times New Roman"/>
          <w:noProof/>
          <w:sz w:val="24"/>
        </w:rPr>
        <w:t> </w:t>
      </w:r>
      <w:r w:rsidR="00664FDB" w:rsidRPr="00664FDB">
        <w:rPr>
          <w:rFonts w:ascii="Times New Roman" w:hAnsi="Times New Roman"/>
          <w:noProof/>
          <w:sz w:val="24"/>
        </w:rPr>
        <w:t>stw</w:t>
      </w:r>
      <w:r w:rsidRPr="00664FDB">
        <w:rPr>
          <w:rFonts w:ascii="Times New Roman" w:hAnsi="Times New Roman"/>
          <w:noProof/>
          <w:sz w:val="24"/>
        </w:rPr>
        <w:t>orzą prawdziwie konkurencyjną unię energetyczną. </w:t>
      </w:r>
    </w:p>
    <w:p w14:paraId="5D6DA76E" w14:textId="77777777" w:rsidR="00616A75" w:rsidRPr="00664FDB" w:rsidRDefault="61DAD510" w:rsidP="00281E00">
      <w:pPr>
        <w:rPr>
          <w:rFonts w:ascii="Times New Roman" w:eastAsia="Times New Roman" w:hAnsi="Times New Roman" w:cs="Times New Roman"/>
          <w:noProof/>
          <w:sz w:val="24"/>
          <w:szCs w:val="24"/>
        </w:rPr>
      </w:pPr>
      <w:r w:rsidRPr="00664FDB">
        <w:rPr>
          <w:noProof/>
        </w:rPr>
        <w:br w:type="page"/>
      </w:r>
    </w:p>
    <w:p w14:paraId="52BD0AEA" w14:textId="77777777" w:rsidR="00096218" w:rsidRPr="00664FDB" w:rsidRDefault="00096218" w:rsidP="00096218">
      <w:pPr>
        <w:spacing w:line="257" w:lineRule="auto"/>
        <w:jc w:val="center"/>
        <w:rPr>
          <w:rFonts w:ascii="Times New Roman" w:eastAsia="Times New Roman" w:hAnsi="Times New Roman" w:cs="Times New Roman"/>
          <w:b/>
          <w:bCs/>
          <w:noProof/>
          <w:sz w:val="24"/>
          <w:szCs w:val="24"/>
          <w:u w:val="single"/>
        </w:rPr>
      </w:pPr>
      <w:r w:rsidRPr="00664FDB">
        <w:rPr>
          <w:rFonts w:ascii="Times New Roman" w:hAnsi="Times New Roman"/>
          <w:b/>
          <w:noProof/>
          <w:sz w:val="24"/>
          <w:u w:val="single"/>
        </w:rPr>
        <w:t>ZAŁĄCZNIK</w:t>
      </w:r>
    </w:p>
    <w:p w14:paraId="395898B0" w14:textId="49527206" w:rsidR="00DA69E9" w:rsidRPr="00664FDB" w:rsidRDefault="52035642" w:rsidP="00DA69E9">
      <w:pPr>
        <w:spacing w:line="257" w:lineRule="auto"/>
        <w:rPr>
          <w:rFonts w:ascii="Times New Roman" w:eastAsia="Times New Roman" w:hAnsi="Times New Roman" w:cs="Times New Roman"/>
          <w:noProof/>
          <w:sz w:val="24"/>
          <w:szCs w:val="24"/>
        </w:rPr>
      </w:pPr>
      <w:r w:rsidRPr="00664FDB">
        <w:rPr>
          <w:rFonts w:ascii="Times New Roman" w:hAnsi="Times New Roman"/>
          <w:noProof/>
          <w:sz w:val="24"/>
        </w:rPr>
        <w:t>Środki zaproponowane</w:t>
      </w:r>
      <w:r w:rsidR="00664FDB" w:rsidRPr="00664FDB">
        <w:rPr>
          <w:rFonts w:ascii="Times New Roman" w:hAnsi="Times New Roman"/>
          <w:noProof/>
          <w:sz w:val="24"/>
        </w:rPr>
        <w:t xml:space="preserve"> w</w:t>
      </w:r>
      <w:r w:rsidR="00664FDB">
        <w:rPr>
          <w:rFonts w:ascii="Times New Roman" w:hAnsi="Times New Roman"/>
          <w:noProof/>
          <w:sz w:val="24"/>
        </w:rPr>
        <w:t> </w:t>
      </w:r>
      <w:r w:rsidR="00664FDB" w:rsidRPr="00664FDB">
        <w:rPr>
          <w:rFonts w:ascii="Times New Roman" w:hAnsi="Times New Roman"/>
          <w:noProof/>
          <w:sz w:val="24"/>
        </w:rPr>
        <w:t>pak</w:t>
      </w:r>
      <w:r w:rsidRPr="00664FDB">
        <w:rPr>
          <w:rFonts w:ascii="Times New Roman" w:hAnsi="Times New Roman"/>
          <w:noProof/>
          <w:sz w:val="24"/>
        </w:rPr>
        <w:t xml:space="preserve">iecie </w:t>
      </w:r>
    </w:p>
    <w:tbl>
      <w:tblPr>
        <w:tblW w:w="92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210"/>
      </w:tblGrid>
      <w:tr w:rsidR="00DA69E9" w:rsidRPr="00664FDB" w14:paraId="092F872A" w14:textId="77777777" w:rsidTr="4031E0F3">
        <w:trPr>
          <w:trHeight w:val="360"/>
        </w:trPr>
        <w:tc>
          <w:tcPr>
            <w:tcW w:w="9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EB3B2FB" w14:textId="0D57CB98" w:rsidR="00DA69E9" w:rsidRPr="00664FDB" w:rsidRDefault="00DA69E9" w:rsidP="00AA3D2E">
            <w:pPr>
              <w:pStyle w:val="paragraph"/>
              <w:spacing w:before="0" w:beforeAutospacing="0" w:after="0" w:afterAutospacing="0"/>
              <w:textAlignment w:val="baseline"/>
              <w:rPr>
                <w:rFonts w:ascii="Segoe UI" w:hAnsi="Segoe UI" w:cs="Segoe UI"/>
                <w:noProof/>
                <w:sz w:val="18"/>
                <w:szCs w:val="18"/>
              </w:rPr>
            </w:pPr>
            <w:r w:rsidRPr="00664FDB">
              <w:rPr>
                <w:rStyle w:val="normaltextrun"/>
                <w:b/>
                <w:smallCaps/>
                <w:noProof/>
              </w:rPr>
              <w:t>Wspólne zakupy gazu</w:t>
            </w:r>
            <w:r w:rsidR="00664FDB" w:rsidRPr="00664FDB">
              <w:rPr>
                <w:rStyle w:val="normaltextrun"/>
                <w:b/>
                <w:smallCaps/>
                <w:noProof/>
              </w:rPr>
              <w:t xml:space="preserve"> i</w:t>
            </w:r>
            <w:r w:rsidR="00664FDB">
              <w:rPr>
                <w:rStyle w:val="normaltextrun"/>
                <w:b/>
                <w:smallCaps/>
                <w:noProof/>
              </w:rPr>
              <w:t> </w:t>
            </w:r>
            <w:r w:rsidR="00664FDB" w:rsidRPr="00664FDB">
              <w:rPr>
                <w:rStyle w:val="normaltextrun"/>
                <w:b/>
                <w:smallCaps/>
                <w:noProof/>
              </w:rPr>
              <w:t>zap</w:t>
            </w:r>
            <w:r w:rsidRPr="00664FDB">
              <w:rPr>
                <w:rStyle w:val="normaltextrun"/>
                <w:b/>
                <w:smallCaps/>
                <w:noProof/>
              </w:rPr>
              <w:t>ewnienie bezpieczeństwa dostaw</w:t>
            </w:r>
            <w:r w:rsidRPr="00664FDB">
              <w:rPr>
                <w:rStyle w:val="eop"/>
                <w:noProof/>
              </w:rPr>
              <w:t xml:space="preserve"> </w:t>
            </w:r>
          </w:p>
          <w:p w14:paraId="6EE603DF" w14:textId="77777777" w:rsidR="00DA69E9" w:rsidRPr="00664FDB" w:rsidRDefault="00DA69E9" w:rsidP="00AA3D2E">
            <w:pPr>
              <w:pStyle w:val="paragraph"/>
              <w:spacing w:before="0" w:beforeAutospacing="0" w:after="0" w:afterAutospacing="0"/>
              <w:textAlignment w:val="baseline"/>
              <w:rPr>
                <w:rFonts w:ascii="Segoe UI" w:hAnsi="Segoe UI" w:cs="Segoe UI"/>
                <w:noProof/>
                <w:sz w:val="18"/>
                <w:szCs w:val="18"/>
              </w:rPr>
            </w:pPr>
            <w:r w:rsidRPr="00664FDB">
              <w:rPr>
                <w:rStyle w:val="eop"/>
                <w:noProof/>
              </w:rPr>
              <w:t xml:space="preserve"> </w:t>
            </w:r>
          </w:p>
        </w:tc>
      </w:tr>
      <w:tr w:rsidR="00DA69E9" w:rsidRPr="00664FDB" w14:paraId="511DD5F2" w14:textId="77777777" w:rsidTr="4031E0F3">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7F610130" w14:textId="3970F6CF"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normaltextrun"/>
                <w:noProof/>
                <w:color w:val="000000"/>
              </w:rPr>
              <w:t>Koordynacja</w:t>
            </w:r>
            <w:r w:rsidR="00664FDB" w:rsidRPr="00664FDB">
              <w:rPr>
                <w:rStyle w:val="normaltextrun"/>
                <w:noProof/>
                <w:color w:val="000000"/>
              </w:rPr>
              <w:t xml:space="preserve"> i</w:t>
            </w:r>
            <w:r w:rsidR="00664FDB">
              <w:rPr>
                <w:rStyle w:val="normaltextrun"/>
                <w:noProof/>
                <w:color w:val="000000"/>
              </w:rPr>
              <w:t> </w:t>
            </w:r>
            <w:r w:rsidR="00664FDB" w:rsidRPr="00664FDB">
              <w:rPr>
                <w:rStyle w:val="normaltextrun"/>
                <w:noProof/>
                <w:color w:val="000000"/>
              </w:rPr>
              <w:t>int</w:t>
            </w:r>
            <w:r w:rsidRPr="00664FDB">
              <w:rPr>
                <w:rStyle w:val="normaltextrun"/>
                <w:noProof/>
                <w:color w:val="000000"/>
              </w:rPr>
              <w:t xml:space="preserve">ensyfikacja </w:t>
            </w:r>
            <w:r w:rsidRPr="00664FDB">
              <w:rPr>
                <w:rStyle w:val="normaltextrun"/>
                <w:b/>
                <w:noProof/>
                <w:color w:val="000000"/>
              </w:rPr>
              <w:t>negocjacji</w:t>
            </w:r>
            <w:r w:rsidR="00664FDB" w:rsidRPr="00664FDB">
              <w:rPr>
                <w:rStyle w:val="normaltextrun"/>
                <w:b/>
                <w:noProof/>
                <w:color w:val="000000"/>
              </w:rPr>
              <w:t xml:space="preserve"> w</w:t>
            </w:r>
            <w:r w:rsidR="00664FDB">
              <w:rPr>
                <w:rStyle w:val="normaltextrun"/>
                <w:b/>
                <w:noProof/>
                <w:color w:val="000000"/>
              </w:rPr>
              <w:t> </w:t>
            </w:r>
            <w:r w:rsidR="00664FDB" w:rsidRPr="00664FDB">
              <w:rPr>
                <w:rStyle w:val="normaltextrun"/>
                <w:b/>
                <w:noProof/>
                <w:color w:val="000000"/>
              </w:rPr>
              <w:t>spr</w:t>
            </w:r>
            <w:r w:rsidRPr="00664FDB">
              <w:rPr>
                <w:rStyle w:val="normaltextrun"/>
                <w:b/>
                <w:noProof/>
                <w:color w:val="000000"/>
              </w:rPr>
              <w:t>awie dostaw energii</w:t>
            </w:r>
            <w:r w:rsidRPr="00664FDB">
              <w:rPr>
                <w:rStyle w:val="normaltextrun"/>
                <w:noProof/>
                <w:color w:val="000000"/>
              </w:rPr>
              <w:t xml:space="preserve"> ze wszystkimi wiarygodnymi partnerami</w:t>
            </w:r>
            <w:r w:rsidRPr="00664FDB">
              <w:rPr>
                <w:rStyle w:val="eop"/>
                <w:noProof/>
                <w:color w:val="000000"/>
              </w:rPr>
              <w:t xml:space="preserve"> </w:t>
            </w:r>
          </w:p>
          <w:p w14:paraId="477791B6" w14:textId="77777777"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eop"/>
                <w:noProof/>
                <w:color w:val="000000"/>
              </w:rPr>
              <w:t xml:space="preserve"> </w:t>
            </w:r>
          </w:p>
        </w:tc>
      </w:tr>
      <w:tr w:rsidR="00DA69E9" w:rsidRPr="00664FDB" w14:paraId="29963CB8" w14:textId="77777777" w:rsidTr="4031E0F3">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00A59529" w14:textId="099CDB97"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normaltextrun"/>
                <w:noProof/>
                <w:color w:val="000000"/>
              </w:rPr>
              <w:t>Wykorzystanie efektu europejskiej siły rynkowej za pośrednictwem</w:t>
            </w:r>
            <w:r w:rsidRPr="00664FDB">
              <w:rPr>
                <w:rStyle w:val="normaltextrun"/>
                <w:b/>
                <w:noProof/>
                <w:color w:val="000000"/>
              </w:rPr>
              <w:t xml:space="preserve"> platformy wspólnych zakupów</w:t>
            </w:r>
            <w:r w:rsidR="00664FDB" w:rsidRPr="00664FDB">
              <w:rPr>
                <w:rStyle w:val="normaltextrun"/>
                <w:noProof/>
              </w:rPr>
              <w:t xml:space="preserve"> w</w:t>
            </w:r>
            <w:r w:rsidR="00664FDB">
              <w:rPr>
                <w:rStyle w:val="normaltextrun"/>
                <w:noProof/>
              </w:rPr>
              <w:t> </w:t>
            </w:r>
            <w:r w:rsidR="00664FDB" w:rsidRPr="00664FDB">
              <w:rPr>
                <w:rStyle w:val="normaltextrun"/>
                <w:noProof/>
              </w:rPr>
              <w:t>cel</w:t>
            </w:r>
            <w:r w:rsidRPr="00664FDB">
              <w:rPr>
                <w:rStyle w:val="normaltextrun"/>
                <w:noProof/>
              </w:rPr>
              <w:t>u uzyskania dodatkowych dostaw na potrzeby napełniania magazynów (wniosek na mocy art.</w:t>
            </w:r>
            <w:r w:rsidR="00664FDB" w:rsidRPr="00664FDB">
              <w:rPr>
                <w:rStyle w:val="normaltextrun"/>
                <w:noProof/>
              </w:rPr>
              <w:t> </w:t>
            </w:r>
            <w:r w:rsidRPr="00664FDB">
              <w:rPr>
                <w:rStyle w:val="normaltextrun"/>
                <w:noProof/>
              </w:rPr>
              <w:t>122)</w:t>
            </w:r>
          </w:p>
          <w:p w14:paraId="6B57FD1D" w14:textId="77777777"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eop"/>
                <w:noProof/>
              </w:rPr>
              <w:t xml:space="preserve"> </w:t>
            </w:r>
          </w:p>
        </w:tc>
      </w:tr>
      <w:tr w:rsidR="00DA69E9" w:rsidRPr="00664FDB" w14:paraId="0DA1E1DF" w14:textId="77777777" w:rsidTr="4031E0F3">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03A4358A" w14:textId="212A9733"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normaltextrun"/>
                <w:noProof/>
                <w:color w:val="000000"/>
              </w:rPr>
              <w:t>Wniosek Komisji mający na celu zwiększenie zdolności Unii do szybkiego reagowania</w:t>
            </w:r>
            <w:r w:rsidR="00664FDB" w:rsidRPr="00664FDB">
              <w:rPr>
                <w:rStyle w:val="normaltextrun"/>
                <w:noProof/>
                <w:color w:val="000000"/>
              </w:rPr>
              <w:t xml:space="preserve"> w</w:t>
            </w:r>
            <w:r w:rsidR="00664FDB">
              <w:rPr>
                <w:rStyle w:val="normaltextrun"/>
                <w:noProof/>
                <w:color w:val="000000"/>
              </w:rPr>
              <w:t> </w:t>
            </w:r>
            <w:r w:rsidR="00664FDB" w:rsidRPr="00664FDB">
              <w:rPr>
                <w:rStyle w:val="normaltextrun"/>
                <w:noProof/>
                <w:color w:val="000000"/>
              </w:rPr>
              <w:t>syt</w:t>
            </w:r>
            <w:r w:rsidRPr="00664FDB">
              <w:rPr>
                <w:rStyle w:val="normaltextrun"/>
                <w:noProof/>
                <w:color w:val="000000"/>
              </w:rPr>
              <w:t xml:space="preserve">uacjach nadzwyczajnych poprzez </w:t>
            </w:r>
            <w:r w:rsidRPr="00664FDB">
              <w:rPr>
                <w:rStyle w:val="normaltextrun"/>
                <w:b/>
                <w:noProof/>
                <w:color w:val="000000"/>
              </w:rPr>
              <w:t>ustanowienie domyślnych zasad solidarności</w:t>
            </w:r>
            <w:r w:rsidRPr="00664FDB">
              <w:rPr>
                <w:rStyle w:val="normaltextrun"/>
                <w:noProof/>
                <w:color w:val="000000"/>
              </w:rPr>
              <w:t xml:space="preserve"> (wniosek na mocy art.</w:t>
            </w:r>
            <w:r w:rsidR="00664FDB" w:rsidRPr="00664FDB">
              <w:rPr>
                <w:rStyle w:val="normaltextrun"/>
                <w:noProof/>
                <w:color w:val="000000"/>
              </w:rPr>
              <w:t> </w:t>
            </w:r>
            <w:r w:rsidRPr="00664FDB">
              <w:rPr>
                <w:rStyle w:val="normaltextrun"/>
                <w:noProof/>
                <w:color w:val="000000"/>
              </w:rPr>
              <w:t>122)</w:t>
            </w:r>
          </w:p>
          <w:p w14:paraId="4DA6A8AD" w14:textId="77777777"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eop"/>
                <w:noProof/>
                <w:color w:val="000000"/>
              </w:rPr>
              <w:t xml:space="preserve"> </w:t>
            </w:r>
          </w:p>
        </w:tc>
      </w:tr>
      <w:tr w:rsidR="00DA69E9" w:rsidRPr="00664FDB" w14:paraId="6B2FF8F2" w14:textId="77777777" w:rsidTr="4031E0F3">
        <w:trPr>
          <w:trHeight w:val="469"/>
        </w:trPr>
        <w:tc>
          <w:tcPr>
            <w:tcW w:w="9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662E681" w14:textId="77777777" w:rsidR="00DA69E9" w:rsidRPr="00664FDB" w:rsidRDefault="00DA69E9" w:rsidP="00AA3D2E">
            <w:pPr>
              <w:pStyle w:val="paragraph"/>
              <w:spacing w:before="0" w:beforeAutospacing="0" w:after="0" w:afterAutospacing="0"/>
              <w:textAlignment w:val="baseline"/>
              <w:rPr>
                <w:rStyle w:val="normaltextrun"/>
                <w:b/>
                <w:bCs/>
                <w:smallCaps/>
                <w:noProof/>
              </w:rPr>
            </w:pPr>
            <w:r w:rsidRPr="00664FDB">
              <w:rPr>
                <w:rStyle w:val="normaltextrun"/>
                <w:b/>
                <w:smallCaps/>
                <w:noProof/>
              </w:rPr>
              <w:t>Rozwiązanie problemu wysokich cen energii </w:t>
            </w:r>
          </w:p>
          <w:p w14:paraId="6B31A912" w14:textId="77777777"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eop"/>
                <w:noProof/>
              </w:rPr>
              <w:t xml:space="preserve"> </w:t>
            </w:r>
          </w:p>
        </w:tc>
      </w:tr>
      <w:tr w:rsidR="00DA69E9" w:rsidRPr="00664FDB" w14:paraId="2EC23ED9" w14:textId="77777777" w:rsidTr="4031E0F3">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2A6E3ADA" w14:textId="5701D9CA"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normaltextrun"/>
                <w:noProof/>
                <w:color w:val="000000"/>
              </w:rPr>
              <w:t>Komisja proponuje</w:t>
            </w:r>
            <w:r w:rsidRPr="00664FDB">
              <w:rPr>
                <w:rStyle w:val="normaltextrun"/>
                <w:noProof/>
              </w:rPr>
              <w:t xml:space="preserve"> opracowanie do końca 2022</w:t>
            </w:r>
            <w:r w:rsidR="00664FDB" w:rsidRPr="00664FDB">
              <w:rPr>
                <w:rStyle w:val="normaltextrun"/>
                <w:noProof/>
              </w:rPr>
              <w:t> </w:t>
            </w:r>
            <w:r w:rsidRPr="00664FDB">
              <w:rPr>
                <w:rStyle w:val="normaltextrun"/>
                <w:noProof/>
              </w:rPr>
              <w:t xml:space="preserve">r. </w:t>
            </w:r>
            <w:r w:rsidRPr="00664FDB">
              <w:rPr>
                <w:rStyle w:val="normaltextrun"/>
                <w:b/>
                <w:noProof/>
              </w:rPr>
              <w:t>szczegółowego poziomu odniesienia dotyczącego cen LNG</w:t>
            </w:r>
            <w:r w:rsidRPr="00664FDB">
              <w:rPr>
                <w:rStyle w:val="normaltextrun"/>
                <w:noProof/>
              </w:rPr>
              <w:t xml:space="preserve"> (wniosek na mocy art.</w:t>
            </w:r>
            <w:r w:rsidR="00664FDB" w:rsidRPr="00664FDB">
              <w:rPr>
                <w:rStyle w:val="normaltextrun"/>
                <w:noProof/>
              </w:rPr>
              <w:t> </w:t>
            </w:r>
            <w:r w:rsidRPr="00664FDB">
              <w:rPr>
                <w:rStyle w:val="normaltextrun"/>
                <w:noProof/>
              </w:rPr>
              <w:t>122).</w:t>
            </w:r>
            <w:r w:rsidRPr="00664FDB">
              <w:rPr>
                <w:rStyle w:val="eop"/>
                <w:noProof/>
              </w:rPr>
              <w:t xml:space="preserve"> </w:t>
            </w:r>
          </w:p>
          <w:p w14:paraId="61D47610" w14:textId="77777777"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eop"/>
                <w:noProof/>
              </w:rPr>
              <w:t xml:space="preserve"> </w:t>
            </w:r>
          </w:p>
        </w:tc>
      </w:tr>
      <w:tr w:rsidR="00DA69E9" w:rsidRPr="00664FDB" w14:paraId="60D611B0" w14:textId="77777777" w:rsidTr="4031E0F3">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6CF1C80C" w14:textId="6E5960EB"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normaltextrun"/>
                <w:noProof/>
                <w:color w:val="000000"/>
              </w:rPr>
              <w:t>Komisja proponuje</w:t>
            </w:r>
            <w:r w:rsidRPr="00664FDB">
              <w:rPr>
                <w:rStyle w:val="normaltextrun"/>
                <w:noProof/>
              </w:rPr>
              <w:t xml:space="preserve"> wprowadzenie </w:t>
            </w:r>
            <w:r w:rsidRPr="00664FDB">
              <w:rPr>
                <w:rStyle w:val="normaltextrun"/>
                <w:b/>
                <w:noProof/>
              </w:rPr>
              <w:t>mechanizmu ograniczenia cen na głównej europejskiej giełdzie gazu</w:t>
            </w:r>
          </w:p>
          <w:p w14:paraId="12945D90" w14:textId="77777777"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eop"/>
                <w:noProof/>
              </w:rPr>
              <w:t xml:space="preserve"> </w:t>
            </w:r>
          </w:p>
        </w:tc>
      </w:tr>
      <w:tr w:rsidR="00DA69E9" w:rsidRPr="00664FDB" w14:paraId="6D8B21FA" w14:textId="77777777" w:rsidTr="4031E0F3">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0F716582" w14:textId="79E8B9DB" w:rsidR="00DA69E9" w:rsidRPr="00664FDB" w:rsidRDefault="48E10088" w:rsidP="4031E0F3">
            <w:pPr>
              <w:pStyle w:val="paragraph"/>
              <w:spacing w:before="0" w:beforeAutospacing="0" w:after="0" w:afterAutospacing="0"/>
              <w:jc w:val="both"/>
              <w:textAlignment w:val="baseline"/>
              <w:rPr>
                <w:rFonts w:ascii="Segoe UI" w:hAnsi="Segoe UI" w:cs="Segoe UI"/>
                <w:noProof/>
                <w:sz w:val="18"/>
                <w:szCs w:val="18"/>
              </w:rPr>
            </w:pPr>
            <w:r w:rsidRPr="00664FDB">
              <w:rPr>
                <w:rStyle w:val="normaltextrun"/>
                <w:noProof/>
                <w:color w:val="000000" w:themeColor="text1"/>
              </w:rPr>
              <w:t>Komisja proponuje</w:t>
            </w:r>
            <w:r w:rsidR="00664FDB" w:rsidRPr="00664FDB">
              <w:rPr>
                <w:rStyle w:val="normaltextrun"/>
                <w:noProof/>
                <w:color w:val="000000" w:themeColor="text1"/>
              </w:rPr>
              <w:t xml:space="preserve"> </w:t>
            </w:r>
            <w:r w:rsidRPr="00664FDB">
              <w:rPr>
                <w:rStyle w:val="normaltextrun"/>
                <w:b/>
                <w:noProof/>
              </w:rPr>
              <w:t xml:space="preserve">nowy tymczasowy mechanizm korytarza cen </w:t>
            </w:r>
            <w:r w:rsidRPr="00664FDB">
              <w:rPr>
                <w:b/>
                <w:noProof/>
              </w:rPr>
              <w:t xml:space="preserve">zapobiegający ich gwałtownym </w:t>
            </w:r>
            <w:r w:rsidRPr="00664FDB">
              <w:rPr>
                <w:rStyle w:val="normaltextrun"/>
                <w:b/>
                <w:noProof/>
              </w:rPr>
              <w:t>śróddziennym skokom</w:t>
            </w:r>
            <w:r w:rsidRPr="00664FDB">
              <w:rPr>
                <w:rStyle w:val="normaltextrun"/>
                <w:noProof/>
              </w:rPr>
              <w:t>, by zapobiec nadmiernym wahaniom cen na rynkach instrumentów pochodnych</w:t>
            </w:r>
            <w:r w:rsidR="00664FDB" w:rsidRPr="00664FDB">
              <w:rPr>
                <w:rStyle w:val="normaltextrun"/>
                <w:noProof/>
              </w:rPr>
              <w:t xml:space="preserve"> w</w:t>
            </w:r>
            <w:r w:rsidR="00664FDB">
              <w:rPr>
                <w:rStyle w:val="normaltextrun"/>
                <w:noProof/>
              </w:rPr>
              <w:t> </w:t>
            </w:r>
            <w:r w:rsidR="00664FDB" w:rsidRPr="00664FDB">
              <w:rPr>
                <w:rStyle w:val="normaltextrun"/>
                <w:noProof/>
              </w:rPr>
              <w:t>dzi</w:t>
            </w:r>
            <w:r w:rsidRPr="00664FDB">
              <w:rPr>
                <w:rStyle w:val="normaltextrun"/>
                <w:noProof/>
              </w:rPr>
              <w:t>edzinie energii</w:t>
            </w:r>
            <w:r w:rsidR="00664FDB" w:rsidRPr="00664FDB">
              <w:rPr>
                <w:rStyle w:val="normaltextrun"/>
                <w:noProof/>
              </w:rPr>
              <w:t xml:space="preserve"> i</w:t>
            </w:r>
            <w:r w:rsidR="00664FDB">
              <w:rPr>
                <w:rStyle w:val="normaltextrun"/>
                <w:noProof/>
              </w:rPr>
              <w:t> </w:t>
            </w:r>
            <w:r w:rsidR="00664FDB" w:rsidRPr="00664FDB">
              <w:rPr>
                <w:rStyle w:val="normaltextrun"/>
                <w:noProof/>
              </w:rPr>
              <w:t>spo</w:t>
            </w:r>
            <w:r w:rsidRPr="00664FDB">
              <w:rPr>
                <w:rStyle w:val="normaltextrun"/>
                <w:noProof/>
              </w:rPr>
              <w:t>wolnić wzrost tych cen</w:t>
            </w:r>
            <w:r w:rsidRPr="00664FDB">
              <w:rPr>
                <w:rStyle w:val="eop"/>
                <w:noProof/>
              </w:rPr>
              <w:t xml:space="preserve"> </w:t>
            </w:r>
          </w:p>
          <w:p w14:paraId="0C4FD42B" w14:textId="77777777"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p>
        </w:tc>
      </w:tr>
      <w:tr w:rsidR="00DA69E9" w:rsidRPr="00664FDB" w14:paraId="044CADB3" w14:textId="77777777" w:rsidTr="4031E0F3">
        <w:tc>
          <w:tcPr>
            <w:tcW w:w="921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DA3620B" w14:textId="0DB3607D" w:rsidR="00DA69E9" w:rsidRPr="00664FDB" w:rsidRDefault="00DA69E9" w:rsidP="00AA3D2E">
            <w:pPr>
              <w:pStyle w:val="paragraph"/>
              <w:spacing w:before="0" w:beforeAutospacing="0" w:after="0" w:afterAutospacing="0"/>
              <w:jc w:val="both"/>
              <w:textAlignment w:val="baseline"/>
              <w:rPr>
                <w:rStyle w:val="normaltextrun"/>
                <w:b/>
                <w:bCs/>
                <w:smallCaps/>
                <w:noProof/>
              </w:rPr>
            </w:pPr>
            <w:r w:rsidRPr="00664FDB">
              <w:rPr>
                <w:rStyle w:val="normaltextrun"/>
                <w:b/>
                <w:smallCaps/>
                <w:noProof/>
              </w:rPr>
              <w:t>łagodzenie skutków wysokich cen gazu</w:t>
            </w:r>
          </w:p>
          <w:p w14:paraId="4FF4FAF7" w14:textId="77777777"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eop"/>
                <w:noProof/>
                <w:color w:val="000000"/>
              </w:rPr>
              <w:t xml:space="preserve"> </w:t>
            </w:r>
          </w:p>
        </w:tc>
      </w:tr>
      <w:tr w:rsidR="00DA69E9" w:rsidRPr="00664FDB" w14:paraId="66B6D93D" w14:textId="77777777" w:rsidTr="4031E0F3">
        <w:trPr>
          <w:trHeight w:val="555"/>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0CB068F3" w14:textId="14A484BD" w:rsidR="00DA69E9" w:rsidRPr="00664FDB" w:rsidRDefault="00DA69E9" w:rsidP="00116290">
            <w:pPr>
              <w:pStyle w:val="paragraph"/>
              <w:spacing w:before="0" w:beforeAutospacing="0" w:after="0" w:afterAutospacing="0"/>
              <w:jc w:val="both"/>
              <w:textAlignment w:val="baseline"/>
              <w:rPr>
                <w:b/>
                <w:bCs/>
                <w:noProof/>
              </w:rPr>
            </w:pPr>
            <w:r w:rsidRPr="00664FDB">
              <w:rPr>
                <w:rStyle w:val="normaltextrun"/>
                <w:b/>
                <w:noProof/>
              </w:rPr>
              <w:t>Przed końcem października Komisja zmieni tymczasowe kryzysowe ramy pomocy państwa</w:t>
            </w:r>
          </w:p>
        </w:tc>
      </w:tr>
      <w:tr w:rsidR="00DA69E9" w:rsidRPr="00664FDB" w14:paraId="7E892E81" w14:textId="77777777" w:rsidTr="4031E0F3">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0FB8E463" w14:textId="7E94E2A7"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normaltextrun"/>
                <w:noProof/>
                <w:color w:val="000000"/>
              </w:rPr>
              <w:t>Komisja, we współpracy</w:t>
            </w:r>
            <w:r w:rsidR="00664FDB" w:rsidRPr="00664FDB">
              <w:rPr>
                <w:rStyle w:val="normaltextrun"/>
                <w:noProof/>
                <w:color w:val="000000"/>
              </w:rPr>
              <w:t xml:space="preserve"> z</w:t>
            </w:r>
            <w:r w:rsidR="00664FDB">
              <w:rPr>
                <w:rStyle w:val="normaltextrun"/>
                <w:noProof/>
                <w:color w:val="000000"/>
              </w:rPr>
              <w:t> </w:t>
            </w:r>
            <w:r w:rsidR="00664FDB" w:rsidRPr="00664FDB">
              <w:rPr>
                <w:rStyle w:val="normaltextrun"/>
                <w:noProof/>
                <w:color w:val="000000"/>
              </w:rPr>
              <w:t>Eur</w:t>
            </w:r>
            <w:r w:rsidRPr="00664FDB">
              <w:rPr>
                <w:rStyle w:val="normaltextrun"/>
                <w:noProof/>
                <w:color w:val="000000"/>
              </w:rPr>
              <w:t>opejskim Urzędem Nadzoru Giełd</w:t>
            </w:r>
            <w:r w:rsidR="00664FDB" w:rsidRPr="00664FDB">
              <w:rPr>
                <w:rStyle w:val="normaltextrun"/>
                <w:noProof/>
                <w:color w:val="000000"/>
              </w:rPr>
              <w:t xml:space="preserve"> i</w:t>
            </w:r>
            <w:r w:rsidR="00664FDB">
              <w:rPr>
                <w:rStyle w:val="normaltextrun"/>
                <w:noProof/>
                <w:color w:val="000000"/>
              </w:rPr>
              <w:t> </w:t>
            </w:r>
            <w:r w:rsidR="00664FDB" w:rsidRPr="00664FDB">
              <w:rPr>
                <w:rStyle w:val="normaltextrun"/>
                <w:noProof/>
                <w:color w:val="000000"/>
              </w:rPr>
              <w:t>Pap</w:t>
            </w:r>
            <w:r w:rsidRPr="00664FDB">
              <w:rPr>
                <w:rStyle w:val="normaltextrun"/>
                <w:noProof/>
                <w:color w:val="000000"/>
              </w:rPr>
              <w:t xml:space="preserve">ierów Wartościowych, </w:t>
            </w:r>
            <w:r w:rsidRPr="00664FDB">
              <w:rPr>
                <w:rStyle w:val="normaltextrun"/>
                <w:b/>
                <w:noProof/>
                <w:color w:val="000000"/>
              </w:rPr>
              <w:t>proponuje</w:t>
            </w:r>
            <w:r w:rsidRPr="00664FDB">
              <w:rPr>
                <w:rStyle w:val="normaltextrun"/>
                <w:b/>
                <w:noProof/>
              </w:rPr>
              <w:t xml:space="preserve"> dwa rozporządzenia delegowane, aby złagodzić wzmożoną presję na płynność uczestników rynku niefinansowego</w:t>
            </w:r>
            <w:r w:rsidRPr="00664FDB">
              <w:rPr>
                <w:rStyle w:val="normaltextrun"/>
                <w:noProof/>
              </w:rPr>
              <w:t xml:space="preserve"> wynikającą ze zwiększonych wymogów dotyczących depozytu zabezpieczającego</w:t>
            </w:r>
            <w:r w:rsidRPr="00664FDB">
              <w:rPr>
                <w:rStyle w:val="eop"/>
                <w:noProof/>
              </w:rPr>
              <w:t xml:space="preserve"> </w:t>
            </w:r>
          </w:p>
          <w:p w14:paraId="431E5AAB" w14:textId="77777777"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eop"/>
                <w:noProof/>
              </w:rPr>
              <w:t xml:space="preserve"> </w:t>
            </w:r>
          </w:p>
        </w:tc>
      </w:tr>
      <w:tr w:rsidR="00DA69E9" w:rsidRPr="00664FDB" w14:paraId="2D17EE60" w14:textId="77777777" w:rsidTr="4031E0F3">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6FCA09A4" w14:textId="6EC8175B"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normaltextrun"/>
                <w:b/>
                <w:noProof/>
                <w:color w:val="000000"/>
              </w:rPr>
              <w:t>Dodatkowe finansowanie</w:t>
            </w:r>
            <w:r w:rsidR="00664FDB" w:rsidRPr="00664FDB">
              <w:rPr>
                <w:rStyle w:val="normaltextrun"/>
                <w:noProof/>
                <w:color w:val="000000"/>
              </w:rPr>
              <w:t xml:space="preserve"> w</w:t>
            </w:r>
            <w:r w:rsidR="00664FDB">
              <w:rPr>
                <w:rStyle w:val="normaltextrun"/>
                <w:noProof/>
                <w:color w:val="000000"/>
              </w:rPr>
              <w:t> </w:t>
            </w:r>
            <w:r w:rsidR="00664FDB" w:rsidRPr="00664FDB">
              <w:rPr>
                <w:rStyle w:val="normaltextrun"/>
                <w:noProof/>
                <w:color w:val="000000"/>
              </w:rPr>
              <w:t>ram</w:t>
            </w:r>
            <w:r w:rsidRPr="00664FDB">
              <w:rPr>
                <w:rStyle w:val="normaltextrun"/>
                <w:noProof/>
                <w:color w:val="000000"/>
              </w:rPr>
              <w:t>ach polityki spójności (zmiana rozporządzenia</w:t>
            </w:r>
            <w:r w:rsidR="00664FDB" w:rsidRPr="00664FDB">
              <w:rPr>
                <w:rStyle w:val="normaltextrun"/>
                <w:noProof/>
                <w:color w:val="000000"/>
              </w:rPr>
              <w:t xml:space="preserve"> w</w:t>
            </w:r>
            <w:r w:rsidR="00664FDB">
              <w:rPr>
                <w:rStyle w:val="normaltextrun"/>
                <w:noProof/>
                <w:color w:val="000000"/>
              </w:rPr>
              <w:t> </w:t>
            </w:r>
            <w:r w:rsidR="00664FDB" w:rsidRPr="00664FDB">
              <w:rPr>
                <w:rStyle w:val="normaltextrun"/>
                <w:noProof/>
                <w:color w:val="000000"/>
              </w:rPr>
              <w:t>spr</w:t>
            </w:r>
            <w:r w:rsidRPr="00664FDB">
              <w:rPr>
                <w:rStyle w:val="normaltextrun"/>
                <w:noProof/>
                <w:color w:val="000000"/>
              </w:rPr>
              <w:t>awie wspólnych przepisów) oraz</w:t>
            </w:r>
            <w:r w:rsidR="00664FDB" w:rsidRPr="00664FDB">
              <w:rPr>
                <w:rStyle w:val="normaltextrun"/>
                <w:noProof/>
                <w:color w:val="000000"/>
              </w:rPr>
              <w:t xml:space="preserve"> w</w:t>
            </w:r>
            <w:r w:rsidR="00664FDB">
              <w:rPr>
                <w:rStyle w:val="normaltextrun"/>
                <w:noProof/>
                <w:color w:val="000000"/>
              </w:rPr>
              <w:t> </w:t>
            </w:r>
            <w:r w:rsidR="00664FDB" w:rsidRPr="00664FDB">
              <w:rPr>
                <w:rStyle w:val="normaltextrun"/>
                <w:noProof/>
                <w:color w:val="000000"/>
              </w:rPr>
              <w:t>ram</w:t>
            </w:r>
            <w:r w:rsidRPr="00664FDB">
              <w:rPr>
                <w:rStyle w:val="normaltextrun"/>
                <w:noProof/>
                <w:color w:val="000000"/>
              </w:rPr>
              <w:t xml:space="preserve">ach REPowerEU </w:t>
            </w:r>
          </w:p>
          <w:p w14:paraId="34E0BF4E" w14:textId="77777777" w:rsidR="00DA69E9" w:rsidRPr="00664FDB" w:rsidRDefault="00DA69E9" w:rsidP="00AA3D2E">
            <w:pPr>
              <w:pStyle w:val="paragraph"/>
              <w:spacing w:before="0" w:beforeAutospacing="0" w:after="0" w:afterAutospacing="0"/>
              <w:jc w:val="both"/>
              <w:textAlignment w:val="baseline"/>
              <w:rPr>
                <w:rFonts w:ascii="Segoe UI" w:hAnsi="Segoe UI" w:cs="Segoe UI"/>
                <w:noProof/>
                <w:sz w:val="18"/>
                <w:szCs w:val="18"/>
              </w:rPr>
            </w:pPr>
            <w:r w:rsidRPr="00664FDB">
              <w:rPr>
                <w:rStyle w:val="eop"/>
                <w:noProof/>
              </w:rPr>
              <w:t xml:space="preserve"> </w:t>
            </w:r>
          </w:p>
        </w:tc>
      </w:tr>
      <w:tr w:rsidR="00DA69E9" w:rsidRPr="00664FDB" w14:paraId="35CC08B9" w14:textId="77777777" w:rsidTr="4031E0F3">
        <w:tc>
          <w:tcPr>
            <w:tcW w:w="9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A20A6F4" w14:textId="500C7140" w:rsidR="00DA69E9" w:rsidRPr="00664FDB" w:rsidRDefault="00BD4800" w:rsidP="00AA3D2E">
            <w:pPr>
              <w:pStyle w:val="paragraph"/>
              <w:spacing w:before="0" w:beforeAutospacing="0" w:after="0" w:afterAutospacing="0"/>
              <w:jc w:val="both"/>
              <w:textAlignment w:val="baseline"/>
              <w:rPr>
                <w:rStyle w:val="normaltextrun"/>
                <w:b/>
                <w:bCs/>
                <w:smallCaps/>
                <w:noProof/>
              </w:rPr>
            </w:pPr>
            <w:r w:rsidRPr="00664FDB">
              <w:rPr>
                <w:rStyle w:val="normaltextrun"/>
                <w:b/>
                <w:smallCaps/>
                <w:noProof/>
              </w:rPr>
              <w:t>Ochrona</w:t>
            </w:r>
            <w:r w:rsidR="00664FDB" w:rsidRPr="00664FDB">
              <w:rPr>
                <w:rStyle w:val="normaltextrun"/>
                <w:b/>
                <w:smallCaps/>
                <w:noProof/>
              </w:rPr>
              <w:t xml:space="preserve"> i</w:t>
            </w:r>
            <w:r w:rsidR="00664FDB">
              <w:rPr>
                <w:rStyle w:val="normaltextrun"/>
                <w:b/>
                <w:smallCaps/>
                <w:noProof/>
              </w:rPr>
              <w:t> </w:t>
            </w:r>
            <w:r w:rsidR="00664FDB" w:rsidRPr="00664FDB">
              <w:rPr>
                <w:rStyle w:val="normaltextrun"/>
                <w:b/>
                <w:smallCaps/>
                <w:noProof/>
              </w:rPr>
              <w:t>opt</w:t>
            </w:r>
            <w:r w:rsidRPr="00664FDB">
              <w:rPr>
                <w:rStyle w:val="normaltextrun"/>
                <w:b/>
                <w:smallCaps/>
                <w:noProof/>
              </w:rPr>
              <w:t>ymalizacja infrastruktury </w:t>
            </w:r>
          </w:p>
          <w:p w14:paraId="21B19C75" w14:textId="77777777" w:rsidR="00DA69E9" w:rsidRPr="00664FDB" w:rsidRDefault="00DA69E9" w:rsidP="00AA3D2E">
            <w:pPr>
              <w:pStyle w:val="paragraph"/>
              <w:spacing w:before="0" w:beforeAutospacing="0" w:after="0" w:afterAutospacing="0"/>
              <w:textAlignment w:val="baseline"/>
              <w:rPr>
                <w:rFonts w:ascii="Segoe UI" w:hAnsi="Segoe UI" w:cs="Segoe UI"/>
                <w:noProof/>
                <w:sz w:val="18"/>
                <w:szCs w:val="18"/>
              </w:rPr>
            </w:pPr>
          </w:p>
        </w:tc>
      </w:tr>
      <w:tr w:rsidR="00DA69E9" w:rsidRPr="00664FDB" w14:paraId="498AC443" w14:textId="77777777" w:rsidTr="4031E0F3">
        <w:tc>
          <w:tcPr>
            <w:tcW w:w="9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778156" w14:textId="7BEA168F" w:rsidR="00DA69E9" w:rsidRPr="00664FDB" w:rsidRDefault="00DA69E9" w:rsidP="00AA3D2E">
            <w:pPr>
              <w:pStyle w:val="paragraph"/>
              <w:spacing w:before="0" w:beforeAutospacing="0" w:after="0" w:afterAutospacing="0"/>
              <w:textAlignment w:val="baseline"/>
              <w:rPr>
                <w:rFonts w:ascii="Segoe UI" w:hAnsi="Segoe UI" w:cs="Segoe UI"/>
                <w:noProof/>
                <w:sz w:val="18"/>
                <w:szCs w:val="18"/>
              </w:rPr>
            </w:pPr>
            <w:r w:rsidRPr="00664FDB">
              <w:rPr>
                <w:rStyle w:val="normaltextrun"/>
                <w:b/>
                <w:noProof/>
              </w:rPr>
              <w:t>Zalecenie Rady</w:t>
            </w:r>
            <w:r w:rsidR="00664FDB" w:rsidRPr="00664FDB">
              <w:rPr>
                <w:rStyle w:val="normaltextrun"/>
                <w:b/>
                <w:noProof/>
              </w:rPr>
              <w:t xml:space="preserve"> w</w:t>
            </w:r>
            <w:r w:rsidR="00664FDB">
              <w:rPr>
                <w:rStyle w:val="normaltextrun"/>
                <w:b/>
                <w:noProof/>
              </w:rPr>
              <w:t> </w:t>
            </w:r>
            <w:r w:rsidR="00664FDB" w:rsidRPr="00664FDB">
              <w:rPr>
                <w:rStyle w:val="normaltextrun"/>
                <w:b/>
                <w:noProof/>
              </w:rPr>
              <w:t>spr</w:t>
            </w:r>
            <w:r w:rsidRPr="00664FDB">
              <w:rPr>
                <w:rStyle w:val="normaltextrun"/>
                <w:b/>
                <w:noProof/>
              </w:rPr>
              <w:t>awie infrastruktury krytycznej</w:t>
            </w:r>
            <w:r w:rsidRPr="00664FDB">
              <w:rPr>
                <w:rStyle w:val="eop"/>
                <w:noProof/>
              </w:rPr>
              <w:t xml:space="preserve"> </w:t>
            </w:r>
          </w:p>
          <w:p w14:paraId="56A9C22B" w14:textId="77777777" w:rsidR="00DA69E9" w:rsidRPr="00664FDB" w:rsidRDefault="00DA69E9" w:rsidP="00AA3D2E">
            <w:pPr>
              <w:pStyle w:val="paragraph"/>
              <w:spacing w:before="0" w:beforeAutospacing="0" w:after="0" w:afterAutospacing="0"/>
              <w:textAlignment w:val="baseline"/>
              <w:rPr>
                <w:rFonts w:ascii="Segoe UI" w:hAnsi="Segoe UI" w:cs="Segoe UI"/>
                <w:noProof/>
                <w:sz w:val="18"/>
                <w:szCs w:val="18"/>
              </w:rPr>
            </w:pPr>
          </w:p>
        </w:tc>
      </w:tr>
      <w:tr w:rsidR="00DA69E9" w:rsidRPr="00664FDB" w14:paraId="44351646" w14:textId="77777777" w:rsidTr="4031E0F3">
        <w:tc>
          <w:tcPr>
            <w:tcW w:w="9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98139B" w14:textId="56B8F548" w:rsidR="00DA69E9" w:rsidRPr="00664FDB" w:rsidRDefault="00DA69E9" w:rsidP="00AA3D2E">
            <w:pPr>
              <w:pStyle w:val="paragraph"/>
              <w:spacing w:before="0" w:beforeAutospacing="0" w:after="0" w:afterAutospacing="0"/>
              <w:textAlignment w:val="baseline"/>
              <w:rPr>
                <w:rFonts w:ascii="Segoe UI" w:hAnsi="Segoe UI" w:cs="Segoe UI"/>
                <w:noProof/>
                <w:sz w:val="18"/>
                <w:szCs w:val="18"/>
              </w:rPr>
            </w:pPr>
            <w:r w:rsidRPr="00664FDB">
              <w:rPr>
                <w:rStyle w:val="normaltextrun"/>
                <w:noProof/>
                <w:color w:val="000000"/>
              </w:rPr>
              <w:t>Wniosek Komisji dotyczący korzystania</w:t>
            </w:r>
            <w:r w:rsidR="00664FDB" w:rsidRPr="00664FDB">
              <w:rPr>
                <w:rStyle w:val="normaltextrun"/>
                <w:noProof/>
                <w:color w:val="000000"/>
              </w:rPr>
              <w:t xml:space="preserve"> z</w:t>
            </w:r>
            <w:r w:rsidR="00664FDB">
              <w:rPr>
                <w:rStyle w:val="normaltextrun"/>
                <w:noProof/>
                <w:color w:val="000000"/>
              </w:rPr>
              <w:t> </w:t>
            </w:r>
            <w:r w:rsidR="00664FDB" w:rsidRPr="00664FDB">
              <w:rPr>
                <w:rStyle w:val="normaltextrun"/>
                <w:b/>
                <w:noProof/>
                <w:color w:val="000000"/>
              </w:rPr>
              <w:t>now</w:t>
            </w:r>
            <w:r w:rsidRPr="00664FDB">
              <w:rPr>
                <w:rStyle w:val="normaltextrun"/>
                <w:b/>
                <w:noProof/>
                <w:color w:val="000000"/>
              </w:rPr>
              <w:t>ych narzędzi</w:t>
            </w:r>
            <w:r w:rsidR="00664FDB" w:rsidRPr="00664FDB">
              <w:rPr>
                <w:rStyle w:val="normaltextrun"/>
                <w:b/>
                <w:noProof/>
                <w:color w:val="000000"/>
              </w:rPr>
              <w:t xml:space="preserve"> w</w:t>
            </w:r>
            <w:r w:rsidR="00664FDB">
              <w:rPr>
                <w:rStyle w:val="normaltextrun"/>
                <w:b/>
                <w:noProof/>
                <w:color w:val="000000"/>
              </w:rPr>
              <w:t> </w:t>
            </w:r>
            <w:r w:rsidR="00664FDB" w:rsidRPr="00664FDB">
              <w:rPr>
                <w:rStyle w:val="normaltextrun"/>
                <w:b/>
                <w:noProof/>
                <w:color w:val="000000"/>
              </w:rPr>
              <w:t>cel</w:t>
            </w:r>
            <w:r w:rsidRPr="00664FDB">
              <w:rPr>
                <w:rStyle w:val="normaltextrun"/>
                <w:b/>
                <w:noProof/>
                <w:color w:val="000000"/>
              </w:rPr>
              <w:t>u zapewnienia większej przejrzystości</w:t>
            </w:r>
            <w:r w:rsidR="00664FDB" w:rsidRPr="00664FDB">
              <w:rPr>
                <w:rStyle w:val="normaltextrun"/>
                <w:b/>
                <w:noProof/>
                <w:color w:val="000000"/>
              </w:rPr>
              <w:t xml:space="preserve"> w</w:t>
            </w:r>
            <w:r w:rsidR="00664FDB">
              <w:rPr>
                <w:rStyle w:val="normaltextrun"/>
                <w:b/>
                <w:noProof/>
                <w:color w:val="000000"/>
              </w:rPr>
              <w:t> </w:t>
            </w:r>
            <w:r w:rsidR="00664FDB" w:rsidRPr="00664FDB">
              <w:rPr>
                <w:rStyle w:val="normaltextrun"/>
                <w:b/>
                <w:noProof/>
                <w:color w:val="000000"/>
              </w:rPr>
              <w:t>zak</w:t>
            </w:r>
            <w:r w:rsidRPr="00664FDB">
              <w:rPr>
                <w:rStyle w:val="normaltextrun"/>
                <w:b/>
                <w:noProof/>
                <w:color w:val="000000"/>
              </w:rPr>
              <w:t>resie</w:t>
            </w:r>
            <w:r w:rsidRPr="00664FDB">
              <w:rPr>
                <w:rStyle w:val="normaltextrun"/>
                <w:noProof/>
                <w:color w:val="000000"/>
              </w:rPr>
              <w:t xml:space="preserve"> zdolności (wniosek na mocy art.</w:t>
            </w:r>
            <w:r w:rsidR="00664FDB" w:rsidRPr="00664FDB">
              <w:rPr>
                <w:rStyle w:val="normaltextrun"/>
                <w:noProof/>
                <w:color w:val="000000"/>
              </w:rPr>
              <w:t> </w:t>
            </w:r>
            <w:r w:rsidRPr="00664FDB">
              <w:rPr>
                <w:rStyle w:val="normaltextrun"/>
                <w:noProof/>
                <w:color w:val="000000"/>
              </w:rPr>
              <w:t>122)</w:t>
            </w:r>
            <w:r w:rsidRPr="00664FDB">
              <w:rPr>
                <w:rStyle w:val="eop"/>
                <w:noProof/>
                <w:color w:val="000000"/>
              </w:rPr>
              <w:t xml:space="preserve"> </w:t>
            </w:r>
          </w:p>
        </w:tc>
      </w:tr>
      <w:tr w:rsidR="00DA69E9" w:rsidRPr="00664FDB" w14:paraId="6FEDA6A2" w14:textId="77777777" w:rsidTr="4031E0F3">
        <w:tc>
          <w:tcPr>
            <w:tcW w:w="9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A443BC" w14:textId="77777777" w:rsidR="00DA69E9" w:rsidRPr="00664FDB" w:rsidRDefault="00DA69E9" w:rsidP="00AA3D2E">
            <w:pPr>
              <w:pStyle w:val="paragraph"/>
              <w:spacing w:before="0" w:beforeAutospacing="0" w:after="0" w:afterAutospacing="0"/>
              <w:textAlignment w:val="baseline"/>
              <w:rPr>
                <w:rStyle w:val="normaltextrun"/>
                <w:b/>
                <w:bCs/>
                <w:noProof/>
              </w:rPr>
            </w:pPr>
            <w:r w:rsidRPr="00664FDB">
              <w:rPr>
                <w:rStyle w:val="normaltextrun"/>
                <w:b/>
                <w:noProof/>
              </w:rPr>
              <w:t>Szybszy wzrost produkcji energii ze źródeł odnawialnych poprzez przyspieszenie procedur wydawania pozwoleń </w:t>
            </w:r>
          </w:p>
          <w:p w14:paraId="0FC76801" w14:textId="77777777" w:rsidR="006A47C2" w:rsidRPr="00664FDB" w:rsidRDefault="006A47C2" w:rsidP="00AA3D2E">
            <w:pPr>
              <w:pStyle w:val="paragraph"/>
              <w:spacing w:before="0" w:beforeAutospacing="0" w:after="0" w:afterAutospacing="0"/>
              <w:textAlignment w:val="baseline"/>
              <w:rPr>
                <w:b/>
                <w:bCs/>
                <w:noProof/>
              </w:rPr>
            </w:pPr>
          </w:p>
        </w:tc>
      </w:tr>
    </w:tbl>
    <w:p w14:paraId="0B1E7E81" w14:textId="77777777" w:rsidR="00DA69E9" w:rsidRPr="00664FDB" w:rsidRDefault="00DA69E9" w:rsidP="00CC3215">
      <w:pPr>
        <w:spacing w:line="257" w:lineRule="auto"/>
        <w:rPr>
          <w:rFonts w:ascii="Times New Roman" w:eastAsia="Times New Roman" w:hAnsi="Times New Roman" w:cs="Times New Roman"/>
          <w:noProof/>
          <w:sz w:val="24"/>
          <w:szCs w:val="24"/>
        </w:rPr>
      </w:pPr>
    </w:p>
    <w:sectPr w:rsidR="00DA69E9" w:rsidRPr="00664FDB" w:rsidSect="0009621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F0BE1" w14:textId="77777777" w:rsidR="00C457DB" w:rsidRPr="00664FDB" w:rsidRDefault="00C457DB">
      <w:pPr>
        <w:spacing w:after="0" w:line="240" w:lineRule="auto"/>
      </w:pPr>
      <w:r w:rsidRPr="00664FDB">
        <w:separator/>
      </w:r>
    </w:p>
  </w:endnote>
  <w:endnote w:type="continuationSeparator" w:id="0">
    <w:p w14:paraId="4B698A77" w14:textId="77777777" w:rsidR="00C457DB" w:rsidRPr="00664FDB" w:rsidRDefault="00C457DB">
      <w:pPr>
        <w:spacing w:after="0" w:line="240" w:lineRule="auto"/>
      </w:pPr>
      <w:r w:rsidRPr="00664FDB">
        <w:continuationSeparator/>
      </w:r>
    </w:p>
  </w:endnote>
  <w:endnote w:type="continuationNotice" w:id="1">
    <w:p w14:paraId="1C75341D" w14:textId="77777777" w:rsidR="00C457DB" w:rsidRPr="00664FDB" w:rsidRDefault="00C45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4C23" w14:textId="77777777" w:rsidR="004475EB" w:rsidRPr="004475EB" w:rsidRDefault="004475EB" w:rsidP="00447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805A" w14:textId="0A29BD81" w:rsidR="00664FDB" w:rsidRPr="004475EB" w:rsidRDefault="004475EB" w:rsidP="004475EB">
    <w:pPr>
      <w:pStyle w:val="FooterCoverPage"/>
      <w:rPr>
        <w:rFonts w:ascii="Arial" w:hAnsi="Arial" w:cs="Arial"/>
        <w:b/>
        <w:sz w:val="48"/>
      </w:rPr>
    </w:pPr>
    <w:r w:rsidRPr="004475EB">
      <w:rPr>
        <w:rFonts w:ascii="Arial" w:hAnsi="Arial" w:cs="Arial"/>
        <w:b/>
        <w:sz w:val="48"/>
      </w:rPr>
      <w:t>PL</w:t>
    </w:r>
    <w:r w:rsidRPr="004475EB">
      <w:rPr>
        <w:rFonts w:ascii="Arial" w:hAnsi="Arial" w:cs="Arial"/>
        <w:b/>
        <w:sz w:val="48"/>
      </w:rPr>
      <w:tab/>
    </w:r>
    <w:r w:rsidRPr="004475EB">
      <w:rPr>
        <w:rFonts w:ascii="Arial" w:hAnsi="Arial" w:cs="Arial"/>
        <w:b/>
        <w:sz w:val="48"/>
      </w:rPr>
      <w:tab/>
    </w:r>
    <w:r w:rsidRPr="004475EB">
      <w:tab/>
    </w:r>
    <w:r w:rsidRPr="004475EB">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DAE4D" w14:textId="77777777" w:rsidR="004475EB" w:rsidRPr="004475EB" w:rsidRDefault="004475EB" w:rsidP="004475E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D1C6B" w14:textId="77777777" w:rsidR="00096218" w:rsidRDefault="000962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597384"/>
      <w:docPartObj>
        <w:docPartGallery w:val="Page Numbers (Bottom of Page)"/>
        <w:docPartUnique/>
      </w:docPartObj>
    </w:sdtPr>
    <w:sdtEndPr>
      <w:rPr>
        <w:rFonts w:ascii="Times New Roman" w:hAnsi="Times New Roman" w:cs="Times New Roman"/>
        <w:noProof/>
      </w:rPr>
    </w:sdtEndPr>
    <w:sdtContent>
      <w:p w14:paraId="27FA268C" w14:textId="01A04F40" w:rsidR="00096218" w:rsidRPr="00096218" w:rsidRDefault="00096218">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475EB">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1DE42" w14:textId="77777777" w:rsidR="00096218" w:rsidRDefault="00096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6BE2A" w14:textId="77777777" w:rsidR="00C457DB" w:rsidRPr="00664FDB" w:rsidRDefault="00C457DB">
      <w:pPr>
        <w:spacing w:after="0" w:line="240" w:lineRule="auto"/>
      </w:pPr>
      <w:r w:rsidRPr="00664FDB">
        <w:separator/>
      </w:r>
    </w:p>
  </w:footnote>
  <w:footnote w:type="continuationSeparator" w:id="0">
    <w:p w14:paraId="457B5A3B" w14:textId="77777777" w:rsidR="00C457DB" w:rsidRPr="00664FDB" w:rsidRDefault="00C457DB">
      <w:pPr>
        <w:spacing w:after="0" w:line="240" w:lineRule="auto"/>
      </w:pPr>
      <w:r w:rsidRPr="00664FDB">
        <w:continuationSeparator/>
      </w:r>
    </w:p>
  </w:footnote>
  <w:footnote w:type="continuationNotice" w:id="1">
    <w:p w14:paraId="6DC13AA9" w14:textId="77777777" w:rsidR="00C457DB" w:rsidRPr="00664FDB" w:rsidRDefault="00C457DB">
      <w:pPr>
        <w:spacing w:after="0" w:line="240" w:lineRule="auto"/>
      </w:pPr>
    </w:p>
  </w:footnote>
  <w:footnote w:id="2">
    <w:p w14:paraId="320DD991" w14:textId="77777777" w:rsidR="00AF6BA7" w:rsidRPr="00664FDB" w:rsidRDefault="00AF6BA7" w:rsidP="458CA815">
      <w:pPr>
        <w:pStyle w:val="FootnoteText"/>
        <w:rPr>
          <w:rFonts w:ascii="Times New Roman" w:hAnsi="Times New Roman" w:cs="Times New Roman"/>
        </w:rPr>
      </w:pPr>
      <w:r w:rsidRPr="00664FDB">
        <w:rPr>
          <w:rStyle w:val="FootnoteReference"/>
        </w:rPr>
        <w:footnoteRef/>
      </w:r>
      <w:r w:rsidRPr="00664FDB">
        <w:t xml:space="preserve"> </w:t>
      </w:r>
      <w:hyperlink r:id="rId1" w:history="1">
        <w:r w:rsidRPr="00664FDB">
          <w:rPr>
            <w:rStyle w:val="Hyperlink"/>
            <w:rFonts w:ascii="Times New Roman" w:hAnsi="Times New Roman"/>
          </w:rPr>
          <w:t>EUR-Lex - 52022DC0360 - PL - EUR-Lex (europa.eu)</w:t>
        </w:r>
      </w:hyperlink>
    </w:p>
  </w:footnote>
  <w:footnote w:id="3">
    <w:p w14:paraId="58604E2A" w14:textId="41C6030B" w:rsidR="00AF6BA7" w:rsidRPr="00664FDB" w:rsidRDefault="00AF6BA7" w:rsidP="458CA815">
      <w:pPr>
        <w:pStyle w:val="FootnoteText"/>
        <w:rPr>
          <w:rFonts w:ascii="Times New Roman" w:hAnsi="Times New Roman" w:cs="Times New Roman"/>
        </w:rPr>
      </w:pPr>
      <w:r w:rsidRPr="00664FDB">
        <w:rPr>
          <w:rStyle w:val="FootnoteReference"/>
          <w:rFonts w:ascii="Times New Roman" w:hAnsi="Times New Roman" w:cs="Times New Roman"/>
        </w:rPr>
        <w:footnoteRef/>
      </w:r>
      <w:r w:rsidRPr="00664FDB">
        <w:rPr>
          <w:rFonts w:ascii="Times New Roman" w:hAnsi="Times New Roman"/>
        </w:rPr>
        <w:t xml:space="preserve"> </w:t>
      </w:r>
      <w:hyperlink r:id="rId2" w:history="1">
        <w:r w:rsidRPr="00664FDB">
          <w:rPr>
            <w:rStyle w:val="Hyperlink"/>
            <w:rFonts w:ascii="Times New Roman" w:hAnsi="Times New Roman"/>
          </w:rPr>
          <w:t>EUR-Lex - 52022PC0473 - PL - EUR-Lex (europa.eu)</w:t>
        </w:r>
      </w:hyperlink>
      <w:r w:rsidRPr="00664FDB">
        <w:rPr>
          <w:rStyle w:val="Hyperlink"/>
          <w:rFonts w:ascii="Times New Roman" w:hAnsi="Times New Roman"/>
        </w:rPr>
        <w:t xml:space="preserve"> </w:t>
      </w:r>
    </w:p>
  </w:footnote>
  <w:footnote w:id="4">
    <w:p w14:paraId="01A38DD5" w14:textId="6EC8D361" w:rsidR="00EF56D5" w:rsidRPr="00664FDB" w:rsidRDefault="00EF56D5">
      <w:pPr>
        <w:pStyle w:val="FootnoteText"/>
        <w:rPr>
          <w:rStyle w:val="Hyperlink"/>
          <w:rFonts w:ascii="Times New Roman" w:hAnsi="Times New Roman" w:cs="Times New Roman"/>
        </w:rPr>
      </w:pPr>
      <w:r w:rsidRPr="00664FDB">
        <w:rPr>
          <w:rStyle w:val="FootnoteReference"/>
          <w:rFonts w:ascii="Times New Roman" w:hAnsi="Times New Roman" w:cs="Times New Roman"/>
        </w:rPr>
        <w:footnoteRef/>
      </w:r>
      <w:r w:rsidRPr="00664FDB">
        <w:rPr>
          <w:rStyle w:val="FootnoteReference"/>
          <w:rFonts w:ascii="Times New Roman" w:hAnsi="Times New Roman"/>
        </w:rPr>
        <w:t xml:space="preserve"> </w:t>
      </w:r>
      <w:r w:rsidRPr="00664FDB">
        <w:rPr>
          <w:rStyle w:val="Hyperlink"/>
          <w:rFonts w:ascii="Times New Roman" w:hAnsi="Times New Roman"/>
        </w:rPr>
        <w:t>Do potwierdzenia na podstawie sprawozdań państw członkowskich na temat wdrażania rozporządzenia</w:t>
      </w:r>
      <w:r w:rsidR="00664FDB" w:rsidRPr="00664FDB">
        <w:rPr>
          <w:rStyle w:val="Hyperlink"/>
          <w:rFonts w:ascii="Times New Roman" w:hAnsi="Times New Roman"/>
        </w:rPr>
        <w:t xml:space="preserve"> w</w:t>
      </w:r>
      <w:r w:rsidR="00664FDB">
        <w:rPr>
          <w:rStyle w:val="Hyperlink"/>
          <w:rFonts w:ascii="Times New Roman" w:hAnsi="Times New Roman"/>
        </w:rPr>
        <w:t> </w:t>
      </w:r>
      <w:r w:rsidR="00664FDB" w:rsidRPr="00664FDB">
        <w:rPr>
          <w:rStyle w:val="Hyperlink"/>
          <w:rFonts w:ascii="Times New Roman" w:hAnsi="Times New Roman"/>
        </w:rPr>
        <w:t>spr</w:t>
      </w:r>
      <w:r w:rsidRPr="00664FDB">
        <w:rPr>
          <w:rStyle w:val="Hyperlink"/>
          <w:rFonts w:ascii="Times New Roman" w:hAnsi="Times New Roman"/>
        </w:rPr>
        <w:t>awie oszczędzania gazu, które mają zostać przekazane do</w:t>
      </w:r>
      <w:r w:rsidR="00664FDB" w:rsidRPr="00664FDB">
        <w:rPr>
          <w:rStyle w:val="Hyperlink"/>
          <w:rFonts w:ascii="Times New Roman" w:hAnsi="Times New Roman"/>
        </w:rPr>
        <w:t> </w:t>
      </w:r>
      <w:r w:rsidRPr="00664FDB">
        <w:rPr>
          <w:rStyle w:val="Hyperlink"/>
          <w:rFonts w:ascii="Times New Roman" w:hAnsi="Times New Roman"/>
        </w:rPr>
        <w:t>15 października</w:t>
      </w:r>
    </w:p>
  </w:footnote>
  <w:footnote w:id="5">
    <w:p w14:paraId="6332CB73" w14:textId="6B2128D9" w:rsidR="008D53CD" w:rsidRPr="00664FDB" w:rsidRDefault="008D53CD">
      <w:pPr>
        <w:pStyle w:val="FootnoteText"/>
      </w:pPr>
      <w:r w:rsidRPr="00664FDB">
        <w:rPr>
          <w:rStyle w:val="FootnoteReference"/>
        </w:rPr>
        <w:footnoteRef/>
      </w:r>
      <w:r w:rsidRPr="00664FDB">
        <w:t xml:space="preserve"> </w:t>
      </w:r>
      <w:r w:rsidRPr="00664FDB">
        <w:rPr>
          <w:rStyle w:val="Hyperlink"/>
          <w:rFonts w:ascii="Times New Roman" w:hAnsi="Times New Roman"/>
        </w:rPr>
        <w:t>Rezolucja Parlamentu Europejskiego</w:t>
      </w:r>
      <w:r w:rsidR="00664FDB" w:rsidRPr="00664FDB">
        <w:rPr>
          <w:rStyle w:val="Hyperlink"/>
          <w:rFonts w:ascii="Times New Roman" w:hAnsi="Times New Roman"/>
        </w:rPr>
        <w:t xml:space="preserve"> z</w:t>
      </w:r>
      <w:r w:rsidR="00664FDB">
        <w:rPr>
          <w:rStyle w:val="Hyperlink"/>
          <w:rFonts w:ascii="Times New Roman" w:hAnsi="Times New Roman"/>
        </w:rPr>
        <w:t> </w:t>
      </w:r>
      <w:r w:rsidR="00664FDB" w:rsidRPr="00664FDB">
        <w:rPr>
          <w:rStyle w:val="Hyperlink"/>
          <w:rFonts w:ascii="Times New Roman" w:hAnsi="Times New Roman"/>
        </w:rPr>
        <w:t>dni</w:t>
      </w:r>
      <w:r w:rsidRPr="00664FDB">
        <w:rPr>
          <w:rStyle w:val="Hyperlink"/>
          <w:rFonts w:ascii="Times New Roman" w:hAnsi="Times New Roman"/>
        </w:rPr>
        <w:t>a 5 października 2022</w:t>
      </w:r>
      <w:r w:rsidR="00664FDB" w:rsidRPr="00664FDB">
        <w:rPr>
          <w:rStyle w:val="Hyperlink"/>
          <w:rFonts w:ascii="Times New Roman" w:hAnsi="Times New Roman"/>
        </w:rPr>
        <w:t> </w:t>
      </w:r>
      <w:r w:rsidRPr="00664FDB">
        <w:rPr>
          <w:rStyle w:val="Hyperlink"/>
          <w:rFonts w:ascii="Times New Roman" w:hAnsi="Times New Roman"/>
        </w:rPr>
        <w:t>r.</w:t>
      </w:r>
      <w:r w:rsidR="00664FDB" w:rsidRPr="00664FDB">
        <w:rPr>
          <w:rStyle w:val="Hyperlink"/>
          <w:rFonts w:ascii="Times New Roman" w:hAnsi="Times New Roman"/>
        </w:rPr>
        <w:t xml:space="preserve"> w</w:t>
      </w:r>
      <w:r w:rsidR="00664FDB">
        <w:rPr>
          <w:rStyle w:val="Hyperlink"/>
          <w:rFonts w:ascii="Times New Roman" w:hAnsi="Times New Roman"/>
        </w:rPr>
        <w:t> </w:t>
      </w:r>
      <w:r w:rsidR="00664FDB" w:rsidRPr="00664FDB">
        <w:rPr>
          <w:rStyle w:val="Hyperlink"/>
          <w:rFonts w:ascii="Times New Roman" w:hAnsi="Times New Roman"/>
        </w:rPr>
        <w:t>spr</w:t>
      </w:r>
      <w:r w:rsidRPr="00664FDB">
        <w:rPr>
          <w:rStyle w:val="Hyperlink"/>
          <w:rFonts w:ascii="Times New Roman" w:hAnsi="Times New Roman"/>
        </w:rPr>
        <w:t>awie reakcji UE na wzrost cen energii</w:t>
      </w:r>
      <w:r w:rsidR="00664FDB" w:rsidRPr="00664FDB">
        <w:rPr>
          <w:rStyle w:val="Hyperlink"/>
          <w:rFonts w:ascii="Times New Roman" w:hAnsi="Times New Roman"/>
        </w:rPr>
        <w:t xml:space="preserve"> w</w:t>
      </w:r>
      <w:r w:rsidR="00664FDB">
        <w:rPr>
          <w:rStyle w:val="Hyperlink"/>
          <w:rFonts w:ascii="Times New Roman" w:hAnsi="Times New Roman"/>
        </w:rPr>
        <w:t> </w:t>
      </w:r>
      <w:r w:rsidR="00664FDB" w:rsidRPr="00664FDB">
        <w:rPr>
          <w:rStyle w:val="Hyperlink"/>
          <w:rFonts w:ascii="Times New Roman" w:hAnsi="Times New Roman"/>
        </w:rPr>
        <w:t>Eur</w:t>
      </w:r>
      <w:r w:rsidRPr="00664FDB">
        <w:rPr>
          <w:rStyle w:val="Hyperlink"/>
          <w:rFonts w:ascii="Times New Roman" w:hAnsi="Times New Roman"/>
        </w:rPr>
        <w:t>opie (</w:t>
      </w:r>
      <w:hyperlink r:id="rId3" w:history="1">
        <w:r w:rsidRPr="00664FDB">
          <w:rPr>
            <w:rStyle w:val="Hyperlink"/>
            <w:rFonts w:ascii="Times New Roman" w:hAnsi="Times New Roman"/>
          </w:rPr>
          <w:t>2022/2830(RSP)</w:t>
        </w:r>
      </w:hyperlink>
      <w:r w:rsidRPr="00664FDB">
        <w:rPr>
          <w:rStyle w:val="Hyperlink"/>
          <w:rFonts w:ascii="Times New Roman" w:hAnsi="Times New Roman"/>
        </w:rPr>
        <w:t>)</w:t>
      </w:r>
    </w:p>
  </w:footnote>
  <w:footnote w:id="6">
    <w:p w14:paraId="151F124A" w14:textId="77777777" w:rsidR="000E3BC0" w:rsidRPr="00664FDB" w:rsidRDefault="000E3BC0" w:rsidP="000E3BC0">
      <w:pPr>
        <w:pStyle w:val="FootnoteText"/>
      </w:pPr>
      <w:r w:rsidRPr="00664FDB">
        <w:rPr>
          <w:rStyle w:val="FootnoteReference"/>
        </w:rPr>
        <w:footnoteRef/>
      </w:r>
      <w:r w:rsidRPr="00664FDB">
        <w:t xml:space="preserve"> </w:t>
      </w:r>
      <w:hyperlink r:id="rId4" w:history="1">
        <w:r w:rsidRPr="00664FDB">
          <w:rPr>
            <w:rStyle w:val="Hyperlink"/>
            <w:rFonts w:ascii="Times New Roman" w:hAnsi="Times New Roman"/>
          </w:rPr>
          <w:t>JOIN(2022) 23 final</w:t>
        </w:r>
      </w:hyperlink>
    </w:p>
  </w:footnote>
  <w:footnote w:id="7">
    <w:p w14:paraId="567C112B" w14:textId="00AF64A7" w:rsidR="00EF20CE" w:rsidRPr="00664FDB" w:rsidRDefault="00EF20CE" w:rsidP="002139B7">
      <w:pPr>
        <w:pStyle w:val="FootnoteText"/>
        <w:jc w:val="both"/>
        <w:rPr>
          <w:rStyle w:val="normaltextrun"/>
          <w:rFonts w:ascii="Times New Roman" w:hAnsi="Times New Roman" w:cs="Times New Roman"/>
          <w:color w:val="000000"/>
          <w:bdr w:val="none" w:sz="0" w:space="0" w:color="auto" w:frame="1"/>
        </w:rPr>
      </w:pPr>
      <w:r w:rsidRPr="00664FDB">
        <w:rPr>
          <w:rStyle w:val="FootnoteReference"/>
          <w:rFonts w:ascii="Times New Roman" w:hAnsi="Times New Roman" w:cs="Times New Roman"/>
        </w:rPr>
        <w:footnoteRef/>
      </w:r>
      <w:r w:rsidRPr="00664FDB">
        <w:rPr>
          <w:rStyle w:val="FootnoteReference"/>
        </w:rPr>
        <w:t xml:space="preserve"> </w:t>
      </w:r>
      <w:r w:rsidRPr="00664FDB">
        <w:rPr>
          <w:rStyle w:val="normaltextrun"/>
          <w:rFonts w:ascii="Times New Roman" w:hAnsi="Times New Roman"/>
          <w:color w:val="000000"/>
          <w:bdr w:val="none" w:sz="0" w:space="0" w:color="auto" w:frame="1"/>
        </w:rPr>
        <w:t>Rozporządzenie delegowane Komisji (UE) XX uzupełniające rozporządzenie Parlamentu Europejskiego</w:t>
      </w:r>
      <w:r w:rsidR="00664FDB" w:rsidRPr="00664FDB">
        <w:rPr>
          <w:rStyle w:val="normaltextrun"/>
          <w:rFonts w:ascii="Times New Roman" w:hAnsi="Times New Roman"/>
          <w:color w:val="000000"/>
          <w:bdr w:val="none" w:sz="0" w:space="0" w:color="auto" w:frame="1"/>
        </w:rPr>
        <w:t xml:space="preserve"> i</w:t>
      </w:r>
      <w:r w:rsidR="00664FDB">
        <w:rPr>
          <w:rStyle w:val="normaltextrun"/>
          <w:rFonts w:ascii="Times New Roman" w:hAnsi="Times New Roman"/>
          <w:color w:val="000000"/>
          <w:bdr w:val="none" w:sz="0" w:space="0" w:color="auto" w:frame="1"/>
        </w:rPr>
        <w:t> </w:t>
      </w:r>
      <w:r w:rsidR="00664FDB" w:rsidRPr="00664FDB">
        <w:rPr>
          <w:rStyle w:val="normaltextrun"/>
          <w:rFonts w:ascii="Times New Roman" w:hAnsi="Times New Roman"/>
          <w:color w:val="000000"/>
          <w:bdr w:val="none" w:sz="0" w:space="0" w:color="auto" w:frame="1"/>
        </w:rPr>
        <w:t>Rad</w:t>
      </w:r>
      <w:r w:rsidRPr="00664FDB">
        <w:rPr>
          <w:rStyle w:val="normaltextrun"/>
          <w:rFonts w:ascii="Times New Roman" w:hAnsi="Times New Roman"/>
          <w:color w:val="000000"/>
          <w:bdr w:val="none" w:sz="0" w:space="0" w:color="auto" w:frame="1"/>
        </w:rPr>
        <w:t>y (UE) nr</w:t>
      </w:r>
      <w:r w:rsidR="00664FDB" w:rsidRPr="00664FDB">
        <w:rPr>
          <w:rStyle w:val="normaltextrun"/>
          <w:rFonts w:ascii="Times New Roman" w:hAnsi="Times New Roman"/>
          <w:color w:val="000000"/>
          <w:bdr w:val="none" w:sz="0" w:space="0" w:color="auto" w:frame="1"/>
        </w:rPr>
        <w:t> </w:t>
      </w:r>
      <w:r w:rsidRPr="00664FDB">
        <w:rPr>
          <w:rStyle w:val="normaltextrun"/>
          <w:rFonts w:ascii="Times New Roman" w:hAnsi="Times New Roman"/>
          <w:color w:val="000000"/>
          <w:bdr w:val="none" w:sz="0" w:space="0" w:color="auto" w:frame="1"/>
        </w:rPr>
        <w:t>648/2012 (EMIR)</w:t>
      </w:r>
      <w:r w:rsidR="00664FDB" w:rsidRPr="00664FDB">
        <w:rPr>
          <w:rStyle w:val="normaltextrun"/>
          <w:rFonts w:ascii="Times New Roman" w:hAnsi="Times New Roman"/>
          <w:color w:val="000000"/>
          <w:bdr w:val="none" w:sz="0" w:space="0" w:color="auto" w:frame="1"/>
        </w:rPr>
        <w:t xml:space="preserve"> w</w:t>
      </w:r>
      <w:r w:rsidR="00664FDB">
        <w:rPr>
          <w:rStyle w:val="normaltextrun"/>
          <w:rFonts w:ascii="Times New Roman" w:hAnsi="Times New Roman"/>
          <w:color w:val="000000"/>
          <w:bdr w:val="none" w:sz="0" w:space="0" w:color="auto" w:frame="1"/>
        </w:rPr>
        <w:t> </w:t>
      </w:r>
      <w:r w:rsidR="00664FDB" w:rsidRPr="00664FDB">
        <w:rPr>
          <w:rStyle w:val="normaltextrun"/>
          <w:rFonts w:ascii="Times New Roman" w:hAnsi="Times New Roman"/>
          <w:color w:val="000000"/>
          <w:bdr w:val="none" w:sz="0" w:space="0" w:color="auto" w:frame="1"/>
        </w:rPr>
        <w:t>odn</w:t>
      </w:r>
      <w:r w:rsidRPr="00664FDB">
        <w:rPr>
          <w:rStyle w:val="normaltextrun"/>
          <w:rFonts w:ascii="Times New Roman" w:hAnsi="Times New Roman"/>
          <w:color w:val="000000"/>
          <w:bdr w:val="none" w:sz="0" w:space="0" w:color="auto" w:frame="1"/>
        </w:rPr>
        <w:t>iesieniu do wartości progu wiążącego się</w:t>
      </w:r>
      <w:r w:rsidR="00664FDB" w:rsidRPr="00664FDB">
        <w:rPr>
          <w:rStyle w:val="normaltextrun"/>
          <w:rFonts w:ascii="Times New Roman" w:hAnsi="Times New Roman"/>
          <w:color w:val="000000"/>
          <w:bdr w:val="none" w:sz="0" w:space="0" w:color="auto" w:frame="1"/>
        </w:rPr>
        <w:t xml:space="preserve"> z</w:t>
      </w:r>
      <w:r w:rsidR="00664FDB">
        <w:rPr>
          <w:rStyle w:val="normaltextrun"/>
          <w:rFonts w:ascii="Times New Roman" w:hAnsi="Times New Roman"/>
          <w:color w:val="000000"/>
          <w:bdr w:val="none" w:sz="0" w:space="0" w:color="auto" w:frame="1"/>
        </w:rPr>
        <w:t> </w:t>
      </w:r>
      <w:r w:rsidR="00664FDB" w:rsidRPr="00664FDB">
        <w:rPr>
          <w:rStyle w:val="normaltextrun"/>
          <w:rFonts w:ascii="Times New Roman" w:hAnsi="Times New Roman"/>
          <w:color w:val="000000"/>
          <w:bdr w:val="none" w:sz="0" w:space="0" w:color="auto" w:frame="1"/>
        </w:rPr>
        <w:t>obo</w:t>
      </w:r>
      <w:r w:rsidRPr="00664FDB">
        <w:rPr>
          <w:rStyle w:val="normaltextrun"/>
          <w:rFonts w:ascii="Times New Roman" w:hAnsi="Times New Roman"/>
          <w:color w:val="000000"/>
          <w:bdr w:val="none" w:sz="0" w:space="0" w:color="auto" w:frame="1"/>
        </w:rPr>
        <w:t>wiązkiem rozliczania</w:t>
      </w:r>
      <w:r w:rsidR="00664FDB" w:rsidRPr="00664FDB">
        <w:rPr>
          <w:rStyle w:val="normaltextrun"/>
          <w:rFonts w:ascii="Times New Roman" w:hAnsi="Times New Roman"/>
          <w:color w:val="000000"/>
          <w:bdr w:val="none" w:sz="0" w:space="0" w:color="auto" w:frame="1"/>
        </w:rPr>
        <w:t xml:space="preserve"> w</w:t>
      </w:r>
      <w:r w:rsidR="00664FDB">
        <w:rPr>
          <w:rStyle w:val="normaltextrun"/>
          <w:rFonts w:ascii="Times New Roman" w:hAnsi="Times New Roman"/>
          <w:color w:val="000000"/>
          <w:bdr w:val="none" w:sz="0" w:space="0" w:color="auto" w:frame="1"/>
        </w:rPr>
        <w:t> </w:t>
      </w:r>
      <w:r w:rsidR="00664FDB" w:rsidRPr="00664FDB">
        <w:rPr>
          <w:rStyle w:val="normaltextrun"/>
          <w:rFonts w:ascii="Times New Roman" w:hAnsi="Times New Roman"/>
          <w:color w:val="000000"/>
          <w:bdr w:val="none" w:sz="0" w:space="0" w:color="auto" w:frame="1"/>
        </w:rPr>
        <w:t>odn</w:t>
      </w:r>
      <w:r w:rsidRPr="00664FDB">
        <w:rPr>
          <w:rStyle w:val="normaltextrun"/>
          <w:rFonts w:ascii="Times New Roman" w:hAnsi="Times New Roman"/>
          <w:color w:val="000000"/>
          <w:bdr w:val="none" w:sz="0" w:space="0" w:color="auto" w:frame="1"/>
        </w:rPr>
        <w:t>iesieniu do towarowych instrumentów pochodnych.</w:t>
      </w:r>
    </w:p>
  </w:footnote>
  <w:footnote w:id="8">
    <w:p w14:paraId="70AB8964" w14:textId="21995BE2" w:rsidR="00613BEC" w:rsidRPr="00664FDB" w:rsidRDefault="00613BEC" w:rsidP="00641DC6">
      <w:pPr>
        <w:pStyle w:val="FootnoteText"/>
        <w:jc w:val="both"/>
        <w:rPr>
          <w:rFonts w:ascii="Times New Roman" w:hAnsi="Times New Roman" w:cs="Times New Roman"/>
        </w:rPr>
      </w:pPr>
      <w:r w:rsidRPr="00664FDB">
        <w:rPr>
          <w:rStyle w:val="FootnoteReference"/>
          <w:rFonts w:ascii="Times New Roman" w:hAnsi="Times New Roman" w:cs="Times New Roman"/>
        </w:rPr>
        <w:footnoteRef/>
      </w:r>
      <w:r w:rsidRPr="00664FDB">
        <w:rPr>
          <w:rFonts w:ascii="Times New Roman" w:hAnsi="Times New Roman"/>
        </w:rPr>
        <w:t xml:space="preserve"> </w:t>
      </w:r>
      <w:r w:rsidRPr="00664FDB">
        <w:rPr>
          <w:rStyle w:val="normaltextrun"/>
          <w:rFonts w:ascii="Times New Roman" w:hAnsi="Times New Roman"/>
          <w:color w:val="000000"/>
          <w:bdr w:val="none" w:sz="0" w:space="0" w:color="auto" w:frame="1"/>
        </w:rPr>
        <w:t>Rozporządzenie delegowane Komisji (UE) XX zmieniające regulacyjne standardy techniczne określone</w:t>
      </w:r>
      <w:r w:rsidR="00664FDB" w:rsidRPr="00664FDB">
        <w:rPr>
          <w:rStyle w:val="normaltextrun"/>
          <w:rFonts w:ascii="Times New Roman" w:hAnsi="Times New Roman"/>
          <w:color w:val="000000"/>
          <w:bdr w:val="none" w:sz="0" w:space="0" w:color="auto" w:frame="1"/>
        </w:rPr>
        <w:t xml:space="preserve"> w</w:t>
      </w:r>
      <w:r w:rsidR="00664FDB">
        <w:rPr>
          <w:rStyle w:val="normaltextrun"/>
          <w:rFonts w:ascii="Times New Roman" w:hAnsi="Times New Roman"/>
          <w:color w:val="000000"/>
          <w:bdr w:val="none" w:sz="0" w:space="0" w:color="auto" w:frame="1"/>
        </w:rPr>
        <w:t> </w:t>
      </w:r>
      <w:r w:rsidR="00664FDB" w:rsidRPr="00664FDB">
        <w:rPr>
          <w:rStyle w:val="normaltextrun"/>
          <w:rFonts w:ascii="Times New Roman" w:hAnsi="Times New Roman"/>
          <w:color w:val="000000"/>
          <w:bdr w:val="none" w:sz="0" w:space="0" w:color="auto" w:frame="1"/>
        </w:rPr>
        <w:t>roz</w:t>
      </w:r>
      <w:r w:rsidRPr="00664FDB">
        <w:rPr>
          <w:rStyle w:val="normaltextrun"/>
          <w:rFonts w:ascii="Times New Roman" w:hAnsi="Times New Roman"/>
          <w:color w:val="000000"/>
          <w:bdr w:val="none" w:sz="0" w:space="0" w:color="auto" w:frame="1"/>
        </w:rPr>
        <w:t>porządzeniu delegowanym (UE) nr</w:t>
      </w:r>
      <w:r w:rsidR="00664FDB" w:rsidRPr="00664FDB">
        <w:rPr>
          <w:rStyle w:val="normaltextrun"/>
          <w:rFonts w:ascii="Times New Roman" w:hAnsi="Times New Roman"/>
          <w:color w:val="000000"/>
          <w:bdr w:val="none" w:sz="0" w:space="0" w:color="auto" w:frame="1"/>
        </w:rPr>
        <w:t> </w:t>
      </w:r>
      <w:r w:rsidRPr="00664FDB">
        <w:rPr>
          <w:rStyle w:val="normaltextrun"/>
          <w:rFonts w:ascii="Times New Roman" w:hAnsi="Times New Roman"/>
          <w:color w:val="000000"/>
          <w:bdr w:val="none" w:sz="0" w:space="0" w:color="auto" w:frame="1"/>
        </w:rPr>
        <w:t>153/2013</w:t>
      </w:r>
      <w:r w:rsidR="00664FDB" w:rsidRPr="00664FDB">
        <w:rPr>
          <w:rStyle w:val="normaltextrun"/>
          <w:rFonts w:ascii="Times New Roman" w:hAnsi="Times New Roman"/>
          <w:color w:val="000000"/>
          <w:bdr w:val="none" w:sz="0" w:space="0" w:color="auto" w:frame="1"/>
        </w:rPr>
        <w:t xml:space="preserve"> w</w:t>
      </w:r>
      <w:r w:rsidR="00664FDB">
        <w:rPr>
          <w:rStyle w:val="normaltextrun"/>
          <w:rFonts w:ascii="Times New Roman" w:hAnsi="Times New Roman"/>
          <w:color w:val="000000"/>
          <w:bdr w:val="none" w:sz="0" w:space="0" w:color="auto" w:frame="1"/>
        </w:rPr>
        <w:t> </w:t>
      </w:r>
      <w:r w:rsidR="00664FDB" w:rsidRPr="00664FDB">
        <w:rPr>
          <w:rStyle w:val="normaltextrun"/>
          <w:rFonts w:ascii="Times New Roman" w:hAnsi="Times New Roman"/>
          <w:color w:val="000000"/>
          <w:bdr w:val="none" w:sz="0" w:space="0" w:color="auto" w:frame="1"/>
        </w:rPr>
        <w:t>odn</w:t>
      </w:r>
      <w:r w:rsidRPr="00664FDB">
        <w:rPr>
          <w:rStyle w:val="normaltextrun"/>
          <w:rFonts w:ascii="Times New Roman" w:hAnsi="Times New Roman"/>
          <w:color w:val="000000"/>
          <w:bdr w:val="none" w:sz="0" w:space="0" w:color="auto" w:frame="1"/>
        </w:rPr>
        <w:t>iesieniu do tymczasowych środków nadzwyczajnych</w:t>
      </w:r>
      <w:r w:rsidR="00664FDB" w:rsidRPr="00664FDB">
        <w:rPr>
          <w:rStyle w:val="normaltextrun"/>
          <w:rFonts w:ascii="Times New Roman" w:hAnsi="Times New Roman"/>
          <w:color w:val="000000"/>
          <w:bdr w:val="none" w:sz="0" w:space="0" w:color="auto" w:frame="1"/>
        </w:rPr>
        <w:t xml:space="preserve"> w</w:t>
      </w:r>
      <w:r w:rsidR="00664FDB">
        <w:rPr>
          <w:rStyle w:val="normaltextrun"/>
          <w:rFonts w:ascii="Times New Roman" w:hAnsi="Times New Roman"/>
          <w:color w:val="000000"/>
          <w:bdr w:val="none" w:sz="0" w:space="0" w:color="auto" w:frame="1"/>
        </w:rPr>
        <w:t> </w:t>
      </w:r>
      <w:r w:rsidR="00664FDB" w:rsidRPr="00664FDB">
        <w:rPr>
          <w:rStyle w:val="normaltextrun"/>
          <w:rFonts w:ascii="Times New Roman" w:hAnsi="Times New Roman"/>
          <w:color w:val="000000"/>
          <w:bdr w:val="none" w:sz="0" w:space="0" w:color="auto" w:frame="1"/>
        </w:rPr>
        <w:t>zak</w:t>
      </w:r>
      <w:r w:rsidRPr="00664FDB">
        <w:rPr>
          <w:rStyle w:val="normaltextrun"/>
          <w:rFonts w:ascii="Times New Roman" w:hAnsi="Times New Roman"/>
          <w:color w:val="000000"/>
          <w:bdr w:val="none" w:sz="0" w:space="0" w:color="auto" w:frame="1"/>
        </w:rPr>
        <w:t>resie wymogów dotyczących zabezpieczenia.</w:t>
      </w:r>
    </w:p>
  </w:footnote>
  <w:footnote w:id="9">
    <w:p w14:paraId="7FC2BB4F" w14:textId="77777777" w:rsidR="00613BEC" w:rsidRPr="00664FDB" w:rsidRDefault="00613BEC">
      <w:pPr>
        <w:pStyle w:val="FootnoteText"/>
        <w:rPr>
          <w:rFonts w:ascii="Times New Roman" w:hAnsi="Times New Roman" w:cs="Times New Roman"/>
        </w:rPr>
      </w:pPr>
      <w:r w:rsidRPr="00664FDB">
        <w:rPr>
          <w:rStyle w:val="FootnoteReference"/>
          <w:rFonts w:ascii="Times New Roman" w:hAnsi="Times New Roman" w:cs="Times New Roman"/>
        </w:rPr>
        <w:footnoteRef/>
      </w:r>
      <w:r w:rsidRPr="00664FDB">
        <w:rPr>
          <w:rFonts w:ascii="Times New Roman" w:hAnsi="Times New Roman"/>
        </w:rPr>
        <w:t xml:space="preserve"> </w:t>
      </w:r>
      <w:r w:rsidRPr="00664FDB">
        <w:rPr>
          <w:rStyle w:val="normaltextrun"/>
          <w:rFonts w:ascii="Times New Roman" w:hAnsi="Times New Roman"/>
          <w:bdr w:val="none" w:sz="0" w:space="0" w:color="auto" w:frame="1"/>
        </w:rPr>
        <w:t>Pełniącym funkcję uczestników rozliczających.</w:t>
      </w:r>
    </w:p>
  </w:footnote>
  <w:footnote w:id="10">
    <w:p w14:paraId="6C98BACF" w14:textId="1ADC68CD" w:rsidR="00613BEC" w:rsidRPr="00664FDB" w:rsidRDefault="00613BEC">
      <w:pPr>
        <w:pStyle w:val="FootnoteText"/>
      </w:pPr>
      <w:r w:rsidRPr="00664FDB">
        <w:rPr>
          <w:rStyle w:val="FootnoteReference"/>
        </w:rPr>
        <w:footnoteRef/>
      </w:r>
      <w:r w:rsidRPr="00664FDB">
        <w:t xml:space="preserve"> </w:t>
      </w:r>
      <w:r w:rsidRPr="00664FDB">
        <w:rPr>
          <w:rStyle w:val="normaltextrun"/>
          <w:rFonts w:ascii="Times New Roman" w:hAnsi="Times New Roman"/>
          <w:bdr w:val="none" w:sz="0" w:space="0" w:color="auto" w:frame="1"/>
        </w:rPr>
        <w:t>W ogólnodostępnym zestawie pytań</w:t>
      </w:r>
      <w:r w:rsidR="00664FDB" w:rsidRPr="00664FDB">
        <w:rPr>
          <w:rStyle w:val="normaltextrun"/>
          <w:rFonts w:ascii="Times New Roman" w:hAnsi="Times New Roman"/>
          <w:bdr w:val="none" w:sz="0" w:space="0" w:color="auto" w:frame="1"/>
        </w:rPr>
        <w:t xml:space="preserve"> i</w:t>
      </w:r>
      <w:r w:rsidR="00664FDB">
        <w:rPr>
          <w:rStyle w:val="normaltextrun"/>
          <w:rFonts w:ascii="Times New Roman" w:hAnsi="Times New Roman"/>
          <w:bdr w:val="none" w:sz="0" w:space="0" w:color="auto" w:frame="1"/>
        </w:rPr>
        <w:t> </w:t>
      </w:r>
      <w:r w:rsidR="00664FDB" w:rsidRPr="00664FDB">
        <w:rPr>
          <w:rStyle w:val="normaltextrun"/>
          <w:rFonts w:ascii="Times New Roman" w:hAnsi="Times New Roman"/>
          <w:bdr w:val="none" w:sz="0" w:space="0" w:color="auto" w:frame="1"/>
        </w:rPr>
        <w:t>odp</w:t>
      </w:r>
      <w:r w:rsidRPr="00664FDB">
        <w:rPr>
          <w:rStyle w:val="normaltextrun"/>
          <w:rFonts w:ascii="Times New Roman" w:hAnsi="Times New Roman"/>
          <w:bdr w:val="none" w:sz="0" w:space="0" w:color="auto" w:frame="1"/>
        </w:rPr>
        <w:t>owiedzi ESMA potwierdzi również, że jako zabezpieczenie</w:t>
      </w:r>
      <w:r w:rsidR="00664FDB" w:rsidRPr="00664FDB">
        <w:rPr>
          <w:rStyle w:val="normaltextrun"/>
          <w:rFonts w:ascii="Times New Roman" w:hAnsi="Times New Roman"/>
          <w:bdr w:val="none" w:sz="0" w:space="0" w:color="auto" w:frame="1"/>
        </w:rPr>
        <w:t xml:space="preserve"> w</w:t>
      </w:r>
      <w:r w:rsidR="00664FDB">
        <w:rPr>
          <w:rStyle w:val="normaltextrun"/>
          <w:rFonts w:ascii="Times New Roman" w:hAnsi="Times New Roman"/>
          <w:bdr w:val="none" w:sz="0" w:space="0" w:color="auto" w:frame="1"/>
        </w:rPr>
        <w:t> </w:t>
      </w:r>
      <w:r w:rsidR="00664FDB" w:rsidRPr="00664FDB">
        <w:rPr>
          <w:rStyle w:val="normaltextrun"/>
          <w:rFonts w:ascii="Times New Roman" w:hAnsi="Times New Roman"/>
          <w:bdr w:val="none" w:sz="0" w:space="0" w:color="auto" w:frame="1"/>
        </w:rPr>
        <w:t>rea</w:t>
      </w:r>
      <w:r w:rsidRPr="00664FDB">
        <w:rPr>
          <w:rStyle w:val="normaltextrun"/>
          <w:rFonts w:ascii="Times New Roman" w:hAnsi="Times New Roman"/>
          <w:bdr w:val="none" w:sz="0" w:space="0" w:color="auto" w:frame="1"/>
        </w:rPr>
        <w:t>lizacji wezwań do uzupełnienia depozytu zabezpieczającego mogą być wykorzystywane inne aktywa, takie jak krótkoterminowe papiery dłużne emitowane przez przedsiębiorstwa lub obligacje UE.</w:t>
      </w:r>
    </w:p>
  </w:footnote>
  <w:footnote w:id="11">
    <w:p w14:paraId="77E0C8A8" w14:textId="47A78ACE" w:rsidR="00EC0D22" w:rsidRPr="00664FDB" w:rsidRDefault="00EC0D22" w:rsidP="004A319C">
      <w:pPr>
        <w:jc w:val="both"/>
        <w:rPr>
          <w:rFonts w:eastAsia="Times New Roman"/>
        </w:rPr>
      </w:pPr>
      <w:r w:rsidRPr="00664FDB">
        <w:rPr>
          <w:rStyle w:val="FootnoteReference"/>
        </w:rPr>
        <w:footnoteRef/>
      </w:r>
      <w:r w:rsidRPr="00664FDB">
        <w:t xml:space="preserve"> </w:t>
      </w:r>
      <w:r w:rsidRPr="00664FDB">
        <w:rPr>
          <w:rStyle w:val="normaltextrun"/>
          <w:color w:val="000000"/>
          <w:sz w:val="20"/>
          <w:bdr w:val="none" w:sz="0" w:space="0" w:color="auto" w:frame="1"/>
        </w:rPr>
        <w:t>Priorytetowo należy traktować projekty urzeczywistniające wewnętrzny rynek energii</w:t>
      </w:r>
      <w:r w:rsidR="00664FDB" w:rsidRPr="00664FDB">
        <w:rPr>
          <w:rStyle w:val="normaltextrun"/>
          <w:color w:val="000000"/>
          <w:sz w:val="20"/>
          <w:bdr w:val="none" w:sz="0" w:space="0" w:color="auto" w:frame="1"/>
        </w:rPr>
        <w:t xml:space="preserve"> i</w:t>
      </w:r>
      <w:r w:rsidR="00664FDB">
        <w:rPr>
          <w:rStyle w:val="normaltextrun"/>
          <w:color w:val="000000"/>
          <w:sz w:val="20"/>
          <w:bdr w:val="none" w:sz="0" w:space="0" w:color="auto" w:frame="1"/>
        </w:rPr>
        <w:t> </w:t>
      </w:r>
      <w:r w:rsidR="00664FDB" w:rsidRPr="00664FDB">
        <w:rPr>
          <w:rStyle w:val="normaltextrun"/>
          <w:color w:val="000000"/>
          <w:sz w:val="20"/>
          <w:bdr w:val="none" w:sz="0" w:space="0" w:color="auto" w:frame="1"/>
        </w:rPr>
        <w:t>pro</w:t>
      </w:r>
      <w:r w:rsidRPr="00664FDB">
        <w:rPr>
          <w:rStyle w:val="normaltextrun"/>
          <w:color w:val="000000"/>
          <w:sz w:val="20"/>
          <w:bdr w:val="none" w:sz="0" w:space="0" w:color="auto" w:frame="1"/>
        </w:rPr>
        <w:t>jekty</w:t>
      </w:r>
      <w:r w:rsidR="00664FDB" w:rsidRPr="00664FDB">
        <w:rPr>
          <w:rStyle w:val="normaltextrun"/>
          <w:color w:val="000000"/>
          <w:sz w:val="20"/>
          <w:bdr w:val="none" w:sz="0" w:space="0" w:color="auto" w:frame="1"/>
        </w:rPr>
        <w:t xml:space="preserve"> o</w:t>
      </w:r>
      <w:r w:rsidR="00664FDB">
        <w:rPr>
          <w:rStyle w:val="normaltextrun"/>
          <w:color w:val="000000"/>
          <w:sz w:val="20"/>
          <w:bdr w:val="none" w:sz="0" w:space="0" w:color="auto" w:frame="1"/>
        </w:rPr>
        <w:t> </w:t>
      </w:r>
      <w:r w:rsidR="00664FDB" w:rsidRPr="00664FDB">
        <w:rPr>
          <w:rStyle w:val="normaltextrun"/>
          <w:color w:val="000000"/>
          <w:sz w:val="20"/>
          <w:bdr w:val="none" w:sz="0" w:space="0" w:color="auto" w:frame="1"/>
        </w:rPr>
        <w:t>wyr</w:t>
      </w:r>
      <w:r w:rsidRPr="00664FDB">
        <w:rPr>
          <w:rStyle w:val="normaltextrun"/>
          <w:color w:val="000000"/>
          <w:sz w:val="20"/>
          <w:bdr w:val="none" w:sz="0" w:space="0" w:color="auto" w:frame="1"/>
        </w:rPr>
        <w:t>aźnym wymiarze transgranicznym, na przykład krytyczne połączenie między Portugalią, Hiszpanią</w:t>
      </w:r>
      <w:r w:rsidR="00664FDB" w:rsidRPr="00664FDB">
        <w:rPr>
          <w:rStyle w:val="normaltextrun"/>
          <w:color w:val="000000"/>
          <w:sz w:val="20"/>
          <w:bdr w:val="none" w:sz="0" w:space="0" w:color="auto" w:frame="1"/>
        </w:rPr>
        <w:t xml:space="preserve"> i</w:t>
      </w:r>
      <w:r w:rsidR="00664FDB">
        <w:rPr>
          <w:rStyle w:val="normaltextrun"/>
          <w:color w:val="000000"/>
          <w:sz w:val="20"/>
          <w:bdr w:val="none" w:sz="0" w:space="0" w:color="auto" w:frame="1"/>
        </w:rPr>
        <w:t> </w:t>
      </w:r>
      <w:r w:rsidR="00664FDB" w:rsidRPr="00664FDB">
        <w:rPr>
          <w:rStyle w:val="normaltextrun"/>
          <w:color w:val="000000"/>
          <w:sz w:val="20"/>
          <w:bdr w:val="none" w:sz="0" w:space="0" w:color="auto" w:frame="1"/>
        </w:rPr>
        <w:t>Fra</w:t>
      </w:r>
      <w:r w:rsidRPr="00664FDB">
        <w:rPr>
          <w:rStyle w:val="normaltextrun"/>
          <w:color w:val="000000"/>
          <w:sz w:val="20"/>
          <w:bdr w:val="none" w:sz="0" w:space="0" w:color="auto" w:frame="1"/>
        </w:rPr>
        <w:t>ncją oraz połączenia energetyczne północ-południe</w:t>
      </w:r>
      <w:r w:rsidR="00664FDB" w:rsidRPr="00664FDB">
        <w:rPr>
          <w:rStyle w:val="normaltextrun"/>
          <w:color w:val="000000"/>
          <w:sz w:val="20"/>
          <w:bdr w:val="none" w:sz="0" w:space="0" w:color="auto" w:frame="1"/>
        </w:rPr>
        <w:t xml:space="preserve"> w</w:t>
      </w:r>
      <w:r w:rsidR="00664FDB">
        <w:rPr>
          <w:rStyle w:val="normaltextrun"/>
          <w:color w:val="000000"/>
          <w:sz w:val="20"/>
          <w:bdr w:val="none" w:sz="0" w:space="0" w:color="auto" w:frame="1"/>
        </w:rPr>
        <w:t> </w:t>
      </w:r>
      <w:r w:rsidR="00664FDB" w:rsidRPr="00664FDB">
        <w:rPr>
          <w:rStyle w:val="normaltextrun"/>
          <w:color w:val="000000"/>
          <w:sz w:val="20"/>
          <w:bdr w:val="none" w:sz="0" w:space="0" w:color="auto" w:frame="1"/>
        </w:rPr>
        <w:t>Eur</w:t>
      </w:r>
      <w:r w:rsidRPr="00664FDB">
        <w:rPr>
          <w:rStyle w:val="normaltextrun"/>
          <w:color w:val="000000"/>
          <w:sz w:val="20"/>
          <w:bdr w:val="none" w:sz="0" w:space="0" w:color="auto" w:frame="1"/>
        </w:rPr>
        <w:t>opie Środkowo-Wschodniej</w:t>
      </w:r>
      <w:r w:rsidR="00664FDB" w:rsidRPr="00664FDB">
        <w:rPr>
          <w:rStyle w:val="normaltextrun"/>
          <w:color w:val="000000"/>
          <w:sz w:val="20"/>
          <w:bdr w:val="none" w:sz="0" w:space="0" w:color="auto" w:frame="1"/>
        </w:rPr>
        <w:t xml:space="preserve"> i</w:t>
      </w:r>
      <w:r w:rsidR="00664FDB">
        <w:rPr>
          <w:rStyle w:val="normaltextrun"/>
          <w:color w:val="000000"/>
          <w:sz w:val="20"/>
          <w:bdr w:val="none" w:sz="0" w:space="0" w:color="auto" w:frame="1"/>
        </w:rPr>
        <w:t> </w:t>
      </w:r>
      <w:r w:rsidR="00664FDB" w:rsidRPr="00664FDB">
        <w:rPr>
          <w:rStyle w:val="normaltextrun"/>
          <w:color w:val="000000"/>
          <w:sz w:val="20"/>
          <w:bdr w:val="none" w:sz="0" w:space="0" w:color="auto" w:frame="1"/>
        </w:rPr>
        <w:t>Poł</w:t>
      </w:r>
      <w:r w:rsidRPr="00664FDB">
        <w:rPr>
          <w:rStyle w:val="normaltextrun"/>
          <w:color w:val="000000"/>
          <w:sz w:val="20"/>
          <w:bdr w:val="none" w:sz="0" w:space="0" w:color="auto" w:frame="1"/>
        </w:rPr>
        <w:t>udniowej. Wspierane projekty powinny poprawiać wzajemne połączenia między europejskimi sieciami gazowymi</w:t>
      </w:r>
      <w:r w:rsidR="00664FDB" w:rsidRPr="00664FDB">
        <w:rPr>
          <w:rStyle w:val="normaltextrun"/>
          <w:color w:val="000000"/>
          <w:sz w:val="20"/>
          <w:bdr w:val="none" w:sz="0" w:space="0" w:color="auto" w:frame="1"/>
        </w:rPr>
        <w:t xml:space="preserve"> i</w:t>
      </w:r>
      <w:r w:rsidR="00664FDB">
        <w:rPr>
          <w:rStyle w:val="normaltextrun"/>
          <w:color w:val="000000"/>
          <w:sz w:val="20"/>
          <w:bdr w:val="none" w:sz="0" w:space="0" w:color="auto" w:frame="1"/>
        </w:rPr>
        <w:t> </w:t>
      </w:r>
      <w:r w:rsidR="00664FDB" w:rsidRPr="00664FDB">
        <w:rPr>
          <w:rStyle w:val="normaltextrun"/>
          <w:color w:val="000000"/>
          <w:sz w:val="20"/>
          <w:bdr w:val="none" w:sz="0" w:space="0" w:color="auto" w:frame="1"/>
        </w:rPr>
        <w:t>ele</w:t>
      </w:r>
      <w:r w:rsidRPr="00664FDB">
        <w:rPr>
          <w:rStyle w:val="normaltextrun"/>
          <w:color w:val="000000"/>
          <w:sz w:val="20"/>
          <w:bdr w:val="none" w:sz="0" w:space="0" w:color="auto" w:frame="1"/>
        </w:rPr>
        <w:t>ktroenergetycznymi, magazynowanie energii</w:t>
      </w:r>
      <w:r w:rsidR="00664FDB" w:rsidRPr="00664FDB">
        <w:rPr>
          <w:rStyle w:val="normaltextrun"/>
          <w:color w:val="000000"/>
          <w:sz w:val="20"/>
          <w:bdr w:val="none" w:sz="0" w:space="0" w:color="auto" w:frame="1"/>
        </w:rPr>
        <w:t xml:space="preserve"> i</w:t>
      </w:r>
      <w:r w:rsidR="00664FDB">
        <w:rPr>
          <w:rStyle w:val="normaltextrun"/>
          <w:color w:val="000000"/>
          <w:sz w:val="20"/>
          <w:bdr w:val="none" w:sz="0" w:space="0" w:color="auto" w:frame="1"/>
        </w:rPr>
        <w:t> </w:t>
      </w:r>
      <w:r w:rsidR="00664FDB" w:rsidRPr="00664FDB">
        <w:rPr>
          <w:rStyle w:val="normaltextrun"/>
          <w:color w:val="000000"/>
          <w:sz w:val="20"/>
          <w:bdr w:val="none" w:sz="0" w:space="0" w:color="auto" w:frame="1"/>
        </w:rPr>
        <w:t>bud</w:t>
      </w:r>
      <w:r w:rsidRPr="00664FDB">
        <w:rPr>
          <w:rStyle w:val="normaltextrun"/>
          <w:color w:val="000000"/>
          <w:sz w:val="20"/>
          <w:bdr w:val="none" w:sz="0" w:space="0" w:color="auto" w:frame="1"/>
        </w:rPr>
        <w:t>owę infrastruktury wodorowej.</w:t>
      </w:r>
      <w:r w:rsidRPr="00664FDB">
        <w:rPr>
          <w:rFonts w:ascii="Times New Roman" w:hAnsi="Times New Roman"/>
        </w:rPr>
        <w:t xml:space="preserve"> </w:t>
      </w:r>
    </w:p>
    <w:p w14:paraId="057ED098" w14:textId="77777777" w:rsidR="00EC0D22" w:rsidRPr="00664FDB" w:rsidRDefault="00EC0D22" w:rsidP="00EC0D22">
      <w:pPr>
        <w:ind w:left="720"/>
        <w:rPr>
          <w:rFonts w:eastAsia="Times New Roman"/>
        </w:rPr>
      </w:pPr>
    </w:p>
    <w:p w14:paraId="3C306C91" w14:textId="6D14F88F" w:rsidR="00EC0D22" w:rsidRPr="00664FDB" w:rsidRDefault="00EC0D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030" w14:textId="77777777" w:rsidR="004475EB" w:rsidRPr="004475EB" w:rsidRDefault="004475EB" w:rsidP="00447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82B98" w14:textId="77777777" w:rsidR="004475EB" w:rsidRPr="004475EB" w:rsidRDefault="004475EB" w:rsidP="004475E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DEA10" w14:textId="77777777" w:rsidR="004475EB" w:rsidRPr="004475EB" w:rsidRDefault="004475EB" w:rsidP="004475E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82647" w14:textId="77777777" w:rsidR="00096218" w:rsidRDefault="000962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807B1" w14:textId="77777777" w:rsidR="00096218" w:rsidRDefault="000962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4082" w14:textId="77777777" w:rsidR="00096218" w:rsidRDefault="00096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2E02"/>
    <w:multiLevelType w:val="hybridMultilevel"/>
    <w:tmpl w:val="A43E8850"/>
    <w:lvl w:ilvl="0" w:tplc="C8261158">
      <w:start w:val="1"/>
      <w:numFmt w:val="bullet"/>
      <w:lvlText w:val="·"/>
      <w:lvlJc w:val="left"/>
      <w:pPr>
        <w:ind w:left="720" w:hanging="360"/>
      </w:pPr>
      <w:rPr>
        <w:rFonts w:ascii="Symbol" w:hAnsi="Symbol" w:hint="default"/>
      </w:rPr>
    </w:lvl>
    <w:lvl w:ilvl="1" w:tplc="A01CF3FC">
      <w:start w:val="1"/>
      <w:numFmt w:val="bullet"/>
      <w:lvlText w:val="o"/>
      <w:lvlJc w:val="left"/>
      <w:pPr>
        <w:ind w:left="1440" w:hanging="360"/>
      </w:pPr>
      <w:rPr>
        <w:rFonts w:ascii="Courier New" w:hAnsi="Courier New" w:hint="default"/>
      </w:rPr>
    </w:lvl>
    <w:lvl w:ilvl="2" w:tplc="8DA43906">
      <w:start w:val="1"/>
      <w:numFmt w:val="bullet"/>
      <w:lvlText w:val=""/>
      <w:lvlJc w:val="left"/>
      <w:pPr>
        <w:ind w:left="2160" w:hanging="360"/>
      </w:pPr>
      <w:rPr>
        <w:rFonts w:ascii="Wingdings" w:hAnsi="Wingdings" w:hint="default"/>
      </w:rPr>
    </w:lvl>
    <w:lvl w:ilvl="3" w:tplc="1AAEF01C">
      <w:start w:val="1"/>
      <w:numFmt w:val="bullet"/>
      <w:lvlText w:val=""/>
      <w:lvlJc w:val="left"/>
      <w:pPr>
        <w:ind w:left="2880" w:hanging="360"/>
      </w:pPr>
      <w:rPr>
        <w:rFonts w:ascii="Symbol" w:hAnsi="Symbol" w:hint="default"/>
      </w:rPr>
    </w:lvl>
    <w:lvl w:ilvl="4" w:tplc="EAAC49FC">
      <w:start w:val="1"/>
      <w:numFmt w:val="bullet"/>
      <w:lvlText w:val="o"/>
      <w:lvlJc w:val="left"/>
      <w:pPr>
        <w:ind w:left="3600" w:hanging="360"/>
      </w:pPr>
      <w:rPr>
        <w:rFonts w:ascii="Courier New" w:hAnsi="Courier New" w:hint="default"/>
      </w:rPr>
    </w:lvl>
    <w:lvl w:ilvl="5" w:tplc="C908D642">
      <w:start w:val="1"/>
      <w:numFmt w:val="bullet"/>
      <w:lvlText w:val=""/>
      <w:lvlJc w:val="left"/>
      <w:pPr>
        <w:ind w:left="4320" w:hanging="360"/>
      </w:pPr>
      <w:rPr>
        <w:rFonts w:ascii="Wingdings" w:hAnsi="Wingdings" w:hint="default"/>
      </w:rPr>
    </w:lvl>
    <w:lvl w:ilvl="6" w:tplc="503C5F02">
      <w:start w:val="1"/>
      <w:numFmt w:val="bullet"/>
      <w:lvlText w:val=""/>
      <w:lvlJc w:val="left"/>
      <w:pPr>
        <w:ind w:left="5040" w:hanging="360"/>
      </w:pPr>
      <w:rPr>
        <w:rFonts w:ascii="Symbol" w:hAnsi="Symbol" w:hint="default"/>
      </w:rPr>
    </w:lvl>
    <w:lvl w:ilvl="7" w:tplc="27FE8F54">
      <w:start w:val="1"/>
      <w:numFmt w:val="bullet"/>
      <w:lvlText w:val="o"/>
      <w:lvlJc w:val="left"/>
      <w:pPr>
        <w:ind w:left="5760" w:hanging="360"/>
      </w:pPr>
      <w:rPr>
        <w:rFonts w:ascii="Courier New" w:hAnsi="Courier New" w:hint="default"/>
      </w:rPr>
    </w:lvl>
    <w:lvl w:ilvl="8" w:tplc="357C5880">
      <w:start w:val="1"/>
      <w:numFmt w:val="bullet"/>
      <w:lvlText w:val=""/>
      <w:lvlJc w:val="left"/>
      <w:pPr>
        <w:ind w:left="6480" w:hanging="360"/>
      </w:pPr>
      <w:rPr>
        <w:rFonts w:ascii="Wingdings" w:hAnsi="Wingdings" w:hint="default"/>
      </w:rPr>
    </w:lvl>
  </w:abstractNum>
  <w:abstractNum w:abstractNumId="1" w15:restartNumberingAfterBreak="0">
    <w:nsid w:val="06FC2FC2"/>
    <w:multiLevelType w:val="hybridMultilevel"/>
    <w:tmpl w:val="FFFFFFFF"/>
    <w:lvl w:ilvl="0" w:tplc="421CA816">
      <w:start w:val="1"/>
      <w:numFmt w:val="bullet"/>
      <w:lvlText w:val="·"/>
      <w:lvlJc w:val="left"/>
      <w:pPr>
        <w:ind w:left="720" w:hanging="360"/>
      </w:pPr>
      <w:rPr>
        <w:rFonts w:ascii="Symbol" w:hAnsi="Symbol" w:hint="default"/>
      </w:rPr>
    </w:lvl>
    <w:lvl w:ilvl="1" w:tplc="BFCCAA98">
      <w:start w:val="1"/>
      <w:numFmt w:val="bullet"/>
      <w:lvlText w:val="o"/>
      <w:lvlJc w:val="left"/>
      <w:pPr>
        <w:ind w:left="1440" w:hanging="360"/>
      </w:pPr>
      <w:rPr>
        <w:rFonts w:ascii="Courier New" w:hAnsi="Courier New" w:hint="default"/>
      </w:rPr>
    </w:lvl>
    <w:lvl w:ilvl="2" w:tplc="3C6693B0">
      <w:start w:val="1"/>
      <w:numFmt w:val="bullet"/>
      <w:lvlText w:val=""/>
      <w:lvlJc w:val="left"/>
      <w:pPr>
        <w:ind w:left="2160" w:hanging="360"/>
      </w:pPr>
      <w:rPr>
        <w:rFonts w:ascii="Wingdings" w:hAnsi="Wingdings" w:hint="default"/>
      </w:rPr>
    </w:lvl>
    <w:lvl w:ilvl="3" w:tplc="43B4DD62">
      <w:start w:val="1"/>
      <w:numFmt w:val="bullet"/>
      <w:lvlText w:val=""/>
      <w:lvlJc w:val="left"/>
      <w:pPr>
        <w:ind w:left="2880" w:hanging="360"/>
      </w:pPr>
      <w:rPr>
        <w:rFonts w:ascii="Symbol" w:hAnsi="Symbol" w:hint="default"/>
      </w:rPr>
    </w:lvl>
    <w:lvl w:ilvl="4" w:tplc="742C1AC2">
      <w:start w:val="1"/>
      <w:numFmt w:val="bullet"/>
      <w:lvlText w:val="o"/>
      <w:lvlJc w:val="left"/>
      <w:pPr>
        <w:ind w:left="3600" w:hanging="360"/>
      </w:pPr>
      <w:rPr>
        <w:rFonts w:ascii="Courier New" w:hAnsi="Courier New" w:hint="default"/>
      </w:rPr>
    </w:lvl>
    <w:lvl w:ilvl="5" w:tplc="F5E274E0">
      <w:start w:val="1"/>
      <w:numFmt w:val="bullet"/>
      <w:lvlText w:val=""/>
      <w:lvlJc w:val="left"/>
      <w:pPr>
        <w:ind w:left="4320" w:hanging="360"/>
      </w:pPr>
      <w:rPr>
        <w:rFonts w:ascii="Wingdings" w:hAnsi="Wingdings" w:hint="default"/>
      </w:rPr>
    </w:lvl>
    <w:lvl w:ilvl="6" w:tplc="161202BE">
      <w:start w:val="1"/>
      <w:numFmt w:val="bullet"/>
      <w:lvlText w:val=""/>
      <w:lvlJc w:val="left"/>
      <w:pPr>
        <w:ind w:left="5040" w:hanging="360"/>
      </w:pPr>
      <w:rPr>
        <w:rFonts w:ascii="Symbol" w:hAnsi="Symbol" w:hint="default"/>
      </w:rPr>
    </w:lvl>
    <w:lvl w:ilvl="7" w:tplc="977882D8">
      <w:start w:val="1"/>
      <w:numFmt w:val="bullet"/>
      <w:lvlText w:val="o"/>
      <w:lvlJc w:val="left"/>
      <w:pPr>
        <w:ind w:left="5760" w:hanging="360"/>
      </w:pPr>
      <w:rPr>
        <w:rFonts w:ascii="Courier New" w:hAnsi="Courier New" w:hint="default"/>
      </w:rPr>
    </w:lvl>
    <w:lvl w:ilvl="8" w:tplc="0FD80E40">
      <w:start w:val="1"/>
      <w:numFmt w:val="bullet"/>
      <w:lvlText w:val=""/>
      <w:lvlJc w:val="left"/>
      <w:pPr>
        <w:ind w:left="6480" w:hanging="360"/>
      </w:pPr>
      <w:rPr>
        <w:rFonts w:ascii="Wingdings" w:hAnsi="Wingdings" w:hint="default"/>
      </w:rPr>
    </w:lvl>
  </w:abstractNum>
  <w:abstractNum w:abstractNumId="2" w15:restartNumberingAfterBreak="0">
    <w:nsid w:val="0CD0B7C1"/>
    <w:multiLevelType w:val="hybridMultilevel"/>
    <w:tmpl w:val="DDE41C62"/>
    <w:lvl w:ilvl="0" w:tplc="51103770">
      <w:start w:val="1"/>
      <w:numFmt w:val="bullet"/>
      <w:lvlText w:val="·"/>
      <w:lvlJc w:val="left"/>
      <w:pPr>
        <w:ind w:left="720" w:hanging="360"/>
      </w:pPr>
      <w:rPr>
        <w:rFonts w:ascii="Symbol" w:hAnsi="Symbol" w:hint="default"/>
      </w:rPr>
    </w:lvl>
    <w:lvl w:ilvl="1" w:tplc="1FB4B260">
      <w:start w:val="1"/>
      <w:numFmt w:val="bullet"/>
      <w:lvlText w:val="o"/>
      <w:lvlJc w:val="left"/>
      <w:pPr>
        <w:ind w:left="1440" w:hanging="360"/>
      </w:pPr>
      <w:rPr>
        <w:rFonts w:ascii="Courier New" w:hAnsi="Courier New" w:hint="default"/>
      </w:rPr>
    </w:lvl>
    <w:lvl w:ilvl="2" w:tplc="AFF24C22">
      <w:start w:val="1"/>
      <w:numFmt w:val="bullet"/>
      <w:lvlText w:val=""/>
      <w:lvlJc w:val="left"/>
      <w:pPr>
        <w:ind w:left="2160" w:hanging="360"/>
      </w:pPr>
      <w:rPr>
        <w:rFonts w:ascii="Wingdings" w:hAnsi="Wingdings" w:hint="default"/>
      </w:rPr>
    </w:lvl>
    <w:lvl w:ilvl="3" w:tplc="4B22D9EA">
      <w:start w:val="1"/>
      <w:numFmt w:val="bullet"/>
      <w:lvlText w:val=""/>
      <w:lvlJc w:val="left"/>
      <w:pPr>
        <w:ind w:left="2880" w:hanging="360"/>
      </w:pPr>
      <w:rPr>
        <w:rFonts w:ascii="Symbol" w:hAnsi="Symbol" w:hint="default"/>
      </w:rPr>
    </w:lvl>
    <w:lvl w:ilvl="4" w:tplc="9E941590">
      <w:start w:val="1"/>
      <w:numFmt w:val="bullet"/>
      <w:lvlText w:val="o"/>
      <w:lvlJc w:val="left"/>
      <w:pPr>
        <w:ind w:left="3600" w:hanging="360"/>
      </w:pPr>
      <w:rPr>
        <w:rFonts w:ascii="Courier New" w:hAnsi="Courier New" w:hint="default"/>
      </w:rPr>
    </w:lvl>
    <w:lvl w:ilvl="5" w:tplc="94BA145A">
      <w:start w:val="1"/>
      <w:numFmt w:val="bullet"/>
      <w:lvlText w:val=""/>
      <w:lvlJc w:val="left"/>
      <w:pPr>
        <w:ind w:left="4320" w:hanging="360"/>
      </w:pPr>
      <w:rPr>
        <w:rFonts w:ascii="Wingdings" w:hAnsi="Wingdings" w:hint="default"/>
      </w:rPr>
    </w:lvl>
    <w:lvl w:ilvl="6" w:tplc="FED01954">
      <w:start w:val="1"/>
      <w:numFmt w:val="bullet"/>
      <w:lvlText w:val=""/>
      <w:lvlJc w:val="left"/>
      <w:pPr>
        <w:ind w:left="5040" w:hanging="360"/>
      </w:pPr>
      <w:rPr>
        <w:rFonts w:ascii="Symbol" w:hAnsi="Symbol" w:hint="default"/>
      </w:rPr>
    </w:lvl>
    <w:lvl w:ilvl="7" w:tplc="1FBCC8AC">
      <w:start w:val="1"/>
      <w:numFmt w:val="bullet"/>
      <w:lvlText w:val="o"/>
      <w:lvlJc w:val="left"/>
      <w:pPr>
        <w:ind w:left="5760" w:hanging="360"/>
      </w:pPr>
      <w:rPr>
        <w:rFonts w:ascii="Courier New" w:hAnsi="Courier New" w:hint="default"/>
      </w:rPr>
    </w:lvl>
    <w:lvl w:ilvl="8" w:tplc="25825978">
      <w:start w:val="1"/>
      <w:numFmt w:val="bullet"/>
      <w:lvlText w:val=""/>
      <w:lvlJc w:val="left"/>
      <w:pPr>
        <w:ind w:left="6480" w:hanging="360"/>
      </w:pPr>
      <w:rPr>
        <w:rFonts w:ascii="Wingdings" w:hAnsi="Wingdings" w:hint="default"/>
      </w:rPr>
    </w:lvl>
  </w:abstractNum>
  <w:abstractNum w:abstractNumId="3" w15:restartNumberingAfterBreak="0">
    <w:nsid w:val="0F694514"/>
    <w:multiLevelType w:val="hybridMultilevel"/>
    <w:tmpl w:val="FFFFFFFF"/>
    <w:lvl w:ilvl="0" w:tplc="AF223306">
      <w:start w:val="1"/>
      <w:numFmt w:val="bullet"/>
      <w:lvlText w:val="·"/>
      <w:lvlJc w:val="left"/>
      <w:pPr>
        <w:ind w:left="720" w:hanging="360"/>
      </w:pPr>
      <w:rPr>
        <w:rFonts w:ascii="Symbol" w:hAnsi="Symbol" w:hint="default"/>
      </w:rPr>
    </w:lvl>
    <w:lvl w:ilvl="1" w:tplc="C1A45E90">
      <w:start w:val="1"/>
      <w:numFmt w:val="bullet"/>
      <w:lvlText w:val="o"/>
      <w:lvlJc w:val="left"/>
      <w:pPr>
        <w:ind w:left="1440" w:hanging="360"/>
      </w:pPr>
      <w:rPr>
        <w:rFonts w:ascii="Courier New" w:hAnsi="Courier New" w:hint="default"/>
      </w:rPr>
    </w:lvl>
    <w:lvl w:ilvl="2" w:tplc="42BEEB4C">
      <w:start w:val="1"/>
      <w:numFmt w:val="bullet"/>
      <w:lvlText w:val=""/>
      <w:lvlJc w:val="left"/>
      <w:pPr>
        <w:ind w:left="2160" w:hanging="360"/>
      </w:pPr>
      <w:rPr>
        <w:rFonts w:ascii="Wingdings" w:hAnsi="Wingdings" w:hint="default"/>
      </w:rPr>
    </w:lvl>
    <w:lvl w:ilvl="3" w:tplc="7BF01454">
      <w:start w:val="1"/>
      <w:numFmt w:val="bullet"/>
      <w:lvlText w:val=""/>
      <w:lvlJc w:val="left"/>
      <w:pPr>
        <w:ind w:left="2880" w:hanging="360"/>
      </w:pPr>
      <w:rPr>
        <w:rFonts w:ascii="Symbol" w:hAnsi="Symbol" w:hint="default"/>
      </w:rPr>
    </w:lvl>
    <w:lvl w:ilvl="4" w:tplc="451488FA">
      <w:start w:val="1"/>
      <w:numFmt w:val="bullet"/>
      <w:lvlText w:val="o"/>
      <w:lvlJc w:val="left"/>
      <w:pPr>
        <w:ind w:left="3600" w:hanging="360"/>
      </w:pPr>
      <w:rPr>
        <w:rFonts w:ascii="Courier New" w:hAnsi="Courier New" w:hint="default"/>
      </w:rPr>
    </w:lvl>
    <w:lvl w:ilvl="5" w:tplc="4928D49C">
      <w:start w:val="1"/>
      <w:numFmt w:val="bullet"/>
      <w:lvlText w:val=""/>
      <w:lvlJc w:val="left"/>
      <w:pPr>
        <w:ind w:left="4320" w:hanging="360"/>
      </w:pPr>
      <w:rPr>
        <w:rFonts w:ascii="Wingdings" w:hAnsi="Wingdings" w:hint="default"/>
      </w:rPr>
    </w:lvl>
    <w:lvl w:ilvl="6" w:tplc="045A69FE">
      <w:start w:val="1"/>
      <w:numFmt w:val="bullet"/>
      <w:lvlText w:val=""/>
      <w:lvlJc w:val="left"/>
      <w:pPr>
        <w:ind w:left="5040" w:hanging="360"/>
      </w:pPr>
      <w:rPr>
        <w:rFonts w:ascii="Symbol" w:hAnsi="Symbol" w:hint="default"/>
      </w:rPr>
    </w:lvl>
    <w:lvl w:ilvl="7" w:tplc="C1B616A4">
      <w:start w:val="1"/>
      <w:numFmt w:val="bullet"/>
      <w:lvlText w:val="o"/>
      <w:lvlJc w:val="left"/>
      <w:pPr>
        <w:ind w:left="5760" w:hanging="360"/>
      </w:pPr>
      <w:rPr>
        <w:rFonts w:ascii="Courier New" w:hAnsi="Courier New" w:hint="default"/>
      </w:rPr>
    </w:lvl>
    <w:lvl w:ilvl="8" w:tplc="03AC4DD8">
      <w:start w:val="1"/>
      <w:numFmt w:val="bullet"/>
      <w:lvlText w:val=""/>
      <w:lvlJc w:val="left"/>
      <w:pPr>
        <w:ind w:left="6480" w:hanging="360"/>
      </w:pPr>
      <w:rPr>
        <w:rFonts w:ascii="Wingdings" w:hAnsi="Wingdings" w:hint="default"/>
      </w:rPr>
    </w:lvl>
  </w:abstractNum>
  <w:abstractNum w:abstractNumId="4" w15:restartNumberingAfterBreak="0">
    <w:nsid w:val="116E20BA"/>
    <w:multiLevelType w:val="multilevel"/>
    <w:tmpl w:val="A3DCB9F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243563F"/>
    <w:multiLevelType w:val="hybridMultilevel"/>
    <w:tmpl w:val="BFE68EE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6682DC6"/>
    <w:multiLevelType w:val="hybridMultilevel"/>
    <w:tmpl w:val="D33AFCBC"/>
    <w:lvl w:ilvl="0" w:tplc="3D12592A">
      <w:start w:val="1"/>
      <w:numFmt w:val="bullet"/>
      <w:lvlText w:val="·"/>
      <w:lvlJc w:val="left"/>
      <w:pPr>
        <w:ind w:left="720" w:hanging="360"/>
      </w:pPr>
      <w:rPr>
        <w:rFonts w:ascii="Symbol" w:hAnsi="Symbol" w:hint="default"/>
      </w:rPr>
    </w:lvl>
    <w:lvl w:ilvl="1" w:tplc="0E763D3A">
      <w:start w:val="1"/>
      <w:numFmt w:val="bullet"/>
      <w:lvlText w:val="o"/>
      <w:lvlJc w:val="left"/>
      <w:pPr>
        <w:ind w:left="1440" w:hanging="360"/>
      </w:pPr>
      <w:rPr>
        <w:rFonts w:ascii="Courier New" w:hAnsi="Courier New" w:hint="default"/>
      </w:rPr>
    </w:lvl>
    <w:lvl w:ilvl="2" w:tplc="2CF05370">
      <w:start w:val="1"/>
      <w:numFmt w:val="bullet"/>
      <w:lvlText w:val=""/>
      <w:lvlJc w:val="left"/>
      <w:pPr>
        <w:ind w:left="2160" w:hanging="360"/>
      </w:pPr>
      <w:rPr>
        <w:rFonts w:ascii="Wingdings" w:hAnsi="Wingdings" w:hint="default"/>
      </w:rPr>
    </w:lvl>
    <w:lvl w:ilvl="3" w:tplc="6CBE2658">
      <w:start w:val="1"/>
      <w:numFmt w:val="bullet"/>
      <w:lvlText w:val=""/>
      <w:lvlJc w:val="left"/>
      <w:pPr>
        <w:ind w:left="2880" w:hanging="360"/>
      </w:pPr>
      <w:rPr>
        <w:rFonts w:ascii="Symbol" w:hAnsi="Symbol" w:hint="default"/>
      </w:rPr>
    </w:lvl>
    <w:lvl w:ilvl="4" w:tplc="7A5A63B6">
      <w:start w:val="1"/>
      <w:numFmt w:val="bullet"/>
      <w:lvlText w:val="o"/>
      <w:lvlJc w:val="left"/>
      <w:pPr>
        <w:ind w:left="3600" w:hanging="360"/>
      </w:pPr>
      <w:rPr>
        <w:rFonts w:ascii="Courier New" w:hAnsi="Courier New" w:hint="default"/>
      </w:rPr>
    </w:lvl>
    <w:lvl w:ilvl="5" w:tplc="D6DAFF86">
      <w:start w:val="1"/>
      <w:numFmt w:val="bullet"/>
      <w:lvlText w:val=""/>
      <w:lvlJc w:val="left"/>
      <w:pPr>
        <w:ind w:left="4320" w:hanging="360"/>
      </w:pPr>
      <w:rPr>
        <w:rFonts w:ascii="Wingdings" w:hAnsi="Wingdings" w:hint="default"/>
      </w:rPr>
    </w:lvl>
    <w:lvl w:ilvl="6" w:tplc="5D64365A">
      <w:start w:val="1"/>
      <w:numFmt w:val="bullet"/>
      <w:lvlText w:val=""/>
      <w:lvlJc w:val="left"/>
      <w:pPr>
        <w:ind w:left="5040" w:hanging="360"/>
      </w:pPr>
      <w:rPr>
        <w:rFonts w:ascii="Symbol" w:hAnsi="Symbol" w:hint="default"/>
      </w:rPr>
    </w:lvl>
    <w:lvl w:ilvl="7" w:tplc="9B187C8C">
      <w:start w:val="1"/>
      <w:numFmt w:val="bullet"/>
      <w:lvlText w:val="o"/>
      <w:lvlJc w:val="left"/>
      <w:pPr>
        <w:ind w:left="5760" w:hanging="360"/>
      </w:pPr>
      <w:rPr>
        <w:rFonts w:ascii="Courier New" w:hAnsi="Courier New" w:hint="default"/>
      </w:rPr>
    </w:lvl>
    <w:lvl w:ilvl="8" w:tplc="6E2ADC10">
      <w:start w:val="1"/>
      <w:numFmt w:val="bullet"/>
      <w:lvlText w:val=""/>
      <w:lvlJc w:val="left"/>
      <w:pPr>
        <w:ind w:left="6480" w:hanging="360"/>
      </w:pPr>
      <w:rPr>
        <w:rFonts w:ascii="Wingdings" w:hAnsi="Wingdings" w:hint="default"/>
      </w:rPr>
    </w:lvl>
  </w:abstractNum>
  <w:abstractNum w:abstractNumId="7" w15:restartNumberingAfterBreak="0">
    <w:nsid w:val="38057017"/>
    <w:multiLevelType w:val="hybridMultilevel"/>
    <w:tmpl w:val="3B8CB59E"/>
    <w:lvl w:ilvl="0" w:tplc="FFFFFFFF">
      <w:start w:val="1"/>
      <w:numFmt w:val="bullet"/>
      <w:lvlText w:val="·"/>
      <w:lvlJc w:val="left"/>
      <w:pPr>
        <w:ind w:left="720" w:hanging="360"/>
      </w:pPr>
      <w:rPr>
        <w:rFonts w:ascii="Symbol" w:hAnsi="Symbol" w:hint="default"/>
      </w:rPr>
    </w:lvl>
    <w:lvl w:ilvl="1" w:tplc="2EBC4D6A">
      <w:start w:val="1"/>
      <w:numFmt w:val="bullet"/>
      <w:lvlText w:val="o"/>
      <w:lvlJc w:val="left"/>
      <w:pPr>
        <w:ind w:left="1440" w:hanging="360"/>
      </w:pPr>
      <w:rPr>
        <w:rFonts w:ascii="Courier New" w:hAnsi="Courier New" w:hint="default"/>
      </w:rPr>
    </w:lvl>
    <w:lvl w:ilvl="2" w:tplc="4A1EF5EC">
      <w:start w:val="1"/>
      <w:numFmt w:val="bullet"/>
      <w:lvlText w:val=""/>
      <w:lvlJc w:val="left"/>
      <w:pPr>
        <w:ind w:left="2160" w:hanging="360"/>
      </w:pPr>
      <w:rPr>
        <w:rFonts w:ascii="Wingdings" w:hAnsi="Wingdings" w:hint="default"/>
      </w:rPr>
    </w:lvl>
    <w:lvl w:ilvl="3" w:tplc="06401F4A">
      <w:start w:val="1"/>
      <w:numFmt w:val="bullet"/>
      <w:lvlText w:val=""/>
      <w:lvlJc w:val="left"/>
      <w:pPr>
        <w:ind w:left="2880" w:hanging="360"/>
      </w:pPr>
      <w:rPr>
        <w:rFonts w:ascii="Symbol" w:hAnsi="Symbol" w:hint="default"/>
      </w:rPr>
    </w:lvl>
    <w:lvl w:ilvl="4" w:tplc="AF142EC6">
      <w:start w:val="1"/>
      <w:numFmt w:val="bullet"/>
      <w:lvlText w:val="o"/>
      <w:lvlJc w:val="left"/>
      <w:pPr>
        <w:ind w:left="3600" w:hanging="360"/>
      </w:pPr>
      <w:rPr>
        <w:rFonts w:ascii="Courier New" w:hAnsi="Courier New" w:hint="default"/>
      </w:rPr>
    </w:lvl>
    <w:lvl w:ilvl="5" w:tplc="C330BEAE">
      <w:start w:val="1"/>
      <w:numFmt w:val="bullet"/>
      <w:lvlText w:val=""/>
      <w:lvlJc w:val="left"/>
      <w:pPr>
        <w:ind w:left="4320" w:hanging="360"/>
      </w:pPr>
      <w:rPr>
        <w:rFonts w:ascii="Wingdings" w:hAnsi="Wingdings" w:hint="default"/>
      </w:rPr>
    </w:lvl>
    <w:lvl w:ilvl="6" w:tplc="8F24034E">
      <w:start w:val="1"/>
      <w:numFmt w:val="bullet"/>
      <w:lvlText w:val=""/>
      <w:lvlJc w:val="left"/>
      <w:pPr>
        <w:ind w:left="5040" w:hanging="360"/>
      </w:pPr>
      <w:rPr>
        <w:rFonts w:ascii="Symbol" w:hAnsi="Symbol" w:hint="default"/>
      </w:rPr>
    </w:lvl>
    <w:lvl w:ilvl="7" w:tplc="3E5CCAFE">
      <w:start w:val="1"/>
      <w:numFmt w:val="bullet"/>
      <w:lvlText w:val="o"/>
      <w:lvlJc w:val="left"/>
      <w:pPr>
        <w:ind w:left="5760" w:hanging="360"/>
      </w:pPr>
      <w:rPr>
        <w:rFonts w:ascii="Courier New" w:hAnsi="Courier New" w:hint="default"/>
      </w:rPr>
    </w:lvl>
    <w:lvl w:ilvl="8" w:tplc="F74E378E">
      <w:start w:val="1"/>
      <w:numFmt w:val="bullet"/>
      <w:lvlText w:val=""/>
      <w:lvlJc w:val="left"/>
      <w:pPr>
        <w:ind w:left="6480" w:hanging="360"/>
      </w:pPr>
      <w:rPr>
        <w:rFonts w:ascii="Wingdings" w:hAnsi="Wingdings" w:hint="default"/>
      </w:rPr>
    </w:lvl>
  </w:abstractNum>
  <w:abstractNum w:abstractNumId="8" w15:restartNumberingAfterBreak="0">
    <w:nsid w:val="42C52FF1"/>
    <w:multiLevelType w:val="hybridMultilevel"/>
    <w:tmpl w:val="50621EE0"/>
    <w:lvl w:ilvl="0" w:tplc="BF965EF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DB239E2"/>
    <w:multiLevelType w:val="multilevel"/>
    <w:tmpl w:val="B8E6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80651B"/>
    <w:multiLevelType w:val="hybridMultilevel"/>
    <w:tmpl w:val="5548FE6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81916B6"/>
    <w:multiLevelType w:val="hybridMultilevel"/>
    <w:tmpl w:val="C99E3940"/>
    <w:lvl w:ilvl="0" w:tplc="E5C66DB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4"/>
  </w:num>
  <w:num w:numId="6">
    <w:abstractNumId w:val="10"/>
  </w:num>
  <w:num w:numId="7">
    <w:abstractNumId w:val="3"/>
  </w:num>
  <w:num w:numId="8">
    <w:abstractNumId w:val="1"/>
  </w:num>
  <w:num w:numId="9">
    <w:abstractNumId w:val="5"/>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de-DE" w:vendorID="64" w:dllVersion="6" w:nlCheck="1" w:checkStyle="0"/>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activeWritingStyle w:appName="MSWord" w:lang="fr-BE" w:vendorID="64" w:dllVersion="6" w:nlCheck="1" w:checkStyle="0"/>
  <w:activeWritingStyle w:appName="MSWord" w:lang="fr-BE" w:vendorID="64" w:dllVersion="131078"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58631858-9CA0-497F-BDCA-E9BC7A07CA17"/>
    <w:docVar w:name="LW_COVERPAGE_TYPE" w:val="1"/>
    <w:docVar w:name="LW_CROSSREFERENCE" w:val="&lt;UNUSED&gt;"/>
    <w:docVar w:name="LW_DocType" w:val="NORMAL"/>
    <w:docVar w:name="LW_EMISSION" w:val="18.10.2022"/>
    <w:docVar w:name="LW_EMISSION_ISODATE" w:val="2022-10-18"/>
    <w:docVar w:name="LW_EMISSION_LOCATION" w:val="STR"/>
    <w:docVar w:name="LW_EMISSION_PREFIX" w:val="Strasburg, dnia "/>
    <w:docVar w:name="LW_EMISSION_SUFFIX" w:val=" r."/>
    <w:docVar w:name="LW_ID_DOCTYPE_NONLW" w:val="CP-009"/>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2) 5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ryzys energetyczny – wspólne przygotowania, zakupy i ochrona UE"/>
    <w:docVar w:name="LW_TYPE.DOC.CP" w:val="KOMUNIKAT KOMISJI"/>
    <w:docVar w:name="LW_TYPE.DOC.CP.USERTEXT" w:val="DO PARLAMENTU EUROPEJSKIEGO, RADY EUROPEJSKIEJ, RADY, EUROPEJSKIEGO KOMITETU EKONOMICZNO-SPO\u321?ECZNEGO I KOMITETU REGIONÓW"/>
    <w:docVar w:name="LwApiVersions" w:val="LW4CoDe 1.23.2.0; LW 8.0, Build 20211117"/>
  </w:docVars>
  <w:rsids>
    <w:rsidRoot w:val="7D408506"/>
    <w:rsid w:val="00000F2C"/>
    <w:rsid w:val="00017743"/>
    <w:rsid w:val="000218AF"/>
    <w:rsid w:val="00022B76"/>
    <w:rsid w:val="00025A06"/>
    <w:rsid w:val="0002669C"/>
    <w:rsid w:val="0002965D"/>
    <w:rsid w:val="00030833"/>
    <w:rsid w:val="00031F9B"/>
    <w:rsid w:val="00032C50"/>
    <w:rsid w:val="000349D2"/>
    <w:rsid w:val="000350B5"/>
    <w:rsid w:val="00037A7E"/>
    <w:rsid w:val="0004122A"/>
    <w:rsid w:val="00041D86"/>
    <w:rsid w:val="00042265"/>
    <w:rsid w:val="00043FF1"/>
    <w:rsid w:val="000440AE"/>
    <w:rsid w:val="00045421"/>
    <w:rsid w:val="00046020"/>
    <w:rsid w:val="00051231"/>
    <w:rsid w:val="000531E1"/>
    <w:rsid w:val="00057C59"/>
    <w:rsid w:val="0006164A"/>
    <w:rsid w:val="00064D92"/>
    <w:rsid w:val="00065137"/>
    <w:rsid w:val="00065ED5"/>
    <w:rsid w:val="000705B1"/>
    <w:rsid w:val="000727BB"/>
    <w:rsid w:val="000777E3"/>
    <w:rsid w:val="00080A39"/>
    <w:rsid w:val="000825B3"/>
    <w:rsid w:val="00086104"/>
    <w:rsid w:val="0008759E"/>
    <w:rsid w:val="00091C34"/>
    <w:rsid w:val="00095459"/>
    <w:rsid w:val="00096218"/>
    <w:rsid w:val="000A55F0"/>
    <w:rsid w:val="000B0D0C"/>
    <w:rsid w:val="000B2412"/>
    <w:rsid w:val="000B4F31"/>
    <w:rsid w:val="000B5C96"/>
    <w:rsid w:val="000B7CCB"/>
    <w:rsid w:val="000BF5E9"/>
    <w:rsid w:val="000C0886"/>
    <w:rsid w:val="000C1170"/>
    <w:rsid w:val="000C423F"/>
    <w:rsid w:val="000C473C"/>
    <w:rsid w:val="000C58F4"/>
    <w:rsid w:val="000C5E7C"/>
    <w:rsid w:val="000D16AA"/>
    <w:rsid w:val="000D30B1"/>
    <w:rsid w:val="000D37C4"/>
    <w:rsid w:val="000D562C"/>
    <w:rsid w:val="000D66BF"/>
    <w:rsid w:val="000E3BC0"/>
    <w:rsid w:val="000E46BD"/>
    <w:rsid w:val="000E4B22"/>
    <w:rsid w:val="000E4FFF"/>
    <w:rsid w:val="000F1877"/>
    <w:rsid w:val="000F1991"/>
    <w:rsid w:val="000F5CA4"/>
    <w:rsid w:val="000F6933"/>
    <w:rsid w:val="000F6F0D"/>
    <w:rsid w:val="00104FF0"/>
    <w:rsid w:val="001076DD"/>
    <w:rsid w:val="00112C1F"/>
    <w:rsid w:val="0011369A"/>
    <w:rsid w:val="00113CBD"/>
    <w:rsid w:val="00114A56"/>
    <w:rsid w:val="00115F52"/>
    <w:rsid w:val="00116290"/>
    <w:rsid w:val="001179C0"/>
    <w:rsid w:val="0012008B"/>
    <w:rsid w:val="00120774"/>
    <w:rsid w:val="00124D34"/>
    <w:rsid w:val="0012618C"/>
    <w:rsid w:val="00126C1E"/>
    <w:rsid w:val="00127136"/>
    <w:rsid w:val="00127994"/>
    <w:rsid w:val="00134604"/>
    <w:rsid w:val="0013648E"/>
    <w:rsid w:val="00137457"/>
    <w:rsid w:val="00140E30"/>
    <w:rsid w:val="001423CF"/>
    <w:rsid w:val="00142E31"/>
    <w:rsid w:val="0014364C"/>
    <w:rsid w:val="00143835"/>
    <w:rsid w:val="00145E96"/>
    <w:rsid w:val="0014793A"/>
    <w:rsid w:val="001516BC"/>
    <w:rsid w:val="00160CEA"/>
    <w:rsid w:val="00160F45"/>
    <w:rsid w:val="00161F63"/>
    <w:rsid w:val="00164C8B"/>
    <w:rsid w:val="00166248"/>
    <w:rsid w:val="00167FA4"/>
    <w:rsid w:val="00170F5C"/>
    <w:rsid w:val="00174712"/>
    <w:rsid w:val="00176163"/>
    <w:rsid w:val="00182B95"/>
    <w:rsid w:val="00183396"/>
    <w:rsid w:val="001842D0"/>
    <w:rsid w:val="00184384"/>
    <w:rsid w:val="00184EF7"/>
    <w:rsid w:val="00186160"/>
    <w:rsid w:val="0018735B"/>
    <w:rsid w:val="0018773E"/>
    <w:rsid w:val="001909CA"/>
    <w:rsid w:val="001913F8"/>
    <w:rsid w:val="0019390E"/>
    <w:rsid w:val="001A1C2D"/>
    <w:rsid w:val="001A26C4"/>
    <w:rsid w:val="001A3F5A"/>
    <w:rsid w:val="001A6CBC"/>
    <w:rsid w:val="001A7194"/>
    <w:rsid w:val="001A7E4E"/>
    <w:rsid w:val="001B0C49"/>
    <w:rsid w:val="001B132A"/>
    <w:rsid w:val="001B2E96"/>
    <w:rsid w:val="001C05DC"/>
    <w:rsid w:val="001C2D18"/>
    <w:rsid w:val="001C3177"/>
    <w:rsid w:val="001C3EFD"/>
    <w:rsid w:val="001C67C1"/>
    <w:rsid w:val="001C6DC9"/>
    <w:rsid w:val="001D1B1A"/>
    <w:rsid w:val="001D2906"/>
    <w:rsid w:val="001E0A8A"/>
    <w:rsid w:val="001E128A"/>
    <w:rsid w:val="001E48A6"/>
    <w:rsid w:val="001E7922"/>
    <w:rsid w:val="001F1B5B"/>
    <w:rsid w:val="001F23A5"/>
    <w:rsid w:val="001F36C8"/>
    <w:rsid w:val="001F5570"/>
    <w:rsid w:val="001F598E"/>
    <w:rsid w:val="001F5D9B"/>
    <w:rsid w:val="001F5EC7"/>
    <w:rsid w:val="001F649B"/>
    <w:rsid w:val="00200161"/>
    <w:rsid w:val="002030C2"/>
    <w:rsid w:val="00206ED1"/>
    <w:rsid w:val="00206F34"/>
    <w:rsid w:val="00207887"/>
    <w:rsid w:val="002139B7"/>
    <w:rsid w:val="00216C3A"/>
    <w:rsid w:val="00221BB7"/>
    <w:rsid w:val="00222252"/>
    <w:rsid w:val="00223263"/>
    <w:rsid w:val="00223621"/>
    <w:rsid w:val="00223EF9"/>
    <w:rsid w:val="00225AF2"/>
    <w:rsid w:val="00225EF3"/>
    <w:rsid w:val="00226464"/>
    <w:rsid w:val="00231993"/>
    <w:rsid w:val="002320EB"/>
    <w:rsid w:val="00232FDB"/>
    <w:rsid w:val="00233C10"/>
    <w:rsid w:val="00234A59"/>
    <w:rsid w:val="00243D08"/>
    <w:rsid w:val="00250090"/>
    <w:rsid w:val="0025172E"/>
    <w:rsid w:val="00251DD8"/>
    <w:rsid w:val="00257E35"/>
    <w:rsid w:val="00260006"/>
    <w:rsid w:val="002624EC"/>
    <w:rsid w:val="00263476"/>
    <w:rsid w:val="002637E6"/>
    <w:rsid w:val="002638EA"/>
    <w:rsid w:val="00264A7B"/>
    <w:rsid w:val="00276A99"/>
    <w:rsid w:val="00276CEA"/>
    <w:rsid w:val="00277CFC"/>
    <w:rsid w:val="002808DA"/>
    <w:rsid w:val="00281E00"/>
    <w:rsid w:val="0028495C"/>
    <w:rsid w:val="00284E3E"/>
    <w:rsid w:val="00291B10"/>
    <w:rsid w:val="00293B91"/>
    <w:rsid w:val="00295711"/>
    <w:rsid w:val="00295E3D"/>
    <w:rsid w:val="002A0809"/>
    <w:rsid w:val="002A0D90"/>
    <w:rsid w:val="002A21EA"/>
    <w:rsid w:val="002A466B"/>
    <w:rsid w:val="002A484D"/>
    <w:rsid w:val="002A769B"/>
    <w:rsid w:val="002A786A"/>
    <w:rsid w:val="002B121E"/>
    <w:rsid w:val="002B400E"/>
    <w:rsid w:val="002B4465"/>
    <w:rsid w:val="002B5169"/>
    <w:rsid w:val="002C2D3A"/>
    <w:rsid w:val="002C68B1"/>
    <w:rsid w:val="002D2B0C"/>
    <w:rsid w:val="002D442A"/>
    <w:rsid w:val="002D587A"/>
    <w:rsid w:val="002E18B1"/>
    <w:rsid w:val="002E4EC5"/>
    <w:rsid w:val="002E530C"/>
    <w:rsid w:val="002F129D"/>
    <w:rsid w:val="002F38C4"/>
    <w:rsid w:val="002F4C23"/>
    <w:rsid w:val="002F5D17"/>
    <w:rsid w:val="002F5FE8"/>
    <w:rsid w:val="00302D74"/>
    <w:rsid w:val="0031119D"/>
    <w:rsid w:val="00313443"/>
    <w:rsid w:val="00314EB6"/>
    <w:rsid w:val="003160BF"/>
    <w:rsid w:val="003162B9"/>
    <w:rsid w:val="003167CA"/>
    <w:rsid w:val="00322762"/>
    <w:rsid w:val="003238F9"/>
    <w:rsid w:val="003253F3"/>
    <w:rsid w:val="003257BC"/>
    <w:rsid w:val="00330F8B"/>
    <w:rsid w:val="00331A08"/>
    <w:rsid w:val="00332130"/>
    <w:rsid w:val="0034379F"/>
    <w:rsid w:val="00343D53"/>
    <w:rsid w:val="00345DA4"/>
    <w:rsid w:val="00347CFC"/>
    <w:rsid w:val="003511B6"/>
    <w:rsid w:val="00354136"/>
    <w:rsid w:val="00355D03"/>
    <w:rsid w:val="00361440"/>
    <w:rsid w:val="00363270"/>
    <w:rsid w:val="00372446"/>
    <w:rsid w:val="00372FD4"/>
    <w:rsid w:val="003756F4"/>
    <w:rsid w:val="00377C56"/>
    <w:rsid w:val="003808C2"/>
    <w:rsid w:val="00391EC6"/>
    <w:rsid w:val="003948A8"/>
    <w:rsid w:val="00396EDC"/>
    <w:rsid w:val="00397175"/>
    <w:rsid w:val="003A087D"/>
    <w:rsid w:val="003A4199"/>
    <w:rsid w:val="003B1A07"/>
    <w:rsid w:val="003B1B88"/>
    <w:rsid w:val="003B39C2"/>
    <w:rsid w:val="003B4CD4"/>
    <w:rsid w:val="003C1B09"/>
    <w:rsid w:val="003C2542"/>
    <w:rsid w:val="003C3D4D"/>
    <w:rsid w:val="003C409B"/>
    <w:rsid w:val="003C70FC"/>
    <w:rsid w:val="003D2793"/>
    <w:rsid w:val="003D3B4A"/>
    <w:rsid w:val="003D4824"/>
    <w:rsid w:val="003D537F"/>
    <w:rsid w:val="003E1912"/>
    <w:rsid w:val="003E41C8"/>
    <w:rsid w:val="003E5918"/>
    <w:rsid w:val="003E73DA"/>
    <w:rsid w:val="003F495B"/>
    <w:rsid w:val="003F6264"/>
    <w:rsid w:val="003F6689"/>
    <w:rsid w:val="004019E3"/>
    <w:rsid w:val="00402B19"/>
    <w:rsid w:val="004075F0"/>
    <w:rsid w:val="00410B80"/>
    <w:rsid w:val="00412D0B"/>
    <w:rsid w:val="0041546A"/>
    <w:rsid w:val="004155F3"/>
    <w:rsid w:val="00416776"/>
    <w:rsid w:val="00426FD1"/>
    <w:rsid w:val="004311B2"/>
    <w:rsid w:val="00432CE8"/>
    <w:rsid w:val="0043320E"/>
    <w:rsid w:val="00434589"/>
    <w:rsid w:val="0043674D"/>
    <w:rsid w:val="00436E49"/>
    <w:rsid w:val="00436F37"/>
    <w:rsid w:val="004436F8"/>
    <w:rsid w:val="00445ACF"/>
    <w:rsid w:val="004475EB"/>
    <w:rsid w:val="004527FA"/>
    <w:rsid w:val="00455E52"/>
    <w:rsid w:val="00462C42"/>
    <w:rsid w:val="00462DB4"/>
    <w:rsid w:val="00464A97"/>
    <w:rsid w:val="00465436"/>
    <w:rsid w:val="00474738"/>
    <w:rsid w:val="004765C9"/>
    <w:rsid w:val="0048133A"/>
    <w:rsid w:val="0048259A"/>
    <w:rsid w:val="00485980"/>
    <w:rsid w:val="00487921"/>
    <w:rsid w:val="00492377"/>
    <w:rsid w:val="004A23C4"/>
    <w:rsid w:val="004A319C"/>
    <w:rsid w:val="004A6E31"/>
    <w:rsid w:val="004A7B7B"/>
    <w:rsid w:val="004B1600"/>
    <w:rsid w:val="004B5EFE"/>
    <w:rsid w:val="004B7AE4"/>
    <w:rsid w:val="004C0A5A"/>
    <w:rsid w:val="004C2144"/>
    <w:rsid w:val="004C434F"/>
    <w:rsid w:val="004C5528"/>
    <w:rsid w:val="004C5564"/>
    <w:rsid w:val="004C5E49"/>
    <w:rsid w:val="004C6056"/>
    <w:rsid w:val="004C6C35"/>
    <w:rsid w:val="004C7719"/>
    <w:rsid w:val="004D749D"/>
    <w:rsid w:val="004D7EF6"/>
    <w:rsid w:val="004E12B5"/>
    <w:rsid w:val="004E1760"/>
    <w:rsid w:val="004E1F63"/>
    <w:rsid w:val="004E2090"/>
    <w:rsid w:val="004E526A"/>
    <w:rsid w:val="004E6435"/>
    <w:rsid w:val="004F0119"/>
    <w:rsid w:val="004F0441"/>
    <w:rsid w:val="004F14ED"/>
    <w:rsid w:val="004F298A"/>
    <w:rsid w:val="004F3BC5"/>
    <w:rsid w:val="004F4D67"/>
    <w:rsid w:val="00500395"/>
    <w:rsid w:val="005009C0"/>
    <w:rsid w:val="0050322E"/>
    <w:rsid w:val="00504725"/>
    <w:rsid w:val="00507B29"/>
    <w:rsid w:val="00511BCC"/>
    <w:rsid w:val="005132FA"/>
    <w:rsid w:val="005137B0"/>
    <w:rsid w:val="00520988"/>
    <w:rsid w:val="00520A24"/>
    <w:rsid w:val="005237F2"/>
    <w:rsid w:val="00523FFD"/>
    <w:rsid w:val="00524ED3"/>
    <w:rsid w:val="005267E1"/>
    <w:rsid w:val="00531267"/>
    <w:rsid w:val="00531C0D"/>
    <w:rsid w:val="00531CB0"/>
    <w:rsid w:val="00540390"/>
    <w:rsid w:val="00541B1D"/>
    <w:rsid w:val="00541C24"/>
    <w:rsid w:val="005472EF"/>
    <w:rsid w:val="005522D8"/>
    <w:rsid w:val="00552A27"/>
    <w:rsid w:val="00552FD0"/>
    <w:rsid w:val="005548F5"/>
    <w:rsid w:val="00554B01"/>
    <w:rsid w:val="00560C6C"/>
    <w:rsid w:val="00560F5C"/>
    <w:rsid w:val="00561DA3"/>
    <w:rsid w:val="00565772"/>
    <w:rsid w:val="00567AE7"/>
    <w:rsid w:val="005725E2"/>
    <w:rsid w:val="00572CE8"/>
    <w:rsid w:val="00573193"/>
    <w:rsid w:val="00574FA7"/>
    <w:rsid w:val="00576B8C"/>
    <w:rsid w:val="0057792C"/>
    <w:rsid w:val="005822A1"/>
    <w:rsid w:val="00582FA6"/>
    <w:rsid w:val="00584B90"/>
    <w:rsid w:val="00587519"/>
    <w:rsid w:val="00597D81"/>
    <w:rsid w:val="005A0F67"/>
    <w:rsid w:val="005A1952"/>
    <w:rsid w:val="005A2A7A"/>
    <w:rsid w:val="005A49D7"/>
    <w:rsid w:val="005A6788"/>
    <w:rsid w:val="005A67AC"/>
    <w:rsid w:val="005B023F"/>
    <w:rsid w:val="005B0997"/>
    <w:rsid w:val="005B1AC9"/>
    <w:rsid w:val="005B3876"/>
    <w:rsid w:val="005B4FA2"/>
    <w:rsid w:val="005B72A7"/>
    <w:rsid w:val="005B78B3"/>
    <w:rsid w:val="005C31DD"/>
    <w:rsid w:val="005C5686"/>
    <w:rsid w:val="005C62C2"/>
    <w:rsid w:val="005C6DCF"/>
    <w:rsid w:val="005C70CB"/>
    <w:rsid w:val="005D44DD"/>
    <w:rsid w:val="005D4B1C"/>
    <w:rsid w:val="005D5DED"/>
    <w:rsid w:val="005E6062"/>
    <w:rsid w:val="005E6B2A"/>
    <w:rsid w:val="005F5FBE"/>
    <w:rsid w:val="00600238"/>
    <w:rsid w:val="00601C77"/>
    <w:rsid w:val="00604CC0"/>
    <w:rsid w:val="00604DC6"/>
    <w:rsid w:val="00606F55"/>
    <w:rsid w:val="00612512"/>
    <w:rsid w:val="00613BEC"/>
    <w:rsid w:val="00613C90"/>
    <w:rsid w:val="0061561E"/>
    <w:rsid w:val="00616A75"/>
    <w:rsid w:val="006209BE"/>
    <w:rsid w:val="00621E43"/>
    <w:rsid w:val="00622BFE"/>
    <w:rsid w:val="006246C3"/>
    <w:rsid w:val="00624E49"/>
    <w:rsid w:val="00625708"/>
    <w:rsid w:val="00633601"/>
    <w:rsid w:val="00640888"/>
    <w:rsid w:val="006408AC"/>
    <w:rsid w:val="00640B3A"/>
    <w:rsid w:val="00641879"/>
    <w:rsid w:val="00641DC6"/>
    <w:rsid w:val="00643EE8"/>
    <w:rsid w:val="00646F56"/>
    <w:rsid w:val="00651838"/>
    <w:rsid w:val="00651F0B"/>
    <w:rsid w:val="006551CD"/>
    <w:rsid w:val="006551D7"/>
    <w:rsid w:val="00655AFA"/>
    <w:rsid w:val="006571B4"/>
    <w:rsid w:val="00664FDB"/>
    <w:rsid w:val="006654A6"/>
    <w:rsid w:val="00665579"/>
    <w:rsid w:val="00666701"/>
    <w:rsid w:val="00670C32"/>
    <w:rsid w:val="006722C0"/>
    <w:rsid w:val="00677483"/>
    <w:rsid w:val="00682EF1"/>
    <w:rsid w:val="00683F88"/>
    <w:rsid w:val="0068417E"/>
    <w:rsid w:val="0069014C"/>
    <w:rsid w:val="00694460"/>
    <w:rsid w:val="0069517B"/>
    <w:rsid w:val="00695CF2"/>
    <w:rsid w:val="00696434"/>
    <w:rsid w:val="00697389"/>
    <w:rsid w:val="006976D1"/>
    <w:rsid w:val="006A0203"/>
    <w:rsid w:val="006A0CA6"/>
    <w:rsid w:val="006A47C2"/>
    <w:rsid w:val="006A49B0"/>
    <w:rsid w:val="006A5234"/>
    <w:rsid w:val="006A60BB"/>
    <w:rsid w:val="006B529D"/>
    <w:rsid w:val="006B5B33"/>
    <w:rsid w:val="006B70C3"/>
    <w:rsid w:val="006B7204"/>
    <w:rsid w:val="006C1517"/>
    <w:rsid w:val="006C17CF"/>
    <w:rsid w:val="006C4802"/>
    <w:rsid w:val="006C77A0"/>
    <w:rsid w:val="006D7044"/>
    <w:rsid w:val="006E3428"/>
    <w:rsid w:val="006E5133"/>
    <w:rsid w:val="006E63B2"/>
    <w:rsid w:val="006F663E"/>
    <w:rsid w:val="006F6D9F"/>
    <w:rsid w:val="006F74CE"/>
    <w:rsid w:val="007000DE"/>
    <w:rsid w:val="00700FF7"/>
    <w:rsid w:val="00701024"/>
    <w:rsid w:val="00703E38"/>
    <w:rsid w:val="00704CA8"/>
    <w:rsid w:val="00714763"/>
    <w:rsid w:val="007150CE"/>
    <w:rsid w:val="00716841"/>
    <w:rsid w:val="00726A3A"/>
    <w:rsid w:val="0072749E"/>
    <w:rsid w:val="0073580B"/>
    <w:rsid w:val="007432F9"/>
    <w:rsid w:val="007469F7"/>
    <w:rsid w:val="00752C1C"/>
    <w:rsid w:val="007559AA"/>
    <w:rsid w:val="00760C71"/>
    <w:rsid w:val="00761E10"/>
    <w:rsid w:val="00763498"/>
    <w:rsid w:val="007647CE"/>
    <w:rsid w:val="00764D5C"/>
    <w:rsid w:val="007662E8"/>
    <w:rsid w:val="007705BF"/>
    <w:rsid w:val="00770EAC"/>
    <w:rsid w:val="007727DE"/>
    <w:rsid w:val="007758E0"/>
    <w:rsid w:val="00781170"/>
    <w:rsid w:val="00784398"/>
    <w:rsid w:val="00784692"/>
    <w:rsid w:val="007857AC"/>
    <w:rsid w:val="00785CA2"/>
    <w:rsid w:val="007922DF"/>
    <w:rsid w:val="00794760"/>
    <w:rsid w:val="00794AD1"/>
    <w:rsid w:val="00795D66"/>
    <w:rsid w:val="00796E2A"/>
    <w:rsid w:val="00797D91"/>
    <w:rsid w:val="007A4BC8"/>
    <w:rsid w:val="007A4FF2"/>
    <w:rsid w:val="007A77FE"/>
    <w:rsid w:val="007A7A3B"/>
    <w:rsid w:val="007B0B48"/>
    <w:rsid w:val="007B1881"/>
    <w:rsid w:val="007B40E5"/>
    <w:rsid w:val="007B5513"/>
    <w:rsid w:val="007B63A0"/>
    <w:rsid w:val="007C4D1B"/>
    <w:rsid w:val="007C77C3"/>
    <w:rsid w:val="007D13EB"/>
    <w:rsid w:val="007D1C7D"/>
    <w:rsid w:val="007D2353"/>
    <w:rsid w:val="007D7AE4"/>
    <w:rsid w:val="007E238A"/>
    <w:rsid w:val="007E506A"/>
    <w:rsid w:val="007E6FE3"/>
    <w:rsid w:val="007E74EE"/>
    <w:rsid w:val="007E79A0"/>
    <w:rsid w:val="007F13FD"/>
    <w:rsid w:val="007F3336"/>
    <w:rsid w:val="007F4A66"/>
    <w:rsid w:val="007F7AC5"/>
    <w:rsid w:val="00801B2B"/>
    <w:rsid w:val="00802EE0"/>
    <w:rsid w:val="008054BD"/>
    <w:rsid w:val="00806319"/>
    <w:rsid w:val="008070D6"/>
    <w:rsid w:val="00810134"/>
    <w:rsid w:val="00810DE5"/>
    <w:rsid w:val="00811341"/>
    <w:rsid w:val="00812F46"/>
    <w:rsid w:val="00814115"/>
    <w:rsid w:val="00814120"/>
    <w:rsid w:val="00816477"/>
    <w:rsid w:val="00816977"/>
    <w:rsid w:val="008225EB"/>
    <w:rsid w:val="00825400"/>
    <w:rsid w:val="008309EC"/>
    <w:rsid w:val="00831AF9"/>
    <w:rsid w:val="00833F63"/>
    <w:rsid w:val="0084158D"/>
    <w:rsid w:val="00842839"/>
    <w:rsid w:val="0084378A"/>
    <w:rsid w:val="008459C6"/>
    <w:rsid w:val="008476C7"/>
    <w:rsid w:val="00852359"/>
    <w:rsid w:val="00854D62"/>
    <w:rsid w:val="008632C7"/>
    <w:rsid w:val="00863E9B"/>
    <w:rsid w:val="00864E72"/>
    <w:rsid w:val="00866331"/>
    <w:rsid w:val="00873452"/>
    <w:rsid w:val="00874952"/>
    <w:rsid w:val="00880979"/>
    <w:rsid w:val="0088133E"/>
    <w:rsid w:val="008872D2"/>
    <w:rsid w:val="008879CB"/>
    <w:rsid w:val="0089014F"/>
    <w:rsid w:val="00890DF0"/>
    <w:rsid w:val="00891EC9"/>
    <w:rsid w:val="00892E5C"/>
    <w:rsid w:val="00893E25"/>
    <w:rsid w:val="008953FF"/>
    <w:rsid w:val="008975AE"/>
    <w:rsid w:val="008A0997"/>
    <w:rsid w:val="008A290D"/>
    <w:rsid w:val="008A3E37"/>
    <w:rsid w:val="008A61FE"/>
    <w:rsid w:val="008A7A64"/>
    <w:rsid w:val="008B0289"/>
    <w:rsid w:val="008B5218"/>
    <w:rsid w:val="008C01B6"/>
    <w:rsid w:val="008C0E82"/>
    <w:rsid w:val="008C10D0"/>
    <w:rsid w:val="008C3088"/>
    <w:rsid w:val="008C36DF"/>
    <w:rsid w:val="008C3AD4"/>
    <w:rsid w:val="008C3C84"/>
    <w:rsid w:val="008C40AB"/>
    <w:rsid w:val="008C4175"/>
    <w:rsid w:val="008C470E"/>
    <w:rsid w:val="008C4EBA"/>
    <w:rsid w:val="008C5445"/>
    <w:rsid w:val="008C7B54"/>
    <w:rsid w:val="008D0B9A"/>
    <w:rsid w:val="008D53CD"/>
    <w:rsid w:val="008E1E30"/>
    <w:rsid w:val="008E50A6"/>
    <w:rsid w:val="008F0EC9"/>
    <w:rsid w:val="008F0EE5"/>
    <w:rsid w:val="008F146D"/>
    <w:rsid w:val="008F5A40"/>
    <w:rsid w:val="008F7EBF"/>
    <w:rsid w:val="00900B06"/>
    <w:rsid w:val="00901A8C"/>
    <w:rsid w:val="009042FB"/>
    <w:rsid w:val="00904E01"/>
    <w:rsid w:val="00907412"/>
    <w:rsid w:val="00907A48"/>
    <w:rsid w:val="00915B97"/>
    <w:rsid w:val="0091635E"/>
    <w:rsid w:val="0092221D"/>
    <w:rsid w:val="009226FC"/>
    <w:rsid w:val="00922843"/>
    <w:rsid w:val="009265D9"/>
    <w:rsid w:val="00931080"/>
    <w:rsid w:val="00932646"/>
    <w:rsid w:val="009353FA"/>
    <w:rsid w:val="009358C1"/>
    <w:rsid w:val="00935996"/>
    <w:rsid w:val="00942461"/>
    <w:rsid w:val="009424BA"/>
    <w:rsid w:val="0094560A"/>
    <w:rsid w:val="009500B8"/>
    <w:rsid w:val="00964A34"/>
    <w:rsid w:val="009664B2"/>
    <w:rsid w:val="00966B37"/>
    <w:rsid w:val="00970FE8"/>
    <w:rsid w:val="009749DB"/>
    <w:rsid w:val="00975155"/>
    <w:rsid w:val="009762FA"/>
    <w:rsid w:val="00983422"/>
    <w:rsid w:val="0098513E"/>
    <w:rsid w:val="009905DA"/>
    <w:rsid w:val="009925DD"/>
    <w:rsid w:val="00995746"/>
    <w:rsid w:val="00995A8D"/>
    <w:rsid w:val="00997510"/>
    <w:rsid w:val="009A59DF"/>
    <w:rsid w:val="009A76C7"/>
    <w:rsid w:val="009A7C61"/>
    <w:rsid w:val="009B2193"/>
    <w:rsid w:val="009B7AD7"/>
    <w:rsid w:val="009B7DB4"/>
    <w:rsid w:val="009C0AEB"/>
    <w:rsid w:val="009D01A8"/>
    <w:rsid w:val="009D05B2"/>
    <w:rsid w:val="009D07A9"/>
    <w:rsid w:val="009D7604"/>
    <w:rsid w:val="009E0D5C"/>
    <w:rsid w:val="009E1A27"/>
    <w:rsid w:val="009E1A84"/>
    <w:rsid w:val="009E272A"/>
    <w:rsid w:val="009E4469"/>
    <w:rsid w:val="009E4BCE"/>
    <w:rsid w:val="009E57B0"/>
    <w:rsid w:val="009E5854"/>
    <w:rsid w:val="009F0798"/>
    <w:rsid w:val="009F19C2"/>
    <w:rsid w:val="009F1DFC"/>
    <w:rsid w:val="009F4F64"/>
    <w:rsid w:val="009F57CB"/>
    <w:rsid w:val="009F5B80"/>
    <w:rsid w:val="00A0176A"/>
    <w:rsid w:val="00A05211"/>
    <w:rsid w:val="00A0742B"/>
    <w:rsid w:val="00A10CF5"/>
    <w:rsid w:val="00A1128F"/>
    <w:rsid w:val="00A13131"/>
    <w:rsid w:val="00A148E0"/>
    <w:rsid w:val="00A14E05"/>
    <w:rsid w:val="00A1572D"/>
    <w:rsid w:val="00A17094"/>
    <w:rsid w:val="00A17F76"/>
    <w:rsid w:val="00A20F8A"/>
    <w:rsid w:val="00A2116C"/>
    <w:rsid w:val="00A23298"/>
    <w:rsid w:val="00A248D0"/>
    <w:rsid w:val="00A25A68"/>
    <w:rsid w:val="00A26942"/>
    <w:rsid w:val="00A2727E"/>
    <w:rsid w:val="00A339AD"/>
    <w:rsid w:val="00A34769"/>
    <w:rsid w:val="00A36B24"/>
    <w:rsid w:val="00A40A07"/>
    <w:rsid w:val="00A40E35"/>
    <w:rsid w:val="00A41CA4"/>
    <w:rsid w:val="00A4265B"/>
    <w:rsid w:val="00A42904"/>
    <w:rsid w:val="00A42A0D"/>
    <w:rsid w:val="00A42C69"/>
    <w:rsid w:val="00A4306D"/>
    <w:rsid w:val="00A45305"/>
    <w:rsid w:val="00A453A6"/>
    <w:rsid w:val="00A458FA"/>
    <w:rsid w:val="00A47107"/>
    <w:rsid w:val="00A51515"/>
    <w:rsid w:val="00A53803"/>
    <w:rsid w:val="00A6346F"/>
    <w:rsid w:val="00A6389E"/>
    <w:rsid w:val="00A70FEA"/>
    <w:rsid w:val="00A714E3"/>
    <w:rsid w:val="00A73620"/>
    <w:rsid w:val="00A73D13"/>
    <w:rsid w:val="00A75B60"/>
    <w:rsid w:val="00A764E3"/>
    <w:rsid w:val="00A8360E"/>
    <w:rsid w:val="00A9079F"/>
    <w:rsid w:val="00AA1CCD"/>
    <w:rsid w:val="00AA2E69"/>
    <w:rsid w:val="00AA308B"/>
    <w:rsid w:val="00AA336A"/>
    <w:rsid w:val="00AA3D2E"/>
    <w:rsid w:val="00AA5BF3"/>
    <w:rsid w:val="00AA5FF2"/>
    <w:rsid w:val="00AA7493"/>
    <w:rsid w:val="00AB47E9"/>
    <w:rsid w:val="00AB5397"/>
    <w:rsid w:val="00AB6C96"/>
    <w:rsid w:val="00AC307B"/>
    <w:rsid w:val="00AC61E1"/>
    <w:rsid w:val="00AC73A4"/>
    <w:rsid w:val="00AD26AE"/>
    <w:rsid w:val="00AE23D1"/>
    <w:rsid w:val="00AE6527"/>
    <w:rsid w:val="00AF031C"/>
    <w:rsid w:val="00AF1BC2"/>
    <w:rsid w:val="00AF6BA7"/>
    <w:rsid w:val="00B01E72"/>
    <w:rsid w:val="00B0340D"/>
    <w:rsid w:val="00B03B19"/>
    <w:rsid w:val="00B0534D"/>
    <w:rsid w:val="00B122D6"/>
    <w:rsid w:val="00B1310A"/>
    <w:rsid w:val="00B13CD1"/>
    <w:rsid w:val="00B14D64"/>
    <w:rsid w:val="00B160F8"/>
    <w:rsid w:val="00B20768"/>
    <w:rsid w:val="00B20890"/>
    <w:rsid w:val="00B21793"/>
    <w:rsid w:val="00B226FA"/>
    <w:rsid w:val="00B267D8"/>
    <w:rsid w:val="00B30759"/>
    <w:rsid w:val="00B3598B"/>
    <w:rsid w:val="00B36970"/>
    <w:rsid w:val="00B40B28"/>
    <w:rsid w:val="00B414B2"/>
    <w:rsid w:val="00B4189D"/>
    <w:rsid w:val="00B51AA5"/>
    <w:rsid w:val="00B52633"/>
    <w:rsid w:val="00B53599"/>
    <w:rsid w:val="00B538BE"/>
    <w:rsid w:val="00B56827"/>
    <w:rsid w:val="00B63BCA"/>
    <w:rsid w:val="00B70471"/>
    <w:rsid w:val="00B7128F"/>
    <w:rsid w:val="00B7187B"/>
    <w:rsid w:val="00B73453"/>
    <w:rsid w:val="00B80DCF"/>
    <w:rsid w:val="00B8232D"/>
    <w:rsid w:val="00B853B5"/>
    <w:rsid w:val="00B876FA"/>
    <w:rsid w:val="00B91E65"/>
    <w:rsid w:val="00B94672"/>
    <w:rsid w:val="00BA1C72"/>
    <w:rsid w:val="00BA4823"/>
    <w:rsid w:val="00BA7824"/>
    <w:rsid w:val="00BB022B"/>
    <w:rsid w:val="00BB12AF"/>
    <w:rsid w:val="00BB743D"/>
    <w:rsid w:val="00BC3069"/>
    <w:rsid w:val="00BC4461"/>
    <w:rsid w:val="00BC58BA"/>
    <w:rsid w:val="00BD3E65"/>
    <w:rsid w:val="00BD4800"/>
    <w:rsid w:val="00BD5408"/>
    <w:rsid w:val="00BD5D2E"/>
    <w:rsid w:val="00BE2303"/>
    <w:rsid w:val="00BE4D89"/>
    <w:rsid w:val="00BE54EB"/>
    <w:rsid w:val="00BF4846"/>
    <w:rsid w:val="00BF57E4"/>
    <w:rsid w:val="00BF747E"/>
    <w:rsid w:val="00C002F3"/>
    <w:rsid w:val="00C004D6"/>
    <w:rsid w:val="00C0319C"/>
    <w:rsid w:val="00C040CD"/>
    <w:rsid w:val="00C04B3E"/>
    <w:rsid w:val="00C0565A"/>
    <w:rsid w:val="00C0613F"/>
    <w:rsid w:val="00C07123"/>
    <w:rsid w:val="00C11693"/>
    <w:rsid w:val="00C1372D"/>
    <w:rsid w:val="00C1568D"/>
    <w:rsid w:val="00C159D3"/>
    <w:rsid w:val="00C15F3C"/>
    <w:rsid w:val="00C206ED"/>
    <w:rsid w:val="00C24673"/>
    <w:rsid w:val="00C2688A"/>
    <w:rsid w:val="00C30402"/>
    <w:rsid w:val="00C31F08"/>
    <w:rsid w:val="00C32F59"/>
    <w:rsid w:val="00C33C7D"/>
    <w:rsid w:val="00C3424B"/>
    <w:rsid w:val="00C34DBC"/>
    <w:rsid w:val="00C35C90"/>
    <w:rsid w:val="00C3658A"/>
    <w:rsid w:val="00C37AC2"/>
    <w:rsid w:val="00C40A78"/>
    <w:rsid w:val="00C40EFA"/>
    <w:rsid w:val="00C41A15"/>
    <w:rsid w:val="00C42932"/>
    <w:rsid w:val="00C457DB"/>
    <w:rsid w:val="00C4655A"/>
    <w:rsid w:val="00C51DDA"/>
    <w:rsid w:val="00C6067C"/>
    <w:rsid w:val="00C74D98"/>
    <w:rsid w:val="00C758B7"/>
    <w:rsid w:val="00C76F58"/>
    <w:rsid w:val="00C81B04"/>
    <w:rsid w:val="00C8206D"/>
    <w:rsid w:val="00C832A2"/>
    <w:rsid w:val="00C90BC4"/>
    <w:rsid w:val="00C96592"/>
    <w:rsid w:val="00CA4ECD"/>
    <w:rsid w:val="00CA69F1"/>
    <w:rsid w:val="00CA747E"/>
    <w:rsid w:val="00CB2B9D"/>
    <w:rsid w:val="00CB65D3"/>
    <w:rsid w:val="00CB7274"/>
    <w:rsid w:val="00CB7812"/>
    <w:rsid w:val="00CC068F"/>
    <w:rsid w:val="00CC3215"/>
    <w:rsid w:val="00CC3304"/>
    <w:rsid w:val="00CD12FB"/>
    <w:rsid w:val="00CD28D7"/>
    <w:rsid w:val="00CD3E33"/>
    <w:rsid w:val="00CD3F66"/>
    <w:rsid w:val="00CD55D9"/>
    <w:rsid w:val="00CD5A92"/>
    <w:rsid w:val="00CD6302"/>
    <w:rsid w:val="00CE2264"/>
    <w:rsid w:val="00CE23A2"/>
    <w:rsid w:val="00CE6819"/>
    <w:rsid w:val="00CE7825"/>
    <w:rsid w:val="00CF0249"/>
    <w:rsid w:val="00CF0F5D"/>
    <w:rsid w:val="00CF314A"/>
    <w:rsid w:val="00CF3929"/>
    <w:rsid w:val="00CF41D8"/>
    <w:rsid w:val="00CF47A6"/>
    <w:rsid w:val="00CF5B72"/>
    <w:rsid w:val="00D031CF"/>
    <w:rsid w:val="00D032BA"/>
    <w:rsid w:val="00D04812"/>
    <w:rsid w:val="00D04A48"/>
    <w:rsid w:val="00D05580"/>
    <w:rsid w:val="00D05D45"/>
    <w:rsid w:val="00D148BA"/>
    <w:rsid w:val="00D1529B"/>
    <w:rsid w:val="00D15CE6"/>
    <w:rsid w:val="00D236BC"/>
    <w:rsid w:val="00D262B0"/>
    <w:rsid w:val="00D27706"/>
    <w:rsid w:val="00D30454"/>
    <w:rsid w:val="00D31266"/>
    <w:rsid w:val="00D34CA1"/>
    <w:rsid w:val="00D34CD9"/>
    <w:rsid w:val="00D35C08"/>
    <w:rsid w:val="00D362BB"/>
    <w:rsid w:val="00D40114"/>
    <w:rsid w:val="00D40D42"/>
    <w:rsid w:val="00D43BF1"/>
    <w:rsid w:val="00D447E3"/>
    <w:rsid w:val="00D453DE"/>
    <w:rsid w:val="00D468E0"/>
    <w:rsid w:val="00D47860"/>
    <w:rsid w:val="00D53A78"/>
    <w:rsid w:val="00D5524F"/>
    <w:rsid w:val="00D555EF"/>
    <w:rsid w:val="00D567F6"/>
    <w:rsid w:val="00D56906"/>
    <w:rsid w:val="00D65791"/>
    <w:rsid w:val="00D66ECA"/>
    <w:rsid w:val="00D70014"/>
    <w:rsid w:val="00D70DAF"/>
    <w:rsid w:val="00D71724"/>
    <w:rsid w:val="00D7188B"/>
    <w:rsid w:val="00D7242F"/>
    <w:rsid w:val="00D826B2"/>
    <w:rsid w:val="00D82E98"/>
    <w:rsid w:val="00D8460B"/>
    <w:rsid w:val="00D84933"/>
    <w:rsid w:val="00D858D4"/>
    <w:rsid w:val="00D86E7E"/>
    <w:rsid w:val="00D87A4F"/>
    <w:rsid w:val="00D90D44"/>
    <w:rsid w:val="00D922E8"/>
    <w:rsid w:val="00D92A0E"/>
    <w:rsid w:val="00D93EE1"/>
    <w:rsid w:val="00D94A17"/>
    <w:rsid w:val="00D972D9"/>
    <w:rsid w:val="00DA1771"/>
    <w:rsid w:val="00DA3DAB"/>
    <w:rsid w:val="00DA3F12"/>
    <w:rsid w:val="00DA69E9"/>
    <w:rsid w:val="00DB5325"/>
    <w:rsid w:val="00DC076F"/>
    <w:rsid w:val="00DC684E"/>
    <w:rsid w:val="00DD0AE3"/>
    <w:rsid w:val="00DD3382"/>
    <w:rsid w:val="00DD5EF8"/>
    <w:rsid w:val="00DD7222"/>
    <w:rsid w:val="00DD75FB"/>
    <w:rsid w:val="00DD7DBE"/>
    <w:rsid w:val="00DE06ED"/>
    <w:rsid w:val="00DE5CC5"/>
    <w:rsid w:val="00DF0788"/>
    <w:rsid w:val="00DF34CF"/>
    <w:rsid w:val="00DF3614"/>
    <w:rsid w:val="00DF6BC7"/>
    <w:rsid w:val="00DF7BDE"/>
    <w:rsid w:val="00DF7FEA"/>
    <w:rsid w:val="00E01AE9"/>
    <w:rsid w:val="00E02592"/>
    <w:rsid w:val="00E11A38"/>
    <w:rsid w:val="00E11C01"/>
    <w:rsid w:val="00E131B7"/>
    <w:rsid w:val="00E14A7E"/>
    <w:rsid w:val="00E176F8"/>
    <w:rsid w:val="00E182CC"/>
    <w:rsid w:val="00E211E9"/>
    <w:rsid w:val="00E2320E"/>
    <w:rsid w:val="00E2430F"/>
    <w:rsid w:val="00E24D5C"/>
    <w:rsid w:val="00E3185C"/>
    <w:rsid w:val="00E32428"/>
    <w:rsid w:val="00E35E80"/>
    <w:rsid w:val="00E36388"/>
    <w:rsid w:val="00E41D0E"/>
    <w:rsid w:val="00E44F51"/>
    <w:rsid w:val="00E46A6E"/>
    <w:rsid w:val="00E46C40"/>
    <w:rsid w:val="00E50AF9"/>
    <w:rsid w:val="00E55758"/>
    <w:rsid w:val="00E565DA"/>
    <w:rsid w:val="00E57B04"/>
    <w:rsid w:val="00E6156B"/>
    <w:rsid w:val="00E625E3"/>
    <w:rsid w:val="00E653DA"/>
    <w:rsid w:val="00E66525"/>
    <w:rsid w:val="00E712B2"/>
    <w:rsid w:val="00E7555E"/>
    <w:rsid w:val="00E80EE2"/>
    <w:rsid w:val="00E8114B"/>
    <w:rsid w:val="00E845C1"/>
    <w:rsid w:val="00E84791"/>
    <w:rsid w:val="00E87AED"/>
    <w:rsid w:val="00E9142B"/>
    <w:rsid w:val="00E9240C"/>
    <w:rsid w:val="00EA7482"/>
    <w:rsid w:val="00EA74A3"/>
    <w:rsid w:val="00EB1E31"/>
    <w:rsid w:val="00EB3F4F"/>
    <w:rsid w:val="00EB4C5C"/>
    <w:rsid w:val="00EB7EC4"/>
    <w:rsid w:val="00EC031F"/>
    <w:rsid w:val="00EC0D22"/>
    <w:rsid w:val="00EC1B7C"/>
    <w:rsid w:val="00EC3E12"/>
    <w:rsid w:val="00EC66E9"/>
    <w:rsid w:val="00ED1CE9"/>
    <w:rsid w:val="00ED3320"/>
    <w:rsid w:val="00ED67F7"/>
    <w:rsid w:val="00EE1CF2"/>
    <w:rsid w:val="00EE674D"/>
    <w:rsid w:val="00EE6BA3"/>
    <w:rsid w:val="00EE6D17"/>
    <w:rsid w:val="00EE7D96"/>
    <w:rsid w:val="00EF20CE"/>
    <w:rsid w:val="00EF56D5"/>
    <w:rsid w:val="00EF6332"/>
    <w:rsid w:val="00F00C4E"/>
    <w:rsid w:val="00F0120B"/>
    <w:rsid w:val="00F10E20"/>
    <w:rsid w:val="00F205F3"/>
    <w:rsid w:val="00F20F71"/>
    <w:rsid w:val="00F22797"/>
    <w:rsid w:val="00F32219"/>
    <w:rsid w:val="00F407D1"/>
    <w:rsid w:val="00F42831"/>
    <w:rsid w:val="00F45E4E"/>
    <w:rsid w:val="00F533C2"/>
    <w:rsid w:val="00F56E78"/>
    <w:rsid w:val="00F60A2D"/>
    <w:rsid w:val="00F62457"/>
    <w:rsid w:val="00F64123"/>
    <w:rsid w:val="00F649B2"/>
    <w:rsid w:val="00F657AC"/>
    <w:rsid w:val="00F67304"/>
    <w:rsid w:val="00F702FF"/>
    <w:rsid w:val="00F714A5"/>
    <w:rsid w:val="00F80609"/>
    <w:rsid w:val="00F83B1F"/>
    <w:rsid w:val="00F841F1"/>
    <w:rsid w:val="00F925A2"/>
    <w:rsid w:val="00F93E98"/>
    <w:rsid w:val="00F97655"/>
    <w:rsid w:val="00FA04B9"/>
    <w:rsid w:val="00FA12B3"/>
    <w:rsid w:val="00FA17AC"/>
    <w:rsid w:val="00FA202E"/>
    <w:rsid w:val="00FA2299"/>
    <w:rsid w:val="00FA75FF"/>
    <w:rsid w:val="00FB0BB0"/>
    <w:rsid w:val="00FB1D09"/>
    <w:rsid w:val="00FB5DC5"/>
    <w:rsid w:val="00FC052A"/>
    <w:rsid w:val="00FC0F25"/>
    <w:rsid w:val="00FC1650"/>
    <w:rsid w:val="00FD0815"/>
    <w:rsid w:val="00FD48DA"/>
    <w:rsid w:val="00FD6CE2"/>
    <w:rsid w:val="00FE2ECC"/>
    <w:rsid w:val="00FE550F"/>
    <w:rsid w:val="00FE6A50"/>
    <w:rsid w:val="00FF2D60"/>
    <w:rsid w:val="00FF5606"/>
    <w:rsid w:val="011015DE"/>
    <w:rsid w:val="011162F5"/>
    <w:rsid w:val="0121E5C5"/>
    <w:rsid w:val="0132B8AE"/>
    <w:rsid w:val="01433A7E"/>
    <w:rsid w:val="015E2BA0"/>
    <w:rsid w:val="0168B01C"/>
    <w:rsid w:val="017B0D0E"/>
    <w:rsid w:val="017C0312"/>
    <w:rsid w:val="01977C33"/>
    <w:rsid w:val="01DBED21"/>
    <w:rsid w:val="0228858F"/>
    <w:rsid w:val="026F38BC"/>
    <w:rsid w:val="0275C2AA"/>
    <w:rsid w:val="0295BC56"/>
    <w:rsid w:val="02978C06"/>
    <w:rsid w:val="02B2EA7D"/>
    <w:rsid w:val="02BBE78E"/>
    <w:rsid w:val="02C09140"/>
    <w:rsid w:val="0303A104"/>
    <w:rsid w:val="03056219"/>
    <w:rsid w:val="03232255"/>
    <w:rsid w:val="03275E05"/>
    <w:rsid w:val="03428700"/>
    <w:rsid w:val="03490732"/>
    <w:rsid w:val="03496C5A"/>
    <w:rsid w:val="03638DFC"/>
    <w:rsid w:val="036802CB"/>
    <w:rsid w:val="037E6179"/>
    <w:rsid w:val="0392F64F"/>
    <w:rsid w:val="039DE2CA"/>
    <w:rsid w:val="03C612E0"/>
    <w:rsid w:val="040D762C"/>
    <w:rsid w:val="0413A174"/>
    <w:rsid w:val="045F4B66"/>
    <w:rsid w:val="04661494"/>
    <w:rsid w:val="04AE02E3"/>
    <w:rsid w:val="04AE3487"/>
    <w:rsid w:val="04AE701A"/>
    <w:rsid w:val="04B0FF8F"/>
    <w:rsid w:val="04FB0A2F"/>
    <w:rsid w:val="0512AC29"/>
    <w:rsid w:val="051C2383"/>
    <w:rsid w:val="0546EBC5"/>
    <w:rsid w:val="0550821D"/>
    <w:rsid w:val="0554BE31"/>
    <w:rsid w:val="0562D57B"/>
    <w:rsid w:val="05A912B2"/>
    <w:rsid w:val="05B45D31"/>
    <w:rsid w:val="0603EC9B"/>
    <w:rsid w:val="06189947"/>
    <w:rsid w:val="0635FA21"/>
    <w:rsid w:val="064CD031"/>
    <w:rsid w:val="065D9036"/>
    <w:rsid w:val="066F251C"/>
    <w:rsid w:val="069235A7"/>
    <w:rsid w:val="06A85E21"/>
    <w:rsid w:val="06CC4A2F"/>
    <w:rsid w:val="06D70C8B"/>
    <w:rsid w:val="06E72FF1"/>
    <w:rsid w:val="06F46D65"/>
    <w:rsid w:val="0746E085"/>
    <w:rsid w:val="074933CD"/>
    <w:rsid w:val="077CB181"/>
    <w:rsid w:val="0781B583"/>
    <w:rsid w:val="079B213C"/>
    <w:rsid w:val="07A6B818"/>
    <w:rsid w:val="07A7B3B0"/>
    <w:rsid w:val="07AD98E8"/>
    <w:rsid w:val="07FE6326"/>
    <w:rsid w:val="0801961E"/>
    <w:rsid w:val="080FD105"/>
    <w:rsid w:val="0830DA5A"/>
    <w:rsid w:val="08366605"/>
    <w:rsid w:val="0847565B"/>
    <w:rsid w:val="085CF2AF"/>
    <w:rsid w:val="085DCD44"/>
    <w:rsid w:val="088CD945"/>
    <w:rsid w:val="08A5FC3D"/>
    <w:rsid w:val="08AD4C07"/>
    <w:rsid w:val="08B76AA6"/>
    <w:rsid w:val="08D7351C"/>
    <w:rsid w:val="08E1B4C7"/>
    <w:rsid w:val="08E63DB6"/>
    <w:rsid w:val="08F7096C"/>
    <w:rsid w:val="08FBC8A5"/>
    <w:rsid w:val="091600DD"/>
    <w:rsid w:val="0920B769"/>
    <w:rsid w:val="0933CD59"/>
    <w:rsid w:val="093463D4"/>
    <w:rsid w:val="09484FE8"/>
    <w:rsid w:val="0964D977"/>
    <w:rsid w:val="096D363C"/>
    <w:rsid w:val="09AF278C"/>
    <w:rsid w:val="09CD6723"/>
    <w:rsid w:val="09EF1154"/>
    <w:rsid w:val="0A14AEE7"/>
    <w:rsid w:val="0A5B91F7"/>
    <w:rsid w:val="0A893323"/>
    <w:rsid w:val="0ABB8BAB"/>
    <w:rsid w:val="0ABBC914"/>
    <w:rsid w:val="0AE014D4"/>
    <w:rsid w:val="0AE381EC"/>
    <w:rsid w:val="0AFCC555"/>
    <w:rsid w:val="0B278BCF"/>
    <w:rsid w:val="0B504FD9"/>
    <w:rsid w:val="0B510814"/>
    <w:rsid w:val="0B58D8C5"/>
    <w:rsid w:val="0B591430"/>
    <w:rsid w:val="0B5D5CCB"/>
    <w:rsid w:val="0B7B1E6C"/>
    <w:rsid w:val="0BA89924"/>
    <w:rsid w:val="0BB67D6F"/>
    <w:rsid w:val="0BC3192B"/>
    <w:rsid w:val="0BCDD2D5"/>
    <w:rsid w:val="0BD19D0E"/>
    <w:rsid w:val="0BDE772F"/>
    <w:rsid w:val="0BDF193F"/>
    <w:rsid w:val="0BFA6118"/>
    <w:rsid w:val="0C4202F9"/>
    <w:rsid w:val="0C59D0C4"/>
    <w:rsid w:val="0C653CE4"/>
    <w:rsid w:val="0C70DC86"/>
    <w:rsid w:val="0C7E0ABC"/>
    <w:rsid w:val="0CE98E6A"/>
    <w:rsid w:val="0D1F3A42"/>
    <w:rsid w:val="0D733CA0"/>
    <w:rsid w:val="0DB4CA07"/>
    <w:rsid w:val="0DD624A7"/>
    <w:rsid w:val="0DFC0EE3"/>
    <w:rsid w:val="0E1F9277"/>
    <w:rsid w:val="0E5A2E8A"/>
    <w:rsid w:val="0E5D02E9"/>
    <w:rsid w:val="0E70FDFF"/>
    <w:rsid w:val="0E72223D"/>
    <w:rsid w:val="0EC3F8AD"/>
    <w:rsid w:val="0ED66430"/>
    <w:rsid w:val="0EF20C5C"/>
    <w:rsid w:val="0F1D085D"/>
    <w:rsid w:val="0F245633"/>
    <w:rsid w:val="0F30C852"/>
    <w:rsid w:val="0F3CF683"/>
    <w:rsid w:val="0F5FF43A"/>
    <w:rsid w:val="0F6153E6"/>
    <w:rsid w:val="0F92F63C"/>
    <w:rsid w:val="0FB0C3CB"/>
    <w:rsid w:val="0FC371ED"/>
    <w:rsid w:val="0FCDCC9F"/>
    <w:rsid w:val="0FF3750E"/>
    <w:rsid w:val="0FFCEE51"/>
    <w:rsid w:val="104C6860"/>
    <w:rsid w:val="106EDF09"/>
    <w:rsid w:val="115D2694"/>
    <w:rsid w:val="11635BB9"/>
    <w:rsid w:val="11643498"/>
    <w:rsid w:val="1172493C"/>
    <w:rsid w:val="1183B5E9"/>
    <w:rsid w:val="118F7745"/>
    <w:rsid w:val="11DEB89F"/>
    <w:rsid w:val="11EA2B66"/>
    <w:rsid w:val="12458DC4"/>
    <w:rsid w:val="124B96C0"/>
    <w:rsid w:val="124E0D9B"/>
    <w:rsid w:val="124FF5DF"/>
    <w:rsid w:val="1250DFE1"/>
    <w:rsid w:val="125A229A"/>
    <w:rsid w:val="12844579"/>
    <w:rsid w:val="12C04CB1"/>
    <w:rsid w:val="12F9E96E"/>
    <w:rsid w:val="1302031B"/>
    <w:rsid w:val="1362C4D8"/>
    <w:rsid w:val="136980FA"/>
    <w:rsid w:val="13835761"/>
    <w:rsid w:val="13A5E853"/>
    <w:rsid w:val="1411456C"/>
    <w:rsid w:val="14416225"/>
    <w:rsid w:val="144A643D"/>
    <w:rsid w:val="14666A37"/>
    <w:rsid w:val="146C858B"/>
    <w:rsid w:val="14966846"/>
    <w:rsid w:val="14BC58AE"/>
    <w:rsid w:val="14DDA51B"/>
    <w:rsid w:val="14E89196"/>
    <w:rsid w:val="14EE8FFA"/>
    <w:rsid w:val="1548FAF2"/>
    <w:rsid w:val="158B0CF1"/>
    <w:rsid w:val="1592A2D5"/>
    <w:rsid w:val="159E5863"/>
    <w:rsid w:val="15A189E3"/>
    <w:rsid w:val="15A62561"/>
    <w:rsid w:val="15AE73E6"/>
    <w:rsid w:val="15C8BCCD"/>
    <w:rsid w:val="15CC6914"/>
    <w:rsid w:val="15D044BE"/>
    <w:rsid w:val="15D0821A"/>
    <w:rsid w:val="15D622D3"/>
    <w:rsid w:val="15E0493D"/>
    <w:rsid w:val="15E3C73D"/>
    <w:rsid w:val="15FB896F"/>
    <w:rsid w:val="165303BF"/>
    <w:rsid w:val="165B9355"/>
    <w:rsid w:val="1674074D"/>
    <w:rsid w:val="16960D08"/>
    <w:rsid w:val="169EE082"/>
    <w:rsid w:val="16AB35EC"/>
    <w:rsid w:val="16AD3194"/>
    <w:rsid w:val="16B4DE8A"/>
    <w:rsid w:val="16D2E91C"/>
    <w:rsid w:val="16F4C9DE"/>
    <w:rsid w:val="17209CF6"/>
    <w:rsid w:val="17228601"/>
    <w:rsid w:val="174CF868"/>
    <w:rsid w:val="176C79B9"/>
    <w:rsid w:val="177D09D1"/>
    <w:rsid w:val="177EE5A1"/>
    <w:rsid w:val="178221DF"/>
    <w:rsid w:val="17965A61"/>
    <w:rsid w:val="17B9A00A"/>
    <w:rsid w:val="17CB2C4D"/>
    <w:rsid w:val="17ECF2DA"/>
    <w:rsid w:val="1807755F"/>
    <w:rsid w:val="18324210"/>
    <w:rsid w:val="186DAD55"/>
    <w:rsid w:val="188F326C"/>
    <w:rsid w:val="18916DCB"/>
    <w:rsid w:val="18E49124"/>
    <w:rsid w:val="18EAC5B5"/>
    <w:rsid w:val="1927CD81"/>
    <w:rsid w:val="194BFBEE"/>
    <w:rsid w:val="1970F95B"/>
    <w:rsid w:val="198A6E8E"/>
    <w:rsid w:val="1998CE55"/>
    <w:rsid w:val="19A7A0B4"/>
    <w:rsid w:val="19B42CAB"/>
    <w:rsid w:val="19BC4BB5"/>
    <w:rsid w:val="19C2011D"/>
    <w:rsid w:val="19C89F71"/>
    <w:rsid w:val="1A0D9660"/>
    <w:rsid w:val="1A1D5F5E"/>
    <w:rsid w:val="1A252234"/>
    <w:rsid w:val="1A25CD36"/>
    <w:rsid w:val="1A3230A2"/>
    <w:rsid w:val="1A483D04"/>
    <w:rsid w:val="1AA9DB09"/>
    <w:rsid w:val="1AAECED3"/>
    <w:rsid w:val="1AF6338C"/>
    <w:rsid w:val="1B26B128"/>
    <w:rsid w:val="1B3C4DD8"/>
    <w:rsid w:val="1B4936EC"/>
    <w:rsid w:val="1B4F9402"/>
    <w:rsid w:val="1B54D5DC"/>
    <w:rsid w:val="1B737458"/>
    <w:rsid w:val="1B97840F"/>
    <w:rsid w:val="1B9E3792"/>
    <w:rsid w:val="1BAB7DDC"/>
    <w:rsid w:val="1BB4A6D0"/>
    <w:rsid w:val="1BBB6983"/>
    <w:rsid w:val="1BF4D3F6"/>
    <w:rsid w:val="1C165313"/>
    <w:rsid w:val="1C171F2F"/>
    <w:rsid w:val="1C225731"/>
    <w:rsid w:val="1C2512DD"/>
    <w:rsid w:val="1C3A2C41"/>
    <w:rsid w:val="1C65607A"/>
    <w:rsid w:val="1CCFCD07"/>
    <w:rsid w:val="1CDD330D"/>
    <w:rsid w:val="1CF371A5"/>
    <w:rsid w:val="1D184533"/>
    <w:rsid w:val="1D502F30"/>
    <w:rsid w:val="1D60DE74"/>
    <w:rsid w:val="1D72E0A0"/>
    <w:rsid w:val="1D9D9B21"/>
    <w:rsid w:val="1DB2921C"/>
    <w:rsid w:val="1DBCE3C9"/>
    <w:rsid w:val="1E003F54"/>
    <w:rsid w:val="1E1C7DBA"/>
    <w:rsid w:val="1E451580"/>
    <w:rsid w:val="1E806414"/>
    <w:rsid w:val="1E872A5A"/>
    <w:rsid w:val="1E8DF030"/>
    <w:rsid w:val="1EA6B92B"/>
    <w:rsid w:val="1EB50740"/>
    <w:rsid w:val="1EC582B3"/>
    <w:rsid w:val="1EE8C51C"/>
    <w:rsid w:val="1EEB72B1"/>
    <w:rsid w:val="1F09ECFF"/>
    <w:rsid w:val="1F0B9612"/>
    <w:rsid w:val="1F1B8231"/>
    <w:rsid w:val="1F390EF0"/>
    <w:rsid w:val="200CB084"/>
    <w:rsid w:val="204B8444"/>
    <w:rsid w:val="20B60583"/>
    <w:rsid w:val="20D60281"/>
    <w:rsid w:val="20E8EE33"/>
    <w:rsid w:val="2103EFB1"/>
    <w:rsid w:val="2139F081"/>
    <w:rsid w:val="216E8EA3"/>
    <w:rsid w:val="21BF5AE4"/>
    <w:rsid w:val="21C028AA"/>
    <w:rsid w:val="2207B66A"/>
    <w:rsid w:val="220998C7"/>
    <w:rsid w:val="220D948C"/>
    <w:rsid w:val="2214BD16"/>
    <w:rsid w:val="22390360"/>
    <w:rsid w:val="22498530"/>
    <w:rsid w:val="2249E045"/>
    <w:rsid w:val="2266B40F"/>
    <w:rsid w:val="2278A0DC"/>
    <w:rsid w:val="22E3CE6C"/>
    <w:rsid w:val="22E5782E"/>
    <w:rsid w:val="23249815"/>
    <w:rsid w:val="23427438"/>
    <w:rsid w:val="23FEE1FC"/>
    <w:rsid w:val="240D831E"/>
    <w:rsid w:val="243115AE"/>
    <w:rsid w:val="2442DD65"/>
    <w:rsid w:val="24467DE6"/>
    <w:rsid w:val="2476A2A0"/>
    <w:rsid w:val="247BFF6E"/>
    <w:rsid w:val="24887664"/>
    <w:rsid w:val="24A722D4"/>
    <w:rsid w:val="24AFB027"/>
    <w:rsid w:val="24BB0393"/>
    <w:rsid w:val="24C4D757"/>
    <w:rsid w:val="24FFA6E7"/>
    <w:rsid w:val="250A9362"/>
    <w:rsid w:val="2524FF4D"/>
    <w:rsid w:val="252D2E59"/>
    <w:rsid w:val="2533AFA8"/>
    <w:rsid w:val="253B1548"/>
    <w:rsid w:val="25B6E310"/>
    <w:rsid w:val="25D5E0C7"/>
    <w:rsid w:val="25FD32F8"/>
    <w:rsid w:val="26093594"/>
    <w:rsid w:val="260DFD95"/>
    <w:rsid w:val="2624CB18"/>
    <w:rsid w:val="2640C87C"/>
    <w:rsid w:val="26732E10"/>
    <w:rsid w:val="2687C2E6"/>
    <w:rsid w:val="26AC6CBF"/>
    <w:rsid w:val="26ACA211"/>
    <w:rsid w:val="26BBEA98"/>
    <w:rsid w:val="26EB202D"/>
    <w:rsid w:val="26FF9579"/>
    <w:rsid w:val="271EFF71"/>
    <w:rsid w:val="27261D61"/>
    <w:rsid w:val="27547111"/>
    <w:rsid w:val="2765B77B"/>
    <w:rsid w:val="27900C74"/>
    <w:rsid w:val="2790D86A"/>
    <w:rsid w:val="2796C13D"/>
    <w:rsid w:val="27BEBB29"/>
    <w:rsid w:val="28001271"/>
    <w:rsid w:val="282FFD2E"/>
    <w:rsid w:val="2846E19D"/>
    <w:rsid w:val="2856A2C6"/>
    <w:rsid w:val="287A4B43"/>
    <w:rsid w:val="287DF2F2"/>
    <w:rsid w:val="2886C66C"/>
    <w:rsid w:val="2889F2F6"/>
    <w:rsid w:val="28AD5F0E"/>
    <w:rsid w:val="28BEB069"/>
    <w:rsid w:val="28C172F0"/>
    <w:rsid w:val="28D789A7"/>
    <w:rsid w:val="28FAD3DE"/>
    <w:rsid w:val="291EDBA7"/>
    <w:rsid w:val="2980BB15"/>
    <w:rsid w:val="29881028"/>
    <w:rsid w:val="299A2FEC"/>
    <w:rsid w:val="299EE638"/>
    <w:rsid w:val="29BB09D7"/>
    <w:rsid w:val="29DF423B"/>
    <w:rsid w:val="2A07C2B8"/>
    <w:rsid w:val="2A314291"/>
    <w:rsid w:val="2A3F4687"/>
    <w:rsid w:val="2A46836C"/>
    <w:rsid w:val="2A4801D3"/>
    <w:rsid w:val="2A9B49D4"/>
    <w:rsid w:val="2B603D4A"/>
    <w:rsid w:val="2B785C96"/>
    <w:rsid w:val="2B81EAA2"/>
    <w:rsid w:val="2BAA52BC"/>
    <w:rsid w:val="2BAFE34B"/>
    <w:rsid w:val="2BB05385"/>
    <w:rsid w:val="2BC218E6"/>
    <w:rsid w:val="2BDF1D1E"/>
    <w:rsid w:val="2BFCF3CE"/>
    <w:rsid w:val="2C33CACE"/>
    <w:rsid w:val="2C4B9FF3"/>
    <w:rsid w:val="2C5E1E6C"/>
    <w:rsid w:val="2CBF4C43"/>
    <w:rsid w:val="2CE04DE4"/>
    <w:rsid w:val="2CF9B5AF"/>
    <w:rsid w:val="2D0189C7"/>
    <w:rsid w:val="2D05C09E"/>
    <w:rsid w:val="2D512F12"/>
    <w:rsid w:val="2D56B652"/>
    <w:rsid w:val="2D91A705"/>
    <w:rsid w:val="2DA701BE"/>
    <w:rsid w:val="2DAE04C9"/>
    <w:rsid w:val="2DB5AD5D"/>
    <w:rsid w:val="2DDD8AA9"/>
    <w:rsid w:val="2E00C791"/>
    <w:rsid w:val="2E1A7017"/>
    <w:rsid w:val="2E26C914"/>
    <w:rsid w:val="2E3333F6"/>
    <w:rsid w:val="2E4685D3"/>
    <w:rsid w:val="2E5F65CC"/>
    <w:rsid w:val="2E7347A1"/>
    <w:rsid w:val="2E7DAE83"/>
    <w:rsid w:val="2E85BE7C"/>
    <w:rsid w:val="2E8A6C73"/>
    <w:rsid w:val="2EBD9113"/>
    <w:rsid w:val="2EECC507"/>
    <w:rsid w:val="2EF42397"/>
    <w:rsid w:val="2F087DE5"/>
    <w:rsid w:val="2F1FE8DC"/>
    <w:rsid w:val="2F4C771F"/>
    <w:rsid w:val="2F4FBFCA"/>
    <w:rsid w:val="2F500E87"/>
    <w:rsid w:val="2F6C00A4"/>
    <w:rsid w:val="2F6E5555"/>
    <w:rsid w:val="2FCE3E76"/>
    <w:rsid w:val="2FD04887"/>
    <w:rsid w:val="2FD1E39A"/>
    <w:rsid w:val="2FD6D43C"/>
    <w:rsid w:val="301FEE78"/>
    <w:rsid w:val="305615BC"/>
    <w:rsid w:val="3087D0A1"/>
    <w:rsid w:val="3097E052"/>
    <w:rsid w:val="30B54B1B"/>
    <w:rsid w:val="30BF133C"/>
    <w:rsid w:val="3128AAE8"/>
    <w:rsid w:val="313777A3"/>
    <w:rsid w:val="3144D54A"/>
    <w:rsid w:val="315C545C"/>
    <w:rsid w:val="315CE1D2"/>
    <w:rsid w:val="317D070E"/>
    <w:rsid w:val="31812880"/>
    <w:rsid w:val="31AE50FF"/>
    <w:rsid w:val="31B48E0D"/>
    <w:rsid w:val="31C8E1F6"/>
    <w:rsid w:val="31CA5EE3"/>
    <w:rsid w:val="31DEB2B4"/>
    <w:rsid w:val="3210900A"/>
    <w:rsid w:val="322E5350"/>
    <w:rsid w:val="3239CE00"/>
    <w:rsid w:val="325E9C94"/>
    <w:rsid w:val="32795B1C"/>
    <w:rsid w:val="3280FB4B"/>
    <w:rsid w:val="32B53317"/>
    <w:rsid w:val="330A5AF4"/>
    <w:rsid w:val="331587F4"/>
    <w:rsid w:val="331E38E4"/>
    <w:rsid w:val="332DA3CD"/>
    <w:rsid w:val="332E1ABF"/>
    <w:rsid w:val="332EFF56"/>
    <w:rsid w:val="33458B15"/>
    <w:rsid w:val="334B7F62"/>
    <w:rsid w:val="3359ED1A"/>
    <w:rsid w:val="335D9023"/>
    <w:rsid w:val="335FB79A"/>
    <w:rsid w:val="33824461"/>
    <w:rsid w:val="339E0F28"/>
    <w:rsid w:val="33CDF666"/>
    <w:rsid w:val="33E30617"/>
    <w:rsid w:val="33F61014"/>
    <w:rsid w:val="340A227A"/>
    <w:rsid w:val="340B7057"/>
    <w:rsid w:val="341ABD43"/>
    <w:rsid w:val="3439CF55"/>
    <w:rsid w:val="3448F548"/>
    <w:rsid w:val="346586D2"/>
    <w:rsid w:val="348E5839"/>
    <w:rsid w:val="34B64A9F"/>
    <w:rsid w:val="34B89A8F"/>
    <w:rsid w:val="34CEB6FD"/>
    <w:rsid w:val="34F48882"/>
    <w:rsid w:val="34F54CB1"/>
    <w:rsid w:val="353D4AA3"/>
    <w:rsid w:val="35520ACC"/>
    <w:rsid w:val="357C387B"/>
    <w:rsid w:val="35A76F27"/>
    <w:rsid w:val="35AC38A1"/>
    <w:rsid w:val="35B0C309"/>
    <w:rsid w:val="35CEA509"/>
    <w:rsid w:val="35E08060"/>
    <w:rsid w:val="363497D1"/>
    <w:rsid w:val="36902B44"/>
    <w:rsid w:val="36996CD6"/>
    <w:rsid w:val="36C22D5E"/>
    <w:rsid w:val="36C91332"/>
    <w:rsid w:val="36D06845"/>
    <w:rsid w:val="36F2AC1D"/>
    <w:rsid w:val="36F9E252"/>
    <w:rsid w:val="370CA6D8"/>
    <w:rsid w:val="37155F34"/>
    <w:rsid w:val="37176BD6"/>
    <w:rsid w:val="37203D19"/>
    <w:rsid w:val="3743DB1D"/>
    <w:rsid w:val="374FFB71"/>
    <w:rsid w:val="376900AD"/>
    <w:rsid w:val="376C5499"/>
    <w:rsid w:val="3779D774"/>
    <w:rsid w:val="377E39DE"/>
    <w:rsid w:val="37A021F3"/>
    <w:rsid w:val="37BE9B92"/>
    <w:rsid w:val="37E14EA9"/>
    <w:rsid w:val="3843C12E"/>
    <w:rsid w:val="38526F88"/>
    <w:rsid w:val="389786AD"/>
    <w:rsid w:val="389B72F0"/>
    <w:rsid w:val="38A45E90"/>
    <w:rsid w:val="38DA1FD3"/>
    <w:rsid w:val="38E4B8DC"/>
    <w:rsid w:val="392558DA"/>
    <w:rsid w:val="3925B6D0"/>
    <w:rsid w:val="392D12E6"/>
    <w:rsid w:val="3932B616"/>
    <w:rsid w:val="3938BE36"/>
    <w:rsid w:val="39669A3C"/>
    <w:rsid w:val="3966DADA"/>
    <w:rsid w:val="39957D1E"/>
    <w:rsid w:val="39C3F907"/>
    <w:rsid w:val="39F0F87C"/>
    <w:rsid w:val="3A036334"/>
    <w:rsid w:val="3A10E719"/>
    <w:rsid w:val="3A2E0F2E"/>
    <w:rsid w:val="3A65BD64"/>
    <w:rsid w:val="3A72B2FD"/>
    <w:rsid w:val="3A90BD5D"/>
    <w:rsid w:val="3A92344E"/>
    <w:rsid w:val="3A9F237C"/>
    <w:rsid w:val="3AAD7D45"/>
    <w:rsid w:val="3AAFBAEA"/>
    <w:rsid w:val="3B14514C"/>
    <w:rsid w:val="3B18FE2C"/>
    <w:rsid w:val="3B200261"/>
    <w:rsid w:val="3B24856C"/>
    <w:rsid w:val="3B6BEE3E"/>
    <w:rsid w:val="3BDBFF52"/>
    <w:rsid w:val="3BDF9FB5"/>
    <w:rsid w:val="3BF6A1F0"/>
    <w:rsid w:val="3C11BB30"/>
    <w:rsid w:val="3C15724E"/>
    <w:rsid w:val="3C17BB7F"/>
    <w:rsid w:val="3C1E344A"/>
    <w:rsid w:val="3C3AA011"/>
    <w:rsid w:val="3C45C0B3"/>
    <w:rsid w:val="3C666809"/>
    <w:rsid w:val="3C9866A4"/>
    <w:rsid w:val="3C9E5AF1"/>
    <w:rsid w:val="3C9FBBB7"/>
    <w:rsid w:val="3CC486D1"/>
    <w:rsid w:val="3CD7DD0D"/>
    <w:rsid w:val="3CDA356A"/>
    <w:rsid w:val="3CEAE45C"/>
    <w:rsid w:val="3CEFA9B9"/>
    <w:rsid w:val="3D2520A6"/>
    <w:rsid w:val="3D615FF4"/>
    <w:rsid w:val="3D9120CA"/>
    <w:rsid w:val="3DAA7D3C"/>
    <w:rsid w:val="3DAFD827"/>
    <w:rsid w:val="3DBB64A8"/>
    <w:rsid w:val="3DEF3D95"/>
    <w:rsid w:val="3E020D3F"/>
    <w:rsid w:val="3E1697C7"/>
    <w:rsid w:val="3E37391E"/>
    <w:rsid w:val="3E3E675D"/>
    <w:rsid w:val="3E87B0DC"/>
    <w:rsid w:val="3EB40C4E"/>
    <w:rsid w:val="3EC95453"/>
    <w:rsid w:val="3ED8AC37"/>
    <w:rsid w:val="3EE3A2A2"/>
    <w:rsid w:val="3EEDA466"/>
    <w:rsid w:val="3F06BCD7"/>
    <w:rsid w:val="3F1851BD"/>
    <w:rsid w:val="3F7BA5FC"/>
    <w:rsid w:val="3FBDD12B"/>
    <w:rsid w:val="3FC9C79E"/>
    <w:rsid w:val="3FE3C111"/>
    <w:rsid w:val="3FED477D"/>
    <w:rsid w:val="3FEF6C68"/>
    <w:rsid w:val="3FFC85BC"/>
    <w:rsid w:val="40069C93"/>
    <w:rsid w:val="4031E0F3"/>
    <w:rsid w:val="4064518D"/>
    <w:rsid w:val="40683AC3"/>
    <w:rsid w:val="407472D4"/>
    <w:rsid w:val="40A91F2A"/>
    <w:rsid w:val="40BF3028"/>
    <w:rsid w:val="40F9975F"/>
    <w:rsid w:val="4111A9F2"/>
    <w:rsid w:val="413EA774"/>
    <w:rsid w:val="418B0E13"/>
    <w:rsid w:val="41A61EA9"/>
    <w:rsid w:val="41A9E8E2"/>
    <w:rsid w:val="41D51EF8"/>
    <w:rsid w:val="41E70EF1"/>
    <w:rsid w:val="41F109E5"/>
    <w:rsid w:val="41FEA2BC"/>
    <w:rsid w:val="423D88B8"/>
    <w:rsid w:val="4249E1A7"/>
    <w:rsid w:val="426D9838"/>
    <w:rsid w:val="42781E24"/>
    <w:rsid w:val="429A62E9"/>
    <w:rsid w:val="42C22459"/>
    <w:rsid w:val="42E11FF2"/>
    <w:rsid w:val="43012391"/>
    <w:rsid w:val="432B70EB"/>
    <w:rsid w:val="4349E39C"/>
    <w:rsid w:val="435F5B6C"/>
    <w:rsid w:val="4375F2A4"/>
    <w:rsid w:val="4391F96A"/>
    <w:rsid w:val="439B89E7"/>
    <w:rsid w:val="439CE7E9"/>
    <w:rsid w:val="43EDC19E"/>
    <w:rsid w:val="4430B9CF"/>
    <w:rsid w:val="4439FD49"/>
    <w:rsid w:val="443AAEEA"/>
    <w:rsid w:val="4446B3DC"/>
    <w:rsid w:val="446DFF25"/>
    <w:rsid w:val="448A6B0F"/>
    <w:rsid w:val="44AAEF41"/>
    <w:rsid w:val="44C44EE8"/>
    <w:rsid w:val="44D31847"/>
    <w:rsid w:val="44E95F0A"/>
    <w:rsid w:val="4509183A"/>
    <w:rsid w:val="451755B5"/>
    <w:rsid w:val="452D70FF"/>
    <w:rsid w:val="453AED30"/>
    <w:rsid w:val="4551B9E6"/>
    <w:rsid w:val="45774085"/>
    <w:rsid w:val="457AA192"/>
    <w:rsid w:val="4582E198"/>
    <w:rsid w:val="458C7544"/>
    <w:rsid w:val="458CA815"/>
    <w:rsid w:val="45B08F05"/>
    <w:rsid w:val="4645CDB9"/>
    <w:rsid w:val="465FA9B4"/>
    <w:rsid w:val="46632AF1"/>
    <w:rsid w:val="46F1D610"/>
    <w:rsid w:val="47170ACE"/>
    <w:rsid w:val="474916A9"/>
    <w:rsid w:val="474FC9AC"/>
    <w:rsid w:val="475F9925"/>
    <w:rsid w:val="4775721B"/>
    <w:rsid w:val="477E95BD"/>
    <w:rsid w:val="47B774AD"/>
    <w:rsid w:val="47CD2693"/>
    <w:rsid w:val="47D79BCC"/>
    <w:rsid w:val="47DA4BB8"/>
    <w:rsid w:val="47E29003"/>
    <w:rsid w:val="480CDC2A"/>
    <w:rsid w:val="481D6A59"/>
    <w:rsid w:val="481E0C69"/>
    <w:rsid w:val="4847CC91"/>
    <w:rsid w:val="488134D2"/>
    <w:rsid w:val="48CB1B97"/>
    <w:rsid w:val="48E10088"/>
    <w:rsid w:val="493069BE"/>
    <w:rsid w:val="493647E0"/>
    <w:rsid w:val="4958E37F"/>
    <w:rsid w:val="49B7B8E4"/>
    <w:rsid w:val="49CF76FC"/>
    <w:rsid w:val="49D1644A"/>
    <w:rsid w:val="49E6B30E"/>
    <w:rsid w:val="4A1DD146"/>
    <w:rsid w:val="4A2FA999"/>
    <w:rsid w:val="4A5CA7F3"/>
    <w:rsid w:val="4A82C49B"/>
    <w:rsid w:val="4A90E55A"/>
    <w:rsid w:val="4AC45F91"/>
    <w:rsid w:val="4AE2EE71"/>
    <w:rsid w:val="4AF24A0E"/>
    <w:rsid w:val="4AF8FA38"/>
    <w:rsid w:val="4B7D67C7"/>
    <w:rsid w:val="4BD056DE"/>
    <w:rsid w:val="4BDA21F1"/>
    <w:rsid w:val="4BF5C228"/>
    <w:rsid w:val="4C1D3152"/>
    <w:rsid w:val="4C25E0B0"/>
    <w:rsid w:val="4C4016D8"/>
    <w:rsid w:val="4C5225F7"/>
    <w:rsid w:val="4C89870E"/>
    <w:rsid w:val="4CB69038"/>
    <w:rsid w:val="4CE5E60F"/>
    <w:rsid w:val="4CF0FC3F"/>
    <w:rsid w:val="4D144A58"/>
    <w:rsid w:val="4D28017C"/>
    <w:rsid w:val="4D6446DE"/>
    <w:rsid w:val="4D8DDFC9"/>
    <w:rsid w:val="4D9F3A12"/>
    <w:rsid w:val="4DA95C5C"/>
    <w:rsid w:val="4DC93B64"/>
    <w:rsid w:val="4DDBE6A0"/>
    <w:rsid w:val="4DE0B4BC"/>
    <w:rsid w:val="4DED5FDB"/>
    <w:rsid w:val="4E156E5A"/>
    <w:rsid w:val="4E201AC3"/>
    <w:rsid w:val="4E681DD3"/>
    <w:rsid w:val="4EA5C22C"/>
    <w:rsid w:val="4EABA051"/>
    <w:rsid w:val="4ECBF680"/>
    <w:rsid w:val="4EDB39CB"/>
    <w:rsid w:val="4EFEF5A2"/>
    <w:rsid w:val="4F13EC64"/>
    <w:rsid w:val="4F1CFA93"/>
    <w:rsid w:val="4F3C814B"/>
    <w:rsid w:val="4F5D6C42"/>
    <w:rsid w:val="4F628BAE"/>
    <w:rsid w:val="4F85E07A"/>
    <w:rsid w:val="4FB76746"/>
    <w:rsid w:val="5006D4C7"/>
    <w:rsid w:val="5080C9A2"/>
    <w:rsid w:val="508C2A35"/>
    <w:rsid w:val="509201D4"/>
    <w:rsid w:val="50B19BFA"/>
    <w:rsid w:val="50CE2BCC"/>
    <w:rsid w:val="50CED066"/>
    <w:rsid w:val="50DA5D38"/>
    <w:rsid w:val="50E8EFFA"/>
    <w:rsid w:val="50EE497C"/>
    <w:rsid w:val="50FE1EA6"/>
    <w:rsid w:val="5122D90C"/>
    <w:rsid w:val="513A421B"/>
    <w:rsid w:val="5152BF9D"/>
    <w:rsid w:val="52035642"/>
    <w:rsid w:val="5222811B"/>
    <w:rsid w:val="522BB04A"/>
    <w:rsid w:val="523D0A3E"/>
    <w:rsid w:val="5245E2FF"/>
    <w:rsid w:val="5255C4F7"/>
    <w:rsid w:val="525647CB"/>
    <w:rsid w:val="525F61E6"/>
    <w:rsid w:val="52674539"/>
    <w:rsid w:val="5295B304"/>
    <w:rsid w:val="52A979A1"/>
    <w:rsid w:val="52ABB000"/>
    <w:rsid w:val="52CD56BC"/>
    <w:rsid w:val="52D882ED"/>
    <w:rsid w:val="52DF5195"/>
    <w:rsid w:val="52E3F354"/>
    <w:rsid w:val="52E75B67"/>
    <w:rsid w:val="53467503"/>
    <w:rsid w:val="53671841"/>
    <w:rsid w:val="53BBEA09"/>
    <w:rsid w:val="53D18491"/>
    <w:rsid w:val="53D97629"/>
    <w:rsid w:val="542E2ACF"/>
    <w:rsid w:val="544F27F8"/>
    <w:rsid w:val="5474AE80"/>
    <w:rsid w:val="54AEF7D9"/>
    <w:rsid w:val="54B0C6D5"/>
    <w:rsid w:val="54BDCA38"/>
    <w:rsid w:val="54D39073"/>
    <w:rsid w:val="54DBA1C7"/>
    <w:rsid w:val="5535281F"/>
    <w:rsid w:val="55485A26"/>
    <w:rsid w:val="55909F81"/>
    <w:rsid w:val="5590D252"/>
    <w:rsid w:val="55C1346B"/>
    <w:rsid w:val="55D42E6D"/>
    <w:rsid w:val="55DF0BFA"/>
    <w:rsid w:val="55EB0027"/>
    <w:rsid w:val="560BB34E"/>
    <w:rsid w:val="560C6B55"/>
    <w:rsid w:val="56138A0C"/>
    <w:rsid w:val="56150851"/>
    <w:rsid w:val="563906FE"/>
    <w:rsid w:val="563A44F3"/>
    <w:rsid w:val="567B6AEF"/>
    <w:rsid w:val="56949B7D"/>
    <w:rsid w:val="56A35B51"/>
    <w:rsid w:val="56BC5C37"/>
    <w:rsid w:val="56C3FC8E"/>
    <w:rsid w:val="56CC8869"/>
    <w:rsid w:val="56F6C0EF"/>
    <w:rsid w:val="56F8F133"/>
    <w:rsid w:val="5759DD0A"/>
    <w:rsid w:val="577768C2"/>
    <w:rsid w:val="578590AF"/>
    <w:rsid w:val="578BB28B"/>
    <w:rsid w:val="579B0B4F"/>
    <w:rsid w:val="57AC4F42"/>
    <w:rsid w:val="57D9DB20"/>
    <w:rsid w:val="581ED20F"/>
    <w:rsid w:val="582389CA"/>
    <w:rsid w:val="583228B4"/>
    <w:rsid w:val="584746A2"/>
    <w:rsid w:val="586EE4A3"/>
    <w:rsid w:val="58772351"/>
    <w:rsid w:val="588F1CBE"/>
    <w:rsid w:val="58A420D3"/>
    <w:rsid w:val="58A868CC"/>
    <w:rsid w:val="59164815"/>
    <w:rsid w:val="594639F4"/>
    <w:rsid w:val="594F39C4"/>
    <w:rsid w:val="596AD436"/>
    <w:rsid w:val="599E157C"/>
    <w:rsid w:val="59A62F29"/>
    <w:rsid w:val="59C782F2"/>
    <w:rsid w:val="59C88348"/>
    <w:rsid w:val="59DC36E6"/>
    <w:rsid w:val="59ECB4C6"/>
    <w:rsid w:val="5A0D4766"/>
    <w:rsid w:val="5A0DAD08"/>
    <w:rsid w:val="5A1B2939"/>
    <w:rsid w:val="5A70EAC5"/>
    <w:rsid w:val="5A853B00"/>
    <w:rsid w:val="5A8D1DAA"/>
    <w:rsid w:val="5A92C7AB"/>
    <w:rsid w:val="5A9DE847"/>
    <w:rsid w:val="5ADCCB83"/>
    <w:rsid w:val="5AEE904B"/>
    <w:rsid w:val="5B61F8F4"/>
    <w:rsid w:val="5B957845"/>
    <w:rsid w:val="5BA25A2C"/>
    <w:rsid w:val="5BEE735D"/>
    <w:rsid w:val="5C190C2F"/>
    <w:rsid w:val="5C36CEE3"/>
    <w:rsid w:val="5C48154D"/>
    <w:rsid w:val="5C6CD2B0"/>
    <w:rsid w:val="5C6CE8DB"/>
    <w:rsid w:val="5C864BE7"/>
    <w:rsid w:val="5C9070D3"/>
    <w:rsid w:val="5CAC366B"/>
    <w:rsid w:val="5CC162EB"/>
    <w:rsid w:val="5D1076FE"/>
    <w:rsid w:val="5D1E81FE"/>
    <w:rsid w:val="5D3E64AF"/>
    <w:rsid w:val="5D541237"/>
    <w:rsid w:val="5D66D78B"/>
    <w:rsid w:val="5D7CB8EE"/>
    <w:rsid w:val="5D88AED7"/>
    <w:rsid w:val="5D9234AD"/>
    <w:rsid w:val="5DBF025A"/>
    <w:rsid w:val="5DC46BD7"/>
    <w:rsid w:val="5DC4C904"/>
    <w:rsid w:val="5E081631"/>
    <w:rsid w:val="5E9D303D"/>
    <w:rsid w:val="5EC2A2A5"/>
    <w:rsid w:val="5EC98121"/>
    <w:rsid w:val="5F002779"/>
    <w:rsid w:val="5F12B755"/>
    <w:rsid w:val="5F5C3FCF"/>
    <w:rsid w:val="5F69D186"/>
    <w:rsid w:val="5F9A339F"/>
    <w:rsid w:val="5FA36563"/>
    <w:rsid w:val="5FAAEBC2"/>
    <w:rsid w:val="5FB18AFC"/>
    <w:rsid w:val="5FB95BC1"/>
    <w:rsid w:val="5FD12A52"/>
    <w:rsid w:val="5FD631E1"/>
    <w:rsid w:val="5FE396D7"/>
    <w:rsid w:val="5FF027FC"/>
    <w:rsid w:val="5FF070F8"/>
    <w:rsid w:val="5FF4AB86"/>
    <w:rsid w:val="600E56E5"/>
    <w:rsid w:val="6021FC3D"/>
    <w:rsid w:val="6029904D"/>
    <w:rsid w:val="602C4B71"/>
    <w:rsid w:val="6041BFC0"/>
    <w:rsid w:val="604BCCC2"/>
    <w:rsid w:val="605C711C"/>
    <w:rsid w:val="60642A42"/>
    <w:rsid w:val="6091FBBD"/>
    <w:rsid w:val="60AE87B6"/>
    <w:rsid w:val="60B6DB5F"/>
    <w:rsid w:val="60E2F86A"/>
    <w:rsid w:val="6113FE8C"/>
    <w:rsid w:val="61325F53"/>
    <w:rsid w:val="61372F2A"/>
    <w:rsid w:val="613E6C58"/>
    <w:rsid w:val="61A724C6"/>
    <w:rsid w:val="61DAD510"/>
    <w:rsid w:val="6222E76F"/>
    <w:rsid w:val="6225A3A6"/>
    <w:rsid w:val="622DCC1E"/>
    <w:rsid w:val="6235404E"/>
    <w:rsid w:val="62A2D1AB"/>
    <w:rsid w:val="62DC8F06"/>
    <w:rsid w:val="63098C88"/>
    <w:rsid w:val="6313BF8A"/>
    <w:rsid w:val="631C2076"/>
    <w:rsid w:val="632AA967"/>
    <w:rsid w:val="632C2811"/>
    <w:rsid w:val="6373F915"/>
    <w:rsid w:val="63B39DC7"/>
    <w:rsid w:val="63BA50CA"/>
    <w:rsid w:val="63BCDFB4"/>
    <w:rsid w:val="63C688DB"/>
    <w:rsid w:val="63EEE732"/>
    <w:rsid w:val="63F99344"/>
    <w:rsid w:val="640F8F8D"/>
    <w:rsid w:val="6424F028"/>
    <w:rsid w:val="643EA20C"/>
    <w:rsid w:val="644E487D"/>
    <w:rsid w:val="64651EC1"/>
    <w:rsid w:val="64A4272F"/>
    <w:rsid w:val="64FBFEE9"/>
    <w:rsid w:val="65248479"/>
    <w:rsid w:val="6550B8C3"/>
    <w:rsid w:val="655B35FF"/>
    <w:rsid w:val="65656CE0"/>
    <w:rsid w:val="656C4998"/>
    <w:rsid w:val="65739EAB"/>
    <w:rsid w:val="658F9EBF"/>
    <w:rsid w:val="65BF7B6E"/>
    <w:rsid w:val="65EC78F0"/>
    <w:rsid w:val="65FB9EE3"/>
    <w:rsid w:val="66080D5A"/>
    <w:rsid w:val="661B2034"/>
    <w:rsid w:val="663A6EB4"/>
    <w:rsid w:val="665FE452"/>
    <w:rsid w:val="66A15275"/>
    <w:rsid w:val="66A3BEC5"/>
    <w:rsid w:val="66B7CB9D"/>
    <w:rsid w:val="66C92A99"/>
    <w:rsid w:val="66E05DCF"/>
    <w:rsid w:val="671DE00C"/>
    <w:rsid w:val="6734796F"/>
    <w:rsid w:val="673E9A8D"/>
    <w:rsid w:val="67440005"/>
    <w:rsid w:val="675C9B82"/>
    <w:rsid w:val="676975A3"/>
    <w:rsid w:val="6769B30C"/>
    <w:rsid w:val="67926C7E"/>
    <w:rsid w:val="67AE2396"/>
    <w:rsid w:val="67E228CD"/>
    <w:rsid w:val="67E91975"/>
    <w:rsid w:val="67F4F718"/>
    <w:rsid w:val="67FDC997"/>
    <w:rsid w:val="67FEF20C"/>
    <w:rsid w:val="681A6CB6"/>
    <w:rsid w:val="68710323"/>
    <w:rsid w:val="687BBCCD"/>
    <w:rsid w:val="688D7EE2"/>
    <w:rsid w:val="689BA6EF"/>
    <w:rsid w:val="689D6118"/>
    <w:rsid w:val="68ABE278"/>
    <w:rsid w:val="68C47DF5"/>
    <w:rsid w:val="68D98F66"/>
    <w:rsid w:val="6910E1CA"/>
    <w:rsid w:val="694141E3"/>
    <w:rsid w:val="69B0C22F"/>
    <w:rsid w:val="69B540F8"/>
    <w:rsid w:val="69C3AEB0"/>
    <w:rsid w:val="6A1D07A4"/>
    <w:rsid w:val="6A1F80FB"/>
    <w:rsid w:val="6A2972DD"/>
    <w:rsid w:val="6A6920D5"/>
    <w:rsid w:val="6AAA3E23"/>
    <w:rsid w:val="6AB10D1C"/>
    <w:rsid w:val="6AB1AF2C"/>
    <w:rsid w:val="6B288D18"/>
    <w:rsid w:val="6B3BCC82"/>
    <w:rsid w:val="6B62A230"/>
    <w:rsid w:val="6B731813"/>
    <w:rsid w:val="6B7A4428"/>
    <w:rsid w:val="6B98A109"/>
    <w:rsid w:val="6B9E04CA"/>
    <w:rsid w:val="6BA6FA23"/>
    <w:rsid w:val="6BE216E1"/>
    <w:rsid w:val="6BE3EF0F"/>
    <w:rsid w:val="6C7BB697"/>
    <w:rsid w:val="6C7CC613"/>
    <w:rsid w:val="6CA75353"/>
    <w:rsid w:val="6CAA2F85"/>
    <w:rsid w:val="6CACBC82"/>
    <w:rsid w:val="6CB33AB8"/>
    <w:rsid w:val="6CE28BBC"/>
    <w:rsid w:val="6CF76270"/>
    <w:rsid w:val="6D769134"/>
    <w:rsid w:val="6D7A5F26"/>
    <w:rsid w:val="6DA4C939"/>
    <w:rsid w:val="6DE79C3B"/>
    <w:rsid w:val="6DEA9BA3"/>
    <w:rsid w:val="6DF86A4E"/>
    <w:rsid w:val="6E3CF157"/>
    <w:rsid w:val="6E523876"/>
    <w:rsid w:val="6E9CC32D"/>
    <w:rsid w:val="6EC892BB"/>
    <w:rsid w:val="6EF326C9"/>
    <w:rsid w:val="6F0F89DE"/>
    <w:rsid w:val="6F28D203"/>
    <w:rsid w:val="6F3FA813"/>
    <w:rsid w:val="6F659EFE"/>
    <w:rsid w:val="6F8179D6"/>
    <w:rsid w:val="6FAFED13"/>
    <w:rsid w:val="6FB39442"/>
    <w:rsid w:val="6FC28F5A"/>
    <w:rsid w:val="6FC53DFF"/>
    <w:rsid w:val="6FD24132"/>
    <w:rsid w:val="6FDCC32B"/>
    <w:rsid w:val="6FDE4672"/>
    <w:rsid w:val="6FE12C5D"/>
    <w:rsid w:val="7002340C"/>
    <w:rsid w:val="70099A4B"/>
    <w:rsid w:val="700EDB5C"/>
    <w:rsid w:val="70176AF2"/>
    <w:rsid w:val="701BDDAA"/>
    <w:rsid w:val="70C057D9"/>
    <w:rsid w:val="70DC2E4E"/>
    <w:rsid w:val="70EAAF7A"/>
    <w:rsid w:val="711EE84B"/>
    <w:rsid w:val="713F75E2"/>
    <w:rsid w:val="71B7BA2E"/>
    <w:rsid w:val="71C4A2D3"/>
    <w:rsid w:val="71D463EF"/>
    <w:rsid w:val="71E4BAA9"/>
    <w:rsid w:val="71E54DA9"/>
    <w:rsid w:val="71F83147"/>
    <w:rsid w:val="7204B254"/>
    <w:rsid w:val="72408CCD"/>
    <w:rsid w:val="724857EF"/>
    <w:rsid w:val="72736575"/>
    <w:rsid w:val="7276A6C5"/>
    <w:rsid w:val="727E6C12"/>
    <w:rsid w:val="728134BD"/>
    <w:rsid w:val="729B956B"/>
    <w:rsid w:val="72B15152"/>
    <w:rsid w:val="72C012B2"/>
    <w:rsid w:val="72EB5400"/>
    <w:rsid w:val="7317ABEB"/>
    <w:rsid w:val="734C7E08"/>
    <w:rsid w:val="734CBF6A"/>
    <w:rsid w:val="7358EACE"/>
    <w:rsid w:val="73786C1F"/>
    <w:rsid w:val="7379952B"/>
    <w:rsid w:val="737D653F"/>
    <w:rsid w:val="73961C17"/>
    <w:rsid w:val="73A37E5C"/>
    <w:rsid w:val="73EBA8E3"/>
    <w:rsid w:val="73FAE260"/>
    <w:rsid w:val="7416FF1A"/>
    <w:rsid w:val="74971CAD"/>
    <w:rsid w:val="74B61D34"/>
    <w:rsid w:val="74C476F2"/>
    <w:rsid w:val="74DF48CA"/>
    <w:rsid w:val="75098EAF"/>
    <w:rsid w:val="753E1C6C"/>
    <w:rsid w:val="75671447"/>
    <w:rsid w:val="75749078"/>
    <w:rsid w:val="757F4085"/>
    <w:rsid w:val="75877944"/>
    <w:rsid w:val="75B6BA5E"/>
    <w:rsid w:val="75D542CB"/>
    <w:rsid w:val="75ED54C1"/>
    <w:rsid w:val="75F0A32D"/>
    <w:rsid w:val="7622E93E"/>
    <w:rsid w:val="76248EEE"/>
    <w:rsid w:val="76287AD6"/>
    <w:rsid w:val="762C9C48"/>
    <w:rsid w:val="7645BD56"/>
    <w:rsid w:val="7660C78B"/>
    <w:rsid w:val="768CD299"/>
    <w:rsid w:val="7697B08C"/>
    <w:rsid w:val="76A4C344"/>
    <w:rsid w:val="76CB4956"/>
    <w:rsid w:val="76D3B72E"/>
    <w:rsid w:val="770C760C"/>
    <w:rsid w:val="770DAD16"/>
    <w:rsid w:val="773BDA8A"/>
    <w:rsid w:val="77500F2E"/>
    <w:rsid w:val="77528ABF"/>
    <w:rsid w:val="775BEA37"/>
    <w:rsid w:val="777DC86D"/>
    <w:rsid w:val="778B4DB9"/>
    <w:rsid w:val="77958F09"/>
    <w:rsid w:val="77CCD6F6"/>
    <w:rsid w:val="77D5668C"/>
    <w:rsid w:val="77DA85F8"/>
    <w:rsid w:val="77EA37D0"/>
    <w:rsid w:val="77F100FE"/>
    <w:rsid w:val="77F76AAC"/>
    <w:rsid w:val="7800ED1D"/>
    <w:rsid w:val="78050FFB"/>
    <w:rsid w:val="782362CB"/>
    <w:rsid w:val="784DABC9"/>
    <w:rsid w:val="786290C8"/>
    <w:rsid w:val="7874FA8F"/>
    <w:rsid w:val="7893D9D0"/>
    <w:rsid w:val="789E899E"/>
    <w:rsid w:val="78CAD246"/>
    <w:rsid w:val="78D44573"/>
    <w:rsid w:val="78EA6DC9"/>
    <w:rsid w:val="78EDA203"/>
    <w:rsid w:val="79134A72"/>
    <w:rsid w:val="7943568A"/>
    <w:rsid w:val="795A0CA0"/>
    <w:rsid w:val="79747CA7"/>
    <w:rsid w:val="79C40EB4"/>
    <w:rsid w:val="79C62F2B"/>
    <w:rsid w:val="79CAD7E2"/>
    <w:rsid w:val="79E9B723"/>
    <w:rsid w:val="7A0905A3"/>
    <w:rsid w:val="7A194D77"/>
    <w:rsid w:val="7A37BB55"/>
    <w:rsid w:val="7A87A164"/>
    <w:rsid w:val="7A8A2B81"/>
    <w:rsid w:val="7A998E7E"/>
    <w:rsid w:val="7A9F83F9"/>
    <w:rsid w:val="7AA431C0"/>
    <w:rsid w:val="7AA4C5D0"/>
    <w:rsid w:val="7AC778E7"/>
    <w:rsid w:val="7B0186AA"/>
    <w:rsid w:val="7B05BCD3"/>
    <w:rsid w:val="7B5A76AD"/>
    <w:rsid w:val="7B85EC2B"/>
    <w:rsid w:val="7B97419D"/>
    <w:rsid w:val="7B995CA9"/>
    <w:rsid w:val="7BB7EF70"/>
    <w:rsid w:val="7BD29C3F"/>
    <w:rsid w:val="7BD2B463"/>
    <w:rsid w:val="7C23345C"/>
    <w:rsid w:val="7C4897AF"/>
    <w:rsid w:val="7CB9D4BD"/>
    <w:rsid w:val="7CC21E15"/>
    <w:rsid w:val="7CCE2C3D"/>
    <w:rsid w:val="7CE16240"/>
    <w:rsid w:val="7CEB3D4A"/>
    <w:rsid w:val="7CFB92D0"/>
    <w:rsid w:val="7D0CD190"/>
    <w:rsid w:val="7D10D96C"/>
    <w:rsid w:val="7D408506"/>
    <w:rsid w:val="7D66596C"/>
    <w:rsid w:val="7D8C8DC0"/>
    <w:rsid w:val="7D8EC643"/>
    <w:rsid w:val="7D9643E8"/>
    <w:rsid w:val="7DA03BA7"/>
    <w:rsid w:val="7DA7CD18"/>
    <w:rsid w:val="7DEFFE4E"/>
    <w:rsid w:val="7E4017AD"/>
    <w:rsid w:val="7E790B6E"/>
    <w:rsid w:val="7E7D32A1"/>
    <w:rsid w:val="7E857AB7"/>
    <w:rsid w:val="7E87CDFF"/>
    <w:rsid w:val="7EA31C8B"/>
    <w:rsid w:val="7F24E032"/>
    <w:rsid w:val="7F298645"/>
    <w:rsid w:val="7F3EA1D8"/>
    <w:rsid w:val="7F5D9CA4"/>
    <w:rsid w:val="7F5F5E88"/>
    <w:rsid w:val="7F7034B4"/>
    <w:rsid w:val="7F9E7C90"/>
    <w:rsid w:val="7FBEFEE2"/>
    <w:rsid w:val="7FC9D532"/>
    <w:rsid w:val="7FCD6C9A"/>
    <w:rsid w:val="7FEA57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557C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0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1E128A"/>
  </w:style>
  <w:style w:type="paragraph" w:styleId="CommentSubject">
    <w:name w:val="annotation subject"/>
    <w:basedOn w:val="CommentText"/>
    <w:next w:val="CommentText"/>
    <w:link w:val="CommentSubjectChar"/>
    <w:uiPriority w:val="99"/>
    <w:semiHidden/>
    <w:unhideWhenUsed/>
    <w:rsid w:val="007F3336"/>
    <w:rPr>
      <w:b/>
      <w:bCs/>
    </w:rPr>
  </w:style>
  <w:style w:type="character" w:customStyle="1" w:styleId="CommentSubjectChar">
    <w:name w:val="Comment Subject Char"/>
    <w:basedOn w:val="CommentTextChar"/>
    <w:link w:val="CommentSubject"/>
    <w:uiPriority w:val="99"/>
    <w:semiHidden/>
    <w:rsid w:val="007F3336"/>
    <w:rPr>
      <w:b/>
      <w:bCs/>
      <w:sz w:val="20"/>
      <w:szCs w:val="20"/>
    </w:rPr>
  </w:style>
  <w:style w:type="paragraph" w:styleId="Header">
    <w:name w:val="header"/>
    <w:basedOn w:val="Normal"/>
    <w:link w:val="HeaderChar"/>
    <w:uiPriority w:val="99"/>
    <w:unhideWhenUsed/>
    <w:rsid w:val="0048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59A"/>
  </w:style>
  <w:style w:type="paragraph" w:styleId="Footer">
    <w:name w:val="footer"/>
    <w:basedOn w:val="Normal"/>
    <w:link w:val="FooterChar"/>
    <w:uiPriority w:val="99"/>
    <w:unhideWhenUsed/>
    <w:rsid w:val="0048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59A"/>
  </w:style>
  <w:style w:type="character" w:styleId="FootnoteReference">
    <w:name w:val="footnote reference"/>
    <w:basedOn w:val="DefaultParagraphFont"/>
    <w:uiPriority w:val="99"/>
    <w:semiHidden/>
    <w:unhideWhenUsed/>
    <w:rsid w:val="0048259A"/>
    <w:rPr>
      <w:vertAlign w:val="superscript"/>
    </w:rPr>
  </w:style>
  <w:style w:type="character" w:customStyle="1" w:styleId="FootnoteTextChar">
    <w:name w:val="Footnote Text Char"/>
    <w:basedOn w:val="DefaultParagraphFont"/>
    <w:link w:val="FootnoteText"/>
    <w:uiPriority w:val="99"/>
    <w:semiHidden/>
    <w:rsid w:val="0048259A"/>
    <w:rPr>
      <w:sz w:val="20"/>
      <w:szCs w:val="20"/>
    </w:rPr>
  </w:style>
  <w:style w:type="paragraph" w:styleId="FootnoteText">
    <w:name w:val="footnote text"/>
    <w:basedOn w:val="Normal"/>
    <w:link w:val="FootnoteTextChar"/>
    <w:uiPriority w:val="99"/>
    <w:semiHidden/>
    <w:unhideWhenUsed/>
    <w:rsid w:val="0048259A"/>
    <w:pPr>
      <w:spacing w:after="0" w:line="240" w:lineRule="auto"/>
    </w:pPr>
    <w:rPr>
      <w:sz w:val="20"/>
      <w:szCs w:val="20"/>
    </w:rPr>
  </w:style>
  <w:style w:type="character" w:styleId="Emphasis">
    <w:name w:val="Emphasis"/>
    <w:basedOn w:val="DefaultParagraphFont"/>
    <w:uiPriority w:val="20"/>
    <w:qFormat/>
    <w:rsid w:val="00A41CA4"/>
    <w:rPr>
      <w:i/>
      <w:iCs/>
    </w:rPr>
  </w:style>
  <w:style w:type="table" w:styleId="TableGrid">
    <w:name w:val="Table Grid"/>
    <w:basedOn w:val="TableNormal"/>
    <w:uiPriority w:val="59"/>
    <w:rsid w:val="00EE67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81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E00"/>
    <w:rPr>
      <w:rFonts w:ascii="Segoe UI" w:hAnsi="Segoe UI" w:cs="Segoe UI"/>
      <w:sz w:val="18"/>
      <w:szCs w:val="18"/>
    </w:rPr>
  </w:style>
  <w:style w:type="character" w:customStyle="1" w:styleId="Marker">
    <w:name w:val="Marker"/>
    <w:basedOn w:val="DefaultParagraphFont"/>
    <w:rsid w:val="00096218"/>
    <w:rPr>
      <w:color w:val="0000FF"/>
      <w:shd w:val="clear" w:color="auto" w:fill="auto"/>
    </w:rPr>
  </w:style>
  <w:style w:type="paragraph" w:customStyle="1" w:styleId="Pagedecouverture">
    <w:name w:val="Page de couverture"/>
    <w:basedOn w:val="Normal"/>
    <w:next w:val="Normal"/>
    <w:rsid w:val="00096218"/>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096218"/>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96218"/>
    <w:rPr>
      <w:rFonts w:ascii="Times New Roman" w:hAnsi="Times New Roman" w:cs="Times New Roman"/>
      <w:sz w:val="24"/>
    </w:rPr>
  </w:style>
  <w:style w:type="paragraph" w:customStyle="1" w:styleId="FooterSensitivity">
    <w:name w:val="Footer Sensitivity"/>
    <w:basedOn w:val="Normal"/>
    <w:link w:val="FooterSensitivityChar"/>
    <w:rsid w:val="0009621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96218"/>
    <w:rPr>
      <w:rFonts w:ascii="Times New Roman" w:hAnsi="Times New Roman" w:cs="Times New Roman"/>
      <w:b/>
      <w:sz w:val="32"/>
    </w:rPr>
  </w:style>
  <w:style w:type="paragraph" w:customStyle="1" w:styleId="HeaderCoverPage">
    <w:name w:val="Header Cover Page"/>
    <w:basedOn w:val="Normal"/>
    <w:link w:val="HeaderCoverPageChar"/>
    <w:rsid w:val="00096218"/>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96218"/>
    <w:rPr>
      <w:rFonts w:ascii="Times New Roman" w:hAnsi="Times New Roman" w:cs="Times New Roman"/>
      <w:sz w:val="24"/>
    </w:rPr>
  </w:style>
  <w:style w:type="paragraph" w:customStyle="1" w:styleId="HeaderSensitivity">
    <w:name w:val="Header Sensitivity"/>
    <w:basedOn w:val="Normal"/>
    <w:link w:val="HeaderSensitivityChar"/>
    <w:rsid w:val="0009621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96218"/>
    <w:rPr>
      <w:rFonts w:ascii="Times New Roman" w:hAnsi="Times New Roman" w:cs="Times New Roman"/>
      <w:b/>
      <w:sz w:val="32"/>
    </w:rPr>
  </w:style>
  <w:style w:type="paragraph" w:customStyle="1" w:styleId="HeaderSensitivityRight">
    <w:name w:val="Header Sensitivity Right"/>
    <w:basedOn w:val="Normal"/>
    <w:link w:val="HeaderSensitivityRightChar"/>
    <w:rsid w:val="0009621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096218"/>
    <w:rPr>
      <w:rFonts w:ascii="Times New Roman" w:hAnsi="Times New Roman" w:cs="Times New Roman"/>
      <w:sz w:val="28"/>
    </w:rPr>
  </w:style>
  <w:style w:type="character" w:customStyle="1" w:styleId="eop">
    <w:name w:val="eop"/>
    <w:basedOn w:val="DefaultParagraphFont"/>
    <w:rsid w:val="000F1991"/>
  </w:style>
  <w:style w:type="paragraph" w:customStyle="1" w:styleId="paragraph">
    <w:name w:val="paragraph"/>
    <w:basedOn w:val="Normal"/>
    <w:rsid w:val="000F199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uperscript">
    <w:name w:val="superscript"/>
    <w:basedOn w:val="DefaultParagraphFont"/>
    <w:rsid w:val="000F1991"/>
  </w:style>
  <w:style w:type="character" w:customStyle="1" w:styleId="s5">
    <w:name w:val="s5"/>
    <w:basedOn w:val="DefaultParagraphFont"/>
    <w:rsid w:val="00263476"/>
  </w:style>
  <w:style w:type="character" w:customStyle="1" w:styleId="bumpedfont15">
    <w:name w:val="bumpedfont15"/>
    <w:basedOn w:val="DefaultParagraphFont"/>
    <w:rsid w:val="00263476"/>
  </w:style>
  <w:style w:type="character" w:customStyle="1" w:styleId="UnresolvedMention1">
    <w:name w:val="Unresolved Mention1"/>
    <w:basedOn w:val="DefaultParagraphFont"/>
    <w:uiPriority w:val="99"/>
    <w:semiHidden/>
    <w:unhideWhenUsed/>
    <w:rsid w:val="002A466B"/>
    <w:rPr>
      <w:color w:val="605E5C"/>
      <w:shd w:val="clear" w:color="auto" w:fill="E1DFDD"/>
    </w:rPr>
  </w:style>
  <w:style w:type="paragraph" w:styleId="Revision">
    <w:name w:val="Revision"/>
    <w:hidden/>
    <w:uiPriority w:val="99"/>
    <w:semiHidden/>
    <w:rsid w:val="00922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8656">
      <w:bodyDiv w:val="1"/>
      <w:marLeft w:val="0"/>
      <w:marRight w:val="0"/>
      <w:marTop w:val="0"/>
      <w:marBottom w:val="0"/>
      <w:divBdr>
        <w:top w:val="none" w:sz="0" w:space="0" w:color="auto"/>
        <w:left w:val="none" w:sz="0" w:space="0" w:color="auto"/>
        <w:bottom w:val="none" w:sz="0" w:space="0" w:color="auto"/>
        <w:right w:val="none" w:sz="0" w:space="0" w:color="auto"/>
      </w:divBdr>
      <w:divsChild>
        <w:div w:id="588007057">
          <w:marLeft w:val="0"/>
          <w:marRight w:val="0"/>
          <w:marTop w:val="0"/>
          <w:marBottom w:val="0"/>
          <w:divBdr>
            <w:top w:val="none" w:sz="0" w:space="0" w:color="auto"/>
            <w:left w:val="none" w:sz="0" w:space="0" w:color="auto"/>
            <w:bottom w:val="none" w:sz="0" w:space="0" w:color="auto"/>
            <w:right w:val="none" w:sz="0" w:space="0" w:color="auto"/>
          </w:divBdr>
          <w:divsChild>
            <w:div w:id="1473712845">
              <w:marLeft w:val="0"/>
              <w:marRight w:val="0"/>
              <w:marTop w:val="0"/>
              <w:marBottom w:val="0"/>
              <w:divBdr>
                <w:top w:val="none" w:sz="0" w:space="0" w:color="auto"/>
                <w:left w:val="none" w:sz="0" w:space="0" w:color="auto"/>
                <w:bottom w:val="none" w:sz="0" w:space="0" w:color="auto"/>
                <w:right w:val="none" w:sz="0" w:space="0" w:color="auto"/>
              </w:divBdr>
            </w:div>
            <w:div w:id="1631671373">
              <w:marLeft w:val="0"/>
              <w:marRight w:val="0"/>
              <w:marTop w:val="0"/>
              <w:marBottom w:val="0"/>
              <w:divBdr>
                <w:top w:val="none" w:sz="0" w:space="0" w:color="auto"/>
                <w:left w:val="none" w:sz="0" w:space="0" w:color="auto"/>
                <w:bottom w:val="none" w:sz="0" w:space="0" w:color="auto"/>
                <w:right w:val="none" w:sz="0" w:space="0" w:color="auto"/>
              </w:divBdr>
            </w:div>
          </w:divsChild>
        </w:div>
        <w:div w:id="720058863">
          <w:marLeft w:val="0"/>
          <w:marRight w:val="0"/>
          <w:marTop w:val="0"/>
          <w:marBottom w:val="0"/>
          <w:divBdr>
            <w:top w:val="none" w:sz="0" w:space="0" w:color="auto"/>
            <w:left w:val="none" w:sz="0" w:space="0" w:color="auto"/>
            <w:bottom w:val="none" w:sz="0" w:space="0" w:color="auto"/>
            <w:right w:val="none" w:sz="0" w:space="0" w:color="auto"/>
          </w:divBdr>
          <w:divsChild>
            <w:div w:id="1069693845">
              <w:marLeft w:val="0"/>
              <w:marRight w:val="0"/>
              <w:marTop w:val="0"/>
              <w:marBottom w:val="0"/>
              <w:divBdr>
                <w:top w:val="none" w:sz="0" w:space="0" w:color="auto"/>
                <w:left w:val="none" w:sz="0" w:space="0" w:color="auto"/>
                <w:bottom w:val="none" w:sz="0" w:space="0" w:color="auto"/>
                <w:right w:val="none" w:sz="0" w:space="0" w:color="auto"/>
              </w:divBdr>
            </w:div>
            <w:div w:id="1813328894">
              <w:marLeft w:val="0"/>
              <w:marRight w:val="0"/>
              <w:marTop w:val="0"/>
              <w:marBottom w:val="0"/>
              <w:divBdr>
                <w:top w:val="none" w:sz="0" w:space="0" w:color="auto"/>
                <w:left w:val="none" w:sz="0" w:space="0" w:color="auto"/>
                <w:bottom w:val="none" w:sz="0" w:space="0" w:color="auto"/>
                <w:right w:val="none" w:sz="0" w:space="0" w:color="auto"/>
              </w:divBdr>
            </w:div>
          </w:divsChild>
        </w:div>
        <w:div w:id="853881293">
          <w:marLeft w:val="0"/>
          <w:marRight w:val="0"/>
          <w:marTop w:val="0"/>
          <w:marBottom w:val="0"/>
          <w:divBdr>
            <w:top w:val="none" w:sz="0" w:space="0" w:color="auto"/>
            <w:left w:val="none" w:sz="0" w:space="0" w:color="auto"/>
            <w:bottom w:val="none" w:sz="0" w:space="0" w:color="auto"/>
            <w:right w:val="none" w:sz="0" w:space="0" w:color="auto"/>
          </w:divBdr>
          <w:divsChild>
            <w:div w:id="726614921">
              <w:marLeft w:val="0"/>
              <w:marRight w:val="0"/>
              <w:marTop w:val="0"/>
              <w:marBottom w:val="0"/>
              <w:divBdr>
                <w:top w:val="none" w:sz="0" w:space="0" w:color="auto"/>
                <w:left w:val="none" w:sz="0" w:space="0" w:color="auto"/>
                <w:bottom w:val="none" w:sz="0" w:space="0" w:color="auto"/>
                <w:right w:val="none" w:sz="0" w:space="0" w:color="auto"/>
              </w:divBdr>
            </w:div>
            <w:div w:id="2033872918">
              <w:marLeft w:val="0"/>
              <w:marRight w:val="0"/>
              <w:marTop w:val="0"/>
              <w:marBottom w:val="0"/>
              <w:divBdr>
                <w:top w:val="none" w:sz="0" w:space="0" w:color="auto"/>
                <w:left w:val="none" w:sz="0" w:space="0" w:color="auto"/>
                <w:bottom w:val="none" w:sz="0" w:space="0" w:color="auto"/>
                <w:right w:val="none" w:sz="0" w:space="0" w:color="auto"/>
              </w:divBdr>
            </w:div>
          </w:divsChild>
        </w:div>
        <w:div w:id="979575204">
          <w:marLeft w:val="0"/>
          <w:marRight w:val="0"/>
          <w:marTop w:val="0"/>
          <w:marBottom w:val="0"/>
          <w:divBdr>
            <w:top w:val="none" w:sz="0" w:space="0" w:color="auto"/>
            <w:left w:val="none" w:sz="0" w:space="0" w:color="auto"/>
            <w:bottom w:val="none" w:sz="0" w:space="0" w:color="auto"/>
            <w:right w:val="none" w:sz="0" w:space="0" w:color="auto"/>
          </w:divBdr>
          <w:divsChild>
            <w:div w:id="1037008416">
              <w:marLeft w:val="0"/>
              <w:marRight w:val="0"/>
              <w:marTop w:val="0"/>
              <w:marBottom w:val="0"/>
              <w:divBdr>
                <w:top w:val="none" w:sz="0" w:space="0" w:color="auto"/>
                <w:left w:val="none" w:sz="0" w:space="0" w:color="auto"/>
                <w:bottom w:val="none" w:sz="0" w:space="0" w:color="auto"/>
                <w:right w:val="none" w:sz="0" w:space="0" w:color="auto"/>
              </w:divBdr>
            </w:div>
            <w:div w:id="1438136926">
              <w:marLeft w:val="0"/>
              <w:marRight w:val="0"/>
              <w:marTop w:val="0"/>
              <w:marBottom w:val="0"/>
              <w:divBdr>
                <w:top w:val="none" w:sz="0" w:space="0" w:color="auto"/>
                <w:left w:val="none" w:sz="0" w:space="0" w:color="auto"/>
                <w:bottom w:val="none" w:sz="0" w:space="0" w:color="auto"/>
                <w:right w:val="none" w:sz="0" w:space="0" w:color="auto"/>
              </w:divBdr>
            </w:div>
          </w:divsChild>
        </w:div>
        <w:div w:id="1155532711">
          <w:marLeft w:val="0"/>
          <w:marRight w:val="0"/>
          <w:marTop w:val="0"/>
          <w:marBottom w:val="0"/>
          <w:divBdr>
            <w:top w:val="none" w:sz="0" w:space="0" w:color="auto"/>
            <w:left w:val="none" w:sz="0" w:space="0" w:color="auto"/>
            <w:bottom w:val="none" w:sz="0" w:space="0" w:color="auto"/>
            <w:right w:val="none" w:sz="0" w:space="0" w:color="auto"/>
          </w:divBdr>
          <w:divsChild>
            <w:div w:id="866796083">
              <w:marLeft w:val="0"/>
              <w:marRight w:val="0"/>
              <w:marTop w:val="0"/>
              <w:marBottom w:val="0"/>
              <w:divBdr>
                <w:top w:val="none" w:sz="0" w:space="0" w:color="auto"/>
                <w:left w:val="none" w:sz="0" w:space="0" w:color="auto"/>
                <w:bottom w:val="none" w:sz="0" w:space="0" w:color="auto"/>
                <w:right w:val="none" w:sz="0" w:space="0" w:color="auto"/>
              </w:divBdr>
            </w:div>
            <w:div w:id="1139880648">
              <w:marLeft w:val="0"/>
              <w:marRight w:val="0"/>
              <w:marTop w:val="0"/>
              <w:marBottom w:val="0"/>
              <w:divBdr>
                <w:top w:val="none" w:sz="0" w:space="0" w:color="auto"/>
                <w:left w:val="none" w:sz="0" w:space="0" w:color="auto"/>
                <w:bottom w:val="none" w:sz="0" w:space="0" w:color="auto"/>
                <w:right w:val="none" w:sz="0" w:space="0" w:color="auto"/>
              </w:divBdr>
            </w:div>
          </w:divsChild>
        </w:div>
        <w:div w:id="1202546924">
          <w:marLeft w:val="0"/>
          <w:marRight w:val="0"/>
          <w:marTop w:val="0"/>
          <w:marBottom w:val="0"/>
          <w:divBdr>
            <w:top w:val="none" w:sz="0" w:space="0" w:color="auto"/>
            <w:left w:val="none" w:sz="0" w:space="0" w:color="auto"/>
            <w:bottom w:val="none" w:sz="0" w:space="0" w:color="auto"/>
            <w:right w:val="none" w:sz="0" w:space="0" w:color="auto"/>
          </w:divBdr>
          <w:divsChild>
            <w:div w:id="137382685">
              <w:marLeft w:val="0"/>
              <w:marRight w:val="0"/>
              <w:marTop w:val="0"/>
              <w:marBottom w:val="0"/>
              <w:divBdr>
                <w:top w:val="none" w:sz="0" w:space="0" w:color="auto"/>
                <w:left w:val="none" w:sz="0" w:space="0" w:color="auto"/>
                <w:bottom w:val="none" w:sz="0" w:space="0" w:color="auto"/>
                <w:right w:val="none" w:sz="0" w:space="0" w:color="auto"/>
              </w:divBdr>
            </w:div>
            <w:div w:id="1515148734">
              <w:marLeft w:val="0"/>
              <w:marRight w:val="0"/>
              <w:marTop w:val="0"/>
              <w:marBottom w:val="0"/>
              <w:divBdr>
                <w:top w:val="none" w:sz="0" w:space="0" w:color="auto"/>
                <w:left w:val="none" w:sz="0" w:space="0" w:color="auto"/>
                <w:bottom w:val="none" w:sz="0" w:space="0" w:color="auto"/>
                <w:right w:val="none" w:sz="0" w:space="0" w:color="auto"/>
              </w:divBdr>
            </w:div>
            <w:div w:id="1648314826">
              <w:marLeft w:val="0"/>
              <w:marRight w:val="0"/>
              <w:marTop w:val="0"/>
              <w:marBottom w:val="0"/>
              <w:divBdr>
                <w:top w:val="none" w:sz="0" w:space="0" w:color="auto"/>
                <w:left w:val="none" w:sz="0" w:space="0" w:color="auto"/>
                <w:bottom w:val="none" w:sz="0" w:space="0" w:color="auto"/>
                <w:right w:val="none" w:sz="0" w:space="0" w:color="auto"/>
              </w:divBdr>
            </w:div>
          </w:divsChild>
        </w:div>
        <w:div w:id="1254320667">
          <w:marLeft w:val="0"/>
          <w:marRight w:val="0"/>
          <w:marTop w:val="0"/>
          <w:marBottom w:val="0"/>
          <w:divBdr>
            <w:top w:val="none" w:sz="0" w:space="0" w:color="auto"/>
            <w:left w:val="none" w:sz="0" w:space="0" w:color="auto"/>
            <w:bottom w:val="none" w:sz="0" w:space="0" w:color="auto"/>
            <w:right w:val="none" w:sz="0" w:space="0" w:color="auto"/>
          </w:divBdr>
          <w:divsChild>
            <w:div w:id="160438765">
              <w:marLeft w:val="0"/>
              <w:marRight w:val="0"/>
              <w:marTop w:val="0"/>
              <w:marBottom w:val="0"/>
              <w:divBdr>
                <w:top w:val="none" w:sz="0" w:space="0" w:color="auto"/>
                <w:left w:val="none" w:sz="0" w:space="0" w:color="auto"/>
                <w:bottom w:val="none" w:sz="0" w:space="0" w:color="auto"/>
                <w:right w:val="none" w:sz="0" w:space="0" w:color="auto"/>
              </w:divBdr>
            </w:div>
            <w:div w:id="713770161">
              <w:marLeft w:val="0"/>
              <w:marRight w:val="0"/>
              <w:marTop w:val="0"/>
              <w:marBottom w:val="0"/>
              <w:divBdr>
                <w:top w:val="none" w:sz="0" w:space="0" w:color="auto"/>
                <w:left w:val="none" w:sz="0" w:space="0" w:color="auto"/>
                <w:bottom w:val="none" w:sz="0" w:space="0" w:color="auto"/>
                <w:right w:val="none" w:sz="0" w:space="0" w:color="auto"/>
              </w:divBdr>
            </w:div>
          </w:divsChild>
        </w:div>
        <w:div w:id="1345862948">
          <w:marLeft w:val="0"/>
          <w:marRight w:val="0"/>
          <w:marTop w:val="0"/>
          <w:marBottom w:val="0"/>
          <w:divBdr>
            <w:top w:val="none" w:sz="0" w:space="0" w:color="auto"/>
            <w:left w:val="none" w:sz="0" w:space="0" w:color="auto"/>
            <w:bottom w:val="none" w:sz="0" w:space="0" w:color="auto"/>
            <w:right w:val="none" w:sz="0" w:space="0" w:color="auto"/>
          </w:divBdr>
          <w:divsChild>
            <w:div w:id="126164216">
              <w:marLeft w:val="0"/>
              <w:marRight w:val="0"/>
              <w:marTop w:val="0"/>
              <w:marBottom w:val="0"/>
              <w:divBdr>
                <w:top w:val="none" w:sz="0" w:space="0" w:color="auto"/>
                <w:left w:val="none" w:sz="0" w:space="0" w:color="auto"/>
                <w:bottom w:val="none" w:sz="0" w:space="0" w:color="auto"/>
                <w:right w:val="none" w:sz="0" w:space="0" w:color="auto"/>
              </w:divBdr>
            </w:div>
            <w:div w:id="1996258848">
              <w:marLeft w:val="0"/>
              <w:marRight w:val="0"/>
              <w:marTop w:val="0"/>
              <w:marBottom w:val="0"/>
              <w:divBdr>
                <w:top w:val="none" w:sz="0" w:space="0" w:color="auto"/>
                <w:left w:val="none" w:sz="0" w:space="0" w:color="auto"/>
                <w:bottom w:val="none" w:sz="0" w:space="0" w:color="auto"/>
                <w:right w:val="none" w:sz="0" w:space="0" w:color="auto"/>
              </w:divBdr>
            </w:div>
          </w:divsChild>
        </w:div>
        <w:div w:id="1381706438">
          <w:marLeft w:val="0"/>
          <w:marRight w:val="0"/>
          <w:marTop w:val="0"/>
          <w:marBottom w:val="0"/>
          <w:divBdr>
            <w:top w:val="none" w:sz="0" w:space="0" w:color="auto"/>
            <w:left w:val="none" w:sz="0" w:space="0" w:color="auto"/>
            <w:bottom w:val="none" w:sz="0" w:space="0" w:color="auto"/>
            <w:right w:val="none" w:sz="0" w:space="0" w:color="auto"/>
          </w:divBdr>
          <w:divsChild>
            <w:div w:id="362363860">
              <w:marLeft w:val="0"/>
              <w:marRight w:val="0"/>
              <w:marTop w:val="0"/>
              <w:marBottom w:val="0"/>
              <w:divBdr>
                <w:top w:val="none" w:sz="0" w:space="0" w:color="auto"/>
                <w:left w:val="none" w:sz="0" w:space="0" w:color="auto"/>
                <w:bottom w:val="none" w:sz="0" w:space="0" w:color="auto"/>
                <w:right w:val="none" w:sz="0" w:space="0" w:color="auto"/>
              </w:divBdr>
            </w:div>
            <w:div w:id="816843117">
              <w:marLeft w:val="0"/>
              <w:marRight w:val="0"/>
              <w:marTop w:val="0"/>
              <w:marBottom w:val="0"/>
              <w:divBdr>
                <w:top w:val="none" w:sz="0" w:space="0" w:color="auto"/>
                <w:left w:val="none" w:sz="0" w:space="0" w:color="auto"/>
                <w:bottom w:val="none" w:sz="0" w:space="0" w:color="auto"/>
                <w:right w:val="none" w:sz="0" w:space="0" w:color="auto"/>
              </w:divBdr>
            </w:div>
          </w:divsChild>
        </w:div>
        <w:div w:id="1494179111">
          <w:marLeft w:val="0"/>
          <w:marRight w:val="0"/>
          <w:marTop w:val="0"/>
          <w:marBottom w:val="0"/>
          <w:divBdr>
            <w:top w:val="none" w:sz="0" w:space="0" w:color="auto"/>
            <w:left w:val="none" w:sz="0" w:space="0" w:color="auto"/>
            <w:bottom w:val="none" w:sz="0" w:space="0" w:color="auto"/>
            <w:right w:val="none" w:sz="0" w:space="0" w:color="auto"/>
          </w:divBdr>
          <w:divsChild>
            <w:div w:id="673000598">
              <w:marLeft w:val="0"/>
              <w:marRight w:val="0"/>
              <w:marTop w:val="0"/>
              <w:marBottom w:val="0"/>
              <w:divBdr>
                <w:top w:val="none" w:sz="0" w:space="0" w:color="auto"/>
                <w:left w:val="none" w:sz="0" w:space="0" w:color="auto"/>
                <w:bottom w:val="none" w:sz="0" w:space="0" w:color="auto"/>
                <w:right w:val="none" w:sz="0" w:space="0" w:color="auto"/>
              </w:divBdr>
            </w:div>
            <w:div w:id="2147113963">
              <w:marLeft w:val="0"/>
              <w:marRight w:val="0"/>
              <w:marTop w:val="0"/>
              <w:marBottom w:val="0"/>
              <w:divBdr>
                <w:top w:val="none" w:sz="0" w:space="0" w:color="auto"/>
                <w:left w:val="none" w:sz="0" w:space="0" w:color="auto"/>
                <w:bottom w:val="none" w:sz="0" w:space="0" w:color="auto"/>
                <w:right w:val="none" w:sz="0" w:space="0" w:color="auto"/>
              </w:divBdr>
            </w:div>
          </w:divsChild>
        </w:div>
        <w:div w:id="1534147784">
          <w:marLeft w:val="0"/>
          <w:marRight w:val="0"/>
          <w:marTop w:val="0"/>
          <w:marBottom w:val="0"/>
          <w:divBdr>
            <w:top w:val="none" w:sz="0" w:space="0" w:color="auto"/>
            <w:left w:val="none" w:sz="0" w:space="0" w:color="auto"/>
            <w:bottom w:val="none" w:sz="0" w:space="0" w:color="auto"/>
            <w:right w:val="none" w:sz="0" w:space="0" w:color="auto"/>
          </w:divBdr>
          <w:divsChild>
            <w:div w:id="454301199">
              <w:marLeft w:val="0"/>
              <w:marRight w:val="0"/>
              <w:marTop w:val="0"/>
              <w:marBottom w:val="0"/>
              <w:divBdr>
                <w:top w:val="none" w:sz="0" w:space="0" w:color="auto"/>
                <w:left w:val="none" w:sz="0" w:space="0" w:color="auto"/>
                <w:bottom w:val="none" w:sz="0" w:space="0" w:color="auto"/>
                <w:right w:val="none" w:sz="0" w:space="0" w:color="auto"/>
              </w:divBdr>
            </w:div>
            <w:div w:id="1769735596">
              <w:marLeft w:val="0"/>
              <w:marRight w:val="0"/>
              <w:marTop w:val="0"/>
              <w:marBottom w:val="0"/>
              <w:divBdr>
                <w:top w:val="none" w:sz="0" w:space="0" w:color="auto"/>
                <w:left w:val="none" w:sz="0" w:space="0" w:color="auto"/>
                <w:bottom w:val="none" w:sz="0" w:space="0" w:color="auto"/>
                <w:right w:val="none" w:sz="0" w:space="0" w:color="auto"/>
              </w:divBdr>
            </w:div>
          </w:divsChild>
        </w:div>
        <w:div w:id="1578661588">
          <w:marLeft w:val="0"/>
          <w:marRight w:val="0"/>
          <w:marTop w:val="0"/>
          <w:marBottom w:val="0"/>
          <w:divBdr>
            <w:top w:val="none" w:sz="0" w:space="0" w:color="auto"/>
            <w:left w:val="none" w:sz="0" w:space="0" w:color="auto"/>
            <w:bottom w:val="none" w:sz="0" w:space="0" w:color="auto"/>
            <w:right w:val="none" w:sz="0" w:space="0" w:color="auto"/>
          </w:divBdr>
          <w:divsChild>
            <w:div w:id="342247595">
              <w:marLeft w:val="0"/>
              <w:marRight w:val="0"/>
              <w:marTop w:val="0"/>
              <w:marBottom w:val="0"/>
              <w:divBdr>
                <w:top w:val="none" w:sz="0" w:space="0" w:color="auto"/>
                <w:left w:val="none" w:sz="0" w:space="0" w:color="auto"/>
                <w:bottom w:val="none" w:sz="0" w:space="0" w:color="auto"/>
                <w:right w:val="none" w:sz="0" w:space="0" w:color="auto"/>
              </w:divBdr>
            </w:div>
            <w:div w:id="644966918">
              <w:marLeft w:val="0"/>
              <w:marRight w:val="0"/>
              <w:marTop w:val="0"/>
              <w:marBottom w:val="0"/>
              <w:divBdr>
                <w:top w:val="none" w:sz="0" w:space="0" w:color="auto"/>
                <w:left w:val="none" w:sz="0" w:space="0" w:color="auto"/>
                <w:bottom w:val="none" w:sz="0" w:space="0" w:color="auto"/>
                <w:right w:val="none" w:sz="0" w:space="0" w:color="auto"/>
              </w:divBdr>
            </w:div>
            <w:div w:id="1920139330">
              <w:marLeft w:val="0"/>
              <w:marRight w:val="0"/>
              <w:marTop w:val="0"/>
              <w:marBottom w:val="0"/>
              <w:divBdr>
                <w:top w:val="none" w:sz="0" w:space="0" w:color="auto"/>
                <w:left w:val="none" w:sz="0" w:space="0" w:color="auto"/>
                <w:bottom w:val="none" w:sz="0" w:space="0" w:color="auto"/>
                <w:right w:val="none" w:sz="0" w:space="0" w:color="auto"/>
              </w:divBdr>
            </w:div>
          </w:divsChild>
        </w:div>
        <w:div w:id="1699744352">
          <w:marLeft w:val="0"/>
          <w:marRight w:val="0"/>
          <w:marTop w:val="0"/>
          <w:marBottom w:val="0"/>
          <w:divBdr>
            <w:top w:val="none" w:sz="0" w:space="0" w:color="auto"/>
            <w:left w:val="none" w:sz="0" w:space="0" w:color="auto"/>
            <w:bottom w:val="none" w:sz="0" w:space="0" w:color="auto"/>
            <w:right w:val="none" w:sz="0" w:space="0" w:color="auto"/>
          </w:divBdr>
          <w:divsChild>
            <w:div w:id="1179539018">
              <w:marLeft w:val="0"/>
              <w:marRight w:val="0"/>
              <w:marTop w:val="0"/>
              <w:marBottom w:val="0"/>
              <w:divBdr>
                <w:top w:val="none" w:sz="0" w:space="0" w:color="auto"/>
                <w:left w:val="none" w:sz="0" w:space="0" w:color="auto"/>
                <w:bottom w:val="none" w:sz="0" w:space="0" w:color="auto"/>
                <w:right w:val="none" w:sz="0" w:space="0" w:color="auto"/>
              </w:divBdr>
            </w:div>
            <w:div w:id="1578708463">
              <w:marLeft w:val="0"/>
              <w:marRight w:val="0"/>
              <w:marTop w:val="0"/>
              <w:marBottom w:val="0"/>
              <w:divBdr>
                <w:top w:val="none" w:sz="0" w:space="0" w:color="auto"/>
                <w:left w:val="none" w:sz="0" w:space="0" w:color="auto"/>
                <w:bottom w:val="none" w:sz="0" w:space="0" w:color="auto"/>
                <w:right w:val="none" w:sz="0" w:space="0" w:color="auto"/>
              </w:divBdr>
            </w:div>
          </w:divsChild>
        </w:div>
        <w:div w:id="1774520686">
          <w:marLeft w:val="0"/>
          <w:marRight w:val="0"/>
          <w:marTop w:val="0"/>
          <w:marBottom w:val="0"/>
          <w:divBdr>
            <w:top w:val="none" w:sz="0" w:space="0" w:color="auto"/>
            <w:left w:val="none" w:sz="0" w:space="0" w:color="auto"/>
            <w:bottom w:val="none" w:sz="0" w:space="0" w:color="auto"/>
            <w:right w:val="none" w:sz="0" w:space="0" w:color="auto"/>
          </w:divBdr>
          <w:divsChild>
            <w:div w:id="424157843">
              <w:marLeft w:val="0"/>
              <w:marRight w:val="0"/>
              <w:marTop w:val="0"/>
              <w:marBottom w:val="0"/>
              <w:divBdr>
                <w:top w:val="none" w:sz="0" w:space="0" w:color="auto"/>
                <w:left w:val="none" w:sz="0" w:space="0" w:color="auto"/>
                <w:bottom w:val="none" w:sz="0" w:space="0" w:color="auto"/>
                <w:right w:val="none" w:sz="0" w:space="0" w:color="auto"/>
              </w:divBdr>
            </w:div>
            <w:div w:id="945773405">
              <w:marLeft w:val="0"/>
              <w:marRight w:val="0"/>
              <w:marTop w:val="0"/>
              <w:marBottom w:val="0"/>
              <w:divBdr>
                <w:top w:val="none" w:sz="0" w:space="0" w:color="auto"/>
                <w:left w:val="none" w:sz="0" w:space="0" w:color="auto"/>
                <w:bottom w:val="none" w:sz="0" w:space="0" w:color="auto"/>
                <w:right w:val="none" w:sz="0" w:space="0" w:color="auto"/>
              </w:divBdr>
            </w:div>
          </w:divsChild>
        </w:div>
        <w:div w:id="1779833151">
          <w:marLeft w:val="0"/>
          <w:marRight w:val="0"/>
          <w:marTop w:val="0"/>
          <w:marBottom w:val="0"/>
          <w:divBdr>
            <w:top w:val="none" w:sz="0" w:space="0" w:color="auto"/>
            <w:left w:val="none" w:sz="0" w:space="0" w:color="auto"/>
            <w:bottom w:val="none" w:sz="0" w:space="0" w:color="auto"/>
            <w:right w:val="none" w:sz="0" w:space="0" w:color="auto"/>
          </w:divBdr>
          <w:divsChild>
            <w:div w:id="682365883">
              <w:marLeft w:val="0"/>
              <w:marRight w:val="0"/>
              <w:marTop w:val="0"/>
              <w:marBottom w:val="0"/>
              <w:divBdr>
                <w:top w:val="none" w:sz="0" w:space="0" w:color="auto"/>
                <w:left w:val="none" w:sz="0" w:space="0" w:color="auto"/>
                <w:bottom w:val="none" w:sz="0" w:space="0" w:color="auto"/>
                <w:right w:val="none" w:sz="0" w:space="0" w:color="auto"/>
              </w:divBdr>
            </w:div>
          </w:divsChild>
        </w:div>
        <w:div w:id="2024283639">
          <w:marLeft w:val="0"/>
          <w:marRight w:val="0"/>
          <w:marTop w:val="0"/>
          <w:marBottom w:val="0"/>
          <w:divBdr>
            <w:top w:val="none" w:sz="0" w:space="0" w:color="auto"/>
            <w:left w:val="none" w:sz="0" w:space="0" w:color="auto"/>
            <w:bottom w:val="none" w:sz="0" w:space="0" w:color="auto"/>
            <w:right w:val="none" w:sz="0" w:space="0" w:color="auto"/>
          </w:divBdr>
          <w:divsChild>
            <w:div w:id="235088996">
              <w:marLeft w:val="0"/>
              <w:marRight w:val="0"/>
              <w:marTop w:val="0"/>
              <w:marBottom w:val="0"/>
              <w:divBdr>
                <w:top w:val="none" w:sz="0" w:space="0" w:color="auto"/>
                <w:left w:val="none" w:sz="0" w:space="0" w:color="auto"/>
                <w:bottom w:val="none" w:sz="0" w:space="0" w:color="auto"/>
                <w:right w:val="none" w:sz="0" w:space="0" w:color="auto"/>
              </w:divBdr>
            </w:div>
            <w:div w:id="506094178">
              <w:marLeft w:val="0"/>
              <w:marRight w:val="0"/>
              <w:marTop w:val="0"/>
              <w:marBottom w:val="0"/>
              <w:divBdr>
                <w:top w:val="none" w:sz="0" w:space="0" w:color="auto"/>
                <w:left w:val="none" w:sz="0" w:space="0" w:color="auto"/>
                <w:bottom w:val="none" w:sz="0" w:space="0" w:color="auto"/>
                <w:right w:val="none" w:sz="0" w:space="0" w:color="auto"/>
              </w:divBdr>
            </w:div>
          </w:divsChild>
        </w:div>
        <w:div w:id="2097246245">
          <w:marLeft w:val="0"/>
          <w:marRight w:val="0"/>
          <w:marTop w:val="0"/>
          <w:marBottom w:val="0"/>
          <w:divBdr>
            <w:top w:val="none" w:sz="0" w:space="0" w:color="auto"/>
            <w:left w:val="none" w:sz="0" w:space="0" w:color="auto"/>
            <w:bottom w:val="none" w:sz="0" w:space="0" w:color="auto"/>
            <w:right w:val="none" w:sz="0" w:space="0" w:color="auto"/>
          </w:divBdr>
          <w:divsChild>
            <w:div w:id="225992407">
              <w:marLeft w:val="0"/>
              <w:marRight w:val="0"/>
              <w:marTop w:val="0"/>
              <w:marBottom w:val="0"/>
              <w:divBdr>
                <w:top w:val="none" w:sz="0" w:space="0" w:color="auto"/>
                <w:left w:val="none" w:sz="0" w:space="0" w:color="auto"/>
                <w:bottom w:val="none" w:sz="0" w:space="0" w:color="auto"/>
                <w:right w:val="none" w:sz="0" w:space="0" w:color="auto"/>
              </w:divBdr>
            </w:div>
            <w:div w:id="2410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724">
      <w:bodyDiv w:val="1"/>
      <w:marLeft w:val="0"/>
      <w:marRight w:val="0"/>
      <w:marTop w:val="0"/>
      <w:marBottom w:val="0"/>
      <w:divBdr>
        <w:top w:val="none" w:sz="0" w:space="0" w:color="auto"/>
        <w:left w:val="none" w:sz="0" w:space="0" w:color="auto"/>
        <w:bottom w:val="none" w:sz="0" w:space="0" w:color="auto"/>
        <w:right w:val="none" w:sz="0" w:space="0" w:color="auto"/>
      </w:divBdr>
    </w:div>
    <w:div w:id="473184845">
      <w:bodyDiv w:val="1"/>
      <w:marLeft w:val="0"/>
      <w:marRight w:val="0"/>
      <w:marTop w:val="0"/>
      <w:marBottom w:val="0"/>
      <w:divBdr>
        <w:top w:val="none" w:sz="0" w:space="0" w:color="auto"/>
        <w:left w:val="none" w:sz="0" w:space="0" w:color="auto"/>
        <w:bottom w:val="none" w:sz="0" w:space="0" w:color="auto"/>
        <w:right w:val="none" w:sz="0" w:space="0" w:color="auto"/>
      </w:divBdr>
    </w:div>
    <w:div w:id="677856142">
      <w:bodyDiv w:val="1"/>
      <w:marLeft w:val="0"/>
      <w:marRight w:val="0"/>
      <w:marTop w:val="0"/>
      <w:marBottom w:val="0"/>
      <w:divBdr>
        <w:top w:val="none" w:sz="0" w:space="0" w:color="auto"/>
        <w:left w:val="none" w:sz="0" w:space="0" w:color="auto"/>
        <w:bottom w:val="none" w:sz="0" w:space="0" w:color="auto"/>
        <w:right w:val="none" w:sz="0" w:space="0" w:color="auto"/>
      </w:divBdr>
    </w:div>
    <w:div w:id="680548226">
      <w:bodyDiv w:val="1"/>
      <w:marLeft w:val="0"/>
      <w:marRight w:val="0"/>
      <w:marTop w:val="0"/>
      <w:marBottom w:val="0"/>
      <w:divBdr>
        <w:top w:val="none" w:sz="0" w:space="0" w:color="auto"/>
        <w:left w:val="none" w:sz="0" w:space="0" w:color="auto"/>
        <w:bottom w:val="none" w:sz="0" w:space="0" w:color="auto"/>
        <w:right w:val="none" w:sz="0" w:space="0" w:color="auto"/>
      </w:divBdr>
    </w:div>
    <w:div w:id="837309930">
      <w:bodyDiv w:val="1"/>
      <w:marLeft w:val="0"/>
      <w:marRight w:val="0"/>
      <w:marTop w:val="0"/>
      <w:marBottom w:val="0"/>
      <w:divBdr>
        <w:top w:val="none" w:sz="0" w:space="0" w:color="auto"/>
        <w:left w:val="none" w:sz="0" w:space="0" w:color="auto"/>
        <w:bottom w:val="none" w:sz="0" w:space="0" w:color="auto"/>
        <w:right w:val="none" w:sz="0" w:space="0" w:color="auto"/>
      </w:divBdr>
    </w:div>
    <w:div w:id="974791883">
      <w:bodyDiv w:val="1"/>
      <w:marLeft w:val="0"/>
      <w:marRight w:val="0"/>
      <w:marTop w:val="0"/>
      <w:marBottom w:val="0"/>
      <w:divBdr>
        <w:top w:val="none" w:sz="0" w:space="0" w:color="auto"/>
        <w:left w:val="none" w:sz="0" w:space="0" w:color="auto"/>
        <w:bottom w:val="none" w:sz="0" w:space="0" w:color="auto"/>
        <w:right w:val="none" w:sz="0" w:space="0" w:color="auto"/>
      </w:divBdr>
    </w:div>
    <w:div w:id="1063017569">
      <w:bodyDiv w:val="1"/>
      <w:marLeft w:val="0"/>
      <w:marRight w:val="0"/>
      <w:marTop w:val="0"/>
      <w:marBottom w:val="0"/>
      <w:divBdr>
        <w:top w:val="none" w:sz="0" w:space="0" w:color="auto"/>
        <w:left w:val="none" w:sz="0" w:space="0" w:color="auto"/>
        <w:bottom w:val="none" w:sz="0" w:space="0" w:color="auto"/>
        <w:right w:val="none" w:sz="0" w:space="0" w:color="auto"/>
      </w:divBdr>
      <w:divsChild>
        <w:div w:id="53049396">
          <w:marLeft w:val="0"/>
          <w:marRight w:val="0"/>
          <w:marTop w:val="0"/>
          <w:marBottom w:val="0"/>
          <w:divBdr>
            <w:top w:val="none" w:sz="0" w:space="0" w:color="auto"/>
            <w:left w:val="none" w:sz="0" w:space="0" w:color="auto"/>
            <w:bottom w:val="none" w:sz="0" w:space="0" w:color="auto"/>
            <w:right w:val="none" w:sz="0" w:space="0" w:color="auto"/>
          </w:divBdr>
          <w:divsChild>
            <w:div w:id="153690779">
              <w:marLeft w:val="0"/>
              <w:marRight w:val="0"/>
              <w:marTop w:val="0"/>
              <w:marBottom w:val="0"/>
              <w:divBdr>
                <w:top w:val="none" w:sz="0" w:space="0" w:color="auto"/>
                <w:left w:val="none" w:sz="0" w:space="0" w:color="auto"/>
                <w:bottom w:val="none" w:sz="0" w:space="0" w:color="auto"/>
                <w:right w:val="none" w:sz="0" w:space="0" w:color="auto"/>
              </w:divBdr>
            </w:div>
            <w:div w:id="565461297">
              <w:marLeft w:val="0"/>
              <w:marRight w:val="0"/>
              <w:marTop w:val="0"/>
              <w:marBottom w:val="0"/>
              <w:divBdr>
                <w:top w:val="none" w:sz="0" w:space="0" w:color="auto"/>
                <w:left w:val="none" w:sz="0" w:space="0" w:color="auto"/>
                <w:bottom w:val="none" w:sz="0" w:space="0" w:color="auto"/>
                <w:right w:val="none" w:sz="0" w:space="0" w:color="auto"/>
              </w:divBdr>
            </w:div>
          </w:divsChild>
        </w:div>
        <w:div w:id="226114773">
          <w:marLeft w:val="0"/>
          <w:marRight w:val="0"/>
          <w:marTop w:val="0"/>
          <w:marBottom w:val="0"/>
          <w:divBdr>
            <w:top w:val="none" w:sz="0" w:space="0" w:color="auto"/>
            <w:left w:val="none" w:sz="0" w:space="0" w:color="auto"/>
            <w:bottom w:val="none" w:sz="0" w:space="0" w:color="auto"/>
            <w:right w:val="none" w:sz="0" w:space="0" w:color="auto"/>
          </w:divBdr>
          <w:divsChild>
            <w:div w:id="448286130">
              <w:marLeft w:val="0"/>
              <w:marRight w:val="0"/>
              <w:marTop w:val="0"/>
              <w:marBottom w:val="0"/>
              <w:divBdr>
                <w:top w:val="none" w:sz="0" w:space="0" w:color="auto"/>
                <w:left w:val="none" w:sz="0" w:space="0" w:color="auto"/>
                <w:bottom w:val="none" w:sz="0" w:space="0" w:color="auto"/>
                <w:right w:val="none" w:sz="0" w:space="0" w:color="auto"/>
              </w:divBdr>
            </w:div>
            <w:div w:id="995570358">
              <w:marLeft w:val="0"/>
              <w:marRight w:val="0"/>
              <w:marTop w:val="0"/>
              <w:marBottom w:val="0"/>
              <w:divBdr>
                <w:top w:val="none" w:sz="0" w:space="0" w:color="auto"/>
                <w:left w:val="none" w:sz="0" w:space="0" w:color="auto"/>
                <w:bottom w:val="none" w:sz="0" w:space="0" w:color="auto"/>
                <w:right w:val="none" w:sz="0" w:space="0" w:color="auto"/>
              </w:divBdr>
            </w:div>
          </w:divsChild>
        </w:div>
        <w:div w:id="392504119">
          <w:marLeft w:val="0"/>
          <w:marRight w:val="0"/>
          <w:marTop w:val="0"/>
          <w:marBottom w:val="0"/>
          <w:divBdr>
            <w:top w:val="none" w:sz="0" w:space="0" w:color="auto"/>
            <w:left w:val="none" w:sz="0" w:space="0" w:color="auto"/>
            <w:bottom w:val="none" w:sz="0" w:space="0" w:color="auto"/>
            <w:right w:val="none" w:sz="0" w:space="0" w:color="auto"/>
          </w:divBdr>
          <w:divsChild>
            <w:div w:id="499003558">
              <w:marLeft w:val="0"/>
              <w:marRight w:val="0"/>
              <w:marTop w:val="0"/>
              <w:marBottom w:val="0"/>
              <w:divBdr>
                <w:top w:val="none" w:sz="0" w:space="0" w:color="auto"/>
                <w:left w:val="none" w:sz="0" w:space="0" w:color="auto"/>
                <w:bottom w:val="none" w:sz="0" w:space="0" w:color="auto"/>
                <w:right w:val="none" w:sz="0" w:space="0" w:color="auto"/>
              </w:divBdr>
            </w:div>
            <w:div w:id="770008165">
              <w:marLeft w:val="0"/>
              <w:marRight w:val="0"/>
              <w:marTop w:val="0"/>
              <w:marBottom w:val="0"/>
              <w:divBdr>
                <w:top w:val="none" w:sz="0" w:space="0" w:color="auto"/>
                <w:left w:val="none" w:sz="0" w:space="0" w:color="auto"/>
                <w:bottom w:val="none" w:sz="0" w:space="0" w:color="auto"/>
                <w:right w:val="none" w:sz="0" w:space="0" w:color="auto"/>
              </w:divBdr>
            </w:div>
            <w:div w:id="2026050575">
              <w:marLeft w:val="0"/>
              <w:marRight w:val="0"/>
              <w:marTop w:val="0"/>
              <w:marBottom w:val="0"/>
              <w:divBdr>
                <w:top w:val="none" w:sz="0" w:space="0" w:color="auto"/>
                <w:left w:val="none" w:sz="0" w:space="0" w:color="auto"/>
                <w:bottom w:val="none" w:sz="0" w:space="0" w:color="auto"/>
                <w:right w:val="none" w:sz="0" w:space="0" w:color="auto"/>
              </w:divBdr>
            </w:div>
          </w:divsChild>
        </w:div>
        <w:div w:id="482047722">
          <w:marLeft w:val="0"/>
          <w:marRight w:val="0"/>
          <w:marTop w:val="0"/>
          <w:marBottom w:val="0"/>
          <w:divBdr>
            <w:top w:val="none" w:sz="0" w:space="0" w:color="auto"/>
            <w:left w:val="none" w:sz="0" w:space="0" w:color="auto"/>
            <w:bottom w:val="none" w:sz="0" w:space="0" w:color="auto"/>
            <w:right w:val="none" w:sz="0" w:space="0" w:color="auto"/>
          </w:divBdr>
          <w:divsChild>
            <w:div w:id="298805185">
              <w:marLeft w:val="0"/>
              <w:marRight w:val="0"/>
              <w:marTop w:val="0"/>
              <w:marBottom w:val="0"/>
              <w:divBdr>
                <w:top w:val="none" w:sz="0" w:space="0" w:color="auto"/>
                <w:left w:val="none" w:sz="0" w:space="0" w:color="auto"/>
                <w:bottom w:val="none" w:sz="0" w:space="0" w:color="auto"/>
                <w:right w:val="none" w:sz="0" w:space="0" w:color="auto"/>
              </w:divBdr>
            </w:div>
            <w:div w:id="1858427447">
              <w:marLeft w:val="0"/>
              <w:marRight w:val="0"/>
              <w:marTop w:val="0"/>
              <w:marBottom w:val="0"/>
              <w:divBdr>
                <w:top w:val="none" w:sz="0" w:space="0" w:color="auto"/>
                <w:left w:val="none" w:sz="0" w:space="0" w:color="auto"/>
                <w:bottom w:val="none" w:sz="0" w:space="0" w:color="auto"/>
                <w:right w:val="none" w:sz="0" w:space="0" w:color="auto"/>
              </w:divBdr>
            </w:div>
          </w:divsChild>
        </w:div>
        <w:div w:id="498279062">
          <w:marLeft w:val="0"/>
          <w:marRight w:val="0"/>
          <w:marTop w:val="0"/>
          <w:marBottom w:val="0"/>
          <w:divBdr>
            <w:top w:val="none" w:sz="0" w:space="0" w:color="auto"/>
            <w:left w:val="none" w:sz="0" w:space="0" w:color="auto"/>
            <w:bottom w:val="none" w:sz="0" w:space="0" w:color="auto"/>
            <w:right w:val="none" w:sz="0" w:space="0" w:color="auto"/>
          </w:divBdr>
          <w:divsChild>
            <w:div w:id="646010333">
              <w:marLeft w:val="0"/>
              <w:marRight w:val="0"/>
              <w:marTop w:val="0"/>
              <w:marBottom w:val="0"/>
              <w:divBdr>
                <w:top w:val="none" w:sz="0" w:space="0" w:color="auto"/>
                <w:left w:val="none" w:sz="0" w:space="0" w:color="auto"/>
                <w:bottom w:val="none" w:sz="0" w:space="0" w:color="auto"/>
                <w:right w:val="none" w:sz="0" w:space="0" w:color="auto"/>
              </w:divBdr>
            </w:div>
          </w:divsChild>
        </w:div>
        <w:div w:id="707874851">
          <w:marLeft w:val="0"/>
          <w:marRight w:val="0"/>
          <w:marTop w:val="0"/>
          <w:marBottom w:val="0"/>
          <w:divBdr>
            <w:top w:val="none" w:sz="0" w:space="0" w:color="auto"/>
            <w:left w:val="none" w:sz="0" w:space="0" w:color="auto"/>
            <w:bottom w:val="none" w:sz="0" w:space="0" w:color="auto"/>
            <w:right w:val="none" w:sz="0" w:space="0" w:color="auto"/>
          </w:divBdr>
          <w:divsChild>
            <w:div w:id="78255690">
              <w:marLeft w:val="0"/>
              <w:marRight w:val="0"/>
              <w:marTop w:val="0"/>
              <w:marBottom w:val="0"/>
              <w:divBdr>
                <w:top w:val="none" w:sz="0" w:space="0" w:color="auto"/>
                <w:left w:val="none" w:sz="0" w:space="0" w:color="auto"/>
                <w:bottom w:val="none" w:sz="0" w:space="0" w:color="auto"/>
                <w:right w:val="none" w:sz="0" w:space="0" w:color="auto"/>
              </w:divBdr>
            </w:div>
            <w:div w:id="948246533">
              <w:marLeft w:val="0"/>
              <w:marRight w:val="0"/>
              <w:marTop w:val="0"/>
              <w:marBottom w:val="0"/>
              <w:divBdr>
                <w:top w:val="none" w:sz="0" w:space="0" w:color="auto"/>
                <w:left w:val="none" w:sz="0" w:space="0" w:color="auto"/>
                <w:bottom w:val="none" w:sz="0" w:space="0" w:color="auto"/>
                <w:right w:val="none" w:sz="0" w:space="0" w:color="auto"/>
              </w:divBdr>
            </w:div>
          </w:divsChild>
        </w:div>
        <w:div w:id="763066236">
          <w:marLeft w:val="0"/>
          <w:marRight w:val="0"/>
          <w:marTop w:val="0"/>
          <w:marBottom w:val="0"/>
          <w:divBdr>
            <w:top w:val="none" w:sz="0" w:space="0" w:color="auto"/>
            <w:left w:val="none" w:sz="0" w:space="0" w:color="auto"/>
            <w:bottom w:val="none" w:sz="0" w:space="0" w:color="auto"/>
            <w:right w:val="none" w:sz="0" w:space="0" w:color="auto"/>
          </w:divBdr>
          <w:divsChild>
            <w:div w:id="187374899">
              <w:marLeft w:val="0"/>
              <w:marRight w:val="0"/>
              <w:marTop w:val="0"/>
              <w:marBottom w:val="0"/>
              <w:divBdr>
                <w:top w:val="none" w:sz="0" w:space="0" w:color="auto"/>
                <w:left w:val="none" w:sz="0" w:space="0" w:color="auto"/>
                <w:bottom w:val="none" w:sz="0" w:space="0" w:color="auto"/>
                <w:right w:val="none" w:sz="0" w:space="0" w:color="auto"/>
              </w:divBdr>
            </w:div>
            <w:div w:id="1838182722">
              <w:marLeft w:val="0"/>
              <w:marRight w:val="0"/>
              <w:marTop w:val="0"/>
              <w:marBottom w:val="0"/>
              <w:divBdr>
                <w:top w:val="none" w:sz="0" w:space="0" w:color="auto"/>
                <w:left w:val="none" w:sz="0" w:space="0" w:color="auto"/>
                <w:bottom w:val="none" w:sz="0" w:space="0" w:color="auto"/>
                <w:right w:val="none" w:sz="0" w:space="0" w:color="auto"/>
              </w:divBdr>
            </w:div>
          </w:divsChild>
        </w:div>
        <w:div w:id="814760225">
          <w:marLeft w:val="0"/>
          <w:marRight w:val="0"/>
          <w:marTop w:val="0"/>
          <w:marBottom w:val="0"/>
          <w:divBdr>
            <w:top w:val="none" w:sz="0" w:space="0" w:color="auto"/>
            <w:left w:val="none" w:sz="0" w:space="0" w:color="auto"/>
            <w:bottom w:val="none" w:sz="0" w:space="0" w:color="auto"/>
            <w:right w:val="none" w:sz="0" w:space="0" w:color="auto"/>
          </w:divBdr>
          <w:divsChild>
            <w:div w:id="850069710">
              <w:marLeft w:val="0"/>
              <w:marRight w:val="0"/>
              <w:marTop w:val="0"/>
              <w:marBottom w:val="0"/>
              <w:divBdr>
                <w:top w:val="none" w:sz="0" w:space="0" w:color="auto"/>
                <w:left w:val="none" w:sz="0" w:space="0" w:color="auto"/>
                <w:bottom w:val="none" w:sz="0" w:space="0" w:color="auto"/>
                <w:right w:val="none" w:sz="0" w:space="0" w:color="auto"/>
              </w:divBdr>
            </w:div>
            <w:div w:id="1141340023">
              <w:marLeft w:val="0"/>
              <w:marRight w:val="0"/>
              <w:marTop w:val="0"/>
              <w:marBottom w:val="0"/>
              <w:divBdr>
                <w:top w:val="none" w:sz="0" w:space="0" w:color="auto"/>
                <w:left w:val="none" w:sz="0" w:space="0" w:color="auto"/>
                <w:bottom w:val="none" w:sz="0" w:space="0" w:color="auto"/>
                <w:right w:val="none" w:sz="0" w:space="0" w:color="auto"/>
              </w:divBdr>
            </w:div>
            <w:div w:id="1579710764">
              <w:marLeft w:val="0"/>
              <w:marRight w:val="0"/>
              <w:marTop w:val="0"/>
              <w:marBottom w:val="0"/>
              <w:divBdr>
                <w:top w:val="none" w:sz="0" w:space="0" w:color="auto"/>
                <w:left w:val="none" w:sz="0" w:space="0" w:color="auto"/>
                <w:bottom w:val="none" w:sz="0" w:space="0" w:color="auto"/>
                <w:right w:val="none" w:sz="0" w:space="0" w:color="auto"/>
              </w:divBdr>
            </w:div>
          </w:divsChild>
        </w:div>
        <w:div w:id="875700370">
          <w:marLeft w:val="0"/>
          <w:marRight w:val="0"/>
          <w:marTop w:val="0"/>
          <w:marBottom w:val="0"/>
          <w:divBdr>
            <w:top w:val="none" w:sz="0" w:space="0" w:color="auto"/>
            <w:left w:val="none" w:sz="0" w:space="0" w:color="auto"/>
            <w:bottom w:val="none" w:sz="0" w:space="0" w:color="auto"/>
            <w:right w:val="none" w:sz="0" w:space="0" w:color="auto"/>
          </w:divBdr>
          <w:divsChild>
            <w:div w:id="622616090">
              <w:marLeft w:val="0"/>
              <w:marRight w:val="0"/>
              <w:marTop w:val="0"/>
              <w:marBottom w:val="0"/>
              <w:divBdr>
                <w:top w:val="none" w:sz="0" w:space="0" w:color="auto"/>
                <w:left w:val="none" w:sz="0" w:space="0" w:color="auto"/>
                <w:bottom w:val="none" w:sz="0" w:space="0" w:color="auto"/>
                <w:right w:val="none" w:sz="0" w:space="0" w:color="auto"/>
              </w:divBdr>
            </w:div>
            <w:div w:id="973831835">
              <w:marLeft w:val="0"/>
              <w:marRight w:val="0"/>
              <w:marTop w:val="0"/>
              <w:marBottom w:val="0"/>
              <w:divBdr>
                <w:top w:val="none" w:sz="0" w:space="0" w:color="auto"/>
                <w:left w:val="none" w:sz="0" w:space="0" w:color="auto"/>
                <w:bottom w:val="none" w:sz="0" w:space="0" w:color="auto"/>
                <w:right w:val="none" w:sz="0" w:space="0" w:color="auto"/>
              </w:divBdr>
            </w:div>
          </w:divsChild>
        </w:div>
        <w:div w:id="1172599014">
          <w:marLeft w:val="0"/>
          <w:marRight w:val="0"/>
          <w:marTop w:val="0"/>
          <w:marBottom w:val="0"/>
          <w:divBdr>
            <w:top w:val="none" w:sz="0" w:space="0" w:color="auto"/>
            <w:left w:val="none" w:sz="0" w:space="0" w:color="auto"/>
            <w:bottom w:val="none" w:sz="0" w:space="0" w:color="auto"/>
            <w:right w:val="none" w:sz="0" w:space="0" w:color="auto"/>
          </w:divBdr>
          <w:divsChild>
            <w:div w:id="254284215">
              <w:marLeft w:val="0"/>
              <w:marRight w:val="0"/>
              <w:marTop w:val="0"/>
              <w:marBottom w:val="0"/>
              <w:divBdr>
                <w:top w:val="none" w:sz="0" w:space="0" w:color="auto"/>
                <w:left w:val="none" w:sz="0" w:space="0" w:color="auto"/>
                <w:bottom w:val="none" w:sz="0" w:space="0" w:color="auto"/>
                <w:right w:val="none" w:sz="0" w:space="0" w:color="auto"/>
              </w:divBdr>
            </w:div>
            <w:div w:id="884415568">
              <w:marLeft w:val="0"/>
              <w:marRight w:val="0"/>
              <w:marTop w:val="0"/>
              <w:marBottom w:val="0"/>
              <w:divBdr>
                <w:top w:val="none" w:sz="0" w:space="0" w:color="auto"/>
                <w:left w:val="none" w:sz="0" w:space="0" w:color="auto"/>
                <w:bottom w:val="none" w:sz="0" w:space="0" w:color="auto"/>
                <w:right w:val="none" w:sz="0" w:space="0" w:color="auto"/>
              </w:divBdr>
            </w:div>
          </w:divsChild>
        </w:div>
        <w:div w:id="1346397875">
          <w:marLeft w:val="0"/>
          <w:marRight w:val="0"/>
          <w:marTop w:val="0"/>
          <w:marBottom w:val="0"/>
          <w:divBdr>
            <w:top w:val="none" w:sz="0" w:space="0" w:color="auto"/>
            <w:left w:val="none" w:sz="0" w:space="0" w:color="auto"/>
            <w:bottom w:val="none" w:sz="0" w:space="0" w:color="auto"/>
            <w:right w:val="none" w:sz="0" w:space="0" w:color="auto"/>
          </w:divBdr>
          <w:divsChild>
            <w:div w:id="1512791613">
              <w:marLeft w:val="0"/>
              <w:marRight w:val="0"/>
              <w:marTop w:val="0"/>
              <w:marBottom w:val="0"/>
              <w:divBdr>
                <w:top w:val="none" w:sz="0" w:space="0" w:color="auto"/>
                <w:left w:val="none" w:sz="0" w:space="0" w:color="auto"/>
                <w:bottom w:val="none" w:sz="0" w:space="0" w:color="auto"/>
                <w:right w:val="none" w:sz="0" w:space="0" w:color="auto"/>
              </w:divBdr>
            </w:div>
            <w:div w:id="1851944446">
              <w:marLeft w:val="0"/>
              <w:marRight w:val="0"/>
              <w:marTop w:val="0"/>
              <w:marBottom w:val="0"/>
              <w:divBdr>
                <w:top w:val="none" w:sz="0" w:space="0" w:color="auto"/>
                <w:left w:val="none" w:sz="0" w:space="0" w:color="auto"/>
                <w:bottom w:val="none" w:sz="0" w:space="0" w:color="auto"/>
                <w:right w:val="none" w:sz="0" w:space="0" w:color="auto"/>
              </w:divBdr>
            </w:div>
          </w:divsChild>
        </w:div>
        <w:div w:id="1539665211">
          <w:marLeft w:val="0"/>
          <w:marRight w:val="0"/>
          <w:marTop w:val="0"/>
          <w:marBottom w:val="0"/>
          <w:divBdr>
            <w:top w:val="none" w:sz="0" w:space="0" w:color="auto"/>
            <w:left w:val="none" w:sz="0" w:space="0" w:color="auto"/>
            <w:bottom w:val="none" w:sz="0" w:space="0" w:color="auto"/>
            <w:right w:val="none" w:sz="0" w:space="0" w:color="auto"/>
          </w:divBdr>
          <w:divsChild>
            <w:div w:id="1800371435">
              <w:marLeft w:val="0"/>
              <w:marRight w:val="0"/>
              <w:marTop w:val="0"/>
              <w:marBottom w:val="0"/>
              <w:divBdr>
                <w:top w:val="none" w:sz="0" w:space="0" w:color="auto"/>
                <w:left w:val="none" w:sz="0" w:space="0" w:color="auto"/>
                <w:bottom w:val="none" w:sz="0" w:space="0" w:color="auto"/>
                <w:right w:val="none" w:sz="0" w:space="0" w:color="auto"/>
              </w:divBdr>
            </w:div>
            <w:div w:id="1877817837">
              <w:marLeft w:val="0"/>
              <w:marRight w:val="0"/>
              <w:marTop w:val="0"/>
              <w:marBottom w:val="0"/>
              <w:divBdr>
                <w:top w:val="none" w:sz="0" w:space="0" w:color="auto"/>
                <w:left w:val="none" w:sz="0" w:space="0" w:color="auto"/>
                <w:bottom w:val="none" w:sz="0" w:space="0" w:color="auto"/>
                <w:right w:val="none" w:sz="0" w:space="0" w:color="auto"/>
              </w:divBdr>
            </w:div>
          </w:divsChild>
        </w:div>
        <w:div w:id="1620144741">
          <w:marLeft w:val="0"/>
          <w:marRight w:val="0"/>
          <w:marTop w:val="0"/>
          <w:marBottom w:val="0"/>
          <w:divBdr>
            <w:top w:val="none" w:sz="0" w:space="0" w:color="auto"/>
            <w:left w:val="none" w:sz="0" w:space="0" w:color="auto"/>
            <w:bottom w:val="none" w:sz="0" w:space="0" w:color="auto"/>
            <w:right w:val="none" w:sz="0" w:space="0" w:color="auto"/>
          </w:divBdr>
          <w:divsChild>
            <w:div w:id="923613214">
              <w:marLeft w:val="0"/>
              <w:marRight w:val="0"/>
              <w:marTop w:val="0"/>
              <w:marBottom w:val="0"/>
              <w:divBdr>
                <w:top w:val="none" w:sz="0" w:space="0" w:color="auto"/>
                <w:left w:val="none" w:sz="0" w:space="0" w:color="auto"/>
                <w:bottom w:val="none" w:sz="0" w:space="0" w:color="auto"/>
                <w:right w:val="none" w:sz="0" w:space="0" w:color="auto"/>
              </w:divBdr>
            </w:div>
            <w:div w:id="1199004496">
              <w:marLeft w:val="0"/>
              <w:marRight w:val="0"/>
              <w:marTop w:val="0"/>
              <w:marBottom w:val="0"/>
              <w:divBdr>
                <w:top w:val="none" w:sz="0" w:space="0" w:color="auto"/>
                <w:left w:val="none" w:sz="0" w:space="0" w:color="auto"/>
                <w:bottom w:val="none" w:sz="0" w:space="0" w:color="auto"/>
                <w:right w:val="none" w:sz="0" w:space="0" w:color="auto"/>
              </w:divBdr>
            </w:div>
          </w:divsChild>
        </w:div>
        <w:div w:id="1850176781">
          <w:marLeft w:val="0"/>
          <w:marRight w:val="0"/>
          <w:marTop w:val="0"/>
          <w:marBottom w:val="0"/>
          <w:divBdr>
            <w:top w:val="none" w:sz="0" w:space="0" w:color="auto"/>
            <w:left w:val="none" w:sz="0" w:space="0" w:color="auto"/>
            <w:bottom w:val="none" w:sz="0" w:space="0" w:color="auto"/>
            <w:right w:val="none" w:sz="0" w:space="0" w:color="auto"/>
          </w:divBdr>
          <w:divsChild>
            <w:div w:id="78186980">
              <w:marLeft w:val="0"/>
              <w:marRight w:val="0"/>
              <w:marTop w:val="0"/>
              <w:marBottom w:val="0"/>
              <w:divBdr>
                <w:top w:val="none" w:sz="0" w:space="0" w:color="auto"/>
                <w:left w:val="none" w:sz="0" w:space="0" w:color="auto"/>
                <w:bottom w:val="none" w:sz="0" w:space="0" w:color="auto"/>
                <w:right w:val="none" w:sz="0" w:space="0" w:color="auto"/>
              </w:divBdr>
            </w:div>
            <w:div w:id="2079015771">
              <w:marLeft w:val="0"/>
              <w:marRight w:val="0"/>
              <w:marTop w:val="0"/>
              <w:marBottom w:val="0"/>
              <w:divBdr>
                <w:top w:val="none" w:sz="0" w:space="0" w:color="auto"/>
                <w:left w:val="none" w:sz="0" w:space="0" w:color="auto"/>
                <w:bottom w:val="none" w:sz="0" w:space="0" w:color="auto"/>
                <w:right w:val="none" w:sz="0" w:space="0" w:color="auto"/>
              </w:divBdr>
            </w:div>
          </w:divsChild>
        </w:div>
        <w:div w:id="1900747011">
          <w:marLeft w:val="0"/>
          <w:marRight w:val="0"/>
          <w:marTop w:val="0"/>
          <w:marBottom w:val="0"/>
          <w:divBdr>
            <w:top w:val="none" w:sz="0" w:space="0" w:color="auto"/>
            <w:left w:val="none" w:sz="0" w:space="0" w:color="auto"/>
            <w:bottom w:val="none" w:sz="0" w:space="0" w:color="auto"/>
            <w:right w:val="none" w:sz="0" w:space="0" w:color="auto"/>
          </w:divBdr>
          <w:divsChild>
            <w:div w:id="322973060">
              <w:marLeft w:val="0"/>
              <w:marRight w:val="0"/>
              <w:marTop w:val="0"/>
              <w:marBottom w:val="0"/>
              <w:divBdr>
                <w:top w:val="none" w:sz="0" w:space="0" w:color="auto"/>
                <w:left w:val="none" w:sz="0" w:space="0" w:color="auto"/>
                <w:bottom w:val="none" w:sz="0" w:space="0" w:color="auto"/>
                <w:right w:val="none" w:sz="0" w:space="0" w:color="auto"/>
              </w:divBdr>
            </w:div>
            <w:div w:id="849493039">
              <w:marLeft w:val="0"/>
              <w:marRight w:val="0"/>
              <w:marTop w:val="0"/>
              <w:marBottom w:val="0"/>
              <w:divBdr>
                <w:top w:val="none" w:sz="0" w:space="0" w:color="auto"/>
                <w:left w:val="none" w:sz="0" w:space="0" w:color="auto"/>
                <w:bottom w:val="none" w:sz="0" w:space="0" w:color="auto"/>
                <w:right w:val="none" w:sz="0" w:space="0" w:color="auto"/>
              </w:divBdr>
            </w:div>
          </w:divsChild>
        </w:div>
        <w:div w:id="1919896716">
          <w:marLeft w:val="0"/>
          <w:marRight w:val="0"/>
          <w:marTop w:val="0"/>
          <w:marBottom w:val="0"/>
          <w:divBdr>
            <w:top w:val="none" w:sz="0" w:space="0" w:color="auto"/>
            <w:left w:val="none" w:sz="0" w:space="0" w:color="auto"/>
            <w:bottom w:val="none" w:sz="0" w:space="0" w:color="auto"/>
            <w:right w:val="none" w:sz="0" w:space="0" w:color="auto"/>
          </w:divBdr>
          <w:divsChild>
            <w:div w:id="263611318">
              <w:marLeft w:val="0"/>
              <w:marRight w:val="0"/>
              <w:marTop w:val="0"/>
              <w:marBottom w:val="0"/>
              <w:divBdr>
                <w:top w:val="none" w:sz="0" w:space="0" w:color="auto"/>
                <w:left w:val="none" w:sz="0" w:space="0" w:color="auto"/>
                <w:bottom w:val="none" w:sz="0" w:space="0" w:color="auto"/>
                <w:right w:val="none" w:sz="0" w:space="0" w:color="auto"/>
              </w:divBdr>
            </w:div>
            <w:div w:id="1598975313">
              <w:marLeft w:val="0"/>
              <w:marRight w:val="0"/>
              <w:marTop w:val="0"/>
              <w:marBottom w:val="0"/>
              <w:divBdr>
                <w:top w:val="none" w:sz="0" w:space="0" w:color="auto"/>
                <w:left w:val="none" w:sz="0" w:space="0" w:color="auto"/>
                <w:bottom w:val="none" w:sz="0" w:space="0" w:color="auto"/>
                <w:right w:val="none" w:sz="0" w:space="0" w:color="auto"/>
              </w:divBdr>
            </w:div>
          </w:divsChild>
        </w:div>
        <w:div w:id="2006931798">
          <w:marLeft w:val="0"/>
          <w:marRight w:val="0"/>
          <w:marTop w:val="0"/>
          <w:marBottom w:val="0"/>
          <w:divBdr>
            <w:top w:val="none" w:sz="0" w:space="0" w:color="auto"/>
            <w:left w:val="none" w:sz="0" w:space="0" w:color="auto"/>
            <w:bottom w:val="none" w:sz="0" w:space="0" w:color="auto"/>
            <w:right w:val="none" w:sz="0" w:space="0" w:color="auto"/>
          </w:divBdr>
          <w:divsChild>
            <w:div w:id="158860468">
              <w:marLeft w:val="0"/>
              <w:marRight w:val="0"/>
              <w:marTop w:val="0"/>
              <w:marBottom w:val="0"/>
              <w:divBdr>
                <w:top w:val="none" w:sz="0" w:space="0" w:color="auto"/>
                <w:left w:val="none" w:sz="0" w:space="0" w:color="auto"/>
                <w:bottom w:val="none" w:sz="0" w:space="0" w:color="auto"/>
                <w:right w:val="none" w:sz="0" w:space="0" w:color="auto"/>
              </w:divBdr>
            </w:div>
            <w:div w:id="5450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58610">
      <w:bodyDiv w:val="1"/>
      <w:marLeft w:val="0"/>
      <w:marRight w:val="0"/>
      <w:marTop w:val="0"/>
      <w:marBottom w:val="0"/>
      <w:divBdr>
        <w:top w:val="none" w:sz="0" w:space="0" w:color="auto"/>
        <w:left w:val="none" w:sz="0" w:space="0" w:color="auto"/>
        <w:bottom w:val="none" w:sz="0" w:space="0" w:color="auto"/>
        <w:right w:val="none" w:sz="0" w:space="0" w:color="auto"/>
      </w:divBdr>
    </w:div>
    <w:div w:id="1088380517">
      <w:bodyDiv w:val="1"/>
      <w:marLeft w:val="0"/>
      <w:marRight w:val="0"/>
      <w:marTop w:val="0"/>
      <w:marBottom w:val="0"/>
      <w:divBdr>
        <w:top w:val="none" w:sz="0" w:space="0" w:color="auto"/>
        <w:left w:val="none" w:sz="0" w:space="0" w:color="auto"/>
        <w:bottom w:val="none" w:sz="0" w:space="0" w:color="auto"/>
        <w:right w:val="none" w:sz="0" w:space="0" w:color="auto"/>
      </w:divBdr>
    </w:div>
    <w:div w:id="1219560831">
      <w:bodyDiv w:val="1"/>
      <w:marLeft w:val="0"/>
      <w:marRight w:val="0"/>
      <w:marTop w:val="0"/>
      <w:marBottom w:val="0"/>
      <w:divBdr>
        <w:top w:val="none" w:sz="0" w:space="0" w:color="auto"/>
        <w:left w:val="none" w:sz="0" w:space="0" w:color="auto"/>
        <w:bottom w:val="none" w:sz="0" w:space="0" w:color="auto"/>
        <w:right w:val="none" w:sz="0" w:space="0" w:color="auto"/>
      </w:divBdr>
    </w:div>
    <w:div w:id="1591965205">
      <w:bodyDiv w:val="1"/>
      <w:marLeft w:val="0"/>
      <w:marRight w:val="0"/>
      <w:marTop w:val="0"/>
      <w:marBottom w:val="0"/>
      <w:divBdr>
        <w:top w:val="none" w:sz="0" w:space="0" w:color="auto"/>
        <w:left w:val="none" w:sz="0" w:space="0" w:color="auto"/>
        <w:bottom w:val="none" w:sz="0" w:space="0" w:color="auto"/>
        <w:right w:val="none" w:sz="0" w:space="0" w:color="auto"/>
      </w:divBdr>
    </w:div>
    <w:div w:id="1650983632">
      <w:bodyDiv w:val="1"/>
      <w:marLeft w:val="0"/>
      <w:marRight w:val="0"/>
      <w:marTop w:val="0"/>
      <w:marBottom w:val="0"/>
      <w:divBdr>
        <w:top w:val="none" w:sz="0" w:space="0" w:color="auto"/>
        <w:left w:val="none" w:sz="0" w:space="0" w:color="auto"/>
        <w:bottom w:val="none" w:sz="0" w:space="0" w:color="auto"/>
        <w:right w:val="none" w:sz="0" w:space="0" w:color="auto"/>
      </w:divBdr>
    </w:div>
    <w:div w:id="2050640929">
      <w:bodyDiv w:val="1"/>
      <w:marLeft w:val="0"/>
      <w:marRight w:val="0"/>
      <w:marTop w:val="0"/>
      <w:marBottom w:val="0"/>
      <w:divBdr>
        <w:top w:val="none" w:sz="0" w:space="0" w:color="auto"/>
        <w:left w:val="none" w:sz="0" w:space="0" w:color="auto"/>
        <w:bottom w:val="none" w:sz="0" w:space="0" w:color="auto"/>
        <w:right w:val="none" w:sz="0" w:space="0" w:color="auto"/>
      </w:divBdr>
    </w:div>
    <w:div w:id="206459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eil.secure.europarl.europa.eu/oeil/popups/ficheprocedure.do?lang=en&amp;reference=2022/2830(RSP)" TargetMode="External"/><Relationship Id="rId2" Type="http://schemas.openxmlformats.org/officeDocument/2006/relationships/hyperlink" Target="https://eur-lex.europa.eu/legal-content/PL/TXT/?uri=COM%3A2022%3A473%3AFIN" TargetMode="External"/><Relationship Id="rId1" Type="http://schemas.openxmlformats.org/officeDocument/2006/relationships/hyperlink" Target="https://eur-lex.europa.eu/legal-content/PL/TXT/?uri=CELEX%3A52022DC0360&amp;qid=1658479881117" TargetMode="External"/><Relationship Id="rId4" Type="http://schemas.openxmlformats.org/officeDocument/2006/relationships/hyperlink" Target="https://eur-lex.europa.eu/legal-content/PL/TXT/?uri=JOIN%3A2022%3A23%3AF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EE46-8AB3-4ED6-AD57-51AC8B4C4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3812</Words>
  <Characters>25964</Characters>
  <Application>Microsoft Office Word</Application>
  <DocSecurity>0</DocSecurity>
  <Lines>399</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29689</CharactersWithSpaces>
  <SharedDoc>false</SharedDoc>
  <HLinks>
    <vt:vector size="24" baseType="variant">
      <vt:variant>
        <vt:i4>2097260</vt:i4>
      </vt:variant>
      <vt:variant>
        <vt:i4>9</vt:i4>
      </vt:variant>
      <vt:variant>
        <vt:i4>0</vt:i4>
      </vt:variant>
      <vt:variant>
        <vt:i4>5</vt:i4>
      </vt:variant>
      <vt:variant>
        <vt:lpwstr>https://eur-lex.europa.eu/legal-content/EN/TXT/?uri=JOIN%3A2022%3A23%3AFIN</vt:lpwstr>
      </vt:variant>
      <vt:variant>
        <vt:lpwstr/>
      </vt:variant>
      <vt:variant>
        <vt:i4>87</vt:i4>
      </vt:variant>
      <vt:variant>
        <vt:i4>6</vt:i4>
      </vt:variant>
      <vt:variant>
        <vt:i4>0</vt:i4>
      </vt:variant>
      <vt:variant>
        <vt:i4>5</vt:i4>
      </vt:variant>
      <vt:variant>
        <vt:lpwstr>https://oeil.secure.europarl.europa.eu/oeil/popups/ficheprocedure.do?lang=en&amp;reference=2022/2830(RSP)</vt:lpwstr>
      </vt:variant>
      <vt:variant>
        <vt:lpwstr/>
      </vt:variant>
      <vt:variant>
        <vt:i4>7864422</vt:i4>
      </vt:variant>
      <vt:variant>
        <vt:i4>3</vt:i4>
      </vt:variant>
      <vt:variant>
        <vt:i4>0</vt:i4>
      </vt:variant>
      <vt:variant>
        <vt:i4>5</vt:i4>
      </vt:variant>
      <vt:variant>
        <vt:lpwstr>https://eur-lex.europa.eu/legal-content/EN/TXT/?uri=COM%3A2022%3A473%3AFIN</vt:lpwstr>
      </vt:variant>
      <vt:variant>
        <vt:lpwstr/>
      </vt:variant>
      <vt:variant>
        <vt:i4>720899</vt:i4>
      </vt:variant>
      <vt:variant>
        <vt:i4>0</vt:i4>
      </vt:variant>
      <vt:variant>
        <vt:i4>0</vt:i4>
      </vt:variant>
      <vt:variant>
        <vt:i4>5</vt:i4>
      </vt:variant>
      <vt:variant>
        <vt:lpwstr>https://eur-lex.europa.eu/legal-content/EN/TXT/?uri=CELEX%3A52022DC0360&amp;qid=1658479881117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2022-10-18T13:20:00Z</dcterms:created>
  <dcterms:modified xsi:type="dcterms:W3CDTF">2022-10-19T15:04:00Z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2022-10-14T14:13:45Z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4b8df668-2b92-42e0-b4d9-7ed17f195b61</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CP-009</vt:lpwstr>
  </property>
  <property fmtid="{D5CDD505-2E9C-101B-9397-08002B2CF9AE}" pid="14" name="Last edited using">
    <vt:lpwstr>LW 8.1, Build 20220902</vt:lpwstr>
  </property>
  <property fmtid="{D5CDD505-2E9C-101B-9397-08002B2CF9AE}" pid="15" name="Created using">
    <vt:lpwstr>LW 8.1, Build 20220902</vt:lpwstr>
  </property>
</Properties>
</file>