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8FD" w:rsidRDefault="007048FD" w:rsidP="007048FD">
      <w:pPr>
        <w:pStyle w:val="NormalnyWeb"/>
      </w:pPr>
      <w:r>
        <w:rPr>
          <w:rFonts w:ascii="Arial" w:hAnsi="Arial" w:cs="Arial"/>
          <w:color w:val="800080"/>
          <w:sz w:val="15"/>
          <w:szCs w:val="15"/>
        </w:rPr>
        <w:t>—— Przesłane przez: Witold Szefer/MINISTERSTWO/GOV w dniu 2019-12-02 09:18 -----</w:t>
      </w:r>
      <w:r>
        <w:br/>
      </w:r>
      <w:r>
        <w:br/>
      </w:r>
      <w:r>
        <w:rPr>
          <w:rFonts w:ascii="Arial" w:hAnsi="Arial" w:cs="Arial"/>
          <w:color w:val="5F5F5F"/>
          <w:sz w:val="15"/>
          <w:szCs w:val="15"/>
        </w:rPr>
        <w:t xml:space="preserve">Od: </w:t>
      </w:r>
      <w:r>
        <w:rPr>
          <w:rFonts w:ascii="Arial" w:hAnsi="Arial" w:cs="Arial"/>
          <w:sz w:val="15"/>
          <w:szCs w:val="15"/>
        </w:rPr>
        <w:t>"</w:t>
      </w:r>
      <w:proofErr w:type="spellStart"/>
      <w:r>
        <w:rPr>
          <w:rFonts w:ascii="Arial" w:hAnsi="Arial" w:cs="Arial"/>
          <w:sz w:val="15"/>
          <w:szCs w:val="15"/>
        </w:rPr>
        <w:t>paweł</w:t>
      </w:r>
      <w:proofErr w:type="spellEnd"/>
      <w:r>
        <w:rPr>
          <w:rFonts w:ascii="Arial" w:hAnsi="Arial" w:cs="Arial"/>
          <w:sz w:val="15"/>
          <w:szCs w:val="15"/>
        </w:rPr>
        <w:t xml:space="preserve"> </w:t>
      </w:r>
      <w:proofErr w:type="spellStart"/>
      <w:r>
        <w:rPr>
          <w:rFonts w:ascii="Arial" w:hAnsi="Arial" w:cs="Arial"/>
          <w:sz w:val="15"/>
          <w:szCs w:val="15"/>
        </w:rPr>
        <w:t>drożdżal</w:t>
      </w:r>
      <w:proofErr w:type="spellEnd"/>
      <w:r>
        <w:rPr>
          <w:rFonts w:ascii="Arial" w:hAnsi="Arial" w:cs="Arial"/>
          <w:sz w:val="15"/>
          <w:szCs w:val="15"/>
        </w:rPr>
        <w:t xml:space="preserve">" </w:t>
      </w:r>
      <w:r>
        <w:br/>
      </w:r>
      <w:r>
        <w:rPr>
          <w:rFonts w:ascii="Arial" w:hAnsi="Arial" w:cs="Arial"/>
          <w:color w:val="5F5F5F"/>
          <w:sz w:val="15"/>
          <w:szCs w:val="15"/>
        </w:rPr>
        <w:t xml:space="preserve">Do: </w:t>
      </w:r>
      <w:hyperlink r:id="rId5" w:history="1">
        <w:r>
          <w:rPr>
            <w:rStyle w:val="Hipercze"/>
            <w:rFonts w:ascii="Arial" w:hAnsi="Arial" w:cs="Arial"/>
            <w:sz w:val="15"/>
            <w:szCs w:val="15"/>
          </w:rPr>
          <w:t>kancelaria@miir.gov.pl</w:t>
        </w:r>
      </w:hyperlink>
      <w:r>
        <w:rPr>
          <w:rFonts w:ascii="Arial" w:hAnsi="Arial" w:cs="Arial"/>
          <w:sz w:val="15"/>
          <w:szCs w:val="15"/>
        </w:rPr>
        <w:t xml:space="preserve">, </w:t>
      </w:r>
      <w:hyperlink r:id="rId6" w:history="1">
        <w:r>
          <w:rPr>
            <w:rStyle w:val="Hipercze"/>
            <w:rFonts w:ascii="Arial" w:hAnsi="Arial" w:cs="Arial"/>
            <w:sz w:val="15"/>
            <w:szCs w:val="15"/>
          </w:rPr>
          <w:t>kancelaria@mfipr.gov.pl</w:t>
        </w:r>
      </w:hyperlink>
      <w:r>
        <w:br/>
      </w:r>
      <w:r>
        <w:rPr>
          <w:rFonts w:ascii="Arial" w:hAnsi="Arial" w:cs="Arial"/>
          <w:color w:val="5F5F5F"/>
          <w:sz w:val="15"/>
          <w:szCs w:val="15"/>
        </w:rPr>
        <w:t xml:space="preserve">DW: </w:t>
      </w:r>
      <w:hyperlink r:id="rId7" w:history="1">
        <w:r>
          <w:rPr>
            <w:rStyle w:val="Hipercze"/>
            <w:rFonts w:ascii="Arial" w:hAnsi="Arial" w:cs="Arial"/>
            <w:sz w:val="15"/>
            <w:szCs w:val="15"/>
          </w:rPr>
          <w:t>sekretariatDAB@miir.gov.pl</w:t>
        </w:r>
      </w:hyperlink>
      <w:r>
        <w:br/>
      </w:r>
      <w:r>
        <w:rPr>
          <w:rFonts w:ascii="Arial" w:hAnsi="Arial" w:cs="Arial"/>
          <w:color w:val="5F5F5F"/>
          <w:sz w:val="15"/>
          <w:szCs w:val="15"/>
        </w:rPr>
        <w:t xml:space="preserve">Data: </w:t>
      </w:r>
      <w:r>
        <w:rPr>
          <w:rFonts w:ascii="Arial" w:hAnsi="Arial" w:cs="Arial"/>
          <w:sz w:val="15"/>
          <w:szCs w:val="15"/>
        </w:rPr>
        <w:t>2019-11-30 23:34</w:t>
      </w:r>
      <w:r>
        <w:br/>
      </w:r>
      <w:r>
        <w:rPr>
          <w:rFonts w:ascii="Arial" w:hAnsi="Arial" w:cs="Arial"/>
          <w:color w:val="5F5F5F"/>
          <w:sz w:val="15"/>
          <w:szCs w:val="15"/>
        </w:rPr>
        <w:t xml:space="preserve">Temat: </w:t>
      </w:r>
      <w:r>
        <w:rPr>
          <w:rFonts w:ascii="Arial" w:hAnsi="Arial" w:cs="Arial"/>
          <w:sz w:val="15"/>
          <w:szCs w:val="15"/>
        </w:rPr>
        <w:t>Petycja w sprawie uwzględnienia w pracach nad projektem Rozporządzenia (Dz. U.2019 r. poz. 1065), odpowiedniego zapisu w § 293 ust. 6, który obligowałby do stosowania wymogów normy PN-EN 12464-2:2014-05 dla urządzeń oświetleniowych na zewnątrz budynków lub ich otoczeniu.</w:t>
      </w:r>
    </w:p>
    <w:p w:rsidR="007048FD" w:rsidRDefault="007048FD" w:rsidP="007048FD">
      <w:pPr>
        <w:rPr>
          <w:rFonts w:eastAsia="Times New Roman"/>
        </w:rPr>
      </w:pPr>
      <w:r>
        <w:rPr>
          <w:rFonts w:eastAsia="Times New Roman"/>
        </w:rPr>
        <w:pict>
          <v:rect id="_x0000_i1025" style="width:453.6pt;height:1.5pt" o:hrstd="t" o:hrnoshade="t" o:hr="t" fillcolor="#8091a5" stroked="f"/>
        </w:pict>
      </w:r>
    </w:p>
    <w:p w:rsidR="007048FD" w:rsidRPr="007048FD" w:rsidRDefault="007048FD" w:rsidP="007048FD">
      <w:pPr>
        <w:spacing w:after="240" w:line="276" w:lineRule="auto"/>
        <w:rPr>
          <w:rFonts w:asciiTheme="minorHAnsi" w:eastAsia="Times New Roman" w:hAnsiTheme="minorHAnsi"/>
        </w:rPr>
      </w:pPr>
    </w:p>
    <w:p w:rsidR="007048FD" w:rsidRPr="007048FD" w:rsidRDefault="007048FD" w:rsidP="007048FD">
      <w:pPr>
        <w:spacing w:line="276" w:lineRule="auto"/>
        <w:jc w:val="center"/>
        <w:rPr>
          <w:rFonts w:asciiTheme="minorHAnsi" w:eastAsia="Times New Roman" w:hAnsiTheme="minorHAnsi"/>
        </w:rPr>
      </w:pPr>
      <w:r w:rsidRPr="007048FD">
        <w:rPr>
          <w:rFonts w:asciiTheme="minorHAnsi" w:eastAsia="Times New Roman" w:hAnsiTheme="minorHAnsi"/>
        </w:rPr>
        <w:t> </w:t>
      </w:r>
      <w:r w:rsidRPr="007048FD">
        <w:rPr>
          <w:rFonts w:asciiTheme="minorHAnsi" w:eastAsia="Times New Roman" w:hAnsiTheme="minorHAnsi"/>
          <w:b/>
          <w:bCs/>
        </w:rPr>
        <w:t>Petycja</w:t>
      </w:r>
    </w:p>
    <w:p w:rsidR="007048FD" w:rsidRPr="007048FD" w:rsidRDefault="007048FD" w:rsidP="007048FD">
      <w:pPr>
        <w:spacing w:line="276" w:lineRule="auto"/>
        <w:rPr>
          <w:rFonts w:asciiTheme="minorHAnsi" w:eastAsia="Times New Roman" w:hAnsiTheme="minorHAnsi"/>
        </w:rPr>
      </w:pPr>
      <w:r w:rsidRPr="007048FD">
        <w:rPr>
          <w:rFonts w:asciiTheme="minorHAnsi" w:eastAsia="Times New Roman" w:hAnsiTheme="minorHAnsi"/>
        </w:rPr>
        <w:br/>
        <w:t xml:space="preserve">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Nadawca Petycji: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Paweł </w:t>
      </w:r>
      <w:proofErr w:type="spellStart"/>
      <w:r w:rsidRPr="007048FD">
        <w:rPr>
          <w:rFonts w:asciiTheme="minorHAnsi" w:hAnsiTheme="minorHAnsi"/>
        </w:rPr>
        <w:t>Drożdżal</w:t>
      </w:r>
      <w:proofErr w:type="spellEnd"/>
      <w:r w:rsidRPr="007048FD">
        <w:rPr>
          <w:rFonts w:asciiTheme="minorHAnsi" w:hAnsiTheme="minorHAnsi"/>
        </w:rPr>
        <w:t xml:space="preserve">  </w:t>
      </w:r>
    </w:p>
    <w:p w:rsidR="007048FD" w:rsidRPr="007048FD" w:rsidRDefault="007048FD" w:rsidP="007048FD">
      <w:pPr>
        <w:pStyle w:val="NormalnyWeb"/>
        <w:spacing w:line="276" w:lineRule="auto"/>
        <w:rPr>
          <w:rFonts w:asciiTheme="minorHAnsi" w:hAnsiTheme="minorHAnsi"/>
        </w:rPr>
      </w:pPr>
    </w:p>
    <w:p w:rsidR="007048FD" w:rsidRPr="007048FD" w:rsidRDefault="007048FD" w:rsidP="007048FD">
      <w:pPr>
        <w:pStyle w:val="NormalnyWeb"/>
        <w:spacing w:line="276" w:lineRule="auto"/>
        <w:rPr>
          <w:rFonts w:asciiTheme="minorHAnsi" w:hAnsiTheme="minorHAnsi"/>
        </w:rPr>
      </w:pPr>
    </w:p>
    <w:p w:rsidR="007048FD" w:rsidRPr="007048FD" w:rsidRDefault="007048FD" w:rsidP="007048FD">
      <w:pPr>
        <w:pStyle w:val="NormalnyWeb"/>
        <w:spacing w:line="276" w:lineRule="auto"/>
        <w:rPr>
          <w:rFonts w:asciiTheme="minorHAnsi" w:hAnsiTheme="minorHAnsi"/>
          <w:lang w:val="en-US"/>
        </w:rPr>
      </w:pPr>
      <w:r w:rsidRPr="007048FD">
        <w:rPr>
          <w:rFonts w:asciiTheme="minorHAnsi" w:hAnsiTheme="minorHAnsi"/>
          <w:lang w:val="en-US"/>
        </w:rPr>
        <w:t xml:space="preserve">e-mail: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Adresaci Petycji: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w:t>
      </w:r>
    </w:p>
    <w:p w:rsidR="007048FD" w:rsidRPr="007048FD" w:rsidRDefault="007048FD" w:rsidP="007048FD">
      <w:pPr>
        <w:spacing w:line="276" w:lineRule="auto"/>
        <w:jc w:val="center"/>
        <w:rPr>
          <w:rFonts w:asciiTheme="minorHAnsi" w:eastAsia="Times New Roman" w:hAnsiTheme="minorHAnsi"/>
        </w:rPr>
      </w:pPr>
      <w:r w:rsidRPr="007048FD">
        <w:rPr>
          <w:rFonts w:asciiTheme="minorHAnsi" w:eastAsia="Times New Roman" w:hAnsiTheme="minorHAnsi"/>
        </w:rPr>
        <w:br/>
        <w:t xml:space="preserve">Ministerstwo Funduszy i Polityki Regionalnej </w:t>
      </w:r>
    </w:p>
    <w:p w:rsidR="007048FD" w:rsidRPr="007048FD" w:rsidRDefault="007048FD" w:rsidP="007048FD">
      <w:pPr>
        <w:pStyle w:val="NormalnyWeb"/>
        <w:spacing w:line="276" w:lineRule="auto"/>
        <w:jc w:val="center"/>
        <w:rPr>
          <w:rFonts w:asciiTheme="minorHAnsi" w:hAnsiTheme="minorHAnsi"/>
        </w:rPr>
      </w:pPr>
      <w:r w:rsidRPr="007048FD">
        <w:rPr>
          <w:rFonts w:asciiTheme="minorHAnsi" w:hAnsiTheme="minorHAnsi"/>
        </w:rPr>
        <w:t>Departament Architektury, Budownictwa i Geodezji Ministerstwa Funduszy i Polityki Regionalnej</w:t>
      </w:r>
    </w:p>
    <w:p w:rsidR="007048FD" w:rsidRPr="007048FD" w:rsidRDefault="007048FD" w:rsidP="007048FD">
      <w:pPr>
        <w:spacing w:line="276" w:lineRule="auto"/>
        <w:rPr>
          <w:rFonts w:asciiTheme="minorHAnsi" w:eastAsia="Times New Roman" w:hAnsiTheme="minorHAnsi"/>
        </w:rPr>
      </w:pPr>
      <w:r w:rsidRPr="007048FD">
        <w:rPr>
          <w:rFonts w:asciiTheme="minorHAnsi" w:eastAsia="Times New Roman" w:hAnsiTheme="minorHAnsi"/>
        </w:rPr>
        <w:br/>
        <w:t xml:space="preserve">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Treść petycji: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Działając na podstawie art. 63 Konstytucji Rzeczypospolitej Polskiej (Dz. U. 1997 r. poz. 483 z </w:t>
      </w:r>
      <w:proofErr w:type="spellStart"/>
      <w:r w:rsidRPr="007048FD">
        <w:rPr>
          <w:rFonts w:asciiTheme="minorHAnsi" w:hAnsiTheme="minorHAnsi"/>
        </w:rPr>
        <w:t>późn</w:t>
      </w:r>
      <w:proofErr w:type="spellEnd"/>
      <w:r w:rsidRPr="007048FD">
        <w:rPr>
          <w:rFonts w:asciiTheme="minorHAnsi" w:hAnsiTheme="minorHAnsi"/>
        </w:rPr>
        <w:t>. zm.) oraz art. 2 ust. 1 ustawy o petycjach (</w:t>
      </w:r>
      <w:proofErr w:type="spellStart"/>
      <w:r w:rsidRPr="007048FD">
        <w:rPr>
          <w:rFonts w:asciiTheme="minorHAnsi" w:hAnsiTheme="minorHAnsi"/>
        </w:rPr>
        <w:t>t.j</w:t>
      </w:r>
      <w:proofErr w:type="spellEnd"/>
      <w:r w:rsidRPr="007048FD">
        <w:rPr>
          <w:rFonts w:asciiTheme="minorHAnsi" w:hAnsiTheme="minorHAnsi"/>
        </w:rPr>
        <w:t xml:space="preserve">. Dz. U. 2018 r. poz. 870) oraz mając na uwadze interes publiczny i dobro Rzeczpospolitej Polskiej składam petycję w sprawie uwzględnienia w aktualnych lub przyszłych pracach nad projektem Rozporządzenia Ministra </w:t>
      </w:r>
      <w:r w:rsidRPr="007048FD">
        <w:rPr>
          <w:rFonts w:asciiTheme="minorHAnsi" w:hAnsiTheme="minorHAnsi"/>
        </w:rPr>
        <w:lastRenderedPageBreak/>
        <w:t xml:space="preserve">Infrastruktury w sprawie warunków technicznych, jakim powinny odpowiadać budynki i ich usytuowanie (Dz. U. 2019 r. poz. 1065), odpowiedniego zapisu w § 293 ust. 6, który obligowałby do stosowania inteligentnych rozwiązań zawartych w wytycznych normy PN-EN 12464-2:2014-05 dla urządzeń oświetleniowych na zewnątrz budynków lub w ich otoczeniu. W szczególności § 293 ust. 6 z ww. Rozporządzenia powinien stanowić o wprowadzeniu maksymalnych poziomów światła przeszkadzającego pochodzącego od zewnętrznych instalacji oświetleniowych dla różnych stref środowiskowych.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Uzasadnienie: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W dzisiejszych czasach "układy oświetleniowe powinno się też projektować zapewniając im odpowiednią funkcjonalność związaną ze sterowaniem, czyli możliwość ściemniania, wyłączania czasowego i instalowania czujników ruchu bądź obecności. Wtedy można w łatwy sposób zoptymalizować i dostosować działanie oświetlenia do określonych potrzeb, a tym samym uniknąć niepotrzebnego świecenia i przy okazji oszczędzać energię" (źródło: </w:t>
      </w:r>
      <w:hyperlink r:id="rId8" w:history="1">
        <w:r w:rsidRPr="007048FD">
          <w:rPr>
            <w:rStyle w:val="Hipercze"/>
            <w:rFonts w:asciiTheme="minorHAnsi" w:hAnsiTheme="minorHAnsi"/>
          </w:rPr>
          <w:t>https://blogs.sweco.pl/2018/11/20/jak-skutecznie-przeciwdzialac-nocnemu-zanieczyszczeniu-swiatlem-o-dobrych-praktykach-slow-kilka/</w:t>
        </w:r>
      </w:hyperlink>
      <w:r w:rsidRPr="007048FD">
        <w:rPr>
          <w:rFonts w:asciiTheme="minorHAnsi" w:hAnsiTheme="minorHAnsi"/>
        </w:rPr>
        <w:t xml:space="preserve">)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Niestety dotychczasowe prawo w Polsce nie gwarantuje inteligentnego stosowania urządzeń oświetleniowych umieszczonych na zewnątrz budynków lub w ich otoczeniu. Wydaje się że polskie przepisy nie nadążają za rozwojem cywilizacji i nie zobowiązują do inteligentnego stosowania i projektowania zarówno nowych instalacji oświetleniowych na budynkach lub ich otoczeniu jak i modernizacji istniejących.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Przykłady złego i nieinteligentnego oświetlenia budynków można spotkać w Polsce na każdym kroku. Mianowicie można zauważyć, że zewnętrzne urządzenia oświetleniowe budynków lub w ich otoczeniu mają nie horyzontalne ustawienie opraw. Bardzo często zamontowane bez żadnego nadzoru, oprawy lamp mają niemal pionowe ustawienie względem podłoża. Nie dość, że takie lampy na budynkach lub ich otoczeniu instaluje się z dużym kątem nachylenia (często pionowo), to w późnych godzinach nocnych (od 23:00 do 5:00), pomimo braku ruchu czy działalności ludzkiej w pobliżu tych budowli, urządzenia oświetleniowe działają z pełną i jednakową mocą (brak czujników ruchu lub możliwości ściemniania, zmniejszenia mocy oświetleniowej). Jest to szczególnie widoczne i uciążliwe na wsiach czy małych miastach. Wszystko to powoduje to ucieczkę światła w różnych kierunkach (także w górę) a przez to zasięg oddziaływania takiego światła znacznie przekracza granice nieruchomości, działki na której zastosowano dane oświetlenie na budynku lub jego otoczeniu. Taka zła emisja światła przeszkadzającego poprzez nieodpowiednie ustawianie urządzeń oświetleniowych umieszczonych na budynkach lub ich otoczeniu powoduje liczne negatywne konsekwencje dla funkcjonowania człowieka, środowiska naturalnego i jest marnowaniem energii elektrycznej czy (często) publicznych pieniędzy. Szczególnie nieracjonalne i zupełnie nieodpowiadające wymogom nowoczesnej techniki oświetleniowej jest stosowanie oświetlenia w taki sposób, że wskaźnik ULOR jest </w:t>
      </w:r>
      <w:r w:rsidRPr="007048FD">
        <w:rPr>
          <w:rFonts w:asciiTheme="minorHAnsi" w:hAnsiTheme="minorHAnsi"/>
        </w:rPr>
        <w:lastRenderedPageBreak/>
        <w:t>znacznie powyżej 25% (</w:t>
      </w:r>
      <w:proofErr w:type="spellStart"/>
      <w:r w:rsidRPr="007048FD">
        <w:rPr>
          <w:rFonts w:asciiTheme="minorHAnsi" w:hAnsiTheme="minorHAnsi"/>
        </w:rPr>
        <w:t>Upward</w:t>
      </w:r>
      <w:proofErr w:type="spellEnd"/>
      <w:r w:rsidRPr="007048FD">
        <w:rPr>
          <w:rFonts w:asciiTheme="minorHAnsi" w:hAnsiTheme="minorHAnsi"/>
        </w:rPr>
        <w:t xml:space="preserve"> </w:t>
      </w:r>
      <w:proofErr w:type="spellStart"/>
      <w:r w:rsidRPr="007048FD">
        <w:rPr>
          <w:rFonts w:asciiTheme="minorHAnsi" w:hAnsiTheme="minorHAnsi"/>
        </w:rPr>
        <w:t>Light</w:t>
      </w:r>
      <w:proofErr w:type="spellEnd"/>
      <w:r w:rsidRPr="007048FD">
        <w:rPr>
          <w:rFonts w:asciiTheme="minorHAnsi" w:hAnsiTheme="minorHAnsi"/>
        </w:rPr>
        <w:t xml:space="preserve"> </w:t>
      </w:r>
      <w:proofErr w:type="spellStart"/>
      <w:r w:rsidRPr="007048FD">
        <w:rPr>
          <w:rFonts w:asciiTheme="minorHAnsi" w:hAnsiTheme="minorHAnsi"/>
        </w:rPr>
        <w:t>Output</w:t>
      </w:r>
      <w:proofErr w:type="spellEnd"/>
      <w:r w:rsidRPr="007048FD">
        <w:rPr>
          <w:rFonts w:asciiTheme="minorHAnsi" w:hAnsiTheme="minorHAnsi"/>
        </w:rPr>
        <w:t xml:space="preserve"> Ratio - część strumienia świetlnego oprawy określona w %, która jest emitowana powyżej horyzontu, przy jednoczesnym wymogu zamontowania opraw w ten sposób, aby płaszczyzna szyby oprawy była prostopadła do osi pionu). Innymi słowy znaczna część światła jest emitowana bez celowo i nieracjonalnie w górę co powoduje zjawisko zanieczyszczenia światłem środowiska naturalnego (ang.: </w:t>
      </w:r>
      <w:proofErr w:type="spellStart"/>
      <w:r w:rsidRPr="007048FD">
        <w:rPr>
          <w:rFonts w:asciiTheme="minorHAnsi" w:hAnsiTheme="minorHAnsi"/>
        </w:rPr>
        <w:t>light</w:t>
      </w:r>
      <w:proofErr w:type="spellEnd"/>
      <w:r w:rsidRPr="007048FD">
        <w:rPr>
          <w:rFonts w:asciiTheme="minorHAnsi" w:hAnsiTheme="minorHAnsi"/>
        </w:rPr>
        <w:t xml:space="preserve"> </w:t>
      </w:r>
      <w:proofErr w:type="spellStart"/>
      <w:r w:rsidRPr="007048FD">
        <w:rPr>
          <w:rFonts w:asciiTheme="minorHAnsi" w:hAnsiTheme="minorHAnsi"/>
        </w:rPr>
        <w:t>pollution</w:t>
      </w:r>
      <w:proofErr w:type="spellEnd"/>
      <w:r w:rsidRPr="007048FD">
        <w:rPr>
          <w:rFonts w:asciiTheme="minorHAnsi" w:hAnsiTheme="minorHAnsi"/>
        </w:rPr>
        <w:t xml:space="preserve">). Niestety lampy z dużym kątem - tj. ponad 30 stopni - ustawienia opraw do ziemi nie mają żadnych osłon nad urządzeniem oświetleniowych, które blokowałyby całkowicie niepotrzebną ucieczkę światła w górę. Jednym z przykładów ogromnej emisji światła w górę są nieprawidłowe (z dołu w górę) iluminacje budynków, kościołów i zabytków. Nad wieloma takimi obiektami bardzo wyraźnie widać słup światła lub łunę na niebie co m.in psuje walory estetyczno-krajobrazowe danej okolicy. Co więcej ww. iluminacje świecą całą noc z pełną i jednakową mocą co szczególnie wydaje się nie uzasadnione w godzinach małej aktywności ludzi tj. od 23:00 do 5:00 rano. Niestety, w dzisiejszym stanie faktycznym i prawnym w Polsce, jest wciąż zbyt mała możliwość ograniczenia emisji światła w kierunkach innych, niż te związane z potrzebami oświetleniowymi. Innymi słowy w naszym kraju mamy do czynienia z bardzo wieloma miejscami, gdzie na ludzi oddziałuje światło niepożądane lub przeszkadzające (w myśl definicji z normy PN-EN 12464-2:2008), które emitowane jest przez lampy na zewnątrz budynków lub ich otoczeniu. Niestety w obecnej sytuacji, projektant, nawet jeśli chce zastosować i uwzględnić dla budynków i ich otoczenia inteligentne systemy oświetlenia (niskie ULOR, czujniki ruchu, możliwość ściemniania w czasie ciszy nocnej) nie jest wyposażony w kompetencje prawne.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Obecny, a powyżej nakreślony nieporządek i pewną swobodę budowlaną w Polsce co do stosowania urządzeń oświetleniowych związanych z budynkami, mogłoby rozwiązać wprowadzenie zapisu o prawnej konieczności stosowania wymogów normy PN-EN 12464-2:2014-05. Taki odpowiedni ustęp wprowadzający wymogi normy PN-EN 12464-2:2014-05 do Rozporządzenia Ministra Infrastruktury w sprawie warunków technicznych, jakim powinny odpowiadać budynki i ich usytuowanie, pozwoliłby na kierowanie się racjonalnymi zasadami co projektowania i stosowania urządzeń oświetleniowych umieszczonych na budynkach lub ich otoczeniu. W szczególności ww. Rozporządzenie poprzez uwzględnienie zapisu obligującego do wprowadzenia nowoczesnych i inteligentnych rozwiązań oświetleniowych normy PN-EN 12464-2:2014-05 mogłoby pomóc uregulować i usankcjonować prawnie takie rzeczy jak: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1) wartości wskaźnika ULOR w zależności od strefy środowiskowej, w której znajduje się budynek lub inwestycja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2) maksymalną światłość kierunkową opraw czy maksymalne natężenie oświetlenia na sąsiadujących obiektach w zależności od strefy środowiskowej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3) powinność stosowania dwóch poziomów oświetlenia, przed przyciemnieniem (praca normalna) i po przyciemnieniu (np. między 23:00 a 5:00)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lastRenderedPageBreak/>
        <w:t xml:space="preserve">4) wymagania stawiane szyldom i reklamom (maksymalna luminancja).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Stosowanie racjonalnych, nowoczesnych wymogów i rozwiązań normy PN-EN 12464-2:2014-05 pozwoliłaby na mądre projektowanie i używanie oświetlenia budynków w którym kierowano by się takimi zasadami jak: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1) minimalny, wymagany do spełnienia zaleceń normy strumień świetlny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2) prawidłowy dobór opraw pod kątem typu i źródła światła (np. oprawa z płaskim kloszem zamiast z wypukłym)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3) oprawy oświetleniowe w zasadzie nie powinny świecić w górę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4) w miastach, terenach przemysłowych udział strumienia świetlnego wysyłanego w górną półprzestrzeń nie powinien przekraczać 25 %.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(tym bardziej na zamieszkałych terenach wiejskich czy rolniczych - strefa środowiskowa E2 - nie powinien przekraczać 10 % a najlepiej 5%)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5) oprawy oświetleniowe powinny być tak nakierowane, aby nie świeciły w kierunku zamieszkałych budynków</w:t>
      </w:r>
      <w:r w:rsidRPr="007048FD">
        <w:rPr>
          <w:rFonts w:asciiTheme="minorHAnsi" w:hAnsiTheme="minorHAnsi"/>
        </w:rPr>
        <w:br/>
        <w:t xml:space="preserve">6) jaskrawości reklam powinny być ograniczone do przewidzianego w normach poziomu." (patrz także: ww. źródło - link internetowy)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Proponowane maksymalne poziomy światła przeszkadzającego pochodzącego od zewnętrznych instalacji oświetleniowych dla różnych stref środowiskowych podane są w tabeli, która stanowi załącznik do niniejszej petycji.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Wszystkie powyższe wytyczne, rozwiązania związane z normą PN-EN 12464-2:2014-05 pozwoliłby na znaczące na wyeliminowanie tzw. światła niepożądanego (przeszkadzającego) w Polsce co w konsekwencji przełożyłoby się na oszczędności energii, pieniędzy publicznych, ochronę środowiska naturalnego (zmniejszenie zanieczyszczenia światłem, redukcję emisji CO</w:t>
      </w:r>
      <w:r w:rsidRPr="007048FD">
        <w:rPr>
          <w:rFonts w:asciiTheme="minorHAnsi" w:hAnsiTheme="minorHAnsi"/>
          <w:vertAlign w:val="subscript"/>
        </w:rPr>
        <w:t>2</w:t>
      </w:r>
      <w:r w:rsidRPr="007048FD">
        <w:rPr>
          <w:rFonts w:asciiTheme="minorHAnsi" w:hAnsiTheme="minorHAnsi"/>
        </w:rPr>
        <w:t xml:space="preserve">) oraz poprawę walorów estetyczno-krajobrazowych. Pozwoliłoby na utrzymanie stanu równowagi pomiędzy ciągłym rozwojem cywilizacji a Konstytucyjnym nakazem ochrony środowiska i zapewnienia bezpieczeństwa ekologicznego współczesnemu i przyszłym pokoleniom (art. 74 Konstytucji Rzeczypospolitej Polskiej). Wyeliminowanie światła niepożądanego (przeszkadzającego) poprzez ustalenie maksymalnych poziomów światła przeszkadzającego pochodzącego od zewnętrznych instalacji oświetleniowych dla różnych stref środowiskowych zapisanych w normie PN-EN 12464-2:2014-05 to także mniej skarg do inspekcji nadzoru budowlanego związanych z uciążliwościami światła umieszczonego na zewnątrz budynków lub ich otoczeniu. Zwlekanie z wprowadzeniem odpowiednich zmian w polskim prawie, które uregulowałby w końcu maksymalne poziomy światła przeszkadzającego pochodzącego od zewnętrznych instalacji oświetleniowych dla różnych </w:t>
      </w:r>
      <w:r w:rsidRPr="007048FD">
        <w:rPr>
          <w:rFonts w:asciiTheme="minorHAnsi" w:hAnsiTheme="minorHAnsi"/>
        </w:rPr>
        <w:lastRenderedPageBreak/>
        <w:t xml:space="preserve">stref środowiskowych, spowoduje dalsze narastanie pewnej samowoli budowlanej co do lamp na urządzeń świetlnych na zewnątrz budynków i ich otoczeniu oraz wzrost uciążliwości i negatywnych skutków środowiskowych związanych z ww. emisją światła niepożądanego (niepotrzebnego). Wprowadzenie, poprzez odpowiedni zapis w § 293 ust. 6 Rozporządzenia (Dz. U.2019 r. poz. 1065), regulacji dotyczących max. poziomów światła przeszkadzającego w zależności od strefy środowiskowej (patrz załącznik do petycji) powinno być naturalnym krokiem, aby polskie prawo nadążyło za rozwijającym się światem i cywilizacją.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Należy przy tym jasno i mocno podkreślić, że dzisiejsze możliwości techniczne, które pozwalają na inteligentne stosowanie urządzeń oświetleniowych umieszczonych na budynkach lub ich otoczeniu, w żaden negatywny sposób nie wpływają na swobodę i bezpieczeństwo działania człowieka. W dzisiejszych czasach zaawansowanej techniki oświetleniowej bardzo łatwo jest zaplanować i rozmieścić lampy na budynkach i ich otoczeniu tak, aby efektywnie służyły potrzebom ludzkim przy jednoczesnym braku ucieczki światła w kierunkach niepożądanych (w szczególności braku emisji w górę, w niebo).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Biorąc pod uwagę wszystkie zalety jakie płyną dla funkcjonowania społeczeństwa i środowiska naturalnego, a wynikają z zastosowania wymogów normy PN-EN 12464-2:2014-05, proszę o uwzględnienie w aktualnych lub przyszłych pracach nad projektem Rozporządzenia Ministra Infrastruktury w sprawie warunków technicznych, jakim powinny odpowiadać budynki i ich usytuowanie, odpowiednich zapisów ustalających maksymalne poziomy światła przeszkadzającego pochodzącego od zewnętrznych instalacji oświetleniowych dla różnych stref środowiskowych (załącznik do petycji). Bardzo dobrym i przyszłościowym rozwiązaniem byłoby równocześnie ustalenie maksymalnej emisji światła do górnej półprzestrzeni oprawy lampy w zależności od strefy środowiskowej (w szczególności dla żadnego obszaru ULOR nie powinien być większy niż 25%. Oczywiście ULOR powinien być mniejszy - najlepiej poniżej 5% - na obszarach wiejskich i rolniczych).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Zaproponowane w niniejszej petycji rozwiązania będą dobre dla współczesnego i przyszłego społeczeństwa polskiego, poprzez wprowadzenie w Polsce nowoczesnego i racjonalnego używania energii świetlnej. Mając powyższe na uwadze, że oraz to że "Władze publiczne wspierają działania obywateli na rzecz ochrony i poprawy stanu środowiska." (art 74. Konstytucji RP), proszę o pozytywne rozpatr</w:t>
      </w:r>
      <w:bookmarkStart w:id="0" w:name="_GoBack"/>
      <w:bookmarkEnd w:id="0"/>
      <w:r w:rsidRPr="007048FD">
        <w:rPr>
          <w:rFonts w:asciiTheme="minorHAnsi" w:hAnsiTheme="minorHAnsi"/>
        </w:rPr>
        <w:t xml:space="preserve">zenie mojej petycji.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Na podstawie art. 4 ust. 3 ustawy o petycjach (</w:t>
      </w:r>
      <w:proofErr w:type="spellStart"/>
      <w:r w:rsidRPr="007048FD">
        <w:rPr>
          <w:rFonts w:asciiTheme="minorHAnsi" w:hAnsiTheme="minorHAnsi"/>
        </w:rPr>
        <w:t>t.j</w:t>
      </w:r>
      <w:proofErr w:type="spellEnd"/>
      <w:r w:rsidRPr="007048FD">
        <w:rPr>
          <w:rFonts w:asciiTheme="minorHAnsi" w:hAnsiTheme="minorHAnsi"/>
        </w:rPr>
        <w:t xml:space="preserve">. Dz. U. 2018 r. poz. 870) wyrażam zgodę na upublicznienie mego imienia i nazwiska, ale przy zanonimizowaniu nazwy ulicy, numeru domu, miejsca zamieszkania a także adresu e-mail. Wyrażam jednocześnie zgodę na komunikowanie się ze mną poprzez e-mail. Informuję również, że ustawa o petycjach (art. 8) przewiduję publikację treści niniejszej petycji na stronach internetowych organu do którego wpłynęła. </w:t>
      </w:r>
    </w:p>
    <w:p w:rsidR="007048FD" w:rsidRPr="007048FD" w:rsidRDefault="007048FD" w:rsidP="007048FD">
      <w:pPr>
        <w:pStyle w:val="NormalnyWeb"/>
        <w:spacing w:line="276" w:lineRule="auto"/>
        <w:rPr>
          <w:rFonts w:asciiTheme="minorHAnsi" w:hAnsiTheme="minorHAnsi"/>
        </w:rPr>
      </w:pPr>
      <w:r w:rsidRPr="007048FD">
        <w:rPr>
          <w:rFonts w:asciiTheme="minorHAnsi" w:hAnsiTheme="minorHAnsi"/>
        </w:rPr>
        <w:t xml:space="preserve">Z poważaniem </w:t>
      </w:r>
    </w:p>
    <w:p w:rsidR="00A9235D" w:rsidRPr="007048FD" w:rsidRDefault="007048FD" w:rsidP="007048FD">
      <w:pPr>
        <w:spacing w:line="276" w:lineRule="auto"/>
        <w:rPr>
          <w:rFonts w:asciiTheme="minorHAnsi" w:hAnsiTheme="minorHAnsi"/>
        </w:rPr>
      </w:pPr>
      <w:r w:rsidRPr="007048FD">
        <w:rPr>
          <w:rFonts w:asciiTheme="minorHAnsi" w:hAnsiTheme="minorHAnsi"/>
        </w:rPr>
        <w:lastRenderedPageBreak/>
        <w:t xml:space="preserve">dr Paweł </w:t>
      </w:r>
      <w:proofErr w:type="spellStart"/>
      <w:r w:rsidRPr="007048FD">
        <w:rPr>
          <w:rFonts w:asciiTheme="minorHAnsi" w:hAnsiTheme="minorHAnsi"/>
        </w:rPr>
        <w:t>Drożdżal</w:t>
      </w:r>
      <w:proofErr w:type="spellEnd"/>
    </w:p>
    <w:sectPr w:rsidR="00A9235D" w:rsidRPr="007048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FD"/>
    <w:rsid w:val="007048FD"/>
    <w:rsid w:val="00A923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48FD"/>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048FD"/>
    <w:rPr>
      <w:color w:val="0000FF"/>
      <w:u w:val="single"/>
    </w:rPr>
  </w:style>
  <w:style w:type="paragraph" w:styleId="NormalnyWeb">
    <w:name w:val="Normal (Web)"/>
    <w:basedOn w:val="Normalny"/>
    <w:uiPriority w:val="99"/>
    <w:semiHidden/>
    <w:unhideWhenUsed/>
    <w:rsid w:val="007048F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48FD"/>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7048FD"/>
    <w:rPr>
      <w:color w:val="0000FF"/>
      <w:u w:val="single"/>
    </w:rPr>
  </w:style>
  <w:style w:type="paragraph" w:styleId="NormalnyWeb">
    <w:name w:val="Normal (Web)"/>
    <w:basedOn w:val="Normalny"/>
    <w:uiPriority w:val="99"/>
    <w:semiHidden/>
    <w:unhideWhenUsed/>
    <w:rsid w:val="007048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203074">
      <w:bodyDiv w:val="1"/>
      <w:marLeft w:val="0"/>
      <w:marRight w:val="0"/>
      <w:marTop w:val="0"/>
      <w:marBottom w:val="0"/>
      <w:divBdr>
        <w:top w:val="none" w:sz="0" w:space="0" w:color="auto"/>
        <w:left w:val="none" w:sz="0" w:space="0" w:color="auto"/>
        <w:bottom w:val="none" w:sz="0" w:space="0" w:color="auto"/>
        <w:right w:val="none" w:sz="0" w:space="0" w:color="auto"/>
      </w:divBdr>
      <w:divsChild>
        <w:div w:id="379524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sweco.pl/2018/11/20/jak-skutecznie-przeciwdzialac-nocnemu-zanieczyszczeniu-swiatlem-o-dobrych-praktykach-slow-kilka/" TargetMode="External"/><Relationship Id="rId3" Type="http://schemas.openxmlformats.org/officeDocument/2006/relationships/settings" Target="settings.xml"/><Relationship Id="rId7" Type="http://schemas.openxmlformats.org/officeDocument/2006/relationships/hyperlink" Target="mailto:sekretariatDAB@miir.gov.p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ancelaria@mfipr.gov.pl" TargetMode="External"/><Relationship Id="rId5" Type="http://schemas.openxmlformats.org/officeDocument/2006/relationships/hyperlink" Target="mailto:kancelaria@miir.gov.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1849</Words>
  <Characters>11094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Marcinkowska</dc:creator>
  <cp:lastModifiedBy>Sylwia Marcinkowska</cp:lastModifiedBy>
  <cp:revision>1</cp:revision>
  <dcterms:created xsi:type="dcterms:W3CDTF">2020-03-04T07:59:00Z</dcterms:created>
  <dcterms:modified xsi:type="dcterms:W3CDTF">2020-03-04T08:02:00Z</dcterms:modified>
</cp:coreProperties>
</file>