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0A368" w14:textId="77777777" w:rsidR="00C86030" w:rsidRPr="00B021DE" w:rsidRDefault="00C86030" w:rsidP="00C86030">
      <w:pPr>
        <w:rPr>
          <w:rFonts w:asciiTheme="minorHAnsi" w:hAnsiTheme="minorHAnsi" w:cstheme="minorHAnsi"/>
          <w:bCs/>
          <w:smallCaps/>
        </w:rPr>
      </w:pPr>
      <w:r w:rsidRPr="00B021DE">
        <w:rPr>
          <w:rFonts w:asciiTheme="minorHAnsi" w:hAnsiTheme="minorHAnsi" w:cstheme="minorHAnsi"/>
        </w:rPr>
        <w:object w:dxaOrig="641" w:dyaOrig="721" w14:anchorId="04AE4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39.9pt" o:ole="" fillcolor="window">
            <v:imagedata r:id="rId8" o:title=""/>
          </v:shape>
          <o:OLEObject Type="Embed" ProgID="Word.Picture.8" ShapeID="_x0000_i1025" DrawAspect="Content" ObjectID="_1751271535" r:id="rId9"/>
        </w:object>
      </w:r>
    </w:p>
    <w:p w14:paraId="7B299F80" w14:textId="77777777" w:rsidR="00C86030" w:rsidRPr="00B021DE" w:rsidRDefault="00C86030" w:rsidP="00C86030">
      <w:pPr>
        <w:rPr>
          <w:rFonts w:asciiTheme="minorHAnsi" w:hAnsiTheme="minorHAnsi" w:cstheme="minorHAnsi"/>
          <w:bCs/>
          <w:smallCaps/>
        </w:rPr>
      </w:pPr>
    </w:p>
    <w:p w14:paraId="69A6D655" w14:textId="3CB2EE0D" w:rsidR="00C86030" w:rsidRDefault="00C86030" w:rsidP="00C86030">
      <w:pPr>
        <w:rPr>
          <w:rFonts w:asciiTheme="minorHAnsi" w:hAnsiTheme="minorHAnsi" w:cstheme="minorHAnsi"/>
        </w:rPr>
      </w:pPr>
      <w:r w:rsidRPr="00B021DE">
        <w:rPr>
          <w:rFonts w:asciiTheme="minorHAnsi" w:hAnsiTheme="minorHAnsi" w:cstheme="minorHAnsi"/>
          <w:bCs/>
          <w:smallCaps/>
        </w:rPr>
        <w:t>GE</w:t>
      </w:r>
      <w:r>
        <w:rPr>
          <w:rFonts w:asciiTheme="minorHAnsi" w:hAnsiTheme="minorHAnsi" w:cstheme="minorHAnsi"/>
          <w:bCs/>
          <w:smallCaps/>
        </w:rPr>
        <w:t>NERALNY DYREKTOR OCHRONY ŚRODOWI</w:t>
      </w:r>
      <w:r w:rsidRPr="00B021DE">
        <w:rPr>
          <w:rFonts w:asciiTheme="minorHAnsi" w:hAnsiTheme="minorHAnsi" w:cstheme="minorHAnsi"/>
          <w:bCs/>
          <w:smallCaps/>
        </w:rPr>
        <w:t>SKA</w:t>
      </w:r>
    </w:p>
    <w:p w14:paraId="37632DBC" w14:textId="77777777" w:rsidR="00C86030" w:rsidRDefault="00C86030" w:rsidP="00C86030">
      <w:pPr>
        <w:rPr>
          <w:rFonts w:asciiTheme="minorHAnsi" w:hAnsiTheme="minorHAnsi" w:cstheme="minorHAnsi"/>
        </w:rPr>
      </w:pPr>
    </w:p>
    <w:p w14:paraId="2AFB7BD0" w14:textId="316ACF7E" w:rsidR="00C86030" w:rsidRDefault="00C86030" w:rsidP="00C86030">
      <w:pPr>
        <w:spacing w:line="360" w:lineRule="auto"/>
        <w:rPr>
          <w:rFonts w:asciiTheme="minorHAnsi" w:hAnsiTheme="minorHAnsi" w:cstheme="minorHAnsi"/>
        </w:rPr>
      </w:pPr>
      <w:r>
        <w:rPr>
          <w:rFonts w:asciiTheme="minorHAnsi" w:hAnsiTheme="minorHAnsi" w:cstheme="minorHAnsi"/>
        </w:rPr>
        <w:t>Warszawa, 27 maja 2022 r.</w:t>
      </w:r>
    </w:p>
    <w:p w14:paraId="6975C450" w14:textId="380ECDD7" w:rsidR="00B81350" w:rsidRPr="00C86030" w:rsidRDefault="00E20B3C" w:rsidP="00C86030">
      <w:pPr>
        <w:spacing w:line="360" w:lineRule="auto"/>
        <w:rPr>
          <w:rFonts w:asciiTheme="minorHAnsi" w:hAnsiTheme="minorHAnsi" w:cstheme="minorHAnsi"/>
        </w:rPr>
      </w:pPr>
      <w:r w:rsidRPr="00C86030">
        <w:rPr>
          <w:rFonts w:asciiTheme="minorHAnsi" w:hAnsiTheme="minorHAnsi" w:cstheme="minorHAnsi"/>
        </w:rPr>
        <w:t>DOOŚ-WDŚZIL.420.8.2022.AW.4</w:t>
      </w:r>
    </w:p>
    <w:p w14:paraId="65F92B91" w14:textId="77777777" w:rsidR="00355467" w:rsidRPr="00C86030" w:rsidRDefault="00355467" w:rsidP="00C86030">
      <w:pPr>
        <w:spacing w:line="288" w:lineRule="auto"/>
        <w:rPr>
          <w:rFonts w:asciiTheme="minorHAnsi" w:hAnsiTheme="minorHAnsi" w:cstheme="minorHAnsi"/>
        </w:rPr>
      </w:pPr>
    </w:p>
    <w:p w14:paraId="38AFFF93" w14:textId="3B5EFA6E" w:rsidR="00B81350" w:rsidRPr="00C86030" w:rsidRDefault="00C86030" w:rsidP="00C86030">
      <w:pPr>
        <w:spacing w:line="288" w:lineRule="auto"/>
        <w:rPr>
          <w:rFonts w:asciiTheme="minorHAnsi" w:hAnsiTheme="minorHAnsi" w:cstheme="minorHAnsi"/>
        </w:rPr>
      </w:pPr>
      <w:r>
        <w:rPr>
          <w:rFonts w:asciiTheme="minorHAnsi" w:hAnsiTheme="minorHAnsi" w:cstheme="minorHAnsi"/>
        </w:rPr>
        <w:t>DECYZJ</w:t>
      </w:r>
      <w:r w:rsidR="00BF3551" w:rsidRPr="00C86030">
        <w:rPr>
          <w:rFonts w:asciiTheme="minorHAnsi" w:hAnsiTheme="minorHAnsi" w:cstheme="minorHAnsi"/>
        </w:rPr>
        <w:t>A</w:t>
      </w:r>
    </w:p>
    <w:p w14:paraId="52EC8284" w14:textId="5120FA3B" w:rsidR="00956FF1" w:rsidRPr="00C86030" w:rsidRDefault="00D8503C" w:rsidP="00C86030">
      <w:pPr>
        <w:spacing w:line="288" w:lineRule="auto"/>
        <w:rPr>
          <w:rFonts w:asciiTheme="minorHAnsi" w:hAnsiTheme="minorHAnsi" w:cstheme="minorHAnsi"/>
        </w:rPr>
      </w:pPr>
      <w:r w:rsidRPr="00C86030">
        <w:rPr>
          <w:rFonts w:asciiTheme="minorHAnsi" w:hAnsiTheme="minorHAnsi" w:cstheme="minorHAnsi"/>
        </w:rPr>
        <w:t xml:space="preserve">Na podstawie art. </w:t>
      </w:r>
      <w:r w:rsidR="00850507" w:rsidRPr="00C86030">
        <w:rPr>
          <w:rFonts w:asciiTheme="minorHAnsi" w:hAnsiTheme="minorHAnsi" w:cstheme="minorHAnsi"/>
        </w:rPr>
        <w:t xml:space="preserve">138 § 1 pkt 1 </w:t>
      </w:r>
      <w:r w:rsidRPr="00C86030">
        <w:rPr>
          <w:rFonts w:asciiTheme="minorHAnsi" w:hAnsiTheme="minorHAnsi" w:cstheme="minorHAnsi"/>
        </w:rPr>
        <w:t xml:space="preserve">oraz art. 127 ust. 3 ustawy z dnia 14 czerwca 1960 r. </w:t>
      </w:r>
      <w:r w:rsidR="00186354" w:rsidRPr="00C86030">
        <w:rPr>
          <w:rFonts w:asciiTheme="minorHAnsi" w:hAnsiTheme="minorHAnsi" w:cstheme="minorHAnsi"/>
        </w:rPr>
        <w:t>K</w:t>
      </w:r>
      <w:r w:rsidRPr="00C86030">
        <w:rPr>
          <w:rFonts w:asciiTheme="minorHAnsi" w:hAnsiTheme="minorHAnsi" w:cstheme="minorHAnsi"/>
        </w:rPr>
        <w:t xml:space="preserve">odeks postępowania administracyjnego </w:t>
      </w:r>
      <w:r w:rsidR="00E22CC2" w:rsidRPr="00C86030">
        <w:rPr>
          <w:rFonts w:asciiTheme="minorHAnsi" w:hAnsiTheme="minorHAnsi" w:cstheme="minorHAnsi"/>
        </w:rPr>
        <w:t>(</w:t>
      </w:r>
      <w:r w:rsidR="00E20B3C" w:rsidRPr="00C86030">
        <w:rPr>
          <w:rFonts w:asciiTheme="minorHAnsi" w:hAnsiTheme="minorHAnsi" w:cstheme="minorHAnsi"/>
        </w:rPr>
        <w:t xml:space="preserve">Dz. U. z 2021 r. poz. 735, ze </w:t>
      </w:r>
      <w:r w:rsidR="00D33212" w:rsidRPr="00C86030">
        <w:rPr>
          <w:rFonts w:asciiTheme="minorHAnsi" w:hAnsiTheme="minorHAnsi" w:cstheme="minorHAnsi"/>
        </w:rPr>
        <w:t>zm.</w:t>
      </w:r>
      <w:r w:rsidR="00E22CC2" w:rsidRPr="00C86030">
        <w:rPr>
          <w:rFonts w:asciiTheme="minorHAnsi" w:hAnsiTheme="minorHAnsi" w:cstheme="minorHAnsi"/>
        </w:rPr>
        <w:t>)</w:t>
      </w:r>
      <w:r w:rsidRPr="00C86030">
        <w:rPr>
          <w:rFonts w:asciiTheme="minorHAnsi" w:hAnsiTheme="minorHAnsi" w:cstheme="minorHAnsi"/>
        </w:rPr>
        <w:t xml:space="preserve">, dalej </w:t>
      </w:r>
      <w:r w:rsidR="001F32CC" w:rsidRPr="00C86030">
        <w:rPr>
          <w:rFonts w:asciiTheme="minorHAnsi" w:hAnsiTheme="minorHAnsi" w:cstheme="minorHAnsi"/>
        </w:rPr>
        <w:t>Kpa</w:t>
      </w:r>
      <w:r w:rsidRPr="00C86030">
        <w:rPr>
          <w:rFonts w:asciiTheme="minorHAnsi" w:hAnsiTheme="minorHAnsi" w:cstheme="minorHAnsi"/>
        </w:rPr>
        <w:t xml:space="preserve">, po rozpatrzeniu wniosku </w:t>
      </w:r>
      <w:r w:rsidR="00C86030">
        <w:rPr>
          <w:rFonts w:asciiTheme="minorHAnsi" w:hAnsiTheme="minorHAnsi" w:cstheme="minorHAnsi"/>
        </w:rPr>
        <w:t>(…)</w:t>
      </w:r>
      <w:r w:rsidR="00E20B3C" w:rsidRPr="00C86030">
        <w:rPr>
          <w:rFonts w:asciiTheme="minorHAnsi" w:hAnsiTheme="minorHAnsi" w:cstheme="minorHAnsi"/>
        </w:rPr>
        <w:t xml:space="preserve"> reprezentowanego przez </w:t>
      </w:r>
      <w:r w:rsidR="00C86030">
        <w:rPr>
          <w:rFonts w:asciiTheme="minorHAnsi" w:hAnsiTheme="minorHAnsi" w:cstheme="minorHAnsi"/>
        </w:rPr>
        <w:t xml:space="preserve">(…) </w:t>
      </w:r>
      <w:r w:rsidR="00E20B3C" w:rsidRPr="00C86030">
        <w:rPr>
          <w:rFonts w:asciiTheme="minorHAnsi" w:hAnsiTheme="minorHAnsi" w:cstheme="minorHAnsi"/>
        </w:rPr>
        <w:t>a</w:t>
      </w:r>
      <w:r w:rsidR="00956FF1" w:rsidRPr="00C86030">
        <w:rPr>
          <w:rFonts w:asciiTheme="minorHAnsi" w:hAnsiTheme="minorHAnsi" w:cstheme="minorHAnsi"/>
        </w:rPr>
        <w:t xml:space="preserve"> </w:t>
      </w:r>
      <w:r w:rsidRPr="00C86030">
        <w:rPr>
          <w:rFonts w:asciiTheme="minorHAnsi" w:hAnsiTheme="minorHAnsi" w:cstheme="minorHAnsi"/>
        </w:rPr>
        <w:t>o ponowne rozpatrzenie sprawy zakończonej decyzją Generalnego Dyrektora Ochrony Środowiska z dnia</w:t>
      </w:r>
      <w:r w:rsidR="00956FF1" w:rsidRPr="00C86030">
        <w:rPr>
          <w:rFonts w:asciiTheme="minorHAnsi" w:hAnsiTheme="minorHAnsi" w:cstheme="minorHAnsi"/>
        </w:rPr>
        <w:t xml:space="preserve"> </w:t>
      </w:r>
      <w:r w:rsidR="00E20B3C" w:rsidRPr="00C86030">
        <w:rPr>
          <w:rFonts w:asciiTheme="minorHAnsi" w:hAnsiTheme="minorHAnsi" w:cstheme="minorHAnsi"/>
        </w:rPr>
        <w:t>4 marca 2022</w:t>
      </w:r>
      <w:r w:rsidR="00956FF1" w:rsidRPr="00C86030">
        <w:rPr>
          <w:rFonts w:asciiTheme="minorHAnsi" w:hAnsiTheme="minorHAnsi" w:cstheme="minorHAnsi"/>
        </w:rPr>
        <w:t xml:space="preserve"> r., znak: </w:t>
      </w:r>
      <w:bookmarkStart w:id="0" w:name="_Hlk100232282"/>
      <w:r w:rsidR="00E20B3C" w:rsidRPr="00C86030">
        <w:rPr>
          <w:rFonts w:asciiTheme="minorHAnsi" w:hAnsiTheme="minorHAnsi" w:cstheme="minorHAnsi"/>
        </w:rPr>
        <w:t>DOOŚ-WDŚZIL.420.31.2021.MD.mk.15</w:t>
      </w:r>
      <w:bookmarkEnd w:id="0"/>
      <w:r w:rsidR="002E2D75" w:rsidRPr="00C86030">
        <w:rPr>
          <w:rFonts w:asciiTheme="minorHAnsi" w:hAnsiTheme="minorHAnsi" w:cstheme="minorHAnsi"/>
        </w:rPr>
        <w:t>,</w:t>
      </w:r>
      <w:r w:rsidR="00186354" w:rsidRPr="00C86030">
        <w:rPr>
          <w:rFonts w:asciiTheme="minorHAnsi" w:hAnsiTheme="minorHAnsi" w:cstheme="minorHAnsi"/>
        </w:rPr>
        <w:t xml:space="preserve"> odmawiającą stwierdzenia nieważności</w:t>
      </w:r>
      <w:r w:rsidR="00E20B3C" w:rsidRPr="00C86030">
        <w:rPr>
          <w:rFonts w:asciiTheme="minorHAnsi" w:hAnsiTheme="minorHAnsi" w:cstheme="minorHAnsi"/>
        </w:rPr>
        <w:t xml:space="preserve"> </w:t>
      </w:r>
      <w:bookmarkStart w:id="1" w:name="_Hlk100147346"/>
      <w:r w:rsidR="00E20B3C" w:rsidRPr="00C86030">
        <w:rPr>
          <w:rFonts w:asciiTheme="minorHAnsi" w:hAnsiTheme="minorHAnsi" w:cstheme="minorHAnsi"/>
        </w:rPr>
        <w:t>decyzji</w:t>
      </w:r>
      <w:r w:rsidR="00186354" w:rsidRPr="00C86030">
        <w:rPr>
          <w:rFonts w:asciiTheme="minorHAnsi" w:hAnsiTheme="minorHAnsi" w:cstheme="minorHAnsi"/>
        </w:rPr>
        <w:t xml:space="preserve"> </w:t>
      </w:r>
      <w:r w:rsidR="00E20B3C" w:rsidRPr="00C86030">
        <w:rPr>
          <w:rFonts w:asciiTheme="minorHAnsi" w:hAnsiTheme="minorHAnsi" w:cstheme="minorHAnsi"/>
        </w:rPr>
        <w:t xml:space="preserve">Generalnego Dyrektora Ochrony </w:t>
      </w:r>
      <w:bookmarkStart w:id="2" w:name="_Hlk100232384"/>
      <w:r w:rsidR="00E20B3C" w:rsidRPr="00C86030">
        <w:rPr>
          <w:rFonts w:asciiTheme="minorHAnsi" w:hAnsiTheme="minorHAnsi" w:cstheme="minorHAnsi"/>
        </w:rPr>
        <w:t>Środowiska z dnia 24 lutego 2017 r., znak: DOOŚ-DŚII.4200.34.2016.aj.1</w:t>
      </w:r>
      <w:bookmarkEnd w:id="2"/>
      <w:r w:rsidR="00E20B3C" w:rsidRPr="00C86030">
        <w:rPr>
          <w:rFonts w:asciiTheme="minorHAnsi" w:hAnsiTheme="minorHAnsi" w:cstheme="minorHAnsi"/>
        </w:rPr>
        <w:t>, uchylającej w części i w tym zakresie orzekającej co do istoty sprawy a w pozostałej części utrzymującej w mocy decyzję Regionalnego Dyrektora Ochrony Środowiska w Warszawie z dnia 29 lutego 2016 r., znak: WOOŚ-II.4200.8.2015.MW, o środowiskowych uwarunkowaniach przedsięwzięcia polegającego na rozbudowie drogi krajowej nr 7 do parametrów drogi ekspresowej na odcinku Płońsk – Czosnów, według wariantu I przebiegu drogi z wariantem 2 przebudowy mostu przez Wisłę</w:t>
      </w:r>
      <w:bookmarkEnd w:id="1"/>
      <w:r w:rsidR="00E20B3C" w:rsidRPr="00C86030">
        <w:rPr>
          <w:rFonts w:asciiTheme="minorHAnsi" w:hAnsiTheme="minorHAnsi" w:cstheme="minorHAnsi"/>
        </w:rPr>
        <w:t>,</w:t>
      </w:r>
    </w:p>
    <w:p w14:paraId="5AEDDDD4" w14:textId="69A3FC1F" w:rsidR="00BF3551" w:rsidRDefault="00355467" w:rsidP="00C86030">
      <w:pPr>
        <w:pStyle w:val="Tekstpodstawowy"/>
        <w:spacing w:before="0" w:line="288" w:lineRule="auto"/>
        <w:jc w:val="left"/>
        <w:rPr>
          <w:rFonts w:asciiTheme="minorHAnsi" w:hAnsiTheme="minorHAnsi" w:cstheme="minorHAnsi"/>
        </w:rPr>
      </w:pPr>
      <w:r w:rsidRPr="00C86030">
        <w:rPr>
          <w:rFonts w:asciiTheme="minorHAnsi" w:hAnsiTheme="minorHAnsi" w:cstheme="minorHAnsi"/>
        </w:rPr>
        <w:t>utrzymuję powyższą decyzję w mocy.</w:t>
      </w:r>
    </w:p>
    <w:p w14:paraId="530C2267" w14:textId="77777777" w:rsidR="00C86030" w:rsidRPr="00C86030" w:rsidRDefault="00C86030" w:rsidP="00C86030">
      <w:pPr>
        <w:pStyle w:val="Tekstpodstawowy"/>
        <w:spacing w:before="0" w:line="288" w:lineRule="auto"/>
        <w:jc w:val="left"/>
        <w:rPr>
          <w:rFonts w:asciiTheme="minorHAnsi" w:hAnsiTheme="minorHAnsi" w:cstheme="minorHAnsi"/>
        </w:rPr>
      </w:pPr>
    </w:p>
    <w:p w14:paraId="7263E78D" w14:textId="0277DED4" w:rsidR="00BF3551" w:rsidRPr="00C86030" w:rsidRDefault="0067550D" w:rsidP="00C86030">
      <w:pPr>
        <w:spacing w:line="288" w:lineRule="auto"/>
        <w:rPr>
          <w:rFonts w:asciiTheme="minorHAnsi" w:hAnsiTheme="minorHAnsi" w:cstheme="minorHAnsi"/>
        </w:rPr>
      </w:pPr>
      <w:r>
        <w:rPr>
          <w:rFonts w:asciiTheme="minorHAnsi" w:hAnsiTheme="minorHAnsi" w:cstheme="minorHAnsi"/>
        </w:rPr>
        <w:t>UZAS</w:t>
      </w:r>
      <w:r w:rsidR="00BF3551" w:rsidRPr="00C86030">
        <w:rPr>
          <w:rFonts w:asciiTheme="minorHAnsi" w:hAnsiTheme="minorHAnsi" w:cstheme="minorHAnsi"/>
        </w:rPr>
        <w:t>A</w:t>
      </w:r>
      <w:r>
        <w:rPr>
          <w:rFonts w:asciiTheme="minorHAnsi" w:hAnsiTheme="minorHAnsi" w:cstheme="minorHAnsi"/>
        </w:rPr>
        <w:t>DNIENI</w:t>
      </w:r>
      <w:r w:rsidR="00BF3551" w:rsidRPr="00C86030">
        <w:rPr>
          <w:rFonts w:asciiTheme="minorHAnsi" w:hAnsiTheme="minorHAnsi" w:cstheme="minorHAnsi"/>
        </w:rPr>
        <w:t>E</w:t>
      </w:r>
    </w:p>
    <w:p w14:paraId="72BD9F68" w14:textId="133DA25A" w:rsidR="00257FC5" w:rsidRPr="00C86030" w:rsidRDefault="00D97A59" w:rsidP="00C86030">
      <w:pPr>
        <w:spacing w:line="288" w:lineRule="auto"/>
        <w:rPr>
          <w:rFonts w:asciiTheme="minorHAnsi" w:hAnsiTheme="minorHAnsi" w:cstheme="minorHAnsi"/>
        </w:rPr>
      </w:pPr>
      <w:r w:rsidRPr="00C86030">
        <w:rPr>
          <w:rFonts w:asciiTheme="minorHAnsi" w:hAnsiTheme="minorHAnsi" w:cstheme="minorHAnsi"/>
        </w:rPr>
        <w:t>Cyto</w:t>
      </w:r>
      <w:r w:rsidR="002E2D75" w:rsidRPr="00C86030">
        <w:rPr>
          <w:rFonts w:asciiTheme="minorHAnsi" w:hAnsiTheme="minorHAnsi" w:cstheme="minorHAnsi"/>
        </w:rPr>
        <w:t xml:space="preserve">waną w sentencji decyzją </w:t>
      </w:r>
      <w:r w:rsidRPr="00C86030">
        <w:rPr>
          <w:rFonts w:asciiTheme="minorHAnsi" w:hAnsiTheme="minorHAnsi" w:cstheme="minorHAnsi"/>
        </w:rPr>
        <w:t xml:space="preserve">Generalny Dyrektor Ochrony Środowiska, dalej GDOŚ, </w:t>
      </w:r>
      <w:r w:rsidR="006366BC" w:rsidRPr="00C86030">
        <w:rPr>
          <w:rFonts w:asciiTheme="minorHAnsi" w:hAnsiTheme="minorHAnsi" w:cstheme="minorHAnsi"/>
        </w:rPr>
        <w:t xml:space="preserve">na podstawie art. 158 § 1 </w:t>
      </w:r>
      <w:r w:rsidR="001F32CC" w:rsidRPr="00C86030">
        <w:rPr>
          <w:rFonts w:asciiTheme="minorHAnsi" w:hAnsiTheme="minorHAnsi" w:cstheme="minorHAnsi"/>
        </w:rPr>
        <w:t>Kpa</w:t>
      </w:r>
      <w:r w:rsidR="00CF4DB4" w:rsidRPr="00C86030">
        <w:rPr>
          <w:rFonts w:asciiTheme="minorHAnsi" w:hAnsiTheme="minorHAnsi" w:cstheme="minorHAnsi"/>
        </w:rPr>
        <w:t xml:space="preserve">, odmówił stwierdzenia nieważności </w:t>
      </w:r>
      <w:r w:rsidR="00E20B3C" w:rsidRPr="00C86030">
        <w:rPr>
          <w:rFonts w:asciiTheme="minorHAnsi" w:hAnsiTheme="minorHAnsi" w:cstheme="minorHAnsi"/>
        </w:rPr>
        <w:t xml:space="preserve">decyzji </w:t>
      </w:r>
      <w:r w:rsidR="00284FDB" w:rsidRPr="00C86030">
        <w:rPr>
          <w:rFonts w:asciiTheme="minorHAnsi" w:hAnsiTheme="minorHAnsi" w:cstheme="minorHAnsi"/>
        </w:rPr>
        <w:t>GDOŚ</w:t>
      </w:r>
      <w:r w:rsidR="00E20B3C" w:rsidRPr="00C86030">
        <w:rPr>
          <w:rFonts w:asciiTheme="minorHAnsi" w:hAnsiTheme="minorHAnsi" w:cstheme="minorHAnsi"/>
        </w:rPr>
        <w:t xml:space="preserve"> z dnia 24 lutego 2017 r., znak: DOOŚ-DŚII.4200.34.2016.aj.1, uchylającej w części i w tym zakresie orzekającej co do istoty sprawy a w pozostałej części utrzymującej w mocy decyzję Regionalnego Dyrektora Ochrony Środowiska w Warszawie z dnia 29 lutego 2016 r., znak: WOOŚ-II.4200.8.2015.MW, o środowiskowych uwarunkowaniach przedsięwzięcia polegającego na rozbudowie drogi krajowej nr 7 do parametrów drogi ekspresowej na odcinku Płońsk – Czosnów, według wariantu I przebiegu drogi z wariantem 2 przebudowy mostu przez Wisłę</w:t>
      </w:r>
      <w:r w:rsidR="00766DEB" w:rsidRPr="00C86030">
        <w:rPr>
          <w:rFonts w:asciiTheme="minorHAnsi" w:hAnsiTheme="minorHAnsi" w:cstheme="minorHAnsi"/>
        </w:rPr>
        <w:t>.</w:t>
      </w:r>
      <w:r w:rsidR="0003241A" w:rsidRPr="00C86030">
        <w:rPr>
          <w:rFonts w:asciiTheme="minorHAnsi" w:hAnsiTheme="minorHAnsi" w:cstheme="minorHAnsi"/>
        </w:rPr>
        <w:t xml:space="preserve"> </w:t>
      </w:r>
    </w:p>
    <w:p w14:paraId="6F9959E1" w14:textId="1A34D66B" w:rsidR="00D476D6" w:rsidRPr="00C86030" w:rsidRDefault="00C053D4" w:rsidP="00C86030">
      <w:pPr>
        <w:spacing w:line="288" w:lineRule="auto"/>
        <w:rPr>
          <w:rFonts w:asciiTheme="minorHAnsi" w:hAnsiTheme="minorHAnsi" w:cstheme="minorHAnsi"/>
        </w:rPr>
      </w:pPr>
      <w:r w:rsidRPr="00C86030">
        <w:rPr>
          <w:rFonts w:asciiTheme="minorHAnsi" w:hAnsiTheme="minorHAnsi" w:cstheme="minorHAnsi"/>
        </w:rPr>
        <w:t xml:space="preserve">W dniu </w:t>
      </w:r>
      <w:r w:rsidR="008F3445" w:rsidRPr="00C86030">
        <w:rPr>
          <w:rFonts w:asciiTheme="minorHAnsi" w:hAnsiTheme="minorHAnsi" w:cstheme="minorHAnsi"/>
        </w:rPr>
        <w:t>21</w:t>
      </w:r>
      <w:r w:rsidR="00284FDB" w:rsidRPr="00C86030">
        <w:rPr>
          <w:rFonts w:asciiTheme="minorHAnsi" w:hAnsiTheme="minorHAnsi" w:cstheme="minorHAnsi"/>
        </w:rPr>
        <w:t xml:space="preserve"> marca 2022</w:t>
      </w:r>
      <w:r w:rsidRPr="00C86030">
        <w:rPr>
          <w:rFonts w:asciiTheme="minorHAnsi" w:hAnsiTheme="minorHAnsi" w:cstheme="minorHAnsi"/>
        </w:rPr>
        <w:t xml:space="preserve"> r. wniosek o ponowne rozpatrzenie sprawy w przedmiocie stwierdzenia nieważności ww. decyzji </w:t>
      </w:r>
      <w:r w:rsidR="00284FDB" w:rsidRPr="00C86030">
        <w:rPr>
          <w:rFonts w:asciiTheme="minorHAnsi" w:hAnsiTheme="minorHAnsi" w:cstheme="minorHAnsi"/>
        </w:rPr>
        <w:t>GDOŚ</w:t>
      </w:r>
      <w:r w:rsidRPr="00C86030">
        <w:rPr>
          <w:rFonts w:asciiTheme="minorHAnsi" w:hAnsiTheme="minorHAnsi" w:cstheme="minorHAnsi"/>
        </w:rPr>
        <w:t xml:space="preserve"> </w:t>
      </w:r>
      <w:r w:rsidR="00284FDB" w:rsidRPr="00C86030">
        <w:rPr>
          <w:rFonts w:asciiTheme="minorHAnsi" w:hAnsiTheme="minorHAnsi" w:cstheme="minorHAnsi"/>
        </w:rPr>
        <w:t xml:space="preserve">wniósł </w:t>
      </w:r>
      <w:r w:rsidR="00C86030">
        <w:rPr>
          <w:rFonts w:asciiTheme="minorHAnsi" w:hAnsiTheme="minorHAnsi" w:cstheme="minorHAnsi"/>
        </w:rPr>
        <w:t>(…)</w:t>
      </w:r>
      <w:r w:rsidRPr="00C86030">
        <w:rPr>
          <w:rFonts w:asciiTheme="minorHAnsi" w:hAnsiTheme="minorHAnsi" w:cstheme="minorHAnsi"/>
        </w:rPr>
        <w:t xml:space="preserve">, </w:t>
      </w:r>
      <w:r w:rsidR="00284FDB" w:rsidRPr="00C86030">
        <w:rPr>
          <w:rFonts w:asciiTheme="minorHAnsi" w:hAnsiTheme="minorHAnsi" w:cstheme="minorHAnsi"/>
        </w:rPr>
        <w:t>reprezentowany</w:t>
      </w:r>
      <w:r w:rsidRPr="00C86030">
        <w:rPr>
          <w:rFonts w:asciiTheme="minorHAnsi" w:hAnsiTheme="minorHAnsi" w:cstheme="minorHAnsi"/>
        </w:rPr>
        <w:t xml:space="preserve"> przez pełnomocnika </w:t>
      </w:r>
      <w:r w:rsidR="00C86030">
        <w:rPr>
          <w:rFonts w:asciiTheme="minorHAnsi" w:hAnsiTheme="minorHAnsi" w:cstheme="minorHAnsi"/>
        </w:rPr>
        <w:t>(…)</w:t>
      </w:r>
      <w:r w:rsidRPr="00C86030">
        <w:rPr>
          <w:rFonts w:asciiTheme="minorHAnsi" w:hAnsiTheme="minorHAnsi" w:cstheme="minorHAnsi"/>
        </w:rPr>
        <w:t>.</w:t>
      </w:r>
      <w:r w:rsidR="004C54C2" w:rsidRPr="00C86030">
        <w:rPr>
          <w:rFonts w:asciiTheme="minorHAnsi" w:hAnsiTheme="minorHAnsi" w:cstheme="minorHAnsi"/>
        </w:rPr>
        <w:t xml:space="preserve"> </w:t>
      </w:r>
      <w:r w:rsidR="00284FDB" w:rsidRPr="00C86030">
        <w:rPr>
          <w:rFonts w:asciiTheme="minorHAnsi" w:hAnsiTheme="minorHAnsi" w:cstheme="minorHAnsi"/>
        </w:rPr>
        <w:t xml:space="preserve">Wniosek o ponowne rozpatrzenie sprawy został złożony w ustawowo przewidzianym terminie. </w:t>
      </w:r>
      <w:r w:rsidR="001716F7" w:rsidRPr="00C86030">
        <w:rPr>
          <w:rFonts w:asciiTheme="minorHAnsi" w:hAnsiTheme="minorHAnsi" w:cstheme="minorHAnsi"/>
        </w:rPr>
        <w:t>Wniosek o ponowne rozpatrzenie spawy nie zawierał nowych zarzutów ani dodatkowego uzasadnienia.</w:t>
      </w:r>
    </w:p>
    <w:p w14:paraId="6A62B1DE" w14:textId="13FDC270" w:rsidR="00C01254" w:rsidRPr="00C86030" w:rsidRDefault="00C01254" w:rsidP="00C86030">
      <w:pPr>
        <w:spacing w:line="288" w:lineRule="auto"/>
        <w:rPr>
          <w:rFonts w:asciiTheme="minorHAnsi" w:hAnsiTheme="minorHAnsi" w:cstheme="minorHAnsi"/>
        </w:rPr>
      </w:pPr>
      <w:r w:rsidRPr="00C86030">
        <w:rPr>
          <w:rFonts w:asciiTheme="minorHAnsi" w:hAnsiTheme="minorHAnsi" w:cstheme="minorHAnsi"/>
        </w:rPr>
        <w:t>We wniosku o stwierdzenie nieważności</w:t>
      </w:r>
      <w:r w:rsidR="00AB6FAA" w:rsidRPr="00C86030">
        <w:rPr>
          <w:rFonts w:asciiTheme="minorHAnsi" w:hAnsiTheme="minorHAnsi" w:cstheme="minorHAnsi"/>
        </w:rPr>
        <w:t xml:space="preserve"> z dnia 2 sierpnia 2021 r.</w:t>
      </w:r>
      <w:r w:rsidRPr="00C86030">
        <w:rPr>
          <w:rFonts w:asciiTheme="minorHAnsi" w:hAnsiTheme="minorHAnsi" w:cstheme="minorHAnsi"/>
        </w:rPr>
        <w:t xml:space="preserve"> wskazano </w:t>
      </w:r>
      <w:r w:rsidR="008F3445" w:rsidRPr="00C86030">
        <w:rPr>
          <w:rFonts w:asciiTheme="minorHAnsi" w:hAnsiTheme="minorHAnsi" w:cstheme="minorHAnsi"/>
        </w:rPr>
        <w:t xml:space="preserve">zaś </w:t>
      </w:r>
      <w:r w:rsidRPr="00C86030">
        <w:rPr>
          <w:rFonts w:asciiTheme="minorHAnsi" w:hAnsiTheme="minorHAnsi" w:cstheme="minorHAnsi"/>
        </w:rPr>
        <w:t xml:space="preserve">na rażące naruszenie przez RDOŚ w Warszawie i GDOŚ obowiązujących przepisów w szczególności art. 8 oraz art. 9 Kpa, które to naruszenie polegało na wprowadzeniu w błąd mieszkańców wsi </w:t>
      </w:r>
      <w:r w:rsidRPr="00C86030">
        <w:rPr>
          <w:rFonts w:asciiTheme="minorHAnsi" w:hAnsiTheme="minorHAnsi" w:cstheme="minorHAnsi"/>
        </w:rPr>
        <w:lastRenderedPageBreak/>
        <w:t xml:space="preserve">Niepiekła, co do lokalizacji planowanej inwestycji w zakresie umiejscowienia wiaduktu nad ww. drogą krajową nr 7 we wsi Niepiekła, tj. na odcinku Załuski – Kroczewo. Zdaniem skarżącego lokalizacja inwestycji określona w decyzji o środowiskowych uwarunkowaniach różni się od wskazanej miejscowym planie zagospodarowania przestrzennego zatwierdzonym uchwałą Rady Gminy Załuski z dnia 24 września 2008 r. Nr 124/XVI/2008. Ponadto skarżący wskazał, iż na etapie konsultacji społecznych przeprowadzonych przez inwestora nie poinformowano społeczności </w:t>
      </w:r>
      <w:r w:rsidR="00AB6FAA" w:rsidRPr="00C86030">
        <w:rPr>
          <w:rFonts w:asciiTheme="minorHAnsi" w:hAnsiTheme="minorHAnsi" w:cstheme="minorHAnsi"/>
        </w:rPr>
        <w:t>lokalnej</w:t>
      </w:r>
      <w:r w:rsidRPr="00C86030">
        <w:rPr>
          <w:rFonts w:asciiTheme="minorHAnsi" w:hAnsiTheme="minorHAnsi" w:cstheme="minorHAnsi"/>
        </w:rPr>
        <w:t xml:space="preserve"> o zmianie lokalizacji przedmiotowej inwestycji.</w:t>
      </w:r>
      <w:r w:rsidR="00516013" w:rsidRPr="00C86030">
        <w:rPr>
          <w:rFonts w:asciiTheme="minorHAnsi" w:hAnsiTheme="minorHAnsi" w:cstheme="minorHAnsi"/>
        </w:rPr>
        <w:t xml:space="preserve"> Skarżący w swoim wniosku z dnia 2 sierpnia 2021 r. wniósł o stwierdzenie nieważności decyzji organów obydwu instancji. Należy jednak mieć na uwadze, że decyzja organu odwoławczego jest decyzją ostateczną, która konsumuje niejako decyzję pierwszoinstancyjną. Podkreślić należy, że co do zasady instytucja stwierdzenia nieważności może dotyczyć tylko decyzji ostatecznej (w przedmiotowym przypadku wydanej przez organ II instancji). Wspomnieć należy, iż organ administracji, stwierdzając nieważność decyzji wydanej przez organ II instancji, jest równocześnie uprawniony do stwierdzenia nieważności poprzedzającej ją decyzji organu I instancji, jeżeli również ta decyzja dotknięta jest nieważnością (por. wyrok Naczelnego Sądu Administracyjnego z dnia 15 czerwca 1992 r., sygn. akt: IV SA 218/92). Biorąc pod uwagę powyższe </w:t>
      </w:r>
      <w:r w:rsidR="00F92C50" w:rsidRPr="00C86030">
        <w:rPr>
          <w:rFonts w:asciiTheme="minorHAnsi" w:hAnsiTheme="minorHAnsi" w:cstheme="minorHAnsi"/>
        </w:rPr>
        <w:t xml:space="preserve">GDOŚ ponownie rozpatrując sprawę co do zasady odnosi się do decyzji wydanej przez organ odwoławczy (GDOŚ), jednocześnie mając na względzie wniosek skarżącego w którym wniósł on o stwierdzenie nieważności zarówno decyzji organu I jak i II instancji. </w:t>
      </w:r>
    </w:p>
    <w:p w14:paraId="551D3065" w14:textId="6BBA609C" w:rsidR="00634286" w:rsidRPr="00C86030" w:rsidRDefault="00634286" w:rsidP="00C86030">
      <w:pPr>
        <w:pStyle w:val="Bezodstpw"/>
        <w:spacing w:line="288" w:lineRule="auto"/>
        <w:rPr>
          <w:rFonts w:asciiTheme="minorHAnsi" w:hAnsiTheme="minorHAnsi" w:cstheme="minorHAnsi"/>
        </w:rPr>
      </w:pPr>
      <w:r w:rsidRPr="00C86030">
        <w:rPr>
          <w:rFonts w:asciiTheme="minorHAnsi" w:hAnsiTheme="minorHAnsi" w:cstheme="minorHAnsi"/>
        </w:rPr>
        <w:t xml:space="preserve">Zgodnie z art. 5 </w:t>
      </w:r>
      <w:r w:rsidR="00AE52EE" w:rsidRPr="00C86030">
        <w:rPr>
          <w:rFonts w:asciiTheme="minorHAnsi" w:hAnsiTheme="minorHAnsi" w:cstheme="minorHAnsi"/>
        </w:rPr>
        <w:t>§ 2</w:t>
      </w:r>
      <w:r w:rsidRPr="00C86030">
        <w:rPr>
          <w:rFonts w:asciiTheme="minorHAnsi" w:hAnsiTheme="minorHAnsi" w:cstheme="minorHAnsi"/>
        </w:rPr>
        <w:t xml:space="preserve"> pkt 4 </w:t>
      </w:r>
      <w:r w:rsidR="001F32CC" w:rsidRPr="00C86030">
        <w:rPr>
          <w:rFonts w:asciiTheme="minorHAnsi" w:hAnsiTheme="minorHAnsi" w:cstheme="minorHAnsi"/>
        </w:rPr>
        <w:t>Kpa</w:t>
      </w:r>
      <w:r w:rsidRPr="00C86030">
        <w:rPr>
          <w:rFonts w:asciiTheme="minorHAnsi" w:hAnsiTheme="minorHAnsi" w:cstheme="minorHAnsi"/>
        </w:rPr>
        <w:t xml:space="preserve"> </w:t>
      </w:r>
      <w:r w:rsidR="00DA5B4B" w:rsidRPr="00C86030">
        <w:rPr>
          <w:rFonts w:asciiTheme="minorHAnsi" w:hAnsiTheme="minorHAnsi" w:cstheme="minorHAnsi"/>
        </w:rPr>
        <w:t>GDOŚ</w:t>
      </w:r>
      <w:r w:rsidRPr="00C86030">
        <w:rPr>
          <w:rFonts w:asciiTheme="minorHAnsi" w:hAnsiTheme="minorHAnsi" w:cstheme="minorHAnsi"/>
        </w:rPr>
        <w:t xml:space="preserve"> jako centralny organ administracji rządowej rozumiany jest jako minister. Biorąc pod uwagę powyższe w przedmiotowym postępowaniu stronom przysługiwał</w:t>
      </w:r>
      <w:r w:rsidR="00F6767A" w:rsidRPr="00C86030">
        <w:rPr>
          <w:rFonts w:asciiTheme="minorHAnsi" w:hAnsiTheme="minorHAnsi" w:cstheme="minorHAnsi"/>
        </w:rPr>
        <w:t xml:space="preserve"> wniosek o </w:t>
      </w:r>
      <w:r w:rsidRPr="00C86030">
        <w:rPr>
          <w:rFonts w:asciiTheme="minorHAnsi" w:hAnsiTheme="minorHAnsi" w:cstheme="minorHAnsi"/>
        </w:rPr>
        <w:t xml:space="preserve">ponowne rozpatrzenie sprawy stosownie do treści art. 127 § 3 </w:t>
      </w:r>
      <w:r w:rsidR="001F32CC" w:rsidRPr="00C86030">
        <w:rPr>
          <w:rFonts w:asciiTheme="minorHAnsi" w:hAnsiTheme="minorHAnsi" w:cstheme="minorHAnsi"/>
        </w:rPr>
        <w:t>Kpa</w:t>
      </w:r>
      <w:r w:rsidRPr="00C86030">
        <w:rPr>
          <w:rFonts w:asciiTheme="minorHAnsi" w:hAnsiTheme="minorHAnsi" w:cstheme="minorHAnsi"/>
        </w:rPr>
        <w:t xml:space="preserve">, zgodnie z którym od decyzji wydanej w pierwszej instancji przez ministra lub samorządowe kolegium odwoławcze nie służy odwołanie, jednakże strona niezadowolona z decyzji może zwrócić się do tego organu z wnioskiem o ponowne rozpatrzenie sprawy. </w:t>
      </w:r>
    </w:p>
    <w:p w14:paraId="5EE8524F" w14:textId="3849CE5B" w:rsidR="00634286" w:rsidRPr="00C86030" w:rsidRDefault="00634286" w:rsidP="00C86030">
      <w:pPr>
        <w:pStyle w:val="Bezodstpw"/>
        <w:spacing w:line="288" w:lineRule="auto"/>
        <w:rPr>
          <w:rFonts w:asciiTheme="minorHAnsi" w:hAnsiTheme="minorHAnsi" w:cstheme="minorHAnsi"/>
        </w:rPr>
      </w:pPr>
      <w:r w:rsidRPr="00C86030">
        <w:rPr>
          <w:rFonts w:asciiTheme="minorHAnsi" w:hAnsiTheme="minorHAnsi" w:cstheme="minorHAnsi"/>
        </w:rPr>
        <w:t>W postępowaniu dotyczącym ponownego rozpatrzenia sprawy umożliwiono aktywny udział stronom postępowania. GDOŚ powiadomił strony o złożeniu wniosku o ponowne rozpatrzenie sprawy</w:t>
      </w:r>
      <w:r w:rsidR="00E27086" w:rsidRPr="00C86030">
        <w:rPr>
          <w:rFonts w:asciiTheme="minorHAnsi" w:hAnsiTheme="minorHAnsi" w:cstheme="minorHAnsi"/>
        </w:rPr>
        <w:t xml:space="preserve"> </w:t>
      </w:r>
      <w:r w:rsidRPr="00C86030">
        <w:rPr>
          <w:rFonts w:asciiTheme="minorHAnsi" w:hAnsiTheme="minorHAnsi" w:cstheme="minorHAnsi"/>
        </w:rPr>
        <w:t xml:space="preserve">oraz o możliwości zapoznania się z aktami sprawy i wypowiedzenia się co do zebranych dowodów i materiałów oraz zgłoszonych żądań przed wydaniem decyzji kończącej postępowanie w sprawie. </w:t>
      </w:r>
      <w:r w:rsidR="00C01254" w:rsidRPr="00C86030">
        <w:rPr>
          <w:rFonts w:asciiTheme="minorHAnsi" w:hAnsiTheme="minorHAnsi" w:cstheme="minorHAnsi"/>
        </w:rPr>
        <w:t>Zawiadomieniami z dnia 6 kwietnia 2022 r., znak: DOOŚ-WDŚZIL.420.8.2022.AW i DOOŚ-WDŚZIL.420.8.2022.AW.3, GDOŚ poinformował strony o możliwości zapoznania się z materiałem dowodowym oraz wypowiedzenia się co do jego treści.</w:t>
      </w:r>
    </w:p>
    <w:p w14:paraId="47A002F4" w14:textId="3310C0F5" w:rsidR="007C557D" w:rsidRPr="00C86030" w:rsidRDefault="007C557D" w:rsidP="00C86030">
      <w:pPr>
        <w:pStyle w:val="Bezodstpw"/>
        <w:spacing w:line="288" w:lineRule="auto"/>
        <w:rPr>
          <w:rFonts w:asciiTheme="minorHAnsi" w:hAnsiTheme="minorHAnsi" w:cstheme="minorHAnsi"/>
        </w:rPr>
      </w:pPr>
      <w:r w:rsidRPr="00C86030">
        <w:rPr>
          <w:rFonts w:asciiTheme="minorHAnsi" w:hAnsiTheme="minorHAnsi" w:cstheme="minorHAnsi"/>
        </w:rPr>
        <w:t xml:space="preserve">Mając na uwadze zasadę dwuinstancyjności postępowania administracyjnego, której istotą jest zapewnienie stronom prawa do dwukrotnego rozpatrzenia i rozstrzygnięcia sprawy, organ, ponownie rozpoznając sprawę, dokonał analizy całości zgromadzonego materiału dowodowego i rozpatrzył sprawę w pełnym zakresie, co do okoliczności faktycznych i prawnych. GDOŚ, stojąc na straży praworządności oraz podejmując wszelkie kroki niezbędne do wyjaśnienia stanu faktycznego, w przedmiotowej sprawie nie ograniczył się do zbadania </w:t>
      </w:r>
      <w:r w:rsidRPr="00C86030">
        <w:rPr>
          <w:rFonts w:asciiTheme="minorHAnsi" w:hAnsiTheme="minorHAnsi" w:cstheme="minorHAnsi"/>
        </w:rPr>
        <w:lastRenderedPageBreak/>
        <w:t xml:space="preserve">wniosków strony, lecz dokonał analizy decyzji </w:t>
      </w:r>
      <w:r w:rsidR="00E27086" w:rsidRPr="00C86030">
        <w:rPr>
          <w:rFonts w:asciiTheme="minorHAnsi" w:hAnsiTheme="minorHAnsi" w:cstheme="minorHAnsi"/>
        </w:rPr>
        <w:t xml:space="preserve">własnej </w:t>
      </w:r>
      <w:r w:rsidRPr="00C86030">
        <w:rPr>
          <w:rFonts w:asciiTheme="minorHAnsi" w:hAnsiTheme="minorHAnsi" w:cstheme="minorHAnsi"/>
        </w:rPr>
        <w:t xml:space="preserve">pod kątem wszystkich przesłanek wymienionych w art. 156 </w:t>
      </w:r>
      <w:r w:rsidR="001F32CC" w:rsidRPr="00C86030">
        <w:rPr>
          <w:rFonts w:asciiTheme="minorHAnsi" w:hAnsiTheme="minorHAnsi" w:cstheme="minorHAnsi"/>
        </w:rPr>
        <w:t>Kpa</w:t>
      </w:r>
      <w:r w:rsidRPr="00C86030">
        <w:rPr>
          <w:rFonts w:asciiTheme="minorHAnsi" w:hAnsiTheme="minorHAnsi" w:cstheme="minorHAnsi"/>
        </w:rPr>
        <w:t xml:space="preserve">, mogących powodować nieważność decyzji. W konsekwencji GDOŚ </w:t>
      </w:r>
      <w:r w:rsidR="00E27086" w:rsidRPr="00C86030">
        <w:rPr>
          <w:rFonts w:asciiTheme="minorHAnsi" w:hAnsiTheme="minorHAnsi" w:cstheme="minorHAnsi"/>
        </w:rPr>
        <w:t>w wyniku ponownego rozpatrzenia</w:t>
      </w:r>
      <w:r w:rsidRPr="00C86030">
        <w:rPr>
          <w:rFonts w:asciiTheme="minorHAnsi" w:hAnsiTheme="minorHAnsi" w:cstheme="minorHAnsi"/>
        </w:rPr>
        <w:t xml:space="preserve"> sprawy utrzymał decyzję własną w mocy.</w:t>
      </w:r>
    </w:p>
    <w:p w14:paraId="609E1950" w14:textId="19F07FB1" w:rsidR="00F65337" w:rsidRPr="00C86030" w:rsidRDefault="00F65337" w:rsidP="00C86030">
      <w:pPr>
        <w:spacing w:line="288" w:lineRule="auto"/>
        <w:rPr>
          <w:rFonts w:asciiTheme="minorHAnsi" w:hAnsiTheme="minorHAnsi" w:cstheme="minorHAnsi"/>
        </w:rPr>
      </w:pPr>
      <w:r w:rsidRPr="00C86030">
        <w:rPr>
          <w:rFonts w:asciiTheme="minorHAnsi" w:hAnsiTheme="minorHAnsi" w:cstheme="minorHAnsi"/>
        </w:rPr>
        <w:t xml:space="preserve">Na wstępie należy podkreślić, że celem postępowania w sprawie stwierdzenia nieważności decyzji nie jest merytoryczne, ponowne rozstrzygnięcie sprawy w jej całokształcie, lecz przeprowadzenie weryfikacji ostatecznej decyzji pod względem identyfikacji wystąpienia przesłanek określonych w art. 156 § 1 pkt 1-7 </w:t>
      </w:r>
      <w:r w:rsidR="001F32CC" w:rsidRPr="00C86030">
        <w:rPr>
          <w:rFonts w:asciiTheme="minorHAnsi" w:hAnsiTheme="minorHAnsi" w:cstheme="minorHAnsi"/>
        </w:rPr>
        <w:t>Kpa</w:t>
      </w:r>
      <w:r w:rsidRPr="00C86030">
        <w:rPr>
          <w:rFonts w:asciiTheme="minorHAnsi" w:hAnsiTheme="minorHAnsi" w:cstheme="minorHAnsi"/>
        </w:rPr>
        <w:t xml:space="preserve">. Sprawa nie toczy się bowiem w trybie zwykłym, gdzie dla uchylenia decyzji wystarczy stwierdzenie naruszenia prawa mające wpływ na wynik rozstrzygnięcia, a w trybie nadzoru, kiedy zupełnie wyjątkowo, wbrew wynikającej z art. 16 § 1 </w:t>
      </w:r>
      <w:r w:rsidR="001F32CC" w:rsidRPr="00C86030">
        <w:rPr>
          <w:rFonts w:asciiTheme="minorHAnsi" w:hAnsiTheme="minorHAnsi" w:cstheme="minorHAnsi"/>
        </w:rPr>
        <w:t>Kpa</w:t>
      </w:r>
      <w:r w:rsidRPr="00C86030">
        <w:rPr>
          <w:rFonts w:asciiTheme="minorHAnsi" w:hAnsiTheme="minorHAnsi" w:cstheme="minorHAnsi"/>
        </w:rPr>
        <w:t xml:space="preserve"> zasadzie trwałości decyzji ostatecznych, z enumeratywnie wyliczonych ustawowo przyczyn można uznać decyzję ostateczną za dotkniętą tak ciężką wadą, że zachodzi konieczność uznania jej za nieważną. Organ jest zatem zobowiązany przeanalizować przesłanki określone w art. 156 § 1 </w:t>
      </w:r>
      <w:r w:rsidR="001F32CC" w:rsidRPr="00C86030">
        <w:rPr>
          <w:rFonts w:asciiTheme="minorHAnsi" w:hAnsiTheme="minorHAnsi" w:cstheme="minorHAnsi"/>
        </w:rPr>
        <w:t>Kpa</w:t>
      </w:r>
      <w:r w:rsidRPr="00C86030">
        <w:rPr>
          <w:rFonts w:asciiTheme="minorHAnsi" w:hAnsiTheme="minorHAnsi" w:cstheme="minorHAnsi"/>
        </w:rPr>
        <w:t xml:space="preserve"> i w przypadku wystąpienia którejkolwiek z nich wyeliminować z obrotu prawnego decyzję obciążoną wadą nieważności, pod warunkiem, że nie zaistniały przesłanki negatywne określone w art. 156 § 2 </w:t>
      </w:r>
      <w:r w:rsidR="001F32CC" w:rsidRPr="00C86030">
        <w:rPr>
          <w:rFonts w:asciiTheme="minorHAnsi" w:hAnsiTheme="minorHAnsi" w:cstheme="minorHAnsi"/>
        </w:rPr>
        <w:t>Kpa</w:t>
      </w:r>
      <w:r w:rsidRPr="00C86030">
        <w:rPr>
          <w:rFonts w:asciiTheme="minorHAnsi" w:hAnsiTheme="minorHAnsi" w:cstheme="minorHAnsi"/>
        </w:rPr>
        <w:t>.</w:t>
      </w:r>
    </w:p>
    <w:p w14:paraId="2C3E07A0" w14:textId="32B8E22E" w:rsidR="00F65337" w:rsidRPr="00C86030" w:rsidRDefault="00F65337" w:rsidP="00C86030">
      <w:pPr>
        <w:spacing w:line="288" w:lineRule="auto"/>
        <w:rPr>
          <w:rFonts w:asciiTheme="minorHAnsi" w:hAnsiTheme="minorHAnsi" w:cstheme="minorHAnsi"/>
        </w:rPr>
      </w:pPr>
      <w:r w:rsidRPr="00C86030">
        <w:rPr>
          <w:rFonts w:asciiTheme="minorHAnsi" w:hAnsiTheme="minorHAnsi" w:cstheme="minorHAnsi"/>
        </w:rPr>
        <w:t xml:space="preserve">Decyzją z dnia </w:t>
      </w:r>
      <w:r w:rsidR="000D18DD" w:rsidRPr="00C86030">
        <w:rPr>
          <w:rFonts w:asciiTheme="minorHAnsi" w:hAnsiTheme="minorHAnsi" w:cstheme="minorHAnsi"/>
        </w:rPr>
        <w:t>4 marca</w:t>
      </w:r>
      <w:r w:rsidR="000030E7" w:rsidRPr="00C86030">
        <w:rPr>
          <w:rFonts w:asciiTheme="minorHAnsi" w:hAnsiTheme="minorHAnsi" w:cstheme="minorHAnsi"/>
        </w:rPr>
        <w:t xml:space="preserve"> </w:t>
      </w:r>
      <w:r w:rsidR="000D18DD" w:rsidRPr="00C86030">
        <w:rPr>
          <w:rFonts w:asciiTheme="minorHAnsi" w:hAnsiTheme="minorHAnsi" w:cstheme="minorHAnsi"/>
        </w:rPr>
        <w:t>2022</w:t>
      </w:r>
      <w:r w:rsidR="000030E7" w:rsidRPr="00C86030">
        <w:rPr>
          <w:rFonts w:asciiTheme="minorHAnsi" w:hAnsiTheme="minorHAnsi" w:cstheme="minorHAnsi"/>
        </w:rPr>
        <w:t xml:space="preserve"> r., znak: </w:t>
      </w:r>
      <w:r w:rsidR="000D18DD" w:rsidRPr="00C86030">
        <w:rPr>
          <w:rFonts w:asciiTheme="minorHAnsi" w:hAnsiTheme="minorHAnsi" w:cstheme="minorHAnsi"/>
        </w:rPr>
        <w:t>DOOŚ-WDŚZIL.420.31.2021.MD.mk.15</w:t>
      </w:r>
      <w:r w:rsidRPr="00C86030">
        <w:rPr>
          <w:rFonts w:asciiTheme="minorHAnsi" w:hAnsiTheme="minorHAnsi" w:cstheme="minorHAnsi"/>
          <w:bCs/>
        </w:rPr>
        <w:t xml:space="preserve">, GDOŚ odmówił stwierdzenia nieważności decyzji </w:t>
      </w:r>
      <w:r w:rsidR="000D18DD" w:rsidRPr="00C86030">
        <w:rPr>
          <w:rFonts w:asciiTheme="minorHAnsi" w:hAnsiTheme="minorHAnsi" w:cstheme="minorHAnsi"/>
          <w:bCs/>
        </w:rPr>
        <w:t>GDOŚ</w:t>
      </w:r>
      <w:r w:rsidR="000030E7" w:rsidRPr="00C86030">
        <w:rPr>
          <w:rFonts w:asciiTheme="minorHAnsi" w:hAnsiTheme="minorHAnsi" w:cstheme="minorHAnsi"/>
        </w:rPr>
        <w:t xml:space="preserve"> </w:t>
      </w:r>
      <w:r w:rsidR="000D18DD" w:rsidRPr="00C86030">
        <w:rPr>
          <w:rFonts w:asciiTheme="minorHAnsi" w:hAnsiTheme="minorHAnsi" w:cstheme="minorHAnsi"/>
        </w:rPr>
        <w:t>z dnia 24 lutego 2017 r., znak: DOOŚ-DŚII.4200.34.2016.aj.1</w:t>
      </w:r>
      <w:r w:rsidR="000030E7" w:rsidRPr="00C86030">
        <w:rPr>
          <w:rFonts w:asciiTheme="minorHAnsi" w:hAnsiTheme="minorHAnsi" w:cstheme="minorHAnsi"/>
        </w:rPr>
        <w:t xml:space="preserve">, </w:t>
      </w:r>
      <w:r w:rsidR="000D18DD" w:rsidRPr="00C86030">
        <w:rPr>
          <w:rFonts w:asciiTheme="minorHAnsi" w:hAnsiTheme="minorHAnsi" w:cstheme="minorHAnsi"/>
        </w:rPr>
        <w:t>uchylającej w części i w tym zakresie orzekającej co do istoty sprawy a w pozostałym zakresi</w:t>
      </w:r>
      <w:bookmarkStart w:id="3" w:name="_GoBack"/>
      <w:bookmarkEnd w:id="3"/>
      <w:r w:rsidR="000D18DD" w:rsidRPr="00C86030">
        <w:rPr>
          <w:rFonts w:asciiTheme="minorHAnsi" w:hAnsiTheme="minorHAnsi" w:cstheme="minorHAnsi"/>
        </w:rPr>
        <w:t>e utrzymującej w mocy decyzję Regionalnego Dyrektora Ochrony Środowiska w Warszawie z dnia 29 lutego 2016 r., znak: WOOŚ-II.4200.8.2015.MW, o środowiskowych uwarunkowaniach przedsięwzięcia polegającego na rozbudowie drogi krajowej nr 7 do parametrów drogi ekspresowej na odcinku Płońsk – Czosnów, według wariantu I przebiegu drogi z wariantem 2 przebudowy mostu przez Wisłę</w:t>
      </w:r>
      <w:r w:rsidR="000030E7" w:rsidRPr="00C86030">
        <w:rPr>
          <w:rFonts w:asciiTheme="minorHAnsi" w:hAnsiTheme="minorHAnsi" w:cstheme="minorHAnsi"/>
          <w:bCs/>
        </w:rPr>
        <w:t>.</w:t>
      </w:r>
      <w:r w:rsidRPr="00C86030">
        <w:rPr>
          <w:rFonts w:asciiTheme="minorHAnsi" w:hAnsiTheme="minorHAnsi" w:cstheme="minorHAnsi"/>
        </w:rPr>
        <w:t xml:space="preserve"> W uzasadnieniu decyzji, GDOŚ ustosunkował się do zarzutów zgłoszonych przez </w:t>
      </w:r>
      <w:r w:rsidR="00C86030">
        <w:rPr>
          <w:rFonts w:asciiTheme="minorHAnsi" w:hAnsiTheme="minorHAnsi" w:cstheme="minorHAnsi"/>
        </w:rPr>
        <w:t>(…)</w:t>
      </w:r>
      <w:r w:rsidR="0013598D" w:rsidRPr="00C86030">
        <w:rPr>
          <w:rFonts w:asciiTheme="minorHAnsi" w:hAnsiTheme="minorHAnsi" w:cstheme="minorHAnsi"/>
        </w:rPr>
        <w:t xml:space="preserve">, a także </w:t>
      </w:r>
      <w:r w:rsidRPr="00C86030">
        <w:rPr>
          <w:rFonts w:asciiTheme="minorHAnsi" w:hAnsiTheme="minorHAnsi" w:cstheme="minorHAnsi"/>
        </w:rPr>
        <w:t xml:space="preserve">zbadał czy w przedmiotowej sprawie zaistniała którakolwiek z przesłanek wymienionych w art. 156 § 1 </w:t>
      </w:r>
      <w:r w:rsidR="001F32CC" w:rsidRPr="00C86030">
        <w:rPr>
          <w:rFonts w:asciiTheme="minorHAnsi" w:hAnsiTheme="minorHAnsi" w:cstheme="minorHAnsi"/>
        </w:rPr>
        <w:t>Kpa</w:t>
      </w:r>
      <w:r w:rsidRPr="00C86030">
        <w:rPr>
          <w:rFonts w:asciiTheme="minorHAnsi" w:hAnsiTheme="minorHAnsi" w:cstheme="minorHAnsi"/>
        </w:rPr>
        <w:t xml:space="preserve">, pozwalających na stwierdzenie nieważności ww. decyzji </w:t>
      </w:r>
      <w:r w:rsidR="00D47478" w:rsidRPr="00C86030">
        <w:rPr>
          <w:rFonts w:asciiTheme="minorHAnsi" w:hAnsiTheme="minorHAnsi" w:cstheme="minorHAnsi"/>
        </w:rPr>
        <w:t>GDOŚ</w:t>
      </w:r>
      <w:r w:rsidRPr="00C86030">
        <w:rPr>
          <w:rFonts w:asciiTheme="minorHAnsi" w:hAnsiTheme="minorHAnsi" w:cstheme="minorHAnsi"/>
        </w:rPr>
        <w:t>.</w:t>
      </w:r>
    </w:p>
    <w:p w14:paraId="62B75EBD" w14:textId="3BE40FF2" w:rsidR="006140CF" w:rsidRPr="00C86030" w:rsidRDefault="006140CF" w:rsidP="00C86030">
      <w:pPr>
        <w:spacing w:line="288" w:lineRule="auto"/>
        <w:rPr>
          <w:rFonts w:asciiTheme="minorHAnsi" w:hAnsiTheme="minorHAnsi" w:cstheme="minorHAnsi"/>
        </w:rPr>
      </w:pPr>
      <w:r w:rsidRPr="00C86030">
        <w:rPr>
          <w:rFonts w:asciiTheme="minorHAnsi" w:hAnsiTheme="minorHAnsi" w:cstheme="minorHAnsi"/>
        </w:rPr>
        <w:t xml:space="preserve">Dokonując oceny prawidłowości decyzji własnej z dnia </w:t>
      </w:r>
      <w:r w:rsidR="00D47478" w:rsidRPr="00C86030">
        <w:rPr>
          <w:rFonts w:asciiTheme="minorHAnsi" w:hAnsiTheme="minorHAnsi" w:cstheme="minorHAnsi"/>
        </w:rPr>
        <w:t>4 marca 2022</w:t>
      </w:r>
      <w:r w:rsidR="00A777D2" w:rsidRPr="00C86030">
        <w:rPr>
          <w:rFonts w:asciiTheme="minorHAnsi" w:hAnsiTheme="minorHAnsi" w:cstheme="minorHAnsi"/>
        </w:rPr>
        <w:t xml:space="preserve"> r.</w:t>
      </w:r>
      <w:r w:rsidRPr="00C86030">
        <w:rPr>
          <w:rFonts w:asciiTheme="minorHAnsi" w:hAnsiTheme="minorHAnsi" w:cstheme="minorHAnsi"/>
        </w:rPr>
        <w:t xml:space="preserve">, GDOŚ ponownie nie stwierdził naruszenia przepisów o właściwości, o których mowa w art. 156 § 1 pkt 1 </w:t>
      </w:r>
      <w:r w:rsidR="001F32CC" w:rsidRPr="00C86030">
        <w:rPr>
          <w:rFonts w:asciiTheme="minorHAnsi" w:hAnsiTheme="minorHAnsi" w:cstheme="minorHAnsi"/>
        </w:rPr>
        <w:t>Kpa</w:t>
      </w:r>
      <w:r w:rsidRPr="00C86030">
        <w:rPr>
          <w:rFonts w:asciiTheme="minorHAnsi" w:hAnsiTheme="minorHAnsi" w:cstheme="minorHAnsi"/>
        </w:rPr>
        <w:t xml:space="preserve">, </w:t>
      </w:r>
      <w:r w:rsidR="005A6F7C" w:rsidRPr="00C86030">
        <w:rPr>
          <w:rFonts w:asciiTheme="minorHAnsi" w:hAnsiTheme="minorHAnsi" w:cstheme="minorHAnsi"/>
        </w:rPr>
        <w:t xml:space="preserve">gdyż </w:t>
      </w:r>
      <w:r w:rsidRPr="00C86030">
        <w:rPr>
          <w:rFonts w:asciiTheme="minorHAnsi" w:hAnsiTheme="minorHAnsi" w:cstheme="minorHAnsi"/>
        </w:rPr>
        <w:t xml:space="preserve">organem właściwym do wydania decyzji </w:t>
      </w:r>
      <w:r w:rsidR="00D47478" w:rsidRPr="00C86030">
        <w:rPr>
          <w:rFonts w:asciiTheme="minorHAnsi" w:hAnsiTheme="minorHAnsi" w:cstheme="minorHAnsi"/>
        </w:rPr>
        <w:t>w I instancji był RDOŚ w Warszawie, natomiast organem właściwym do rozpatrzenia odwołania był GDOŚ. Wynika to z faktu, iż przedmiotowa inwestycja realizowana będzie w województwie mazowieckim</w:t>
      </w:r>
      <w:r w:rsidR="00CA3FD3" w:rsidRPr="00C86030">
        <w:rPr>
          <w:rFonts w:asciiTheme="minorHAnsi" w:hAnsiTheme="minorHAnsi" w:cstheme="minorHAnsi"/>
        </w:rPr>
        <w:t xml:space="preserve">, w którym właściwość miejscową posiada RDOŚ w Warszawie. </w:t>
      </w:r>
      <w:r w:rsidR="00D47478" w:rsidRPr="00C86030">
        <w:rPr>
          <w:rFonts w:asciiTheme="minorHAnsi" w:hAnsiTheme="minorHAnsi" w:cstheme="minorHAnsi"/>
        </w:rPr>
        <w:t xml:space="preserve">Ponadto zgodnie z art. 75 ust. 1 pkt 1 lit. a tiret pierwsze </w:t>
      </w:r>
      <w:r w:rsidR="002F06B2" w:rsidRPr="00C86030">
        <w:rPr>
          <w:rFonts w:asciiTheme="minorHAnsi" w:hAnsiTheme="minorHAnsi" w:cstheme="minorHAnsi"/>
        </w:rPr>
        <w:t xml:space="preserve">ustawy z dnia 3 października 2008 r. o udostępnieniu informacji o środowisku i jego ochronie, udziale społeczeństwa w ochronie środowiska oraz o ocenach oddziaływania na środowisko (Dz. U. z 2016 r. poz. 353, ze zm.), dalej ustawa ooś </w:t>
      </w:r>
      <w:r w:rsidR="00D47478" w:rsidRPr="00C86030">
        <w:rPr>
          <w:rFonts w:asciiTheme="minorHAnsi" w:hAnsiTheme="minorHAnsi" w:cstheme="minorHAnsi"/>
        </w:rPr>
        <w:t xml:space="preserve">organem właściwym do wydania decyzji o środowiskowych uwarunkowaniach jest – w przypadku dróg będących przedsięwzięciami mogącymi zawsze znacząco oddziaływać na środowisko – regionalny dyrektor ochrony środowiska. </w:t>
      </w:r>
      <w:r w:rsidR="002F06B2" w:rsidRPr="00C86030">
        <w:rPr>
          <w:rFonts w:asciiTheme="minorHAnsi" w:hAnsiTheme="minorHAnsi" w:cstheme="minorHAnsi"/>
        </w:rPr>
        <w:t xml:space="preserve">Natomiast biorąc pod uwagę brzmienie art. 127 ust. 3 ustawy ooś GDOŚ pełni funkcję organu wyższego stopnia w rozumieniu Kpa w stosunku do regionalnych dyrektorów ochrony środowiska, zatem GDOŚ, zgodnie z art. 127 § </w:t>
      </w:r>
      <w:r w:rsidR="002F06B2" w:rsidRPr="00C86030">
        <w:rPr>
          <w:rFonts w:asciiTheme="minorHAnsi" w:hAnsiTheme="minorHAnsi" w:cstheme="minorHAnsi"/>
        </w:rPr>
        <w:lastRenderedPageBreak/>
        <w:t xml:space="preserve">2 Kpa, był organem właściwym do rozpatrzenia wniesionego odwołania. </w:t>
      </w:r>
      <w:r w:rsidR="00D47478" w:rsidRPr="00C86030">
        <w:rPr>
          <w:rFonts w:asciiTheme="minorHAnsi" w:hAnsiTheme="minorHAnsi" w:cstheme="minorHAnsi"/>
        </w:rPr>
        <w:t>W przedmiotowej sprawie nie doszło do wydania decyzji przez niewłaściwy organ. Kwestionowana decyzja została wydana przez organ mający kompetencję w danej sprawie administracyjnej.</w:t>
      </w:r>
    </w:p>
    <w:p w14:paraId="5ACFECE5" w14:textId="34F441A2" w:rsidR="001F32CC" w:rsidRPr="00C86030" w:rsidRDefault="001F32CC" w:rsidP="00C86030">
      <w:pPr>
        <w:spacing w:line="288" w:lineRule="auto"/>
        <w:rPr>
          <w:rFonts w:asciiTheme="minorHAnsi" w:hAnsiTheme="minorHAnsi" w:cstheme="minorHAnsi"/>
        </w:rPr>
      </w:pPr>
      <w:r w:rsidRPr="00C86030">
        <w:rPr>
          <w:rFonts w:asciiTheme="minorHAnsi" w:hAnsiTheme="minorHAnsi" w:cstheme="minorHAnsi"/>
        </w:rPr>
        <w:t xml:space="preserve">Do przesłanki zawartej w art. 156 § 1 pkt 2 Kpa GDOŚ odniesie się w dalszej części niniejszej decyzji.  </w:t>
      </w:r>
    </w:p>
    <w:p w14:paraId="2FBA5BCB" w14:textId="13FD796C" w:rsidR="006140CF" w:rsidRPr="00C86030" w:rsidRDefault="006140CF" w:rsidP="00C86030">
      <w:pPr>
        <w:spacing w:line="288" w:lineRule="auto"/>
        <w:rPr>
          <w:rFonts w:asciiTheme="minorHAnsi" w:hAnsiTheme="minorHAnsi" w:cstheme="minorHAnsi"/>
        </w:rPr>
      </w:pPr>
      <w:r w:rsidRPr="00C86030">
        <w:rPr>
          <w:rFonts w:asciiTheme="minorHAnsi" w:hAnsiTheme="minorHAnsi" w:cstheme="minorHAnsi"/>
        </w:rPr>
        <w:t xml:space="preserve">Decyzja RDOŚ w </w:t>
      </w:r>
      <w:r w:rsidR="002F06B2" w:rsidRPr="00C86030">
        <w:rPr>
          <w:rFonts w:asciiTheme="minorHAnsi" w:hAnsiTheme="minorHAnsi" w:cstheme="minorHAnsi"/>
        </w:rPr>
        <w:t>Warszawie oraz decyzja GDOŚ</w:t>
      </w:r>
      <w:r w:rsidRPr="00C86030">
        <w:rPr>
          <w:rFonts w:asciiTheme="minorHAnsi" w:hAnsiTheme="minorHAnsi" w:cstheme="minorHAnsi"/>
        </w:rPr>
        <w:t xml:space="preserve"> nie dotycz</w:t>
      </w:r>
      <w:r w:rsidR="002F06B2" w:rsidRPr="00C86030">
        <w:rPr>
          <w:rFonts w:asciiTheme="minorHAnsi" w:hAnsiTheme="minorHAnsi" w:cstheme="minorHAnsi"/>
        </w:rPr>
        <w:t>ą</w:t>
      </w:r>
      <w:r w:rsidRPr="00C86030">
        <w:rPr>
          <w:rFonts w:asciiTheme="minorHAnsi" w:hAnsiTheme="minorHAnsi" w:cstheme="minorHAnsi"/>
        </w:rPr>
        <w:t xml:space="preserve"> sprawy już poprzednio rozstrzygniętej inną decyzją ostateczną, zatem w niniejszej sprawie nie zachodzi także przesłanka zawarta w art. 156 § 1 pkt 3 </w:t>
      </w:r>
      <w:r w:rsidR="001F32CC" w:rsidRPr="00C86030">
        <w:rPr>
          <w:rFonts w:asciiTheme="minorHAnsi" w:hAnsiTheme="minorHAnsi" w:cstheme="minorHAnsi"/>
        </w:rPr>
        <w:t>Kpa</w:t>
      </w:r>
      <w:r w:rsidRPr="00C86030">
        <w:rPr>
          <w:rFonts w:asciiTheme="minorHAnsi" w:hAnsiTheme="minorHAnsi" w:cstheme="minorHAnsi"/>
        </w:rPr>
        <w:t>.</w:t>
      </w:r>
    </w:p>
    <w:p w14:paraId="1B603A23" w14:textId="3C816782" w:rsidR="006140CF" w:rsidRPr="00C86030" w:rsidRDefault="006140CF" w:rsidP="00C86030">
      <w:pPr>
        <w:spacing w:line="288" w:lineRule="auto"/>
        <w:rPr>
          <w:rFonts w:asciiTheme="minorHAnsi" w:hAnsiTheme="minorHAnsi" w:cstheme="minorHAnsi"/>
        </w:rPr>
      </w:pPr>
      <w:r w:rsidRPr="00C86030">
        <w:rPr>
          <w:rFonts w:asciiTheme="minorHAnsi" w:hAnsiTheme="minorHAnsi" w:cstheme="minorHAnsi"/>
        </w:rPr>
        <w:t xml:space="preserve">Ponownie rozpatrując sprawę, GDOŚ nie stwierdził również, aby decyzja RDOŚ w </w:t>
      </w:r>
      <w:r w:rsidR="002F06B2" w:rsidRPr="00C86030">
        <w:rPr>
          <w:rFonts w:asciiTheme="minorHAnsi" w:hAnsiTheme="minorHAnsi" w:cstheme="minorHAnsi"/>
        </w:rPr>
        <w:t xml:space="preserve">Warszawie oraz </w:t>
      </w:r>
      <w:r w:rsidR="00CA3FD3" w:rsidRPr="00C86030">
        <w:rPr>
          <w:rFonts w:asciiTheme="minorHAnsi" w:hAnsiTheme="minorHAnsi" w:cstheme="minorHAnsi"/>
        </w:rPr>
        <w:t>reformująca ją decyzja GDOŚ</w:t>
      </w:r>
      <w:r w:rsidRPr="00C86030">
        <w:rPr>
          <w:rFonts w:asciiTheme="minorHAnsi" w:hAnsiTheme="minorHAnsi" w:cstheme="minorHAnsi"/>
        </w:rPr>
        <w:t xml:space="preserve"> była skierowana do osoby niebędącej stroną w sprawie, nie można zatem mówić o zaistnieniu przesłanki stwierdzenia nieważności decyzji</w:t>
      </w:r>
      <w:r w:rsidR="00D64DED" w:rsidRPr="00C86030">
        <w:rPr>
          <w:rFonts w:asciiTheme="minorHAnsi" w:hAnsiTheme="minorHAnsi" w:cstheme="minorHAnsi"/>
        </w:rPr>
        <w:t xml:space="preserve"> zawartej w art. 156 § 1 pkt 4 </w:t>
      </w:r>
      <w:r w:rsidR="001F32CC" w:rsidRPr="00C86030">
        <w:rPr>
          <w:rFonts w:asciiTheme="minorHAnsi" w:hAnsiTheme="minorHAnsi" w:cstheme="minorHAnsi"/>
        </w:rPr>
        <w:t>Kpa</w:t>
      </w:r>
      <w:r w:rsidRPr="00C86030">
        <w:rPr>
          <w:rFonts w:asciiTheme="minorHAnsi" w:hAnsiTheme="minorHAnsi" w:cstheme="minorHAnsi"/>
        </w:rPr>
        <w:t>.</w:t>
      </w:r>
    </w:p>
    <w:p w14:paraId="55A31DD1" w14:textId="779289A3" w:rsidR="006140CF" w:rsidRPr="00C86030" w:rsidRDefault="008B228A" w:rsidP="00C86030">
      <w:pPr>
        <w:spacing w:line="288" w:lineRule="auto"/>
        <w:rPr>
          <w:rFonts w:asciiTheme="minorHAnsi" w:hAnsiTheme="minorHAnsi" w:cstheme="minorHAnsi"/>
        </w:rPr>
      </w:pPr>
      <w:r w:rsidRPr="00C86030">
        <w:rPr>
          <w:rFonts w:asciiTheme="minorHAnsi" w:hAnsiTheme="minorHAnsi" w:cstheme="minorHAnsi"/>
        </w:rPr>
        <w:t>Również nie można uznać</w:t>
      </w:r>
      <w:r w:rsidR="006140CF" w:rsidRPr="00C86030">
        <w:rPr>
          <w:rFonts w:asciiTheme="minorHAnsi" w:hAnsiTheme="minorHAnsi" w:cstheme="minorHAnsi"/>
        </w:rPr>
        <w:t xml:space="preserve">, aby </w:t>
      </w:r>
      <w:r w:rsidR="00CA3FD3" w:rsidRPr="00C86030">
        <w:rPr>
          <w:rFonts w:asciiTheme="minorHAnsi" w:hAnsiTheme="minorHAnsi" w:cstheme="minorHAnsi"/>
        </w:rPr>
        <w:t xml:space="preserve">decyzja o środowiskowych uwarunkowaniach dla planowanego </w:t>
      </w:r>
      <w:r w:rsidR="00D33212" w:rsidRPr="00C86030">
        <w:rPr>
          <w:rFonts w:asciiTheme="minorHAnsi" w:hAnsiTheme="minorHAnsi" w:cstheme="minorHAnsi"/>
        </w:rPr>
        <w:t>przedsięwzięcia była</w:t>
      </w:r>
      <w:r w:rsidR="006140CF" w:rsidRPr="00C86030">
        <w:rPr>
          <w:rFonts w:asciiTheme="minorHAnsi" w:hAnsiTheme="minorHAnsi" w:cstheme="minorHAnsi"/>
        </w:rPr>
        <w:t xml:space="preserve"> niewykonalna w dniu jej wydania, a jej niewykonalność miała charakter trwały</w:t>
      </w:r>
      <w:r w:rsidRPr="00C86030">
        <w:rPr>
          <w:rFonts w:asciiTheme="minorHAnsi" w:hAnsiTheme="minorHAnsi" w:cstheme="minorHAnsi"/>
        </w:rPr>
        <w:t xml:space="preserve">, co eliminuje przesłankę, o której mowa w art. 156 </w:t>
      </w:r>
      <w:r w:rsidR="00D64DED" w:rsidRPr="00C86030">
        <w:rPr>
          <w:rFonts w:asciiTheme="minorHAnsi" w:hAnsiTheme="minorHAnsi" w:cstheme="minorHAnsi"/>
        </w:rPr>
        <w:t xml:space="preserve">§ 1 pkt 5 </w:t>
      </w:r>
      <w:r w:rsidR="001F32CC" w:rsidRPr="00C86030">
        <w:rPr>
          <w:rFonts w:asciiTheme="minorHAnsi" w:hAnsiTheme="minorHAnsi" w:cstheme="minorHAnsi"/>
        </w:rPr>
        <w:t>Kpa</w:t>
      </w:r>
      <w:r w:rsidRPr="00C86030">
        <w:rPr>
          <w:rFonts w:asciiTheme="minorHAnsi" w:hAnsiTheme="minorHAnsi" w:cstheme="minorHAnsi"/>
        </w:rPr>
        <w:t>.</w:t>
      </w:r>
    </w:p>
    <w:p w14:paraId="6DBBB13E" w14:textId="0EE53DFC" w:rsidR="00D82777" w:rsidRPr="00C86030" w:rsidRDefault="00D82777" w:rsidP="00C86030">
      <w:pPr>
        <w:spacing w:line="288" w:lineRule="auto"/>
        <w:rPr>
          <w:rStyle w:val="info-list-value-uzasadnienie"/>
          <w:rFonts w:asciiTheme="minorHAnsi" w:hAnsiTheme="minorHAnsi" w:cstheme="minorHAnsi"/>
        </w:rPr>
      </w:pPr>
      <w:r w:rsidRPr="00C86030">
        <w:rPr>
          <w:rStyle w:val="info-list-value-uzasadnienie"/>
          <w:rFonts w:asciiTheme="minorHAnsi" w:hAnsiTheme="minorHAnsi" w:cstheme="minorHAnsi"/>
        </w:rPr>
        <w:t xml:space="preserve">Nie wystąpiła również przesłanka wskazana w art. 156 § 1 pkt 6 </w:t>
      </w:r>
      <w:r w:rsidR="001F32CC" w:rsidRPr="00C86030">
        <w:rPr>
          <w:rStyle w:val="info-list-value-uzasadnienie"/>
          <w:rFonts w:asciiTheme="minorHAnsi" w:hAnsiTheme="minorHAnsi" w:cstheme="minorHAnsi"/>
        </w:rPr>
        <w:t>Kpa</w:t>
      </w:r>
      <w:r w:rsidRPr="00C86030">
        <w:rPr>
          <w:rStyle w:val="info-list-value-uzasadnienie"/>
          <w:rFonts w:asciiTheme="minorHAnsi" w:hAnsiTheme="minorHAnsi" w:cstheme="minorHAnsi"/>
        </w:rPr>
        <w:t xml:space="preserve">, tj. decyzja w razie jej wykonania wywołałaby czyn zagrożony karą. Zaskarżona decyzja nie zawiera rozstrzygnięcia sprawy co do </w:t>
      </w:r>
      <w:r w:rsidR="00AE52EE" w:rsidRPr="00C86030">
        <w:rPr>
          <w:rStyle w:val="info-list-value-uzasadnienie"/>
          <w:rFonts w:asciiTheme="minorHAnsi" w:hAnsiTheme="minorHAnsi" w:cstheme="minorHAnsi"/>
        </w:rPr>
        <w:t>istoty</w:t>
      </w:r>
      <w:r w:rsidRPr="00C86030">
        <w:rPr>
          <w:rStyle w:val="info-list-value-uzasadnienie"/>
          <w:rFonts w:asciiTheme="minorHAnsi" w:hAnsiTheme="minorHAnsi" w:cstheme="minorHAnsi"/>
        </w:rPr>
        <w:t xml:space="preserve"> ani innych treści, które byłyby niewykonalne w dniu jej wydania bądź ich wykonanie wywołałoby czyn zagrożony karą.</w:t>
      </w:r>
    </w:p>
    <w:p w14:paraId="548B7AF4" w14:textId="6CE1E502" w:rsidR="00D82777" w:rsidRPr="00C86030" w:rsidRDefault="006140CF" w:rsidP="00C86030">
      <w:pPr>
        <w:spacing w:line="288" w:lineRule="auto"/>
        <w:rPr>
          <w:rFonts w:asciiTheme="minorHAnsi" w:hAnsiTheme="minorHAnsi" w:cstheme="minorHAnsi"/>
        </w:rPr>
      </w:pPr>
      <w:r w:rsidRPr="00C86030">
        <w:rPr>
          <w:rFonts w:asciiTheme="minorHAnsi" w:hAnsiTheme="minorHAnsi" w:cstheme="minorHAnsi"/>
        </w:rPr>
        <w:t xml:space="preserve">W niniejszej sprawie nie można również uznać, że decyzja </w:t>
      </w:r>
      <w:r w:rsidR="00CA3FD3" w:rsidRPr="00C86030">
        <w:rPr>
          <w:rFonts w:asciiTheme="minorHAnsi" w:hAnsiTheme="minorHAnsi" w:cstheme="minorHAnsi"/>
        </w:rPr>
        <w:t>reformatoryjna GDOŚ</w:t>
      </w:r>
      <w:r w:rsidRPr="00C86030">
        <w:rPr>
          <w:rFonts w:asciiTheme="minorHAnsi" w:hAnsiTheme="minorHAnsi" w:cstheme="minorHAnsi"/>
        </w:rPr>
        <w:t xml:space="preserve"> zawiera wadę powodującą jej nieważność z m</w:t>
      </w:r>
      <w:r w:rsidR="00D64DED" w:rsidRPr="00C86030">
        <w:rPr>
          <w:rFonts w:asciiTheme="minorHAnsi" w:hAnsiTheme="minorHAnsi" w:cstheme="minorHAnsi"/>
        </w:rPr>
        <w:t xml:space="preserve">ocy prawa – art. 156 § 1 pkt 7 </w:t>
      </w:r>
      <w:r w:rsidR="001F32CC" w:rsidRPr="00C86030">
        <w:rPr>
          <w:rFonts w:asciiTheme="minorHAnsi" w:hAnsiTheme="minorHAnsi" w:cstheme="minorHAnsi"/>
        </w:rPr>
        <w:t>Kpa</w:t>
      </w:r>
      <w:r w:rsidRPr="00C86030">
        <w:rPr>
          <w:rFonts w:asciiTheme="minorHAnsi" w:hAnsiTheme="minorHAnsi" w:cstheme="minorHAnsi"/>
        </w:rPr>
        <w:t xml:space="preserve">, brak jest bowiem szczególnego przepisu prawa, który przewidywałby skutek w postaci stwierdzenia nieważności decyzji wydanej w przedmiotowej sprawie. </w:t>
      </w:r>
    </w:p>
    <w:p w14:paraId="22DA5343" w14:textId="3B864026" w:rsidR="006E171E" w:rsidRPr="00C86030" w:rsidRDefault="006E171E" w:rsidP="00C86030">
      <w:pPr>
        <w:spacing w:line="288" w:lineRule="auto"/>
        <w:rPr>
          <w:rFonts w:asciiTheme="minorHAnsi" w:hAnsiTheme="minorHAnsi" w:cstheme="minorHAnsi"/>
        </w:rPr>
      </w:pPr>
      <w:r w:rsidRPr="00C86030">
        <w:rPr>
          <w:rFonts w:asciiTheme="minorHAnsi" w:hAnsiTheme="minorHAnsi" w:cstheme="minorHAnsi"/>
        </w:rPr>
        <w:t xml:space="preserve">W związku z powyższym GDOŚ potwierdza ustalenia zawarte w decyzji własnej z dnia </w:t>
      </w:r>
      <w:r w:rsidR="00CA3FD3" w:rsidRPr="00C86030">
        <w:rPr>
          <w:rFonts w:asciiTheme="minorHAnsi" w:hAnsiTheme="minorHAnsi" w:cstheme="minorHAnsi"/>
        </w:rPr>
        <w:t>4 marca 2022</w:t>
      </w:r>
      <w:r w:rsidRPr="00C86030">
        <w:rPr>
          <w:rFonts w:asciiTheme="minorHAnsi" w:hAnsiTheme="minorHAnsi" w:cstheme="minorHAnsi"/>
        </w:rPr>
        <w:t xml:space="preserve"> r. Jednocześnie należy wskazać, iż w wyniku ponownego rozpatrzeni</w:t>
      </w:r>
      <w:r w:rsidR="00DA5B4B" w:rsidRPr="00C86030">
        <w:rPr>
          <w:rFonts w:asciiTheme="minorHAnsi" w:hAnsiTheme="minorHAnsi" w:cstheme="minorHAnsi"/>
        </w:rPr>
        <w:t>a</w:t>
      </w:r>
      <w:r w:rsidRPr="00C86030">
        <w:rPr>
          <w:rFonts w:asciiTheme="minorHAnsi" w:hAnsiTheme="minorHAnsi" w:cstheme="minorHAnsi"/>
        </w:rPr>
        <w:t xml:space="preserve"> sprawy</w:t>
      </w:r>
      <w:r w:rsidR="00643706" w:rsidRPr="00C86030">
        <w:rPr>
          <w:rFonts w:asciiTheme="minorHAnsi" w:hAnsiTheme="minorHAnsi" w:cstheme="minorHAnsi"/>
        </w:rPr>
        <w:t>, w</w:t>
      </w:r>
      <w:r w:rsidRPr="00C86030">
        <w:rPr>
          <w:rFonts w:asciiTheme="minorHAnsi" w:hAnsiTheme="minorHAnsi" w:cstheme="minorHAnsi"/>
        </w:rPr>
        <w:t xml:space="preserve"> sprawie nie pojawiły się, żadne nowe dowody ani argumenty stron mogące wskazywać na wystąpienie jednej z ww. przesłanek do stwierdzenia nieważności decyzji.</w:t>
      </w:r>
    </w:p>
    <w:p w14:paraId="329D09C5" w14:textId="705238EC" w:rsidR="006140CF" w:rsidRPr="00C86030" w:rsidRDefault="006140CF" w:rsidP="00C86030">
      <w:pPr>
        <w:pStyle w:val="Tekstpodstawowy"/>
        <w:spacing w:before="0" w:line="288" w:lineRule="auto"/>
        <w:jc w:val="left"/>
        <w:rPr>
          <w:rFonts w:asciiTheme="minorHAnsi" w:hAnsiTheme="minorHAnsi" w:cstheme="minorHAnsi"/>
        </w:rPr>
      </w:pPr>
      <w:r w:rsidRPr="00C86030">
        <w:rPr>
          <w:rFonts w:asciiTheme="minorHAnsi" w:hAnsiTheme="minorHAnsi" w:cstheme="minorHAnsi"/>
        </w:rPr>
        <w:t>Po ponownym rozpatrzeniu sprawy GDOŚ stoi na stanowisku, że w niniejszej sprawie nie zaistniała</w:t>
      </w:r>
      <w:r w:rsidR="00AB6FAA" w:rsidRPr="00C86030">
        <w:rPr>
          <w:rFonts w:asciiTheme="minorHAnsi" w:hAnsiTheme="minorHAnsi" w:cstheme="minorHAnsi"/>
        </w:rPr>
        <w:t xml:space="preserve"> taka</w:t>
      </w:r>
      <w:r w:rsidRPr="00C86030">
        <w:rPr>
          <w:rFonts w:asciiTheme="minorHAnsi" w:hAnsiTheme="minorHAnsi" w:cstheme="minorHAnsi"/>
        </w:rPr>
        <w:t xml:space="preserve"> przesłanka określona w art. 156 </w:t>
      </w:r>
      <w:r w:rsidRPr="00C86030">
        <w:rPr>
          <w:rStyle w:val="info-list-value-uzasadnienie"/>
          <w:rFonts w:asciiTheme="minorHAnsi" w:hAnsiTheme="minorHAnsi" w:cstheme="minorHAnsi"/>
        </w:rPr>
        <w:t>§</w:t>
      </w:r>
      <w:r w:rsidR="00D64DED" w:rsidRPr="00C86030">
        <w:rPr>
          <w:rFonts w:asciiTheme="minorHAnsi" w:hAnsiTheme="minorHAnsi" w:cstheme="minorHAnsi"/>
        </w:rPr>
        <w:t xml:space="preserve"> 1 pkt 2 </w:t>
      </w:r>
      <w:r w:rsidR="001F32CC" w:rsidRPr="00C86030">
        <w:rPr>
          <w:rFonts w:asciiTheme="minorHAnsi" w:hAnsiTheme="minorHAnsi" w:cstheme="minorHAnsi"/>
        </w:rPr>
        <w:t>Kpa</w:t>
      </w:r>
      <w:r w:rsidRPr="00C86030">
        <w:rPr>
          <w:rFonts w:asciiTheme="minorHAnsi" w:hAnsiTheme="minorHAnsi" w:cstheme="minorHAnsi"/>
        </w:rPr>
        <w:t xml:space="preserve">, tzn. decyzja </w:t>
      </w:r>
      <w:r w:rsidR="00CA3FD3" w:rsidRPr="00C86030">
        <w:rPr>
          <w:rFonts w:asciiTheme="minorHAnsi" w:hAnsiTheme="minorHAnsi" w:cstheme="minorHAnsi"/>
        </w:rPr>
        <w:t>GDOŚ z 24 lutego 2017</w:t>
      </w:r>
      <w:r w:rsidRPr="00C86030">
        <w:rPr>
          <w:rFonts w:asciiTheme="minorHAnsi" w:hAnsiTheme="minorHAnsi" w:cstheme="minorHAnsi"/>
        </w:rPr>
        <w:t xml:space="preserve"> nie została wydana z rażącym naruszeniem prawa, co </w:t>
      </w:r>
      <w:r w:rsidR="00815CF9" w:rsidRPr="00C86030">
        <w:rPr>
          <w:rFonts w:asciiTheme="minorHAnsi" w:hAnsiTheme="minorHAnsi" w:cstheme="minorHAnsi"/>
        </w:rPr>
        <w:t>podniesiono</w:t>
      </w:r>
      <w:r w:rsidR="00CA3FD3" w:rsidRPr="00C86030">
        <w:rPr>
          <w:rFonts w:asciiTheme="minorHAnsi" w:hAnsiTheme="minorHAnsi" w:cstheme="minorHAnsi"/>
        </w:rPr>
        <w:t xml:space="preserve"> </w:t>
      </w:r>
      <w:r w:rsidR="00431292" w:rsidRPr="00C86030">
        <w:rPr>
          <w:rFonts w:asciiTheme="minorHAnsi" w:hAnsiTheme="minorHAnsi" w:cstheme="minorHAnsi"/>
        </w:rPr>
        <w:t>we wniosku o stwierdzenie nieważności</w:t>
      </w:r>
      <w:r w:rsidRPr="00C86030">
        <w:rPr>
          <w:rFonts w:asciiTheme="minorHAnsi" w:hAnsiTheme="minorHAnsi" w:cstheme="minorHAnsi"/>
        </w:rPr>
        <w:t>.</w:t>
      </w:r>
    </w:p>
    <w:p w14:paraId="7C0B9631" w14:textId="311B7AC8" w:rsidR="00CD0732" w:rsidRPr="00C86030" w:rsidRDefault="00CD0732" w:rsidP="00C86030">
      <w:pPr>
        <w:spacing w:line="288" w:lineRule="auto"/>
        <w:rPr>
          <w:rFonts w:asciiTheme="minorHAnsi" w:hAnsiTheme="minorHAnsi" w:cstheme="minorHAnsi"/>
          <w:bCs/>
        </w:rPr>
      </w:pPr>
      <w:r w:rsidRPr="00C86030">
        <w:rPr>
          <w:rFonts w:asciiTheme="minorHAnsi" w:hAnsiTheme="minorHAnsi" w:cstheme="minorHAnsi"/>
          <w:bCs/>
        </w:rPr>
        <w:t>Odnosząc się do przesłanki wskazanej w art. 156 § 1 pkt 2 Kpa, dotyczącej wydania decyzji bez podstawy prawnej lub z rażącym naruszeniem prawa, należy stwierdzić, że podstawa prawna do wydania zaskarżonej decyzji istnieje, a decyzja nie narusza prawa w stopniu uzasadniającym jej wyeliminowanie z obrotu prawnego.</w:t>
      </w:r>
    </w:p>
    <w:p w14:paraId="05ADC267" w14:textId="16ACD7FD" w:rsidR="00431292" w:rsidRPr="00C86030" w:rsidRDefault="00431292" w:rsidP="00C86030">
      <w:pPr>
        <w:spacing w:line="288" w:lineRule="auto"/>
        <w:rPr>
          <w:rFonts w:asciiTheme="minorHAnsi" w:hAnsiTheme="minorHAnsi" w:cstheme="minorHAnsi"/>
          <w:bCs/>
        </w:rPr>
      </w:pPr>
      <w:r w:rsidRPr="00C86030">
        <w:rPr>
          <w:rFonts w:asciiTheme="minorHAnsi" w:hAnsiTheme="minorHAnsi" w:cstheme="minorHAnsi"/>
          <w:bCs/>
        </w:rPr>
        <w:t xml:space="preserve">Uzyskanie decyzji o środowiskowych uwarunkowaniach wymagane jest dla przedsięwzięć mogących zawsze znacząco oddziaływać na środowisko oraz przedsięwzięć mogących potencjalnie znacząco oddziaływać na środowisko, co wynika z art. 71 ust. 2 ustawy ooś. Projektowana droga posiada długość około 34,5 km i przebiega w większości po istniejącym śladzie drogi krajowej. Rodzaj oraz parametry techniczne inwestycji zaliczają ją do grupy </w:t>
      </w:r>
      <w:r w:rsidRPr="00C86030">
        <w:rPr>
          <w:rFonts w:asciiTheme="minorHAnsi" w:hAnsiTheme="minorHAnsi" w:cstheme="minorHAnsi"/>
          <w:bCs/>
        </w:rPr>
        <w:lastRenderedPageBreak/>
        <w:t>przedsięwzięć mogących zawsze znacząco oddziaływać na środowisko, wymienionych w § 2 ust. 1 pkt 31 rozporządzenia Rady Ministrów z dnia 9 listopada 2010 r. w sprawie przedsięwzięć mogących znacząco oddziaływać na środowisko (Dz. U. z 2016 r poz. 71), a w konsekwencji wymaga uzyskania decyzji o środowiskowych uwarunkowaniach.</w:t>
      </w:r>
    </w:p>
    <w:p w14:paraId="5D8E686D" w14:textId="52D02874" w:rsidR="006E0BCE" w:rsidRPr="00C86030" w:rsidRDefault="00431292" w:rsidP="00C86030">
      <w:pPr>
        <w:spacing w:line="288" w:lineRule="auto"/>
        <w:rPr>
          <w:rFonts w:asciiTheme="minorHAnsi" w:hAnsiTheme="minorHAnsi" w:cstheme="minorHAnsi"/>
          <w:bCs/>
        </w:rPr>
      </w:pPr>
      <w:r w:rsidRPr="00C86030">
        <w:rPr>
          <w:rFonts w:asciiTheme="minorHAnsi" w:hAnsiTheme="minorHAnsi" w:cstheme="minorHAnsi"/>
          <w:bCs/>
        </w:rPr>
        <w:t>Ponadto podstawę do wydania decyzji GDOŚ z dnia 24 lutego 2017 r. stanowił art. 138 § 1 pkt 1 Kpa, zgodnie z którym organ odwoławczy wydaje decyzję, w której utrzymuje w mocy zaskarżoną decyzję, a także pkt 2, zgodnie z którym organ odwoławczy wydaje decyzję, w której uchyla zaskarżoną decyzję w całości albo w części i w tym zakresie orzeka co do istoty sprawy albo uchylając tę decyzję – umarza postępowanie pierwszej instancji w całości albo w części.</w:t>
      </w:r>
      <w:r w:rsidR="00AB6FAA" w:rsidRPr="00C86030">
        <w:rPr>
          <w:rFonts w:asciiTheme="minorHAnsi" w:hAnsiTheme="minorHAnsi" w:cstheme="minorHAnsi"/>
          <w:bCs/>
        </w:rPr>
        <w:t xml:space="preserve"> </w:t>
      </w:r>
      <w:r w:rsidR="00CD0732" w:rsidRPr="00C86030">
        <w:rPr>
          <w:rFonts w:asciiTheme="minorHAnsi" w:hAnsiTheme="minorHAnsi" w:cstheme="minorHAnsi"/>
          <w:bCs/>
        </w:rPr>
        <w:t xml:space="preserve">Zatem odnosząc się do pierwszej części omawianego powyżej przepisu, brak jest podstaw do stwierdzenia nieważności kwestionowanego rozstrzygnięcia z powodu braku podstawy prawnej, bo ta niewątpliwie w niniejszej sprawie zaistniała i została prawidłowo wyrażona w decyzji. </w:t>
      </w:r>
    </w:p>
    <w:p w14:paraId="2BFD5B9E" w14:textId="1C905551" w:rsidR="006E0BCE" w:rsidRPr="00C86030" w:rsidRDefault="006E0BCE" w:rsidP="00C86030">
      <w:pPr>
        <w:spacing w:line="288" w:lineRule="auto"/>
        <w:rPr>
          <w:rFonts w:asciiTheme="minorHAnsi" w:hAnsiTheme="minorHAnsi" w:cstheme="minorHAnsi"/>
          <w:bCs/>
        </w:rPr>
      </w:pPr>
      <w:r w:rsidRPr="00C86030">
        <w:rPr>
          <w:rFonts w:asciiTheme="minorHAnsi" w:hAnsiTheme="minorHAnsi" w:cstheme="minorHAnsi"/>
          <w:bCs/>
        </w:rPr>
        <w:t xml:space="preserve">Unieważnienie decyzji na podstawie art. 156 § 1 pkt </w:t>
      </w:r>
      <w:r w:rsidR="00D33212" w:rsidRPr="00C86030">
        <w:rPr>
          <w:rFonts w:asciiTheme="minorHAnsi" w:hAnsiTheme="minorHAnsi" w:cstheme="minorHAnsi"/>
          <w:bCs/>
        </w:rPr>
        <w:t>2 Kpa możliwe</w:t>
      </w:r>
      <w:r w:rsidRPr="00C86030">
        <w:rPr>
          <w:rFonts w:asciiTheme="minorHAnsi" w:hAnsiTheme="minorHAnsi" w:cstheme="minorHAnsi"/>
          <w:bCs/>
        </w:rPr>
        <w:t xml:space="preserve"> jest tylko wówczas, gdy naruszenie prawa stwierdzone przy jej wydawaniu jest jednocześnie naruszeniem rażącym. Organ administracji ma zatem obowiązek nie tylko zbadania, czy nastąpiło naruszenie prawa, ale również wykazania, że było to naruszenie rażące. Należy podkreślić, że „interpretacja przepisów, dotyczących możliwości podważenia decyzji ostatecznych, musi być ścisła i nie może rozszerzać zakresu unormowania. Usuwanie orzeczeń ostatecznych narusza bowiem ład systemu prawnego, stanowi odstępstwo od zasady stabilności decyzji ostatecznych oraz zasady dwuinstancyjności postępowania. Zatem tylko wyraźnie określone w ustawie przyczyny, obejmujące najdalej idące wadliwości orzeczenia lub poprzedzającego go postępowania, mogą prowadzić do jego wzruszenia” (por. wyrok Wojewódzkiego Sądu Administracyjnego w Warszawie z dnia 29 grudnia 2010 r., sygn. akt IV SA/Wa 1987/10).</w:t>
      </w:r>
    </w:p>
    <w:p w14:paraId="31B08F45" w14:textId="24787790" w:rsidR="006E0BCE" w:rsidRPr="00C86030" w:rsidRDefault="006E0BCE" w:rsidP="00C86030">
      <w:pPr>
        <w:spacing w:line="288" w:lineRule="auto"/>
        <w:rPr>
          <w:rFonts w:asciiTheme="minorHAnsi" w:hAnsiTheme="minorHAnsi" w:cstheme="minorHAnsi"/>
          <w:bCs/>
        </w:rPr>
      </w:pPr>
      <w:r w:rsidRPr="00C86030">
        <w:rPr>
          <w:rFonts w:asciiTheme="minorHAnsi" w:hAnsiTheme="minorHAnsi" w:cstheme="minorHAnsi"/>
          <w:bCs/>
        </w:rPr>
        <w:t xml:space="preserve">Określenie „rażące naruszenie prawa” nie zostało zdefiniowane w kodeksie postępowania administracyjnego. Znaczenie terminu wyjaśnia orzecznictwo sądów administracyjnych, w </w:t>
      </w:r>
      <w:r w:rsidR="00D33212" w:rsidRPr="00C86030">
        <w:rPr>
          <w:rFonts w:asciiTheme="minorHAnsi" w:hAnsiTheme="minorHAnsi" w:cstheme="minorHAnsi"/>
          <w:bCs/>
        </w:rPr>
        <w:t>świetle,</w:t>
      </w:r>
      <w:r w:rsidRPr="00C86030">
        <w:rPr>
          <w:rFonts w:asciiTheme="minorHAnsi" w:hAnsiTheme="minorHAnsi" w:cstheme="minorHAnsi"/>
          <w:bCs/>
        </w:rPr>
        <w:t xml:space="preserve"> którego naruszenie prawa o rażącym charakterze występuje wówczas, gdy treść rozstrzygnięcia pozostaje w wyraźnej i oczywistej sprzeczności z treścią przepisów prawa i gdy charakter tego naruszenia powoduje, że rozstrzygnięcie nie może zostać zaakceptowane jako akt wydany przez organ praworządnego państwa. Nie każde zatem, nawet oczywiste, naruszenie prawa może być uznane za rażące. W orzecznictwie przyjmuje się, że naruszenie prawa tylko wtedy ma charakter rażący, gdy akt administracyjny został wydany wbrew nakazowi lub zakazowi ustanowionemu w przepisie prawnym, wbrew wszystkim przesłankom przepisu nadano prawa albo ich odmówiono, albo obarczono stronę obowiązkiem albo uchylono obowiązek. Cechą rażącego naruszenia prawa jest to, że treść aktu pozostaje w jawnej sprzeczności z treścią przepisu przez proste zestawienie ich ze sobą (wyrok Naczelnego Sądu Administracyjnego z dnia 2 marca 2011 r., sygn. akt II OSK 2226/10). W doktrynie wskazuje się, że o rażącym naruszeniu prawa decydują łącznie trzy przesłanki: oczywistość naruszenia prawa, charakter przepisu, który został naruszony, oraz racje ekonomiczne lub gospodarcze skutki, które wywołuje decyzja (por. J. Borkowski, Nieważność </w:t>
      </w:r>
      <w:r w:rsidRPr="00C86030">
        <w:rPr>
          <w:rFonts w:asciiTheme="minorHAnsi" w:hAnsiTheme="minorHAnsi" w:cstheme="minorHAnsi"/>
          <w:bCs/>
        </w:rPr>
        <w:lastRenderedPageBreak/>
        <w:t>decyzji administracyjnej, str. 102; L. Żukowski, Kodeks postępowania administracyjnego, Ustawa o Naczelnym Sądzie Administracyjnym, Wyd. Prawnicze, W-wa 1998 r., str. 168-169; W. Chróścielewski, J.P. Tarno, Postępowanie administracyjne i Postępowanie przed sądami administracyjnymi, Wyd. Prawnicze „Lexis-Nexis”, Wydanie 2, W-wa 2006 r., str. 219).</w:t>
      </w:r>
    </w:p>
    <w:p w14:paraId="79B0D0B3" w14:textId="52E02CC1" w:rsidR="006E0BCE" w:rsidRPr="00C86030" w:rsidRDefault="006E0BCE" w:rsidP="00C86030">
      <w:pPr>
        <w:spacing w:line="288" w:lineRule="auto"/>
        <w:rPr>
          <w:rFonts w:asciiTheme="minorHAnsi" w:hAnsiTheme="minorHAnsi" w:cstheme="minorHAnsi"/>
          <w:bCs/>
        </w:rPr>
      </w:pPr>
      <w:r w:rsidRPr="00C86030">
        <w:rPr>
          <w:rFonts w:asciiTheme="minorHAnsi" w:hAnsiTheme="minorHAnsi" w:cstheme="minorHAnsi"/>
          <w:bCs/>
        </w:rPr>
        <w:t>W ocenie GDOŚ nie mógł odnieść skutku żaden z zarzutów skarżącego, przedstawionych we wniosku o stwierdzenie nieważności. Generalny Dyrektor Ochrony Środowiska w toku prowadzonego postępowania nie stwierdził, aby zaskarżona decyzja naruszała jakikolwiek przepis prawa, mający zastosowanie przy jej wydaniu.</w:t>
      </w:r>
    </w:p>
    <w:p w14:paraId="06B623A3" w14:textId="3EB94D71" w:rsidR="0006778C" w:rsidRPr="00C86030" w:rsidRDefault="0006778C" w:rsidP="00C86030">
      <w:pPr>
        <w:spacing w:line="288" w:lineRule="auto"/>
        <w:rPr>
          <w:rFonts w:asciiTheme="minorHAnsi" w:hAnsiTheme="minorHAnsi" w:cstheme="minorHAnsi"/>
          <w:bCs/>
        </w:rPr>
      </w:pPr>
      <w:r w:rsidRPr="00C86030">
        <w:rPr>
          <w:rFonts w:asciiTheme="minorHAnsi" w:hAnsiTheme="minorHAnsi" w:cstheme="minorHAnsi"/>
          <w:bCs/>
        </w:rPr>
        <w:t xml:space="preserve">Ponownie odnosząc się do zarzutów podniesionych we wniosku o stwierdzenie </w:t>
      </w:r>
      <w:r w:rsidR="00D33212" w:rsidRPr="00C86030">
        <w:rPr>
          <w:rFonts w:asciiTheme="minorHAnsi" w:hAnsiTheme="minorHAnsi" w:cstheme="minorHAnsi"/>
          <w:bCs/>
        </w:rPr>
        <w:t>nieważności tutejszy</w:t>
      </w:r>
      <w:r w:rsidRPr="00C86030">
        <w:rPr>
          <w:rFonts w:asciiTheme="minorHAnsi" w:hAnsiTheme="minorHAnsi" w:cstheme="minorHAnsi"/>
          <w:bCs/>
        </w:rPr>
        <w:t xml:space="preserve"> organ stwierdza co następuje. Zgodnie z brzmieniem art. 8 Kpa (Dz. U. z 2016 r. poz. 23 t.j.) obowiązującym w dniu wydania decyzji RDOŚ w Warszawie i GDOŚ, organy administracji publicznej prowadzą postępowanie w sposób budzący zaufanie jego uczestników do władzy publicznej. Natomiast zgodnie z art. 9 Kpa „Organy administracji publicznej są obowiązane do należytego i wyczerpującego informowania stron o okolicznościach faktycznych i prawnych, które mogą mieć wpływ na ustalenie ich praw i obowiązków będących przedmiotem postępowania administracyjnego. Organy czuwają nad tym, aby strony i inne osoby uczestniczące w postępowaniu nie poniosły szkody z powodu nieznajomości prawa, i w tym celu udzielają im niezbędnych wyjaśnień i wskazówek”. </w:t>
      </w:r>
      <w:r w:rsidR="001B0A2F" w:rsidRPr="00C86030">
        <w:rPr>
          <w:rFonts w:asciiTheme="minorHAnsi" w:hAnsiTheme="minorHAnsi" w:cstheme="minorHAnsi"/>
          <w:bCs/>
        </w:rPr>
        <w:t>W ocenie tutejszego organu w przedmiotowej sprawie nie miała miejsca zmiana lokalizacji wiaduktu nad drogą krajową nr 7 we wsi Niepiekła</w:t>
      </w:r>
      <w:r w:rsidRPr="00C86030">
        <w:rPr>
          <w:rFonts w:asciiTheme="minorHAnsi" w:hAnsiTheme="minorHAnsi" w:cstheme="minorHAnsi"/>
          <w:bCs/>
        </w:rPr>
        <w:t xml:space="preserve">. </w:t>
      </w:r>
      <w:r w:rsidR="00DA7FB0" w:rsidRPr="00C86030">
        <w:rPr>
          <w:rFonts w:asciiTheme="minorHAnsi" w:hAnsiTheme="minorHAnsi" w:cstheme="minorHAnsi"/>
          <w:bCs/>
        </w:rPr>
        <w:t xml:space="preserve">Z przedłożonych w sprawie załączników graficznych wynika, iż </w:t>
      </w:r>
      <w:r w:rsidRPr="00C86030">
        <w:rPr>
          <w:rFonts w:asciiTheme="minorHAnsi" w:hAnsiTheme="minorHAnsi" w:cstheme="minorHAnsi"/>
          <w:bCs/>
        </w:rPr>
        <w:t>wiadukt ten we wszystkich wariantach przedsięwzięcia był usytuowany m.in. w obrębie działki skarżącego o nr ewid. 75 obręb 142012_2.0011 Niepiekła (na przecięciu drogi krajowej nr 7 z drogą gminną 301212W Niepiekła – Wojny)</w:t>
      </w:r>
      <w:r w:rsidR="00DA7FB0" w:rsidRPr="00C86030">
        <w:rPr>
          <w:rFonts w:asciiTheme="minorHAnsi" w:hAnsiTheme="minorHAnsi" w:cstheme="minorHAnsi"/>
          <w:bCs/>
        </w:rPr>
        <w:t xml:space="preserve">. Nie można więc stwierdzić, iż w którymkolwiek momencie organ prowadzący postępowania (zarówno I jak i II </w:t>
      </w:r>
      <w:r w:rsidR="00815CF9" w:rsidRPr="00C86030">
        <w:rPr>
          <w:rFonts w:asciiTheme="minorHAnsi" w:hAnsiTheme="minorHAnsi" w:cstheme="minorHAnsi"/>
          <w:bCs/>
        </w:rPr>
        <w:t>instancji</w:t>
      </w:r>
      <w:r w:rsidR="00DA7FB0" w:rsidRPr="00C86030">
        <w:rPr>
          <w:rFonts w:asciiTheme="minorHAnsi" w:hAnsiTheme="minorHAnsi" w:cstheme="minorHAnsi"/>
          <w:bCs/>
        </w:rPr>
        <w:t>) procedował inny przebieg przedmiotowego przedsięwzięcia.</w:t>
      </w:r>
    </w:p>
    <w:p w14:paraId="5B7E9FC5" w14:textId="5D4141C4" w:rsidR="00DA7FB0" w:rsidRPr="00C86030" w:rsidRDefault="0006778C" w:rsidP="00C86030">
      <w:pPr>
        <w:spacing w:line="288" w:lineRule="auto"/>
        <w:rPr>
          <w:rFonts w:asciiTheme="minorHAnsi" w:hAnsiTheme="minorHAnsi" w:cstheme="minorHAnsi"/>
          <w:bCs/>
        </w:rPr>
      </w:pPr>
      <w:r w:rsidRPr="00C86030">
        <w:rPr>
          <w:rFonts w:asciiTheme="minorHAnsi" w:hAnsiTheme="minorHAnsi" w:cstheme="minorHAnsi"/>
          <w:bCs/>
        </w:rPr>
        <w:t xml:space="preserve">Zgodnie z art. 80 ust. 2 ustawy ooś organ właściwy do wydania decyzji o środowiskowych uwarunkowaniach obowiązany był do oceny zgodności lokalizacji przedsięwzięcia z ustaleniami miejscowych planów zagospodarowania przestrzennego, jednak obowiązek ten nie dotyczył m.in. dróg publicznych. </w:t>
      </w:r>
      <w:r w:rsidR="00815CF9" w:rsidRPr="00C86030">
        <w:rPr>
          <w:rFonts w:asciiTheme="minorHAnsi" w:hAnsiTheme="minorHAnsi" w:cstheme="minorHAnsi"/>
          <w:bCs/>
        </w:rPr>
        <w:t>Działając</w:t>
      </w:r>
      <w:r w:rsidRPr="00C86030">
        <w:rPr>
          <w:rFonts w:asciiTheme="minorHAnsi" w:hAnsiTheme="minorHAnsi" w:cstheme="minorHAnsi"/>
          <w:bCs/>
        </w:rPr>
        <w:t xml:space="preserve"> na podstawie art. 74 ust. 1 pkt 5 ustawy ooś inwestor nie miał również obowiązku załączenia do wniosku o wydanie decyzji wypisu i wyrysu z mpzp, jeżeli plan ten został uchwalony albo informacji o jego braku. </w:t>
      </w:r>
    </w:p>
    <w:p w14:paraId="1481E6D4" w14:textId="39DC2C5C" w:rsidR="0006778C" w:rsidRPr="00C86030" w:rsidRDefault="00DA7FB0" w:rsidP="00C86030">
      <w:pPr>
        <w:spacing w:line="288" w:lineRule="auto"/>
        <w:rPr>
          <w:rFonts w:asciiTheme="minorHAnsi" w:hAnsiTheme="minorHAnsi" w:cstheme="minorHAnsi"/>
          <w:bCs/>
        </w:rPr>
      </w:pPr>
      <w:r w:rsidRPr="00C86030">
        <w:rPr>
          <w:rFonts w:asciiTheme="minorHAnsi" w:hAnsiTheme="minorHAnsi" w:cstheme="minorHAnsi"/>
          <w:bCs/>
        </w:rPr>
        <w:t xml:space="preserve">W związku z powyższym zarówno RDOŚ w Warszawie jak i GDOŚ nie były zobowiązane do badania lokalizacji przedsięwzięcia z zapisami miejscowego planu zagospodarowania przestrzennego. </w:t>
      </w:r>
    </w:p>
    <w:p w14:paraId="54FCE17B" w14:textId="7E68A73F" w:rsidR="00622579" w:rsidRPr="00C86030" w:rsidRDefault="00622579" w:rsidP="00C86030">
      <w:pPr>
        <w:spacing w:line="288" w:lineRule="auto"/>
        <w:rPr>
          <w:rFonts w:asciiTheme="minorHAnsi" w:hAnsiTheme="minorHAnsi" w:cstheme="minorHAnsi"/>
          <w:bCs/>
        </w:rPr>
      </w:pPr>
      <w:r w:rsidRPr="00C86030">
        <w:rPr>
          <w:rFonts w:asciiTheme="minorHAnsi" w:hAnsiTheme="minorHAnsi" w:cstheme="minorHAnsi"/>
          <w:bCs/>
        </w:rPr>
        <w:t xml:space="preserve">Należy również zauważyć, że RDOŚ w Warszawie jako organ wydający decyzję o środowiskowych uwarunkowaniach dla przedmiotowego przedsięwzięcia był zobowiązany do określenia warunków realizacji przedsięwzięcia w wariancie wskazanym przed wnioskodawcę. Ze względu na </w:t>
      </w:r>
      <w:r w:rsidR="00D33212" w:rsidRPr="00C86030">
        <w:rPr>
          <w:rFonts w:asciiTheme="minorHAnsi" w:hAnsiTheme="minorHAnsi" w:cstheme="minorHAnsi"/>
          <w:bCs/>
        </w:rPr>
        <w:t>fakt, iż</w:t>
      </w:r>
      <w:r w:rsidRPr="00C86030">
        <w:rPr>
          <w:rFonts w:asciiTheme="minorHAnsi" w:hAnsiTheme="minorHAnsi" w:cstheme="minorHAnsi"/>
          <w:bCs/>
        </w:rPr>
        <w:t xml:space="preserve"> przedstawiony wariant realizacji przedsięwzięcia spełniał </w:t>
      </w:r>
      <w:r w:rsidR="00521992" w:rsidRPr="00C86030">
        <w:rPr>
          <w:rFonts w:asciiTheme="minorHAnsi" w:hAnsiTheme="minorHAnsi" w:cstheme="minorHAnsi"/>
          <w:bCs/>
        </w:rPr>
        <w:t>wszystkie</w:t>
      </w:r>
      <w:r w:rsidRPr="00C86030">
        <w:rPr>
          <w:rFonts w:asciiTheme="minorHAnsi" w:hAnsiTheme="minorHAnsi" w:cstheme="minorHAnsi"/>
          <w:bCs/>
        </w:rPr>
        <w:t xml:space="preserve"> przepisy prawa zarówno organ I jak i II instancji nie mogły ingerować w treść złożonego przez inwestora wniosku.</w:t>
      </w:r>
    </w:p>
    <w:p w14:paraId="69688E54" w14:textId="25784E9D" w:rsidR="00521992" w:rsidRPr="00C86030" w:rsidRDefault="00622579" w:rsidP="00C86030">
      <w:pPr>
        <w:spacing w:line="288" w:lineRule="auto"/>
        <w:rPr>
          <w:rFonts w:asciiTheme="minorHAnsi" w:hAnsiTheme="minorHAnsi" w:cstheme="minorHAnsi"/>
          <w:bCs/>
        </w:rPr>
      </w:pPr>
      <w:r w:rsidRPr="00C86030">
        <w:rPr>
          <w:rFonts w:asciiTheme="minorHAnsi" w:hAnsiTheme="minorHAnsi" w:cstheme="minorHAnsi"/>
          <w:bCs/>
        </w:rPr>
        <w:lastRenderedPageBreak/>
        <w:t xml:space="preserve">Należy również wskazać, </w:t>
      </w:r>
      <w:r w:rsidR="00D33212" w:rsidRPr="00C86030">
        <w:rPr>
          <w:rFonts w:asciiTheme="minorHAnsi" w:hAnsiTheme="minorHAnsi" w:cstheme="minorHAnsi"/>
          <w:bCs/>
        </w:rPr>
        <w:t>że</w:t>
      </w:r>
      <w:r w:rsidR="0006778C" w:rsidRPr="00C86030">
        <w:rPr>
          <w:rFonts w:asciiTheme="minorHAnsi" w:hAnsiTheme="minorHAnsi" w:cstheme="minorHAnsi"/>
          <w:bCs/>
        </w:rPr>
        <w:t xml:space="preserve"> dokonywanie oceny co do prawidłowości rozwiązań funkcjonalnych drogi wykracza poza zakres postępowania związanego z wydaniem decyzji o środowiskowych uwarunkowaniach. </w:t>
      </w:r>
    </w:p>
    <w:p w14:paraId="430C3047" w14:textId="77777777" w:rsidR="00521992" w:rsidRPr="00C86030" w:rsidRDefault="00521992" w:rsidP="00C86030">
      <w:pPr>
        <w:spacing w:line="288" w:lineRule="auto"/>
        <w:rPr>
          <w:rFonts w:asciiTheme="minorHAnsi" w:hAnsiTheme="minorHAnsi" w:cstheme="minorHAnsi"/>
          <w:bCs/>
        </w:rPr>
      </w:pPr>
      <w:r w:rsidRPr="00C86030">
        <w:rPr>
          <w:rFonts w:asciiTheme="minorHAnsi" w:hAnsiTheme="minorHAnsi" w:cstheme="minorHAnsi"/>
          <w:bCs/>
        </w:rPr>
        <w:t xml:space="preserve">Tutejszy organ analizując wniosek o stwierdzenie nieważności przedmiotowej decyzji ponownie stwierdza, iż z jego treści nie można jednoznacznie wywnioskować czy zwrot „konsultacje społeczne” należy rozumieć jako spotkanie informacyjne inwestora z lokalną społecznością czy też jako udział społeczeństwa w postępowaniu prowadzonym na podstawie przepisów ustawy ooś. Powyższa kwestia poruszona została również w decyzji GDOŚ z 4 marca 2022 r., jednak nie znalazła ona wyjaśnienia we wniosku o ponowne rozpatrzenie przedmiotowej sprawy. </w:t>
      </w:r>
    </w:p>
    <w:p w14:paraId="6F0C6735" w14:textId="6F142680" w:rsidR="00521992" w:rsidRPr="00C86030" w:rsidRDefault="00521992" w:rsidP="00C86030">
      <w:pPr>
        <w:spacing w:line="288" w:lineRule="auto"/>
        <w:rPr>
          <w:rFonts w:asciiTheme="minorHAnsi" w:hAnsiTheme="minorHAnsi" w:cstheme="minorHAnsi"/>
          <w:bCs/>
        </w:rPr>
      </w:pPr>
      <w:r w:rsidRPr="00C86030">
        <w:rPr>
          <w:rFonts w:asciiTheme="minorHAnsi" w:hAnsiTheme="minorHAnsi" w:cstheme="minorHAnsi"/>
          <w:bCs/>
        </w:rPr>
        <w:t xml:space="preserve">Należy więc zaznaczyć, </w:t>
      </w:r>
      <w:r w:rsidR="00D33212" w:rsidRPr="00C86030">
        <w:rPr>
          <w:rFonts w:asciiTheme="minorHAnsi" w:hAnsiTheme="minorHAnsi" w:cstheme="minorHAnsi"/>
          <w:bCs/>
        </w:rPr>
        <w:t>że</w:t>
      </w:r>
      <w:r w:rsidRPr="00C86030">
        <w:rPr>
          <w:rFonts w:asciiTheme="minorHAnsi" w:hAnsiTheme="minorHAnsi" w:cstheme="minorHAnsi"/>
          <w:bCs/>
        </w:rPr>
        <w:t xml:space="preserve"> wszelkie spotkania i</w:t>
      </w:r>
      <w:r w:rsidR="0006778C" w:rsidRPr="00C86030">
        <w:rPr>
          <w:rFonts w:asciiTheme="minorHAnsi" w:hAnsiTheme="minorHAnsi" w:cstheme="minorHAnsi"/>
          <w:bCs/>
        </w:rPr>
        <w:t xml:space="preserve">nformacyjne z mieszkańcami (a także treści na nich przekazywane) przeprowadzane </w:t>
      </w:r>
      <w:r w:rsidRPr="00C86030">
        <w:rPr>
          <w:rFonts w:asciiTheme="minorHAnsi" w:hAnsiTheme="minorHAnsi" w:cstheme="minorHAnsi"/>
          <w:bCs/>
        </w:rPr>
        <w:t>poza</w:t>
      </w:r>
      <w:r w:rsidR="0006778C" w:rsidRPr="00C86030">
        <w:rPr>
          <w:rFonts w:asciiTheme="minorHAnsi" w:hAnsiTheme="minorHAnsi" w:cstheme="minorHAnsi"/>
          <w:bCs/>
        </w:rPr>
        <w:t xml:space="preserve"> ramami postępowania administracyjnego nie podlegają weryfikacji organów właściwych do wydania </w:t>
      </w:r>
      <w:r w:rsidRPr="00C86030">
        <w:rPr>
          <w:rFonts w:asciiTheme="minorHAnsi" w:hAnsiTheme="minorHAnsi" w:cstheme="minorHAnsi"/>
          <w:bCs/>
        </w:rPr>
        <w:t>decyzji o środowiskowych uwarunkowaniach</w:t>
      </w:r>
      <w:r w:rsidR="0006778C" w:rsidRPr="00C86030">
        <w:rPr>
          <w:rFonts w:asciiTheme="minorHAnsi" w:hAnsiTheme="minorHAnsi" w:cstheme="minorHAnsi"/>
          <w:bCs/>
        </w:rPr>
        <w:t xml:space="preserve">. </w:t>
      </w:r>
    </w:p>
    <w:p w14:paraId="31A321C3" w14:textId="25E8AA8F" w:rsidR="0006778C" w:rsidRPr="00C86030" w:rsidRDefault="00483DD6" w:rsidP="00C86030">
      <w:pPr>
        <w:spacing w:line="288" w:lineRule="auto"/>
        <w:rPr>
          <w:rFonts w:asciiTheme="minorHAnsi" w:hAnsiTheme="minorHAnsi" w:cstheme="minorHAnsi"/>
          <w:bCs/>
        </w:rPr>
      </w:pPr>
      <w:r w:rsidRPr="00C86030">
        <w:rPr>
          <w:rFonts w:asciiTheme="minorHAnsi" w:hAnsiTheme="minorHAnsi" w:cstheme="minorHAnsi"/>
          <w:bCs/>
        </w:rPr>
        <w:t xml:space="preserve">Tutejszy organ z całą stanowczością zaznacza, iż z przedmiotowej dokumentacji nie </w:t>
      </w:r>
      <w:r w:rsidR="00D33212" w:rsidRPr="00C86030">
        <w:rPr>
          <w:rFonts w:asciiTheme="minorHAnsi" w:hAnsiTheme="minorHAnsi" w:cstheme="minorHAnsi"/>
          <w:bCs/>
        </w:rPr>
        <w:t>wynika,</w:t>
      </w:r>
      <w:r w:rsidRPr="00C86030">
        <w:rPr>
          <w:rFonts w:asciiTheme="minorHAnsi" w:hAnsiTheme="minorHAnsi" w:cstheme="minorHAnsi"/>
          <w:bCs/>
        </w:rPr>
        <w:t xml:space="preserve"> aby przebieg planowanej drogi w trakcie postępowania administracyjnego prowadzonego zarówno przez RDOŚ w Warszawie jak i GDOŚ był zmieniany. Przedmiotowa inwestycja (a w szczególności wiadukt</w:t>
      </w:r>
      <w:r w:rsidR="00815CF9" w:rsidRPr="00C86030">
        <w:rPr>
          <w:rFonts w:asciiTheme="minorHAnsi" w:hAnsiTheme="minorHAnsi" w:cstheme="minorHAnsi"/>
          <w:bCs/>
        </w:rPr>
        <w:t xml:space="preserve"> zlokalizowany we wsi Niepiekła</w:t>
      </w:r>
      <w:r w:rsidRPr="00C86030">
        <w:rPr>
          <w:rFonts w:asciiTheme="minorHAnsi" w:hAnsiTheme="minorHAnsi" w:cstheme="minorHAnsi"/>
          <w:bCs/>
        </w:rPr>
        <w:t xml:space="preserve">) od momentu złożenia wniosku o wydanie decyzji o środowiskowych uwarunkowaniach miała być zlokalizowana w sąsiedztwie działek skarżącego. Wobec powyższego, nie można przyjąć za prawdziwy zarzutu, iż mieszkańcy zostali wprowadzeni w błąd przez organy prowadzące postępowanie w sprawie wydania decyzji o środowiskowych uwarunkowaniach. Dlatego też, nie doszło do naruszenia zasad wynikających z art. 8 i 9 Kpa. W przedmiotowej sprawie nie doszło też do złamania innych przepisów oraz rażącego naruszenia </w:t>
      </w:r>
      <w:r w:rsidR="00AB6FAA" w:rsidRPr="00C86030">
        <w:rPr>
          <w:rFonts w:asciiTheme="minorHAnsi" w:hAnsiTheme="minorHAnsi" w:cstheme="minorHAnsi"/>
          <w:bCs/>
        </w:rPr>
        <w:t xml:space="preserve">innych przepisów </w:t>
      </w:r>
      <w:r w:rsidRPr="00C86030">
        <w:rPr>
          <w:rFonts w:asciiTheme="minorHAnsi" w:hAnsiTheme="minorHAnsi" w:cstheme="minorHAnsi"/>
          <w:bCs/>
        </w:rPr>
        <w:t>prawa.</w:t>
      </w:r>
    </w:p>
    <w:p w14:paraId="54738725" w14:textId="1000F03C" w:rsidR="00FB5D43" w:rsidRPr="00C86030" w:rsidRDefault="00483DD6" w:rsidP="00C86030">
      <w:pPr>
        <w:spacing w:line="288" w:lineRule="auto"/>
        <w:rPr>
          <w:rFonts w:asciiTheme="minorHAnsi" w:hAnsiTheme="minorHAnsi" w:cstheme="minorHAnsi"/>
        </w:rPr>
      </w:pPr>
      <w:r w:rsidRPr="00C86030">
        <w:rPr>
          <w:rFonts w:asciiTheme="minorHAnsi" w:hAnsiTheme="minorHAnsi" w:cstheme="minorHAnsi"/>
          <w:bCs/>
        </w:rPr>
        <w:t>Podsumowując należy stwierdzić, iż z</w:t>
      </w:r>
      <w:r w:rsidR="00FB5D43" w:rsidRPr="00C86030">
        <w:rPr>
          <w:rFonts w:asciiTheme="minorHAnsi" w:hAnsiTheme="minorHAnsi" w:cstheme="minorHAnsi"/>
        </w:rPr>
        <w:t xml:space="preserve">askarżona decyzja </w:t>
      </w:r>
      <w:r w:rsidRPr="00C86030">
        <w:rPr>
          <w:rFonts w:asciiTheme="minorHAnsi" w:hAnsiTheme="minorHAnsi" w:cstheme="minorHAnsi"/>
        </w:rPr>
        <w:t>GDOŚ</w:t>
      </w:r>
      <w:r w:rsidR="00FB5D43" w:rsidRPr="00C86030">
        <w:rPr>
          <w:rFonts w:asciiTheme="minorHAnsi" w:hAnsiTheme="minorHAnsi" w:cstheme="minorHAnsi"/>
        </w:rPr>
        <w:t xml:space="preserve"> jest wolna od wad, mogących być podstawą do stwierdzenia jej nieważności.</w:t>
      </w:r>
    </w:p>
    <w:p w14:paraId="36BC6994" w14:textId="6F147479" w:rsidR="00626E01" w:rsidRPr="00C86030" w:rsidRDefault="00FB5D43" w:rsidP="00C86030">
      <w:pPr>
        <w:spacing w:line="288" w:lineRule="auto"/>
        <w:rPr>
          <w:rFonts w:asciiTheme="minorHAnsi" w:hAnsiTheme="minorHAnsi" w:cstheme="minorHAnsi"/>
        </w:rPr>
      </w:pPr>
      <w:r w:rsidRPr="00C86030">
        <w:rPr>
          <w:rFonts w:asciiTheme="minorHAnsi" w:hAnsiTheme="minorHAnsi" w:cstheme="minorHAnsi"/>
        </w:rPr>
        <w:t>Wobec powyższego orzeczono jak w sentencji.</w:t>
      </w:r>
    </w:p>
    <w:p w14:paraId="752B26E8" w14:textId="77777777" w:rsidR="00626E01" w:rsidRPr="00C86030" w:rsidRDefault="00626E01" w:rsidP="00C86030">
      <w:pPr>
        <w:spacing w:line="288" w:lineRule="auto"/>
        <w:rPr>
          <w:rFonts w:asciiTheme="minorHAnsi" w:hAnsiTheme="minorHAnsi" w:cstheme="minorHAnsi"/>
        </w:rPr>
      </w:pPr>
    </w:p>
    <w:p w14:paraId="13C75A4D" w14:textId="77777777" w:rsidR="00B51479" w:rsidRPr="00C86030" w:rsidRDefault="00B51479" w:rsidP="00C86030">
      <w:pPr>
        <w:spacing w:line="360" w:lineRule="auto"/>
        <w:rPr>
          <w:rFonts w:asciiTheme="minorHAnsi" w:eastAsia="Calibri" w:hAnsiTheme="minorHAnsi" w:cstheme="minorHAnsi"/>
          <w:lang w:eastAsia="en-US"/>
        </w:rPr>
      </w:pPr>
      <w:r w:rsidRPr="00C86030">
        <w:rPr>
          <w:rFonts w:asciiTheme="minorHAnsi" w:eastAsia="Calibri" w:hAnsiTheme="minorHAnsi" w:cstheme="minorHAnsi"/>
          <w:lang w:eastAsia="en-US"/>
        </w:rPr>
        <w:t>Pouczenie</w:t>
      </w:r>
    </w:p>
    <w:p w14:paraId="61E0045A" w14:textId="0F70D402" w:rsidR="00B51479" w:rsidRPr="00C86030" w:rsidRDefault="00B51479" w:rsidP="00C86030">
      <w:pPr>
        <w:numPr>
          <w:ilvl w:val="0"/>
          <w:numId w:val="38"/>
        </w:numPr>
        <w:suppressAutoHyphens/>
        <w:spacing w:line="276" w:lineRule="auto"/>
        <w:ind w:left="284" w:hanging="284"/>
        <w:rPr>
          <w:rFonts w:asciiTheme="minorHAnsi" w:eastAsia="Calibri" w:hAnsiTheme="minorHAnsi" w:cstheme="minorHAnsi"/>
          <w:lang w:eastAsia="en-US"/>
        </w:rPr>
      </w:pPr>
      <w:r w:rsidRPr="00C86030">
        <w:rPr>
          <w:rFonts w:asciiTheme="minorHAnsi" w:eastAsia="Calibri" w:hAnsiTheme="minorHAnsi" w:cstheme="minorHAnsi"/>
          <w:lang w:eastAsia="en-US"/>
        </w:rPr>
        <w:t>Niniejsz</w:t>
      </w:r>
      <w:r w:rsidR="0034576F" w:rsidRPr="00C86030">
        <w:rPr>
          <w:rFonts w:asciiTheme="minorHAnsi" w:eastAsia="Calibri" w:hAnsiTheme="minorHAnsi" w:cstheme="minorHAnsi"/>
          <w:lang w:eastAsia="en-US"/>
        </w:rPr>
        <w:t>a</w:t>
      </w:r>
      <w:r w:rsidRPr="00C86030">
        <w:rPr>
          <w:rFonts w:asciiTheme="minorHAnsi" w:eastAsia="Calibri" w:hAnsiTheme="minorHAnsi" w:cstheme="minorHAnsi"/>
          <w:lang w:eastAsia="en-US"/>
        </w:rPr>
        <w:t xml:space="preserve"> </w:t>
      </w:r>
      <w:r w:rsidR="0034576F" w:rsidRPr="00C86030">
        <w:rPr>
          <w:rFonts w:asciiTheme="minorHAnsi" w:eastAsia="Calibri" w:hAnsiTheme="minorHAnsi" w:cstheme="minorHAnsi"/>
          <w:lang w:eastAsia="en-US"/>
        </w:rPr>
        <w:t xml:space="preserve">decyzja </w:t>
      </w:r>
      <w:r w:rsidRPr="00C86030">
        <w:rPr>
          <w:rFonts w:asciiTheme="minorHAnsi" w:eastAsia="Calibri" w:hAnsiTheme="minorHAnsi" w:cstheme="minorHAnsi"/>
          <w:lang w:eastAsia="en-US"/>
        </w:rPr>
        <w:t xml:space="preserve">jest </w:t>
      </w:r>
      <w:r w:rsidR="0034576F" w:rsidRPr="00C86030">
        <w:rPr>
          <w:rFonts w:asciiTheme="minorHAnsi" w:eastAsia="Calibri" w:hAnsiTheme="minorHAnsi" w:cstheme="minorHAnsi"/>
          <w:lang w:eastAsia="en-US"/>
        </w:rPr>
        <w:t xml:space="preserve">ostateczna </w:t>
      </w:r>
      <w:r w:rsidRPr="00C86030">
        <w:rPr>
          <w:rFonts w:asciiTheme="minorHAnsi" w:eastAsia="Calibri" w:hAnsiTheme="minorHAnsi" w:cstheme="minorHAnsi"/>
          <w:lang w:eastAsia="en-US"/>
        </w:rPr>
        <w:t>w administracyjnym toku instancji.</w:t>
      </w:r>
    </w:p>
    <w:p w14:paraId="6A13DC5D" w14:textId="2377F0CF" w:rsidR="00B51479" w:rsidRPr="00C86030" w:rsidRDefault="00B51479" w:rsidP="00C86030">
      <w:pPr>
        <w:numPr>
          <w:ilvl w:val="0"/>
          <w:numId w:val="38"/>
        </w:numPr>
        <w:suppressAutoHyphens/>
        <w:spacing w:line="276" w:lineRule="auto"/>
        <w:ind w:left="284" w:hanging="284"/>
        <w:rPr>
          <w:rFonts w:asciiTheme="minorHAnsi" w:eastAsia="Calibri" w:hAnsiTheme="minorHAnsi" w:cstheme="minorHAnsi"/>
          <w:lang w:eastAsia="en-US"/>
        </w:rPr>
      </w:pPr>
      <w:r w:rsidRPr="00C86030">
        <w:rPr>
          <w:rFonts w:asciiTheme="minorHAnsi" w:eastAsia="Calibri" w:hAnsiTheme="minorHAnsi" w:cstheme="minorHAnsi"/>
          <w:lang w:eastAsia="en-US"/>
        </w:rPr>
        <w:t xml:space="preserve">Strona niezadowolona z </w:t>
      </w:r>
      <w:r w:rsidR="0034576F" w:rsidRPr="00C86030">
        <w:rPr>
          <w:rFonts w:asciiTheme="minorHAnsi" w:eastAsia="Calibri" w:hAnsiTheme="minorHAnsi" w:cstheme="minorHAnsi"/>
          <w:lang w:eastAsia="en-US"/>
        </w:rPr>
        <w:t xml:space="preserve">niniejszej decyzji </w:t>
      </w:r>
      <w:r w:rsidRPr="00C86030">
        <w:rPr>
          <w:rFonts w:asciiTheme="minorHAnsi" w:eastAsia="Calibri" w:hAnsiTheme="minorHAnsi" w:cstheme="minorHAnsi"/>
          <w:lang w:eastAsia="en-US"/>
        </w:rPr>
        <w:t xml:space="preserve">może wnieść skargę do Wojewódzkiego Sądu Administracyjnego w Warszawie, zgodnie z art. 52 § 1 ustawy z dnia 30 sierpnia 2002 r. – Prawo o postępowaniu przed sądami administracyjnymi (Dz. U. z </w:t>
      </w:r>
      <w:r w:rsidR="00643706" w:rsidRPr="00C86030">
        <w:rPr>
          <w:rFonts w:asciiTheme="minorHAnsi" w:eastAsia="Calibri" w:hAnsiTheme="minorHAnsi" w:cstheme="minorHAnsi"/>
          <w:lang w:eastAsia="en-US"/>
        </w:rPr>
        <w:t>2020</w:t>
      </w:r>
      <w:r w:rsidRPr="00C86030">
        <w:rPr>
          <w:rFonts w:asciiTheme="minorHAnsi" w:eastAsia="Calibri" w:hAnsiTheme="minorHAnsi" w:cstheme="minorHAnsi"/>
          <w:lang w:eastAsia="en-US"/>
        </w:rPr>
        <w:t xml:space="preserve"> r. poz. </w:t>
      </w:r>
      <w:r w:rsidR="00643706" w:rsidRPr="00C86030">
        <w:rPr>
          <w:rFonts w:asciiTheme="minorHAnsi" w:eastAsia="Calibri" w:hAnsiTheme="minorHAnsi" w:cstheme="minorHAnsi"/>
          <w:lang w:eastAsia="en-US"/>
        </w:rPr>
        <w:t>329</w:t>
      </w:r>
      <w:r w:rsidRPr="00C86030">
        <w:rPr>
          <w:rFonts w:asciiTheme="minorHAnsi" w:eastAsia="Calibri" w:hAnsiTheme="minorHAnsi" w:cstheme="minorHAnsi"/>
          <w:lang w:eastAsia="en-US"/>
        </w:rPr>
        <w:t>, ze zm.), dalej Ppsa, za pośrednictwem GDOŚ (art. 54 § 1 Ppsa), w terminie 30 dni od dnia otrzymania decyzji zgodnie z art. 53 § 1 Ppsa.</w:t>
      </w:r>
    </w:p>
    <w:p w14:paraId="16F9DCAA" w14:textId="3B4FAD1E" w:rsidR="00B51479" w:rsidRPr="00C86030" w:rsidRDefault="00B51479" w:rsidP="00C86030">
      <w:pPr>
        <w:numPr>
          <w:ilvl w:val="0"/>
          <w:numId w:val="38"/>
        </w:numPr>
        <w:suppressAutoHyphens/>
        <w:spacing w:line="276" w:lineRule="auto"/>
        <w:ind w:left="284" w:hanging="284"/>
        <w:rPr>
          <w:rFonts w:asciiTheme="minorHAnsi" w:eastAsia="Calibri" w:hAnsiTheme="minorHAnsi" w:cstheme="minorHAnsi"/>
          <w:lang w:eastAsia="en-US"/>
        </w:rPr>
      </w:pPr>
      <w:r w:rsidRPr="00C86030">
        <w:rPr>
          <w:rFonts w:asciiTheme="minorHAnsi" w:eastAsia="Calibri" w:hAnsiTheme="minorHAnsi" w:cstheme="minorHAnsi"/>
          <w:lang w:eastAsia="en-US"/>
        </w:rPr>
        <w:t>Wnosząc skargę na niniejsz</w:t>
      </w:r>
      <w:r w:rsidR="0034576F" w:rsidRPr="00C86030">
        <w:rPr>
          <w:rFonts w:asciiTheme="minorHAnsi" w:eastAsia="Calibri" w:hAnsiTheme="minorHAnsi" w:cstheme="minorHAnsi"/>
          <w:lang w:eastAsia="en-US"/>
        </w:rPr>
        <w:t>ą</w:t>
      </w:r>
      <w:r w:rsidRPr="00C86030">
        <w:rPr>
          <w:rFonts w:asciiTheme="minorHAnsi" w:eastAsia="Calibri" w:hAnsiTheme="minorHAnsi" w:cstheme="minorHAnsi"/>
          <w:lang w:eastAsia="en-US"/>
        </w:rPr>
        <w:t xml:space="preserve"> </w:t>
      </w:r>
      <w:r w:rsidR="0034576F" w:rsidRPr="00C86030">
        <w:rPr>
          <w:rFonts w:asciiTheme="minorHAnsi" w:eastAsia="Calibri" w:hAnsiTheme="minorHAnsi" w:cstheme="minorHAnsi"/>
          <w:lang w:eastAsia="en-US"/>
        </w:rPr>
        <w:t xml:space="preserve">decyzję </w:t>
      </w:r>
      <w:r w:rsidRPr="00C86030">
        <w:rPr>
          <w:rFonts w:asciiTheme="minorHAnsi" w:eastAsia="Calibri" w:hAnsiTheme="minorHAnsi" w:cstheme="minorHAnsi"/>
          <w:lang w:eastAsia="en-US"/>
        </w:rPr>
        <w:t>strona, zgodnie z art. 230 Ppsa obowiązana jest do uiszczenia wpisu od skargi w kwocie 200 zł. Strona, co wynika z art. 239 Ppsa może być zwolniona z obowiązku uiszczenia kosztów sądowych.</w:t>
      </w:r>
    </w:p>
    <w:p w14:paraId="67BA4671" w14:textId="69889093" w:rsidR="00C172CB" w:rsidRDefault="00B51479" w:rsidP="00C86030">
      <w:pPr>
        <w:numPr>
          <w:ilvl w:val="0"/>
          <w:numId w:val="38"/>
        </w:numPr>
        <w:suppressAutoHyphens/>
        <w:spacing w:line="276" w:lineRule="auto"/>
        <w:ind w:left="284" w:hanging="284"/>
        <w:rPr>
          <w:rFonts w:asciiTheme="minorHAnsi" w:eastAsia="Calibri" w:hAnsiTheme="minorHAnsi" w:cstheme="minorHAnsi"/>
          <w:lang w:eastAsia="en-US"/>
        </w:rPr>
      </w:pPr>
      <w:r w:rsidRPr="00C86030">
        <w:rPr>
          <w:rFonts w:asciiTheme="minorHAnsi" w:eastAsia="Calibri" w:hAnsiTheme="minorHAnsi" w:cstheme="minorHAnsi"/>
          <w:lang w:eastAsia="en-US"/>
        </w:rPr>
        <w:t>Stronie, zgodnie z art. 243 Ppsa, może być przyznane, na jej wniosek, prawo pomocy. Wniosek ten wolny jest od opłat sądowych.</w:t>
      </w:r>
    </w:p>
    <w:p w14:paraId="371F41F4" w14:textId="383DD941" w:rsidR="00C86030" w:rsidRDefault="00C86030" w:rsidP="00C86030">
      <w:pPr>
        <w:suppressAutoHyphens/>
        <w:spacing w:line="276" w:lineRule="auto"/>
        <w:rPr>
          <w:rFonts w:asciiTheme="minorHAnsi" w:eastAsia="Calibri" w:hAnsiTheme="minorHAnsi" w:cstheme="minorHAnsi"/>
          <w:lang w:eastAsia="en-US"/>
        </w:rPr>
      </w:pPr>
      <w:r>
        <w:rPr>
          <w:rFonts w:asciiTheme="minorHAnsi" w:eastAsia="Calibri" w:hAnsiTheme="minorHAnsi" w:cstheme="minorHAnsi"/>
          <w:lang w:eastAsia="en-US"/>
        </w:rPr>
        <w:lastRenderedPageBreak/>
        <w:t>Generalny Dyrektor Ochrony Środowiska</w:t>
      </w:r>
    </w:p>
    <w:p w14:paraId="37C4675C" w14:textId="5AF9294B" w:rsidR="00C86030" w:rsidRDefault="00C86030" w:rsidP="00C86030">
      <w:pPr>
        <w:suppressAutoHyphens/>
        <w:spacing w:line="276" w:lineRule="auto"/>
        <w:rPr>
          <w:rFonts w:asciiTheme="minorHAnsi" w:eastAsia="Calibri" w:hAnsiTheme="minorHAnsi" w:cstheme="minorHAnsi"/>
          <w:lang w:eastAsia="en-US"/>
        </w:rPr>
      </w:pPr>
      <w:r>
        <w:rPr>
          <w:rFonts w:asciiTheme="minorHAnsi" w:eastAsia="Calibri" w:hAnsiTheme="minorHAnsi" w:cstheme="minorHAnsi"/>
          <w:lang w:eastAsia="en-US"/>
        </w:rPr>
        <w:t>Andrzej Szweda-Lewandowski</w:t>
      </w:r>
    </w:p>
    <w:p w14:paraId="23B219FC" w14:textId="77777777" w:rsidR="00C86030" w:rsidRPr="00C86030" w:rsidRDefault="00C86030" w:rsidP="00C86030">
      <w:pPr>
        <w:suppressAutoHyphens/>
        <w:spacing w:line="276" w:lineRule="auto"/>
        <w:rPr>
          <w:rFonts w:asciiTheme="minorHAnsi" w:eastAsia="Calibri" w:hAnsiTheme="minorHAnsi" w:cstheme="minorHAnsi"/>
          <w:lang w:eastAsia="en-US"/>
        </w:rPr>
      </w:pPr>
    </w:p>
    <w:p w14:paraId="702D572E" w14:textId="77777777" w:rsidR="00C172CB" w:rsidRPr="00C86030" w:rsidRDefault="00C172CB" w:rsidP="00C86030">
      <w:pPr>
        <w:rPr>
          <w:rFonts w:asciiTheme="minorHAnsi" w:hAnsiTheme="minorHAnsi" w:cstheme="minorHAnsi"/>
        </w:rPr>
      </w:pPr>
      <w:r w:rsidRPr="00C86030">
        <w:rPr>
          <w:rFonts w:asciiTheme="minorHAnsi" w:hAnsiTheme="minorHAnsi" w:cstheme="minorHAnsi"/>
        </w:rPr>
        <w:t>Otrzymują:</w:t>
      </w:r>
    </w:p>
    <w:p w14:paraId="167682C3" w14:textId="00ACB69E" w:rsidR="00C172CB" w:rsidRPr="00C86030" w:rsidRDefault="00C86030" w:rsidP="00C86030">
      <w:pPr>
        <w:numPr>
          <w:ilvl w:val="0"/>
          <w:numId w:val="41"/>
        </w:numPr>
        <w:suppressAutoHyphens/>
        <w:ind w:left="720" w:hanging="360"/>
        <w:rPr>
          <w:rFonts w:asciiTheme="minorHAnsi" w:hAnsiTheme="minorHAnsi" w:cstheme="minorHAnsi"/>
        </w:rPr>
      </w:pPr>
      <w:r>
        <w:rPr>
          <w:rFonts w:asciiTheme="minorHAnsi" w:hAnsiTheme="minorHAnsi" w:cstheme="minorHAnsi"/>
        </w:rPr>
        <w:t>(…)</w:t>
      </w:r>
      <w:r w:rsidR="0067550D">
        <w:rPr>
          <w:rFonts w:asciiTheme="minorHAnsi" w:hAnsiTheme="minorHAnsi" w:cstheme="minorHAnsi"/>
        </w:rPr>
        <w:t xml:space="preserve">, reprezentowany przez </w:t>
      </w:r>
      <w:r>
        <w:rPr>
          <w:rFonts w:asciiTheme="minorHAnsi" w:hAnsiTheme="minorHAnsi" w:cstheme="minorHAnsi"/>
        </w:rPr>
        <w:t>(…)</w:t>
      </w:r>
      <w:r w:rsidR="00C172CB" w:rsidRPr="00C86030">
        <w:rPr>
          <w:rFonts w:asciiTheme="minorHAnsi" w:hAnsiTheme="minorHAnsi" w:cstheme="minorHAnsi"/>
        </w:rPr>
        <w:t>;</w:t>
      </w:r>
    </w:p>
    <w:p w14:paraId="5B8340D7" w14:textId="77777777" w:rsidR="00C172CB" w:rsidRPr="00C86030" w:rsidRDefault="00C172CB" w:rsidP="00C86030">
      <w:pPr>
        <w:numPr>
          <w:ilvl w:val="0"/>
          <w:numId w:val="41"/>
        </w:numPr>
        <w:suppressAutoHyphens/>
        <w:ind w:left="720" w:hanging="360"/>
        <w:rPr>
          <w:rFonts w:asciiTheme="minorHAnsi" w:hAnsiTheme="minorHAnsi" w:cstheme="minorHAnsi"/>
        </w:rPr>
      </w:pPr>
      <w:r w:rsidRPr="00C86030">
        <w:rPr>
          <w:rFonts w:asciiTheme="minorHAnsi" w:hAnsiTheme="minorHAnsi" w:cstheme="minorHAnsi"/>
        </w:rPr>
        <w:t>Generalny Dyrektor Dróg Krajowych i Autostrad, reprezentowany przez Jarosława Wąsowskiego Dyrektora Oddziału w Warszawie Generalnej Dyrekcji Dróg Krajowych i Autostrad, ul. Mińska 25, 03-808 Warszawa;</w:t>
      </w:r>
    </w:p>
    <w:p w14:paraId="555B5551" w14:textId="77777777" w:rsidR="00C172CB" w:rsidRPr="00C86030" w:rsidRDefault="00C172CB" w:rsidP="00C86030">
      <w:pPr>
        <w:pStyle w:val="Akapitzlist"/>
        <w:numPr>
          <w:ilvl w:val="0"/>
          <w:numId w:val="41"/>
        </w:numPr>
        <w:spacing w:after="60"/>
        <w:ind w:hanging="360"/>
        <w:contextualSpacing w:val="0"/>
        <w:rPr>
          <w:rFonts w:asciiTheme="minorHAnsi" w:hAnsiTheme="minorHAnsi" w:cstheme="minorHAnsi"/>
        </w:rPr>
      </w:pPr>
      <w:r w:rsidRPr="00C86030">
        <w:rPr>
          <w:rFonts w:asciiTheme="minorHAnsi" w:hAnsiTheme="minorHAnsi" w:cstheme="minorHAnsi"/>
        </w:rPr>
        <w:t xml:space="preserve">Pozostałe strony postępowania na podstawie art. 49 </w:t>
      </w:r>
      <w:r w:rsidRPr="00C86030">
        <w:rPr>
          <w:rFonts w:asciiTheme="minorHAnsi" w:hAnsiTheme="minorHAnsi" w:cstheme="minorHAnsi"/>
          <w:iCs/>
        </w:rPr>
        <w:t>Kpa</w:t>
      </w:r>
      <w:r w:rsidRPr="00C86030">
        <w:rPr>
          <w:rFonts w:asciiTheme="minorHAnsi" w:hAnsiTheme="minorHAnsi" w:cstheme="minorHAnsi"/>
        </w:rPr>
        <w:t xml:space="preserve"> w związku z art. 74 ust. 3 ustawy z dnia </w:t>
      </w:r>
      <w:r w:rsidRPr="00C86030">
        <w:rPr>
          <w:rFonts w:asciiTheme="minorHAnsi" w:hAnsiTheme="minorHAnsi" w:cstheme="minorHAnsi"/>
        </w:rPr>
        <w:br/>
        <w:t xml:space="preserve">3 października 2008 r. o udostępnianiu informacji o środowisku i jego ochronie, udziale społeczeństwa w ochronie środowiska oraz o ocenach oddziaływania na środowisko (Dz. U. </w:t>
      </w:r>
      <w:r w:rsidRPr="00C86030">
        <w:rPr>
          <w:rFonts w:asciiTheme="minorHAnsi" w:hAnsiTheme="minorHAnsi" w:cstheme="minorHAnsi"/>
        </w:rPr>
        <w:br/>
        <w:t xml:space="preserve">z 2021 r. poz. 2373, ze zm.). </w:t>
      </w:r>
    </w:p>
    <w:p w14:paraId="2BE4DCC5" w14:textId="77777777" w:rsidR="00C172CB" w:rsidRPr="00C86030" w:rsidRDefault="00C172CB" w:rsidP="00C86030">
      <w:pPr>
        <w:rPr>
          <w:rFonts w:asciiTheme="minorHAnsi" w:hAnsiTheme="minorHAnsi" w:cstheme="minorHAnsi"/>
        </w:rPr>
      </w:pPr>
    </w:p>
    <w:p w14:paraId="05F62AF7" w14:textId="77777777" w:rsidR="00C172CB" w:rsidRPr="00C86030" w:rsidRDefault="00C172CB" w:rsidP="00C86030">
      <w:pPr>
        <w:rPr>
          <w:rFonts w:asciiTheme="minorHAnsi" w:hAnsiTheme="minorHAnsi" w:cstheme="minorHAnsi"/>
        </w:rPr>
      </w:pPr>
      <w:r w:rsidRPr="00C86030">
        <w:rPr>
          <w:rFonts w:asciiTheme="minorHAnsi" w:hAnsiTheme="minorHAnsi" w:cstheme="minorHAnsi"/>
        </w:rPr>
        <w:t>Do wiadomości:</w:t>
      </w:r>
    </w:p>
    <w:p w14:paraId="4FDAFE73" w14:textId="77777777" w:rsidR="00C172CB" w:rsidRPr="00C86030" w:rsidRDefault="00C172CB" w:rsidP="00C86030">
      <w:pPr>
        <w:numPr>
          <w:ilvl w:val="0"/>
          <w:numId w:val="42"/>
        </w:numPr>
        <w:suppressAutoHyphens/>
        <w:rPr>
          <w:rFonts w:asciiTheme="minorHAnsi" w:hAnsiTheme="minorHAnsi" w:cstheme="minorHAnsi"/>
        </w:rPr>
      </w:pPr>
      <w:r w:rsidRPr="00C86030">
        <w:rPr>
          <w:rFonts w:asciiTheme="minorHAnsi" w:hAnsiTheme="minorHAnsi" w:cstheme="minorHAnsi"/>
        </w:rPr>
        <w:t>Regionalny Dyrektor Ochrony Środowiska w Warszawie, ul. H. Sienkiewicza 3, 00-015 Warszawa.</w:t>
      </w:r>
    </w:p>
    <w:p w14:paraId="7D676DD7" w14:textId="268C197B" w:rsidR="00524504" w:rsidRPr="00C86030" w:rsidRDefault="00524504" w:rsidP="00C86030">
      <w:pPr>
        <w:spacing w:line="276" w:lineRule="auto"/>
        <w:rPr>
          <w:rFonts w:asciiTheme="minorHAnsi" w:hAnsiTheme="minorHAnsi" w:cstheme="minorHAnsi"/>
        </w:rPr>
      </w:pPr>
    </w:p>
    <w:sectPr w:rsidR="00524504" w:rsidRPr="00C86030" w:rsidSect="004E2C1A">
      <w:footerReference w:type="default" r:id="rId10"/>
      <w:pgSz w:w="11906" w:h="16838"/>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09E06" w14:textId="77777777" w:rsidR="00EC1A5B" w:rsidRDefault="00EC1A5B" w:rsidP="0081189F">
      <w:r>
        <w:separator/>
      </w:r>
    </w:p>
  </w:endnote>
  <w:endnote w:type="continuationSeparator" w:id="0">
    <w:p w14:paraId="04A9BDF1" w14:textId="77777777" w:rsidR="00EC1A5B" w:rsidRDefault="00EC1A5B" w:rsidP="0081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498532"/>
      <w:docPartObj>
        <w:docPartGallery w:val="Page Numbers (Bottom of Page)"/>
        <w:docPartUnique/>
      </w:docPartObj>
    </w:sdtPr>
    <w:sdtEndPr/>
    <w:sdtContent>
      <w:p w14:paraId="1A99AF76" w14:textId="7092E197" w:rsidR="00136F27" w:rsidRDefault="00A7550B">
        <w:pPr>
          <w:pStyle w:val="Stopka"/>
          <w:jc w:val="center"/>
        </w:pPr>
        <w:r w:rsidRPr="007829B6">
          <w:rPr>
            <w:rFonts w:ascii="Garamond" w:hAnsi="Garamond"/>
          </w:rPr>
          <w:fldChar w:fldCharType="begin"/>
        </w:r>
        <w:r w:rsidR="00136F27" w:rsidRPr="007829B6">
          <w:rPr>
            <w:rFonts w:ascii="Garamond" w:hAnsi="Garamond"/>
          </w:rPr>
          <w:instrText xml:space="preserve"> PAGE   \* MERGEFORMAT </w:instrText>
        </w:r>
        <w:r w:rsidRPr="007829B6">
          <w:rPr>
            <w:rFonts w:ascii="Garamond" w:hAnsi="Garamond"/>
          </w:rPr>
          <w:fldChar w:fldCharType="separate"/>
        </w:r>
        <w:r w:rsidR="0067550D">
          <w:rPr>
            <w:rFonts w:ascii="Garamond" w:hAnsi="Garamond"/>
            <w:noProof/>
          </w:rPr>
          <w:t>2</w:t>
        </w:r>
        <w:r w:rsidRPr="007829B6">
          <w:rPr>
            <w:rFonts w:ascii="Garamond" w:hAnsi="Garamond"/>
          </w:rPr>
          <w:fldChar w:fldCharType="end"/>
        </w:r>
      </w:p>
    </w:sdtContent>
  </w:sdt>
  <w:p w14:paraId="14ECFBDD" w14:textId="77777777" w:rsidR="00136F27" w:rsidRDefault="00136F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ED3F4" w14:textId="77777777" w:rsidR="00EC1A5B" w:rsidRDefault="00EC1A5B" w:rsidP="0081189F">
      <w:r>
        <w:separator/>
      </w:r>
    </w:p>
  </w:footnote>
  <w:footnote w:type="continuationSeparator" w:id="0">
    <w:p w14:paraId="53F175A2" w14:textId="77777777" w:rsidR="00EC1A5B" w:rsidRDefault="00EC1A5B" w:rsidP="00811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27480B0"/>
    <w:name w:val="WWNum1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641B14"/>
    <w:multiLevelType w:val="hybridMultilevel"/>
    <w:tmpl w:val="1668DF2E"/>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 w15:restartNumberingAfterBreak="0">
    <w:nsid w:val="04381602"/>
    <w:multiLevelType w:val="hybridMultilevel"/>
    <w:tmpl w:val="E9E80016"/>
    <w:lvl w:ilvl="0" w:tplc="0415000F">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 w15:restartNumberingAfterBreak="0">
    <w:nsid w:val="07A16A35"/>
    <w:multiLevelType w:val="hybridMultilevel"/>
    <w:tmpl w:val="CCDA5D8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0296E"/>
    <w:multiLevelType w:val="multilevel"/>
    <w:tmpl w:val="132E4AB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D1790F"/>
    <w:multiLevelType w:val="hybridMultilevel"/>
    <w:tmpl w:val="6DB05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311646"/>
    <w:multiLevelType w:val="hybridMultilevel"/>
    <w:tmpl w:val="04A482A2"/>
    <w:lvl w:ilvl="0" w:tplc="0415000F">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042E01"/>
    <w:multiLevelType w:val="multilevel"/>
    <w:tmpl w:val="1CB2409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164C1B"/>
    <w:multiLevelType w:val="hybridMultilevel"/>
    <w:tmpl w:val="E62CD8D8"/>
    <w:lvl w:ilvl="0" w:tplc="CC58F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F25435"/>
    <w:multiLevelType w:val="hybridMultilevel"/>
    <w:tmpl w:val="59E8A3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BF469A"/>
    <w:multiLevelType w:val="hybridMultilevel"/>
    <w:tmpl w:val="9A762D92"/>
    <w:lvl w:ilvl="0" w:tplc="CC58FE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2C6A0786"/>
    <w:multiLevelType w:val="hybridMultilevel"/>
    <w:tmpl w:val="9F24B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8B1DBC"/>
    <w:multiLevelType w:val="hybridMultilevel"/>
    <w:tmpl w:val="F1DAE7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4C56F1"/>
    <w:multiLevelType w:val="hybridMultilevel"/>
    <w:tmpl w:val="22F699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A65DD2"/>
    <w:multiLevelType w:val="hybridMultilevel"/>
    <w:tmpl w:val="0DCA39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2B4FA0"/>
    <w:multiLevelType w:val="hybridMultilevel"/>
    <w:tmpl w:val="02EA3142"/>
    <w:lvl w:ilvl="0" w:tplc="3B1C06AA">
      <w:start w:val="1"/>
      <w:numFmt w:val="bullet"/>
      <w:lvlText w:val="–"/>
      <w:lvlJc w:val="left"/>
      <w:pPr>
        <w:tabs>
          <w:tab w:val="num" w:pos="1416"/>
        </w:tabs>
        <w:ind w:left="1416" w:hanging="360"/>
      </w:pPr>
      <w:rPr>
        <w:rFonts w:ascii="Garamond" w:hAnsi="Garamond" w:cs="Times New Roman" w:hint="default"/>
        <w:sz w:val="24"/>
      </w:rPr>
    </w:lvl>
    <w:lvl w:ilvl="1" w:tplc="04150003" w:tentative="1">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D8677CD"/>
    <w:multiLevelType w:val="hybridMultilevel"/>
    <w:tmpl w:val="5E3EFF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4B27E5"/>
    <w:multiLevelType w:val="hybridMultilevel"/>
    <w:tmpl w:val="4A24A384"/>
    <w:lvl w:ilvl="0" w:tplc="CC58F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F3B5D32"/>
    <w:multiLevelType w:val="hybridMultilevel"/>
    <w:tmpl w:val="1018CFF4"/>
    <w:lvl w:ilvl="0" w:tplc="0415000F">
      <w:start w:val="1"/>
      <w:numFmt w:val="decimal"/>
      <w:lvlText w:val="%1."/>
      <w:lvlJc w:val="left"/>
      <w:pPr>
        <w:ind w:left="720" w:hanging="360"/>
      </w:pPr>
      <w:rPr>
        <w:rFonts w:hint="default"/>
      </w:rPr>
    </w:lvl>
    <w:lvl w:ilvl="1" w:tplc="0415000F">
      <w:start w:val="1"/>
      <w:numFmt w:val="decimal"/>
      <w:lvlText w:val="%2."/>
      <w:lvlJc w:val="left"/>
      <w:pPr>
        <w:ind w:left="1455" w:hanging="375"/>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F50785F"/>
    <w:multiLevelType w:val="hybridMultilevel"/>
    <w:tmpl w:val="07EE9F44"/>
    <w:lvl w:ilvl="0" w:tplc="CC58F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913F94"/>
    <w:multiLevelType w:val="hybridMultilevel"/>
    <w:tmpl w:val="C734A644"/>
    <w:lvl w:ilvl="0" w:tplc="CC58F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0686BBA"/>
    <w:multiLevelType w:val="hybridMultilevel"/>
    <w:tmpl w:val="08643514"/>
    <w:lvl w:ilvl="0" w:tplc="FD10F5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3925361"/>
    <w:multiLevelType w:val="hybridMultilevel"/>
    <w:tmpl w:val="EADA53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131D61"/>
    <w:multiLevelType w:val="hybridMultilevel"/>
    <w:tmpl w:val="72F22008"/>
    <w:lvl w:ilvl="0" w:tplc="CC58F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54512BF"/>
    <w:multiLevelType w:val="hybridMultilevel"/>
    <w:tmpl w:val="DA72E244"/>
    <w:lvl w:ilvl="0" w:tplc="CC58F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92470C7"/>
    <w:multiLevelType w:val="hybridMultilevel"/>
    <w:tmpl w:val="8500C804"/>
    <w:lvl w:ilvl="0" w:tplc="FD10F5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D84CA3"/>
    <w:multiLevelType w:val="hybridMultilevel"/>
    <w:tmpl w:val="BDF8715A"/>
    <w:lvl w:ilvl="0" w:tplc="82848F44">
      <w:start w:val="1"/>
      <w:numFmt w:val="bullet"/>
      <w:lvlText w:val=""/>
      <w:lvlJc w:val="left"/>
      <w:pPr>
        <w:ind w:left="2204" w:hanging="360"/>
      </w:pPr>
      <w:rPr>
        <w:rFonts w:ascii="Symbol" w:hAnsi="Symbol" w:hint="default"/>
      </w:rPr>
    </w:lvl>
    <w:lvl w:ilvl="1" w:tplc="04150003">
      <w:start w:val="1"/>
      <w:numFmt w:val="bullet"/>
      <w:lvlText w:val="o"/>
      <w:lvlJc w:val="left"/>
      <w:pPr>
        <w:ind w:left="2924" w:hanging="360"/>
      </w:pPr>
      <w:rPr>
        <w:rFonts w:ascii="Courier New" w:hAnsi="Courier New" w:cs="Courier New" w:hint="default"/>
      </w:rPr>
    </w:lvl>
    <w:lvl w:ilvl="2" w:tplc="04150005" w:tentative="1">
      <w:start w:val="1"/>
      <w:numFmt w:val="bullet"/>
      <w:lvlText w:val=""/>
      <w:lvlJc w:val="left"/>
      <w:pPr>
        <w:ind w:left="3644" w:hanging="360"/>
      </w:pPr>
      <w:rPr>
        <w:rFonts w:ascii="Wingdings" w:hAnsi="Wingdings" w:hint="default"/>
      </w:rPr>
    </w:lvl>
    <w:lvl w:ilvl="3" w:tplc="04150001" w:tentative="1">
      <w:start w:val="1"/>
      <w:numFmt w:val="bullet"/>
      <w:lvlText w:val=""/>
      <w:lvlJc w:val="left"/>
      <w:pPr>
        <w:ind w:left="4364" w:hanging="360"/>
      </w:pPr>
      <w:rPr>
        <w:rFonts w:ascii="Symbol" w:hAnsi="Symbol" w:hint="default"/>
      </w:rPr>
    </w:lvl>
    <w:lvl w:ilvl="4" w:tplc="04150003" w:tentative="1">
      <w:start w:val="1"/>
      <w:numFmt w:val="bullet"/>
      <w:lvlText w:val="o"/>
      <w:lvlJc w:val="left"/>
      <w:pPr>
        <w:ind w:left="5084" w:hanging="360"/>
      </w:pPr>
      <w:rPr>
        <w:rFonts w:ascii="Courier New" w:hAnsi="Courier New" w:cs="Courier New" w:hint="default"/>
      </w:rPr>
    </w:lvl>
    <w:lvl w:ilvl="5" w:tplc="04150005" w:tentative="1">
      <w:start w:val="1"/>
      <w:numFmt w:val="bullet"/>
      <w:lvlText w:val=""/>
      <w:lvlJc w:val="left"/>
      <w:pPr>
        <w:ind w:left="5804" w:hanging="360"/>
      </w:pPr>
      <w:rPr>
        <w:rFonts w:ascii="Wingdings" w:hAnsi="Wingdings" w:hint="default"/>
      </w:rPr>
    </w:lvl>
    <w:lvl w:ilvl="6" w:tplc="04150001" w:tentative="1">
      <w:start w:val="1"/>
      <w:numFmt w:val="bullet"/>
      <w:lvlText w:val=""/>
      <w:lvlJc w:val="left"/>
      <w:pPr>
        <w:ind w:left="6524" w:hanging="360"/>
      </w:pPr>
      <w:rPr>
        <w:rFonts w:ascii="Symbol" w:hAnsi="Symbol" w:hint="default"/>
      </w:rPr>
    </w:lvl>
    <w:lvl w:ilvl="7" w:tplc="04150003" w:tentative="1">
      <w:start w:val="1"/>
      <w:numFmt w:val="bullet"/>
      <w:lvlText w:val="o"/>
      <w:lvlJc w:val="left"/>
      <w:pPr>
        <w:ind w:left="7244" w:hanging="360"/>
      </w:pPr>
      <w:rPr>
        <w:rFonts w:ascii="Courier New" w:hAnsi="Courier New" w:cs="Courier New" w:hint="default"/>
      </w:rPr>
    </w:lvl>
    <w:lvl w:ilvl="8" w:tplc="04150005" w:tentative="1">
      <w:start w:val="1"/>
      <w:numFmt w:val="bullet"/>
      <w:lvlText w:val=""/>
      <w:lvlJc w:val="left"/>
      <w:pPr>
        <w:ind w:left="7964" w:hanging="360"/>
      </w:pPr>
      <w:rPr>
        <w:rFonts w:ascii="Wingdings" w:hAnsi="Wingdings" w:hint="default"/>
      </w:rPr>
    </w:lvl>
  </w:abstractNum>
  <w:abstractNum w:abstractNumId="27" w15:restartNumberingAfterBreak="0">
    <w:nsid w:val="5BDB223A"/>
    <w:multiLevelType w:val="hybridMultilevel"/>
    <w:tmpl w:val="A3104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C016BEF"/>
    <w:multiLevelType w:val="hybridMultilevel"/>
    <w:tmpl w:val="E83A9500"/>
    <w:lvl w:ilvl="0" w:tplc="0D1C532E">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DD185A"/>
    <w:multiLevelType w:val="hybridMultilevel"/>
    <w:tmpl w:val="DE58940E"/>
    <w:lvl w:ilvl="0" w:tplc="FD10F5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C75D09"/>
    <w:multiLevelType w:val="hybridMultilevel"/>
    <w:tmpl w:val="D28256DA"/>
    <w:lvl w:ilvl="0" w:tplc="D540A440">
      <w:start w:val="1"/>
      <w:numFmt w:val="bullet"/>
      <w:lvlText w:val="−"/>
      <w:lvlJc w:val="left"/>
      <w:pPr>
        <w:ind w:left="720" w:hanging="360"/>
      </w:pPr>
      <w:rPr>
        <w:rFonts w:ascii="Garamond" w:hAnsi="Garamond"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E8105C"/>
    <w:multiLevelType w:val="hybridMultilevel"/>
    <w:tmpl w:val="87043CC6"/>
    <w:lvl w:ilvl="0" w:tplc="0415000F">
      <w:start w:val="1"/>
      <w:numFmt w:val="decimal"/>
      <w:lvlText w:val="%1."/>
      <w:lvlJc w:val="left"/>
      <w:pPr>
        <w:ind w:left="720" w:hanging="360"/>
      </w:pPr>
      <w:rPr>
        <w:rFonts w:hint="default"/>
      </w:rPr>
    </w:lvl>
    <w:lvl w:ilvl="1" w:tplc="F4283E10">
      <w:start w:val="1"/>
      <w:numFmt w:val="decimal"/>
      <w:lvlText w:val="%2)"/>
      <w:lvlJc w:val="left"/>
      <w:pPr>
        <w:ind w:left="1455" w:hanging="375"/>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EF6053"/>
    <w:multiLevelType w:val="hybridMultilevel"/>
    <w:tmpl w:val="49E2E638"/>
    <w:lvl w:ilvl="0" w:tplc="FD10F56C">
      <w:start w:val="1"/>
      <w:numFmt w:val="bullet"/>
      <w:lvlText w:val=""/>
      <w:lvlJc w:val="left"/>
      <w:pPr>
        <w:ind w:left="1467" w:hanging="360"/>
      </w:pPr>
      <w:rPr>
        <w:rFonts w:ascii="Symbol" w:hAnsi="Symbol" w:hint="default"/>
      </w:rPr>
    </w:lvl>
    <w:lvl w:ilvl="1" w:tplc="04150003" w:tentative="1">
      <w:start w:val="1"/>
      <w:numFmt w:val="bullet"/>
      <w:lvlText w:val="o"/>
      <w:lvlJc w:val="left"/>
      <w:pPr>
        <w:ind w:left="2187" w:hanging="360"/>
      </w:pPr>
      <w:rPr>
        <w:rFonts w:ascii="Courier New" w:hAnsi="Courier New" w:cs="Courier New" w:hint="default"/>
      </w:rPr>
    </w:lvl>
    <w:lvl w:ilvl="2" w:tplc="04150005" w:tentative="1">
      <w:start w:val="1"/>
      <w:numFmt w:val="bullet"/>
      <w:lvlText w:val=""/>
      <w:lvlJc w:val="left"/>
      <w:pPr>
        <w:ind w:left="2907" w:hanging="360"/>
      </w:pPr>
      <w:rPr>
        <w:rFonts w:ascii="Wingdings" w:hAnsi="Wingdings" w:hint="default"/>
      </w:rPr>
    </w:lvl>
    <w:lvl w:ilvl="3" w:tplc="04150001" w:tentative="1">
      <w:start w:val="1"/>
      <w:numFmt w:val="bullet"/>
      <w:lvlText w:val=""/>
      <w:lvlJc w:val="left"/>
      <w:pPr>
        <w:ind w:left="3627" w:hanging="360"/>
      </w:pPr>
      <w:rPr>
        <w:rFonts w:ascii="Symbol" w:hAnsi="Symbol" w:hint="default"/>
      </w:rPr>
    </w:lvl>
    <w:lvl w:ilvl="4" w:tplc="04150003" w:tentative="1">
      <w:start w:val="1"/>
      <w:numFmt w:val="bullet"/>
      <w:lvlText w:val="o"/>
      <w:lvlJc w:val="left"/>
      <w:pPr>
        <w:ind w:left="4347" w:hanging="360"/>
      </w:pPr>
      <w:rPr>
        <w:rFonts w:ascii="Courier New" w:hAnsi="Courier New" w:cs="Courier New" w:hint="default"/>
      </w:rPr>
    </w:lvl>
    <w:lvl w:ilvl="5" w:tplc="04150005" w:tentative="1">
      <w:start w:val="1"/>
      <w:numFmt w:val="bullet"/>
      <w:lvlText w:val=""/>
      <w:lvlJc w:val="left"/>
      <w:pPr>
        <w:ind w:left="5067" w:hanging="360"/>
      </w:pPr>
      <w:rPr>
        <w:rFonts w:ascii="Wingdings" w:hAnsi="Wingdings" w:hint="default"/>
      </w:rPr>
    </w:lvl>
    <w:lvl w:ilvl="6" w:tplc="04150001" w:tentative="1">
      <w:start w:val="1"/>
      <w:numFmt w:val="bullet"/>
      <w:lvlText w:val=""/>
      <w:lvlJc w:val="left"/>
      <w:pPr>
        <w:ind w:left="5787" w:hanging="360"/>
      </w:pPr>
      <w:rPr>
        <w:rFonts w:ascii="Symbol" w:hAnsi="Symbol" w:hint="default"/>
      </w:rPr>
    </w:lvl>
    <w:lvl w:ilvl="7" w:tplc="04150003" w:tentative="1">
      <w:start w:val="1"/>
      <w:numFmt w:val="bullet"/>
      <w:lvlText w:val="o"/>
      <w:lvlJc w:val="left"/>
      <w:pPr>
        <w:ind w:left="6507" w:hanging="360"/>
      </w:pPr>
      <w:rPr>
        <w:rFonts w:ascii="Courier New" w:hAnsi="Courier New" w:cs="Courier New" w:hint="default"/>
      </w:rPr>
    </w:lvl>
    <w:lvl w:ilvl="8" w:tplc="04150005" w:tentative="1">
      <w:start w:val="1"/>
      <w:numFmt w:val="bullet"/>
      <w:lvlText w:val=""/>
      <w:lvlJc w:val="left"/>
      <w:pPr>
        <w:ind w:left="7227" w:hanging="360"/>
      </w:pPr>
      <w:rPr>
        <w:rFonts w:ascii="Wingdings" w:hAnsi="Wingdings" w:hint="default"/>
      </w:rPr>
    </w:lvl>
  </w:abstractNum>
  <w:abstractNum w:abstractNumId="33" w15:restartNumberingAfterBreak="0">
    <w:nsid w:val="67E469AF"/>
    <w:multiLevelType w:val="hybridMultilevel"/>
    <w:tmpl w:val="6A46831E"/>
    <w:lvl w:ilvl="0" w:tplc="CC58F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88E6133"/>
    <w:multiLevelType w:val="hybridMultilevel"/>
    <w:tmpl w:val="7B9A43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0A6546"/>
    <w:multiLevelType w:val="hybridMultilevel"/>
    <w:tmpl w:val="DE3EA91C"/>
    <w:lvl w:ilvl="0" w:tplc="13D2CB44">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692324E8"/>
    <w:multiLevelType w:val="hybridMultilevel"/>
    <w:tmpl w:val="311A1448"/>
    <w:lvl w:ilvl="0" w:tplc="CC58F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E823774"/>
    <w:multiLevelType w:val="hybridMultilevel"/>
    <w:tmpl w:val="4DD2E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D031CA"/>
    <w:multiLevelType w:val="hybridMultilevel"/>
    <w:tmpl w:val="AA5CF8E4"/>
    <w:lvl w:ilvl="0" w:tplc="0415000F">
      <w:start w:val="1"/>
      <w:numFmt w:val="decimal"/>
      <w:lvlText w:val="%1."/>
      <w:lvlJc w:val="left"/>
      <w:pPr>
        <w:ind w:left="720" w:hanging="360"/>
      </w:pPr>
      <w:rPr>
        <w:rFonts w:hint="default"/>
      </w:rPr>
    </w:lvl>
    <w:lvl w:ilvl="1" w:tplc="0415000F">
      <w:start w:val="1"/>
      <w:numFmt w:val="decimal"/>
      <w:lvlText w:val="%2."/>
      <w:lvlJc w:val="left"/>
      <w:pPr>
        <w:ind w:left="1455" w:hanging="375"/>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0D5300"/>
    <w:multiLevelType w:val="hybridMultilevel"/>
    <w:tmpl w:val="E8908500"/>
    <w:lvl w:ilvl="0" w:tplc="3328DC1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9A3F11"/>
    <w:multiLevelType w:val="hybridMultilevel"/>
    <w:tmpl w:val="42729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4B4D0D"/>
    <w:multiLevelType w:val="hybridMultilevel"/>
    <w:tmpl w:val="C05890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27"/>
  </w:num>
  <w:num w:numId="3">
    <w:abstractNumId w:val="1"/>
  </w:num>
  <w:num w:numId="4">
    <w:abstractNumId w:val="15"/>
  </w:num>
  <w:num w:numId="5">
    <w:abstractNumId w:val="25"/>
  </w:num>
  <w:num w:numId="6">
    <w:abstractNumId w:val="22"/>
  </w:num>
  <w:num w:numId="7">
    <w:abstractNumId w:val="39"/>
  </w:num>
  <w:num w:numId="8">
    <w:abstractNumId w:val="32"/>
  </w:num>
  <w:num w:numId="9">
    <w:abstractNumId w:val="29"/>
  </w:num>
  <w:num w:numId="10">
    <w:abstractNumId w:val="21"/>
  </w:num>
  <w:num w:numId="11">
    <w:abstractNumId w:val="36"/>
  </w:num>
  <w:num w:numId="12">
    <w:abstractNumId w:val="16"/>
  </w:num>
  <w:num w:numId="13">
    <w:abstractNumId w:val="17"/>
  </w:num>
  <w:num w:numId="14">
    <w:abstractNumId w:val="23"/>
  </w:num>
  <w:num w:numId="15">
    <w:abstractNumId w:val="8"/>
  </w:num>
  <w:num w:numId="16">
    <w:abstractNumId w:val="13"/>
  </w:num>
  <w:num w:numId="17">
    <w:abstractNumId w:val="20"/>
  </w:num>
  <w:num w:numId="18">
    <w:abstractNumId w:val="37"/>
  </w:num>
  <w:num w:numId="19">
    <w:abstractNumId w:val="30"/>
  </w:num>
  <w:num w:numId="20">
    <w:abstractNumId w:val="24"/>
  </w:num>
  <w:num w:numId="21">
    <w:abstractNumId w:val="2"/>
  </w:num>
  <w:num w:numId="22">
    <w:abstractNumId w:val="33"/>
  </w:num>
  <w:num w:numId="23">
    <w:abstractNumId w:val="31"/>
  </w:num>
  <w:num w:numId="24">
    <w:abstractNumId w:val="10"/>
  </w:num>
  <w:num w:numId="25">
    <w:abstractNumId w:val="11"/>
  </w:num>
  <w:num w:numId="26">
    <w:abstractNumId w:val="18"/>
  </w:num>
  <w:num w:numId="27">
    <w:abstractNumId w:val="12"/>
  </w:num>
  <w:num w:numId="28">
    <w:abstractNumId w:val="38"/>
  </w:num>
  <w:num w:numId="29">
    <w:abstractNumId w:val="34"/>
  </w:num>
  <w:num w:numId="30">
    <w:abstractNumId w:val="35"/>
  </w:num>
  <w:num w:numId="31">
    <w:abstractNumId w:val="19"/>
  </w:num>
  <w:num w:numId="32">
    <w:abstractNumId w:val="41"/>
  </w:num>
  <w:num w:numId="33">
    <w:abstractNumId w:val="4"/>
  </w:num>
  <w:num w:numId="34">
    <w:abstractNumId w:val="7"/>
  </w:num>
  <w:num w:numId="35">
    <w:abstractNumId w:val="9"/>
  </w:num>
  <w:num w:numId="36">
    <w:abstractNumId w:val="40"/>
  </w:num>
  <w:num w:numId="37">
    <w:abstractNumId w:val="14"/>
  </w:num>
  <w:num w:numId="38">
    <w:abstractNumId w:val="26"/>
  </w:num>
  <w:num w:numId="39">
    <w:abstractNumId w:val="0"/>
  </w:num>
  <w:num w:numId="40">
    <w:abstractNumId w:val="3"/>
  </w:num>
  <w:num w:numId="41">
    <w:abstractNumId w:val="6"/>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BC"/>
    <w:rsid w:val="000006CB"/>
    <w:rsid w:val="00000C1E"/>
    <w:rsid w:val="00001300"/>
    <w:rsid w:val="0000288C"/>
    <w:rsid w:val="000030E7"/>
    <w:rsid w:val="000031AF"/>
    <w:rsid w:val="00006C88"/>
    <w:rsid w:val="00007810"/>
    <w:rsid w:val="00010D8A"/>
    <w:rsid w:val="000125FA"/>
    <w:rsid w:val="00014898"/>
    <w:rsid w:val="00014C6E"/>
    <w:rsid w:val="00015646"/>
    <w:rsid w:val="00015FE6"/>
    <w:rsid w:val="0001609B"/>
    <w:rsid w:val="0002081D"/>
    <w:rsid w:val="000209CD"/>
    <w:rsid w:val="00021CE9"/>
    <w:rsid w:val="000239ED"/>
    <w:rsid w:val="00026A54"/>
    <w:rsid w:val="00026AA1"/>
    <w:rsid w:val="00027784"/>
    <w:rsid w:val="00027DEA"/>
    <w:rsid w:val="0003241A"/>
    <w:rsid w:val="0003339A"/>
    <w:rsid w:val="00033765"/>
    <w:rsid w:val="00036061"/>
    <w:rsid w:val="00036FED"/>
    <w:rsid w:val="000371FF"/>
    <w:rsid w:val="00041371"/>
    <w:rsid w:val="00042056"/>
    <w:rsid w:val="000423E6"/>
    <w:rsid w:val="000461D7"/>
    <w:rsid w:val="00046DFF"/>
    <w:rsid w:val="00047FB4"/>
    <w:rsid w:val="0005104F"/>
    <w:rsid w:val="000510BB"/>
    <w:rsid w:val="0005337E"/>
    <w:rsid w:val="00054F2F"/>
    <w:rsid w:val="00055690"/>
    <w:rsid w:val="00057BD2"/>
    <w:rsid w:val="00064E39"/>
    <w:rsid w:val="000654AF"/>
    <w:rsid w:val="00066C19"/>
    <w:rsid w:val="00066EA1"/>
    <w:rsid w:val="0006772B"/>
    <w:rsid w:val="0006778C"/>
    <w:rsid w:val="000701AC"/>
    <w:rsid w:val="000705BE"/>
    <w:rsid w:val="000715CD"/>
    <w:rsid w:val="00071FC0"/>
    <w:rsid w:val="00072091"/>
    <w:rsid w:val="00073623"/>
    <w:rsid w:val="00074D7C"/>
    <w:rsid w:val="00074E78"/>
    <w:rsid w:val="00076D30"/>
    <w:rsid w:val="0007724A"/>
    <w:rsid w:val="00080A05"/>
    <w:rsid w:val="00080C3B"/>
    <w:rsid w:val="00080F0C"/>
    <w:rsid w:val="00081E0A"/>
    <w:rsid w:val="00082156"/>
    <w:rsid w:val="0008470A"/>
    <w:rsid w:val="000857FE"/>
    <w:rsid w:val="00086185"/>
    <w:rsid w:val="00086ACC"/>
    <w:rsid w:val="0009248C"/>
    <w:rsid w:val="0009346D"/>
    <w:rsid w:val="00094331"/>
    <w:rsid w:val="00094F60"/>
    <w:rsid w:val="0009647F"/>
    <w:rsid w:val="000A1B5C"/>
    <w:rsid w:val="000A2218"/>
    <w:rsid w:val="000A356F"/>
    <w:rsid w:val="000A485D"/>
    <w:rsid w:val="000A5EC5"/>
    <w:rsid w:val="000A73A1"/>
    <w:rsid w:val="000B19B9"/>
    <w:rsid w:val="000B1F49"/>
    <w:rsid w:val="000B3048"/>
    <w:rsid w:val="000B33F6"/>
    <w:rsid w:val="000B4D38"/>
    <w:rsid w:val="000B58FC"/>
    <w:rsid w:val="000B72E6"/>
    <w:rsid w:val="000B7D79"/>
    <w:rsid w:val="000C06F2"/>
    <w:rsid w:val="000C0D96"/>
    <w:rsid w:val="000C2C72"/>
    <w:rsid w:val="000C42E0"/>
    <w:rsid w:val="000C442C"/>
    <w:rsid w:val="000C5234"/>
    <w:rsid w:val="000C526D"/>
    <w:rsid w:val="000C72B6"/>
    <w:rsid w:val="000C75E2"/>
    <w:rsid w:val="000D087F"/>
    <w:rsid w:val="000D18DD"/>
    <w:rsid w:val="000D2EDA"/>
    <w:rsid w:val="000D42A1"/>
    <w:rsid w:val="000D64F6"/>
    <w:rsid w:val="000D6D22"/>
    <w:rsid w:val="000E27EA"/>
    <w:rsid w:val="000E41DC"/>
    <w:rsid w:val="000E4266"/>
    <w:rsid w:val="000E4E53"/>
    <w:rsid w:val="000E670E"/>
    <w:rsid w:val="000E68AE"/>
    <w:rsid w:val="000E6B4E"/>
    <w:rsid w:val="000F0355"/>
    <w:rsid w:val="000F1545"/>
    <w:rsid w:val="000F2702"/>
    <w:rsid w:val="000F45CF"/>
    <w:rsid w:val="000F4FB3"/>
    <w:rsid w:val="000F5C46"/>
    <w:rsid w:val="000F6501"/>
    <w:rsid w:val="000F686D"/>
    <w:rsid w:val="000F78A7"/>
    <w:rsid w:val="00101543"/>
    <w:rsid w:val="00107E98"/>
    <w:rsid w:val="001117E1"/>
    <w:rsid w:val="001131B2"/>
    <w:rsid w:val="001136E8"/>
    <w:rsid w:val="00115739"/>
    <w:rsid w:val="001157CA"/>
    <w:rsid w:val="00115B6B"/>
    <w:rsid w:val="00116AE3"/>
    <w:rsid w:val="00117426"/>
    <w:rsid w:val="00117C35"/>
    <w:rsid w:val="001203AD"/>
    <w:rsid w:val="00120ABE"/>
    <w:rsid w:val="00121589"/>
    <w:rsid w:val="00122CCF"/>
    <w:rsid w:val="00124106"/>
    <w:rsid w:val="00124206"/>
    <w:rsid w:val="001246A3"/>
    <w:rsid w:val="0012679A"/>
    <w:rsid w:val="001268B1"/>
    <w:rsid w:val="00126D38"/>
    <w:rsid w:val="00126F37"/>
    <w:rsid w:val="00130542"/>
    <w:rsid w:val="00130873"/>
    <w:rsid w:val="00132D7A"/>
    <w:rsid w:val="0013598D"/>
    <w:rsid w:val="00136A04"/>
    <w:rsid w:val="00136F27"/>
    <w:rsid w:val="001371E5"/>
    <w:rsid w:val="001436A4"/>
    <w:rsid w:val="001439A8"/>
    <w:rsid w:val="00144D24"/>
    <w:rsid w:val="00146023"/>
    <w:rsid w:val="00146E2D"/>
    <w:rsid w:val="00151327"/>
    <w:rsid w:val="0015201C"/>
    <w:rsid w:val="00153683"/>
    <w:rsid w:val="001539EC"/>
    <w:rsid w:val="00153B8B"/>
    <w:rsid w:val="00154370"/>
    <w:rsid w:val="001553C2"/>
    <w:rsid w:val="00157EDD"/>
    <w:rsid w:val="00160BCA"/>
    <w:rsid w:val="001614C4"/>
    <w:rsid w:val="001630E0"/>
    <w:rsid w:val="00165EDD"/>
    <w:rsid w:val="001713A9"/>
    <w:rsid w:val="001716F7"/>
    <w:rsid w:val="00172001"/>
    <w:rsid w:val="001731E0"/>
    <w:rsid w:val="001735A5"/>
    <w:rsid w:val="00173AFC"/>
    <w:rsid w:val="00174EFD"/>
    <w:rsid w:val="001754BD"/>
    <w:rsid w:val="00175E7D"/>
    <w:rsid w:val="001770CF"/>
    <w:rsid w:val="00180120"/>
    <w:rsid w:val="00180BD9"/>
    <w:rsid w:val="00181D0B"/>
    <w:rsid w:val="00182B36"/>
    <w:rsid w:val="00183212"/>
    <w:rsid w:val="00183675"/>
    <w:rsid w:val="00183EA3"/>
    <w:rsid w:val="00183F76"/>
    <w:rsid w:val="001854F9"/>
    <w:rsid w:val="00185C2D"/>
    <w:rsid w:val="00186354"/>
    <w:rsid w:val="001868FF"/>
    <w:rsid w:val="0018704A"/>
    <w:rsid w:val="00190703"/>
    <w:rsid w:val="00190A6E"/>
    <w:rsid w:val="00193996"/>
    <w:rsid w:val="00194387"/>
    <w:rsid w:val="00195EBA"/>
    <w:rsid w:val="001A0248"/>
    <w:rsid w:val="001A23E1"/>
    <w:rsid w:val="001A292A"/>
    <w:rsid w:val="001A4354"/>
    <w:rsid w:val="001A75FC"/>
    <w:rsid w:val="001B00B6"/>
    <w:rsid w:val="001B0A2F"/>
    <w:rsid w:val="001B1F86"/>
    <w:rsid w:val="001B31BE"/>
    <w:rsid w:val="001B3314"/>
    <w:rsid w:val="001B4626"/>
    <w:rsid w:val="001B4ACB"/>
    <w:rsid w:val="001B690D"/>
    <w:rsid w:val="001C0A04"/>
    <w:rsid w:val="001C2E4D"/>
    <w:rsid w:val="001C4523"/>
    <w:rsid w:val="001C5045"/>
    <w:rsid w:val="001C5EB0"/>
    <w:rsid w:val="001C7B34"/>
    <w:rsid w:val="001D050A"/>
    <w:rsid w:val="001D199D"/>
    <w:rsid w:val="001D3C0D"/>
    <w:rsid w:val="001D3D63"/>
    <w:rsid w:val="001D4BEF"/>
    <w:rsid w:val="001D4ED4"/>
    <w:rsid w:val="001D6F8C"/>
    <w:rsid w:val="001D7EFB"/>
    <w:rsid w:val="001D7F30"/>
    <w:rsid w:val="001E0228"/>
    <w:rsid w:val="001E0FEE"/>
    <w:rsid w:val="001E163A"/>
    <w:rsid w:val="001E365C"/>
    <w:rsid w:val="001E5B9F"/>
    <w:rsid w:val="001E644B"/>
    <w:rsid w:val="001E6E40"/>
    <w:rsid w:val="001E7477"/>
    <w:rsid w:val="001F0D1F"/>
    <w:rsid w:val="001F1F75"/>
    <w:rsid w:val="001F32CC"/>
    <w:rsid w:val="001F49C8"/>
    <w:rsid w:val="001F5E03"/>
    <w:rsid w:val="001F6B76"/>
    <w:rsid w:val="001F7385"/>
    <w:rsid w:val="001F7444"/>
    <w:rsid w:val="001F79EE"/>
    <w:rsid w:val="002014A1"/>
    <w:rsid w:val="00202DA0"/>
    <w:rsid w:val="00203C29"/>
    <w:rsid w:val="002077F5"/>
    <w:rsid w:val="002109F4"/>
    <w:rsid w:val="00211078"/>
    <w:rsid w:val="00212945"/>
    <w:rsid w:val="002134A4"/>
    <w:rsid w:val="002136B9"/>
    <w:rsid w:val="0021375C"/>
    <w:rsid w:val="00214B01"/>
    <w:rsid w:val="00215A67"/>
    <w:rsid w:val="00215E98"/>
    <w:rsid w:val="00221AC3"/>
    <w:rsid w:val="00222190"/>
    <w:rsid w:val="00224689"/>
    <w:rsid w:val="00225871"/>
    <w:rsid w:val="00226E69"/>
    <w:rsid w:val="0023101E"/>
    <w:rsid w:val="00233ADD"/>
    <w:rsid w:val="00234046"/>
    <w:rsid w:val="0023428A"/>
    <w:rsid w:val="002345CC"/>
    <w:rsid w:val="00235B36"/>
    <w:rsid w:val="00237059"/>
    <w:rsid w:val="00244931"/>
    <w:rsid w:val="00245BA2"/>
    <w:rsid w:val="0025010F"/>
    <w:rsid w:val="002510EB"/>
    <w:rsid w:val="00252301"/>
    <w:rsid w:val="002535B0"/>
    <w:rsid w:val="00254FFD"/>
    <w:rsid w:val="00255B46"/>
    <w:rsid w:val="002562BD"/>
    <w:rsid w:val="00256321"/>
    <w:rsid w:val="00257310"/>
    <w:rsid w:val="0025799D"/>
    <w:rsid w:val="00257FC5"/>
    <w:rsid w:val="00260069"/>
    <w:rsid w:val="002612F1"/>
    <w:rsid w:val="002623B7"/>
    <w:rsid w:val="002644AB"/>
    <w:rsid w:val="00264B3B"/>
    <w:rsid w:val="00266865"/>
    <w:rsid w:val="00266B6E"/>
    <w:rsid w:val="0027136E"/>
    <w:rsid w:val="00271F93"/>
    <w:rsid w:val="00271FDA"/>
    <w:rsid w:val="002729C4"/>
    <w:rsid w:val="00273529"/>
    <w:rsid w:val="00275FBE"/>
    <w:rsid w:val="00276F9C"/>
    <w:rsid w:val="002771D9"/>
    <w:rsid w:val="0027749B"/>
    <w:rsid w:val="002777EB"/>
    <w:rsid w:val="00280CE3"/>
    <w:rsid w:val="00280D08"/>
    <w:rsid w:val="00281FAB"/>
    <w:rsid w:val="0028223B"/>
    <w:rsid w:val="00282540"/>
    <w:rsid w:val="00282E40"/>
    <w:rsid w:val="00284FDB"/>
    <w:rsid w:val="00285030"/>
    <w:rsid w:val="00285CE8"/>
    <w:rsid w:val="00286901"/>
    <w:rsid w:val="002875D9"/>
    <w:rsid w:val="00287978"/>
    <w:rsid w:val="00291B20"/>
    <w:rsid w:val="00291B9D"/>
    <w:rsid w:val="0029306E"/>
    <w:rsid w:val="0029326B"/>
    <w:rsid w:val="00293CCD"/>
    <w:rsid w:val="00294F42"/>
    <w:rsid w:val="002971C9"/>
    <w:rsid w:val="002A18C0"/>
    <w:rsid w:val="002A2368"/>
    <w:rsid w:val="002A5580"/>
    <w:rsid w:val="002A55B6"/>
    <w:rsid w:val="002B08BF"/>
    <w:rsid w:val="002B0BB5"/>
    <w:rsid w:val="002B123D"/>
    <w:rsid w:val="002B2140"/>
    <w:rsid w:val="002B481C"/>
    <w:rsid w:val="002B635E"/>
    <w:rsid w:val="002B7008"/>
    <w:rsid w:val="002B75C7"/>
    <w:rsid w:val="002B7791"/>
    <w:rsid w:val="002C020C"/>
    <w:rsid w:val="002C1523"/>
    <w:rsid w:val="002C2210"/>
    <w:rsid w:val="002C24C5"/>
    <w:rsid w:val="002C2CAE"/>
    <w:rsid w:val="002C3637"/>
    <w:rsid w:val="002C4EBB"/>
    <w:rsid w:val="002C5559"/>
    <w:rsid w:val="002C5D9D"/>
    <w:rsid w:val="002D0988"/>
    <w:rsid w:val="002D12EB"/>
    <w:rsid w:val="002D1687"/>
    <w:rsid w:val="002D2622"/>
    <w:rsid w:val="002D374F"/>
    <w:rsid w:val="002D461B"/>
    <w:rsid w:val="002D4E83"/>
    <w:rsid w:val="002D648C"/>
    <w:rsid w:val="002D7192"/>
    <w:rsid w:val="002D78C3"/>
    <w:rsid w:val="002E2D75"/>
    <w:rsid w:val="002E2E12"/>
    <w:rsid w:val="002E3DC8"/>
    <w:rsid w:val="002E45DB"/>
    <w:rsid w:val="002E4CF2"/>
    <w:rsid w:val="002E551F"/>
    <w:rsid w:val="002E6DFB"/>
    <w:rsid w:val="002F06B2"/>
    <w:rsid w:val="002F12A2"/>
    <w:rsid w:val="002F188F"/>
    <w:rsid w:val="002F34E3"/>
    <w:rsid w:val="002F40D9"/>
    <w:rsid w:val="002F4C79"/>
    <w:rsid w:val="002F6223"/>
    <w:rsid w:val="002F7C0D"/>
    <w:rsid w:val="003009D2"/>
    <w:rsid w:val="00300C3E"/>
    <w:rsid w:val="0030131D"/>
    <w:rsid w:val="003015B2"/>
    <w:rsid w:val="0030477C"/>
    <w:rsid w:val="00304961"/>
    <w:rsid w:val="003053DF"/>
    <w:rsid w:val="00311660"/>
    <w:rsid w:val="00311785"/>
    <w:rsid w:val="00314FFD"/>
    <w:rsid w:val="00316518"/>
    <w:rsid w:val="0031734A"/>
    <w:rsid w:val="00317B18"/>
    <w:rsid w:val="003200A4"/>
    <w:rsid w:val="0032022C"/>
    <w:rsid w:val="00321D5D"/>
    <w:rsid w:val="003231D2"/>
    <w:rsid w:val="0032496A"/>
    <w:rsid w:val="003250E7"/>
    <w:rsid w:val="003252FD"/>
    <w:rsid w:val="00325C52"/>
    <w:rsid w:val="00325D95"/>
    <w:rsid w:val="003272FA"/>
    <w:rsid w:val="003274FE"/>
    <w:rsid w:val="00327AE0"/>
    <w:rsid w:val="003319F1"/>
    <w:rsid w:val="00332482"/>
    <w:rsid w:val="003329B3"/>
    <w:rsid w:val="0033300E"/>
    <w:rsid w:val="00333840"/>
    <w:rsid w:val="003400B1"/>
    <w:rsid w:val="00341B89"/>
    <w:rsid w:val="003434B8"/>
    <w:rsid w:val="00343F96"/>
    <w:rsid w:val="00344E6A"/>
    <w:rsid w:val="0034576F"/>
    <w:rsid w:val="00345A9D"/>
    <w:rsid w:val="00345E25"/>
    <w:rsid w:val="00351575"/>
    <w:rsid w:val="003531EC"/>
    <w:rsid w:val="003534CA"/>
    <w:rsid w:val="00353555"/>
    <w:rsid w:val="00353BA1"/>
    <w:rsid w:val="0035454D"/>
    <w:rsid w:val="0035506D"/>
    <w:rsid w:val="00355467"/>
    <w:rsid w:val="00355987"/>
    <w:rsid w:val="003560F1"/>
    <w:rsid w:val="003568C9"/>
    <w:rsid w:val="00356B95"/>
    <w:rsid w:val="00357C72"/>
    <w:rsid w:val="003621E9"/>
    <w:rsid w:val="00362A70"/>
    <w:rsid w:val="0036659A"/>
    <w:rsid w:val="00367CBA"/>
    <w:rsid w:val="00370328"/>
    <w:rsid w:val="003733E0"/>
    <w:rsid w:val="003752B1"/>
    <w:rsid w:val="00380A64"/>
    <w:rsid w:val="00380C23"/>
    <w:rsid w:val="00384E1C"/>
    <w:rsid w:val="00386DA6"/>
    <w:rsid w:val="0039072C"/>
    <w:rsid w:val="003952EB"/>
    <w:rsid w:val="00396301"/>
    <w:rsid w:val="00396992"/>
    <w:rsid w:val="00396AAA"/>
    <w:rsid w:val="00397CE4"/>
    <w:rsid w:val="003A1681"/>
    <w:rsid w:val="003A40B1"/>
    <w:rsid w:val="003A42A0"/>
    <w:rsid w:val="003A6054"/>
    <w:rsid w:val="003A681D"/>
    <w:rsid w:val="003B1264"/>
    <w:rsid w:val="003B19BC"/>
    <w:rsid w:val="003B297A"/>
    <w:rsid w:val="003B3C36"/>
    <w:rsid w:val="003B3E8C"/>
    <w:rsid w:val="003B3EDD"/>
    <w:rsid w:val="003B41C8"/>
    <w:rsid w:val="003B4DDE"/>
    <w:rsid w:val="003B5D4A"/>
    <w:rsid w:val="003C136C"/>
    <w:rsid w:val="003C3A60"/>
    <w:rsid w:val="003C413C"/>
    <w:rsid w:val="003C6809"/>
    <w:rsid w:val="003C693D"/>
    <w:rsid w:val="003D1464"/>
    <w:rsid w:val="003D16E7"/>
    <w:rsid w:val="003D1B53"/>
    <w:rsid w:val="003D23C6"/>
    <w:rsid w:val="003D2F94"/>
    <w:rsid w:val="003D4795"/>
    <w:rsid w:val="003D4F55"/>
    <w:rsid w:val="003D5A52"/>
    <w:rsid w:val="003E005E"/>
    <w:rsid w:val="003E2698"/>
    <w:rsid w:val="003E4335"/>
    <w:rsid w:val="003E4606"/>
    <w:rsid w:val="003E5E87"/>
    <w:rsid w:val="003E5FB2"/>
    <w:rsid w:val="003E6467"/>
    <w:rsid w:val="003E64A9"/>
    <w:rsid w:val="003F080E"/>
    <w:rsid w:val="003F2749"/>
    <w:rsid w:val="003F3385"/>
    <w:rsid w:val="003F409A"/>
    <w:rsid w:val="003F6421"/>
    <w:rsid w:val="003F7983"/>
    <w:rsid w:val="003F7F66"/>
    <w:rsid w:val="004011E9"/>
    <w:rsid w:val="0040209B"/>
    <w:rsid w:val="004025B7"/>
    <w:rsid w:val="00404934"/>
    <w:rsid w:val="00405DBE"/>
    <w:rsid w:val="004062E3"/>
    <w:rsid w:val="00406F2F"/>
    <w:rsid w:val="00411F71"/>
    <w:rsid w:val="004130BB"/>
    <w:rsid w:val="004139CF"/>
    <w:rsid w:val="004151FC"/>
    <w:rsid w:val="00416569"/>
    <w:rsid w:val="00422A7B"/>
    <w:rsid w:val="004261F6"/>
    <w:rsid w:val="00427A6F"/>
    <w:rsid w:val="00427C2E"/>
    <w:rsid w:val="00431292"/>
    <w:rsid w:val="00432612"/>
    <w:rsid w:val="00435B0D"/>
    <w:rsid w:val="00435DE2"/>
    <w:rsid w:val="00436659"/>
    <w:rsid w:val="004370FE"/>
    <w:rsid w:val="00437C3F"/>
    <w:rsid w:val="00442567"/>
    <w:rsid w:val="00442DDD"/>
    <w:rsid w:val="00446F38"/>
    <w:rsid w:val="004470EF"/>
    <w:rsid w:val="00447CE4"/>
    <w:rsid w:val="00447FEA"/>
    <w:rsid w:val="0045151A"/>
    <w:rsid w:val="00452D57"/>
    <w:rsid w:val="004532F4"/>
    <w:rsid w:val="00454006"/>
    <w:rsid w:val="00455D43"/>
    <w:rsid w:val="00455D81"/>
    <w:rsid w:val="004567AB"/>
    <w:rsid w:val="0045733C"/>
    <w:rsid w:val="00457D3B"/>
    <w:rsid w:val="00463FB8"/>
    <w:rsid w:val="00464EC6"/>
    <w:rsid w:val="0046511D"/>
    <w:rsid w:val="00465792"/>
    <w:rsid w:val="0046795D"/>
    <w:rsid w:val="00470CE2"/>
    <w:rsid w:val="00471437"/>
    <w:rsid w:val="00472286"/>
    <w:rsid w:val="00480398"/>
    <w:rsid w:val="00480ADB"/>
    <w:rsid w:val="004813DB"/>
    <w:rsid w:val="004836CA"/>
    <w:rsid w:val="00483DD6"/>
    <w:rsid w:val="0048463D"/>
    <w:rsid w:val="004850ED"/>
    <w:rsid w:val="0048590A"/>
    <w:rsid w:val="0048633E"/>
    <w:rsid w:val="004869CF"/>
    <w:rsid w:val="004904E5"/>
    <w:rsid w:val="004914E1"/>
    <w:rsid w:val="0049377C"/>
    <w:rsid w:val="00493D70"/>
    <w:rsid w:val="004970FB"/>
    <w:rsid w:val="004974A1"/>
    <w:rsid w:val="004978B2"/>
    <w:rsid w:val="00497CAE"/>
    <w:rsid w:val="004A1CD9"/>
    <w:rsid w:val="004A243E"/>
    <w:rsid w:val="004A433C"/>
    <w:rsid w:val="004A568F"/>
    <w:rsid w:val="004A572B"/>
    <w:rsid w:val="004A608A"/>
    <w:rsid w:val="004A69F8"/>
    <w:rsid w:val="004A705C"/>
    <w:rsid w:val="004A7399"/>
    <w:rsid w:val="004A7619"/>
    <w:rsid w:val="004B01CD"/>
    <w:rsid w:val="004B082A"/>
    <w:rsid w:val="004B1ADA"/>
    <w:rsid w:val="004B1C25"/>
    <w:rsid w:val="004B20FA"/>
    <w:rsid w:val="004B26C4"/>
    <w:rsid w:val="004B298E"/>
    <w:rsid w:val="004B39FA"/>
    <w:rsid w:val="004B45B6"/>
    <w:rsid w:val="004B600D"/>
    <w:rsid w:val="004B672C"/>
    <w:rsid w:val="004B7150"/>
    <w:rsid w:val="004C0323"/>
    <w:rsid w:val="004C03E3"/>
    <w:rsid w:val="004C0A8A"/>
    <w:rsid w:val="004C11FC"/>
    <w:rsid w:val="004C4822"/>
    <w:rsid w:val="004C4AE8"/>
    <w:rsid w:val="004C54C2"/>
    <w:rsid w:val="004C6BC4"/>
    <w:rsid w:val="004D1475"/>
    <w:rsid w:val="004D18E5"/>
    <w:rsid w:val="004D1C81"/>
    <w:rsid w:val="004D34C9"/>
    <w:rsid w:val="004D4CB1"/>
    <w:rsid w:val="004D4E66"/>
    <w:rsid w:val="004D506A"/>
    <w:rsid w:val="004D730A"/>
    <w:rsid w:val="004D7861"/>
    <w:rsid w:val="004D7F98"/>
    <w:rsid w:val="004E0CF2"/>
    <w:rsid w:val="004E21AD"/>
    <w:rsid w:val="004E2B4B"/>
    <w:rsid w:val="004E2C0B"/>
    <w:rsid w:val="004E2C1A"/>
    <w:rsid w:val="004E2E5B"/>
    <w:rsid w:val="004E3D06"/>
    <w:rsid w:val="004E474A"/>
    <w:rsid w:val="004E534C"/>
    <w:rsid w:val="004E7F0B"/>
    <w:rsid w:val="004F31CC"/>
    <w:rsid w:val="004F606B"/>
    <w:rsid w:val="004F6408"/>
    <w:rsid w:val="00503A88"/>
    <w:rsid w:val="00503C2E"/>
    <w:rsid w:val="005042BE"/>
    <w:rsid w:val="00504CFF"/>
    <w:rsid w:val="00504E13"/>
    <w:rsid w:val="0050659C"/>
    <w:rsid w:val="005076BD"/>
    <w:rsid w:val="00510A45"/>
    <w:rsid w:val="00510B9F"/>
    <w:rsid w:val="00511F50"/>
    <w:rsid w:val="00512016"/>
    <w:rsid w:val="00513330"/>
    <w:rsid w:val="00515218"/>
    <w:rsid w:val="00515729"/>
    <w:rsid w:val="00515C31"/>
    <w:rsid w:val="00516013"/>
    <w:rsid w:val="00517BC3"/>
    <w:rsid w:val="00521992"/>
    <w:rsid w:val="00524504"/>
    <w:rsid w:val="00524FD9"/>
    <w:rsid w:val="00526C18"/>
    <w:rsid w:val="00530023"/>
    <w:rsid w:val="00530918"/>
    <w:rsid w:val="00532F71"/>
    <w:rsid w:val="005333F6"/>
    <w:rsid w:val="00533A2C"/>
    <w:rsid w:val="00536021"/>
    <w:rsid w:val="00541654"/>
    <w:rsid w:val="00542E7E"/>
    <w:rsid w:val="00543821"/>
    <w:rsid w:val="005447C6"/>
    <w:rsid w:val="00544B65"/>
    <w:rsid w:val="005461BA"/>
    <w:rsid w:val="005466E2"/>
    <w:rsid w:val="005474A6"/>
    <w:rsid w:val="0054759D"/>
    <w:rsid w:val="005526E9"/>
    <w:rsid w:val="00553110"/>
    <w:rsid w:val="005532AB"/>
    <w:rsid w:val="00561B42"/>
    <w:rsid w:val="00561D9F"/>
    <w:rsid w:val="00563DEC"/>
    <w:rsid w:val="00563EAB"/>
    <w:rsid w:val="00570033"/>
    <w:rsid w:val="0057403B"/>
    <w:rsid w:val="00574406"/>
    <w:rsid w:val="00575555"/>
    <w:rsid w:val="00575B5B"/>
    <w:rsid w:val="005776CA"/>
    <w:rsid w:val="00577C0E"/>
    <w:rsid w:val="0058056F"/>
    <w:rsid w:val="00584DFC"/>
    <w:rsid w:val="00590086"/>
    <w:rsid w:val="005902B5"/>
    <w:rsid w:val="00590DD7"/>
    <w:rsid w:val="005934D8"/>
    <w:rsid w:val="00594998"/>
    <w:rsid w:val="00595889"/>
    <w:rsid w:val="00595CCB"/>
    <w:rsid w:val="0059797D"/>
    <w:rsid w:val="005A0F60"/>
    <w:rsid w:val="005A1442"/>
    <w:rsid w:val="005A1816"/>
    <w:rsid w:val="005A25C4"/>
    <w:rsid w:val="005A46E4"/>
    <w:rsid w:val="005A4E8F"/>
    <w:rsid w:val="005A54B8"/>
    <w:rsid w:val="005A61B2"/>
    <w:rsid w:val="005A63D9"/>
    <w:rsid w:val="005A6B0B"/>
    <w:rsid w:val="005A6F7C"/>
    <w:rsid w:val="005A7EDF"/>
    <w:rsid w:val="005B0508"/>
    <w:rsid w:val="005B261E"/>
    <w:rsid w:val="005B3771"/>
    <w:rsid w:val="005B3FFC"/>
    <w:rsid w:val="005B6386"/>
    <w:rsid w:val="005B6EFC"/>
    <w:rsid w:val="005C016B"/>
    <w:rsid w:val="005C1AC3"/>
    <w:rsid w:val="005C2026"/>
    <w:rsid w:val="005C38F1"/>
    <w:rsid w:val="005C4F44"/>
    <w:rsid w:val="005C709B"/>
    <w:rsid w:val="005D2F96"/>
    <w:rsid w:val="005D4BE4"/>
    <w:rsid w:val="005D5218"/>
    <w:rsid w:val="005D579F"/>
    <w:rsid w:val="005E1288"/>
    <w:rsid w:val="005E1F11"/>
    <w:rsid w:val="005E3EF7"/>
    <w:rsid w:val="005E4E19"/>
    <w:rsid w:val="005E64A4"/>
    <w:rsid w:val="005E7218"/>
    <w:rsid w:val="005E78A0"/>
    <w:rsid w:val="005F067C"/>
    <w:rsid w:val="005F1584"/>
    <w:rsid w:val="005F1D70"/>
    <w:rsid w:val="005F3737"/>
    <w:rsid w:val="005F3E5C"/>
    <w:rsid w:val="005F3FE8"/>
    <w:rsid w:val="005F4C5F"/>
    <w:rsid w:val="005F5089"/>
    <w:rsid w:val="005F7086"/>
    <w:rsid w:val="005F71F9"/>
    <w:rsid w:val="005F78BE"/>
    <w:rsid w:val="005F7F6A"/>
    <w:rsid w:val="00600681"/>
    <w:rsid w:val="00600B75"/>
    <w:rsid w:val="006027D8"/>
    <w:rsid w:val="00602996"/>
    <w:rsid w:val="0060535D"/>
    <w:rsid w:val="00606047"/>
    <w:rsid w:val="006065B8"/>
    <w:rsid w:val="00612FC8"/>
    <w:rsid w:val="006136AD"/>
    <w:rsid w:val="00613D22"/>
    <w:rsid w:val="00613DD8"/>
    <w:rsid w:val="006140CF"/>
    <w:rsid w:val="00614417"/>
    <w:rsid w:val="0061505B"/>
    <w:rsid w:val="00615DA9"/>
    <w:rsid w:val="0062195B"/>
    <w:rsid w:val="00622023"/>
    <w:rsid w:val="00622579"/>
    <w:rsid w:val="00623517"/>
    <w:rsid w:val="00623EB8"/>
    <w:rsid w:val="006251DF"/>
    <w:rsid w:val="00625803"/>
    <w:rsid w:val="00626E01"/>
    <w:rsid w:val="00630E25"/>
    <w:rsid w:val="00630FB2"/>
    <w:rsid w:val="00631930"/>
    <w:rsid w:val="00632DA8"/>
    <w:rsid w:val="00633506"/>
    <w:rsid w:val="00634286"/>
    <w:rsid w:val="00634E01"/>
    <w:rsid w:val="00635274"/>
    <w:rsid w:val="00635405"/>
    <w:rsid w:val="0063599C"/>
    <w:rsid w:val="00635B16"/>
    <w:rsid w:val="00635F03"/>
    <w:rsid w:val="006366BC"/>
    <w:rsid w:val="00637431"/>
    <w:rsid w:val="00643706"/>
    <w:rsid w:val="0064502D"/>
    <w:rsid w:val="00645818"/>
    <w:rsid w:val="00645C7A"/>
    <w:rsid w:val="00646D71"/>
    <w:rsid w:val="00652A30"/>
    <w:rsid w:val="00655217"/>
    <w:rsid w:val="006577B7"/>
    <w:rsid w:val="00664EE8"/>
    <w:rsid w:val="0066509F"/>
    <w:rsid w:val="00666920"/>
    <w:rsid w:val="00670E2B"/>
    <w:rsid w:val="0067305D"/>
    <w:rsid w:val="00673193"/>
    <w:rsid w:val="0067375B"/>
    <w:rsid w:val="0067550D"/>
    <w:rsid w:val="006761F3"/>
    <w:rsid w:val="00676742"/>
    <w:rsid w:val="00677675"/>
    <w:rsid w:val="00677837"/>
    <w:rsid w:val="006829F8"/>
    <w:rsid w:val="00682ADD"/>
    <w:rsid w:val="00683691"/>
    <w:rsid w:val="0068511E"/>
    <w:rsid w:val="00685510"/>
    <w:rsid w:val="0068584B"/>
    <w:rsid w:val="006858C9"/>
    <w:rsid w:val="00685DAF"/>
    <w:rsid w:val="00692F12"/>
    <w:rsid w:val="006933C9"/>
    <w:rsid w:val="00694F90"/>
    <w:rsid w:val="006A0DF1"/>
    <w:rsid w:val="006A3B45"/>
    <w:rsid w:val="006A3DC7"/>
    <w:rsid w:val="006A3E1F"/>
    <w:rsid w:val="006A51C0"/>
    <w:rsid w:val="006A59F1"/>
    <w:rsid w:val="006A6DD1"/>
    <w:rsid w:val="006A6F81"/>
    <w:rsid w:val="006A77EC"/>
    <w:rsid w:val="006B02B3"/>
    <w:rsid w:val="006B0547"/>
    <w:rsid w:val="006B4C83"/>
    <w:rsid w:val="006B6BD6"/>
    <w:rsid w:val="006B6D77"/>
    <w:rsid w:val="006B6FD8"/>
    <w:rsid w:val="006B76CE"/>
    <w:rsid w:val="006C002D"/>
    <w:rsid w:val="006C0696"/>
    <w:rsid w:val="006C17E1"/>
    <w:rsid w:val="006C6859"/>
    <w:rsid w:val="006C77C7"/>
    <w:rsid w:val="006C7A2E"/>
    <w:rsid w:val="006D013E"/>
    <w:rsid w:val="006D014B"/>
    <w:rsid w:val="006D0192"/>
    <w:rsid w:val="006D0A58"/>
    <w:rsid w:val="006D1C96"/>
    <w:rsid w:val="006D2562"/>
    <w:rsid w:val="006D3D66"/>
    <w:rsid w:val="006D4B3C"/>
    <w:rsid w:val="006D58FA"/>
    <w:rsid w:val="006E0341"/>
    <w:rsid w:val="006E0BCE"/>
    <w:rsid w:val="006E0CDF"/>
    <w:rsid w:val="006E171E"/>
    <w:rsid w:val="006E4455"/>
    <w:rsid w:val="006E4E72"/>
    <w:rsid w:val="006E5432"/>
    <w:rsid w:val="006E74FE"/>
    <w:rsid w:val="006F0C84"/>
    <w:rsid w:val="006F46B3"/>
    <w:rsid w:val="006F549B"/>
    <w:rsid w:val="00700E72"/>
    <w:rsid w:val="00702CAF"/>
    <w:rsid w:val="00703349"/>
    <w:rsid w:val="00706C91"/>
    <w:rsid w:val="00710DEF"/>
    <w:rsid w:val="007113F7"/>
    <w:rsid w:val="00717D06"/>
    <w:rsid w:val="00720B83"/>
    <w:rsid w:val="00720E06"/>
    <w:rsid w:val="00721025"/>
    <w:rsid w:val="007218F6"/>
    <w:rsid w:val="00721B59"/>
    <w:rsid w:val="00721D1C"/>
    <w:rsid w:val="0072332B"/>
    <w:rsid w:val="007279FF"/>
    <w:rsid w:val="00731E70"/>
    <w:rsid w:val="00734A82"/>
    <w:rsid w:val="00735B7F"/>
    <w:rsid w:val="0073609F"/>
    <w:rsid w:val="00736BFE"/>
    <w:rsid w:val="00737F1C"/>
    <w:rsid w:val="00740C4C"/>
    <w:rsid w:val="007463C9"/>
    <w:rsid w:val="007478A0"/>
    <w:rsid w:val="00750733"/>
    <w:rsid w:val="00750B2F"/>
    <w:rsid w:val="007515CF"/>
    <w:rsid w:val="00755AC7"/>
    <w:rsid w:val="00756167"/>
    <w:rsid w:val="007577D4"/>
    <w:rsid w:val="007579BD"/>
    <w:rsid w:val="00757AC7"/>
    <w:rsid w:val="00766DEB"/>
    <w:rsid w:val="00767393"/>
    <w:rsid w:val="007673A9"/>
    <w:rsid w:val="007709ED"/>
    <w:rsid w:val="007710CE"/>
    <w:rsid w:val="00772AAE"/>
    <w:rsid w:val="00772FEE"/>
    <w:rsid w:val="007731B8"/>
    <w:rsid w:val="007736A8"/>
    <w:rsid w:val="007741F3"/>
    <w:rsid w:val="0077487E"/>
    <w:rsid w:val="00774941"/>
    <w:rsid w:val="00777036"/>
    <w:rsid w:val="00777684"/>
    <w:rsid w:val="00777687"/>
    <w:rsid w:val="00781F0C"/>
    <w:rsid w:val="00782200"/>
    <w:rsid w:val="007829B6"/>
    <w:rsid w:val="00782B6D"/>
    <w:rsid w:val="0078366E"/>
    <w:rsid w:val="00785D23"/>
    <w:rsid w:val="0078706F"/>
    <w:rsid w:val="007909D3"/>
    <w:rsid w:val="0079276A"/>
    <w:rsid w:val="007935B7"/>
    <w:rsid w:val="00794243"/>
    <w:rsid w:val="0079450A"/>
    <w:rsid w:val="00797C9A"/>
    <w:rsid w:val="007A10DB"/>
    <w:rsid w:val="007A1F2F"/>
    <w:rsid w:val="007A2269"/>
    <w:rsid w:val="007A24B4"/>
    <w:rsid w:val="007A27B2"/>
    <w:rsid w:val="007A385D"/>
    <w:rsid w:val="007A41AD"/>
    <w:rsid w:val="007A65C6"/>
    <w:rsid w:val="007A710A"/>
    <w:rsid w:val="007A7AD2"/>
    <w:rsid w:val="007B08E8"/>
    <w:rsid w:val="007B0BB9"/>
    <w:rsid w:val="007B11BB"/>
    <w:rsid w:val="007B23A0"/>
    <w:rsid w:val="007B2516"/>
    <w:rsid w:val="007B2857"/>
    <w:rsid w:val="007B3E06"/>
    <w:rsid w:val="007B4C15"/>
    <w:rsid w:val="007B679E"/>
    <w:rsid w:val="007B736C"/>
    <w:rsid w:val="007C1F3E"/>
    <w:rsid w:val="007C365C"/>
    <w:rsid w:val="007C3DD2"/>
    <w:rsid w:val="007C50F5"/>
    <w:rsid w:val="007C557D"/>
    <w:rsid w:val="007C7CA6"/>
    <w:rsid w:val="007D2883"/>
    <w:rsid w:val="007D5502"/>
    <w:rsid w:val="007D74BF"/>
    <w:rsid w:val="007E0343"/>
    <w:rsid w:val="007E328F"/>
    <w:rsid w:val="007E32BF"/>
    <w:rsid w:val="007E6C5E"/>
    <w:rsid w:val="007F104B"/>
    <w:rsid w:val="007F1950"/>
    <w:rsid w:val="007F2357"/>
    <w:rsid w:val="007F30D8"/>
    <w:rsid w:val="007F3C28"/>
    <w:rsid w:val="007F3E3E"/>
    <w:rsid w:val="007F4E9A"/>
    <w:rsid w:val="007F68C0"/>
    <w:rsid w:val="007F742F"/>
    <w:rsid w:val="008002BE"/>
    <w:rsid w:val="00800DD6"/>
    <w:rsid w:val="00801D0B"/>
    <w:rsid w:val="00806841"/>
    <w:rsid w:val="0081068B"/>
    <w:rsid w:val="0081189F"/>
    <w:rsid w:val="008145CF"/>
    <w:rsid w:val="0081480E"/>
    <w:rsid w:val="00815CF9"/>
    <w:rsid w:val="0081623D"/>
    <w:rsid w:val="00816C50"/>
    <w:rsid w:val="008173BB"/>
    <w:rsid w:val="0082084F"/>
    <w:rsid w:val="00821666"/>
    <w:rsid w:val="00821990"/>
    <w:rsid w:val="008231AD"/>
    <w:rsid w:val="008245E0"/>
    <w:rsid w:val="0082565C"/>
    <w:rsid w:val="00825ACA"/>
    <w:rsid w:val="00826259"/>
    <w:rsid w:val="00830AF3"/>
    <w:rsid w:val="00830C02"/>
    <w:rsid w:val="00831277"/>
    <w:rsid w:val="00832413"/>
    <w:rsid w:val="008330E7"/>
    <w:rsid w:val="00833258"/>
    <w:rsid w:val="00835E2B"/>
    <w:rsid w:val="008362C4"/>
    <w:rsid w:val="00844986"/>
    <w:rsid w:val="00844998"/>
    <w:rsid w:val="00847A72"/>
    <w:rsid w:val="00847F0D"/>
    <w:rsid w:val="008500DF"/>
    <w:rsid w:val="00850507"/>
    <w:rsid w:val="0085196D"/>
    <w:rsid w:val="00853299"/>
    <w:rsid w:val="0085331E"/>
    <w:rsid w:val="00853692"/>
    <w:rsid w:val="0085473B"/>
    <w:rsid w:val="00854B06"/>
    <w:rsid w:val="00855034"/>
    <w:rsid w:val="008564B1"/>
    <w:rsid w:val="0085682E"/>
    <w:rsid w:val="00860E57"/>
    <w:rsid w:val="00862069"/>
    <w:rsid w:val="00864B08"/>
    <w:rsid w:val="00864F45"/>
    <w:rsid w:val="00867F9B"/>
    <w:rsid w:val="0087005E"/>
    <w:rsid w:val="00871065"/>
    <w:rsid w:val="00871403"/>
    <w:rsid w:val="00873111"/>
    <w:rsid w:val="008742E1"/>
    <w:rsid w:val="008757FB"/>
    <w:rsid w:val="00880110"/>
    <w:rsid w:val="00881A9A"/>
    <w:rsid w:val="00882FB2"/>
    <w:rsid w:val="008848CE"/>
    <w:rsid w:val="00885670"/>
    <w:rsid w:val="00885708"/>
    <w:rsid w:val="008877DE"/>
    <w:rsid w:val="00887C68"/>
    <w:rsid w:val="00894A43"/>
    <w:rsid w:val="00896644"/>
    <w:rsid w:val="008A1B35"/>
    <w:rsid w:val="008A251E"/>
    <w:rsid w:val="008A47C6"/>
    <w:rsid w:val="008A4AC1"/>
    <w:rsid w:val="008B228A"/>
    <w:rsid w:val="008B27AD"/>
    <w:rsid w:val="008B2990"/>
    <w:rsid w:val="008B2E5F"/>
    <w:rsid w:val="008B3ADC"/>
    <w:rsid w:val="008B442E"/>
    <w:rsid w:val="008B705E"/>
    <w:rsid w:val="008B7771"/>
    <w:rsid w:val="008C0E91"/>
    <w:rsid w:val="008C101F"/>
    <w:rsid w:val="008C112A"/>
    <w:rsid w:val="008C1289"/>
    <w:rsid w:val="008C2AE4"/>
    <w:rsid w:val="008C35E3"/>
    <w:rsid w:val="008C7A1E"/>
    <w:rsid w:val="008C7A79"/>
    <w:rsid w:val="008C7D47"/>
    <w:rsid w:val="008D07C0"/>
    <w:rsid w:val="008D1F68"/>
    <w:rsid w:val="008D33C2"/>
    <w:rsid w:val="008D4BF8"/>
    <w:rsid w:val="008D53AF"/>
    <w:rsid w:val="008D5810"/>
    <w:rsid w:val="008D5A79"/>
    <w:rsid w:val="008E0E06"/>
    <w:rsid w:val="008E2E1D"/>
    <w:rsid w:val="008E3138"/>
    <w:rsid w:val="008E6B7F"/>
    <w:rsid w:val="008F244B"/>
    <w:rsid w:val="008F3445"/>
    <w:rsid w:val="008F4440"/>
    <w:rsid w:val="008F7FF8"/>
    <w:rsid w:val="00907396"/>
    <w:rsid w:val="00907A51"/>
    <w:rsid w:val="00911179"/>
    <w:rsid w:val="00912D59"/>
    <w:rsid w:val="009164BA"/>
    <w:rsid w:val="00920032"/>
    <w:rsid w:val="00922314"/>
    <w:rsid w:val="009226ED"/>
    <w:rsid w:val="00923489"/>
    <w:rsid w:val="00923D5E"/>
    <w:rsid w:val="00924058"/>
    <w:rsid w:val="00930B34"/>
    <w:rsid w:val="00932A4C"/>
    <w:rsid w:val="00932E1D"/>
    <w:rsid w:val="00934A01"/>
    <w:rsid w:val="00941FD6"/>
    <w:rsid w:val="00942E22"/>
    <w:rsid w:val="009434CC"/>
    <w:rsid w:val="00945F1B"/>
    <w:rsid w:val="00946981"/>
    <w:rsid w:val="00951DBF"/>
    <w:rsid w:val="00952F89"/>
    <w:rsid w:val="00954182"/>
    <w:rsid w:val="00955792"/>
    <w:rsid w:val="00955BC4"/>
    <w:rsid w:val="009560C9"/>
    <w:rsid w:val="0095639F"/>
    <w:rsid w:val="00956C65"/>
    <w:rsid w:val="00956FD9"/>
    <w:rsid w:val="00956FF1"/>
    <w:rsid w:val="00962282"/>
    <w:rsid w:val="00964186"/>
    <w:rsid w:val="00965E2D"/>
    <w:rsid w:val="0096676B"/>
    <w:rsid w:val="00966C55"/>
    <w:rsid w:val="00966F0C"/>
    <w:rsid w:val="0096732D"/>
    <w:rsid w:val="00972575"/>
    <w:rsid w:val="00975397"/>
    <w:rsid w:val="00976B9F"/>
    <w:rsid w:val="00980D8E"/>
    <w:rsid w:val="009818E0"/>
    <w:rsid w:val="00982A28"/>
    <w:rsid w:val="00985F4E"/>
    <w:rsid w:val="00986896"/>
    <w:rsid w:val="009910C2"/>
    <w:rsid w:val="00992675"/>
    <w:rsid w:val="009A0E29"/>
    <w:rsid w:val="009A13FF"/>
    <w:rsid w:val="009A15E9"/>
    <w:rsid w:val="009A1CF3"/>
    <w:rsid w:val="009A302A"/>
    <w:rsid w:val="009A4258"/>
    <w:rsid w:val="009A45F5"/>
    <w:rsid w:val="009A465D"/>
    <w:rsid w:val="009A4769"/>
    <w:rsid w:val="009A6A28"/>
    <w:rsid w:val="009B11AB"/>
    <w:rsid w:val="009B1608"/>
    <w:rsid w:val="009B1971"/>
    <w:rsid w:val="009B23EC"/>
    <w:rsid w:val="009B261D"/>
    <w:rsid w:val="009B38A8"/>
    <w:rsid w:val="009B3AFB"/>
    <w:rsid w:val="009B52FB"/>
    <w:rsid w:val="009C0F0E"/>
    <w:rsid w:val="009C126C"/>
    <w:rsid w:val="009C37CC"/>
    <w:rsid w:val="009C3DD2"/>
    <w:rsid w:val="009C409D"/>
    <w:rsid w:val="009C4500"/>
    <w:rsid w:val="009C47BA"/>
    <w:rsid w:val="009D20DC"/>
    <w:rsid w:val="009D325D"/>
    <w:rsid w:val="009D38FE"/>
    <w:rsid w:val="009D49E3"/>
    <w:rsid w:val="009D595C"/>
    <w:rsid w:val="009D5C93"/>
    <w:rsid w:val="009D7346"/>
    <w:rsid w:val="009D7554"/>
    <w:rsid w:val="009D7BDA"/>
    <w:rsid w:val="009D7BEE"/>
    <w:rsid w:val="009D7CF9"/>
    <w:rsid w:val="009E1FC5"/>
    <w:rsid w:val="009E2C6C"/>
    <w:rsid w:val="009E3087"/>
    <w:rsid w:val="009E5D17"/>
    <w:rsid w:val="009E6277"/>
    <w:rsid w:val="009E67CF"/>
    <w:rsid w:val="009E68DF"/>
    <w:rsid w:val="009F153D"/>
    <w:rsid w:val="009F2092"/>
    <w:rsid w:val="009F3460"/>
    <w:rsid w:val="009F4E41"/>
    <w:rsid w:val="009F7EAB"/>
    <w:rsid w:val="00A00A92"/>
    <w:rsid w:val="00A0186B"/>
    <w:rsid w:val="00A028BC"/>
    <w:rsid w:val="00A03F27"/>
    <w:rsid w:val="00A0723D"/>
    <w:rsid w:val="00A0770B"/>
    <w:rsid w:val="00A079B1"/>
    <w:rsid w:val="00A10880"/>
    <w:rsid w:val="00A108D1"/>
    <w:rsid w:val="00A1276C"/>
    <w:rsid w:val="00A129C4"/>
    <w:rsid w:val="00A13691"/>
    <w:rsid w:val="00A13A98"/>
    <w:rsid w:val="00A159EB"/>
    <w:rsid w:val="00A1605C"/>
    <w:rsid w:val="00A16403"/>
    <w:rsid w:val="00A16C3D"/>
    <w:rsid w:val="00A17A57"/>
    <w:rsid w:val="00A20921"/>
    <w:rsid w:val="00A21AEF"/>
    <w:rsid w:val="00A22264"/>
    <w:rsid w:val="00A22362"/>
    <w:rsid w:val="00A2306A"/>
    <w:rsid w:val="00A23A19"/>
    <w:rsid w:val="00A23E17"/>
    <w:rsid w:val="00A260CF"/>
    <w:rsid w:val="00A308F7"/>
    <w:rsid w:val="00A33723"/>
    <w:rsid w:val="00A338AA"/>
    <w:rsid w:val="00A369CA"/>
    <w:rsid w:val="00A401BF"/>
    <w:rsid w:val="00A40A6D"/>
    <w:rsid w:val="00A416FB"/>
    <w:rsid w:val="00A4176A"/>
    <w:rsid w:val="00A43382"/>
    <w:rsid w:val="00A47626"/>
    <w:rsid w:val="00A5043D"/>
    <w:rsid w:val="00A506EB"/>
    <w:rsid w:val="00A51180"/>
    <w:rsid w:val="00A51ADB"/>
    <w:rsid w:val="00A51D09"/>
    <w:rsid w:val="00A5233A"/>
    <w:rsid w:val="00A52C32"/>
    <w:rsid w:val="00A533C4"/>
    <w:rsid w:val="00A5429A"/>
    <w:rsid w:val="00A54364"/>
    <w:rsid w:val="00A54CDB"/>
    <w:rsid w:val="00A57D6E"/>
    <w:rsid w:val="00A6143C"/>
    <w:rsid w:val="00A61D42"/>
    <w:rsid w:val="00A62571"/>
    <w:rsid w:val="00A62603"/>
    <w:rsid w:val="00A62AC4"/>
    <w:rsid w:val="00A63048"/>
    <w:rsid w:val="00A65DC0"/>
    <w:rsid w:val="00A70957"/>
    <w:rsid w:val="00A71507"/>
    <w:rsid w:val="00A7314E"/>
    <w:rsid w:val="00A74E46"/>
    <w:rsid w:val="00A7537D"/>
    <w:rsid w:val="00A7550B"/>
    <w:rsid w:val="00A75772"/>
    <w:rsid w:val="00A75F90"/>
    <w:rsid w:val="00A760DE"/>
    <w:rsid w:val="00A769D2"/>
    <w:rsid w:val="00A777D2"/>
    <w:rsid w:val="00A805BA"/>
    <w:rsid w:val="00A815A1"/>
    <w:rsid w:val="00A83B31"/>
    <w:rsid w:val="00A843AF"/>
    <w:rsid w:val="00A84CC7"/>
    <w:rsid w:val="00A84F4A"/>
    <w:rsid w:val="00A86FC9"/>
    <w:rsid w:val="00A90A0C"/>
    <w:rsid w:val="00A918B5"/>
    <w:rsid w:val="00A91CB8"/>
    <w:rsid w:val="00A927D7"/>
    <w:rsid w:val="00A95CCA"/>
    <w:rsid w:val="00A968EA"/>
    <w:rsid w:val="00A96EAE"/>
    <w:rsid w:val="00A96F60"/>
    <w:rsid w:val="00A97975"/>
    <w:rsid w:val="00AA0485"/>
    <w:rsid w:val="00AA1574"/>
    <w:rsid w:val="00AA387D"/>
    <w:rsid w:val="00AA4009"/>
    <w:rsid w:val="00AA4ACA"/>
    <w:rsid w:val="00AA5228"/>
    <w:rsid w:val="00AA64DE"/>
    <w:rsid w:val="00AA7D01"/>
    <w:rsid w:val="00AB2288"/>
    <w:rsid w:val="00AB6FAA"/>
    <w:rsid w:val="00AB710A"/>
    <w:rsid w:val="00AB7B94"/>
    <w:rsid w:val="00AC0A38"/>
    <w:rsid w:val="00AC10AA"/>
    <w:rsid w:val="00AC2786"/>
    <w:rsid w:val="00AC2CDA"/>
    <w:rsid w:val="00AC2F7C"/>
    <w:rsid w:val="00AC3BB1"/>
    <w:rsid w:val="00AC71F2"/>
    <w:rsid w:val="00AC7AB0"/>
    <w:rsid w:val="00AD007A"/>
    <w:rsid w:val="00AD0506"/>
    <w:rsid w:val="00AD1DD5"/>
    <w:rsid w:val="00AD3454"/>
    <w:rsid w:val="00AD3A79"/>
    <w:rsid w:val="00AD3A86"/>
    <w:rsid w:val="00AD5237"/>
    <w:rsid w:val="00AD756D"/>
    <w:rsid w:val="00AE02DA"/>
    <w:rsid w:val="00AE1A5A"/>
    <w:rsid w:val="00AE44F7"/>
    <w:rsid w:val="00AE50BF"/>
    <w:rsid w:val="00AE52EE"/>
    <w:rsid w:val="00AF0588"/>
    <w:rsid w:val="00AF1B10"/>
    <w:rsid w:val="00AF26FE"/>
    <w:rsid w:val="00AF2936"/>
    <w:rsid w:val="00AF448E"/>
    <w:rsid w:val="00AF49B3"/>
    <w:rsid w:val="00AF5F52"/>
    <w:rsid w:val="00AF7358"/>
    <w:rsid w:val="00AF78B2"/>
    <w:rsid w:val="00B0245C"/>
    <w:rsid w:val="00B03CDD"/>
    <w:rsid w:val="00B059CA"/>
    <w:rsid w:val="00B07CD3"/>
    <w:rsid w:val="00B1078A"/>
    <w:rsid w:val="00B110E7"/>
    <w:rsid w:val="00B111E9"/>
    <w:rsid w:val="00B130C8"/>
    <w:rsid w:val="00B13409"/>
    <w:rsid w:val="00B1670B"/>
    <w:rsid w:val="00B174D2"/>
    <w:rsid w:val="00B179DE"/>
    <w:rsid w:val="00B209EA"/>
    <w:rsid w:val="00B24219"/>
    <w:rsid w:val="00B24AAF"/>
    <w:rsid w:val="00B24FD5"/>
    <w:rsid w:val="00B25AA6"/>
    <w:rsid w:val="00B25DEE"/>
    <w:rsid w:val="00B26211"/>
    <w:rsid w:val="00B26E6C"/>
    <w:rsid w:val="00B27244"/>
    <w:rsid w:val="00B27FBE"/>
    <w:rsid w:val="00B30B18"/>
    <w:rsid w:val="00B30FCE"/>
    <w:rsid w:val="00B313CE"/>
    <w:rsid w:val="00B32D75"/>
    <w:rsid w:val="00B33858"/>
    <w:rsid w:val="00B33D83"/>
    <w:rsid w:val="00B3447A"/>
    <w:rsid w:val="00B34E3D"/>
    <w:rsid w:val="00B35C23"/>
    <w:rsid w:val="00B36527"/>
    <w:rsid w:val="00B36FC0"/>
    <w:rsid w:val="00B37AE8"/>
    <w:rsid w:val="00B4068F"/>
    <w:rsid w:val="00B40AE4"/>
    <w:rsid w:val="00B40B75"/>
    <w:rsid w:val="00B41DD5"/>
    <w:rsid w:val="00B42934"/>
    <w:rsid w:val="00B43C14"/>
    <w:rsid w:val="00B43CDC"/>
    <w:rsid w:val="00B45E3E"/>
    <w:rsid w:val="00B50DE9"/>
    <w:rsid w:val="00B51479"/>
    <w:rsid w:val="00B517AE"/>
    <w:rsid w:val="00B53139"/>
    <w:rsid w:val="00B539BE"/>
    <w:rsid w:val="00B551EC"/>
    <w:rsid w:val="00B55A8A"/>
    <w:rsid w:val="00B55E9A"/>
    <w:rsid w:val="00B561FA"/>
    <w:rsid w:val="00B56621"/>
    <w:rsid w:val="00B57B51"/>
    <w:rsid w:val="00B600E3"/>
    <w:rsid w:val="00B61CC1"/>
    <w:rsid w:val="00B648C6"/>
    <w:rsid w:val="00B64EF1"/>
    <w:rsid w:val="00B65F50"/>
    <w:rsid w:val="00B66712"/>
    <w:rsid w:val="00B67630"/>
    <w:rsid w:val="00B7220B"/>
    <w:rsid w:val="00B723E0"/>
    <w:rsid w:val="00B744BF"/>
    <w:rsid w:val="00B777AC"/>
    <w:rsid w:val="00B81350"/>
    <w:rsid w:val="00B82B97"/>
    <w:rsid w:val="00B841CB"/>
    <w:rsid w:val="00B8440C"/>
    <w:rsid w:val="00B85865"/>
    <w:rsid w:val="00B8754D"/>
    <w:rsid w:val="00B87C70"/>
    <w:rsid w:val="00B91B5D"/>
    <w:rsid w:val="00B91C8D"/>
    <w:rsid w:val="00B93C4E"/>
    <w:rsid w:val="00B96C18"/>
    <w:rsid w:val="00BA0257"/>
    <w:rsid w:val="00BA06E6"/>
    <w:rsid w:val="00BA0F6F"/>
    <w:rsid w:val="00BA2C9C"/>
    <w:rsid w:val="00BA3880"/>
    <w:rsid w:val="00BA5134"/>
    <w:rsid w:val="00BA546D"/>
    <w:rsid w:val="00BA7E7D"/>
    <w:rsid w:val="00BB001E"/>
    <w:rsid w:val="00BB1088"/>
    <w:rsid w:val="00BB1646"/>
    <w:rsid w:val="00BB1EF4"/>
    <w:rsid w:val="00BB2C51"/>
    <w:rsid w:val="00BB3273"/>
    <w:rsid w:val="00BB343F"/>
    <w:rsid w:val="00BC0023"/>
    <w:rsid w:val="00BC1756"/>
    <w:rsid w:val="00BC24C0"/>
    <w:rsid w:val="00BC24E1"/>
    <w:rsid w:val="00BC53FB"/>
    <w:rsid w:val="00BC6725"/>
    <w:rsid w:val="00BC6D88"/>
    <w:rsid w:val="00BC7A37"/>
    <w:rsid w:val="00BD08EB"/>
    <w:rsid w:val="00BD0D6C"/>
    <w:rsid w:val="00BD0FE4"/>
    <w:rsid w:val="00BD30E6"/>
    <w:rsid w:val="00BD45D2"/>
    <w:rsid w:val="00BD65B9"/>
    <w:rsid w:val="00BD7097"/>
    <w:rsid w:val="00BE02C0"/>
    <w:rsid w:val="00BE0E80"/>
    <w:rsid w:val="00BE1B7A"/>
    <w:rsid w:val="00BE300A"/>
    <w:rsid w:val="00BE44D6"/>
    <w:rsid w:val="00BE49B7"/>
    <w:rsid w:val="00BE611A"/>
    <w:rsid w:val="00BE64D2"/>
    <w:rsid w:val="00BE75E4"/>
    <w:rsid w:val="00BE76F2"/>
    <w:rsid w:val="00BF0CB6"/>
    <w:rsid w:val="00BF2434"/>
    <w:rsid w:val="00BF3551"/>
    <w:rsid w:val="00BF3623"/>
    <w:rsid w:val="00BF4E47"/>
    <w:rsid w:val="00BF795B"/>
    <w:rsid w:val="00C00065"/>
    <w:rsid w:val="00C005DC"/>
    <w:rsid w:val="00C01254"/>
    <w:rsid w:val="00C01F01"/>
    <w:rsid w:val="00C036CC"/>
    <w:rsid w:val="00C053D4"/>
    <w:rsid w:val="00C05E69"/>
    <w:rsid w:val="00C07CE4"/>
    <w:rsid w:val="00C10CF0"/>
    <w:rsid w:val="00C10DDE"/>
    <w:rsid w:val="00C114D4"/>
    <w:rsid w:val="00C13233"/>
    <w:rsid w:val="00C132D9"/>
    <w:rsid w:val="00C13E4A"/>
    <w:rsid w:val="00C1485E"/>
    <w:rsid w:val="00C1663C"/>
    <w:rsid w:val="00C172CB"/>
    <w:rsid w:val="00C17965"/>
    <w:rsid w:val="00C212FA"/>
    <w:rsid w:val="00C21554"/>
    <w:rsid w:val="00C2157A"/>
    <w:rsid w:val="00C21AA3"/>
    <w:rsid w:val="00C257B8"/>
    <w:rsid w:val="00C25DF0"/>
    <w:rsid w:val="00C31A5F"/>
    <w:rsid w:val="00C31EC8"/>
    <w:rsid w:val="00C32682"/>
    <w:rsid w:val="00C33E40"/>
    <w:rsid w:val="00C34172"/>
    <w:rsid w:val="00C35E96"/>
    <w:rsid w:val="00C36F51"/>
    <w:rsid w:val="00C4126A"/>
    <w:rsid w:val="00C43322"/>
    <w:rsid w:val="00C434E8"/>
    <w:rsid w:val="00C47820"/>
    <w:rsid w:val="00C5281F"/>
    <w:rsid w:val="00C55CDA"/>
    <w:rsid w:val="00C55F10"/>
    <w:rsid w:val="00C56BC1"/>
    <w:rsid w:val="00C57955"/>
    <w:rsid w:val="00C615E7"/>
    <w:rsid w:val="00C62018"/>
    <w:rsid w:val="00C62053"/>
    <w:rsid w:val="00C6249A"/>
    <w:rsid w:val="00C6406B"/>
    <w:rsid w:val="00C64692"/>
    <w:rsid w:val="00C66A15"/>
    <w:rsid w:val="00C66C28"/>
    <w:rsid w:val="00C70EDD"/>
    <w:rsid w:val="00C7232A"/>
    <w:rsid w:val="00C732A7"/>
    <w:rsid w:val="00C73301"/>
    <w:rsid w:val="00C749A4"/>
    <w:rsid w:val="00C74D6D"/>
    <w:rsid w:val="00C7638D"/>
    <w:rsid w:val="00C7649A"/>
    <w:rsid w:val="00C76C9F"/>
    <w:rsid w:val="00C771E1"/>
    <w:rsid w:val="00C81397"/>
    <w:rsid w:val="00C81BFF"/>
    <w:rsid w:val="00C83721"/>
    <w:rsid w:val="00C85130"/>
    <w:rsid w:val="00C86030"/>
    <w:rsid w:val="00C873A1"/>
    <w:rsid w:val="00C87DDF"/>
    <w:rsid w:val="00C91117"/>
    <w:rsid w:val="00C9274A"/>
    <w:rsid w:val="00C9282C"/>
    <w:rsid w:val="00C93050"/>
    <w:rsid w:val="00C95726"/>
    <w:rsid w:val="00C95894"/>
    <w:rsid w:val="00C96301"/>
    <w:rsid w:val="00CA07B4"/>
    <w:rsid w:val="00CA31C1"/>
    <w:rsid w:val="00CA3FD3"/>
    <w:rsid w:val="00CA4E9C"/>
    <w:rsid w:val="00CA7003"/>
    <w:rsid w:val="00CA74C6"/>
    <w:rsid w:val="00CB1C52"/>
    <w:rsid w:val="00CB249B"/>
    <w:rsid w:val="00CB2F0E"/>
    <w:rsid w:val="00CC28ED"/>
    <w:rsid w:val="00CC3C5C"/>
    <w:rsid w:val="00CC4AA2"/>
    <w:rsid w:val="00CC54E1"/>
    <w:rsid w:val="00CC5C44"/>
    <w:rsid w:val="00CC5F79"/>
    <w:rsid w:val="00CC73A8"/>
    <w:rsid w:val="00CD0732"/>
    <w:rsid w:val="00CD1ACB"/>
    <w:rsid w:val="00CD20BA"/>
    <w:rsid w:val="00CD35D7"/>
    <w:rsid w:val="00CD3823"/>
    <w:rsid w:val="00CD50EC"/>
    <w:rsid w:val="00CD5C98"/>
    <w:rsid w:val="00CD5F91"/>
    <w:rsid w:val="00CE0224"/>
    <w:rsid w:val="00CE0F77"/>
    <w:rsid w:val="00CE2BCC"/>
    <w:rsid w:val="00CE3D40"/>
    <w:rsid w:val="00CE553F"/>
    <w:rsid w:val="00CE6003"/>
    <w:rsid w:val="00CE7892"/>
    <w:rsid w:val="00CF0B1D"/>
    <w:rsid w:val="00CF13F8"/>
    <w:rsid w:val="00CF1825"/>
    <w:rsid w:val="00CF4DB4"/>
    <w:rsid w:val="00CF5321"/>
    <w:rsid w:val="00CF58BE"/>
    <w:rsid w:val="00CF69D9"/>
    <w:rsid w:val="00CF7344"/>
    <w:rsid w:val="00D00760"/>
    <w:rsid w:val="00D00A42"/>
    <w:rsid w:val="00D00B64"/>
    <w:rsid w:val="00D0252F"/>
    <w:rsid w:val="00D036B7"/>
    <w:rsid w:val="00D03701"/>
    <w:rsid w:val="00D06D8F"/>
    <w:rsid w:val="00D07100"/>
    <w:rsid w:val="00D07C89"/>
    <w:rsid w:val="00D11DF8"/>
    <w:rsid w:val="00D12058"/>
    <w:rsid w:val="00D126EC"/>
    <w:rsid w:val="00D13ED8"/>
    <w:rsid w:val="00D14AF7"/>
    <w:rsid w:val="00D14BD0"/>
    <w:rsid w:val="00D15378"/>
    <w:rsid w:val="00D15C9E"/>
    <w:rsid w:val="00D15CF4"/>
    <w:rsid w:val="00D16B04"/>
    <w:rsid w:val="00D174E0"/>
    <w:rsid w:val="00D1796D"/>
    <w:rsid w:val="00D21905"/>
    <w:rsid w:val="00D22117"/>
    <w:rsid w:val="00D2289B"/>
    <w:rsid w:val="00D24F03"/>
    <w:rsid w:val="00D259DA"/>
    <w:rsid w:val="00D26E00"/>
    <w:rsid w:val="00D32048"/>
    <w:rsid w:val="00D32EEC"/>
    <w:rsid w:val="00D33212"/>
    <w:rsid w:val="00D36185"/>
    <w:rsid w:val="00D40A58"/>
    <w:rsid w:val="00D41448"/>
    <w:rsid w:val="00D41A1C"/>
    <w:rsid w:val="00D42743"/>
    <w:rsid w:val="00D43C39"/>
    <w:rsid w:val="00D448FA"/>
    <w:rsid w:val="00D47478"/>
    <w:rsid w:val="00D476D6"/>
    <w:rsid w:val="00D47A40"/>
    <w:rsid w:val="00D50A88"/>
    <w:rsid w:val="00D50B69"/>
    <w:rsid w:val="00D516CE"/>
    <w:rsid w:val="00D51C99"/>
    <w:rsid w:val="00D52151"/>
    <w:rsid w:val="00D521BC"/>
    <w:rsid w:val="00D53938"/>
    <w:rsid w:val="00D5698B"/>
    <w:rsid w:val="00D6106C"/>
    <w:rsid w:val="00D62676"/>
    <w:rsid w:val="00D62931"/>
    <w:rsid w:val="00D62C1D"/>
    <w:rsid w:val="00D634BE"/>
    <w:rsid w:val="00D6488C"/>
    <w:rsid w:val="00D64DED"/>
    <w:rsid w:val="00D66BF1"/>
    <w:rsid w:val="00D6745F"/>
    <w:rsid w:val="00D6775E"/>
    <w:rsid w:val="00D6787E"/>
    <w:rsid w:val="00D70459"/>
    <w:rsid w:val="00D7133A"/>
    <w:rsid w:val="00D71FD2"/>
    <w:rsid w:val="00D73D09"/>
    <w:rsid w:val="00D7465F"/>
    <w:rsid w:val="00D74EC5"/>
    <w:rsid w:val="00D77604"/>
    <w:rsid w:val="00D7782E"/>
    <w:rsid w:val="00D81D6E"/>
    <w:rsid w:val="00D81E23"/>
    <w:rsid w:val="00D8233A"/>
    <w:rsid w:val="00D82777"/>
    <w:rsid w:val="00D82AEF"/>
    <w:rsid w:val="00D82C0B"/>
    <w:rsid w:val="00D82E0F"/>
    <w:rsid w:val="00D8449D"/>
    <w:rsid w:val="00D84E51"/>
    <w:rsid w:val="00D8503C"/>
    <w:rsid w:val="00D85B43"/>
    <w:rsid w:val="00D86182"/>
    <w:rsid w:val="00D87EBF"/>
    <w:rsid w:val="00D90015"/>
    <w:rsid w:val="00D910DA"/>
    <w:rsid w:val="00D926BA"/>
    <w:rsid w:val="00D95540"/>
    <w:rsid w:val="00D97A59"/>
    <w:rsid w:val="00DA07B1"/>
    <w:rsid w:val="00DA080F"/>
    <w:rsid w:val="00DA0E15"/>
    <w:rsid w:val="00DA1219"/>
    <w:rsid w:val="00DA2E5C"/>
    <w:rsid w:val="00DA3140"/>
    <w:rsid w:val="00DA5A33"/>
    <w:rsid w:val="00DA5B4B"/>
    <w:rsid w:val="00DA7FB0"/>
    <w:rsid w:val="00DB35DA"/>
    <w:rsid w:val="00DB3DE9"/>
    <w:rsid w:val="00DB4235"/>
    <w:rsid w:val="00DB7A64"/>
    <w:rsid w:val="00DC151F"/>
    <w:rsid w:val="00DC16CA"/>
    <w:rsid w:val="00DC1CA2"/>
    <w:rsid w:val="00DC2722"/>
    <w:rsid w:val="00DC764B"/>
    <w:rsid w:val="00DC7E1D"/>
    <w:rsid w:val="00DD3CC6"/>
    <w:rsid w:val="00DD4FFE"/>
    <w:rsid w:val="00DD6A8C"/>
    <w:rsid w:val="00DE47F5"/>
    <w:rsid w:val="00DE755B"/>
    <w:rsid w:val="00DF0652"/>
    <w:rsid w:val="00DF0E44"/>
    <w:rsid w:val="00DF19D9"/>
    <w:rsid w:val="00DF297C"/>
    <w:rsid w:val="00DF2A8C"/>
    <w:rsid w:val="00DF2BCE"/>
    <w:rsid w:val="00DF4D52"/>
    <w:rsid w:val="00DF6596"/>
    <w:rsid w:val="00DF6C67"/>
    <w:rsid w:val="00DF7FAF"/>
    <w:rsid w:val="00E01024"/>
    <w:rsid w:val="00E012F9"/>
    <w:rsid w:val="00E02FEF"/>
    <w:rsid w:val="00E05724"/>
    <w:rsid w:val="00E064FA"/>
    <w:rsid w:val="00E06519"/>
    <w:rsid w:val="00E06AE6"/>
    <w:rsid w:val="00E07195"/>
    <w:rsid w:val="00E074DB"/>
    <w:rsid w:val="00E1116F"/>
    <w:rsid w:val="00E112DD"/>
    <w:rsid w:val="00E115B9"/>
    <w:rsid w:val="00E15959"/>
    <w:rsid w:val="00E1597A"/>
    <w:rsid w:val="00E16058"/>
    <w:rsid w:val="00E16A1D"/>
    <w:rsid w:val="00E17058"/>
    <w:rsid w:val="00E17167"/>
    <w:rsid w:val="00E20B3C"/>
    <w:rsid w:val="00E21815"/>
    <w:rsid w:val="00E21F43"/>
    <w:rsid w:val="00E22776"/>
    <w:rsid w:val="00E22CC2"/>
    <w:rsid w:val="00E2382B"/>
    <w:rsid w:val="00E26463"/>
    <w:rsid w:val="00E27086"/>
    <w:rsid w:val="00E30DFC"/>
    <w:rsid w:val="00E315F5"/>
    <w:rsid w:val="00E32996"/>
    <w:rsid w:val="00E329C7"/>
    <w:rsid w:val="00E36E9D"/>
    <w:rsid w:val="00E37B34"/>
    <w:rsid w:val="00E40A32"/>
    <w:rsid w:val="00E44CA3"/>
    <w:rsid w:val="00E44F0C"/>
    <w:rsid w:val="00E4565A"/>
    <w:rsid w:val="00E506D1"/>
    <w:rsid w:val="00E52ACF"/>
    <w:rsid w:val="00E54BB8"/>
    <w:rsid w:val="00E56EA4"/>
    <w:rsid w:val="00E57461"/>
    <w:rsid w:val="00E60AB2"/>
    <w:rsid w:val="00E619BB"/>
    <w:rsid w:val="00E621F3"/>
    <w:rsid w:val="00E6315E"/>
    <w:rsid w:val="00E63717"/>
    <w:rsid w:val="00E63E4E"/>
    <w:rsid w:val="00E65ED7"/>
    <w:rsid w:val="00E66CAB"/>
    <w:rsid w:val="00E67355"/>
    <w:rsid w:val="00E702C4"/>
    <w:rsid w:val="00E704C0"/>
    <w:rsid w:val="00E716E4"/>
    <w:rsid w:val="00E73F36"/>
    <w:rsid w:val="00E74428"/>
    <w:rsid w:val="00E746A6"/>
    <w:rsid w:val="00E74EC8"/>
    <w:rsid w:val="00E76FD7"/>
    <w:rsid w:val="00E80D0D"/>
    <w:rsid w:val="00E81A83"/>
    <w:rsid w:val="00E8325F"/>
    <w:rsid w:val="00E83662"/>
    <w:rsid w:val="00E85E2A"/>
    <w:rsid w:val="00E866FC"/>
    <w:rsid w:val="00E87BD8"/>
    <w:rsid w:val="00E90D35"/>
    <w:rsid w:val="00E95A85"/>
    <w:rsid w:val="00E962F3"/>
    <w:rsid w:val="00E973A1"/>
    <w:rsid w:val="00E97BB6"/>
    <w:rsid w:val="00EA09CB"/>
    <w:rsid w:val="00EA0E66"/>
    <w:rsid w:val="00EA27EE"/>
    <w:rsid w:val="00EA5052"/>
    <w:rsid w:val="00EA54BC"/>
    <w:rsid w:val="00EA7739"/>
    <w:rsid w:val="00EA7ACE"/>
    <w:rsid w:val="00EA7F43"/>
    <w:rsid w:val="00EB35F1"/>
    <w:rsid w:val="00EB4CD5"/>
    <w:rsid w:val="00EB5CC6"/>
    <w:rsid w:val="00EB6746"/>
    <w:rsid w:val="00EB7C31"/>
    <w:rsid w:val="00EC096C"/>
    <w:rsid w:val="00EC1A40"/>
    <w:rsid w:val="00EC1A5B"/>
    <w:rsid w:val="00EC392F"/>
    <w:rsid w:val="00EC4EB6"/>
    <w:rsid w:val="00EC660F"/>
    <w:rsid w:val="00EC6F49"/>
    <w:rsid w:val="00EC6F8D"/>
    <w:rsid w:val="00EC754F"/>
    <w:rsid w:val="00EC7D26"/>
    <w:rsid w:val="00EC7D69"/>
    <w:rsid w:val="00ED1310"/>
    <w:rsid w:val="00ED145A"/>
    <w:rsid w:val="00ED1CC0"/>
    <w:rsid w:val="00ED27C9"/>
    <w:rsid w:val="00ED2996"/>
    <w:rsid w:val="00ED34EB"/>
    <w:rsid w:val="00ED3568"/>
    <w:rsid w:val="00ED3CB9"/>
    <w:rsid w:val="00ED3ECD"/>
    <w:rsid w:val="00ED5F2C"/>
    <w:rsid w:val="00ED6C71"/>
    <w:rsid w:val="00ED6CF8"/>
    <w:rsid w:val="00ED7865"/>
    <w:rsid w:val="00EE0767"/>
    <w:rsid w:val="00EE0A12"/>
    <w:rsid w:val="00EE0D90"/>
    <w:rsid w:val="00EE1683"/>
    <w:rsid w:val="00EE170C"/>
    <w:rsid w:val="00EE23E2"/>
    <w:rsid w:val="00EE275C"/>
    <w:rsid w:val="00EE374F"/>
    <w:rsid w:val="00EE5F9C"/>
    <w:rsid w:val="00EF34BF"/>
    <w:rsid w:val="00EF5492"/>
    <w:rsid w:val="00EF5C3B"/>
    <w:rsid w:val="00EF5EC7"/>
    <w:rsid w:val="00EF6F05"/>
    <w:rsid w:val="00F001B1"/>
    <w:rsid w:val="00F04CD7"/>
    <w:rsid w:val="00F051A2"/>
    <w:rsid w:val="00F05FFB"/>
    <w:rsid w:val="00F0620B"/>
    <w:rsid w:val="00F065D1"/>
    <w:rsid w:val="00F07E43"/>
    <w:rsid w:val="00F12AFB"/>
    <w:rsid w:val="00F13225"/>
    <w:rsid w:val="00F1378F"/>
    <w:rsid w:val="00F154B9"/>
    <w:rsid w:val="00F15C7A"/>
    <w:rsid w:val="00F164EE"/>
    <w:rsid w:val="00F169B7"/>
    <w:rsid w:val="00F17155"/>
    <w:rsid w:val="00F172F5"/>
    <w:rsid w:val="00F178E0"/>
    <w:rsid w:val="00F21C75"/>
    <w:rsid w:val="00F21D32"/>
    <w:rsid w:val="00F226AD"/>
    <w:rsid w:val="00F2279D"/>
    <w:rsid w:val="00F22D99"/>
    <w:rsid w:val="00F23DC4"/>
    <w:rsid w:val="00F23E70"/>
    <w:rsid w:val="00F2602C"/>
    <w:rsid w:val="00F26AF6"/>
    <w:rsid w:val="00F26CC6"/>
    <w:rsid w:val="00F27E91"/>
    <w:rsid w:val="00F316EB"/>
    <w:rsid w:val="00F320F2"/>
    <w:rsid w:val="00F322F2"/>
    <w:rsid w:val="00F33157"/>
    <w:rsid w:val="00F33AA9"/>
    <w:rsid w:val="00F34F94"/>
    <w:rsid w:val="00F35CE3"/>
    <w:rsid w:val="00F35DB2"/>
    <w:rsid w:val="00F36510"/>
    <w:rsid w:val="00F37363"/>
    <w:rsid w:val="00F45453"/>
    <w:rsid w:val="00F47A2A"/>
    <w:rsid w:val="00F50BEA"/>
    <w:rsid w:val="00F51282"/>
    <w:rsid w:val="00F52E2D"/>
    <w:rsid w:val="00F53A3F"/>
    <w:rsid w:val="00F55D6C"/>
    <w:rsid w:val="00F56109"/>
    <w:rsid w:val="00F62005"/>
    <w:rsid w:val="00F63DDD"/>
    <w:rsid w:val="00F63EAE"/>
    <w:rsid w:val="00F643D5"/>
    <w:rsid w:val="00F64F28"/>
    <w:rsid w:val="00F65337"/>
    <w:rsid w:val="00F6767A"/>
    <w:rsid w:val="00F71177"/>
    <w:rsid w:val="00F7222F"/>
    <w:rsid w:val="00F744F4"/>
    <w:rsid w:val="00F77B8E"/>
    <w:rsid w:val="00F77E8A"/>
    <w:rsid w:val="00F809B6"/>
    <w:rsid w:val="00F81694"/>
    <w:rsid w:val="00F81DF6"/>
    <w:rsid w:val="00F84AC8"/>
    <w:rsid w:val="00F87A02"/>
    <w:rsid w:val="00F9287D"/>
    <w:rsid w:val="00F92C50"/>
    <w:rsid w:val="00F9340B"/>
    <w:rsid w:val="00F94842"/>
    <w:rsid w:val="00F95CE5"/>
    <w:rsid w:val="00F969F2"/>
    <w:rsid w:val="00F976D4"/>
    <w:rsid w:val="00F97A7F"/>
    <w:rsid w:val="00FA078C"/>
    <w:rsid w:val="00FA1B4D"/>
    <w:rsid w:val="00FA3189"/>
    <w:rsid w:val="00FA5C59"/>
    <w:rsid w:val="00FA6758"/>
    <w:rsid w:val="00FA67F8"/>
    <w:rsid w:val="00FA6A27"/>
    <w:rsid w:val="00FB0F55"/>
    <w:rsid w:val="00FB3673"/>
    <w:rsid w:val="00FB4AAC"/>
    <w:rsid w:val="00FB5D43"/>
    <w:rsid w:val="00FB617F"/>
    <w:rsid w:val="00FB61EB"/>
    <w:rsid w:val="00FB62BC"/>
    <w:rsid w:val="00FB69F3"/>
    <w:rsid w:val="00FC1BB0"/>
    <w:rsid w:val="00FC21D5"/>
    <w:rsid w:val="00FC2E01"/>
    <w:rsid w:val="00FC30E5"/>
    <w:rsid w:val="00FC3EE0"/>
    <w:rsid w:val="00FC4203"/>
    <w:rsid w:val="00FC6A28"/>
    <w:rsid w:val="00FC7E61"/>
    <w:rsid w:val="00FD0965"/>
    <w:rsid w:val="00FD1116"/>
    <w:rsid w:val="00FD40BE"/>
    <w:rsid w:val="00FD4407"/>
    <w:rsid w:val="00FD441E"/>
    <w:rsid w:val="00FD518F"/>
    <w:rsid w:val="00FD61F8"/>
    <w:rsid w:val="00FD7333"/>
    <w:rsid w:val="00FE0DB0"/>
    <w:rsid w:val="00FE132A"/>
    <w:rsid w:val="00FE32EC"/>
    <w:rsid w:val="00FE47AE"/>
    <w:rsid w:val="00FE5EFD"/>
    <w:rsid w:val="00FE6818"/>
    <w:rsid w:val="00FF1025"/>
    <w:rsid w:val="00FF1678"/>
    <w:rsid w:val="00FF18EF"/>
    <w:rsid w:val="00FF1AB0"/>
    <w:rsid w:val="00FF4E6A"/>
    <w:rsid w:val="00FF4F56"/>
    <w:rsid w:val="00FF59CE"/>
    <w:rsid w:val="00FF61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834B8"/>
  <w15:docId w15:val="{780D4B44-E169-44EF-8096-A755A7EE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10E7"/>
    <w:rPr>
      <w:sz w:val="24"/>
      <w:szCs w:val="24"/>
    </w:rPr>
  </w:style>
  <w:style w:type="paragraph" w:styleId="Nagwek1">
    <w:name w:val="heading 1"/>
    <w:basedOn w:val="Normalny"/>
    <w:next w:val="Normalny"/>
    <w:qFormat/>
    <w:rsid w:val="00B110E7"/>
    <w:pPr>
      <w:keepNext/>
      <w:jc w:val="center"/>
      <w:outlineLvl w:val="0"/>
    </w:pPr>
    <w:rPr>
      <w:b/>
      <w:sz w:val="20"/>
      <w:szCs w:val="20"/>
    </w:rPr>
  </w:style>
  <w:style w:type="paragraph" w:styleId="Nagwek2">
    <w:name w:val="heading 2"/>
    <w:basedOn w:val="Normalny"/>
    <w:next w:val="Normalny"/>
    <w:qFormat/>
    <w:rsid w:val="00B110E7"/>
    <w:pPr>
      <w:keepNext/>
      <w:jc w:val="center"/>
      <w:outlineLvl w:val="1"/>
    </w:pPr>
    <w:rPr>
      <w:rFonts w:ascii="Garamond" w:hAnsi="Garamond"/>
      <w:i/>
      <w:i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110E7"/>
    <w:pPr>
      <w:tabs>
        <w:tab w:val="center" w:pos="4536"/>
        <w:tab w:val="right" w:pos="9072"/>
      </w:tabs>
    </w:pPr>
    <w:rPr>
      <w:sz w:val="20"/>
      <w:szCs w:val="20"/>
    </w:rPr>
  </w:style>
  <w:style w:type="paragraph" w:styleId="Tekstpodstawowywcity">
    <w:name w:val="Body Text Indent"/>
    <w:basedOn w:val="Normalny"/>
    <w:rsid w:val="00B110E7"/>
    <w:pPr>
      <w:spacing w:line="360" w:lineRule="auto"/>
      <w:ind w:firstLine="709"/>
      <w:jc w:val="both"/>
    </w:pPr>
    <w:rPr>
      <w:rFonts w:ascii="Garamond" w:hAnsi="Garamond"/>
    </w:rPr>
  </w:style>
  <w:style w:type="paragraph" w:styleId="Tekstpodstawowy">
    <w:name w:val="Body Text"/>
    <w:basedOn w:val="Normalny"/>
    <w:semiHidden/>
    <w:rsid w:val="00B110E7"/>
    <w:pPr>
      <w:spacing w:before="120" w:line="360" w:lineRule="auto"/>
      <w:jc w:val="both"/>
    </w:pPr>
    <w:rPr>
      <w:rFonts w:ascii="Garamond" w:hAnsi="Garamond"/>
    </w:rPr>
  </w:style>
  <w:style w:type="paragraph" w:styleId="Tekstpodstawowywcity3">
    <w:name w:val="Body Text Indent 3"/>
    <w:basedOn w:val="Normalny"/>
    <w:semiHidden/>
    <w:rsid w:val="00B110E7"/>
    <w:pPr>
      <w:spacing w:line="360" w:lineRule="auto"/>
      <w:ind w:firstLine="708"/>
      <w:jc w:val="both"/>
    </w:pPr>
    <w:rPr>
      <w:rFonts w:ascii="Arial" w:hAnsi="Arial" w:cs="Arial"/>
      <w:sz w:val="22"/>
    </w:rPr>
  </w:style>
  <w:style w:type="paragraph" w:styleId="Akapitzlist">
    <w:name w:val="List Paragraph"/>
    <w:aliases w:val="Wyliczanie,List Paragraph,Obiekt"/>
    <w:basedOn w:val="Normalny"/>
    <w:link w:val="AkapitzlistZnak"/>
    <w:uiPriority w:val="34"/>
    <w:qFormat/>
    <w:rsid w:val="008F244B"/>
    <w:pPr>
      <w:ind w:left="720"/>
      <w:contextualSpacing/>
    </w:pPr>
  </w:style>
  <w:style w:type="paragraph" w:styleId="Nagwek">
    <w:name w:val="header"/>
    <w:basedOn w:val="Normalny"/>
    <w:link w:val="NagwekZnak"/>
    <w:uiPriority w:val="99"/>
    <w:semiHidden/>
    <w:unhideWhenUsed/>
    <w:rsid w:val="0081189F"/>
    <w:pPr>
      <w:tabs>
        <w:tab w:val="center" w:pos="4536"/>
        <w:tab w:val="right" w:pos="9072"/>
      </w:tabs>
    </w:pPr>
  </w:style>
  <w:style w:type="character" w:customStyle="1" w:styleId="NagwekZnak">
    <w:name w:val="Nagłówek Znak"/>
    <w:link w:val="Nagwek"/>
    <w:uiPriority w:val="99"/>
    <w:semiHidden/>
    <w:rsid w:val="0081189F"/>
    <w:rPr>
      <w:sz w:val="24"/>
      <w:szCs w:val="24"/>
    </w:rPr>
  </w:style>
  <w:style w:type="character" w:customStyle="1" w:styleId="StopkaZnak">
    <w:name w:val="Stopka Znak"/>
    <w:basedOn w:val="Domylnaczcionkaakapitu"/>
    <w:link w:val="Stopka"/>
    <w:uiPriority w:val="99"/>
    <w:rsid w:val="0081189F"/>
  </w:style>
  <w:style w:type="paragraph" w:styleId="Tekstprzypisukocowego">
    <w:name w:val="endnote text"/>
    <w:basedOn w:val="Normalny"/>
    <w:link w:val="TekstprzypisukocowegoZnak"/>
    <w:uiPriority w:val="99"/>
    <w:semiHidden/>
    <w:unhideWhenUsed/>
    <w:rsid w:val="001D4ED4"/>
    <w:rPr>
      <w:sz w:val="20"/>
      <w:szCs w:val="20"/>
    </w:rPr>
  </w:style>
  <w:style w:type="character" w:customStyle="1" w:styleId="TekstprzypisukocowegoZnak">
    <w:name w:val="Tekst przypisu końcowego Znak"/>
    <w:basedOn w:val="Domylnaczcionkaakapitu"/>
    <w:link w:val="Tekstprzypisukocowego"/>
    <w:uiPriority w:val="99"/>
    <w:semiHidden/>
    <w:rsid w:val="001D4ED4"/>
  </w:style>
  <w:style w:type="character" w:styleId="Odwoanieprzypisukocowego">
    <w:name w:val="endnote reference"/>
    <w:uiPriority w:val="99"/>
    <w:semiHidden/>
    <w:unhideWhenUsed/>
    <w:rsid w:val="001D4ED4"/>
    <w:rPr>
      <w:vertAlign w:val="superscript"/>
    </w:rPr>
  </w:style>
  <w:style w:type="paragraph" w:customStyle="1" w:styleId="tresc">
    <w:name w:val="tresc"/>
    <w:basedOn w:val="Normalny"/>
    <w:rsid w:val="00F64F28"/>
    <w:pPr>
      <w:spacing w:before="100" w:beforeAutospacing="1" w:after="100" w:afterAutospacing="1" w:line="336" w:lineRule="atLeast"/>
    </w:pPr>
    <w:rPr>
      <w:sz w:val="13"/>
      <w:szCs w:val="13"/>
    </w:rPr>
  </w:style>
  <w:style w:type="character" w:styleId="Odwoaniedokomentarza">
    <w:name w:val="annotation reference"/>
    <w:uiPriority w:val="99"/>
    <w:semiHidden/>
    <w:unhideWhenUsed/>
    <w:rsid w:val="001E163A"/>
    <w:rPr>
      <w:sz w:val="16"/>
      <w:szCs w:val="16"/>
    </w:rPr>
  </w:style>
  <w:style w:type="paragraph" w:styleId="Tekstkomentarza">
    <w:name w:val="annotation text"/>
    <w:basedOn w:val="Normalny"/>
    <w:link w:val="TekstkomentarzaZnak"/>
    <w:uiPriority w:val="99"/>
    <w:semiHidden/>
    <w:unhideWhenUsed/>
    <w:rsid w:val="001E163A"/>
    <w:rPr>
      <w:sz w:val="20"/>
      <w:szCs w:val="20"/>
    </w:rPr>
  </w:style>
  <w:style w:type="character" w:customStyle="1" w:styleId="TekstkomentarzaZnak">
    <w:name w:val="Tekst komentarza Znak"/>
    <w:basedOn w:val="Domylnaczcionkaakapitu"/>
    <w:link w:val="Tekstkomentarza"/>
    <w:uiPriority w:val="99"/>
    <w:semiHidden/>
    <w:rsid w:val="001E163A"/>
  </w:style>
  <w:style w:type="paragraph" w:styleId="Tematkomentarza">
    <w:name w:val="annotation subject"/>
    <w:basedOn w:val="Tekstkomentarza"/>
    <w:next w:val="Tekstkomentarza"/>
    <w:link w:val="TematkomentarzaZnak"/>
    <w:uiPriority w:val="99"/>
    <w:semiHidden/>
    <w:unhideWhenUsed/>
    <w:rsid w:val="001E163A"/>
    <w:rPr>
      <w:b/>
      <w:bCs/>
    </w:rPr>
  </w:style>
  <w:style w:type="character" w:customStyle="1" w:styleId="TematkomentarzaZnak">
    <w:name w:val="Temat komentarza Znak"/>
    <w:link w:val="Tematkomentarza"/>
    <w:uiPriority w:val="99"/>
    <w:semiHidden/>
    <w:rsid w:val="001E163A"/>
    <w:rPr>
      <w:b/>
      <w:bCs/>
    </w:rPr>
  </w:style>
  <w:style w:type="paragraph" w:styleId="Tekstdymka">
    <w:name w:val="Balloon Text"/>
    <w:basedOn w:val="Normalny"/>
    <w:link w:val="TekstdymkaZnak"/>
    <w:uiPriority w:val="99"/>
    <w:semiHidden/>
    <w:unhideWhenUsed/>
    <w:rsid w:val="001E163A"/>
    <w:rPr>
      <w:rFonts w:ascii="Tahoma" w:hAnsi="Tahoma" w:cs="Tahoma"/>
      <w:sz w:val="16"/>
      <w:szCs w:val="16"/>
    </w:rPr>
  </w:style>
  <w:style w:type="character" w:customStyle="1" w:styleId="TekstdymkaZnak">
    <w:name w:val="Tekst dymka Znak"/>
    <w:link w:val="Tekstdymka"/>
    <w:uiPriority w:val="99"/>
    <w:semiHidden/>
    <w:rsid w:val="001E163A"/>
    <w:rPr>
      <w:rFonts w:ascii="Tahoma" w:hAnsi="Tahoma" w:cs="Tahoma"/>
      <w:sz w:val="16"/>
      <w:szCs w:val="16"/>
    </w:rPr>
  </w:style>
  <w:style w:type="character" w:styleId="Hipercze">
    <w:name w:val="Hyperlink"/>
    <w:uiPriority w:val="99"/>
    <w:unhideWhenUsed/>
    <w:rsid w:val="00A52C32"/>
    <w:rPr>
      <w:color w:val="0000FF"/>
      <w:u w:val="single"/>
    </w:rPr>
  </w:style>
  <w:style w:type="character" w:customStyle="1" w:styleId="akapit">
    <w:name w:val="akapit"/>
    <w:basedOn w:val="Domylnaczcionkaakapitu"/>
    <w:rsid w:val="002A5580"/>
  </w:style>
  <w:style w:type="character" w:customStyle="1" w:styleId="tabulatory">
    <w:name w:val="tabulatory"/>
    <w:basedOn w:val="Domylnaczcionkaakapitu"/>
    <w:rsid w:val="00542E7E"/>
  </w:style>
  <w:style w:type="character" w:styleId="Pogrubienie">
    <w:name w:val="Strong"/>
    <w:uiPriority w:val="22"/>
    <w:qFormat/>
    <w:rsid w:val="001D199D"/>
    <w:rPr>
      <w:b/>
      <w:bCs/>
    </w:rPr>
  </w:style>
  <w:style w:type="character" w:customStyle="1" w:styleId="st">
    <w:name w:val="st"/>
    <w:basedOn w:val="Domylnaczcionkaakapitu"/>
    <w:rsid w:val="001D199D"/>
  </w:style>
  <w:style w:type="character" w:styleId="Uwydatnienie">
    <w:name w:val="Emphasis"/>
    <w:uiPriority w:val="20"/>
    <w:qFormat/>
    <w:rsid w:val="001D199D"/>
    <w:rPr>
      <w:i/>
      <w:iCs/>
    </w:rPr>
  </w:style>
  <w:style w:type="character" w:customStyle="1" w:styleId="snippetword">
    <w:name w:val="snippet_word"/>
    <w:basedOn w:val="Domylnaczcionkaakapitu"/>
    <w:rsid w:val="00480ADB"/>
  </w:style>
  <w:style w:type="character" w:customStyle="1" w:styleId="Bodytext">
    <w:name w:val="Body text_"/>
    <w:basedOn w:val="Domylnaczcionkaakapitu"/>
    <w:link w:val="Tekstpodstawowy1"/>
    <w:rsid w:val="00D910DA"/>
    <w:rPr>
      <w:rFonts w:ascii="Arial Narrow" w:eastAsia="Arial Narrow" w:hAnsi="Arial Narrow" w:cs="Arial Narrow"/>
      <w:sz w:val="21"/>
      <w:szCs w:val="21"/>
      <w:shd w:val="clear" w:color="auto" w:fill="FFFFFF"/>
    </w:rPr>
  </w:style>
  <w:style w:type="character" w:customStyle="1" w:styleId="BodytextDavid115ptSpacing0pt">
    <w:name w:val="Body text + David;11;5 pt;Spacing 0 pt"/>
    <w:basedOn w:val="Bodytext"/>
    <w:rsid w:val="00D910DA"/>
    <w:rPr>
      <w:rFonts w:ascii="David" w:eastAsia="David" w:hAnsi="David" w:cs="David"/>
      <w:color w:val="000000"/>
      <w:spacing w:val="-10"/>
      <w:w w:val="100"/>
      <w:position w:val="0"/>
      <w:sz w:val="23"/>
      <w:szCs w:val="23"/>
      <w:shd w:val="clear" w:color="auto" w:fill="FFFFFF"/>
      <w:lang w:val="pl-PL"/>
    </w:rPr>
  </w:style>
  <w:style w:type="character" w:customStyle="1" w:styleId="BodytextItalic">
    <w:name w:val="Body text + Italic"/>
    <w:basedOn w:val="Bodytext"/>
    <w:rsid w:val="00D910DA"/>
    <w:rPr>
      <w:rFonts w:ascii="Arial Narrow" w:eastAsia="Arial Narrow" w:hAnsi="Arial Narrow" w:cs="Arial Narrow"/>
      <w:i/>
      <w:iCs/>
      <w:color w:val="000000"/>
      <w:spacing w:val="0"/>
      <w:w w:val="100"/>
      <w:position w:val="0"/>
      <w:sz w:val="21"/>
      <w:szCs w:val="21"/>
      <w:shd w:val="clear" w:color="auto" w:fill="FFFFFF"/>
      <w:lang w:val="pl-PL"/>
    </w:rPr>
  </w:style>
  <w:style w:type="paragraph" w:customStyle="1" w:styleId="Tekstpodstawowy1">
    <w:name w:val="Tekst podstawowy1"/>
    <w:basedOn w:val="Normalny"/>
    <w:link w:val="Bodytext"/>
    <w:rsid w:val="00D910DA"/>
    <w:pPr>
      <w:widowControl w:val="0"/>
      <w:shd w:val="clear" w:color="auto" w:fill="FFFFFF"/>
      <w:spacing w:before="240" w:line="0" w:lineRule="atLeast"/>
      <w:ind w:hanging="360"/>
      <w:jc w:val="right"/>
    </w:pPr>
    <w:rPr>
      <w:rFonts w:ascii="Arial Narrow" w:eastAsia="Arial Narrow" w:hAnsi="Arial Narrow" w:cs="Arial Narrow"/>
      <w:sz w:val="21"/>
      <w:szCs w:val="21"/>
    </w:rPr>
  </w:style>
  <w:style w:type="character" w:customStyle="1" w:styleId="info-list-value-uzasadnienie">
    <w:name w:val="info-list-value-uzasadnienie"/>
    <w:basedOn w:val="Domylnaczcionkaakapitu"/>
    <w:rsid w:val="00541654"/>
  </w:style>
  <w:style w:type="character" w:customStyle="1" w:styleId="highlight">
    <w:name w:val="highlight"/>
    <w:basedOn w:val="Domylnaczcionkaakapitu"/>
    <w:rsid w:val="007218F6"/>
  </w:style>
  <w:style w:type="paragraph" w:styleId="Bezodstpw">
    <w:name w:val="No Spacing"/>
    <w:uiPriority w:val="1"/>
    <w:qFormat/>
    <w:rsid w:val="00DB35DA"/>
    <w:rPr>
      <w:sz w:val="24"/>
      <w:szCs w:val="24"/>
    </w:rPr>
  </w:style>
  <w:style w:type="character" w:customStyle="1" w:styleId="alb">
    <w:name w:val="a_lb"/>
    <w:basedOn w:val="Domylnaczcionkaakapitu"/>
    <w:rsid w:val="002D648C"/>
  </w:style>
  <w:style w:type="character" w:customStyle="1" w:styleId="AkapitzlistZnak">
    <w:name w:val="Akapit z listą Znak"/>
    <w:aliases w:val="Wyliczanie Znak,List Paragraph Znak,Obiekt Znak"/>
    <w:link w:val="Akapitzlist"/>
    <w:uiPriority w:val="34"/>
    <w:rsid w:val="00C172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056">
      <w:bodyDiv w:val="1"/>
      <w:marLeft w:val="0"/>
      <w:marRight w:val="0"/>
      <w:marTop w:val="0"/>
      <w:marBottom w:val="0"/>
      <w:divBdr>
        <w:top w:val="none" w:sz="0" w:space="0" w:color="auto"/>
        <w:left w:val="none" w:sz="0" w:space="0" w:color="auto"/>
        <w:bottom w:val="none" w:sz="0" w:space="0" w:color="auto"/>
        <w:right w:val="none" w:sz="0" w:space="0" w:color="auto"/>
      </w:divBdr>
      <w:divsChild>
        <w:div w:id="191892526">
          <w:marLeft w:val="0"/>
          <w:marRight w:val="0"/>
          <w:marTop w:val="0"/>
          <w:marBottom w:val="0"/>
          <w:divBdr>
            <w:top w:val="none" w:sz="0" w:space="0" w:color="auto"/>
            <w:left w:val="none" w:sz="0" w:space="0" w:color="auto"/>
            <w:bottom w:val="none" w:sz="0" w:space="0" w:color="auto"/>
            <w:right w:val="none" w:sz="0" w:space="0" w:color="auto"/>
          </w:divBdr>
        </w:div>
        <w:div w:id="218246498">
          <w:marLeft w:val="0"/>
          <w:marRight w:val="0"/>
          <w:marTop w:val="0"/>
          <w:marBottom w:val="0"/>
          <w:divBdr>
            <w:top w:val="none" w:sz="0" w:space="0" w:color="auto"/>
            <w:left w:val="none" w:sz="0" w:space="0" w:color="auto"/>
            <w:bottom w:val="none" w:sz="0" w:space="0" w:color="auto"/>
            <w:right w:val="none" w:sz="0" w:space="0" w:color="auto"/>
          </w:divBdr>
        </w:div>
        <w:div w:id="234046929">
          <w:marLeft w:val="0"/>
          <w:marRight w:val="0"/>
          <w:marTop w:val="0"/>
          <w:marBottom w:val="0"/>
          <w:divBdr>
            <w:top w:val="none" w:sz="0" w:space="0" w:color="auto"/>
            <w:left w:val="none" w:sz="0" w:space="0" w:color="auto"/>
            <w:bottom w:val="none" w:sz="0" w:space="0" w:color="auto"/>
            <w:right w:val="none" w:sz="0" w:space="0" w:color="auto"/>
          </w:divBdr>
        </w:div>
        <w:div w:id="383061782">
          <w:marLeft w:val="0"/>
          <w:marRight w:val="0"/>
          <w:marTop w:val="0"/>
          <w:marBottom w:val="0"/>
          <w:divBdr>
            <w:top w:val="none" w:sz="0" w:space="0" w:color="auto"/>
            <w:left w:val="none" w:sz="0" w:space="0" w:color="auto"/>
            <w:bottom w:val="none" w:sz="0" w:space="0" w:color="auto"/>
            <w:right w:val="none" w:sz="0" w:space="0" w:color="auto"/>
          </w:divBdr>
        </w:div>
        <w:div w:id="889464531">
          <w:marLeft w:val="0"/>
          <w:marRight w:val="0"/>
          <w:marTop w:val="0"/>
          <w:marBottom w:val="0"/>
          <w:divBdr>
            <w:top w:val="none" w:sz="0" w:space="0" w:color="auto"/>
            <w:left w:val="none" w:sz="0" w:space="0" w:color="auto"/>
            <w:bottom w:val="none" w:sz="0" w:space="0" w:color="auto"/>
            <w:right w:val="none" w:sz="0" w:space="0" w:color="auto"/>
          </w:divBdr>
        </w:div>
        <w:div w:id="1214391187">
          <w:marLeft w:val="0"/>
          <w:marRight w:val="0"/>
          <w:marTop w:val="0"/>
          <w:marBottom w:val="0"/>
          <w:divBdr>
            <w:top w:val="none" w:sz="0" w:space="0" w:color="auto"/>
            <w:left w:val="none" w:sz="0" w:space="0" w:color="auto"/>
            <w:bottom w:val="none" w:sz="0" w:space="0" w:color="auto"/>
            <w:right w:val="none" w:sz="0" w:space="0" w:color="auto"/>
          </w:divBdr>
        </w:div>
        <w:div w:id="1414159253">
          <w:marLeft w:val="0"/>
          <w:marRight w:val="0"/>
          <w:marTop w:val="0"/>
          <w:marBottom w:val="0"/>
          <w:divBdr>
            <w:top w:val="none" w:sz="0" w:space="0" w:color="auto"/>
            <w:left w:val="none" w:sz="0" w:space="0" w:color="auto"/>
            <w:bottom w:val="none" w:sz="0" w:space="0" w:color="auto"/>
            <w:right w:val="none" w:sz="0" w:space="0" w:color="auto"/>
          </w:divBdr>
        </w:div>
        <w:div w:id="1548755110">
          <w:marLeft w:val="0"/>
          <w:marRight w:val="0"/>
          <w:marTop w:val="0"/>
          <w:marBottom w:val="0"/>
          <w:divBdr>
            <w:top w:val="none" w:sz="0" w:space="0" w:color="auto"/>
            <w:left w:val="none" w:sz="0" w:space="0" w:color="auto"/>
            <w:bottom w:val="none" w:sz="0" w:space="0" w:color="auto"/>
            <w:right w:val="none" w:sz="0" w:space="0" w:color="auto"/>
          </w:divBdr>
        </w:div>
        <w:div w:id="2038239710">
          <w:marLeft w:val="0"/>
          <w:marRight w:val="0"/>
          <w:marTop w:val="0"/>
          <w:marBottom w:val="0"/>
          <w:divBdr>
            <w:top w:val="none" w:sz="0" w:space="0" w:color="auto"/>
            <w:left w:val="none" w:sz="0" w:space="0" w:color="auto"/>
            <w:bottom w:val="none" w:sz="0" w:space="0" w:color="auto"/>
            <w:right w:val="none" w:sz="0" w:space="0" w:color="auto"/>
          </w:divBdr>
        </w:div>
      </w:divsChild>
    </w:div>
    <w:div w:id="61805263">
      <w:bodyDiv w:val="1"/>
      <w:marLeft w:val="0"/>
      <w:marRight w:val="0"/>
      <w:marTop w:val="0"/>
      <w:marBottom w:val="0"/>
      <w:divBdr>
        <w:top w:val="none" w:sz="0" w:space="0" w:color="auto"/>
        <w:left w:val="none" w:sz="0" w:space="0" w:color="auto"/>
        <w:bottom w:val="none" w:sz="0" w:space="0" w:color="auto"/>
        <w:right w:val="none" w:sz="0" w:space="0" w:color="auto"/>
      </w:divBdr>
      <w:divsChild>
        <w:div w:id="2040350068">
          <w:marLeft w:val="0"/>
          <w:marRight w:val="0"/>
          <w:marTop w:val="0"/>
          <w:marBottom w:val="0"/>
          <w:divBdr>
            <w:top w:val="none" w:sz="0" w:space="0" w:color="auto"/>
            <w:left w:val="none" w:sz="0" w:space="0" w:color="auto"/>
            <w:bottom w:val="none" w:sz="0" w:space="0" w:color="auto"/>
            <w:right w:val="none" w:sz="0" w:space="0" w:color="auto"/>
          </w:divBdr>
        </w:div>
      </w:divsChild>
    </w:div>
    <w:div w:id="187179390">
      <w:bodyDiv w:val="1"/>
      <w:marLeft w:val="0"/>
      <w:marRight w:val="0"/>
      <w:marTop w:val="0"/>
      <w:marBottom w:val="0"/>
      <w:divBdr>
        <w:top w:val="none" w:sz="0" w:space="0" w:color="auto"/>
        <w:left w:val="none" w:sz="0" w:space="0" w:color="auto"/>
        <w:bottom w:val="none" w:sz="0" w:space="0" w:color="auto"/>
        <w:right w:val="none" w:sz="0" w:space="0" w:color="auto"/>
      </w:divBdr>
      <w:divsChild>
        <w:div w:id="1753548374">
          <w:marLeft w:val="0"/>
          <w:marRight w:val="0"/>
          <w:marTop w:val="0"/>
          <w:marBottom w:val="0"/>
          <w:divBdr>
            <w:top w:val="none" w:sz="0" w:space="0" w:color="auto"/>
            <w:left w:val="none" w:sz="0" w:space="0" w:color="auto"/>
            <w:bottom w:val="none" w:sz="0" w:space="0" w:color="auto"/>
            <w:right w:val="none" w:sz="0" w:space="0" w:color="auto"/>
          </w:divBdr>
        </w:div>
      </w:divsChild>
    </w:div>
    <w:div w:id="219171728">
      <w:bodyDiv w:val="1"/>
      <w:marLeft w:val="0"/>
      <w:marRight w:val="0"/>
      <w:marTop w:val="0"/>
      <w:marBottom w:val="0"/>
      <w:divBdr>
        <w:top w:val="none" w:sz="0" w:space="0" w:color="auto"/>
        <w:left w:val="none" w:sz="0" w:space="0" w:color="auto"/>
        <w:bottom w:val="none" w:sz="0" w:space="0" w:color="auto"/>
        <w:right w:val="none" w:sz="0" w:space="0" w:color="auto"/>
      </w:divBdr>
    </w:div>
    <w:div w:id="231505617">
      <w:bodyDiv w:val="1"/>
      <w:marLeft w:val="0"/>
      <w:marRight w:val="0"/>
      <w:marTop w:val="0"/>
      <w:marBottom w:val="0"/>
      <w:divBdr>
        <w:top w:val="none" w:sz="0" w:space="0" w:color="auto"/>
        <w:left w:val="none" w:sz="0" w:space="0" w:color="auto"/>
        <w:bottom w:val="none" w:sz="0" w:space="0" w:color="auto"/>
        <w:right w:val="none" w:sz="0" w:space="0" w:color="auto"/>
      </w:divBdr>
      <w:divsChild>
        <w:div w:id="769590495">
          <w:marLeft w:val="0"/>
          <w:marRight w:val="0"/>
          <w:marTop w:val="0"/>
          <w:marBottom w:val="0"/>
          <w:divBdr>
            <w:top w:val="none" w:sz="0" w:space="0" w:color="auto"/>
            <w:left w:val="none" w:sz="0" w:space="0" w:color="auto"/>
            <w:bottom w:val="none" w:sz="0" w:space="0" w:color="auto"/>
            <w:right w:val="none" w:sz="0" w:space="0" w:color="auto"/>
          </w:divBdr>
          <w:divsChild>
            <w:div w:id="219094770">
              <w:marLeft w:val="0"/>
              <w:marRight w:val="0"/>
              <w:marTop w:val="0"/>
              <w:marBottom w:val="0"/>
              <w:divBdr>
                <w:top w:val="none" w:sz="0" w:space="0" w:color="auto"/>
                <w:left w:val="none" w:sz="0" w:space="0" w:color="auto"/>
                <w:bottom w:val="none" w:sz="0" w:space="0" w:color="auto"/>
                <w:right w:val="none" w:sz="0" w:space="0" w:color="auto"/>
              </w:divBdr>
              <w:divsChild>
                <w:div w:id="114448510">
                  <w:marLeft w:val="0"/>
                  <w:marRight w:val="0"/>
                  <w:marTop w:val="0"/>
                  <w:marBottom w:val="0"/>
                  <w:divBdr>
                    <w:top w:val="none" w:sz="0" w:space="0" w:color="auto"/>
                    <w:left w:val="none" w:sz="0" w:space="0" w:color="auto"/>
                    <w:bottom w:val="none" w:sz="0" w:space="0" w:color="auto"/>
                    <w:right w:val="none" w:sz="0" w:space="0" w:color="auto"/>
                  </w:divBdr>
                </w:div>
              </w:divsChild>
            </w:div>
            <w:div w:id="938102776">
              <w:marLeft w:val="0"/>
              <w:marRight w:val="0"/>
              <w:marTop w:val="0"/>
              <w:marBottom w:val="0"/>
              <w:divBdr>
                <w:top w:val="none" w:sz="0" w:space="0" w:color="auto"/>
                <w:left w:val="none" w:sz="0" w:space="0" w:color="auto"/>
                <w:bottom w:val="none" w:sz="0" w:space="0" w:color="auto"/>
                <w:right w:val="none" w:sz="0" w:space="0" w:color="auto"/>
              </w:divBdr>
              <w:divsChild>
                <w:div w:id="1443919378">
                  <w:marLeft w:val="0"/>
                  <w:marRight w:val="0"/>
                  <w:marTop w:val="0"/>
                  <w:marBottom w:val="0"/>
                  <w:divBdr>
                    <w:top w:val="none" w:sz="0" w:space="0" w:color="auto"/>
                    <w:left w:val="none" w:sz="0" w:space="0" w:color="auto"/>
                    <w:bottom w:val="none" w:sz="0" w:space="0" w:color="auto"/>
                    <w:right w:val="none" w:sz="0" w:space="0" w:color="auto"/>
                  </w:divBdr>
                </w:div>
              </w:divsChild>
            </w:div>
            <w:div w:id="1031806316">
              <w:marLeft w:val="0"/>
              <w:marRight w:val="0"/>
              <w:marTop w:val="0"/>
              <w:marBottom w:val="0"/>
              <w:divBdr>
                <w:top w:val="none" w:sz="0" w:space="0" w:color="auto"/>
                <w:left w:val="none" w:sz="0" w:space="0" w:color="auto"/>
                <w:bottom w:val="none" w:sz="0" w:space="0" w:color="auto"/>
                <w:right w:val="none" w:sz="0" w:space="0" w:color="auto"/>
              </w:divBdr>
            </w:div>
          </w:divsChild>
        </w:div>
        <w:div w:id="1046831398">
          <w:marLeft w:val="0"/>
          <w:marRight w:val="0"/>
          <w:marTop w:val="0"/>
          <w:marBottom w:val="0"/>
          <w:divBdr>
            <w:top w:val="none" w:sz="0" w:space="0" w:color="auto"/>
            <w:left w:val="none" w:sz="0" w:space="0" w:color="auto"/>
            <w:bottom w:val="none" w:sz="0" w:space="0" w:color="auto"/>
            <w:right w:val="none" w:sz="0" w:space="0" w:color="auto"/>
          </w:divBdr>
          <w:divsChild>
            <w:div w:id="1059094378">
              <w:marLeft w:val="0"/>
              <w:marRight w:val="0"/>
              <w:marTop w:val="0"/>
              <w:marBottom w:val="0"/>
              <w:divBdr>
                <w:top w:val="none" w:sz="0" w:space="0" w:color="auto"/>
                <w:left w:val="none" w:sz="0" w:space="0" w:color="auto"/>
                <w:bottom w:val="none" w:sz="0" w:space="0" w:color="auto"/>
                <w:right w:val="none" w:sz="0" w:space="0" w:color="auto"/>
              </w:divBdr>
              <w:divsChild>
                <w:div w:id="1423648329">
                  <w:marLeft w:val="0"/>
                  <w:marRight w:val="0"/>
                  <w:marTop w:val="0"/>
                  <w:marBottom w:val="0"/>
                  <w:divBdr>
                    <w:top w:val="none" w:sz="0" w:space="0" w:color="auto"/>
                    <w:left w:val="none" w:sz="0" w:space="0" w:color="auto"/>
                    <w:bottom w:val="none" w:sz="0" w:space="0" w:color="auto"/>
                    <w:right w:val="none" w:sz="0" w:space="0" w:color="auto"/>
                  </w:divBdr>
                </w:div>
              </w:divsChild>
            </w:div>
            <w:div w:id="1452632277">
              <w:marLeft w:val="0"/>
              <w:marRight w:val="0"/>
              <w:marTop w:val="0"/>
              <w:marBottom w:val="0"/>
              <w:divBdr>
                <w:top w:val="none" w:sz="0" w:space="0" w:color="auto"/>
                <w:left w:val="none" w:sz="0" w:space="0" w:color="auto"/>
                <w:bottom w:val="none" w:sz="0" w:space="0" w:color="auto"/>
                <w:right w:val="none" w:sz="0" w:space="0" w:color="auto"/>
              </w:divBdr>
            </w:div>
            <w:div w:id="1602370863">
              <w:marLeft w:val="0"/>
              <w:marRight w:val="0"/>
              <w:marTop w:val="0"/>
              <w:marBottom w:val="0"/>
              <w:divBdr>
                <w:top w:val="none" w:sz="0" w:space="0" w:color="auto"/>
                <w:left w:val="none" w:sz="0" w:space="0" w:color="auto"/>
                <w:bottom w:val="none" w:sz="0" w:space="0" w:color="auto"/>
                <w:right w:val="none" w:sz="0" w:space="0" w:color="auto"/>
              </w:divBdr>
              <w:divsChild>
                <w:div w:id="7446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94117">
          <w:marLeft w:val="0"/>
          <w:marRight w:val="0"/>
          <w:marTop w:val="0"/>
          <w:marBottom w:val="0"/>
          <w:divBdr>
            <w:top w:val="none" w:sz="0" w:space="0" w:color="auto"/>
            <w:left w:val="none" w:sz="0" w:space="0" w:color="auto"/>
            <w:bottom w:val="none" w:sz="0" w:space="0" w:color="auto"/>
            <w:right w:val="none" w:sz="0" w:space="0" w:color="auto"/>
          </w:divBdr>
          <w:divsChild>
            <w:div w:id="395015091">
              <w:marLeft w:val="0"/>
              <w:marRight w:val="0"/>
              <w:marTop w:val="0"/>
              <w:marBottom w:val="0"/>
              <w:divBdr>
                <w:top w:val="none" w:sz="0" w:space="0" w:color="auto"/>
                <w:left w:val="none" w:sz="0" w:space="0" w:color="auto"/>
                <w:bottom w:val="none" w:sz="0" w:space="0" w:color="auto"/>
                <w:right w:val="none" w:sz="0" w:space="0" w:color="auto"/>
              </w:divBdr>
              <w:divsChild>
                <w:div w:id="1671562478">
                  <w:marLeft w:val="0"/>
                  <w:marRight w:val="0"/>
                  <w:marTop w:val="0"/>
                  <w:marBottom w:val="0"/>
                  <w:divBdr>
                    <w:top w:val="none" w:sz="0" w:space="0" w:color="auto"/>
                    <w:left w:val="none" w:sz="0" w:space="0" w:color="auto"/>
                    <w:bottom w:val="none" w:sz="0" w:space="0" w:color="auto"/>
                    <w:right w:val="none" w:sz="0" w:space="0" w:color="auto"/>
                  </w:divBdr>
                </w:div>
              </w:divsChild>
            </w:div>
            <w:div w:id="1482236367">
              <w:marLeft w:val="0"/>
              <w:marRight w:val="0"/>
              <w:marTop w:val="0"/>
              <w:marBottom w:val="0"/>
              <w:divBdr>
                <w:top w:val="none" w:sz="0" w:space="0" w:color="auto"/>
                <w:left w:val="none" w:sz="0" w:space="0" w:color="auto"/>
                <w:bottom w:val="none" w:sz="0" w:space="0" w:color="auto"/>
                <w:right w:val="none" w:sz="0" w:space="0" w:color="auto"/>
              </w:divBdr>
            </w:div>
            <w:div w:id="2119641006">
              <w:marLeft w:val="0"/>
              <w:marRight w:val="0"/>
              <w:marTop w:val="0"/>
              <w:marBottom w:val="0"/>
              <w:divBdr>
                <w:top w:val="none" w:sz="0" w:space="0" w:color="auto"/>
                <w:left w:val="none" w:sz="0" w:space="0" w:color="auto"/>
                <w:bottom w:val="none" w:sz="0" w:space="0" w:color="auto"/>
                <w:right w:val="none" w:sz="0" w:space="0" w:color="auto"/>
              </w:divBdr>
              <w:divsChild>
                <w:div w:id="5002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2969">
      <w:bodyDiv w:val="1"/>
      <w:marLeft w:val="0"/>
      <w:marRight w:val="0"/>
      <w:marTop w:val="0"/>
      <w:marBottom w:val="0"/>
      <w:divBdr>
        <w:top w:val="none" w:sz="0" w:space="0" w:color="auto"/>
        <w:left w:val="none" w:sz="0" w:space="0" w:color="auto"/>
        <w:bottom w:val="none" w:sz="0" w:space="0" w:color="auto"/>
        <w:right w:val="none" w:sz="0" w:space="0" w:color="auto"/>
      </w:divBdr>
      <w:divsChild>
        <w:div w:id="683937547">
          <w:marLeft w:val="0"/>
          <w:marRight w:val="0"/>
          <w:marTop w:val="0"/>
          <w:marBottom w:val="0"/>
          <w:divBdr>
            <w:top w:val="none" w:sz="0" w:space="0" w:color="auto"/>
            <w:left w:val="none" w:sz="0" w:space="0" w:color="auto"/>
            <w:bottom w:val="none" w:sz="0" w:space="0" w:color="auto"/>
            <w:right w:val="none" w:sz="0" w:space="0" w:color="auto"/>
          </w:divBdr>
        </w:div>
        <w:div w:id="874151785">
          <w:marLeft w:val="0"/>
          <w:marRight w:val="0"/>
          <w:marTop w:val="0"/>
          <w:marBottom w:val="0"/>
          <w:divBdr>
            <w:top w:val="none" w:sz="0" w:space="0" w:color="auto"/>
            <w:left w:val="none" w:sz="0" w:space="0" w:color="auto"/>
            <w:bottom w:val="none" w:sz="0" w:space="0" w:color="auto"/>
            <w:right w:val="none" w:sz="0" w:space="0" w:color="auto"/>
          </w:divBdr>
        </w:div>
      </w:divsChild>
    </w:div>
    <w:div w:id="543490960">
      <w:bodyDiv w:val="1"/>
      <w:marLeft w:val="0"/>
      <w:marRight w:val="0"/>
      <w:marTop w:val="0"/>
      <w:marBottom w:val="0"/>
      <w:divBdr>
        <w:top w:val="none" w:sz="0" w:space="0" w:color="auto"/>
        <w:left w:val="none" w:sz="0" w:space="0" w:color="auto"/>
        <w:bottom w:val="none" w:sz="0" w:space="0" w:color="auto"/>
        <w:right w:val="none" w:sz="0" w:space="0" w:color="auto"/>
      </w:divBdr>
    </w:div>
    <w:div w:id="551775136">
      <w:bodyDiv w:val="1"/>
      <w:marLeft w:val="0"/>
      <w:marRight w:val="0"/>
      <w:marTop w:val="0"/>
      <w:marBottom w:val="0"/>
      <w:divBdr>
        <w:top w:val="none" w:sz="0" w:space="0" w:color="auto"/>
        <w:left w:val="none" w:sz="0" w:space="0" w:color="auto"/>
        <w:bottom w:val="none" w:sz="0" w:space="0" w:color="auto"/>
        <w:right w:val="none" w:sz="0" w:space="0" w:color="auto"/>
      </w:divBdr>
      <w:divsChild>
        <w:div w:id="1575509630">
          <w:marLeft w:val="0"/>
          <w:marRight w:val="0"/>
          <w:marTop w:val="0"/>
          <w:marBottom w:val="0"/>
          <w:divBdr>
            <w:top w:val="none" w:sz="0" w:space="0" w:color="auto"/>
            <w:left w:val="none" w:sz="0" w:space="0" w:color="auto"/>
            <w:bottom w:val="none" w:sz="0" w:space="0" w:color="auto"/>
            <w:right w:val="none" w:sz="0" w:space="0" w:color="auto"/>
          </w:divBdr>
          <w:divsChild>
            <w:div w:id="1853179114">
              <w:marLeft w:val="0"/>
              <w:marRight w:val="0"/>
              <w:marTop w:val="0"/>
              <w:marBottom w:val="0"/>
              <w:divBdr>
                <w:top w:val="none" w:sz="0" w:space="0" w:color="auto"/>
                <w:left w:val="none" w:sz="0" w:space="0" w:color="auto"/>
                <w:bottom w:val="none" w:sz="0" w:space="0" w:color="auto"/>
                <w:right w:val="none" w:sz="0" w:space="0" w:color="auto"/>
              </w:divBdr>
              <w:divsChild>
                <w:div w:id="733164771">
                  <w:marLeft w:val="0"/>
                  <w:marRight w:val="0"/>
                  <w:marTop w:val="0"/>
                  <w:marBottom w:val="0"/>
                  <w:divBdr>
                    <w:top w:val="none" w:sz="0" w:space="0" w:color="auto"/>
                    <w:left w:val="none" w:sz="0" w:space="0" w:color="auto"/>
                    <w:bottom w:val="none" w:sz="0" w:space="0" w:color="auto"/>
                    <w:right w:val="none" w:sz="0" w:space="0" w:color="auto"/>
                  </w:divBdr>
                </w:div>
                <w:div w:id="1134984027">
                  <w:marLeft w:val="0"/>
                  <w:marRight w:val="0"/>
                  <w:marTop w:val="0"/>
                  <w:marBottom w:val="0"/>
                  <w:divBdr>
                    <w:top w:val="none" w:sz="0" w:space="0" w:color="auto"/>
                    <w:left w:val="none" w:sz="0" w:space="0" w:color="auto"/>
                    <w:bottom w:val="none" w:sz="0" w:space="0" w:color="auto"/>
                    <w:right w:val="none" w:sz="0" w:space="0" w:color="auto"/>
                  </w:divBdr>
                  <w:divsChild>
                    <w:div w:id="1004282917">
                      <w:marLeft w:val="0"/>
                      <w:marRight w:val="0"/>
                      <w:marTop w:val="0"/>
                      <w:marBottom w:val="0"/>
                      <w:divBdr>
                        <w:top w:val="none" w:sz="0" w:space="0" w:color="auto"/>
                        <w:left w:val="none" w:sz="0" w:space="0" w:color="auto"/>
                        <w:bottom w:val="none" w:sz="0" w:space="0" w:color="auto"/>
                        <w:right w:val="none" w:sz="0" w:space="0" w:color="auto"/>
                      </w:divBdr>
                    </w:div>
                  </w:divsChild>
                </w:div>
                <w:div w:id="1962028500">
                  <w:marLeft w:val="0"/>
                  <w:marRight w:val="0"/>
                  <w:marTop w:val="0"/>
                  <w:marBottom w:val="0"/>
                  <w:divBdr>
                    <w:top w:val="none" w:sz="0" w:space="0" w:color="auto"/>
                    <w:left w:val="none" w:sz="0" w:space="0" w:color="auto"/>
                    <w:bottom w:val="none" w:sz="0" w:space="0" w:color="auto"/>
                    <w:right w:val="none" w:sz="0" w:space="0" w:color="auto"/>
                  </w:divBdr>
                  <w:divsChild>
                    <w:div w:id="3231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62031">
              <w:marLeft w:val="0"/>
              <w:marRight w:val="0"/>
              <w:marTop w:val="0"/>
              <w:marBottom w:val="0"/>
              <w:divBdr>
                <w:top w:val="none" w:sz="0" w:space="0" w:color="auto"/>
                <w:left w:val="none" w:sz="0" w:space="0" w:color="auto"/>
                <w:bottom w:val="none" w:sz="0" w:space="0" w:color="auto"/>
                <w:right w:val="none" w:sz="0" w:space="0" w:color="auto"/>
              </w:divBdr>
              <w:divsChild>
                <w:div w:id="211111997">
                  <w:marLeft w:val="0"/>
                  <w:marRight w:val="0"/>
                  <w:marTop w:val="0"/>
                  <w:marBottom w:val="0"/>
                  <w:divBdr>
                    <w:top w:val="none" w:sz="0" w:space="0" w:color="auto"/>
                    <w:left w:val="none" w:sz="0" w:space="0" w:color="auto"/>
                    <w:bottom w:val="none" w:sz="0" w:space="0" w:color="auto"/>
                    <w:right w:val="none" w:sz="0" w:space="0" w:color="auto"/>
                  </w:divBdr>
                  <w:divsChild>
                    <w:div w:id="1627587431">
                      <w:marLeft w:val="0"/>
                      <w:marRight w:val="0"/>
                      <w:marTop w:val="0"/>
                      <w:marBottom w:val="0"/>
                      <w:divBdr>
                        <w:top w:val="none" w:sz="0" w:space="0" w:color="auto"/>
                        <w:left w:val="none" w:sz="0" w:space="0" w:color="auto"/>
                        <w:bottom w:val="none" w:sz="0" w:space="0" w:color="auto"/>
                        <w:right w:val="none" w:sz="0" w:space="0" w:color="auto"/>
                      </w:divBdr>
                    </w:div>
                  </w:divsChild>
                </w:div>
                <w:div w:id="243337796">
                  <w:marLeft w:val="0"/>
                  <w:marRight w:val="0"/>
                  <w:marTop w:val="0"/>
                  <w:marBottom w:val="0"/>
                  <w:divBdr>
                    <w:top w:val="none" w:sz="0" w:space="0" w:color="auto"/>
                    <w:left w:val="none" w:sz="0" w:space="0" w:color="auto"/>
                    <w:bottom w:val="none" w:sz="0" w:space="0" w:color="auto"/>
                    <w:right w:val="none" w:sz="0" w:space="0" w:color="auto"/>
                  </w:divBdr>
                  <w:divsChild>
                    <w:div w:id="387994283">
                      <w:marLeft w:val="0"/>
                      <w:marRight w:val="0"/>
                      <w:marTop w:val="0"/>
                      <w:marBottom w:val="0"/>
                      <w:divBdr>
                        <w:top w:val="none" w:sz="0" w:space="0" w:color="auto"/>
                        <w:left w:val="none" w:sz="0" w:space="0" w:color="auto"/>
                        <w:bottom w:val="none" w:sz="0" w:space="0" w:color="auto"/>
                        <w:right w:val="none" w:sz="0" w:space="0" w:color="auto"/>
                      </w:divBdr>
                    </w:div>
                  </w:divsChild>
                </w:div>
                <w:div w:id="475726590">
                  <w:marLeft w:val="0"/>
                  <w:marRight w:val="0"/>
                  <w:marTop w:val="0"/>
                  <w:marBottom w:val="0"/>
                  <w:divBdr>
                    <w:top w:val="none" w:sz="0" w:space="0" w:color="auto"/>
                    <w:left w:val="none" w:sz="0" w:space="0" w:color="auto"/>
                    <w:bottom w:val="none" w:sz="0" w:space="0" w:color="auto"/>
                    <w:right w:val="none" w:sz="0" w:space="0" w:color="auto"/>
                  </w:divBdr>
                  <w:divsChild>
                    <w:div w:id="1609195037">
                      <w:marLeft w:val="0"/>
                      <w:marRight w:val="0"/>
                      <w:marTop w:val="0"/>
                      <w:marBottom w:val="0"/>
                      <w:divBdr>
                        <w:top w:val="none" w:sz="0" w:space="0" w:color="auto"/>
                        <w:left w:val="none" w:sz="0" w:space="0" w:color="auto"/>
                        <w:bottom w:val="none" w:sz="0" w:space="0" w:color="auto"/>
                        <w:right w:val="none" w:sz="0" w:space="0" w:color="auto"/>
                      </w:divBdr>
                    </w:div>
                  </w:divsChild>
                </w:div>
                <w:div w:id="699625323">
                  <w:marLeft w:val="0"/>
                  <w:marRight w:val="0"/>
                  <w:marTop w:val="0"/>
                  <w:marBottom w:val="0"/>
                  <w:divBdr>
                    <w:top w:val="none" w:sz="0" w:space="0" w:color="auto"/>
                    <w:left w:val="none" w:sz="0" w:space="0" w:color="auto"/>
                    <w:bottom w:val="none" w:sz="0" w:space="0" w:color="auto"/>
                    <w:right w:val="none" w:sz="0" w:space="0" w:color="auto"/>
                  </w:divBdr>
                  <w:divsChild>
                    <w:div w:id="1273241673">
                      <w:marLeft w:val="0"/>
                      <w:marRight w:val="0"/>
                      <w:marTop w:val="0"/>
                      <w:marBottom w:val="0"/>
                      <w:divBdr>
                        <w:top w:val="none" w:sz="0" w:space="0" w:color="auto"/>
                        <w:left w:val="none" w:sz="0" w:space="0" w:color="auto"/>
                        <w:bottom w:val="none" w:sz="0" w:space="0" w:color="auto"/>
                        <w:right w:val="none" w:sz="0" w:space="0" w:color="auto"/>
                      </w:divBdr>
                    </w:div>
                  </w:divsChild>
                </w:div>
                <w:div w:id="1737312664">
                  <w:marLeft w:val="0"/>
                  <w:marRight w:val="0"/>
                  <w:marTop w:val="0"/>
                  <w:marBottom w:val="0"/>
                  <w:divBdr>
                    <w:top w:val="none" w:sz="0" w:space="0" w:color="auto"/>
                    <w:left w:val="none" w:sz="0" w:space="0" w:color="auto"/>
                    <w:bottom w:val="none" w:sz="0" w:space="0" w:color="auto"/>
                    <w:right w:val="none" w:sz="0" w:space="0" w:color="auto"/>
                  </w:divBdr>
                  <w:divsChild>
                    <w:div w:id="771512052">
                      <w:marLeft w:val="0"/>
                      <w:marRight w:val="0"/>
                      <w:marTop w:val="0"/>
                      <w:marBottom w:val="0"/>
                      <w:divBdr>
                        <w:top w:val="none" w:sz="0" w:space="0" w:color="auto"/>
                        <w:left w:val="none" w:sz="0" w:space="0" w:color="auto"/>
                        <w:bottom w:val="none" w:sz="0" w:space="0" w:color="auto"/>
                        <w:right w:val="none" w:sz="0" w:space="0" w:color="auto"/>
                      </w:divBdr>
                      <w:divsChild>
                        <w:div w:id="1095859537">
                          <w:marLeft w:val="720"/>
                          <w:marRight w:val="0"/>
                          <w:marTop w:val="0"/>
                          <w:marBottom w:val="0"/>
                          <w:divBdr>
                            <w:top w:val="none" w:sz="0" w:space="0" w:color="auto"/>
                            <w:left w:val="none" w:sz="0" w:space="0" w:color="auto"/>
                            <w:bottom w:val="none" w:sz="0" w:space="0" w:color="auto"/>
                            <w:right w:val="none" w:sz="0" w:space="0" w:color="auto"/>
                          </w:divBdr>
                        </w:div>
                      </w:divsChild>
                    </w:div>
                    <w:div w:id="1583677785">
                      <w:marLeft w:val="0"/>
                      <w:marRight w:val="0"/>
                      <w:marTop w:val="0"/>
                      <w:marBottom w:val="0"/>
                      <w:divBdr>
                        <w:top w:val="none" w:sz="0" w:space="0" w:color="auto"/>
                        <w:left w:val="none" w:sz="0" w:space="0" w:color="auto"/>
                        <w:bottom w:val="none" w:sz="0" w:space="0" w:color="auto"/>
                        <w:right w:val="none" w:sz="0" w:space="0" w:color="auto"/>
                      </w:divBdr>
                      <w:divsChild>
                        <w:div w:id="1789622566">
                          <w:marLeft w:val="720"/>
                          <w:marRight w:val="0"/>
                          <w:marTop w:val="0"/>
                          <w:marBottom w:val="0"/>
                          <w:divBdr>
                            <w:top w:val="none" w:sz="0" w:space="0" w:color="auto"/>
                            <w:left w:val="none" w:sz="0" w:space="0" w:color="auto"/>
                            <w:bottom w:val="none" w:sz="0" w:space="0" w:color="auto"/>
                            <w:right w:val="none" w:sz="0" w:space="0" w:color="auto"/>
                          </w:divBdr>
                        </w:div>
                      </w:divsChild>
                    </w:div>
                    <w:div w:id="1671371707">
                      <w:marLeft w:val="0"/>
                      <w:marRight w:val="0"/>
                      <w:marTop w:val="0"/>
                      <w:marBottom w:val="0"/>
                      <w:divBdr>
                        <w:top w:val="none" w:sz="0" w:space="0" w:color="auto"/>
                        <w:left w:val="none" w:sz="0" w:space="0" w:color="auto"/>
                        <w:bottom w:val="none" w:sz="0" w:space="0" w:color="auto"/>
                        <w:right w:val="none" w:sz="0" w:space="0" w:color="auto"/>
                      </w:divBdr>
                    </w:div>
                  </w:divsChild>
                </w:div>
                <w:div w:id="18194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1036">
      <w:bodyDiv w:val="1"/>
      <w:marLeft w:val="0"/>
      <w:marRight w:val="0"/>
      <w:marTop w:val="0"/>
      <w:marBottom w:val="0"/>
      <w:divBdr>
        <w:top w:val="none" w:sz="0" w:space="0" w:color="auto"/>
        <w:left w:val="none" w:sz="0" w:space="0" w:color="auto"/>
        <w:bottom w:val="none" w:sz="0" w:space="0" w:color="auto"/>
        <w:right w:val="none" w:sz="0" w:space="0" w:color="auto"/>
      </w:divBdr>
    </w:div>
    <w:div w:id="614094239">
      <w:bodyDiv w:val="1"/>
      <w:marLeft w:val="0"/>
      <w:marRight w:val="0"/>
      <w:marTop w:val="0"/>
      <w:marBottom w:val="0"/>
      <w:divBdr>
        <w:top w:val="none" w:sz="0" w:space="0" w:color="auto"/>
        <w:left w:val="none" w:sz="0" w:space="0" w:color="auto"/>
        <w:bottom w:val="none" w:sz="0" w:space="0" w:color="auto"/>
        <w:right w:val="none" w:sz="0" w:space="0" w:color="auto"/>
      </w:divBdr>
      <w:divsChild>
        <w:div w:id="504706096">
          <w:marLeft w:val="0"/>
          <w:marRight w:val="0"/>
          <w:marTop w:val="0"/>
          <w:marBottom w:val="0"/>
          <w:divBdr>
            <w:top w:val="none" w:sz="0" w:space="0" w:color="auto"/>
            <w:left w:val="none" w:sz="0" w:space="0" w:color="auto"/>
            <w:bottom w:val="none" w:sz="0" w:space="0" w:color="auto"/>
            <w:right w:val="none" w:sz="0" w:space="0" w:color="auto"/>
          </w:divBdr>
        </w:div>
        <w:div w:id="677002755">
          <w:marLeft w:val="0"/>
          <w:marRight w:val="0"/>
          <w:marTop w:val="0"/>
          <w:marBottom w:val="0"/>
          <w:divBdr>
            <w:top w:val="none" w:sz="0" w:space="0" w:color="auto"/>
            <w:left w:val="none" w:sz="0" w:space="0" w:color="auto"/>
            <w:bottom w:val="none" w:sz="0" w:space="0" w:color="auto"/>
            <w:right w:val="none" w:sz="0" w:space="0" w:color="auto"/>
          </w:divBdr>
          <w:divsChild>
            <w:div w:id="9109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7195">
      <w:bodyDiv w:val="1"/>
      <w:marLeft w:val="0"/>
      <w:marRight w:val="0"/>
      <w:marTop w:val="0"/>
      <w:marBottom w:val="0"/>
      <w:divBdr>
        <w:top w:val="none" w:sz="0" w:space="0" w:color="auto"/>
        <w:left w:val="none" w:sz="0" w:space="0" w:color="auto"/>
        <w:bottom w:val="none" w:sz="0" w:space="0" w:color="auto"/>
        <w:right w:val="none" w:sz="0" w:space="0" w:color="auto"/>
      </w:divBdr>
      <w:divsChild>
        <w:div w:id="592858583">
          <w:marLeft w:val="0"/>
          <w:marRight w:val="0"/>
          <w:marTop w:val="0"/>
          <w:marBottom w:val="0"/>
          <w:divBdr>
            <w:top w:val="none" w:sz="0" w:space="0" w:color="auto"/>
            <w:left w:val="none" w:sz="0" w:space="0" w:color="auto"/>
            <w:bottom w:val="none" w:sz="0" w:space="0" w:color="auto"/>
            <w:right w:val="none" w:sz="0" w:space="0" w:color="auto"/>
          </w:divBdr>
          <w:divsChild>
            <w:div w:id="1293057914">
              <w:marLeft w:val="0"/>
              <w:marRight w:val="0"/>
              <w:marTop w:val="0"/>
              <w:marBottom w:val="0"/>
              <w:divBdr>
                <w:top w:val="none" w:sz="0" w:space="0" w:color="auto"/>
                <w:left w:val="none" w:sz="0" w:space="0" w:color="auto"/>
                <w:bottom w:val="none" w:sz="0" w:space="0" w:color="auto"/>
                <w:right w:val="none" w:sz="0" w:space="0" w:color="auto"/>
              </w:divBdr>
            </w:div>
          </w:divsChild>
        </w:div>
        <w:div w:id="1741101112">
          <w:marLeft w:val="0"/>
          <w:marRight w:val="0"/>
          <w:marTop w:val="0"/>
          <w:marBottom w:val="0"/>
          <w:divBdr>
            <w:top w:val="none" w:sz="0" w:space="0" w:color="auto"/>
            <w:left w:val="none" w:sz="0" w:space="0" w:color="auto"/>
            <w:bottom w:val="none" w:sz="0" w:space="0" w:color="auto"/>
            <w:right w:val="none" w:sz="0" w:space="0" w:color="auto"/>
          </w:divBdr>
          <w:divsChild>
            <w:div w:id="119966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54207">
      <w:bodyDiv w:val="1"/>
      <w:marLeft w:val="0"/>
      <w:marRight w:val="0"/>
      <w:marTop w:val="0"/>
      <w:marBottom w:val="0"/>
      <w:divBdr>
        <w:top w:val="none" w:sz="0" w:space="0" w:color="auto"/>
        <w:left w:val="none" w:sz="0" w:space="0" w:color="auto"/>
        <w:bottom w:val="none" w:sz="0" w:space="0" w:color="auto"/>
        <w:right w:val="none" w:sz="0" w:space="0" w:color="auto"/>
      </w:divBdr>
    </w:div>
    <w:div w:id="854852968">
      <w:bodyDiv w:val="1"/>
      <w:marLeft w:val="0"/>
      <w:marRight w:val="0"/>
      <w:marTop w:val="0"/>
      <w:marBottom w:val="0"/>
      <w:divBdr>
        <w:top w:val="none" w:sz="0" w:space="0" w:color="auto"/>
        <w:left w:val="none" w:sz="0" w:space="0" w:color="auto"/>
        <w:bottom w:val="none" w:sz="0" w:space="0" w:color="auto"/>
        <w:right w:val="none" w:sz="0" w:space="0" w:color="auto"/>
      </w:divBdr>
      <w:divsChild>
        <w:div w:id="1182940259">
          <w:marLeft w:val="0"/>
          <w:marRight w:val="0"/>
          <w:marTop w:val="0"/>
          <w:marBottom w:val="0"/>
          <w:divBdr>
            <w:top w:val="none" w:sz="0" w:space="0" w:color="auto"/>
            <w:left w:val="none" w:sz="0" w:space="0" w:color="auto"/>
            <w:bottom w:val="none" w:sz="0" w:space="0" w:color="auto"/>
            <w:right w:val="none" w:sz="0" w:space="0" w:color="auto"/>
          </w:divBdr>
          <w:divsChild>
            <w:div w:id="177158528">
              <w:marLeft w:val="0"/>
              <w:marRight w:val="0"/>
              <w:marTop w:val="0"/>
              <w:marBottom w:val="0"/>
              <w:divBdr>
                <w:top w:val="none" w:sz="0" w:space="0" w:color="auto"/>
                <w:left w:val="none" w:sz="0" w:space="0" w:color="auto"/>
                <w:bottom w:val="none" w:sz="0" w:space="0" w:color="auto"/>
                <w:right w:val="none" w:sz="0" w:space="0" w:color="auto"/>
              </w:divBdr>
              <w:divsChild>
                <w:div w:id="1035228503">
                  <w:marLeft w:val="0"/>
                  <w:marRight w:val="0"/>
                  <w:marTop w:val="0"/>
                  <w:marBottom w:val="0"/>
                  <w:divBdr>
                    <w:top w:val="none" w:sz="0" w:space="0" w:color="auto"/>
                    <w:left w:val="none" w:sz="0" w:space="0" w:color="auto"/>
                    <w:bottom w:val="none" w:sz="0" w:space="0" w:color="auto"/>
                    <w:right w:val="none" w:sz="0" w:space="0" w:color="auto"/>
                  </w:divBdr>
                </w:div>
              </w:divsChild>
            </w:div>
            <w:div w:id="797380421">
              <w:marLeft w:val="0"/>
              <w:marRight w:val="0"/>
              <w:marTop w:val="0"/>
              <w:marBottom w:val="0"/>
              <w:divBdr>
                <w:top w:val="none" w:sz="0" w:space="0" w:color="auto"/>
                <w:left w:val="none" w:sz="0" w:space="0" w:color="auto"/>
                <w:bottom w:val="none" w:sz="0" w:space="0" w:color="auto"/>
                <w:right w:val="none" w:sz="0" w:space="0" w:color="auto"/>
              </w:divBdr>
              <w:divsChild>
                <w:div w:id="1856924053">
                  <w:marLeft w:val="0"/>
                  <w:marRight w:val="0"/>
                  <w:marTop w:val="0"/>
                  <w:marBottom w:val="0"/>
                  <w:divBdr>
                    <w:top w:val="none" w:sz="0" w:space="0" w:color="auto"/>
                    <w:left w:val="none" w:sz="0" w:space="0" w:color="auto"/>
                    <w:bottom w:val="none" w:sz="0" w:space="0" w:color="auto"/>
                    <w:right w:val="none" w:sz="0" w:space="0" w:color="auto"/>
                  </w:divBdr>
                </w:div>
              </w:divsChild>
            </w:div>
            <w:div w:id="2127313292">
              <w:marLeft w:val="0"/>
              <w:marRight w:val="0"/>
              <w:marTop w:val="0"/>
              <w:marBottom w:val="0"/>
              <w:divBdr>
                <w:top w:val="none" w:sz="0" w:space="0" w:color="auto"/>
                <w:left w:val="none" w:sz="0" w:space="0" w:color="auto"/>
                <w:bottom w:val="none" w:sz="0" w:space="0" w:color="auto"/>
                <w:right w:val="none" w:sz="0" w:space="0" w:color="auto"/>
              </w:divBdr>
            </w:div>
          </w:divsChild>
        </w:div>
        <w:div w:id="1813137500">
          <w:marLeft w:val="0"/>
          <w:marRight w:val="0"/>
          <w:marTop w:val="0"/>
          <w:marBottom w:val="0"/>
          <w:divBdr>
            <w:top w:val="none" w:sz="0" w:space="0" w:color="auto"/>
            <w:left w:val="none" w:sz="0" w:space="0" w:color="auto"/>
            <w:bottom w:val="none" w:sz="0" w:space="0" w:color="auto"/>
            <w:right w:val="none" w:sz="0" w:space="0" w:color="auto"/>
          </w:divBdr>
          <w:divsChild>
            <w:div w:id="8688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3926">
      <w:bodyDiv w:val="1"/>
      <w:marLeft w:val="0"/>
      <w:marRight w:val="0"/>
      <w:marTop w:val="0"/>
      <w:marBottom w:val="0"/>
      <w:divBdr>
        <w:top w:val="none" w:sz="0" w:space="0" w:color="auto"/>
        <w:left w:val="none" w:sz="0" w:space="0" w:color="auto"/>
        <w:bottom w:val="none" w:sz="0" w:space="0" w:color="auto"/>
        <w:right w:val="none" w:sz="0" w:space="0" w:color="auto"/>
      </w:divBdr>
    </w:div>
    <w:div w:id="934098198">
      <w:bodyDiv w:val="1"/>
      <w:marLeft w:val="0"/>
      <w:marRight w:val="0"/>
      <w:marTop w:val="0"/>
      <w:marBottom w:val="0"/>
      <w:divBdr>
        <w:top w:val="none" w:sz="0" w:space="0" w:color="auto"/>
        <w:left w:val="none" w:sz="0" w:space="0" w:color="auto"/>
        <w:bottom w:val="none" w:sz="0" w:space="0" w:color="auto"/>
        <w:right w:val="none" w:sz="0" w:space="0" w:color="auto"/>
      </w:divBdr>
    </w:div>
    <w:div w:id="950207478">
      <w:bodyDiv w:val="1"/>
      <w:marLeft w:val="0"/>
      <w:marRight w:val="0"/>
      <w:marTop w:val="0"/>
      <w:marBottom w:val="0"/>
      <w:divBdr>
        <w:top w:val="none" w:sz="0" w:space="0" w:color="auto"/>
        <w:left w:val="none" w:sz="0" w:space="0" w:color="auto"/>
        <w:bottom w:val="none" w:sz="0" w:space="0" w:color="auto"/>
        <w:right w:val="none" w:sz="0" w:space="0" w:color="auto"/>
      </w:divBdr>
      <w:divsChild>
        <w:div w:id="510411095">
          <w:marLeft w:val="0"/>
          <w:marRight w:val="0"/>
          <w:marTop w:val="0"/>
          <w:marBottom w:val="0"/>
          <w:divBdr>
            <w:top w:val="none" w:sz="0" w:space="0" w:color="auto"/>
            <w:left w:val="none" w:sz="0" w:space="0" w:color="auto"/>
            <w:bottom w:val="none" w:sz="0" w:space="0" w:color="auto"/>
            <w:right w:val="none" w:sz="0" w:space="0" w:color="auto"/>
          </w:divBdr>
          <w:divsChild>
            <w:div w:id="840630556">
              <w:marLeft w:val="720"/>
              <w:marRight w:val="0"/>
              <w:marTop w:val="0"/>
              <w:marBottom w:val="0"/>
              <w:divBdr>
                <w:top w:val="none" w:sz="0" w:space="0" w:color="auto"/>
                <w:left w:val="none" w:sz="0" w:space="0" w:color="auto"/>
                <w:bottom w:val="none" w:sz="0" w:space="0" w:color="auto"/>
                <w:right w:val="none" w:sz="0" w:space="0" w:color="auto"/>
              </w:divBdr>
            </w:div>
          </w:divsChild>
        </w:div>
        <w:div w:id="656806169">
          <w:marLeft w:val="0"/>
          <w:marRight w:val="0"/>
          <w:marTop w:val="0"/>
          <w:marBottom w:val="0"/>
          <w:divBdr>
            <w:top w:val="none" w:sz="0" w:space="0" w:color="auto"/>
            <w:left w:val="none" w:sz="0" w:space="0" w:color="auto"/>
            <w:bottom w:val="none" w:sz="0" w:space="0" w:color="auto"/>
            <w:right w:val="none" w:sz="0" w:space="0" w:color="auto"/>
          </w:divBdr>
          <w:divsChild>
            <w:div w:id="145825992">
              <w:marLeft w:val="720"/>
              <w:marRight w:val="0"/>
              <w:marTop w:val="0"/>
              <w:marBottom w:val="0"/>
              <w:divBdr>
                <w:top w:val="none" w:sz="0" w:space="0" w:color="auto"/>
                <w:left w:val="none" w:sz="0" w:space="0" w:color="auto"/>
                <w:bottom w:val="none" w:sz="0" w:space="0" w:color="auto"/>
                <w:right w:val="none" w:sz="0" w:space="0" w:color="auto"/>
              </w:divBdr>
            </w:div>
          </w:divsChild>
        </w:div>
        <w:div w:id="1314062647">
          <w:marLeft w:val="0"/>
          <w:marRight w:val="0"/>
          <w:marTop w:val="0"/>
          <w:marBottom w:val="0"/>
          <w:divBdr>
            <w:top w:val="none" w:sz="0" w:space="0" w:color="auto"/>
            <w:left w:val="none" w:sz="0" w:space="0" w:color="auto"/>
            <w:bottom w:val="none" w:sz="0" w:space="0" w:color="auto"/>
            <w:right w:val="none" w:sz="0" w:space="0" w:color="auto"/>
          </w:divBdr>
          <w:divsChild>
            <w:div w:id="173758629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984043932">
      <w:bodyDiv w:val="1"/>
      <w:marLeft w:val="0"/>
      <w:marRight w:val="0"/>
      <w:marTop w:val="0"/>
      <w:marBottom w:val="0"/>
      <w:divBdr>
        <w:top w:val="none" w:sz="0" w:space="0" w:color="auto"/>
        <w:left w:val="none" w:sz="0" w:space="0" w:color="auto"/>
        <w:bottom w:val="none" w:sz="0" w:space="0" w:color="auto"/>
        <w:right w:val="none" w:sz="0" w:space="0" w:color="auto"/>
      </w:divBdr>
      <w:divsChild>
        <w:div w:id="1284071613">
          <w:marLeft w:val="0"/>
          <w:marRight w:val="0"/>
          <w:marTop w:val="0"/>
          <w:marBottom w:val="0"/>
          <w:divBdr>
            <w:top w:val="none" w:sz="0" w:space="0" w:color="auto"/>
            <w:left w:val="none" w:sz="0" w:space="0" w:color="auto"/>
            <w:bottom w:val="none" w:sz="0" w:space="0" w:color="auto"/>
            <w:right w:val="none" w:sz="0" w:space="0" w:color="auto"/>
          </w:divBdr>
          <w:divsChild>
            <w:div w:id="1598707763">
              <w:marLeft w:val="720"/>
              <w:marRight w:val="0"/>
              <w:marTop w:val="0"/>
              <w:marBottom w:val="0"/>
              <w:divBdr>
                <w:top w:val="none" w:sz="0" w:space="0" w:color="auto"/>
                <w:left w:val="none" w:sz="0" w:space="0" w:color="auto"/>
                <w:bottom w:val="none" w:sz="0" w:space="0" w:color="auto"/>
                <w:right w:val="none" w:sz="0" w:space="0" w:color="auto"/>
              </w:divBdr>
            </w:div>
          </w:divsChild>
        </w:div>
        <w:div w:id="1383947116">
          <w:marLeft w:val="0"/>
          <w:marRight w:val="0"/>
          <w:marTop w:val="0"/>
          <w:marBottom w:val="0"/>
          <w:divBdr>
            <w:top w:val="none" w:sz="0" w:space="0" w:color="auto"/>
            <w:left w:val="none" w:sz="0" w:space="0" w:color="auto"/>
            <w:bottom w:val="none" w:sz="0" w:space="0" w:color="auto"/>
            <w:right w:val="none" w:sz="0" w:space="0" w:color="auto"/>
          </w:divBdr>
          <w:divsChild>
            <w:div w:id="1400709318">
              <w:marLeft w:val="720"/>
              <w:marRight w:val="0"/>
              <w:marTop w:val="0"/>
              <w:marBottom w:val="0"/>
              <w:divBdr>
                <w:top w:val="none" w:sz="0" w:space="0" w:color="auto"/>
                <w:left w:val="none" w:sz="0" w:space="0" w:color="auto"/>
                <w:bottom w:val="none" w:sz="0" w:space="0" w:color="auto"/>
                <w:right w:val="none" w:sz="0" w:space="0" w:color="auto"/>
              </w:divBdr>
            </w:div>
          </w:divsChild>
        </w:div>
        <w:div w:id="1821341562">
          <w:marLeft w:val="0"/>
          <w:marRight w:val="0"/>
          <w:marTop w:val="0"/>
          <w:marBottom w:val="0"/>
          <w:divBdr>
            <w:top w:val="none" w:sz="0" w:space="0" w:color="auto"/>
            <w:left w:val="none" w:sz="0" w:space="0" w:color="auto"/>
            <w:bottom w:val="none" w:sz="0" w:space="0" w:color="auto"/>
            <w:right w:val="none" w:sz="0" w:space="0" w:color="auto"/>
          </w:divBdr>
          <w:divsChild>
            <w:div w:id="146265520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283269486">
      <w:bodyDiv w:val="1"/>
      <w:marLeft w:val="0"/>
      <w:marRight w:val="0"/>
      <w:marTop w:val="0"/>
      <w:marBottom w:val="0"/>
      <w:divBdr>
        <w:top w:val="none" w:sz="0" w:space="0" w:color="auto"/>
        <w:left w:val="none" w:sz="0" w:space="0" w:color="auto"/>
        <w:bottom w:val="none" w:sz="0" w:space="0" w:color="auto"/>
        <w:right w:val="none" w:sz="0" w:space="0" w:color="auto"/>
      </w:divBdr>
      <w:divsChild>
        <w:div w:id="73549390">
          <w:marLeft w:val="0"/>
          <w:marRight w:val="0"/>
          <w:marTop w:val="0"/>
          <w:marBottom w:val="0"/>
          <w:divBdr>
            <w:top w:val="none" w:sz="0" w:space="0" w:color="auto"/>
            <w:left w:val="none" w:sz="0" w:space="0" w:color="auto"/>
            <w:bottom w:val="none" w:sz="0" w:space="0" w:color="auto"/>
            <w:right w:val="none" w:sz="0" w:space="0" w:color="auto"/>
          </w:divBdr>
        </w:div>
        <w:div w:id="143669757">
          <w:marLeft w:val="0"/>
          <w:marRight w:val="0"/>
          <w:marTop w:val="0"/>
          <w:marBottom w:val="0"/>
          <w:divBdr>
            <w:top w:val="none" w:sz="0" w:space="0" w:color="auto"/>
            <w:left w:val="none" w:sz="0" w:space="0" w:color="auto"/>
            <w:bottom w:val="none" w:sz="0" w:space="0" w:color="auto"/>
            <w:right w:val="none" w:sz="0" w:space="0" w:color="auto"/>
          </w:divBdr>
        </w:div>
        <w:div w:id="746848792">
          <w:marLeft w:val="0"/>
          <w:marRight w:val="0"/>
          <w:marTop w:val="0"/>
          <w:marBottom w:val="0"/>
          <w:divBdr>
            <w:top w:val="none" w:sz="0" w:space="0" w:color="auto"/>
            <w:left w:val="none" w:sz="0" w:space="0" w:color="auto"/>
            <w:bottom w:val="none" w:sz="0" w:space="0" w:color="auto"/>
            <w:right w:val="none" w:sz="0" w:space="0" w:color="auto"/>
          </w:divBdr>
        </w:div>
        <w:div w:id="1041440762">
          <w:marLeft w:val="0"/>
          <w:marRight w:val="0"/>
          <w:marTop w:val="0"/>
          <w:marBottom w:val="0"/>
          <w:divBdr>
            <w:top w:val="none" w:sz="0" w:space="0" w:color="auto"/>
            <w:left w:val="none" w:sz="0" w:space="0" w:color="auto"/>
            <w:bottom w:val="none" w:sz="0" w:space="0" w:color="auto"/>
            <w:right w:val="none" w:sz="0" w:space="0" w:color="auto"/>
          </w:divBdr>
        </w:div>
        <w:div w:id="1065878861">
          <w:marLeft w:val="0"/>
          <w:marRight w:val="0"/>
          <w:marTop w:val="0"/>
          <w:marBottom w:val="0"/>
          <w:divBdr>
            <w:top w:val="none" w:sz="0" w:space="0" w:color="auto"/>
            <w:left w:val="none" w:sz="0" w:space="0" w:color="auto"/>
            <w:bottom w:val="none" w:sz="0" w:space="0" w:color="auto"/>
            <w:right w:val="none" w:sz="0" w:space="0" w:color="auto"/>
          </w:divBdr>
        </w:div>
        <w:div w:id="1110507726">
          <w:marLeft w:val="0"/>
          <w:marRight w:val="0"/>
          <w:marTop w:val="0"/>
          <w:marBottom w:val="0"/>
          <w:divBdr>
            <w:top w:val="none" w:sz="0" w:space="0" w:color="auto"/>
            <w:left w:val="none" w:sz="0" w:space="0" w:color="auto"/>
            <w:bottom w:val="none" w:sz="0" w:space="0" w:color="auto"/>
            <w:right w:val="none" w:sz="0" w:space="0" w:color="auto"/>
          </w:divBdr>
        </w:div>
        <w:div w:id="1338730653">
          <w:marLeft w:val="0"/>
          <w:marRight w:val="0"/>
          <w:marTop w:val="0"/>
          <w:marBottom w:val="0"/>
          <w:divBdr>
            <w:top w:val="none" w:sz="0" w:space="0" w:color="auto"/>
            <w:left w:val="none" w:sz="0" w:space="0" w:color="auto"/>
            <w:bottom w:val="none" w:sz="0" w:space="0" w:color="auto"/>
            <w:right w:val="none" w:sz="0" w:space="0" w:color="auto"/>
          </w:divBdr>
        </w:div>
        <w:div w:id="1379813636">
          <w:marLeft w:val="0"/>
          <w:marRight w:val="0"/>
          <w:marTop w:val="0"/>
          <w:marBottom w:val="0"/>
          <w:divBdr>
            <w:top w:val="none" w:sz="0" w:space="0" w:color="auto"/>
            <w:left w:val="none" w:sz="0" w:space="0" w:color="auto"/>
            <w:bottom w:val="none" w:sz="0" w:space="0" w:color="auto"/>
            <w:right w:val="none" w:sz="0" w:space="0" w:color="auto"/>
          </w:divBdr>
        </w:div>
        <w:div w:id="1509516183">
          <w:marLeft w:val="0"/>
          <w:marRight w:val="0"/>
          <w:marTop w:val="0"/>
          <w:marBottom w:val="0"/>
          <w:divBdr>
            <w:top w:val="none" w:sz="0" w:space="0" w:color="auto"/>
            <w:left w:val="none" w:sz="0" w:space="0" w:color="auto"/>
            <w:bottom w:val="none" w:sz="0" w:space="0" w:color="auto"/>
            <w:right w:val="none" w:sz="0" w:space="0" w:color="auto"/>
          </w:divBdr>
        </w:div>
        <w:div w:id="1738894463">
          <w:marLeft w:val="0"/>
          <w:marRight w:val="0"/>
          <w:marTop w:val="0"/>
          <w:marBottom w:val="0"/>
          <w:divBdr>
            <w:top w:val="none" w:sz="0" w:space="0" w:color="auto"/>
            <w:left w:val="none" w:sz="0" w:space="0" w:color="auto"/>
            <w:bottom w:val="none" w:sz="0" w:space="0" w:color="auto"/>
            <w:right w:val="none" w:sz="0" w:space="0" w:color="auto"/>
          </w:divBdr>
        </w:div>
        <w:div w:id="1870143243">
          <w:marLeft w:val="0"/>
          <w:marRight w:val="0"/>
          <w:marTop w:val="0"/>
          <w:marBottom w:val="0"/>
          <w:divBdr>
            <w:top w:val="none" w:sz="0" w:space="0" w:color="auto"/>
            <w:left w:val="none" w:sz="0" w:space="0" w:color="auto"/>
            <w:bottom w:val="none" w:sz="0" w:space="0" w:color="auto"/>
            <w:right w:val="none" w:sz="0" w:space="0" w:color="auto"/>
          </w:divBdr>
        </w:div>
        <w:div w:id="1928339474">
          <w:marLeft w:val="0"/>
          <w:marRight w:val="0"/>
          <w:marTop w:val="0"/>
          <w:marBottom w:val="0"/>
          <w:divBdr>
            <w:top w:val="none" w:sz="0" w:space="0" w:color="auto"/>
            <w:left w:val="none" w:sz="0" w:space="0" w:color="auto"/>
            <w:bottom w:val="none" w:sz="0" w:space="0" w:color="auto"/>
            <w:right w:val="none" w:sz="0" w:space="0" w:color="auto"/>
          </w:divBdr>
        </w:div>
        <w:div w:id="2126263750">
          <w:marLeft w:val="0"/>
          <w:marRight w:val="0"/>
          <w:marTop w:val="0"/>
          <w:marBottom w:val="0"/>
          <w:divBdr>
            <w:top w:val="none" w:sz="0" w:space="0" w:color="auto"/>
            <w:left w:val="none" w:sz="0" w:space="0" w:color="auto"/>
            <w:bottom w:val="none" w:sz="0" w:space="0" w:color="auto"/>
            <w:right w:val="none" w:sz="0" w:space="0" w:color="auto"/>
          </w:divBdr>
        </w:div>
      </w:divsChild>
    </w:div>
    <w:div w:id="1333528745">
      <w:bodyDiv w:val="1"/>
      <w:marLeft w:val="0"/>
      <w:marRight w:val="0"/>
      <w:marTop w:val="0"/>
      <w:marBottom w:val="0"/>
      <w:divBdr>
        <w:top w:val="none" w:sz="0" w:space="0" w:color="auto"/>
        <w:left w:val="none" w:sz="0" w:space="0" w:color="auto"/>
        <w:bottom w:val="none" w:sz="0" w:space="0" w:color="auto"/>
        <w:right w:val="none" w:sz="0" w:space="0" w:color="auto"/>
      </w:divBdr>
      <w:divsChild>
        <w:div w:id="1829011063">
          <w:marLeft w:val="0"/>
          <w:marRight w:val="0"/>
          <w:marTop w:val="0"/>
          <w:marBottom w:val="0"/>
          <w:divBdr>
            <w:top w:val="none" w:sz="0" w:space="0" w:color="auto"/>
            <w:left w:val="none" w:sz="0" w:space="0" w:color="auto"/>
            <w:bottom w:val="none" w:sz="0" w:space="0" w:color="auto"/>
            <w:right w:val="none" w:sz="0" w:space="0" w:color="auto"/>
          </w:divBdr>
          <w:divsChild>
            <w:div w:id="2045594815">
              <w:marLeft w:val="0"/>
              <w:marRight w:val="0"/>
              <w:marTop w:val="0"/>
              <w:marBottom w:val="0"/>
              <w:divBdr>
                <w:top w:val="none" w:sz="0" w:space="0" w:color="auto"/>
                <w:left w:val="none" w:sz="0" w:space="0" w:color="auto"/>
                <w:bottom w:val="none" w:sz="0" w:space="0" w:color="auto"/>
                <w:right w:val="none" w:sz="0" w:space="0" w:color="auto"/>
              </w:divBdr>
            </w:div>
          </w:divsChild>
        </w:div>
        <w:div w:id="2016111293">
          <w:marLeft w:val="0"/>
          <w:marRight w:val="0"/>
          <w:marTop w:val="0"/>
          <w:marBottom w:val="0"/>
          <w:divBdr>
            <w:top w:val="none" w:sz="0" w:space="0" w:color="auto"/>
            <w:left w:val="none" w:sz="0" w:space="0" w:color="auto"/>
            <w:bottom w:val="none" w:sz="0" w:space="0" w:color="auto"/>
            <w:right w:val="none" w:sz="0" w:space="0" w:color="auto"/>
          </w:divBdr>
        </w:div>
      </w:divsChild>
    </w:div>
    <w:div w:id="1444308063">
      <w:bodyDiv w:val="1"/>
      <w:marLeft w:val="0"/>
      <w:marRight w:val="0"/>
      <w:marTop w:val="0"/>
      <w:marBottom w:val="0"/>
      <w:divBdr>
        <w:top w:val="none" w:sz="0" w:space="0" w:color="auto"/>
        <w:left w:val="none" w:sz="0" w:space="0" w:color="auto"/>
        <w:bottom w:val="none" w:sz="0" w:space="0" w:color="auto"/>
        <w:right w:val="none" w:sz="0" w:space="0" w:color="auto"/>
      </w:divBdr>
    </w:div>
    <w:div w:id="1488664284">
      <w:bodyDiv w:val="1"/>
      <w:marLeft w:val="0"/>
      <w:marRight w:val="0"/>
      <w:marTop w:val="0"/>
      <w:marBottom w:val="0"/>
      <w:divBdr>
        <w:top w:val="none" w:sz="0" w:space="0" w:color="auto"/>
        <w:left w:val="none" w:sz="0" w:space="0" w:color="auto"/>
        <w:bottom w:val="none" w:sz="0" w:space="0" w:color="auto"/>
        <w:right w:val="none" w:sz="0" w:space="0" w:color="auto"/>
      </w:divBdr>
      <w:divsChild>
        <w:div w:id="434374425">
          <w:marLeft w:val="0"/>
          <w:marRight w:val="0"/>
          <w:marTop w:val="0"/>
          <w:marBottom w:val="0"/>
          <w:divBdr>
            <w:top w:val="none" w:sz="0" w:space="0" w:color="auto"/>
            <w:left w:val="none" w:sz="0" w:space="0" w:color="auto"/>
            <w:bottom w:val="none" w:sz="0" w:space="0" w:color="auto"/>
            <w:right w:val="none" w:sz="0" w:space="0" w:color="auto"/>
          </w:divBdr>
          <w:divsChild>
            <w:div w:id="1455631660">
              <w:marLeft w:val="0"/>
              <w:marRight w:val="0"/>
              <w:marTop w:val="0"/>
              <w:marBottom w:val="0"/>
              <w:divBdr>
                <w:top w:val="none" w:sz="0" w:space="0" w:color="auto"/>
                <w:left w:val="none" w:sz="0" w:space="0" w:color="auto"/>
                <w:bottom w:val="none" w:sz="0" w:space="0" w:color="auto"/>
                <w:right w:val="none" w:sz="0" w:space="0" w:color="auto"/>
              </w:divBdr>
            </w:div>
            <w:div w:id="1698703047">
              <w:marLeft w:val="0"/>
              <w:marRight w:val="0"/>
              <w:marTop w:val="0"/>
              <w:marBottom w:val="0"/>
              <w:divBdr>
                <w:top w:val="none" w:sz="0" w:space="0" w:color="auto"/>
                <w:left w:val="none" w:sz="0" w:space="0" w:color="auto"/>
                <w:bottom w:val="none" w:sz="0" w:space="0" w:color="auto"/>
                <w:right w:val="none" w:sz="0" w:space="0" w:color="auto"/>
              </w:divBdr>
              <w:divsChild>
                <w:div w:id="1999842653">
                  <w:marLeft w:val="0"/>
                  <w:marRight w:val="0"/>
                  <w:marTop w:val="0"/>
                  <w:marBottom w:val="0"/>
                  <w:divBdr>
                    <w:top w:val="none" w:sz="0" w:space="0" w:color="auto"/>
                    <w:left w:val="none" w:sz="0" w:space="0" w:color="auto"/>
                    <w:bottom w:val="none" w:sz="0" w:space="0" w:color="auto"/>
                    <w:right w:val="none" w:sz="0" w:space="0" w:color="auto"/>
                  </w:divBdr>
                </w:div>
              </w:divsChild>
            </w:div>
            <w:div w:id="1759055687">
              <w:marLeft w:val="0"/>
              <w:marRight w:val="0"/>
              <w:marTop w:val="0"/>
              <w:marBottom w:val="0"/>
              <w:divBdr>
                <w:top w:val="none" w:sz="0" w:space="0" w:color="auto"/>
                <w:left w:val="none" w:sz="0" w:space="0" w:color="auto"/>
                <w:bottom w:val="none" w:sz="0" w:space="0" w:color="auto"/>
                <w:right w:val="none" w:sz="0" w:space="0" w:color="auto"/>
              </w:divBdr>
              <w:divsChild>
                <w:div w:id="84548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9296">
          <w:marLeft w:val="0"/>
          <w:marRight w:val="0"/>
          <w:marTop w:val="0"/>
          <w:marBottom w:val="0"/>
          <w:divBdr>
            <w:top w:val="none" w:sz="0" w:space="0" w:color="auto"/>
            <w:left w:val="none" w:sz="0" w:space="0" w:color="auto"/>
            <w:bottom w:val="none" w:sz="0" w:space="0" w:color="auto"/>
            <w:right w:val="none" w:sz="0" w:space="0" w:color="auto"/>
          </w:divBdr>
          <w:divsChild>
            <w:div w:id="6096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0065">
      <w:bodyDiv w:val="1"/>
      <w:marLeft w:val="0"/>
      <w:marRight w:val="0"/>
      <w:marTop w:val="0"/>
      <w:marBottom w:val="0"/>
      <w:divBdr>
        <w:top w:val="none" w:sz="0" w:space="0" w:color="auto"/>
        <w:left w:val="none" w:sz="0" w:space="0" w:color="auto"/>
        <w:bottom w:val="none" w:sz="0" w:space="0" w:color="auto"/>
        <w:right w:val="none" w:sz="0" w:space="0" w:color="auto"/>
      </w:divBdr>
    </w:div>
    <w:div w:id="1667971724">
      <w:bodyDiv w:val="1"/>
      <w:marLeft w:val="0"/>
      <w:marRight w:val="0"/>
      <w:marTop w:val="0"/>
      <w:marBottom w:val="0"/>
      <w:divBdr>
        <w:top w:val="none" w:sz="0" w:space="0" w:color="auto"/>
        <w:left w:val="none" w:sz="0" w:space="0" w:color="auto"/>
        <w:bottom w:val="none" w:sz="0" w:space="0" w:color="auto"/>
        <w:right w:val="none" w:sz="0" w:space="0" w:color="auto"/>
      </w:divBdr>
      <w:divsChild>
        <w:div w:id="23214780">
          <w:marLeft w:val="0"/>
          <w:marRight w:val="0"/>
          <w:marTop w:val="0"/>
          <w:marBottom w:val="0"/>
          <w:divBdr>
            <w:top w:val="none" w:sz="0" w:space="0" w:color="auto"/>
            <w:left w:val="none" w:sz="0" w:space="0" w:color="auto"/>
            <w:bottom w:val="none" w:sz="0" w:space="0" w:color="auto"/>
            <w:right w:val="none" w:sz="0" w:space="0" w:color="auto"/>
          </w:divBdr>
        </w:div>
        <w:div w:id="60182383">
          <w:marLeft w:val="0"/>
          <w:marRight w:val="0"/>
          <w:marTop w:val="0"/>
          <w:marBottom w:val="0"/>
          <w:divBdr>
            <w:top w:val="none" w:sz="0" w:space="0" w:color="auto"/>
            <w:left w:val="none" w:sz="0" w:space="0" w:color="auto"/>
            <w:bottom w:val="none" w:sz="0" w:space="0" w:color="auto"/>
            <w:right w:val="none" w:sz="0" w:space="0" w:color="auto"/>
          </w:divBdr>
        </w:div>
        <w:div w:id="64304923">
          <w:marLeft w:val="0"/>
          <w:marRight w:val="0"/>
          <w:marTop w:val="0"/>
          <w:marBottom w:val="0"/>
          <w:divBdr>
            <w:top w:val="none" w:sz="0" w:space="0" w:color="auto"/>
            <w:left w:val="none" w:sz="0" w:space="0" w:color="auto"/>
            <w:bottom w:val="none" w:sz="0" w:space="0" w:color="auto"/>
            <w:right w:val="none" w:sz="0" w:space="0" w:color="auto"/>
          </w:divBdr>
        </w:div>
        <w:div w:id="76441964">
          <w:marLeft w:val="0"/>
          <w:marRight w:val="0"/>
          <w:marTop w:val="0"/>
          <w:marBottom w:val="0"/>
          <w:divBdr>
            <w:top w:val="none" w:sz="0" w:space="0" w:color="auto"/>
            <w:left w:val="none" w:sz="0" w:space="0" w:color="auto"/>
            <w:bottom w:val="none" w:sz="0" w:space="0" w:color="auto"/>
            <w:right w:val="none" w:sz="0" w:space="0" w:color="auto"/>
          </w:divBdr>
        </w:div>
        <w:div w:id="126093117">
          <w:marLeft w:val="0"/>
          <w:marRight w:val="0"/>
          <w:marTop w:val="0"/>
          <w:marBottom w:val="0"/>
          <w:divBdr>
            <w:top w:val="none" w:sz="0" w:space="0" w:color="auto"/>
            <w:left w:val="none" w:sz="0" w:space="0" w:color="auto"/>
            <w:bottom w:val="none" w:sz="0" w:space="0" w:color="auto"/>
            <w:right w:val="none" w:sz="0" w:space="0" w:color="auto"/>
          </w:divBdr>
        </w:div>
        <w:div w:id="198443070">
          <w:marLeft w:val="0"/>
          <w:marRight w:val="0"/>
          <w:marTop w:val="0"/>
          <w:marBottom w:val="0"/>
          <w:divBdr>
            <w:top w:val="none" w:sz="0" w:space="0" w:color="auto"/>
            <w:left w:val="none" w:sz="0" w:space="0" w:color="auto"/>
            <w:bottom w:val="none" w:sz="0" w:space="0" w:color="auto"/>
            <w:right w:val="none" w:sz="0" w:space="0" w:color="auto"/>
          </w:divBdr>
        </w:div>
        <w:div w:id="218833860">
          <w:marLeft w:val="0"/>
          <w:marRight w:val="0"/>
          <w:marTop w:val="0"/>
          <w:marBottom w:val="0"/>
          <w:divBdr>
            <w:top w:val="none" w:sz="0" w:space="0" w:color="auto"/>
            <w:left w:val="none" w:sz="0" w:space="0" w:color="auto"/>
            <w:bottom w:val="none" w:sz="0" w:space="0" w:color="auto"/>
            <w:right w:val="none" w:sz="0" w:space="0" w:color="auto"/>
          </w:divBdr>
        </w:div>
        <w:div w:id="368725318">
          <w:marLeft w:val="0"/>
          <w:marRight w:val="0"/>
          <w:marTop w:val="0"/>
          <w:marBottom w:val="0"/>
          <w:divBdr>
            <w:top w:val="none" w:sz="0" w:space="0" w:color="auto"/>
            <w:left w:val="none" w:sz="0" w:space="0" w:color="auto"/>
            <w:bottom w:val="none" w:sz="0" w:space="0" w:color="auto"/>
            <w:right w:val="none" w:sz="0" w:space="0" w:color="auto"/>
          </w:divBdr>
        </w:div>
        <w:div w:id="403112316">
          <w:marLeft w:val="0"/>
          <w:marRight w:val="0"/>
          <w:marTop w:val="0"/>
          <w:marBottom w:val="0"/>
          <w:divBdr>
            <w:top w:val="none" w:sz="0" w:space="0" w:color="auto"/>
            <w:left w:val="none" w:sz="0" w:space="0" w:color="auto"/>
            <w:bottom w:val="none" w:sz="0" w:space="0" w:color="auto"/>
            <w:right w:val="none" w:sz="0" w:space="0" w:color="auto"/>
          </w:divBdr>
        </w:div>
        <w:div w:id="410321126">
          <w:marLeft w:val="0"/>
          <w:marRight w:val="0"/>
          <w:marTop w:val="0"/>
          <w:marBottom w:val="0"/>
          <w:divBdr>
            <w:top w:val="none" w:sz="0" w:space="0" w:color="auto"/>
            <w:left w:val="none" w:sz="0" w:space="0" w:color="auto"/>
            <w:bottom w:val="none" w:sz="0" w:space="0" w:color="auto"/>
            <w:right w:val="none" w:sz="0" w:space="0" w:color="auto"/>
          </w:divBdr>
        </w:div>
        <w:div w:id="518814513">
          <w:marLeft w:val="0"/>
          <w:marRight w:val="0"/>
          <w:marTop w:val="0"/>
          <w:marBottom w:val="0"/>
          <w:divBdr>
            <w:top w:val="none" w:sz="0" w:space="0" w:color="auto"/>
            <w:left w:val="none" w:sz="0" w:space="0" w:color="auto"/>
            <w:bottom w:val="none" w:sz="0" w:space="0" w:color="auto"/>
            <w:right w:val="none" w:sz="0" w:space="0" w:color="auto"/>
          </w:divBdr>
        </w:div>
        <w:div w:id="580023333">
          <w:marLeft w:val="0"/>
          <w:marRight w:val="0"/>
          <w:marTop w:val="0"/>
          <w:marBottom w:val="0"/>
          <w:divBdr>
            <w:top w:val="none" w:sz="0" w:space="0" w:color="auto"/>
            <w:left w:val="none" w:sz="0" w:space="0" w:color="auto"/>
            <w:bottom w:val="none" w:sz="0" w:space="0" w:color="auto"/>
            <w:right w:val="none" w:sz="0" w:space="0" w:color="auto"/>
          </w:divBdr>
        </w:div>
        <w:div w:id="582571271">
          <w:marLeft w:val="0"/>
          <w:marRight w:val="0"/>
          <w:marTop w:val="0"/>
          <w:marBottom w:val="0"/>
          <w:divBdr>
            <w:top w:val="none" w:sz="0" w:space="0" w:color="auto"/>
            <w:left w:val="none" w:sz="0" w:space="0" w:color="auto"/>
            <w:bottom w:val="none" w:sz="0" w:space="0" w:color="auto"/>
            <w:right w:val="none" w:sz="0" w:space="0" w:color="auto"/>
          </w:divBdr>
        </w:div>
        <w:div w:id="633873640">
          <w:marLeft w:val="0"/>
          <w:marRight w:val="0"/>
          <w:marTop w:val="0"/>
          <w:marBottom w:val="0"/>
          <w:divBdr>
            <w:top w:val="none" w:sz="0" w:space="0" w:color="auto"/>
            <w:left w:val="none" w:sz="0" w:space="0" w:color="auto"/>
            <w:bottom w:val="none" w:sz="0" w:space="0" w:color="auto"/>
            <w:right w:val="none" w:sz="0" w:space="0" w:color="auto"/>
          </w:divBdr>
        </w:div>
        <w:div w:id="736784551">
          <w:marLeft w:val="0"/>
          <w:marRight w:val="0"/>
          <w:marTop w:val="0"/>
          <w:marBottom w:val="0"/>
          <w:divBdr>
            <w:top w:val="none" w:sz="0" w:space="0" w:color="auto"/>
            <w:left w:val="none" w:sz="0" w:space="0" w:color="auto"/>
            <w:bottom w:val="none" w:sz="0" w:space="0" w:color="auto"/>
            <w:right w:val="none" w:sz="0" w:space="0" w:color="auto"/>
          </w:divBdr>
        </w:div>
        <w:div w:id="757869107">
          <w:marLeft w:val="0"/>
          <w:marRight w:val="0"/>
          <w:marTop w:val="0"/>
          <w:marBottom w:val="0"/>
          <w:divBdr>
            <w:top w:val="none" w:sz="0" w:space="0" w:color="auto"/>
            <w:left w:val="none" w:sz="0" w:space="0" w:color="auto"/>
            <w:bottom w:val="none" w:sz="0" w:space="0" w:color="auto"/>
            <w:right w:val="none" w:sz="0" w:space="0" w:color="auto"/>
          </w:divBdr>
        </w:div>
        <w:div w:id="1228222078">
          <w:marLeft w:val="0"/>
          <w:marRight w:val="0"/>
          <w:marTop w:val="0"/>
          <w:marBottom w:val="0"/>
          <w:divBdr>
            <w:top w:val="none" w:sz="0" w:space="0" w:color="auto"/>
            <w:left w:val="none" w:sz="0" w:space="0" w:color="auto"/>
            <w:bottom w:val="none" w:sz="0" w:space="0" w:color="auto"/>
            <w:right w:val="none" w:sz="0" w:space="0" w:color="auto"/>
          </w:divBdr>
        </w:div>
        <w:div w:id="1230383257">
          <w:marLeft w:val="0"/>
          <w:marRight w:val="0"/>
          <w:marTop w:val="0"/>
          <w:marBottom w:val="0"/>
          <w:divBdr>
            <w:top w:val="none" w:sz="0" w:space="0" w:color="auto"/>
            <w:left w:val="none" w:sz="0" w:space="0" w:color="auto"/>
            <w:bottom w:val="none" w:sz="0" w:space="0" w:color="auto"/>
            <w:right w:val="none" w:sz="0" w:space="0" w:color="auto"/>
          </w:divBdr>
        </w:div>
        <w:div w:id="1244292030">
          <w:marLeft w:val="0"/>
          <w:marRight w:val="0"/>
          <w:marTop w:val="0"/>
          <w:marBottom w:val="0"/>
          <w:divBdr>
            <w:top w:val="none" w:sz="0" w:space="0" w:color="auto"/>
            <w:left w:val="none" w:sz="0" w:space="0" w:color="auto"/>
            <w:bottom w:val="none" w:sz="0" w:space="0" w:color="auto"/>
            <w:right w:val="none" w:sz="0" w:space="0" w:color="auto"/>
          </w:divBdr>
        </w:div>
        <w:div w:id="1570921336">
          <w:marLeft w:val="0"/>
          <w:marRight w:val="0"/>
          <w:marTop w:val="0"/>
          <w:marBottom w:val="0"/>
          <w:divBdr>
            <w:top w:val="none" w:sz="0" w:space="0" w:color="auto"/>
            <w:left w:val="none" w:sz="0" w:space="0" w:color="auto"/>
            <w:bottom w:val="none" w:sz="0" w:space="0" w:color="auto"/>
            <w:right w:val="none" w:sz="0" w:space="0" w:color="auto"/>
          </w:divBdr>
        </w:div>
        <w:div w:id="1579512986">
          <w:marLeft w:val="0"/>
          <w:marRight w:val="0"/>
          <w:marTop w:val="0"/>
          <w:marBottom w:val="0"/>
          <w:divBdr>
            <w:top w:val="none" w:sz="0" w:space="0" w:color="auto"/>
            <w:left w:val="none" w:sz="0" w:space="0" w:color="auto"/>
            <w:bottom w:val="none" w:sz="0" w:space="0" w:color="auto"/>
            <w:right w:val="none" w:sz="0" w:space="0" w:color="auto"/>
          </w:divBdr>
        </w:div>
        <w:div w:id="1644701916">
          <w:marLeft w:val="0"/>
          <w:marRight w:val="0"/>
          <w:marTop w:val="0"/>
          <w:marBottom w:val="0"/>
          <w:divBdr>
            <w:top w:val="none" w:sz="0" w:space="0" w:color="auto"/>
            <w:left w:val="none" w:sz="0" w:space="0" w:color="auto"/>
            <w:bottom w:val="none" w:sz="0" w:space="0" w:color="auto"/>
            <w:right w:val="none" w:sz="0" w:space="0" w:color="auto"/>
          </w:divBdr>
        </w:div>
        <w:div w:id="1763211603">
          <w:marLeft w:val="0"/>
          <w:marRight w:val="0"/>
          <w:marTop w:val="0"/>
          <w:marBottom w:val="0"/>
          <w:divBdr>
            <w:top w:val="none" w:sz="0" w:space="0" w:color="auto"/>
            <w:left w:val="none" w:sz="0" w:space="0" w:color="auto"/>
            <w:bottom w:val="none" w:sz="0" w:space="0" w:color="auto"/>
            <w:right w:val="none" w:sz="0" w:space="0" w:color="auto"/>
          </w:divBdr>
        </w:div>
        <w:div w:id="1767798231">
          <w:marLeft w:val="0"/>
          <w:marRight w:val="0"/>
          <w:marTop w:val="0"/>
          <w:marBottom w:val="0"/>
          <w:divBdr>
            <w:top w:val="none" w:sz="0" w:space="0" w:color="auto"/>
            <w:left w:val="none" w:sz="0" w:space="0" w:color="auto"/>
            <w:bottom w:val="none" w:sz="0" w:space="0" w:color="auto"/>
            <w:right w:val="none" w:sz="0" w:space="0" w:color="auto"/>
          </w:divBdr>
        </w:div>
        <w:div w:id="1768118644">
          <w:marLeft w:val="0"/>
          <w:marRight w:val="0"/>
          <w:marTop w:val="0"/>
          <w:marBottom w:val="0"/>
          <w:divBdr>
            <w:top w:val="none" w:sz="0" w:space="0" w:color="auto"/>
            <w:left w:val="none" w:sz="0" w:space="0" w:color="auto"/>
            <w:bottom w:val="none" w:sz="0" w:space="0" w:color="auto"/>
            <w:right w:val="none" w:sz="0" w:space="0" w:color="auto"/>
          </w:divBdr>
        </w:div>
        <w:div w:id="1801411882">
          <w:marLeft w:val="0"/>
          <w:marRight w:val="0"/>
          <w:marTop w:val="0"/>
          <w:marBottom w:val="0"/>
          <w:divBdr>
            <w:top w:val="none" w:sz="0" w:space="0" w:color="auto"/>
            <w:left w:val="none" w:sz="0" w:space="0" w:color="auto"/>
            <w:bottom w:val="none" w:sz="0" w:space="0" w:color="auto"/>
            <w:right w:val="none" w:sz="0" w:space="0" w:color="auto"/>
          </w:divBdr>
        </w:div>
        <w:div w:id="1893082137">
          <w:marLeft w:val="0"/>
          <w:marRight w:val="0"/>
          <w:marTop w:val="0"/>
          <w:marBottom w:val="0"/>
          <w:divBdr>
            <w:top w:val="none" w:sz="0" w:space="0" w:color="auto"/>
            <w:left w:val="none" w:sz="0" w:space="0" w:color="auto"/>
            <w:bottom w:val="none" w:sz="0" w:space="0" w:color="auto"/>
            <w:right w:val="none" w:sz="0" w:space="0" w:color="auto"/>
          </w:divBdr>
        </w:div>
        <w:div w:id="1971082738">
          <w:marLeft w:val="0"/>
          <w:marRight w:val="0"/>
          <w:marTop w:val="0"/>
          <w:marBottom w:val="0"/>
          <w:divBdr>
            <w:top w:val="none" w:sz="0" w:space="0" w:color="auto"/>
            <w:left w:val="none" w:sz="0" w:space="0" w:color="auto"/>
            <w:bottom w:val="none" w:sz="0" w:space="0" w:color="auto"/>
            <w:right w:val="none" w:sz="0" w:space="0" w:color="auto"/>
          </w:divBdr>
        </w:div>
        <w:div w:id="2061244484">
          <w:marLeft w:val="0"/>
          <w:marRight w:val="0"/>
          <w:marTop w:val="0"/>
          <w:marBottom w:val="0"/>
          <w:divBdr>
            <w:top w:val="none" w:sz="0" w:space="0" w:color="auto"/>
            <w:left w:val="none" w:sz="0" w:space="0" w:color="auto"/>
            <w:bottom w:val="none" w:sz="0" w:space="0" w:color="auto"/>
            <w:right w:val="none" w:sz="0" w:space="0" w:color="auto"/>
          </w:divBdr>
        </w:div>
        <w:div w:id="2106925394">
          <w:marLeft w:val="0"/>
          <w:marRight w:val="0"/>
          <w:marTop w:val="0"/>
          <w:marBottom w:val="0"/>
          <w:divBdr>
            <w:top w:val="none" w:sz="0" w:space="0" w:color="auto"/>
            <w:left w:val="none" w:sz="0" w:space="0" w:color="auto"/>
            <w:bottom w:val="none" w:sz="0" w:space="0" w:color="auto"/>
            <w:right w:val="none" w:sz="0" w:space="0" w:color="auto"/>
          </w:divBdr>
        </w:div>
      </w:divsChild>
    </w:div>
    <w:div w:id="1732848251">
      <w:bodyDiv w:val="1"/>
      <w:marLeft w:val="0"/>
      <w:marRight w:val="0"/>
      <w:marTop w:val="0"/>
      <w:marBottom w:val="0"/>
      <w:divBdr>
        <w:top w:val="none" w:sz="0" w:space="0" w:color="auto"/>
        <w:left w:val="none" w:sz="0" w:space="0" w:color="auto"/>
        <w:bottom w:val="none" w:sz="0" w:space="0" w:color="auto"/>
        <w:right w:val="none" w:sz="0" w:space="0" w:color="auto"/>
      </w:divBdr>
    </w:div>
    <w:div w:id="1741442117">
      <w:bodyDiv w:val="1"/>
      <w:marLeft w:val="0"/>
      <w:marRight w:val="0"/>
      <w:marTop w:val="0"/>
      <w:marBottom w:val="0"/>
      <w:divBdr>
        <w:top w:val="none" w:sz="0" w:space="0" w:color="auto"/>
        <w:left w:val="none" w:sz="0" w:space="0" w:color="auto"/>
        <w:bottom w:val="none" w:sz="0" w:space="0" w:color="auto"/>
        <w:right w:val="none" w:sz="0" w:space="0" w:color="auto"/>
      </w:divBdr>
      <w:divsChild>
        <w:div w:id="460997492">
          <w:marLeft w:val="0"/>
          <w:marRight w:val="0"/>
          <w:marTop w:val="0"/>
          <w:marBottom w:val="0"/>
          <w:divBdr>
            <w:top w:val="none" w:sz="0" w:space="0" w:color="auto"/>
            <w:left w:val="none" w:sz="0" w:space="0" w:color="auto"/>
            <w:bottom w:val="none" w:sz="0" w:space="0" w:color="auto"/>
            <w:right w:val="none" w:sz="0" w:space="0" w:color="auto"/>
          </w:divBdr>
          <w:divsChild>
            <w:div w:id="528836019">
              <w:marLeft w:val="0"/>
              <w:marRight w:val="0"/>
              <w:marTop w:val="0"/>
              <w:marBottom w:val="0"/>
              <w:divBdr>
                <w:top w:val="none" w:sz="0" w:space="0" w:color="auto"/>
                <w:left w:val="none" w:sz="0" w:space="0" w:color="auto"/>
                <w:bottom w:val="none" w:sz="0" w:space="0" w:color="auto"/>
                <w:right w:val="none" w:sz="0" w:space="0" w:color="auto"/>
              </w:divBdr>
            </w:div>
          </w:divsChild>
        </w:div>
        <w:div w:id="608243919">
          <w:marLeft w:val="0"/>
          <w:marRight w:val="0"/>
          <w:marTop w:val="0"/>
          <w:marBottom w:val="0"/>
          <w:divBdr>
            <w:top w:val="none" w:sz="0" w:space="0" w:color="auto"/>
            <w:left w:val="none" w:sz="0" w:space="0" w:color="auto"/>
            <w:bottom w:val="none" w:sz="0" w:space="0" w:color="auto"/>
            <w:right w:val="none" w:sz="0" w:space="0" w:color="auto"/>
          </w:divBdr>
          <w:divsChild>
            <w:div w:id="11467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4268">
      <w:bodyDiv w:val="1"/>
      <w:marLeft w:val="0"/>
      <w:marRight w:val="0"/>
      <w:marTop w:val="0"/>
      <w:marBottom w:val="0"/>
      <w:divBdr>
        <w:top w:val="none" w:sz="0" w:space="0" w:color="auto"/>
        <w:left w:val="none" w:sz="0" w:space="0" w:color="auto"/>
        <w:bottom w:val="none" w:sz="0" w:space="0" w:color="auto"/>
        <w:right w:val="none" w:sz="0" w:space="0" w:color="auto"/>
      </w:divBdr>
    </w:div>
    <w:div w:id="1878663129">
      <w:bodyDiv w:val="1"/>
      <w:marLeft w:val="0"/>
      <w:marRight w:val="0"/>
      <w:marTop w:val="0"/>
      <w:marBottom w:val="0"/>
      <w:divBdr>
        <w:top w:val="none" w:sz="0" w:space="0" w:color="auto"/>
        <w:left w:val="none" w:sz="0" w:space="0" w:color="auto"/>
        <w:bottom w:val="none" w:sz="0" w:space="0" w:color="auto"/>
        <w:right w:val="none" w:sz="0" w:space="0" w:color="auto"/>
      </w:divBdr>
    </w:div>
    <w:div w:id="1892887305">
      <w:bodyDiv w:val="1"/>
      <w:marLeft w:val="0"/>
      <w:marRight w:val="0"/>
      <w:marTop w:val="0"/>
      <w:marBottom w:val="0"/>
      <w:divBdr>
        <w:top w:val="none" w:sz="0" w:space="0" w:color="auto"/>
        <w:left w:val="none" w:sz="0" w:space="0" w:color="auto"/>
        <w:bottom w:val="none" w:sz="0" w:space="0" w:color="auto"/>
        <w:right w:val="none" w:sz="0" w:space="0" w:color="auto"/>
      </w:divBdr>
      <w:divsChild>
        <w:div w:id="991367048">
          <w:marLeft w:val="0"/>
          <w:marRight w:val="0"/>
          <w:marTop w:val="0"/>
          <w:marBottom w:val="0"/>
          <w:divBdr>
            <w:top w:val="none" w:sz="0" w:space="0" w:color="auto"/>
            <w:left w:val="none" w:sz="0" w:space="0" w:color="auto"/>
            <w:bottom w:val="none" w:sz="0" w:space="0" w:color="auto"/>
            <w:right w:val="none" w:sz="0" w:space="0" w:color="auto"/>
          </w:divBdr>
          <w:divsChild>
            <w:div w:id="1722946980">
              <w:marLeft w:val="0"/>
              <w:marRight w:val="0"/>
              <w:marTop w:val="0"/>
              <w:marBottom w:val="0"/>
              <w:divBdr>
                <w:top w:val="none" w:sz="0" w:space="0" w:color="auto"/>
                <w:left w:val="none" w:sz="0" w:space="0" w:color="auto"/>
                <w:bottom w:val="none" w:sz="0" w:space="0" w:color="auto"/>
                <w:right w:val="none" w:sz="0" w:space="0" w:color="auto"/>
              </w:divBdr>
            </w:div>
          </w:divsChild>
        </w:div>
        <w:div w:id="1147477277">
          <w:marLeft w:val="0"/>
          <w:marRight w:val="0"/>
          <w:marTop w:val="0"/>
          <w:marBottom w:val="0"/>
          <w:divBdr>
            <w:top w:val="none" w:sz="0" w:space="0" w:color="auto"/>
            <w:left w:val="none" w:sz="0" w:space="0" w:color="auto"/>
            <w:bottom w:val="none" w:sz="0" w:space="0" w:color="auto"/>
            <w:right w:val="none" w:sz="0" w:space="0" w:color="auto"/>
          </w:divBdr>
        </w:div>
      </w:divsChild>
    </w:div>
    <w:div w:id="1942839430">
      <w:bodyDiv w:val="1"/>
      <w:marLeft w:val="0"/>
      <w:marRight w:val="0"/>
      <w:marTop w:val="0"/>
      <w:marBottom w:val="0"/>
      <w:divBdr>
        <w:top w:val="none" w:sz="0" w:space="0" w:color="auto"/>
        <w:left w:val="none" w:sz="0" w:space="0" w:color="auto"/>
        <w:bottom w:val="none" w:sz="0" w:space="0" w:color="auto"/>
        <w:right w:val="none" w:sz="0" w:space="0" w:color="auto"/>
      </w:divBdr>
    </w:div>
    <w:div w:id="1966695024">
      <w:bodyDiv w:val="1"/>
      <w:marLeft w:val="0"/>
      <w:marRight w:val="0"/>
      <w:marTop w:val="0"/>
      <w:marBottom w:val="0"/>
      <w:divBdr>
        <w:top w:val="none" w:sz="0" w:space="0" w:color="auto"/>
        <w:left w:val="none" w:sz="0" w:space="0" w:color="auto"/>
        <w:bottom w:val="none" w:sz="0" w:space="0" w:color="auto"/>
        <w:right w:val="none" w:sz="0" w:space="0" w:color="auto"/>
      </w:divBdr>
      <w:divsChild>
        <w:div w:id="146898505">
          <w:marLeft w:val="0"/>
          <w:marRight w:val="0"/>
          <w:marTop w:val="0"/>
          <w:marBottom w:val="0"/>
          <w:divBdr>
            <w:top w:val="none" w:sz="0" w:space="0" w:color="auto"/>
            <w:left w:val="none" w:sz="0" w:space="0" w:color="auto"/>
            <w:bottom w:val="none" w:sz="0" w:space="0" w:color="auto"/>
            <w:right w:val="none" w:sz="0" w:space="0" w:color="auto"/>
          </w:divBdr>
        </w:div>
        <w:div w:id="154417480">
          <w:marLeft w:val="0"/>
          <w:marRight w:val="0"/>
          <w:marTop w:val="0"/>
          <w:marBottom w:val="0"/>
          <w:divBdr>
            <w:top w:val="none" w:sz="0" w:space="0" w:color="auto"/>
            <w:left w:val="none" w:sz="0" w:space="0" w:color="auto"/>
            <w:bottom w:val="none" w:sz="0" w:space="0" w:color="auto"/>
            <w:right w:val="none" w:sz="0" w:space="0" w:color="auto"/>
          </w:divBdr>
        </w:div>
        <w:div w:id="1686782801">
          <w:marLeft w:val="0"/>
          <w:marRight w:val="0"/>
          <w:marTop w:val="0"/>
          <w:marBottom w:val="0"/>
          <w:divBdr>
            <w:top w:val="none" w:sz="0" w:space="0" w:color="auto"/>
            <w:left w:val="none" w:sz="0" w:space="0" w:color="auto"/>
            <w:bottom w:val="none" w:sz="0" w:space="0" w:color="auto"/>
            <w:right w:val="none" w:sz="0" w:space="0" w:color="auto"/>
          </w:divBdr>
        </w:div>
        <w:div w:id="2015375533">
          <w:marLeft w:val="0"/>
          <w:marRight w:val="0"/>
          <w:marTop w:val="0"/>
          <w:marBottom w:val="0"/>
          <w:divBdr>
            <w:top w:val="none" w:sz="0" w:space="0" w:color="auto"/>
            <w:left w:val="none" w:sz="0" w:space="0" w:color="auto"/>
            <w:bottom w:val="none" w:sz="0" w:space="0" w:color="auto"/>
            <w:right w:val="none" w:sz="0" w:space="0" w:color="auto"/>
          </w:divBdr>
        </w:div>
      </w:divsChild>
    </w:div>
    <w:div w:id="1978220393">
      <w:bodyDiv w:val="1"/>
      <w:marLeft w:val="0"/>
      <w:marRight w:val="0"/>
      <w:marTop w:val="0"/>
      <w:marBottom w:val="0"/>
      <w:divBdr>
        <w:top w:val="none" w:sz="0" w:space="0" w:color="auto"/>
        <w:left w:val="none" w:sz="0" w:space="0" w:color="auto"/>
        <w:bottom w:val="none" w:sz="0" w:space="0" w:color="auto"/>
        <w:right w:val="none" w:sz="0" w:space="0" w:color="auto"/>
      </w:divBdr>
    </w:div>
    <w:div w:id="1998461525">
      <w:bodyDiv w:val="1"/>
      <w:marLeft w:val="0"/>
      <w:marRight w:val="0"/>
      <w:marTop w:val="0"/>
      <w:marBottom w:val="0"/>
      <w:divBdr>
        <w:top w:val="none" w:sz="0" w:space="0" w:color="auto"/>
        <w:left w:val="none" w:sz="0" w:space="0" w:color="auto"/>
        <w:bottom w:val="none" w:sz="0" w:space="0" w:color="auto"/>
        <w:right w:val="none" w:sz="0" w:space="0" w:color="auto"/>
      </w:divBdr>
      <w:divsChild>
        <w:div w:id="226191518">
          <w:marLeft w:val="0"/>
          <w:marRight w:val="0"/>
          <w:marTop w:val="0"/>
          <w:marBottom w:val="0"/>
          <w:divBdr>
            <w:top w:val="none" w:sz="0" w:space="0" w:color="auto"/>
            <w:left w:val="none" w:sz="0" w:space="0" w:color="auto"/>
            <w:bottom w:val="none" w:sz="0" w:space="0" w:color="auto"/>
            <w:right w:val="none" w:sz="0" w:space="0" w:color="auto"/>
          </w:divBdr>
        </w:div>
        <w:div w:id="334921376">
          <w:marLeft w:val="0"/>
          <w:marRight w:val="0"/>
          <w:marTop w:val="0"/>
          <w:marBottom w:val="0"/>
          <w:divBdr>
            <w:top w:val="none" w:sz="0" w:space="0" w:color="auto"/>
            <w:left w:val="none" w:sz="0" w:space="0" w:color="auto"/>
            <w:bottom w:val="none" w:sz="0" w:space="0" w:color="auto"/>
            <w:right w:val="none" w:sz="0" w:space="0" w:color="auto"/>
          </w:divBdr>
        </w:div>
        <w:div w:id="384793203">
          <w:marLeft w:val="0"/>
          <w:marRight w:val="0"/>
          <w:marTop w:val="0"/>
          <w:marBottom w:val="0"/>
          <w:divBdr>
            <w:top w:val="none" w:sz="0" w:space="0" w:color="auto"/>
            <w:left w:val="none" w:sz="0" w:space="0" w:color="auto"/>
            <w:bottom w:val="none" w:sz="0" w:space="0" w:color="auto"/>
            <w:right w:val="none" w:sz="0" w:space="0" w:color="auto"/>
          </w:divBdr>
        </w:div>
        <w:div w:id="413553078">
          <w:marLeft w:val="0"/>
          <w:marRight w:val="0"/>
          <w:marTop w:val="0"/>
          <w:marBottom w:val="0"/>
          <w:divBdr>
            <w:top w:val="none" w:sz="0" w:space="0" w:color="auto"/>
            <w:left w:val="none" w:sz="0" w:space="0" w:color="auto"/>
            <w:bottom w:val="none" w:sz="0" w:space="0" w:color="auto"/>
            <w:right w:val="none" w:sz="0" w:space="0" w:color="auto"/>
          </w:divBdr>
        </w:div>
        <w:div w:id="890730041">
          <w:marLeft w:val="0"/>
          <w:marRight w:val="0"/>
          <w:marTop w:val="0"/>
          <w:marBottom w:val="0"/>
          <w:divBdr>
            <w:top w:val="none" w:sz="0" w:space="0" w:color="auto"/>
            <w:left w:val="none" w:sz="0" w:space="0" w:color="auto"/>
            <w:bottom w:val="none" w:sz="0" w:space="0" w:color="auto"/>
            <w:right w:val="none" w:sz="0" w:space="0" w:color="auto"/>
          </w:divBdr>
        </w:div>
        <w:div w:id="1211654959">
          <w:marLeft w:val="0"/>
          <w:marRight w:val="0"/>
          <w:marTop w:val="0"/>
          <w:marBottom w:val="0"/>
          <w:divBdr>
            <w:top w:val="none" w:sz="0" w:space="0" w:color="auto"/>
            <w:left w:val="none" w:sz="0" w:space="0" w:color="auto"/>
            <w:bottom w:val="none" w:sz="0" w:space="0" w:color="auto"/>
            <w:right w:val="none" w:sz="0" w:space="0" w:color="auto"/>
          </w:divBdr>
        </w:div>
        <w:div w:id="1477380720">
          <w:marLeft w:val="0"/>
          <w:marRight w:val="0"/>
          <w:marTop w:val="0"/>
          <w:marBottom w:val="0"/>
          <w:divBdr>
            <w:top w:val="none" w:sz="0" w:space="0" w:color="auto"/>
            <w:left w:val="none" w:sz="0" w:space="0" w:color="auto"/>
            <w:bottom w:val="none" w:sz="0" w:space="0" w:color="auto"/>
            <w:right w:val="none" w:sz="0" w:space="0" w:color="auto"/>
          </w:divBdr>
        </w:div>
        <w:div w:id="1790781132">
          <w:marLeft w:val="0"/>
          <w:marRight w:val="0"/>
          <w:marTop w:val="0"/>
          <w:marBottom w:val="0"/>
          <w:divBdr>
            <w:top w:val="none" w:sz="0" w:space="0" w:color="auto"/>
            <w:left w:val="none" w:sz="0" w:space="0" w:color="auto"/>
            <w:bottom w:val="none" w:sz="0" w:space="0" w:color="auto"/>
            <w:right w:val="none" w:sz="0" w:space="0" w:color="auto"/>
          </w:divBdr>
        </w:div>
        <w:div w:id="1922635746">
          <w:marLeft w:val="0"/>
          <w:marRight w:val="0"/>
          <w:marTop w:val="0"/>
          <w:marBottom w:val="0"/>
          <w:divBdr>
            <w:top w:val="none" w:sz="0" w:space="0" w:color="auto"/>
            <w:left w:val="none" w:sz="0" w:space="0" w:color="auto"/>
            <w:bottom w:val="none" w:sz="0" w:space="0" w:color="auto"/>
            <w:right w:val="none" w:sz="0" w:space="0" w:color="auto"/>
          </w:divBdr>
        </w:div>
      </w:divsChild>
    </w:div>
    <w:div w:id="2016689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AC542-1D50-4B1D-9E2D-BC6E27FD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3196</Words>
  <Characters>19182</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MINISTERSTWO ŚRODOWISKA</dc:creator>
  <cp:keywords/>
  <dc:description/>
  <cp:lastModifiedBy>Magdalena Bajrowska</cp:lastModifiedBy>
  <cp:revision>5</cp:revision>
  <cp:lastPrinted>2019-01-03T14:19:00Z</cp:lastPrinted>
  <dcterms:created xsi:type="dcterms:W3CDTF">2022-04-08T11:42:00Z</dcterms:created>
  <dcterms:modified xsi:type="dcterms:W3CDTF">2023-07-19T09:32:00Z</dcterms:modified>
</cp:coreProperties>
</file>