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497AF4" w:rsidRDefault="00065658" w:rsidP="00497AF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7AF4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497A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EAA" w:rsidRPr="00497AF4">
        <w:rPr>
          <w:rFonts w:asciiTheme="minorHAnsi" w:hAnsiTheme="minorHAnsi" w:cstheme="minorHAnsi"/>
          <w:b/>
          <w:sz w:val="22"/>
          <w:szCs w:val="22"/>
        </w:rPr>
        <w:t>7</w:t>
      </w:r>
      <w:r w:rsidR="00832EE7" w:rsidRPr="00497AF4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497AF4" w:rsidRDefault="00025037" w:rsidP="00497AF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7AF4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497AF4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497AF4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497AF4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497AF4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497AF4" w:rsidRDefault="004057C8" w:rsidP="00497AF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7AF4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34EAA" w:rsidRPr="00497AF4">
        <w:rPr>
          <w:rFonts w:asciiTheme="minorHAnsi" w:hAnsiTheme="minorHAnsi" w:cstheme="minorHAnsi"/>
          <w:b/>
          <w:sz w:val="22"/>
          <w:szCs w:val="22"/>
        </w:rPr>
        <w:t>1 LIPCA</w:t>
      </w:r>
      <w:r w:rsidR="000B2701" w:rsidRPr="00497AF4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B34EAA" w:rsidRPr="00497AF4">
        <w:rPr>
          <w:rFonts w:asciiTheme="minorHAnsi" w:hAnsiTheme="minorHAnsi" w:cstheme="minorHAnsi"/>
          <w:b/>
          <w:sz w:val="22"/>
          <w:szCs w:val="22"/>
        </w:rPr>
        <w:t xml:space="preserve"> 31</w:t>
      </w:r>
      <w:r w:rsidR="0059788E" w:rsidRPr="00497A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EAA" w:rsidRPr="00497AF4">
        <w:rPr>
          <w:rFonts w:asciiTheme="minorHAnsi" w:hAnsiTheme="minorHAnsi" w:cstheme="minorHAnsi"/>
          <w:b/>
          <w:sz w:val="22"/>
          <w:szCs w:val="22"/>
        </w:rPr>
        <w:t>SIERPNIA</w:t>
      </w:r>
      <w:r w:rsidR="00021EE0" w:rsidRPr="00497A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497AF4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497AF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497AF4" w:rsidRDefault="000A74FB" w:rsidP="00497AF4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A10B96" w:rsidRPr="00497AF4" w:rsidRDefault="002543B3" w:rsidP="00497AF4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497AF4">
        <w:rPr>
          <w:rFonts w:asciiTheme="minorHAnsi" w:hAnsiTheme="minorHAnsi" w:cstheme="minorHAnsi"/>
          <w:sz w:val="22"/>
          <w:szCs w:val="22"/>
        </w:rPr>
        <w:t xml:space="preserve">W okresie objętym niniejszą informacją </w:t>
      </w:r>
      <w:r w:rsidR="00B34EAA" w:rsidRPr="00497AF4">
        <w:rPr>
          <w:rFonts w:asciiTheme="minorHAnsi" w:hAnsiTheme="minorHAnsi" w:cstheme="minorHAnsi"/>
          <w:sz w:val="22"/>
          <w:szCs w:val="22"/>
        </w:rPr>
        <w:t xml:space="preserve">nie odbywały się </w:t>
      </w:r>
      <w:r w:rsidR="00832EE7" w:rsidRPr="00497AF4">
        <w:rPr>
          <w:rFonts w:asciiTheme="minorHAnsi" w:hAnsiTheme="minorHAnsi" w:cstheme="minorHAnsi"/>
          <w:sz w:val="22"/>
          <w:szCs w:val="22"/>
        </w:rPr>
        <w:t>posiedzeni</w:t>
      </w:r>
      <w:r w:rsidR="005E7976" w:rsidRPr="00497AF4">
        <w:rPr>
          <w:rFonts w:asciiTheme="minorHAnsi" w:hAnsiTheme="minorHAnsi" w:cstheme="minorHAnsi"/>
          <w:sz w:val="22"/>
          <w:szCs w:val="22"/>
        </w:rPr>
        <w:t>a</w:t>
      </w:r>
      <w:r w:rsidR="003955D4" w:rsidRPr="00497AF4">
        <w:rPr>
          <w:rFonts w:asciiTheme="minorHAnsi" w:hAnsiTheme="minorHAnsi" w:cstheme="minorHAnsi"/>
          <w:sz w:val="22"/>
          <w:szCs w:val="22"/>
        </w:rPr>
        <w:t xml:space="preserve"> </w:t>
      </w:r>
      <w:r w:rsidR="00497AF4">
        <w:rPr>
          <w:rFonts w:asciiTheme="minorHAnsi" w:hAnsiTheme="minorHAnsi" w:cstheme="minorHAnsi"/>
          <w:sz w:val="22"/>
          <w:szCs w:val="22"/>
        </w:rPr>
        <w:t>KSE.</w:t>
      </w:r>
    </w:p>
    <w:p w:rsidR="001135AF" w:rsidRPr="00497AF4" w:rsidRDefault="000A74FB" w:rsidP="00497AF4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497AF4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497AF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497AF4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3872CB" w:rsidRDefault="00A73FE5" w:rsidP="003B5508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- Agencja Praw Podstawowych Unii Europejskiej (FRA).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Najwyższej Izby Kontroli na stanowisko eksperta narodowego w Europejskim Urzędzie ds. Zwalczania Nadużyć Finansowych (OLAF).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przedłużenia okresu oddelegowania na stanowisku eksperta narodowego w ESDZ w Wydziale Stanów Zjednoczonych i Kanady – AMERICAS.4.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26 czerwca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UE ds. Zatrudnienia, Polityki Społecznej, Zdrowia i Spraw Konsumenckich w dniu 20 czerwca 2024 r. (część: zatrudnienie i polityka społeczna).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25 czerwca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t xml:space="preserve">łych Przedstawicieli COREPER 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dniu 26 czerwca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3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3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sporu pomiędzy Ministerstwem Rozwoju i Technologii, Ministerstwem Finansów oraz Urzędem Ochrony Konkurencji i Konsumentów dotyczącego wyznaczenia resortu wiodącego do wykonania </w:t>
            </w:r>
            <w:r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rozporządzenia wykonawczego Komisji (UE) 2023/2712 z dnia 5 grudnia 2023 r. ustanawiającego zasady stosowania rozporządzenia Parlamentu Europejskiego i Rady (UE) 2019/1020 w zakresie uszczegółowienia informacji, które mają być przekazywane z krajowych systemów celnych do systemu informacyjnego i komunikacyjnego do ce</w:t>
            </w:r>
            <w:r w:rsidR="00497AF4"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lów nadzoru rynku w odniesieniu </w:t>
            </w:r>
            <w:r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 produktów objętych procedurą celną „dopuszczenie do obrotu”.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Sprawozdanie z posiedzenia Rady ds. Transp</w:t>
            </w:r>
            <w:r w:rsidR="00497AF4"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ortu, Telekomunikacji i Energii 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(sesja dot. transportu) w dniu 18 czerwca 2024 r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C-180/24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Santander Consumer Bank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Zarządzanie ryzykiem klimatycznym – ochrona obywateli i dobrobytu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91).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nt. stanu wdrażania Programu InvestEU w I połowie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dniach 13-14 czerwca 2024 r. (sesja dot. wymiaru sprawiedliwości).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dniach 13-14 czerwca 2024 r. (sesja dot. spraw wewnętrznych).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Straży Granicznej na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stanowisko eksperta narodowego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Europejskiej Agencji Straży Granicznej i Przybrzeżnej (Frontex).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dotyczącego rachunków ekonomicznych dla rolnictwa w Unii (tekst jednolity)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(COM(2024) 255).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sporządzone na podstawie art. 26 ust. 2 rozporządzenia Parlamentu Europejskiego i Rady 2018/1999 w sprawie zarządzania unią energetyczną i działaniami </w:t>
            </w:r>
            <w:r w:rsidR="003872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w dziedzinie klimatu (tzw. Przybliżona inwentaryzacja emisji gazów cieplarnianych).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w grupie roboczej ds. Zagadnień Atomowych i Agencji Dostaw Euratomu (MP).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C-82/24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Veolia Water Technologies i in.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C-158/24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Rojcki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kalendarza spotkań wysokiego szczebla w trakcie polskiej prezydencji w Radzie Unii Europejskiej w I połowie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24 czerwca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Cyfryzacji na stanowisko eksperta na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rodowego w Komisji Europejskiej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(DG CONNECT) – Dyrektoriat A – Urząd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ds. Sztucznej Inteligencji (AI Office).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ydatury funkcjonariusza Policji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na stanowisko eksperta w Misji Doradczej Unii Europejskiej EUAM na Ukrainie.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Rady ds. Konkur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encyjności w dniach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8 i 9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C-184/24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Sidi Bouzid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REPER II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dniu 3 lipca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w dniu 3 lipca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Odpowiedź strony polskiej na projekt Spraw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ozdania na temat praworządności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z 2024 r. - rozdział dotyczący Rzeczpospolitej Polskiej (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Rule of Law Report 2024 Country Chapter for Poland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10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10 lipca2024 r.</w:t>
            </w:r>
          </w:p>
          <w:p w:rsidR="00497AF4" w:rsidRPr="003872CB" w:rsidRDefault="00497AF4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nałożonych na ministerstwa i urzędy centralne monitorowanych przez KSE.</w:t>
            </w:r>
          </w:p>
          <w:p w:rsidR="00497AF4" w:rsidRPr="003872CB" w:rsidRDefault="00497AF4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71580708"/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Instrukcja na nieformalne spotkanie ministrów UE ds. środowiska w dniach 11-12 lipca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br/>
              <w:t>2024 r.</w:t>
            </w:r>
          </w:p>
          <w:bookmarkEnd w:id="0"/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założeń do odpowiedzi Rzeczypospolitej Polskiej na zarzuty formalne Komisji Europejskiej, wystosowane w związku z niedopełnieniem obowiązku dokonania wymiany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 innymi państwami członkowskimi informacji przekazanych przez raportujących operatorów platform na temat sprzedawców podlegających raportowaniu, wynikającego z dyrektywy Rady (UE) 2021/514 z dnia 22 marca 2021 r. zmieniającej dyrektywę 2011/16/UE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br/>
              <w:t>w sprawie współpracy administracyjnej w dziedzinie opodatkowania (naruszenie 2024/2047).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Ministerstwa Funduszy i Polityki Regionalnej na stanowisko eksperta narodowego w Komisji Europejskiej, Dyrekcji Generalnej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ds. Konkurencji (COMP), Wydziale H1.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działalności Zespołu roboczego ds. koordynacji wdrażania Strategii Unii Europejskiej dla regionu Morza Bałtyckiego w Polsce w 2023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Procedura udzielania zapewnienia finansowania przedsięwzięcia ze środków rezerwy celowej budżetu państwa na realizację zadań związanych z przygotowaniem i sprawowaniem przewodnictwa Polski w Radzie UE w I połowie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Plan działań Europejskiej Przestrzeni Badawczej 2025-27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aktualizacji wykazu stanowisk osób kierowanych do Stałego Przedstawicielstwa RP przy UE w związku z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prezydencją Polski w Radzie UE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I połowie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Rady ds.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Rolnictwa i Rybołówstwa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dniu 15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Lista instytucji uprawnionych do dostępu do systemu Polskie Repozytorium.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(MC).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Rady ds. Zatrudnienia, Polityki Społecznej, Zdrowia i Spraw Konsumenckich w dniu 16 lipca 2024 r. (sesja dot. zatru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dnienia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 polityki społecznej).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energii w dniach 15-16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Śródokresowa ocena Programu „Horyzont Europa”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r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ozporządzenia ws. przedłużenia programu badań jądrowych EURATOM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Rady ds. Gospodarczych i Finansowych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dniu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16 lipca 2024 r. uwzględniającej instrukcję na posiedzenie Eurogrupy w dniu 15 lipca 2024 r.</w:t>
            </w:r>
          </w:p>
          <w:p w:rsidR="00497AF4" w:rsidRPr="003872CB" w:rsidRDefault="00497AF4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(MSWiA).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Konkluzje Rady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ws. wdrażania Strategii Leśnej UE do 2030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rozporządzenia ws. ram monitorowania na rzecz odpornych lasów europejskich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dyrektywy dotyczący telepracy i prawa do odłączenia się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97AF4" w:rsidRPr="003872CB" w:rsidRDefault="00497AF4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dot. stosowania dyrektywy 2009/48/WE w sprawie bezpieczeństwa zabawek za lata 2019-2023.</w:t>
            </w:r>
          </w:p>
          <w:p w:rsidR="00497AF4" w:rsidRPr="003872CB" w:rsidRDefault="00497AF4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0980633"/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w dniu 10 lipca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br/>
              <w:t>2024 r.</w:t>
            </w:r>
            <w:bookmarkEnd w:id="1"/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w sprawie wzmocnienia współpracy policyjnej w odniesieniu do zapobiegania przemytowi migrantów i handlowi ludźmi, wykrywania tych przestępstw oraz prowadzenia stosownych postępowań przygotowawczych w tym zakresie i w sprawie zwiększenia wsparcia Europolu na rzecz zapobiegania tego rodzaju przestępstwom oraz zmiany rozporządzenia (UE) 2016/794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dyrektywy Parlamentu Europejskiego  i Rady w sprawie wspólnych norm i procedur stosowanych przez państwa członkowskie w odniesieniu do powrotów nielegalnie przebywających obywateli państw trzecich (wersja przekształcona)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COM(2018) 634.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w sprawie dyrektywy Parlamentu Europejskiego i Rady dotyczącej statusu obywateli państw trzecich będących rezydentami długoterminowymi (wersja przekształcona)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 (2022) 650 final / 2022/0134(COD).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Parlamentu Europejskiego i Rady w sprawie wykorzystania zdolności przepustowej infrastruktury kolejowej w jednolitym europejskim obszarze kolejowym, zmieniającego dyrektywę 2012/34/UE i uchylającego rozporządzenie (UE) nr 913/2010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(COM(2023) 443).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Parlamentu Europejskiego i Rady w sprawie Europejskiej Agencji Bezpieczeństwa Morskiego i uchylające rozporządzenie (WE) nr 1406/2002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COM(2023)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269 / 2023/163(COD).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Procedura podpisywania umów na wynajem mieszkań dla osób oddelegowanych </w:t>
            </w:r>
            <w:r w:rsidR="001926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do wzmocnienia Stałego Przedstawicielstwa RP przy UE w związku z przygotowaniem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 sp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rawowaniem przewodnictwa Polski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Radzie UE w I połowie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dyrektywy Parlamentu Europejskiego i Rady w sprawie zwalczania korupcji, zastępującej decyzję ramową Rady 2003/568/WSiSW oraz Konwencję w sprawie zwalczania korupcji urzędników Wspólnot Europejskich i urzędników państw członkowskich Unii Europejskiej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oraz zmieniającej dyrektywę Parlamentu Europejskiego i Rady (UE) 2017/1371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COM(2023) 234.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Parlamentu Europejskiego i Rady w sprawie jurysdykcji, prawa właściwego, uznawania i wykonywania środków oraz współpracy w kwestiach dotyczących ochrony osób dorosłych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COM(2023) 280.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Rady w sprawie jurysdykcji, prawa właściwego, uznawania orzeczeń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przyjmowania dokumentów urzędowych dotyczących pochodzenia dziecka oraz w sprawie ustanowienia europejskiego poświadczenia pochodzenia dziecka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COM(2022) 695 final.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Projekt dyrektywy Parlamentu Europejskiego i Rady w sprawie dostosowania przepisów dotyczących pozaumownej odpowiedzialności cywilnej do sztucznej inteligencji (dyrektywa w sprawie odpowiedzialności za sztuczną inteligencję) 2022/0303 (COD)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COM(2022) 496.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Parlamentu Europejskiego i Rady ustanawiającej zharmonizowane wymogi </w:t>
            </w:r>
            <w:r w:rsidR="0019265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na rynku wewnętrznym dotyczące przejrzystości reprezentacji interesów prowadzonej </w:t>
            </w:r>
            <w:r w:rsidR="0019265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imieniu państw trzecich i zmieniającej dyrektywę (UE) 2019/1937 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(COM(2023) 637).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UE ds. Środo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wiska w dniu 17 czerwca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w dniu 10 lipca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decyzji Parlamentu Europejskiego i Rady dotyczącej przyjęcia przez Unię porozumienia w sprawie wykładni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i stosowania Traktatu Karty Energetycznej między Unią Europejską, Europe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jską Wspólnotą Energii Atomowej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i ich państwami członkowskimi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(COM(2024) 257). 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C-213/24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Grzera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Program kulturalny polskiej prezydencji – część krajowa.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Projekt budżetu ogólnego Unii Europejskiej na rok budżetowy 2025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300).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zmianie planu budżetu prezydencji w 2024 r. na realizację zadań związanych </w:t>
            </w:r>
            <w:r w:rsidR="0019265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przygotowaniem przewodnictwa Polski w Radzie UE w I połowie 2025 r. w związku </w:t>
            </w:r>
            <w:r w:rsidR="0019265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z wnioskiem MSZ oraz z koniecznością zabezpieczenia umów wynajmu mieszkań i wypłaty ryczałtów dla osób del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egowanych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do Brukseli w 2024 r. i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17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17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Projekt rozporządzenia Parlamentu Europejskiego i Rady w sprawie roślin uzyskiwanych za pomocą niektórych nowych technik genomowych oraz pochodzących z tych roślin żywności i pasz, oraz w sprawie zmiany rozporządzenia (UE) 2017/625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COM(2023) 411.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Fiszka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Projekt rozporządzenia Parlamentu Europejskiego i Rady w sprawie ochrony zwierząt podczas transportu i związanych z tym działań, zmieniającego rozporządzenie Rady (WE) nr 1255/97 </w:t>
            </w:r>
            <w:r w:rsidR="0019265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i uchylającego rozporządzenie Rady (WE) nr 1/2005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69084508"/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ych (polityka spójności)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dniu 18 czerwca 2024 r.</w:t>
            </w:r>
          </w:p>
          <w:bookmarkEnd w:id="2"/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zapewnienia bezpieczeństwa w trakcie przygotowywania i sprawowania przez Rzeczpospolitą Polską przewodnictwa w Radzie Unii Europejskiej w I połowie 2025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Założenia do odpowiedzi Rzeczypospolitej Polskiej na zarzuty formalne wystosowane przez Komisję Europejską na podstawie art. 258 TFUE dotyczące braku wdrożenia rozporzą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dzenia Parlamentu Europejskiego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 Rady (UE) 2022/868 z dnia 30 maja 2022 r. w sprawie europejskiego zarządzania danymi i zmieniającego rozporządzenie (UE) 2018/1724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(akt w sprawie zarządzania danymi) - naruszenie nr 2024/2066.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brakiem transpozycji dyrektywy Parlamentu Europejskiego i Rady (UE) 2022/431 zmieniającej dyrektywę 2004/37/WE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sprawie ochrony pracowników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przed zagrożeniem dotyczącym narażenia na działanie czynników rakotwórczych lub mutagenów podczas pracy – naruszenie nr 2024/0170.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C-133/24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CD Tondela e.a.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Rady zmieniającego rozporządzenie (UE) nr 904/2010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w odniesieniu do ustaleń dotyczących współpracy administracyjnej w dziedzinie VAT niezbędnych w epoce cyfrowej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Projekt dyrektywy Rady zmieniający dyrektywę 2006/112/WE w odniesieniu do przepisów dotyczących podatku VAT w epoce cyfrowej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COM(2022)701, numer instytucjonalny 2022/407(CNS).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Wspólna fiszka do pakietu Retail investment.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Wspólna fiszka do pakietu Payment services.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Projekt rozporządzenia PE i Rady ustanawiającego unijny kodeks celny i Urząd Unii Europejskiej </w:t>
            </w:r>
            <w:r w:rsidR="00497AF4"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ds. Celnych oraz uchylającego r</w:t>
            </w:r>
            <w:r w:rsidR="00497AF4"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ozporządzenie (UE)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nr 952/2013.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Projekt zmiany decyzji Rady </w:t>
            </w:r>
            <w:r w:rsidR="00497AF4"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(UE, Euratom) 2020/2053 z dnia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14 grudnia 2020 r. w sprawie systemu zasobów własnych UE.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Business in Europe: Framework for Income Taxation (BEFIT).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Projekt zmiany dyrektywy w sprawie struktury oraz stawek akcyzy stosowanych do wyrobów tytoniowych.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uzasadnioną opinię w związku z brakiem transpozycji dyrektywy Rady (UE) 2022/2523 w sprawie zapewnienia globalnego minimalnego poziomu opodatkowania międzynarodowych grup przedsiębiorstw oraz dużych grup krajowych w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Unii – naruszenie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nr 2024/0113.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kandydatki z Ministerstwa Obrony Narodowej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do delegowania do Misji Partnerskiej Unii Europejskiej w Mołdawii (EUPM Moldova)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charakterze Eksperta Narodowego.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wydania oświadczenia przez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Ministra Cyfryzacji (naruszenie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nr 2020/2254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dot. odwołania Prezesa UKE).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wymiaru sprawiedliwości i spraw wewnętrznych w dniach 22-23 lipca 2024 r. (sesja dot. spraw wewnętrznych).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Zagranicznych w dniu 22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22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bookmarkStart w:id="3" w:name="_Hlk162425655"/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Założenia do stanowiska Rzeczypospolitej Polskiej w postępowaniu w sprawie</w:t>
            </w:r>
            <w:bookmarkEnd w:id="3"/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prejudycjalnej C-229/24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Brännelius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w postępowaniu odwoławczym w sprawach połączonych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T-200/22 i T-314/22 Rzeczpospolita Polska przeciwko Komisji Europejskiej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nieprawidłową transpozycją dyrektywy Parlamentu Europejskiego i Rady 2013/48/UE w sprawie prawa dostępu 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adwokata w postępowaniu karnym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w postępowaniu dotyczącym europejskiego nakazu aresztowania (ENA) oraz w sprawie prawa do poinformowania osoby trzeciej o pozbawieniu wolności i prawa do porozumiewania się z osobami trzecimi i organami konsularnymi w czasie pozbawienia wolności (zakres stosowania, poufność komunikacji między podejrzanym 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lub osk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arżonym a adwokatem, odstępstwa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prawa dostępu do adwokata, informowanie osoby, na której spoczywa odpowiedzialność rodzicielska, lub innej stosownej osoby dorosłej,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o pozbawieniu dziecka wolności, dostęp do adwokata w państwie członkowskim wydającym ENA) – naruszenie nr 2024/2073.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wymiaru sprawiedliwości i spraw wewnętrznych w dniach 22-23 lipca 2024 r. (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sesja dot.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wymiaru sprawiedliwości).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Rzeczpospolitej Polskiej na uzasadnioną opinię Komisji Europejskiej, wystosowaną w trybie art. 258 Traktatu o funkcjonowaniu Unii Europejskiej, do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tyczącą odmowy zrekompensowania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przez Polskę utraty środka własnego z tytułu należności celnych (naruszenie nr 2018/2351).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w dniu 17 lipca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przygotowań Polski do objęcia przewodnictwa w Radzie Unii Europejskiej w I. połowie 2025 r. ds. promocji kulturalnej.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dyrektywy w sprawie unijnego kodeksu odnoszącego się do produktów leczniczych stosowanych u ludzi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Projekt rozporządzenia ustanawiającego unijne procedury dopuszczania do obrotu i nadzoru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nad produktami leczniczymi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COREPER II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dniu 17 lipca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brakiem wdrożenia dyrektywy Parlamentu Europejskiego i Rady (UE) 2022/362 w sprawie zmiany dyrektyw 1999/62/WE, 1999/37/WE i (UE) 2019/520 w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odniesieniu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do pobierania opłat za użytkowanie niektórych typów infrastruktury przez pojazdy  – naruszenie nr 2024/0169.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24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Zdrowia UE w dniach 24-25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fiszki polskiej prezydencji w Radzie Unii Europejsk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iej w I połowie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ws. Rozporządzenia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PE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 Rady ustanawiającego przepisy mające na celu zapobieganie niegodziwemu traktowaniu dzieci w celach seksualnych i jego zwalczanie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COM(2022) 209.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Aktu w sprawie sieci cyfrowych i infrastruktury (Digital Network Act)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Aktu zmieniającego Cybersecurity ACT (CSA) po pełnym przeglądzie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Dalsze usprawnianie ram reagowania UE na incydenty cybernetyczne dużej skali.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do: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Wniosku dotyczącego dyrektywy Parlamentu Europejskiego i Rady w sprawie poprawy i egzekwowania warunków pracy stażystów oraz zwalczania zwykłych stosunków pracy ukrytych pod postacią staży („dyrektywa w sprawie stażystów”)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132).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Budowanie odporności (resilience) w kontekście współpracy rozwojowej i pomocy humanitarnej.  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Dalsze rozwijanie polityki sankcyjnej wobec Rosji i Białorusi oraz walka z obchodzeniem sankcji. 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Kontynuowanie i przyspieszenie procesu rozszerzenia UE; wsparcie państw objętych procesem rozszerzenia w realizacji reform.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Rozwój współpracy w zakresie Wspólnej Polityki Bezpieczeństwa i Obrony (WPBiO)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24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Raport z funkcjonowania Mechanizmu Wymiany Poparć z państwami europejskimi </w:t>
            </w:r>
            <w:r w:rsidR="001926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I półroczu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Rady zmieniającej dyre</w:t>
            </w:r>
            <w:r w:rsidR="00497AF4"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ktywę 2006/112/WE w odniesieniu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elektronicznego świadectwa zwolnienia z podatku od wartości dodanej</w:t>
            </w:r>
            <w:r w:rsidR="00497AF4"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(COM(2024) 278).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zalecenia Rady </w:t>
            </w:r>
            <w:r w:rsidR="00497AF4"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polityki gospodarczej, polityki społecznej, polityki zatrudnienia, polityki strukturalnej i polityki budżetowej Polski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621).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UE ds. Rolnictwa i Rybołówstwa w dniu 24 czerwca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UE i zobowiązań legislacyjnych wynikających z orzeczeń TSUE oraz uwag KE przekazywanych w ramach postępowania w trybie art. 258 TFUE lub art. 260 TFUE</w:t>
            </w:r>
            <w:r w:rsidR="003B5508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(za lipiec 2024 r.)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w odniesieniu do dokumentu UE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Parlamentu Europejskiego i Rady w sprawie wymogów w zakresie obiegu zamkniętego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 odniesieniu do projektowania pojazdów oraz zarządzania pojazdami wycofanymi </w:t>
            </w:r>
            <w:r w:rsidR="00497AF4"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z eksploatacji, zmieniającego rozporządzenia (UE) 2018/858 i 2019/1020 oraz uchylającego dyrektywy 2000/53/WE i 2005/64/WE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(COM(2023) 451).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Raport z prac Komitetu ds. Polityki Handlowej (TPC) za I półrocze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kandydatów Krajowej Administracji Skarbowej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do oddelegowania do Misji Pomocy Granicznej dla Mołdawii i Ukrainy (EUBAM) w charakterze ekspertów narodowych.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Eurogrupy inkluzywnej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i Rady UE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ds. Ekonomicznych </w:t>
            </w:r>
            <w:r w:rsidR="00497AF4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 Finansowych w dniach 15- 16 lipca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nt. procesu rozszerzenia Unii Europejskiej i stanu negocjacji akcesyjnych w okresie styczeń-czerwiec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w dniu 24 lipca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wyprzedzająca w sprawie wyborów do organizacji europejskich w perspektywie rocznej począwszy od III kwartału 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Ministerstwa Spraw Zagranicznych w sprawie zatwierdzenia kandydatury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na stanowisko eksperta narodowego w ESDZ w Brukseli.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REPER I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dniu 24 lipca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Raport dotyczący funkcjonowania systemu nadzoru rynku w 2023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ds. Zatrudnienia, Polityki Społecznej, Zdrowia i Spraw Konsumenckich w dniu 16 lipca 2024 r. (sesja dot. zatrudnienia i polityki społecznej).</w:t>
            </w:r>
          </w:p>
          <w:p w:rsidR="00B0489F" w:rsidRPr="003872CB" w:rsidRDefault="00B34EAA" w:rsidP="003B55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Straży Granicznej na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stanowisku eksperta narodowego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Europejskiej Agencji Straży Granicznej i Przybrzeżnej (Frontex).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T-213/24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Cortex Havacilik ve Turizm Ticaret przeciwko Komisji Europejskiej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15 lipca 2024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UE Wniosek dotyczący decyzji wykonawczej Rady zmieniającej decyzję wykonawczą (UE) (ST 9728/22 INIT; ST 9728/22 ADD 1) z dnia 17czerwca 2022 r. w sprawie zatwierdzenia oceny planu odbudowy i zwiększania odporności Polski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284).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wymiaru sprawiedliwości i spraw wewnętrznych w dniach 22-23 lipca 2024 r. (sesja dot. spraw wewnętrznych).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Głównego Urzędu Statystycznego na stanowisku eksperta narodowego w Eurostacie.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</w:t>
            </w:r>
            <w:r w:rsid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iej w postępowaniach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sprawach C-377/24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Hiszpania przeciwko Parlamentowi Europejskiemu,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C-378/24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Hiszpania przeciwko Parlamentowi Europejskiemu,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C-381/24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Włochy przeciwko Parlamentowi Europejskiemu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872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C-382/24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Włochy przeciwko Parlamentowi Europejskiemu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w gremiach Komisji Europejskiej (MC).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 C-252/24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Prisum Healthcare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Relacje Unia Europejska - Zjednoczone Królestwo Wielkiej Brytanii i Irlandii Północnej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Reformy wewnętrzne UE, w tym w kontekście przygotowania do przyszłego rozszerzenia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grupach roboczych Rady UE i gremiach Komisji Europejskiej (MNiSW).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C-240/24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BNP Paribas Fortis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Rady w sprawie poprawy zabezpieczeń dowodów osobistych obywateli Unii i dokumentów pobytowych wydawanych obywatelom Unii i członkom ich rodzin korzystającym z prawa </w:t>
            </w:r>
            <w:r w:rsid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swobodnego przemieszczania się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316).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Ministerstwa Klimatu i Środowiska </w:t>
            </w:r>
            <w:r w:rsidR="001926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okresowe z działalności polskiej administracji w Komitecie Instrumentów 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ds. Ochrony Handlu (TDC) oraz Komitecie ds. Nadmiernego Importu (SFG).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Rozwiązania w polityce spójności po roku 2027 i ewentualne Konkluzje Rady w tym zakresie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Program kulturalny polskiej prezydencji w części zagranicznej.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Rozporządzenie Parlamentu Europejskiego i Rady ustanawiającego Program na rzecz europejskiego przemysłu obronnego oraz ramy środków w celu zapewnienia terminowej dostępnośc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i i dostaw produktów związanych</w:t>
            </w:r>
            <w:r w:rsid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z obronnością („EDIP”)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Przyszłość relacji handlowych UE – USA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dla Sejmu i Senatu RP o udziale Rzeczypospolitej Polskiej w pracach Unii Europejskiej w okresie styczeń – czerwiec 2024 r. (przewodnictwo Belgii w Radzie Unii Europejskiej).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decyzji rady </w:t>
            </w:r>
            <w:r w:rsid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wytycznych dotyczących polityki zatrudnienia państw członkowskich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599).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decyzji Rady </w:t>
            </w:r>
            <w:r w:rsid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podpisania, w imieniu Unii Europejskiej, Konwencji ramowej Rady Europy w sprawie sztucznej inteligencji, praw człowieka, demokracji i praworządności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264).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Projekt rozporządzenia w sprawie zwalczania opóźnień w płatnościach w transakcjach handlowych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Pogłębienie wzajemnej liberalizacji handlu UE-Ukraina w ramach pogłębionej i kompleksowej umowy </w:t>
            </w:r>
            <w:r w:rsidR="003872C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o wolnym handlu (DCFTA), na podstawie art. 29 Układu o stowarzyszeniu z Ukrainą (AA)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22 lipca 2024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wymiaru sprawiedliwości i spraw wewnętrznych w dniach 22-23 lipca 2024 r. (część: wymiar sprawiedliwości).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Raport z uczestnictwa Polski w Programie Ramowym Horyzont Europa 2021-2027.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nt. programu Erasmus dla praco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t xml:space="preserve">wników administracji publicznej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2025 roku. Staże krótkoterminowe w instytucjach Unii Europejskiej dla nowo zatrudnionych pracowników administracji publicznej państw członkowskich UE - Zasady naboru na sesje I 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– II w 2025 roku.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C-273/24 </w:t>
            </w:r>
            <w:r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Naski.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C-277/24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Adjak.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C-797/23 </w:t>
            </w:r>
            <w:r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Meta Platforms Ireland.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Zmiany Statutu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Fundacji Kolegium Europejskie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- uchwała nr 5 Zarządu Kolegium Europejskiego z dnia 19 czerwca 2024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C-284/24 </w:t>
            </w:r>
            <w:r w:rsidRPr="003872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Criminal Injuries Compensation Tribunal e.a.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ydatury funkcjonariusza Policji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w Misji Unii Europejskiej w zakresie praworządności EULEX w Kosowie.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</w:t>
            </w:r>
            <w:bookmarkStart w:id="4" w:name="_Hlk171685716"/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C-278/24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Genzyński</w:t>
            </w:r>
            <w:bookmarkEnd w:id="4"/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z nieformalnego spotkania ministrów UE ds.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zdrowia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w dniach 24-25 lipca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iCs/>
                <w:sz w:val="22"/>
                <w:szCs w:val="22"/>
              </w:rPr>
              <w:t>Procedura podziału i wypłaty środków w ra</w:t>
            </w:r>
            <w:r w:rsidR="003872C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mach systemu motywacyjno </w:t>
            </w:r>
            <w:r w:rsidRPr="003872CB">
              <w:rPr>
                <w:rFonts w:asciiTheme="minorHAnsi" w:hAnsiTheme="minorHAnsi" w:cstheme="minorHAnsi"/>
                <w:iCs/>
                <w:sz w:val="22"/>
                <w:szCs w:val="22"/>
              </w:rPr>
              <w:t>- lojalnościowego korpusu prezydencji w związku z przygotowaniem i sprawowaniem przewodnictwa w Radzie UE w I połowie 2025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UE i zobowiązań legislacyjnych wynikających z orzeczeń TSUE oraz uwag KE przekazywanych w ramach postępowania w trybie art. 258 TFUE lub art. 260 TFUE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(za sierpień 2024 r.)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75117365"/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na temat postępowań formalnych prowadzonych przez Komisję Europejską na podstawie art. 258 TFUE i art. 260 TFUE</w:t>
            </w:r>
            <w:bookmarkEnd w:id="5"/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nt. przebiegu prac nad projektem </w:t>
            </w:r>
            <w:r w:rsidRPr="003872CB">
              <w:rPr>
                <w:rFonts w:asciiTheme="minorHAnsi" w:hAnsiTheme="minorHAnsi" w:cstheme="minorHAnsi"/>
                <w:iCs/>
                <w:sz w:val="22"/>
                <w:szCs w:val="22"/>
              </w:rPr>
              <w:t>Zaleceń Rady UE dla Polski w sprawie Krajowego Programu Reform Polski na 2024 rok, zawierających opinię Rady nt. przedstawionego przez Polskę programu konwergencji na 2024 rok</w:t>
            </w:r>
            <w:r w:rsidRPr="003872CB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Informacja 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sprawie odnowienia mandatów przedstawicieli PL w Zarządzie </w:t>
            </w:r>
            <w:bookmarkStart w:id="6" w:name="_Hlk166761317"/>
            <w:bookmarkStart w:id="7" w:name="_Hlk166761373"/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Agencji Unii Europejskiej ds. Szkolenia w Dziedzinie Ścigania (CEPOL)</w:t>
            </w:r>
            <w:bookmarkEnd w:id="6"/>
            <w:bookmarkEnd w:id="7"/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w grupie roboczej Rady UE (Grupa robocza ds. Przemysłu Obronnego (C.40))</w:t>
            </w:r>
            <w:r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(MRiT).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o stanowisku Polski na nieformalne spotkanie ministrów spraw zagranicznych UE w dniu 29 sierpnia 2024 r.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3872C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Rewizja dyrektywy ws. imprez turystycznych</w:t>
            </w: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obrony w dniu 30 sierpnia 2024.</w:t>
            </w:r>
          </w:p>
          <w:p w:rsidR="003B5508" w:rsidRPr="003872CB" w:rsidRDefault="003B5508" w:rsidP="003B5508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74345232"/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podziale środków dla ministerstw, urzędów centralnych i KPRM na 2025 r. na realizację zadań związanych z przygotowaniem i sprawowaniem przewodnictwa Polski w Radzie UE w I połowie 2025 r.</w:t>
            </w:r>
            <w:bookmarkEnd w:id="8"/>
          </w:p>
          <w:p w:rsidR="003B5508" w:rsidRPr="003872CB" w:rsidRDefault="003B5508" w:rsidP="003872CB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12B2" w:rsidRPr="003872CB" w:rsidRDefault="000B2701" w:rsidP="003B5508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o paszach (UD51).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– Prawo o ustroju sądów powszechnych oraz ustawy – Prawo o ustroju sądów wojskowych (UC35).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o działaniach antyterrorystycznych oraz ustawy o Agencji Bezpieczeństwa Wewnętrznego oraz Agencji Wywiadu (UC37).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opodatkowaniu wyrównawczym jednostek składowych grup międz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ynarodowych 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 krajowych (UC20).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Sprawozdanie z realizacji Krajowego programu ogranicz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t xml:space="preserve">ania zanieczyszczenia powietrza </w:t>
            </w:r>
            <w:r w:rsidR="001926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za 2023 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Sprawozdanie o wykorzystaniu dochodów uzyskanych z aukcyjnej sprzedaży uprawnień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do emisji, sporządzone na podst. z art. 19 ust. 2 rozporządzenia Parlamentu Europejskiego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 Rady 2018/1999 w sprawie zarządzania unią energetyczną i działaniami w dziedzinie klimatu.</w:t>
            </w:r>
          </w:p>
          <w:p w:rsidR="000B2701" w:rsidRPr="003872CB" w:rsidRDefault="00B34EAA" w:rsidP="003B5508">
            <w:pPr>
              <w:pStyle w:val="Akapitzlist"/>
              <w:numPr>
                <w:ilvl w:val="0"/>
                <w:numId w:val="43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krajowego planu działania do programu polityki „Droga ku cyfrowej dekadzie”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do 2030 r.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transporcie drogowym (UC26).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Projekt ustawy o zmianie ustawy o szczególnych rozwiązaniach w zakresie przeciwdziałania wspieraniu agresji na Ukrainę oraz służących ochronie bezpieczeństwa narodowego, ustawy o Krajowej Administracji Skarbowej oraz ustawy o przeciwdziałaniu praniu pieniędzy </w:t>
            </w:r>
            <w:r w:rsid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oraz finansowaniu terroryzmu (UC41).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o rachunkowości, ustawy o biegłych rewidentach, firmach audytorskich oraz nadzorze publicznym oraz niektórych innych ustaw (UC14).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o podatku od towarów i usług oraz niektórych innych ustaw (UC56).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o gospodarce opakowaniami i odpadami opakowaniowymi oraz niektórych innych ustaw (UD45).</w:t>
            </w:r>
          </w:p>
          <w:p w:rsidR="003872CB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ustawy o zmianie ustawy – Prawo ochrony środowiska oraz niektórych innych ustaw (UC33).</w:t>
            </w:r>
          </w:p>
          <w:p w:rsidR="003B5508" w:rsidRDefault="003B5508" w:rsidP="003872C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Projekt Stanowiska Rzeczypospolitej Polskiej w sprawie udziału Polski w konsorcjum na rzecz europejskiej infrastruktury badawczej EHRI-ERIC.</w:t>
            </w:r>
          </w:p>
          <w:p w:rsidR="003872CB" w:rsidRPr="003872CB" w:rsidRDefault="003872CB" w:rsidP="003872CB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9788E" w:rsidRPr="003872CB" w:rsidRDefault="003C4BBD" w:rsidP="003B5508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3872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B34EAA" w:rsidRPr="003872CB" w:rsidRDefault="00B34EAA" w:rsidP="003872CB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o przebiegu i wynikach posiedzenia Rady Europejskiej w dniu 27 czerwca 2024 r.</w:t>
            </w:r>
          </w:p>
          <w:p w:rsidR="00B34EAA" w:rsidRPr="003872CB" w:rsidRDefault="00B34EAA" w:rsidP="003B550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„Sprawozdania z posiedzenia Rady Europejskiej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w dniu 27 czerwca 2024 r.”.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Lista uzupełniająca skład delegatów Polski do Komitetu Regionów Unii Europejskiej </w:t>
            </w:r>
            <w:r w:rsidR="004012B2" w:rsidRPr="003872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na kadencję 2020-2025.</w:t>
            </w:r>
          </w:p>
          <w:p w:rsidR="00B34EAA" w:rsidRPr="003872CB" w:rsidRDefault="00B34EAA" w:rsidP="003B550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Europejskiej Wspólnoty Politycznej w dniu 18 lipca 2024 r.</w:t>
            </w:r>
          </w:p>
          <w:p w:rsidR="00B34EAA" w:rsidRPr="003872CB" w:rsidRDefault="00B34EAA" w:rsidP="003B550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Szczyt Europejskiej Wspólnoty Politycznej w dniu 18 lipca 2024 r.”.</w:t>
            </w:r>
          </w:p>
          <w:p w:rsidR="00B34EAA" w:rsidRPr="003872CB" w:rsidRDefault="00B34EAA" w:rsidP="003B5508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do wyrażenia w ramach procedury pisemnej (CM 5/24): </w:t>
            </w:r>
            <w:r w:rsidRPr="003872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Decyzja Rady Europejskiej w sprawie mianowania Wysokiego Przedstawiciela Unii do Spraw Zagranicznych i Polityki Bezpieczeństwa</w:t>
            </w:r>
            <w:r w:rsidRPr="003872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C4BBD" w:rsidRPr="003872CB" w:rsidRDefault="00B34EAA" w:rsidP="003B5508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Dodatkowa lista uzupełniająca skład delegatów Polski do Komitetu Regionów Unii Europejskiej na kadencję 2020-2025.</w:t>
            </w:r>
          </w:p>
          <w:p w:rsidR="003B5508" w:rsidRPr="003872CB" w:rsidRDefault="003B5508" w:rsidP="003872CB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kandydatur.</w:t>
            </w:r>
          </w:p>
          <w:p w:rsidR="003B5508" w:rsidRPr="003872CB" w:rsidRDefault="003B5508" w:rsidP="003872C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Informacja w sprawie kandydatury RP na stanowisko członka Komisji Europejskiej.</w:t>
            </w:r>
          </w:p>
          <w:p w:rsidR="003B5508" w:rsidRPr="003872CB" w:rsidRDefault="003B5508" w:rsidP="003B5508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kandydatury.</w:t>
            </w:r>
          </w:p>
          <w:p w:rsidR="003872CB" w:rsidRPr="003872CB" w:rsidRDefault="003872CB" w:rsidP="003872CB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Półroczne sprawozdanie z realizacji </w:t>
            </w:r>
            <w:r w:rsidRPr="003872CB">
              <w:rPr>
                <w:rFonts w:asciiTheme="minorHAnsi" w:hAnsiTheme="minorHAnsi" w:cstheme="minorHAnsi"/>
                <w:i/>
                <w:sz w:val="22"/>
                <w:szCs w:val="22"/>
              </w:rPr>
              <w:t>Planu pracy Komitetu do Spraw Europejskich na 2024 r.</w:t>
            </w:r>
            <w:r w:rsidRPr="003872CB">
              <w:rPr>
                <w:rFonts w:asciiTheme="minorHAnsi" w:hAnsiTheme="minorHAnsi" w:cstheme="minorHAnsi"/>
                <w:sz w:val="22"/>
                <w:szCs w:val="22"/>
              </w:rPr>
              <w:t xml:space="preserve"> (za okres styczeń – czerwiec 2024 r.).</w:t>
            </w:r>
          </w:p>
        </w:tc>
      </w:tr>
    </w:tbl>
    <w:p w:rsidR="005B7044" w:rsidRPr="00497AF4" w:rsidRDefault="005B7044" w:rsidP="00497AF4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497AF4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5B" w:rsidRDefault="006A085B">
      <w:r>
        <w:separator/>
      </w:r>
    </w:p>
  </w:endnote>
  <w:endnote w:type="continuationSeparator" w:id="0">
    <w:p w:rsidR="006A085B" w:rsidRDefault="006A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6279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5B" w:rsidRDefault="006A085B">
      <w:r>
        <w:separator/>
      </w:r>
    </w:p>
  </w:footnote>
  <w:footnote w:type="continuationSeparator" w:id="0">
    <w:p w:rsidR="006A085B" w:rsidRDefault="006A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DAE"/>
    <w:multiLevelType w:val="hybridMultilevel"/>
    <w:tmpl w:val="9CF6FC8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326B"/>
    <w:multiLevelType w:val="hybridMultilevel"/>
    <w:tmpl w:val="BF56DF4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7DBD"/>
    <w:multiLevelType w:val="hybridMultilevel"/>
    <w:tmpl w:val="8A4E493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3AD"/>
    <w:multiLevelType w:val="hybridMultilevel"/>
    <w:tmpl w:val="0D62C5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80C3F"/>
    <w:multiLevelType w:val="hybridMultilevel"/>
    <w:tmpl w:val="37C4C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D6E83"/>
    <w:multiLevelType w:val="hybridMultilevel"/>
    <w:tmpl w:val="4B5451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E170B"/>
    <w:multiLevelType w:val="hybridMultilevel"/>
    <w:tmpl w:val="F01E6E1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D3E20"/>
    <w:multiLevelType w:val="hybridMultilevel"/>
    <w:tmpl w:val="118EF1F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4338"/>
    <w:multiLevelType w:val="hybridMultilevel"/>
    <w:tmpl w:val="1F428A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36BF3"/>
    <w:multiLevelType w:val="hybridMultilevel"/>
    <w:tmpl w:val="09E27B7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C483D"/>
    <w:multiLevelType w:val="hybridMultilevel"/>
    <w:tmpl w:val="05AE2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B1024"/>
    <w:multiLevelType w:val="hybridMultilevel"/>
    <w:tmpl w:val="DC74D2C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E4DD7"/>
    <w:multiLevelType w:val="hybridMultilevel"/>
    <w:tmpl w:val="DCE84D7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A1F20"/>
    <w:multiLevelType w:val="hybridMultilevel"/>
    <w:tmpl w:val="82FEC19C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71F71"/>
    <w:multiLevelType w:val="hybridMultilevel"/>
    <w:tmpl w:val="D00879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348"/>
    <w:multiLevelType w:val="hybridMultilevel"/>
    <w:tmpl w:val="BC64E1D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46E7B"/>
    <w:multiLevelType w:val="hybridMultilevel"/>
    <w:tmpl w:val="21228E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A3495"/>
    <w:multiLevelType w:val="hybridMultilevel"/>
    <w:tmpl w:val="C8C0E1F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64DA7"/>
    <w:multiLevelType w:val="hybridMultilevel"/>
    <w:tmpl w:val="AE685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580B5F2A"/>
    <w:multiLevelType w:val="hybridMultilevel"/>
    <w:tmpl w:val="2B3C27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B0A7C"/>
    <w:multiLevelType w:val="hybridMultilevel"/>
    <w:tmpl w:val="BDF04B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52A44"/>
    <w:multiLevelType w:val="hybridMultilevel"/>
    <w:tmpl w:val="5A246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D566C"/>
    <w:multiLevelType w:val="hybridMultilevel"/>
    <w:tmpl w:val="5FF24C7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68E3"/>
    <w:multiLevelType w:val="hybridMultilevel"/>
    <w:tmpl w:val="4A7A8C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12D05"/>
    <w:multiLevelType w:val="hybridMultilevel"/>
    <w:tmpl w:val="CCC65C8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00423"/>
    <w:multiLevelType w:val="hybridMultilevel"/>
    <w:tmpl w:val="D04EF9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22B97"/>
    <w:multiLevelType w:val="hybridMultilevel"/>
    <w:tmpl w:val="11A41B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152FE"/>
    <w:multiLevelType w:val="hybridMultilevel"/>
    <w:tmpl w:val="4BA66E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97FD6"/>
    <w:multiLevelType w:val="hybridMultilevel"/>
    <w:tmpl w:val="F482C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D5409C"/>
    <w:multiLevelType w:val="hybridMultilevel"/>
    <w:tmpl w:val="DFCAD66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C1B66"/>
    <w:multiLevelType w:val="hybridMultilevel"/>
    <w:tmpl w:val="A1C8DD8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E3507"/>
    <w:multiLevelType w:val="hybridMultilevel"/>
    <w:tmpl w:val="0204AB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4"/>
  </w:num>
  <w:num w:numId="3">
    <w:abstractNumId w:val="13"/>
  </w:num>
  <w:num w:numId="4">
    <w:abstractNumId w:val="6"/>
  </w:num>
  <w:num w:numId="5">
    <w:abstractNumId w:val="20"/>
  </w:num>
  <w:num w:numId="6">
    <w:abstractNumId w:val="29"/>
  </w:num>
  <w:num w:numId="7">
    <w:abstractNumId w:val="37"/>
  </w:num>
  <w:num w:numId="8">
    <w:abstractNumId w:val="10"/>
  </w:num>
  <w:num w:numId="9">
    <w:abstractNumId w:val="28"/>
  </w:num>
  <w:num w:numId="10">
    <w:abstractNumId w:val="0"/>
  </w:num>
  <w:num w:numId="11">
    <w:abstractNumId w:val="33"/>
  </w:num>
  <w:num w:numId="12">
    <w:abstractNumId w:val="43"/>
  </w:num>
  <w:num w:numId="13">
    <w:abstractNumId w:val="30"/>
  </w:num>
  <w:num w:numId="14">
    <w:abstractNumId w:val="8"/>
  </w:num>
  <w:num w:numId="15">
    <w:abstractNumId w:val="27"/>
  </w:num>
  <w:num w:numId="16">
    <w:abstractNumId w:val="21"/>
  </w:num>
  <w:num w:numId="17">
    <w:abstractNumId w:val="19"/>
  </w:num>
  <w:num w:numId="18">
    <w:abstractNumId w:val="32"/>
  </w:num>
  <w:num w:numId="19">
    <w:abstractNumId w:val="36"/>
  </w:num>
  <w:num w:numId="20">
    <w:abstractNumId w:val="7"/>
  </w:num>
  <w:num w:numId="21">
    <w:abstractNumId w:val="24"/>
  </w:num>
  <w:num w:numId="22">
    <w:abstractNumId w:val="9"/>
  </w:num>
  <w:num w:numId="23">
    <w:abstractNumId w:val="22"/>
  </w:num>
  <w:num w:numId="24">
    <w:abstractNumId w:val="12"/>
  </w:num>
  <w:num w:numId="25">
    <w:abstractNumId w:val="47"/>
  </w:num>
  <w:num w:numId="26">
    <w:abstractNumId w:val="41"/>
  </w:num>
  <w:num w:numId="27">
    <w:abstractNumId w:val="14"/>
  </w:num>
  <w:num w:numId="28">
    <w:abstractNumId w:val="26"/>
  </w:num>
  <w:num w:numId="29">
    <w:abstractNumId w:val="34"/>
  </w:num>
  <w:num w:numId="30">
    <w:abstractNumId w:val="15"/>
  </w:num>
  <w:num w:numId="31">
    <w:abstractNumId w:val="5"/>
  </w:num>
  <w:num w:numId="32">
    <w:abstractNumId w:val="16"/>
  </w:num>
  <w:num w:numId="33">
    <w:abstractNumId w:val="45"/>
  </w:num>
  <w:num w:numId="34">
    <w:abstractNumId w:val="31"/>
  </w:num>
  <w:num w:numId="35">
    <w:abstractNumId w:val="3"/>
  </w:num>
  <w:num w:numId="36">
    <w:abstractNumId w:val="38"/>
  </w:num>
  <w:num w:numId="37">
    <w:abstractNumId w:val="2"/>
  </w:num>
  <w:num w:numId="38">
    <w:abstractNumId w:val="1"/>
  </w:num>
  <w:num w:numId="39">
    <w:abstractNumId w:val="18"/>
  </w:num>
  <w:num w:numId="40">
    <w:abstractNumId w:val="17"/>
  </w:num>
  <w:num w:numId="41">
    <w:abstractNumId w:val="4"/>
  </w:num>
  <w:num w:numId="42">
    <w:abstractNumId w:val="23"/>
  </w:num>
  <w:num w:numId="43">
    <w:abstractNumId w:val="42"/>
  </w:num>
  <w:num w:numId="44">
    <w:abstractNumId w:val="35"/>
  </w:num>
  <w:num w:numId="45">
    <w:abstractNumId w:val="46"/>
  </w:num>
  <w:num w:numId="46">
    <w:abstractNumId w:val="25"/>
  </w:num>
  <w:num w:numId="47">
    <w:abstractNumId w:val="40"/>
  </w:num>
  <w:num w:numId="4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79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085B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BED14-2A78-4F80-AA43-B6AAA06A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5109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35695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2024-02-14T10:41:00Z</cp:lastPrinted>
  <dcterms:created xsi:type="dcterms:W3CDTF">2024-09-05T09:29:00Z</dcterms:created>
  <dcterms:modified xsi:type="dcterms:W3CDTF">2024-09-17T13:57:00Z</dcterms:modified>
</cp:coreProperties>
</file>