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3D" w:rsidRDefault="00A63669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D0D0D"/>
          <w:sz w:val="24"/>
          <w:szCs w:val="24"/>
        </w:rPr>
        <w:t>Umowa kupna – sprzedaży S.4005.2</w:t>
      </w:r>
      <w:r w:rsidR="00C33B78">
        <w:rPr>
          <w:rFonts w:ascii="Arial" w:hAnsi="Arial" w:cs="Arial"/>
          <w:b/>
          <w:bCs/>
          <w:color w:val="0D0D0D"/>
          <w:sz w:val="24"/>
          <w:szCs w:val="24"/>
        </w:rPr>
        <w:t>.2025</w:t>
      </w:r>
    </w:p>
    <w:p w:rsidR="009A3F3D" w:rsidRPr="009A3F3D" w:rsidRDefault="009A3F3D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9A3F3D" w:rsidRDefault="009A3F3D" w:rsidP="009A3F3D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zawarta w dniu …………….......... w Szerominku pomiędzy:</w:t>
      </w:r>
    </w:p>
    <w:p w:rsidR="009A3F3D" w:rsidRPr="009A3F3D" w:rsidRDefault="009A3F3D" w:rsidP="008E4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Skarbem Państwa Państwowym Gospodarstwem Leśnym Lasy Państwowe Nadleśnictwo Płońsk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, adres: ul. Spokojna 1, Szerominek, 09-100 Płońsk,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NIP 567-000-45-11, zwanym w dalszej</w:t>
      </w:r>
    </w:p>
    <w:p w:rsidR="009A3F3D" w:rsidRPr="009A3F3D" w:rsidRDefault="009A3F3D" w:rsidP="009A3F3D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treści umowy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 xml:space="preserve">Sprzedającym,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reprezentowanym przez:</w:t>
      </w:r>
    </w:p>
    <w:p w:rsidR="009A3F3D" w:rsidRPr="009A3F3D" w:rsidRDefault="009A3F3D" w:rsidP="009A3F3D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Nadleśniczego Wojciecha Kałę</w:t>
      </w:r>
    </w:p>
    <w:p w:rsidR="009A3F3D" w:rsidRPr="00590A8F" w:rsidRDefault="00590A8F" w:rsidP="009A3F3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 xml:space="preserve">a </w:t>
      </w:r>
      <w:r w:rsidR="009A3F3D" w:rsidRPr="009A3F3D">
        <w:rPr>
          <w:rFonts w:ascii="Arial" w:hAnsi="Arial" w:cs="Arial"/>
          <w:b/>
          <w:bCs/>
          <w:color w:val="0D0D0D"/>
          <w:sz w:val="24"/>
          <w:szCs w:val="24"/>
        </w:rPr>
        <w:t xml:space="preserve">…………………………………….., 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zwanym w dalszej treści umowy </w:t>
      </w:r>
      <w:r w:rsidR="009A3F3D" w:rsidRPr="009A3F3D">
        <w:rPr>
          <w:rFonts w:ascii="Arial" w:hAnsi="Arial" w:cs="Arial"/>
          <w:b/>
          <w:bCs/>
          <w:color w:val="0D0D0D"/>
          <w:sz w:val="24"/>
          <w:szCs w:val="24"/>
        </w:rPr>
        <w:t>Kupującym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:rsidR="009A3F3D" w:rsidRPr="009A3F3D" w:rsidRDefault="009A3F3D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1</w:t>
      </w:r>
    </w:p>
    <w:p w:rsidR="009A3F3D" w:rsidRDefault="009A3F3D" w:rsidP="009A3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Sprzedawca przenosi na Kupującego własność samochodu marki </w:t>
      </w:r>
      <w:r w:rsidR="00671CA0">
        <w:rPr>
          <w:rFonts w:ascii="Arial" w:eastAsia="TimesNewRomanPSMT" w:hAnsi="Arial" w:cs="Arial"/>
          <w:color w:val="0D0D0D"/>
          <w:sz w:val="24"/>
          <w:szCs w:val="24"/>
        </w:rPr>
        <w:t>NISSAN NAVARA D40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 o numerze rejestracyjnym</w:t>
      </w:r>
      <w:r w:rsidR="00F8042F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671CA0">
        <w:rPr>
          <w:rFonts w:ascii="Arial" w:eastAsia="TimesNewRomanPSMT" w:hAnsi="Arial" w:cs="Arial"/>
          <w:color w:val="0D0D0D"/>
          <w:sz w:val="24"/>
          <w:szCs w:val="24"/>
        </w:rPr>
        <w:t xml:space="preserve">WPN 9M99 </w:t>
      </w:r>
      <w:r w:rsidR="00555AD3">
        <w:rPr>
          <w:rFonts w:ascii="Arial" w:eastAsia="TimesNewRomanPSMT" w:hAnsi="Arial" w:cs="Arial"/>
          <w:color w:val="0D0D0D"/>
          <w:sz w:val="24"/>
          <w:szCs w:val="24"/>
        </w:rPr>
        <w:t>oraz następujących danych:</w:t>
      </w:r>
    </w:p>
    <w:p w:rsidR="00C74330" w:rsidRDefault="00C74330" w:rsidP="00C74330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D0D0D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332146" w:rsidTr="00C21B8C">
        <w:tc>
          <w:tcPr>
            <w:tcW w:w="4389" w:type="dxa"/>
          </w:tcPr>
          <w:p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pojazdu:</w:t>
            </w:r>
          </w:p>
        </w:tc>
        <w:tc>
          <w:tcPr>
            <w:tcW w:w="4390" w:type="dxa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ZŁY</w:t>
            </w:r>
          </w:p>
        </w:tc>
      </w:tr>
      <w:tr w:rsidR="00332146" w:rsidTr="00C21B8C">
        <w:tc>
          <w:tcPr>
            <w:tcW w:w="4389" w:type="dxa"/>
          </w:tcPr>
          <w:p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Marka:</w:t>
            </w:r>
          </w:p>
        </w:tc>
        <w:tc>
          <w:tcPr>
            <w:tcW w:w="4390" w:type="dxa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NISSAN</w:t>
            </w:r>
          </w:p>
        </w:tc>
      </w:tr>
      <w:tr w:rsidR="00332146" w:rsidTr="00C21B8C">
        <w:tc>
          <w:tcPr>
            <w:tcW w:w="4389" w:type="dxa"/>
          </w:tcPr>
          <w:p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Model:</w:t>
            </w:r>
          </w:p>
        </w:tc>
        <w:tc>
          <w:tcPr>
            <w:tcW w:w="4390" w:type="dxa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NAVARA</w:t>
            </w:r>
          </w:p>
        </w:tc>
      </w:tr>
      <w:tr w:rsidR="00332146" w:rsidRPr="00271929" w:rsidTr="00C21B8C">
        <w:tc>
          <w:tcPr>
            <w:tcW w:w="4389" w:type="dxa"/>
          </w:tcPr>
          <w:p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identyfikacyjny VIN:</w:t>
            </w:r>
          </w:p>
        </w:tc>
        <w:tc>
          <w:tcPr>
            <w:tcW w:w="4390" w:type="dxa"/>
          </w:tcPr>
          <w:p w:rsidR="00332146" w:rsidRPr="00271929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VSKCVND40U0364251</w:t>
            </w:r>
          </w:p>
        </w:tc>
      </w:tr>
      <w:tr w:rsidR="00332146" w:rsidTr="00C21B8C">
        <w:tc>
          <w:tcPr>
            <w:tcW w:w="4389" w:type="dxa"/>
          </w:tcPr>
          <w:p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Rok produkcji:</w:t>
            </w:r>
          </w:p>
        </w:tc>
        <w:tc>
          <w:tcPr>
            <w:tcW w:w="4390" w:type="dxa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</w:tr>
      <w:tr w:rsidR="00332146" w:rsidTr="00C21B8C">
        <w:tc>
          <w:tcPr>
            <w:tcW w:w="4389" w:type="dxa"/>
          </w:tcPr>
          <w:p w:rsidR="00332146" w:rsidRDefault="00F8042F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Pojemność skokowa(cm³)</w:t>
            </w:r>
          </w:p>
        </w:tc>
        <w:tc>
          <w:tcPr>
            <w:tcW w:w="4390" w:type="dxa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2488</w:t>
            </w:r>
          </w:p>
        </w:tc>
      </w:tr>
      <w:tr w:rsidR="00332146" w:rsidTr="00C21B8C">
        <w:tc>
          <w:tcPr>
            <w:tcW w:w="4389" w:type="dxa"/>
          </w:tcPr>
          <w:p w:rsidR="00332146" w:rsidRDefault="00F8042F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Moc (</w:t>
            </w:r>
            <w:r w:rsidR="00332146">
              <w:rPr>
                <w:rFonts w:ascii="Arial" w:hAnsi="Arial" w:cs="Arial"/>
                <w:sz w:val="24"/>
                <w:szCs w:val="24"/>
              </w:rPr>
              <w:t>kW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321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0" w:type="dxa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  <w:tr w:rsidR="00332146" w:rsidTr="00251AA8">
        <w:tc>
          <w:tcPr>
            <w:tcW w:w="4389" w:type="dxa"/>
          </w:tcPr>
          <w:p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pierwszej rejestracji:</w:t>
            </w:r>
          </w:p>
        </w:tc>
        <w:tc>
          <w:tcPr>
            <w:tcW w:w="4390" w:type="dxa"/>
            <w:shd w:val="clear" w:color="auto" w:fill="auto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08.12.2009</w:t>
            </w:r>
          </w:p>
        </w:tc>
      </w:tr>
      <w:tr w:rsidR="00332146" w:rsidTr="00C21B8C">
        <w:tc>
          <w:tcPr>
            <w:tcW w:w="4389" w:type="dxa"/>
          </w:tcPr>
          <w:p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Przebieg:</w:t>
            </w:r>
          </w:p>
        </w:tc>
        <w:tc>
          <w:tcPr>
            <w:tcW w:w="4390" w:type="dxa"/>
          </w:tcPr>
          <w:p w:rsidR="00332146" w:rsidRDefault="00671CA0" w:rsidP="00C21B8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298890</w:t>
            </w:r>
          </w:p>
        </w:tc>
      </w:tr>
      <w:tr w:rsidR="00332146" w:rsidTr="00251AA8">
        <w:tc>
          <w:tcPr>
            <w:tcW w:w="4389" w:type="dxa"/>
          </w:tcPr>
          <w:p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Przegląd:</w:t>
            </w:r>
          </w:p>
        </w:tc>
        <w:tc>
          <w:tcPr>
            <w:tcW w:w="4390" w:type="dxa"/>
            <w:shd w:val="clear" w:color="auto" w:fill="auto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22.02.2025 r.</w:t>
            </w:r>
          </w:p>
        </w:tc>
      </w:tr>
      <w:tr w:rsidR="00332146" w:rsidTr="00251AA8">
        <w:tc>
          <w:tcPr>
            <w:tcW w:w="4389" w:type="dxa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Masa całkowita(kg)</w:t>
            </w:r>
            <w:r w:rsidR="003321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0" w:type="dxa"/>
            <w:shd w:val="clear" w:color="auto" w:fill="auto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2805</w:t>
            </w:r>
          </w:p>
        </w:tc>
      </w:tr>
      <w:tr w:rsidR="00332146" w:rsidTr="00C21B8C">
        <w:tc>
          <w:tcPr>
            <w:tcW w:w="4389" w:type="dxa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pojazdu</w:t>
            </w:r>
            <w:r w:rsidR="003321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0" w:type="dxa"/>
          </w:tcPr>
          <w:p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Samochód cieżarowy</w:t>
            </w:r>
          </w:p>
        </w:tc>
      </w:tr>
    </w:tbl>
    <w:p w:rsidR="009A3F3D" w:rsidRPr="009A3F3D" w:rsidRDefault="009A3F3D" w:rsidP="009A3F3D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D0D0D"/>
          <w:sz w:val="24"/>
          <w:szCs w:val="24"/>
        </w:rPr>
      </w:pPr>
    </w:p>
    <w:p w:rsidR="009A3F3D" w:rsidRPr="00F8042F" w:rsidRDefault="009A3F3D" w:rsidP="009A3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przedawca oświadcza, że pojazd będący przedmiotem umowy stanowi jego własność, jest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wolny od wad prawnych oraz praw osób trzecich oraz, że nie stanowi przedmiotu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zabezpieczenia. Kupujący oświadcza, że stan techniczny pojazdu jest mu znany.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</w:p>
    <w:p w:rsidR="001F254A" w:rsidRPr="001F254A" w:rsidRDefault="00D47982" w:rsidP="001F25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 xml:space="preserve">Kupujący oświadcza, że zweryfikował stan techniczny pojazdu i stan ten jest mu znany. Wobec braku możliwości uruchomienia pojazdu i jego długotrwałego przestoju, Strony wyłączają rękojmię za wady. </w:t>
      </w:r>
    </w:p>
    <w:p w:rsidR="001F254A" w:rsidRPr="001F254A" w:rsidRDefault="009A3F3D" w:rsidP="009A3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Sprzedawca wyda Kupującemu przedmiot umowy po zapłaceniu ceny.</w:t>
      </w:r>
    </w:p>
    <w:p w:rsidR="009A3F3D" w:rsidRPr="001F254A" w:rsidRDefault="009A3F3D" w:rsidP="009A3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Sprzedawca wyda Kupującemu przedmiot umowy razem z dowodem rejestracyjnym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C33B78">
        <w:rPr>
          <w:rFonts w:ascii="Arial" w:eastAsia="TimesNewRomanPSMT" w:hAnsi="Arial" w:cs="Arial"/>
          <w:color w:val="0D0D0D"/>
          <w:sz w:val="24"/>
          <w:szCs w:val="24"/>
        </w:rPr>
        <w:t>pojazdu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, kompletem kluczyków, dowodem ubezpieczenia OC. Strony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z wydania przedmiotu umowy sporządzą, pod rygorem nieważności protokół, stanowiący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załą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>cznik nr 1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do umowy. Kupujący na egzemplarzu protokołu wydania pokwituje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Sprzedawcy odebranie przedmiotu umowy wraz ze wskazanymi w zdaniu poprzednim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dokumentami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i rzeczami.</w:t>
      </w:r>
    </w:p>
    <w:p w:rsidR="008E497D" w:rsidRDefault="008E497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8E497D" w:rsidRDefault="008E497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9A3F3D" w:rsidRDefault="009A3F3D" w:rsidP="008E49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2</w:t>
      </w:r>
    </w:p>
    <w:p w:rsid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lastRenderedPageBreak/>
        <w:t xml:space="preserve">Strony w wyniku przetargu pisemnego dotyczącego sprzedaży samochodu </w:t>
      </w:r>
      <w:r w:rsidR="00C33B78">
        <w:rPr>
          <w:rFonts w:ascii="Arial" w:eastAsia="TimesNewRomanPSMT" w:hAnsi="Arial" w:cs="Arial"/>
          <w:color w:val="0D0D0D"/>
          <w:sz w:val="24"/>
          <w:szCs w:val="24"/>
        </w:rPr>
        <w:t>……………………..</w:t>
      </w:r>
      <w:r w:rsidR="002458D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ustaliły cenę na kwotę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: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…………...………………00,00 zł brutto (słownie:……………………………………………………zł.).</w:t>
      </w:r>
    </w:p>
    <w:p w:rsid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Sprzedawca przenosi na rzecz Kupującego własność pojazdu określonego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w §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1 ust. 1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niniejszej umowy za kwotę określoną w §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2 ust. 1 niniejszej umowy.</w:t>
      </w:r>
    </w:p>
    <w:p w:rsid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Zapłata nastąpi na rachunek bankowy Sprzedawcy wskazany na fakturze,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w terminie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6A72" w:rsidRPr="00C849A2">
        <w:rPr>
          <w:rFonts w:ascii="Arial" w:hAnsi="Arial" w:cs="Arial"/>
          <w:sz w:val="24"/>
          <w:szCs w:val="24"/>
        </w:rPr>
        <w:t>nie dłuższym niż 7 dni od dnia wyboru przez komisję przeta</w:t>
      </w:r>
      <w:r w:rsidR="00EB6A72">
        <w:rPr>
          <w:rFonts w:ascii="Arial" w:hAnsi="Arial" w:cs="Arial"/>
          <w:sz w:val="24"/>
          <w:szCs w:val="24"/>
        </w:rPr>
        <w:t>rgową najkorzystniejszej oferty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:rsid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Sprzedawca, zgodnie z art. 589 Kodeksu cywilnego zastrzega sobie własność przedmiotu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umowy, aż do uiszczenia ceny.</w:t>
      </w:r>
    </w:p>
    <w:p w:rsidR="009A3F3D" w:rsidRP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Sprzedawca może odstąpić od niniejszej umowy w przypadku nie zapłacenia przez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Kupującego ceny w terminie wskazanym w § 2 ust. 3, bez wzywania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do zapłaty ceny.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Oświadczenie o odstąpieniu na podstawie tego zapisu Sprzedawca może złożyć w ciągu 30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dni od spełnienia się określonego w nim warunku.</w:t>
      </w:r>
    </w:p>
    <w:p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3</w:t>
      </w:r>
    </w:p>
    <w:p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Strony ustaliły, że wszelkiego rodzaju koszty transakcji</w:t>
      </w:r>
      <w:r w:rsidR="000968C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wynikają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ce z realizacji niniejszej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umowy</w:t>
      </w:r>
      <w:r w:rsidR="00C35936">
        <w:rPr>
          <w:rFonts w:ascii="Arial" w:eastAsia="TimesNewRomanPSMT" w:hAnsi="Arial" w:cs="Arial"/>
          <w:color w:val="0D0D0D"/>
          <w:sz w:val="24"/>
          <w:szCs w:val="24"/>
        </w:rPr>
        <w:t>,</w:t>
      </w:r>
      <w:r w:rsidR="000968C9">
        <w:rPr>
          <w:rFonts w:ascii="Arial" w:eastAsia="TimesNewRomanPSMT" w:hAnsi="Arial" w:cs="Arial"/>
          <w:color w:val="0D0D0D"/>
          <w:sz w:val="24"/>
          <w:szCs w:val="24"/>
        </w:rPr>
        <w:t xml:space="preserve"> w tym należne podatki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 obciążają Kupującego.</w:t>
      </w:r>
    </w:p>
    <w:p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4</w:t>
      </w:r>
    </w:p>
    <w:p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W sprawach nieuregulowanych w niniejszej umowie zastosowanie mają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obowiązują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ce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przepisy Kodeksu Cywilnego.</w:t>
      </w:r>
    </w:p>
    <w:p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5</w:t>
      </w:r>
    </w:p>
    <w:p w:rsidR="009A3F3D" w:rsidRDefault="009A3F3D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Niniejszą umowę sporządzono w dwóch jednobrzmiący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ch egzemplarzach, po jednym dla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każdej ze stron.</w:t>
      </w:r>
    </w:p>
    <w:p w:rsidR="001F254A" w:rsidRPr="009A3F3D" w:rsidRDefault="001F254A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</w:p>
    <w:p w:rsidR="009A3F3D" w:rsidRPr="00590A8F" w:rsidRDefault="001F254A" w:rsidP="009A3F3D">
      <w:pPr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 xml:space="preserve">     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                                                                                        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 Kupujący</w:t>
      </w:r>
    </w:p>
    <w:sectPr w:rsidR="009A3F3D" w:rsidRPr="0059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algun Gothic Semiligh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D81"/>
    <w:multiLevelType w:val="hybridMultilevel"/>
    <w:tmpl w:val="5CB62362"/>
    <w:lvl w:ilvl="0" w:tplc="E9F62A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630801"/>
    <w:multiLevelType w:val="hybridMultilevel"/>
    <w:tmpl w:val="6BE4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7376A"/>
    <w:multiLevelType w:val="hybridMultilevel"/>
    <w:tmpl w:val="0D386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B13C5"/>
    <w:multiLevelType w:val="hybridMultilevel"/>
    <w:tmpl w:val="56E647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49"/>
    <w:rsid w:val="000968C9"/>
    <w:rsid w:val="001F254A"/>
    <w:rsid w:val="002458DA"/>
    <w:rsid w:val="00251AA8"/>
    <w:rsid w:val="00332146"/>
    <w:rsid w:val="00555AD3"/>
    <w:rsid w:val="00590A8F"/>
    <w:rsid w:val="00671CA0"/>
    <w:rsid w:val="008E497D"/>
    <w:rsid w:val="00996A38"/>
    <w:rsid w:val="009A3F3D"/>
    <w:rsid w:val="00A22649"/>
    <w:rsid w:val="00A352B4"/>
    <w:rsid w:val="00A63669"/>
    <w:rsid w:val="00AB1C40"/>
    <w:rsid w:val="00C33B78"/>
    <w:rsid w:val="00C35936"/>
    <w:rsid w:val="00C74330"/>
    <w:rsid w:val="00D47982"/>
    <w:rsid w:val="00EB6A72"/>
    <w:rsid w:val="00F67C15"/>
    <w:rsid w:val="00F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87541-4506-44E4-A6E5-1039FDC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F3D"/>
    <w:pPr>
      <w:ind w:left="720"/>
      <w:contextualSpacing/>
    </w:pPr>
  </w:style>
  <w:style w:type="table" w:styleId="Tabela-Siatka">
    <w:name w:val="Table Grid"/>
    <w:basedOn w:val="Standardowy"/>
    <w:uiPriority w:val="39"/>
    <w:rsid w:val="00C743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Zielińska</dc:creator>
  <cp:keywords/>
  <dc:description/>
  <cp:lastModifiedBy>Katarzyna Zielińska</cp:lastModifiedBy>
  <cp:revision>2</cp:revision>
  <dcterms:created xsi:type="dcterms:W3CDTF">2025-08-12T10:30:00Z</dcterms:created>
  <dcterms:modified xsi:type="dcterms:W3CDTF">2025-08-12T10:30:00Z</dcterms:modified>
</cp:coreProperties>
</file>