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FC25B" w14:textId="77777777" w:rsidR="00F61314" w:rsidRDefault="00F61314" w:rsidP="00F61314">
      <w:pPr>
        <w:spacing w:line="360" w:lineRule="auto"/>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t>Regulamin konkursu „Organizacja pozyskująca partnerów Karty Dużej Rodziny” – edycja 2022-2023</w:t>
      </w:r>
    </w:p>
    <w:sdt>
      <w:sdtPr>
        <w:rPr>
          <w:rFonts w:ascii="Calibri" w:eastAsia="Calibri" w:hAnsi="Calibri" w:cs="Tahoma"/>
          <w:color w:val="auto"/>
          <w:sz w:val="22"/>
          <w:szCs w:val="22"/>
          <w:lang w:eastAsia="en-US"/>
        </w:rPr>
        <w:id w:val="-1944529563"/>
        <w:docPartObj>
          <w:docPartGallery w:val="Table of Contents"/>
          <w:docPartUnique/>
        </w:docPartObj>
      </w:sdtPr>
      <w:sdtEndPr/>
      <w:sdtContent>
        <w:p w14:paraId="1BA02368" w14:textId="77777777" w:rsidR="00F61314" w:rsidRDefault="00F61314" w:rsidP="00F61314">
          <w:pPr>
            <w:pStyle w:val="Nagwekspisutreci"/>
          </w:pPr>
          <w:r>
            <w:t>Spis treści</w:t>
          </w:r>
        </w:p>
        <w:p w14:paraId="697B1A7B" w14:textId="77777777" w:rsidR="00F61314" w:rsidRDefault="00F61314" w:rsidP="00F61314">
          <w:pPr>
            <w:pStyle w:val="Spistreci1"/>
            <w:tabs>
              <w:tab w:val="right" w:leader="dot" w:pos="9062"/>
            </w:tabs>
            <w:rPr>
              <w:rFonts w:asciiTheme="minorHAnsi" w:eastAsiaTheme="minorEastAsia" w:hAnsiTheme="minorHAnsi" w:cstheme="minorBidi"/>
              <w:noProof/>
              <w:lang w:eastAsia="pl-PL"/>
            </w:rPr>
          </w:pPr>
          <w:r>
            <w:fldChar w:fldCharType="begin"/>
          </w:r>
          <w:r>
            <w:instrText xml:space="preserve"> TOC \o "1-3" \h \z \u </w:instrText>
          </w:r>
          <w:r>
            <w:fldChar w:fldCharType="separate"/>
          </w:r>
          <w:hyperlink r:id="rId8" w:anchor="_Toc88569903" w:history="1">
            <w:r>
              <w:rPr>
                <w:rStyle w:val="Hipercze"/>
                <w:noProof/>
              </w:rPr>
              <w:t>I Podstawa prawna</w:t>
            </w:r>
            <w:r>
              <w:rPr>
                <w:rStyle w:val="Hipercze"/>
                <w:noProof/>
                <w:webHidden/>
                <w:color w:val="auto"/>
                <w:u w:val="none"/>
              </w:rPr>
              <w:tab/>
            </w:r>
            <w:r>
              <w:rPr>
                <w:rStyle w:val="Hipercze"/>
                <w:noProof/>
                <w:webHidden/>
                <w:color w:val="auto"/>
                <w:u w:val="none"/>
              </w:rPr>
              <w:fldChar w:fldCharType="begin"/>
            </w:r>
            <w:r>
              <w:rPr>
                <w:rStyle w:val="Hipercze"/>
                <w:noProof/>
                <w:webHidden/>
                <w:color w:val="auto"/>
                <w:u w:val="none"/>
              </w:rPr>
              <w:instrText xml:space="preserve"> PAGEREF _Toc88569903 \h </w:instrText>
            </w:r>
            <w:r>
              <w:rPr>
                <w:rStyle w:val="Hipercze"/>
                <w:noProof/>
                <w:webHidden/>
                <w:color w:val="auto"/>
                <w:u w:val="none"/>
              </w:rPr>
            </w:r>
            <w:r>
              <w:rPr>
                <w:rStyle w:val="Hipercze"/>
                <w:noProof/>
                <w:webHidden/>
                <w:color w:val="auto"/>
                <w:u w:val="none"/>
              </w:rPr>
              <w:fldChar w:fldCharType="separate"/>
            </w:r>
            <w:r>
              <w:rPr>
                <w:rStyle w:val="Hipercze"/>
                <w:noProof/>
                <w:webHidden/>
                <w:color w:val="auto"/>
                <w:u w:val="none"/>
              </w:rPr>
              <w:t>1</w:t>
            </w:r>
            <w:r>
              <w:rPr>
                <w:rStyle w:val="Hipercze"/>
                <w:noProof/>
                <w:webHidden/>
                <w:color w:val="auto"/>
                <w:u w:val="none"/>
              </w:rPr>
              <w:fldChar w:fldCharType="end"/>
            </w:r>
          </w:hyperlink>
        </w:p>
        <w:p w14:paraId="32B3C863" w14:textId="77777777" w:rsidR="00F61314" w:rsidRDefault="002B6573" w:rsidP="00F61314">
          <w:pPr>
            <w:pStyle w:val="Spistreci1"/>
            <w:tabs>
              <w:tab w:val="right" w:leader="dot" w:pos="9062"/>
            </w:tabs>
            <w:rPr>
              <w:rFonts w:asciiTheme="minorHAnsi" w:eastAsiaTheme="minorEastAsia" w:hAnsiTheme="minorHAnsi" w:cstheme="minorBidi"/>
              <w:noProof/>
              <w:lang w:eastAsia="pl-PL"/>
            </w:rPr>
          </w:pPr>
          <w:hyperlink r:id="rId9" w:anchor="_Toc88569904" w:history="1">
            <w:r w:rsidR="00F61314">
              <w:rPr>
                <w:rStyle w:val="Hipercze"/>
                <w:noProof/>
              </w:rPr>
              <w:t>II Cel</w:t>
            </w:r>
            <w:r w:rsidR="00F61314">
              <w:rPr>
                <w:rStyle w:val="Hipercze"/>
                <w:noProof/>
                <w:webHidden/>
                <w:color w:val="auto"/>
                <w:u w:val="none"/>
              </w:rPr>
              <w:tab/>
            </w:r>
            <w:r w:rsidR="00F61314">
              <w:rPr>
                <w:rStyle w:val="Hipercze"/>
                <w:noProof/>
                <w:webHidden/>
                <w:color w:val="auto"/>
                <w:u w:val="none"/>
              </w:rPr>
              <w:fldChar w:fldCharType="begin"/>
            </w:r>
            <w:r w:rsidR="00F61314">
              <w:rPr>
                <w:rStyle w:val="Hipercze"/>
                <w:noProof/>
                <w:webHidden/>
                <w:color w:val="auto"/>
                <w:u w:val="none"/>
              </w:rPr>
              <w:instrText xml:space="preserve"> PAGEREF _Toc88569904 \h </w:instrText>
            </w:r>
            <w:r w:rsidR="00F61314">
              <w:rPr>
                <w:rStyle w:val="Hipercze"/>
                <w:noProof/>
                <w:webHidden/>
                <w:color w:val="auto"/>
                <w:u w:val="none"/>
              </w:rPr>
            </w:r>
            <w:r w:rsidR="00F61314">
              <w:rPr>
                <w:rStyle w:val="Hipercze"/>
                <w:noProof/>
                <w:webHidden/>
                <w:color w:val="auto"/>
                <w:u w:val="none"/>
              </w:rPr>
              <w:fldChar w:fldCharType="separate"/>
            </w:r>
            <w:r w:rsidR="00F61314">
              <w:rPr>
                <w:rStyle w:val="Hipercze"/>
                <w:noProof/>
                <w:webHidden/>
                <w:color w:val="auto"/>
                <w:u w:val="none"/>
              </w:rPr>
              <w:t>1</w:t>
            </w:r>
            <w:r w:rsidR="00F61314">
              <w:rPr>
                <w:rStyle w:val="Hipercze"/>
                <w:noProof/>
                <w:webHidden/>
                <w:color w:val="auto"/>
                <w:u w:val="none"/>
              </w:rPr>
              <w:fldChar w:fldCharType="end"/>
            </w:r>
          </w:hyperlink>
        </w:p>
        <w:p w14:paraId="361B406D" w14:textId="77777777" w:rsidR="00F61314" w:rsidRDefault="002B6573" w:rsidP="00F61314">
          <w:pPr>
            <w:pStyle w:val="Spistreci1"/>
            <w:tabs>
              <w:tab w:val="right" w:leader="dot" w:pos="9062"/>
            </w:tabs>
            <w:rPr>
              <w:rFonts w:asciiTheme="minorHAnsi" w:eastAsiaTheme="minorEastAsia" w:hAnsiTheme="minorHAnsi" w:cstheme="minorBidi"/>
              <w:noProof/>
              <w:lang w:eastAsia="pl-PL"/>
            </w:rPr>
          </w:pPr>
          <w:hyperlink r:id="rId10" w:anchor="_Toc88569905" w:history="1">
            <w:r w:rsidR="00F61314">
              <w:rPr>
                <w:rStyle w:val="Hipercze"/>
                <w:noProof/>
              </w:rPr>
              <w:t>III Podmioty uprawnione</w:t>
            </w:r>
            <w:r w:rsidR="00F61314">
              <w:rPr>
                <w:rStyle w:val="Hipercze"/>
                <w:noProof/>
                <w:webHidden/>
                <w:color w:val="auto"/>
                <w:u w:val="none"/>
              </w:rPr>
              <w:tab/>
            </w:r>
            <w:r w:rsidR="00F61314">
              <w:rPr>
                <w:rStyle w:val="Hipercze"/>
                <w:noProof/>
                <w:webHidden/>
                <w:color w:val="auto"/>
                <w:u w:val="none"/>
              </w:rPr>
              <w:fldChar w:fldCharType="begin"/>
            </w:r>
            <w:r w:rsidR="00F61314">
              <w:rPr>
                <w:rStyle w:val="Hipercze"/>
                <w:noProof/>
                <w:webHidden/>
                <w:color w:val="auto"/>
                <w:u w:val="none"/>
              </w:rPr>
              <w:instrText xml:space="preserve"> PAGEREF _Toc88569905 \h </w:instrText>
            </w:r>
            <w:r w:rsidR="00F61314">
              <w:rPr>
                <w:rStyle w:val="Hipercze"/>
                <w:noProof/>
                <w:webHidden/>
                <w:color w:val="auto"/>
                <w:u w:val="none"/>
              </w:rPr>
            </w:r>
            <w:r w:rsidR="00F61314">
              <w:rPr>
                <w:rStyle w:val="Hipercze"/>
                <w:noProof/>
                <w:webHidden/>
                <w:color w:val="auto"/>
                <w:u w:val="none"/>
              </w:rPr>
              <w:fldChar w:fldCharType="separate"/>
            </w:r>
            <w:r w:rsidR="00F61314">
              <w:rPr>
                <w:rStyle w:val="Hipercze"/>
                <w:noProof/>
                <w:webHidden/>
                <w:color w:val="auto"/>
                <w:u w:val="none"/>
              </w:rPr>
              <w:t>2</w:t>
            </w:r>
            <w:r w:rsidR="00F61314">
              <w:rPr>
                <w:rStyle w:val="Hipercze"/>
                <w:noProof/>
                <w:webHidden/>
                <w:color w:val="auto"/>
                <w:u w:val="none"/>
              </w:rPr>
              <w:fldChar w:fldCharType="end"/>
            </w:r>
          </w:hyperlink>
        </w:p>
        <w:p w14:paraId="4E8373DB" w14:textId="77777777" w:rsidR="00F61314" w:rsidRDefault="002B6573" w:rsidP="00F61314">
          <w:pPr>
            <w:pStyle w:val="Spistreci1"/>
            <w:tabs>
              <w:tab w:val="right" w:leader="dot" w:pos="9062"/>
            </w:tabs>
            <w:rPr>
              <w:rFonts w:asciiTheme="minorHAnsi" w:eastAsiaTheme="minorEastAsia" w:hAnsiTheme="minorHAnsi" w:cstheme="minorBidi"/>
              <w:noProof/>
              <w:lang w:eastAsia="pl-PL"/>
            </w:rPr>
          </w:pPr>
          <w:hyperlink r:id="rId11" w:anchor="_Toc88569906" w:history="1">
            <w:r w:rsidR="00F61314">
              <w:rPr>
                <w:rStyle w:val="Hipercze"/>
                <w:noProof/>
              </w:rPr>
              <w:t>IV Przedmiot konkursu</w:t>
            </w:r>
            <w:r w:rsidR="00F61314">
              <w:rPr>
                <w:rStyle w:val="Hipercze"/>
                <w:noProof/>
                <w:webHidden/>
                <w:color w:val="auto"/>
                <w:u w:val="none"/>
              </w:rPr>
              <w:tab/>
            </w:r>
            <w:r w:rsidR="00F61314">
              <w:rPr>
                <w:rStyle w:val="Hipercze"/>
                <w:noProof/>
                <w:webHidden/>
                <w:color w:val="auto"/>
                <w:u w:val="none"/>
              </w:rPr>
              <w:fldChar w:fldCharType="begin"/>
            </w:r>
            <w:r w:rsidR="00F61314">
              <w:rPr>
                <w:rStyle w:val="Hipercze"/>
                <w:noProof/>
                <w:webHidden/>
                <w:color w:val="auto"/>
                <w:u w:val="none"/>
              </w:rPr>
              <w:instrText xml:space="preserve"> PAGEREF _Toc88569906 \h </w:instrText>
            </w:r>
            <w:r w:rsidR="00F61314">
              <w:rPr>
                <w:rStyle w:val="Hipercze"/>
                <w:noProof/>
                <w:webHidden/>
                <w:color w:val="auto"/>
                <w:u w:val="none"/>
              </w:rPr>
            </w:r>
            <w:r w:rsidR="00F61314">
              <w:rPr>
                <w:rStyle w:val="Hipercze"/>
                <w:noProof/>
                <w:webHidden/>
                <w:color w:val="auto"/>
                <w:u w:val="none"/>
              </w:rPr>
              <w:fldChar w:fldCharType="separate"/>
            </w:r>
            <w:r w:rsidR="00F61314">
              <w:rPr>
                <w:rStyle w:val="Hipercze"/>
                <w:noProof/>
                <w:webHidden/>
                <w:color w:val="auto"/>
                <w:u w:val="none"/>
              </w:rPr>
              <w:t>2</w:t>
            </w:r>
            <w:r w:rsidR="00F61314">
              <w:rPr>
                <w:rStyle w:val="Hipercze"/>
                <w:noProof/>
                <w:webHidden/>
                <w:color w:val="auto"/>
                <w:u w:val="none"/>
              </w:rPr>
              <w:fldChar w:fldCharType="end"/>
            </w:r>
          </w:hyperlink>
        </w:p>
        <w:p w14:paraId="240085BB" w14:textId="77777777" w:rsidR="00F61314" w:rsidRDefault="002B6573" w:rsidP="00F61314">
          <w:pPr>
            <w:pStyle w:val="Spistreci1"/>
            <w:tabs>
              <w:tab w:val="right" w:leader="dot" w:pos="9062"/>
            </w:tabs>
            <w:rPr>
              <w:rFonts w:asciiTheme="minorHAnsi" w:eastAsiaTheme="minorEastAsia" w:hAnsiTheme="minorHAnsi" w:cstheme="minorBidi"/>
              <w:noProof/>
              <w:lang w:eastAsia="pl-PL"/>
            </w:rPr>
          </w:pPr>
          <w:hyperlink r:id="rId12" w:anchor="_Toc88569907" w:history="1">
            <w:r w:rsidR="00F61314">
              <w:rPr>
                <w:rStyle w:val="Hipercze"/>
                <w:noProof/>
              </w:rPr>
              <w:t>V Partnerstwo</w:t>
            </w:r>
            <w:r w:rsidR="00F61314">
              <w:rPr>
                <w:rStyle w:val="Hipercze"/>
                <w:noProof/>
                <w:webHidden/>
                <w:color w:val="auto"/>
                <w:u w:val="none"/>
              </w:rPr>
              <w:tab/>
            </w:r>
            <w:r w:rsidR="00F61314">
              <w:rPr>
                <w:rStyle w:val="Hipercze"/>
                <w:noProof/>
                <w:webHidden/>
                <w:color w:val="auto"/>
                <w:u w:val="none"/>
              </w:rPr>
              <w:fldChar w:fldCharType="begin"/>
            </w:r>
            <w:r w:rsidR="00F61314">
              <w:rPr>
                <w:rStyle w:val="Hipercze"/>
                <w:noProof/>
                <w:webHidden/>
                <w:color w:val="auto"/>
                <w:u w:val="none"/>
              </w:rPr>
              <w:instrText xml:space="preserve"> PAGEREF _Toc88569907 \h </w:instrText>
            </w:r>
            <w:r w:rsidR="00F61314">
              <w:rPr>
                <w:rStyle w:val="Hipercze"/>
                <w:noProof/>
                <w:webHidden/>
                <w:color w:val="auto"/>
                <w:u w:val="none"/>
              </w:rPr>
            </w:r>
            <w:r w:rsidR="00F61314">
              <w:rPr>
                <w:rStyle w:val="Hipercze"/>
                <w:noProof/>
                <w:webHidden/>
                <w:color w:val="auto"/>
                <w:u w:val="none"/>
              </w:rPr>
              <w:fldChar w:fldCharType="separate"/>
            </w:r>
            <w:r w:rsidR="00F61314">
              <w:rPr>
                <w:rStyle w:val="Hipercze"/>
                <w:noProof/>
                <w:webHidden/>
                <w:color w:val="auto"/>
                <w:u w:val="none"/>
              </w:rPr>
              <w:t>4</w:t>
            </w:r>
            <w:r w:rsidR="00F61314">
              <w:rPr>
                <w:rStyle w:val="Hipercze"/>
                <w:noProof/>
                <w:webHidden/>
                <w:color w:val="auto"/>
                <w:u w:val="none"/>
              </w:rPr>
              <w:fldChar w:fldCharType="end"/>
            </w:r>
          </w:hyperlink>
        </w:p>
        <w:p w14:paraId="4317235C" w14:textId="77777777" w:rsidR="00F61314" w:rsidRDefault="002B6573" w:rsidP="00F61314">
          <w:pPr>
            <w:pStyle w:val="Spistreci1"/>
            <w:tabs>
              <w:tab w:val="right" w:leader="dot" w:pos="9062"/>
            </w:tabs>
            <w:rPr>
              <w:rFonts w:asciiTheme="minorHAnsi" w:eastAsiaTheme="minorEastAsia" w:hAnsiTheme="minorHAnsi" w:cstheme="minorBidi"/>
              <w:noProof/>
              <w:lang w:eastAsia="pl-PL"/>
            </w:rPr>
          </w:pPr>
          <w:hyperlink r:id="rId13" w:anchor="_Toc88569908" w:history="1">
            <w:r w:rsidR="00F61314">
              <w:rPr>
                <w:rStyle w:val="Hipercze"/>
                <w:noProof/>
              </w:rPr>
              <w:t>VI Oferta wspólna</w:t>
            </w:r>
            <w:r w:rsidR="00F61314">
              <w:rPr>
                <w:rStyle w:val="Hipercze"/>
                <w:noProof/>
                <w:webHidden/>
                <w:color w:val="auto"/>
                <w:u w:val="none"/>
              </w:rPr>
              <w:tab/>
            </w:r>
            <w:r w:rsidR="00F61314">
              <w:rPr>
                <w:rStyle w:val="Hipercze"/>
                <w:noProof/>
                <w:webHidden/>
                <w:color w:val="auto"/>
                <w:u w:val="none"/>
              </w:rPr>
              <w:fldChar w:fldCharType="begin"/>
            </w:r>
            <w:r w:rsidR="00F61314">
              <w:rPr>
                <w:rStyle w:val="Hipercze"/>
                <w:noProof/>
                <w:webHidden/>
                <w:color w:val="auto"/>
                <w:u w:val="none"/>
              </w:rPr>
              <w:instrText xml:space="preserve"> PAGEREF _Toc88569908 \h </w:instrText>
            </w:r>
            <w:r w:rsidR="00F61314">
              <w:rPr>
                <w:rStyle w:val="Hipercze"/>
                <w:noProof/>
                <w:webHidden/>
                <w:color w:val="auto"/>
                <w:u w:val="none"/>
              </w:rPr>
            </w:r>
            <w:r w:rsidR="00F61314">
              <w:rPr>
                <w:rStyle w:val="Hipercze"/>
                <w:noProof/>
                <w:webHidden/>
                <w:color w:val="auto"/>
                <w:u w:val="none"/>
              </w:rPr>
              <w:fldChar w:fldCharType="separate"/>
            </w:r>
            <w:r w:rsidR="00F61314">
              <w:rPr>
                <w:rStyle w:val="Hipercze"/>
                <w:noProof/>
                <w:webHidden/>
                <w:color w:val="auto"/>
                <w:u w:val="none"/>
              </w:rPr>
              <w:t>4</w:t>
            </w:r>
            <w:r w:rsidR="00F61314">
              <w:rPr>
                <w:rStyle w:val="Hipercze"/>
                <w:noProof/>
                <w:webHidden/>
                <w:color w:val="auto"/>
                <w:u w:val="none"/>
              </w:rPr>
              <w:fldChar w:fldCharType="end"/>
            </w:r>
          </w:hyperlink>
        </w:p>
        <w:p w14:paraId="69B464C0" w14:textId="77777777" w:rsidR="00F61314" w:rsidRDefault="002B6573" w:rsidP="00F61314">
          <w:pPr>
            <w:pStyle w:val="Spistreci1"/>
            <w:tabs>
              <w:tab w:val="right" w:leader="dot" w:pos="9062"/>
            </w:tabs>
            <w:rPr>
              <w:rFonts w:asciiTheme="minorHAnsi" w:eastAsiaTheme="minorEastAsia" w:hAnsiTheme="minorHAnsi" w:cstheme="minorBidi"/>
              <w:noProof/>
              <w:lang w:eastAsia="pl-PL"/>
            </w:rPr>
          </w:pPr>
          <w:hyperlink r:id="rId14" w:anchor="_Toc88569909" w:history="1">
            <w:r w:rsidR="00F61314">
              <w:rPr>
                <w:rStyle w:val="Hipercze"/>
                <w:noProof/>
              </w:rPr>
              <w:t>VII Dofinansowywane zadanie</w:t>
            </w:r>
            <w:r w:rsidR="00F61314">
              <w:rPr>
                <w:rStyle w:val="Hipercze"/>
                <w:noProof/>
                <w:webHidden/>
                <w:color w:val="auto"/>
                <w:u w:val="none"/>
              </w:rPr>
              <w:tab/>
            </w:r>
            <w:r w:rsidR="00F61314">
              <w:rPr>
                <w:rStyle w:val="Hipercze"/>
                <w:noProof/>
                <w:webHidden/>
                <w:color w:val="auto"/>
                <w:u w:val="none"/>
              </w:rPr>
              <w:fldChar w:fldCharType="begin"/>
            </w:r>
            <w:r w:rsidR="00F61314">
              <w:rPr>
                <w:rStyle w:val="Hipercze"/>
                <w:noProof/>
                <w:webHidden/>
                <w:color w:val="auto"/>
                <w:u w:val="none"/>
              </w:rPr>
              <w:instrText xml:space="preserve"> PAGEREF _Toc88569909 \h </w:instrText>
            </w:r>
            <w:r w:rsidR="00F61314">
              <w:rPr>
                <w:rStyle w:val="Hipercze"/>
                <w:noProof/>
                <w:webHidden/>
                <w:color w:val="auto"/>
                <w:u w:val="none"/>
              </w:rPr>
            </w:r>
            <w:r w:rsidR="00F61314">
              <w:rPr>
                <w:rStyle w:val="Hipercze"/>
                <w:noProof/>
                <w:webHidden/>
                <w:color w:val="auto"/>
                <w:u w:val="none"/>
              </w:rPr>
              <w:fldChar w:fldCharType="separate"/>
            </w:r>
            <w:r w:rsidR="00F61314">
              <w:rPr>
                <w:rStyle w:val="Hipercze"/>
                <w:noProof/>
                <w:webHidden/>
                <w:color w:val="auto"/>
                <w:u w:val="none"/>
              </w:rPr>
              <w:t>4</w:t>
            </w:r>
            <w:r w:rsidR="00F61314">
              <w:rPr>
                <w:rStyle w:val="Hipercze"/>
                <w:noProof/>
                <w:webHidden/>
                <w:color w:val="auto"/>
                <w:u w:val="none"/>
              </w:rPr>
              <w:fldChar w:fldCharType="end"/>
            </w:r>
          </w:hyperlink>
        </w:p>
        <w:p w14:paraId="4889FBE8" w14:textId="77777777" w:rsidR="00F61314" w:rsidRDefault="002B6573" w:rsidP="00F61314">
          <w:pPr>
            <w:pStyle w:val="Spistreci1"/>
            <w:tabs>
              <w:tab w:val="right" w:leader="dot" w:pos="9062"/>
            </w:tabs>
            <w:rPr>
              <w:rFonts w:asciiTheme="minorHAnsi" w:eastAsiaTheme="minorEastAsia" w:hAnsiTheme="minorHAnsi" w:cstheme="minorBidi"/>
              <w:noProof/>
              <w:lang w:eastAsia="pl-PL"/>
            </w:rPr>
          </w:pPr>
          <w:hyperlink r:id="rId15" w:anchor="_Toc88569910" w:history="1">
            <w:r w:rsidR="00F61314">
              <w:rPr>
                <w:rStyle w:val="Hipercze"/>
                <w:noProof/>
              </w:rPr>
              <w:t>VIII Finansowanie</w:t>
            </w:r>
            <w:r w:rsidR="00F61314">
              <w:rPr>
                <w:rStyle w:val="Hipercze"/>
                <w:noProof/>
                <w:webHidden/>
                <w:color w:val="auto"/>
                <w:u w:val="none"/>
              </w:rPr>
              <w:tab/>
            </w:r>
            <w:r w:rsidR="00F61314">
              <w:rPr>
                <w:rStyle w:val="Hipercze"/>
                <w:noProof/>
                <w:webHidden/>
                <w:color w:val="auto"/>
                <w:u w:val="none"/>
              </w:rPr>
              <w:fldChar w:fldCharType="begin"/>
            </w:r>
            <w:r w:rsidR="00F61314">
              <w:rPr>
                <w:rStyle w:val="Hipercze"/>
                <w:noProof/>
                <w:webHidden/>
                <w:color w:val="auto"/>
                <w:u w:val="none"/>
              </w:rPr>
              <w:instrText xml:space="preserve"> PAGEREF _Toc88569910 \h </w:instrText>
            </w:r>
            <w:r w:rsidR="00F61314">
              <w:rPr>
                <w:rStyle w:val="Hipercze"/>
                <w:noProof/>
                <w:webHidden/>
                <w:color w:val="auto"/>
                <w:u w:val="none"/>
              </w:rPr>
            </w:r>
            <w:r w:rsidR="00F61314">
              <w:rPr>
                <w:rStyle w:val="Hipercze"/>
                <w:noProof/>
                <w:webHidden/>
                <w:color w:val="auto"/>
                <w:u w:val="none"/>
              </w:rPr>
              <w:fldChar w:fldCharType="separate"/>
            </w:r>
            <w:r w:rsidR="00F61314">
              <w:rPr>
                <w:rStyle w:val="Hipercze"/>
                <w:noProof/>
                <w:webHidden/>
                <w:color w:val="auto"/>
                <w:u w:val="none"/>
              </w:rPr>
              <w:t>5</w:t>
            </w:r>
            <w:r w:rsidR="00F61314">
              <w:rPr>
                <w:rStyle w:val="Hipercze"/>
                <w:noProof/>
                <w:webHidden/>
                <w:color w:val="auto"/>
                <w:u w:val="none"/>
              </w:rPr>
              <w:fldChar w:fldCharType="end"/>
            </w:r>
          </w:hyperlink>
        </w:p>
        <w:p w14:paraId="7091CB2B" w14:textId="77777777" w:rsidR="00F61314" w:rsidRDefault="002B6573" w:rsidP="00F61314">
          <w:pPr>
            <w:pStyle w:val="Spistreci1"/>
            <w:tabs>
              <w:tab w:val="right" w:leader="dot" w:pos="9062"/>
            </w:tabs>
            <w:rPr>
              <w:rFonts w:asciiTheme="minorHAnsi" w:eastAsiaTheme="minorEastAsia" w:hAnsiTheme="minorHAnsi" w:cstheme="minorBidi"/>
              <w:noProof/>
              <w:lang w:eastAsia="pl-PL"/>
            </w:rPr>
          </w:pPr>
          <w:hyperlink r:id="rId16" w:anchor="_Toc88569911" w:history="1">
            <w:r w:rsidR="00F61314">
              <w:rPr>
                <w:rStyle w:val="Hipercze"/>
                <w:noProof/>
              </w:rPr>
              <w:t>IX Sposób wypłacania dotacji</w:t>
            </w:r>
            <w:r w:rsidR="00F61314">
              <w:rPr>
                <w:rStyle w:val="Hipercze"/>
                <w:noProof/>
                <w:webHidden/>
                <w:color w:val="auto"/>
                <w:u w:val="none"/>
              </w:rPr>
              <w:tab/>
            </w:r>
            <w:r w:rsidR="00F61314">
              <w:rPr>
                <w:rStyle w:val="Hipercze"/>
                <w:noProof/>
                <w:webHidden/>
                <w:color w:val="auto"/>
                <w:u w:val="none"/>
              </w:rPr>
              <w:fldChar w:fldCharType="begin"/>
            </w:r>
            <w:r w:rsidR="00F61314">
              <w:rPr>
                <w:rStyle w:val="Hipercze"/>
                <w:noProof/>
                <w:webHidden/>
                <w:color w:val="auto"/>
                <w:u w:val="none"/>
              </w:rPr>
              <w:instrText xml:space="preserve"> PAGEREF _Toc88569911 \h </w:instrText>
            </w:r>
            <w:r w:rsidR="00F61314">
              <w:rPr>
                <w:rStyle w:val="Hipercze"/>
                <w:noProof/>
                <w:webHidden/>
                <w:color w:val="auto"/>
                <w:u w:val="none"/>
              </w:rPr>
            </w:r>
            <w:r w:rsidR="00F61314">
              <w:rPr>
                <w:rStyle w:val="Hipercze"/>
                <w:noProof/>
                <w:webHidden/>
                <w:color w:val="auto"/>
                <w:u w:val="none"/>
              </w:rPr>
              <w:fldChar w:fldCharType="separate"/>
            </w:r>
            <w:r w:rsidR="00F61314">
              <w:rPr>
                <w:rStyle w:val="Hipercze"/>
                <w:noProof/>
                <w:webHidden/>
                <w:color w:val="auto"/>
                <w:u w:val="none"/>
              </w:rPr>
              <w:t>8</w:t>
            </w:r>
            <w:r w:rsidR="00F61314">
              <w:rPr>
                <w:rStyle w:val="Hipercze"/>
                <w:noProof/>
                <w:webHidden/>
                <w:color w:val="auto"/>
                <w:u w:val="none"/>
              </w:rPr>
              <w:fldChar w:fldCharType="end"/>
            </w:r>
          </w:hyperlink>
        </w:p>
        <w:p w14:paraId="242C334C" w14:textId="77777777" w:rsidR="00F61314" w:rsidRDefault="002B6573" w:rsidP="00F61314">
          <w:pPr>
            <w:pStyle w:val="Spistreci1"/>
            <w:tabs>
              <w:tab w:val="right" w:leader="dot" w:pos="9062"/>
            </w:tabs>
            <w:rPr>
              <w:rFonts w:asciiTheme="minorHAnsi" w:eastAsiaTheme="minorEastAsia" w:hAnsiTheme="minorHAnsi" w:cstheme="minorBidi"/>
              <w:noProof/>
              <w:lang w:eastAsia="pl-PL"/>
            </w:rPr>
          </w:pPr>
          <w:hyperlink r:id="rId17" w:anchor="_Toc88569912" w:history="1">
            <w:r w:rsidR="00F61314">
              <w:rPr>
                <w:rStyle w:val="Hipercze"/>
                <w:noProof/>
              </w:rPr>
              <w:t>X Zasady składania ofert – wymagania formalne</w:t>
            </w:r>
            <w:r w:rsidR="00F61314">
              <w:rPr>
                <w:rStyle w:val="Hipercze"/>
                <w:noProof/>
                <w:webHidden/>
                <w:color w:val="auto"/>
                <w:u w:val="none"/>
              </w:rPr>
              <w:tab/>
            </w:r>
            <w:r w:rsidR="00F61314">
              <w:rPr>
                <w:rStyle w:val="Hipercze"/>
                <w:noProof/>
                <w:webHidden/>
                <w:color w:val="auto"/>
                <w:u w:val="none"/>
              </w:rPr>
              <w:fldChar w:fldCharType="begin"/>
            </w:r>
            <w:r w:rsidR="00F61314">
              <w:rPr>
                <w:rStyle w:val="Hipercze"/>
                <w:noProof/>
                <w:webHidden/>
                <w:color w:val="auto"/>
                <w:u w:val="none"/>
              </w:rPr>
              <w:instrText xml:space="preserve"> PAGEREF _Toc88569912 \h </w:instrText>
            </w:r>
            <w:r w:rsidR="00F61314">
              <w:rPr>
                <w:rStyle w:val="Hipercze"/>
                <w:noProof/>
                <w:webHidden/>
                <w:color w:val="auto"/>
                <w:u w:val="none"/>
              </w:rPr>
            </w:r>
            <w:r w:rsidR="00F61314">
              <w:rPr>
                <w:rStyle w:val="Hipercze"/>
                <w:noProof/>
                <w:webHidden/>
                <w:color w:val="auto"/>
                <w:u w:val="none"/>
              </w:rPr>
              <w:fldChar w:fldCharType="separate"/>
            </w:r>
            <w:r w:rsidR="00F61314">
              <w:rPr>
                <w:rStyle w:val="Hipercze"/>
                <w:noProof/>
                <w:webHidden/>
                <w:color w:val="auto"/>
                <w:u w:val="none"/>
              </w:rPr>
              <w:t>15</w:t>
            </w:r>
            <w:r w:rsidR="00F61314">
              <w:rPr>
                <w:rStyle w:val="Hipercze"/>
                <w:noProof/>
                <w:webHidden/>
                <w:color w:val="auto"/>
                <w:u w:val="none"/>
              </w:rPr>
              <w:fldChar w:fldCharType="end"/>
            </w:r>
          </w:hyperlink>
        </w:p>
        <w:p w14:paraId="4EB8BC0E" w14:textId="77777777" w:rsidR="00F61314" w:rsidRDefault="002B6573" w:rsidP="00F61314">
          <w:pPr>
            <w:pStyle w:val="Spistreci1"/>
            <w:tabs>
              <w:tab w:val="right" w:leader="dot" w:pos="9062"/>
            </w:tabs>
            <w:rPr>
              <w:rFonts w:asciiTheme="minorHAnsi" w:eastAsiaTheme="minorEastAsia" w:hAnsiTheme="minorHAnsi" w:cstheme="minorBidi"/>
              <w:noProof/>
              <w:lang w:eastAsia="pl-PL"/>
            </w:rPr>
          </w:pPr>
          <w:hyperlink r:id="rId18" w:anchor="_Toc88569913" w:history="1">
            <w:r w:rsidR="00F61314">
              <w:rPr>
                <w:rStyle w:val="Hipercze"/>
                <w:noProof/>
              </w:rPr>
              <w:t>XI Zasady kwalifikowania ofert</w:t>
            </w:r>
            <w:r w:rsidR="00F61314">
              <w:rPr>
                <w:rStyle w:val="Hipercze"/>
                <w:noProof/>
                <w:webHidden/>
                <w:color w:val="auto"/>
                <w:u w:val="none"/>
              </w:rPr>
              <w:tab/>
            </w:r>
            <w:r w:rsidR="00F61314">
              <w:rPr>
                <w:rStyle w:val="Hipercze"/>
                <w:noProof/>
                <w:webHidden/>
                <w:color w:val="auto"/>
                <w:u w:val="none"/>
              </w:rPr>
              <w:fldChar w:fldCharType="begin"/>
            </w:r>
            <w:r w:rsidR="00F61314">
              <w:rPr>
                <w:rStyle w:val="Hipercze"/>
                <w:noProof/>
                <w:webHidden/>
                <w:color w:val="auto"/>
                <w:u w:val="none"/>
              </w:rPr>
              <w:instrText xml:space="preserve"> PAGEREF _Toc88569913 \h </w:instrText>
            </w:r>
            <w:r w:rsidR="00F61314">
              <w:rPr>
                <w:rStyle w:val="Hipercze"/>
                <w:noProof/>
                <w:webHidden/>
                <w:color w:val="auto"/>
                <w:u w:val="none"/>
              </w:rPr>
            </w:r>
            <w:r w:rsidR="00F61314">
              <w:rPr>
                <w:rStyle w:val="Hipercze"/>
                <w:noProof/>
                <w:webHidden/>
                <w:color w:val="auto"/>
                <w:u w:val="none"/>
              </w:rPr>
              <w:fldChar w:fldCharType="separate"/>
            </w:r>
            <w:r w:rsidR="00F61314">
              <w:rPr>
                <w:rStyle w:val="Hipercze"/>
                <w:noProof/>
                <w:webHidden/>
                <w:color w:val="auto"/>
                <w:u w:val="none"/>
              </w:rPr>
              <w:t>16</w:t>
            </w:r>
            <w:r w:rsidR="00F61314">
              <w:rPr>
                <w:rStyle w:val="Hipercze"/>
                <w:noProof/>
                <w:webHidden/>
                <w:color w:val="auto"/>
                <w:u w:val="none"/>
              </w:rPr>
              <w:fldChar w:fldCharType="end"/>
            </w:r>
          </w:hyperlink>
        </w:p>
        <w:p w14:paraId="20134FF0" w14:textId="77777777" w:rsidR="00F61314" w:rsidRDefault="002B6573" w:rsidP="00F61314">
          <w:pPr>
            <w:pStyle w:val="Spistreci1"/>
            <w:tabs>
              <w:tab w:val="right" w:leader="dot" w:pos="9062"/>
            </w:tabs>
            <w:rPr>
              <w:rFonts w:asciiTheme="minorHAnsi" w:eastAsiaTheme="minorEastAsia" w:hAnsiTheme="minorHAnsi" w:cstheme="minorBidi"/>
              <w:noProof/>
              <w:lang w:eastAsia="pl-PL"/>
            </w:rPr>
          </w:pPr>
          <w:hyperlink r:id="rId19" w:anchor="_Toc88569914" w:history="1">
            <w:r w:rsidR="00F61314">
              <w:rPr>
                <w:rStyle w:val="Hipercze"/>
                <w:noProof/>
              </w:rPr>
              <w:t>XII Ogłoszenie wyników</w:t>
            </w:r>
            <w:r w:rsidR="00F61314">
              <w:rPr>
                <w:rStyle w:val="Hipercze"/>
                <w:noProof/>
                <w:webHidden/>
                <w:color w:val="auto"/>
                <w:u w:val="none"/>
              </w:rPr>
              <w:tab/>
            </w:r>
            <w:r w:rsidR="00F61314">
              <w:rPr>
                <w:rStyle w:val="Hipercze"/>
                <w:noProof/>
                <w:webHidden/>
                <w:color w:val="auto"/>
                <w:u w:val="none"/>
              </w:rPr>
              <w:fldChar w:fldCharType="begin"/>
            </w:r>
            <w:r w:rsidR="00F61314">
              <w:rPr>
                <w:rStyle w:val="Hipercze"/>
                <w:noProof/>
                <w:webHidden/>
                <w:color w:val="auto"/>
                <w:u w:val="none"/>
              </w:rPr>
              <w:instrText xml:space="preserve"> PAGEREF _Toc88569914 \h </w:instrText>
            </w:r>
            <w:r w:rsidR="00F61314">
              <w:rPr>
                <w:rStyle w:val="Hipercze"/>
                <w:noProof/>
                <w:webHidden/>
                <w:color w:val="auto"/>
                <w:u w:val="none"/>
              </w:rPr>
            </w:r>
            <w:r w:rsidR="00F61314">
              <w:rPr>
                <w:rStyle w:val="Hipercze"/>
                <w:noProof/>
                <w:webHidden/>
                <w:color w:val="auto"/>
                <w:u w:val="none"/>
              </w:rPr>
              <w:fldChar w:fldCharType="separate"/>
            </w:r>
            <w:r w:rsidR="00F61314">
              <w:rPr>
                <w:rStyle w:val="Hipercze"/>
                <w:noProof/>
                <w:webHidden/>
                <w:color w:val="auto"/>
                <w:u w:val="none"/>
              </w:rPr>
              <w:t>19</w:t>
            </w:r>
            <w:r w:rsidR="00F61314">
              <w:rPr>
                <w:rStyle w:val="Hipercze"/>
                <w:noProof/>
                <w:webHidden/>
                <w:color w:val="auto"/>
                <w:u w:val="none"/>
              </w:rPr>
              <w:fldChar w:fldCharType="end"/>
            </w:r>
          </w:hyperlink>
        </w:p>
        <w:p w14:paraId="1FEE5E6A" w14:textId="77777777" w:rsidR="00F61314" w:rsidRDefault="002B6573" w:rsidP="00F61314">
          <w:pPr>
            <w:pStyle w:val="Spistreci1"/>
            <w:tabs>
              <w:tab w:val="right" w:leader="dot" w:pos="9062"/>
            </w:tabs>
            <w:rPr>
              <w:rFonts w:asciiTheme="minorHAnsi" w:eastAsiaTheme="minorEastAsia" w:hAnsiTheme="minorHAnsi" w:cstheme="minorBidi"/>
              <w:noProof/>
              <w:lang w:eastAsia="pl-PL"/>
            </w:rPr>
          </w:pPr>
          <w:hyperlink r:id="rId20" w:anchor="_Toc88569915" w:history="1">
            <w:r w:rsidR="00F61314">
              <w:rPr>
                <w:rStyle w:val="Hipercze"/>
                <w:noProof/>
              </w:rPr>
              <w:t>XIII Zawarcie umowy</w:t>
            </w:r>
            <w:r w:rsidR="00F61314">
              <w:rPr>
                <w:rStyle w:val="Hipercze"/>
                <w:noProof/>
                <w:webHidden/>
                <w:color w:val="auto"/>
                <w:u w:val="none"/>
              </w:rPr>
              <w:tab/>
            </w:r>
            <w:r w:rsidR="00F61314">
              <w:rPr>
                <w:rStyle w:val="Hipercze"/>
                <w:noProof/>
                <w:webHidden/>
                <w:color w:val="auto"/>
                <w:u w:val="none"/>
              </w:rPr>
              <w:fldChar w:fldCharType="begin"/>
            </w:r>
            <w:r w:rsidR="00F61314">
              <w:rPr>
                <w:rStyle w:val="Hipercze"/>
                <w:noProof/>
                <w:webHidden/>
                <w:color w:val="auto"/>
                <w:u w:val="none"/>
              </w:rPr>
              <w:instrText xml:space="preserve"> PAGEREF _Toc88569915 \h </w:instrText>
            </w:r>
            <w:r w:rsidR="00F61314">
              <w:rPr>
                <w:rStyle w:val="Hipercze"/>
                <w:noProof/>
                <w:webHidden/>
                <w:color w:val="auto"/>
                <w:u w:val="none"/>
              </w:rPr>
            </w:r>
            <w:r w:rsidR="00F61314">
              <w:rPr>
                <w:rStyle w:val="Hipercze"/>
                <w:noProof/>
                <w:webHidden/>
                <w:color w:val="auto"/>
                <w:u w:val="none"/>
              </w:rPr>
              <w:fldChar w:fldCharType="separate"/>
            </w:r>
            <w:r w:rsidR="00F61314">
              <w:rPr>
                <w:rStyle w:val="Hipercze"/>
                <w:noProof/>
                <w:webHidden/>
                <w:color w:val="auto"/>
                <w:u w:val="none"/>
              </w:rPr>
              <w:t>19</w:t>
            </w:r>
            <w:r w:rsidR="00F61314">
              <w:rPr>
                <w:rStyle w:val="Hipercze"/>
                <w:noProof/>
                <w:webHidden/>
                <w:color w:val="auto"/>
                <w:u w:val="none"/>
              </w:rPr>
              <w:fldChar w:fldCharType="end"/>
            </w:r>
          </w:hyperlink>
        </w:p>
        <w:p w14:paraId="16A8D324" w14:textId="77777777" w:rsidR="00F61314" w:rsidRDefault="002B6573" w:rsidP="00F61314">
          <w:pPr>
            <w:pStyle w:val="Spistreci1"/>
            <w:tabs>
              <w:tab w:val="right" w:leader="dot" w:pos="9062"/>
            </w:tabs>
            <w:rPr>
              <w:rFonts w:asciiTheme="minorHAnsi" w:eastAsiaTheme="minorEastAsia" w:hAnsiTheme="minorHAnsi" w:cstheme="minorBidi"/>
              <w:noProof/>
              <w:lang w:eastAsia="pl-PL"/>
            </w:rPr>
          </w:pPr>
          <w:hyperlink r:id="rId21" w:anchor="_Toc88569916" w:history="1">
            <w:r w:rsidR="00F61314">
              <w:rPr>
                <w:rStyle w:val="Hipercze"/>
                <w:noProof/>
              </w:rPr>
              <w:t>XIV Zadania podmiotów</w:t>
            </w:r>
            <w:r w:rsidR="00F61314">
              <w:rPr>
                <w:rStyle w:val="Hipercze"/>
                <w:noProof/>
                <w:webHidden/>
                <w:color w:val="auto"/>
                <w:u w:val="none"/>
              </w:rPr>
              <w:tab/>
            </w:r>
            <w:r w:rsidR="00F61314">
              <w:rPr>
                <w:rStyle w:val="Hipercze"/>
                <w:noProof/>
                <w:webHidden/>
                <w:color w:val="auto"/>
                <w:u w:val="none"/>
              </w:rPr>
              <w:fldChar w:fldCharType="begin"/>
            </w:r>
            <w:r w:rsidR="00F61314">
              <w:rPr>
                <w:rStyle w:val="Hipercze"/>
                <w:noProof/>
                <w:webHidden/>
                <w:color w:val="auto"/>
                <w:u w:val="none"/>
              </w:rPr>
              <w:instrText xml:space="preserve"> PAGEREF _Toc88569916 \h </w:instrText>
            </w:r>
            <w:r w:rsidR="00F61314">
              <w:rPr>
                <w:rStyle w:val="Hipercze"/>
                <w:noProof/>
                <w:webHidden/>
                <w:color w:val="auto"/>
                <w:u w:val="none"/>
              </w:rPr>
            </w:r>
            <w:r w:rsidR="00F61314">
              <w:rPr>
                <w:rStyle w:val="Hipercze"/>
                <w:noProof/>
                <w:webHidden/>
                <w:color w:val="auto"/>
                <w:u w:val="none"/>
              </w:rPr>
              <w:fldChar w:fldCharType="separate"/>
            </w:r>
            <w:r w:rsidR="00F61314">
              <w:rPr>
                <w:rStyle w:val="Hipercze"/>
                <w:noProof/>
                <w:webHidden/>
                <w:color w:val="auto"/>
                <w:u w:val="none"/>
              </w:rPr>
              <w:t>20</w:t>
            </w:r>
            <w:r w:rsidR="00F61314">
              <w:rPr>
                <w:rStyle w:val="Hipercze"/>
                <w:noProof/>
                <w:webHidden/>
                <w:color w:val="auto"/>
                <w:u w:val="none"/>
              </w:rPr>
              <w:fldChar w:fldCharType="end"/>
            </w:r>
          </w:hyperlink>
        </w:p>
        <w:p w14:paraId="65B8BC41" w14:textId="77777777" w:rsidR="00F61314" w:rsidRDefault="002B6573" w:rsidP="00F61314">
          <w:pPr>
            <w:pStyle w:val="Spistreci1"/>
            <w:tabs>
              <w:tab w:val="right" w:leader="dot" w:pos="9062"/>
            </w:tabs>
            <w:rPr>
              <w:rFonts w:asciiTheme="minorHAnsi" w:eastAsiaTheme="minorEastAsia" w:hAnsiTheme="minorHAnsi" w:cstheme="minorBidi"/>
              <w:noProof/>
              <w:lang w:eastAsia="pl-PL"/>
            </w:rPr>
          </w:pPr>
          <w:hyperlink r:id="rId22" w:anchor="_Toc88569917" w:history="1">
            <w:r w:rsidR="00F61314">
              <w:rPr>
                <w:rStyle w:val="Hipercze"/>
                <w:noProof/>
              </w:rPr>
              <w:t>XV Postanowienia końcowe</w:t>
            </w:r>
            <w:r w:rsidR="00F61314">
              <w:rPr>
                <w:rStyle w:val="Hipercze"/>
                <w:noProof/>
                <w:webHidden/>
                <w:color w:val="auto"/>
                <w:u w:val="none"/>
              </w:rPr>
              <w:tab/>
            </w:r>
            <w:r w:rsidR="00F61314">
              <w:rPr>
                <w:rStyle w:val="Hipercze"/>
                <w:noProof/>
                <w:webHidden/>
                <w:color w:val="auto"/>
                <w:u w:val="none"/>
              </w:rPr>
              <w:fldChar w:fldCharType="begin"/>
            </w:r>
            <w:r w:rsidR="00F61314">
              <w:rPr>
                <w:rStyle w:val="Hipercze"/>
                <w:noProof/>
                <w:webHidden/>
                <w:color w:val="auto"/>
                <w:u w:val="none"/>
              </w:rPr>
              <w:instrText xml:space="preserve"> PAGEREF _Toc88569917 \h </w:instrText>
            </w:r>
            <w:r w:rsidR="00F61314">
              <w:rPr>
                <w:rStyle w:val="Hipercze"/>
                <w:noProof/>
                <w:webHidden/>
                <w:color w:val="auto"/>
                <w:u w:val="none"/>
              </w:rPr>
            </w:r>
            <w:r w:rsidR="00F61314">
              <w:rPr>
                <w:rStyle w:val="Hipercze"/>
                <w:noProof/>
                <w:webHidden/>
                <w:color w:val="auto"/>
                <w:u w:val="none"/>
              </w:rPr>
              <w:fldChar w:fldCharType="separate"/>
            </w:r>
            <w:r w:rsidR="00F61314">
              <w:rPr>
                <w:rStyle w:val="Hipercze"/>
                <w:noProof/>
                <w:webHidden/>
                <w:color w:val="auto"/>
                <w:u w:val="none"/>
              </w:rPr>
              <w:t>24</w:t>
            </w:r>
            <w:r w:rsidR="00F61314">
              <w:rPr>
                <w:rStyle w:val="Hipercze"/>
                <w:noProof/>
                <w:webHidden/>
                <w:color w:val="auto"/>
                <w:u w:val="none"/>
              </w:rPr>
              <w:fldChar w:fldCharType="end"/>
            </w:r>
          </w:hyperlink>
        </w:p>
        <w:p w14:paraId="7B1B01F2" w14:textId="77777777" w:rsidR="00F61314" w:rsidRDefault="002B6573" w:rsidP="00F61314">
          <w:pPr>
            <w:pStyle w:val="Spistreci1"/>
            <w:tabs>
              <w:tab w:val="right" w:leader="dot" w:pos="9062"/>
            </w:tabs>
            <w:rPr>
              <w:rFonts w:asciiTheme="minorHAnsi" w:eastAsiaTheme="minorEastAsia" w:hAnsiTheme="minorHAnsi" w:cstheme="minorBidi"/>
              <w:noProof/>
              <w:lang w:eastAsia="pl-PL"/>
            </w:rPr>
          </w:pPr>
          <w:hyperlink r:id="rId23" w:anchor="_Toc88569918" w:history="1">
            <w:r w:rsidR="00F61314">
              <w:rPr>
                <w:rStyle w:val="Hipercze"/>
                <w:noProof/>
              </w:rPr>
              <w:t>XVI Załączniki</w:t>
            </w:r>
            <w:r w:rsidR="00F61314">
              <w:rPr>
                <w:rStyle w:val="Hipercze"/>
                <w:noProof/>
                <w:webHidden/>
                <w:color w:val="auto"/>
                <w:u w:val="none"/>
              </w:rPr>
              <w:tab/>
            </w:r>
            <w:r w:rsidR="00F61314">
              <w:rPr>
                <w:rStyle w:val="Hipercze"/>
                <w:noProof/>
                <w:webHidden/>
                <w:color w:val="auto"/>
                <w:u w:val="none"/>
              </w:rPr>
              <w:fldChar w:fldCharType="begin"/>
            </w:r>
            <w:r w:rsidR="00F61314">
              <w:rPr>
                <w:rStyle w:val="Hipercze"/>
                <w:noProof/>
                <w:webHidden/>
                <w:color w:val="auto"/>
                <w:u w:val="none"/>
              </w:rPr>
              <w:instrText xml:space="preserve"> PAGEREF _Toc88569918 \h </w:instrText>
            </w:r>
            <w:r w:rsidR="00F61314">
              <w:rPr>
                <w:rStyle w:val="Hipercze"/>
                <w:noProof/>
                <w:webHidden/>
                <w:color w:val="auto"/>
                <w:u w:val="none"/>
              </w:rPr>
            </w:r>
            <w:r w:rsidR="00F61314">
              <w:rPr>
                <w:rStyle w:val="Hipercze"/>
                <w:noProof/>
                <w:webHidden/>
                <w:color w:val="auto"/>
                <w:u w:val="none"/>
              </w:rPr>
              <w:fldChar w:fldCharType="separate"/>
            </w:r>
            <w:r w:rsidR="00F61314">
              <w:rPr>
                <w:rStyle w:val="Hipercze"/>
                <w:noProof/>
                <w:webHidden/>
                <w:color w:val="auto"/>
                <w:u w:val="none"/>
              </w:rPr>
              <w:t>24</w:t>
            </w:r>
            <w:r w:rsidR="00F61314">
              <w:rPr>
                <w:rStyle w:val="Hipercze"/>
                <w:noProof/>
                <w:webHidden/>
                <w:color w:val="auto"/>
                <w:u w:val="none"/>
              </w:rPr>
              <w:fldChar w:fldCharType="end"/>
            </w:r>
          </w:hyperlink>
        </w:p>
        <w:p w14:paraId="5626962D" w14:textId="77777777" w:rsidR="00F61314" w:rsidRDefault="00F61314" w:rsidP="00F61314">
          <w:r>
            <w:rPr>
              <w:b/>
              <w:bCs/>
            </w:rPr>
            <w:fldChar w:fldCharType="end"/>
          </w:r>
        </w:p>
      </w:sdtContent>
    </w:sdt>
    <w:p w14:paraId="215C2087" w14:textId="77777777" w:rsidR="00F61314" w:rsidRDefault="00F61314" w:rsidP="00F61314">
      <w:pPr>
        <w:spacing w:line="360" w:lineRule="auto"/>
        <w:jc w:val="both"/>
        <w:rPr>
          <w:rFonts w:ascii="Times New Roman" w:hAnsi="Times New Roman" w:cs="Times New Roman"/>
          <w:b/>
          <w:sz w:val="24"/>
          <w:szCs w:val="24"/>
        </w:rPr>
      </w:pPr>
    </w:p>
    <w:p w14:paraId="6658AF43" w14:textId="77777777" w:rsidR="00F61314" w:rsidRDefault="00F61314" w:rsidP="00F61314">
      <w:pPr>
        <w:pStyle w:val="Nagwek1"/>
      </w:pPr>
      <w:bookmarkStart w:id="1" w:name="_Toc88569903"/>
      <w:r>
        <w:t>I Podstawa prawna</w:t>
      </w:r>
      <w:bookmarkEnd w:id="1"/>
      <w:r>
        <w:t xml:space="preserve"> </w:t>
      </w:r>
    </w:p>
    <w:p w14:paraId="73487D78" w14:textId="44E55E41" w:rsidR="00F61314" w:rsidRDefault="00F61314" w:rsidP="00F61314">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Minister Rodziny i Polityki Społecznej ogłasza otwarty konkurs „Organizacja pozyskująca partnerów Karty Dużej Rodziny” – edycja 2022-2023. Zgodnie z art. 24 ust. 4 ustawy </w:t>
      </w:r>
      <w:r>
        <w:rPr>
          <w:rFonts w:ascii="Times New Roman" w:hAnsi="Times New Roman" w:cs="Times New Roman"/>
          <w:sz w:val="24"/>
          <w:szCs w:val="24"/>
        </w:rPr>
        <w:br/>
        <w:t xml:space="preserve">z dnia 5 grudnia 2014 r. o Karcie Dużej Rodziny minister właściwy ds. rodziny może zlecić </w:t>
      </w:r>
      <w:r>
        <w:rPr>
          <w:rFonts w:ascii="Times New Roman" w:hAnsi="Times New Roman" w:cs="Times New Roman"/>
          <w:sz w:val="24"/>
          <w:szCs w:val="24"/>
        </w:rPr>
        <w:br/>
        <w:t xml:space="preserve">organizacjom pozarządowym w drodze otwartego konkursu ofert, o którym mowa w ustawie </w:t>
      </w:r>
      <w:r>
        <w:rPr>
          <w:rFonts w:ascii="Times New Roman" w:hAnsi="Times New Roman" w:cs="Times New Roman"/>
          <w:sz w:val="24"/>
          <w:szCs w:val="24"/>
        </w:rPr>
        <w:br/>
        <w:t xml:space="preserve">z dnia 24 kwietnia 2003 r. o działalności pożytku publicznego i o wolontariacie – </w:t>
      </w:r>
      <w:r w:rsidR="0007146D">
        <w:rPr>
          <w:rFonts w:ascii="Times New Roman" w:hAnsi="Times New Roman" w:cs="Times New Roman"/>
          <w:sz w:val="24"/>
          <w:szCs w:val="24"/>
        </w:rPr>
        <w:t xml:space="preserve">zwanej </w:t>
      </w:r>
      <w:r>
        <w:rPr>
          <w:rFonts w:ascii="Times New Roman" w:hAnsi="Times New Roman" w:cs="Times New Roman"/>
          <w:sz w:val="24"/>
          <w:szCs w:val="24"/>
        </w:rPr>
        <w:t>dalej „</w:t>
      </w:r>
      <w:proofErr w:type="spellStart"/>
      <w:r>
        <w:rPr>
          <w:rFonts w:ascii="Times New Roman" w:hAnsi="Times New Roman" w:cs="Times New Roman"/>
          <w:sz w:val="24"/>
          <w:szCs w:val="24"/>
        </w:rPr>
        <w:t>UoDPPioW</w:t>
      </w:r>
      <w:proofErr w:type="spellEnd"/>
      <w:r>
        <w:rPr>
          <w:rFonts w:ascii="Times New Roman" w:hAnsi="Times New Roman" w:cs="Times New Roman"/>
          <w:sz w:val="24"/>
          <w:szCs w:val="24"/>
        </w:rPr>
        <w:t xml:space="preserve">”, zawieranie umów </w:t>
      </w:r>
      <w:proofErr w:type="spellStart"/>
      <w:r>
        <w:rPr>
          <w:rFonts w:ascii="Times New Roman" w:hAnsi="Times New Roman" w:cs="Times New Roman"/>
          <w:sz w:val="24"/>
          <w:szCs w:val="24"/>
        </w:rPr>
        <w:t>ws</w:t>
      </w:r>
      <w:proofErr w:type="spellEnd"/>
      <w:r>
        <w:rPr>
          <w:rFonts w:ascii="Times New Roman" w:hAnsi="Times New Roman" w:cs="Times New Roman"/>
          <w:sz w:val="24"/>
          <w:szCs w:val="24"/>
        </w:rPr>
        <w:t xml:space="preserve">. przyznawania uprawnień rodzinom wielodzietnym na podstawie Karty Dużej Rodziny. </w:t>
      </w:r>
    </w:p>
    <w:p w14:paraId="3F026685" w14:textId="77777777" w:rsidR="00F61314" w:rsidRDefault="00F61314" w:rsidP="00F61314">
      <w:pPr>
        <w:spacing w:line="360" w:lineRule="auto"/>
        <w:jc w:val="both"/>
        <w:rPr>
          <w:rFonts w:ascii="Times New Roman" w:hAnsi="Times New Roman" w:cs="Times New Roman"/>
          <w:sz w:val="24"/>
          <w:szCs w:val="24"/>
        </w:rPr>
      </w:pPr>
    </w:p>
    <w:p w14:paraId="5A23D4F5" w14:textId="77777777" w:rsidR="00F61314" w:rsidRDefault="00F61314" w:rsidP="00F61314">
      <w:pPr>
        <w:pStyle w:val="Nagwek1"/>
      </w:pPr>
      <w:bookmarkStart w:id="2" w:name="_Toc88569904"/>
      <w:r>
        <w:t>II Cel</w:t>
      </w:r>
      <w:bookmarkEnd w:id="2"/>
      <w:r>
        <w:t xml:space="preserve"> </w:t>
      </w:r>
    </w:p>
    <w:p w14:paraId="2BAD9046" w14:textId="77777777" w:rsidR="00F61314" w:rsidRDefault="00F61314" w:rsidP="00F61314">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Celem konkursu jest wyłonienie organizacji pozarządowej, która będzie zajmować się pozyskiwaniem podmiotów, które będą przyznawać uprawnienia na podstawie Karty Dużej </w:t>
      </w:r>
      <w:r>
        <w:rPr>
          <w:rFonts w:ascii="Times New Roman" w:hAnsi="Times New Roman" w:cs="Times New Roman"/>
          <w:sz w:val="24"/>
          <w:szCs w:val="24"/>
        </w:rPr>
        <w:lastRenderedPageBreak/>
        <w:t xml:space="preserve">Rodziny, zawieraniem umów z ww. podmiotami oraz obsługą uczestnictwa partnerów </w:t>
      </w:r>
      <w:r>
        <w:rPr>
          <w:rFonts w:ascii="Times New Roman" w:hAnsi="Times New Roman" w:cs="Times New Roman"/>
          <w:sz w:val="24"/>
          <w:szCs w:val="24"/>
        </w:rPr>
        <w:br/>
        <w:t>w inicjatywie Karta Dużej Rodziny. Działania realizowane przez organizację pozarządową mają przyczynić się do poszerzenia kręgu podmiotów oferujących uprawnienia posiadaczom Karty Dużej Rodziny związane z prowadzeniem gospodarstwa domowego i wychowaniem dzieci.</w:t>
      </w:r>
    </w:p>
    <w:p w14:paraId="3C849C08" w14:textId="77777777" w:rsidR="00F61314" w:rsidRDefault="00F61314" w:rsidP="00F61314">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Pozyskiwanie oraz obsługa partnerów Karty Dużej Rodziny przez organizację pozarządową ma wpłynąć na zwiększenie liczby partnerów oferujących uprawnienia rodzinom wielodzietnym na podstawie Karty Dużej Rodziny, w szczególności partnerów w gminach do 10 tys. mieszkańców oraz partnerów strategicznych (w tym podmiotów będących spółkami Skarbu Państwa). Minister właściwy ds. rodziny zastrzega sobie prawo do przejęcia negocjacji i podpisania umowy z podmiotem strategicznym.</w:t>
      </w:r>
    </w:p>
    <w:p w14:paraId="4662A723" w14:textId="77777777" w:rsidR="00F61314" w:rsidRDefault="00F61314" w:rsidP="00F61314">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Organizacja pozarządowa, prowadząc dotychczas działalność na rzecz rodzin wielodzietnych, zna i rozumie potrzeby tych rodzin, co może ułatwić pozyskiwanie podmiotów wpisujących się w ideę Karty Dużej Rodziny i oczekiwanych przez rodziny wielodzietne.</w:t>
      </w:r>
    </w:p>
    <w:p w14:paraId="51B2C773" w14:textId="77777777" w:rsidR="00F61314" w:rsidRDefault="00F61314" w:rsidP="00F61314">
      <w:pPr>
        <w:spacing w:line="360" w:lineRule="auto"/>
        <w:ind w:firstLine="360"/>
        <w:jc w:val="both"/>
        <w:rPr>
          <w:rFonts w:ascii="Times New Roman" w:hAnsi="Times New Roman" w:cs="Times New Roman"/>
          <w:sz w:val="24"/>
          <w:szCs w:val="24"/>
        </w:rPr>
      </w:pPr>
    </w:p>
    <w:p w14:paraId="529A6988" w14:textId="77777777" w:rsidR="00F61314" w:rsidRDefault="00F61314" w:rsidP="00F61314">
      <w:pPr>
        <w:pStyle w:val="Nagwek1"/>
      </w:pPr>
      <w:bookmarkStart w:id="3" w:name="_Toc88569905"/>
      <w:r>
        <w:t>III Podmioty uprawnione</w:t>
      </w:r>
      <w:bookmarkEnd w:id="3"/>
    </w:p>
    <w:p w14:paraId="08CF6FAF" w14:textId="2E5DC9AB" w:rsidR="00F61314" w:rsidRDefault="00F61314" w:rsidP="00F61314">
      <w:pPr>
        <w:spacing w:line="360" w:lineRule="auto"/>
        <w:ind w:firstLine="568"/>
        <w:jc w:val="both"/>
        <w:rPr>
          <w:rFonts w:ascii="Times New Roman" w:hAnsi="Times New Roman" w:cs="Times New Roman"/>
          <w:sz w:val="24"/>
          <w:szCs w:val="24"/>
        </w:rPr>
      </w:pPr>
      <w:r>
        <w:rPr>
          <w:rFonts w:ascii="Times New Roman" w:hAnsi="Times New Roman" w:cs="Times New Roman"/>
          <w:sz w:val="24"/>
          <w:szCs w:val="24"/>
        </w:rPr>
        <w:t xml:space="preserve">Konkurs skierowany jest do organizacji pozarządowych, o których mowa w art. 3 ust. 2 </w:t>
      </w:r>
      <w:r w:rsidR="00F8570A">
        <w:rPr>
          <w:rFonts w:ascii="Times New Roman" w:hAnsi="Times New Roman" w:cs="Times New Roman"/>
          <w:sz w:val="24"/>
          <w:szCs w:val="24"/>
        </w:rPr>
        <w:t xml:space="preserve">w </w:t>
      </w:r>
      <w:proofErr w:type="spellStart"/>
      <w:r w:rsidR="00F8570A">
        <w:rPr>
          <w:rFonts w:ascii="Times New Roman" w:hAnsi="Times New Roman" w:cs="Times New Roman"/>
          <w:sz w:val="24"/>
          <w:szCs w:val="24"/>
        </w:rPr>
        <w:t>UoDPPioW</w:t>
      </w:r>
      <w:proofErr w:type="spellEnd"/>
      <w:r w:rsidR="00F8570A">
        <w:rPr>
          <w:rFonts w:ascii="Times New Roman" w:hAnsi="Times New Roman" w:cs="Times New Roman"/>
          <w:sz w:val="24"/>
          <w:szCs w:val="24"/>
        </w:rPr>
        <w:t xml:space="preserve">, </w:t>
      </w:r>
      <w:r>
        <w:rPr>
          <w:rFonts w:ascii="Times New Roman" w:hAnsi="Times New Roman" w:cs="Times New Roman"/>
          <w:sz w:val="24"/>
          <w:szCs w:val="24"/>
        </w:rPr>
        <w:t>i podmiotów wymienionych w ust. 3 pkt 1-4</w:t>
      </w:r>
      <w:r w:rsidR="00F8570A">
        <w:rPr>
          <w:rFonts w:ascii="Times New Roman" w:hAnsi="Times New Roman" w:cs="Times New Roman"/>
          <w:sz w:val="24"/>
          <w:szCs w:val="24"/>
        </w:rPr>
        <w:t xml:space="preserve"> </w:t>
      </w:r>
      <w:proofErr w:type="spellStart"/>
      <w:r w:rsidR="00F8570A">
        <w:rPr>
          <w:rFonts w:ascii="Times New Roman" w:hAnsi="Times New Roman" w:cs="Times New Roman"/>
          <w:sz w:val="24"/>
          <w:szCs w:val="24"/>
        </w:rPr>
        <w:t>UoDPPioW</w:t>
      </w:r>
      <w:proofErr w:type="spellEnd"/>
      <w:r>
        <w:rPr>
          <w:rFonts w:ascii="Times New Roman" w:hAnsi="Times New Roman" w:cs="Times New Roman"/>
          <w:sz w:val="24"/>
          <w:szCs w:val="24"/>
        </w:rPr>
        <w:t xml:space="preserve">, </w:t>
      </w:r>
      <w:r>
        <w:rPr>
          <w:rFonts w:ascii="Times New Roman" w:hAnsi="Times New Roman" w:cs="Times New Roman"/>
          <w:sz w:val="24"/>
          <w:szCs w:val="24"/>
          <w:lang w:eastAsia="pl-PL"/>
        </w:rPr>
        <w:t>m.in. do stowarzyszeń i fundacji:</w:t>
      </w:r>
    </w:p>
    <w:p w14:paraId="18FC47EC" w14:textId="5F0E67BB" w:rsidR="00F61314" w:rsidRDefault="00F8570A" w:rsidP="00884D82">
      <w:pPr>
        <w:pStyle w:val="Akapitzlist"/>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w:t>
      </w:r>
      <w:r w:rsidR="00F61314">
        <w:rPr>
          <w:rFonts w:ascii="Times New Roman" w:hAnsi="Times New Roman" w:cs="Times New Roman"/>
          <w:sz w:val="24"/>
          <w:szCs w:val="24"/>
        </w:rPr>
        <w:t>rowadzących przez okres co najmniej 3 lat działalność na rzecz rodzin wielodzietnych;</w:t>
      </w:r>
    </w:p>
    <w:p w14:paraId="215FD6D1" w14:textId="46AE5D21" w:rsidR="00F61314" w:rsidRDefault="00F8570A" w:rsidP="00884D82">
      <w:pPr>
        <w:pStyle w:val="Akapitzlist"/>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m</w:t>
      </w:r>
      <w:r w:rsidR="00F61314">
        <w:rPr>
          <w:rFonts w:ascii="Times New Roman" w:hAnsi="Times New Roman" w:cs="Times New Roman"/>
          <w:sz w:val="24"/>
          <w:szCs w:val="24"/>
        </w:rPr>
        <w:t>ających co najmniej jedną terenową jednostkę organizacyjną w każdym województwie powołaną zgodnie ze statutem organizacji lub innym dokumentem wewnętrznym.</w:t>
      </w:r>
    </w:p>
    <w:p w14:paraId="74C0DE99" w14:textId="77777777" w:rsidR="00F61314" w:rsidRDefault="00F61314" w:rsidP="00F61314">
      <w:pPr>
        <w:pStyle w:val="Akapitzlist"/>
        <w:spacing w:line="360" w:lineRule="auto"/>
        <w:ind w:left="1440"/>
        <w:jc w:val="both"/>
        <w:rPr>
          <w:rFonts w:ascii="Times New Roman" w:hAnsi="Times New Roman" w:cs="Times New Roman"/>
          <w:sz w:val="24"/>
          <w:szCs w:val="24"/>
        </w:rPr>
      </w:pPr>
    </w:p>
    <w:p w14:paraId="26288925" w14:textId="77777777" w:rsidR="00F61314" w:rsidRDefault="00F61314" w:rsidP="00F61314">
      <w:pPr>
        <w:pStyle w:val="Nagwek1"/>
      </w:pPr>
      <w:bookmarkStart w:id="4" w:name="_Toc88569906"/>
      <w:r>
        <w:t>IV Przedmiot konkursu</w:t>
      </w:r>
      <w:bookmarkEnd w:id="4"/>
    </w:p>
    <w:p w14:paraId="7C222A21" w14:textId="77777777" w:rsidR="00F61314" w:rsidRDefault="00F61314" w:rsidP="00884D82">
      <w:pPr>
        <w:pStyle w:val="Akapitzlist"/>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Przedmiotem konkursu jest wyłonienie organizacji pozarządowej, która będzie </w:t>
      </w:r>
      <w:r>
        <w:rPr>
          <w:rFonts w:ascii="Times New Roman" w:hAnsi="Times New Roman" w:cs="Times New Roman"/>
          <w:sz w:val="24"/>
          <w:szCs w:val="24"/>
        </w:rPr>
        <w:br/>
        <w:t>w imieniu ministra właściwego ds. rodziny zawierała przez okres dwóch lat umowy</w:t>
      </w:r>
      <w:r>
        <w:rPr>
          <w:rFonts w:ascii="Times New Roman" w:hAnsi="Times New Roman" w:cs="Times New Roman"/>
          <w:i/>
          <w:sz w:val="24"/>
          <w:szCs w:val="24"/>
        </w:rPr>
        <w:t xml:space="preserve"> </w:t>
      </w:r>
      <w:r>
        <w:rPr>
          <w:rFonts w:ascii="Times New Roman" w:hAnsi="Times New Roman" w:cs="Times New Roman"/>
          <w:i/>
          <w:sz w:val="24"/>
          <w:szCs w:val="24"/>
        </w:rPr>
        <w:br/>
      </w:r>
      <w:r>
        <w:rPr>
          <w:rFonts w:ascii="Times New Roman" w:hAnsi="Times New Roman" w:cs="Times New Roman"/>
          <w:sz w:val="24"/>
          <w:szCs w:val="24"/>
        </w:rPr>
        <w:t xml:space="preserve">z podmiotami przyznającymi uprawnienia na podstawie Karty Dużej Rodziny, </w:t>
      </w:r>
      <w:r>
        <w:rPr>
          <w:rFonts w:ascii="Times New Roman" w:hAnsi="Times New Roman" w:cs="Times New Roman"/>
          <w:sz w:val="24"/>
          <w:szCs w:val="24"/>
        </w:rPr>
        <w:br/>
        <w:t>o których mowa w art. 23 ust. 1 pkt 2 ustawy o KDR.</w:t>
      </w:r>
    </w:p>
    <w:p w14:paraId="45B71E16" w14:textId="77777777" w:rsidR="00F61314" w:rsidRDefault="00F61314" w:rsidP="00884D82">
      <w:pPr>
        <w:pStyle w:val="Akapitzlist"/>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Minister właściwy ds. rodziny zastrzega sobie prawo włączenia się na etapie prowadzenia negocjacji do procesu uzgadniania warunków umowy/aneksu  </w:t>
      </w:r>
      <w:r>
        <w:rPr>
          <w:rFonts w:ascii="Times New Roman" w:hAnsi="Times New Roman" w:cs="Times New Roman"/>
          <w:sz w:val="24"/>
          <w:szCs w:val="24"/>
        </w:rPr>
        <w:br/>
      </w:r>
      <w:proofErr w:type="spellStart"/>
      <w:r>
        <w:rPr>
          <w:rFonts w:ascii="Times New Roman" w:hAnsi="Times New Roman" w:cs="Times New Roman"/>
          <w:sz w:val="24"/>
          <w:szCs w:val="24"/>
        </w:rPr>
        <w:lastRenderedPageBreak/>
        <w:t>ws</w:t>
      </w:r>
      <w:proofErr w:type="spellEnd"/>
      <w:r>
        <w:rPr>
          <w:rFonts w:ascii="Times New Roman" w:hAnsi="Times New Roman" w:cs="Times New Roman"/>
          <w:sz w:val="24"/>
          <w:szCs w:val="24"/>
        </w:rPr>
        <w:t xml:space="preserve">. udzielania uprawnień członkom rodziny wielodzietnej, a także podpisania umowy/aneksu z podmiotami uznanymi za partnerów strategicznych oraz podmiotami, które są spółkami Skarbu Państwa. </w:t>
      </w:r>
    </w:p>
    <w:p w14:paraId="1D0A13A0" w14:textId="77777777" w:rsidR="00F61314" w:rsidRDefault="00F61314" w:rsidP="00884D82">
      <w:pPr>
        <w:pStyle w:val="Akapitzlist"/>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Minister właściwy ds. rodziny wyraża zgodę na zawarcie umowy/aneksu między organizacją pozarządową a podmiotem na podstawie formularza oceny oferty (wzór formularza stanowi załącznik nr 3 do regulaminu) podmiotu chcącego przystąpić do Karty Dużej Rodziny. Jeżeli w ciągu 3 dni roboczych minister właściwy ds. rodziny nie przekaże  zastrzeżeń, umowa może zostać zawarta w uzgodnionym z podmiotem kształcie. Minister właściwy ds. rodziny zastrzega sobie możliwość niewyrażenia zgody na zawarcie umowy/aneksu w sprawie przyznawania uprawnień na podstawie Karty Dużej Rodziny na warunkach przedstawionych w formularzu oceny oferty. Organizacja pozarządowa po braku akceptacji oferty podmiotu chcącego przystąpić do Karty nie może zawrzeć z tym podmiotem umowy w prezentowanym </w:t>
      </w:r>
      <w:r>
        <w:rPr>
          <w:rFonts w:ascii="Times New Roman" w:hAnsi="Times New Roman" w:cs="Times New Roman"/>
          <w:sz w:val="24"/>
          <w:szCs w:val="24"/>
        </w:rPr>
        <w:br/>
        <w:t xml:space="preserve">w formularzu oceny oferty kształcie. Organizacja pozarządowa może podjąć renegocjacje warunków umowy/aneksu i ponownie przedstawić je do oceny ministra właściwego ds. rodziny w formularzu oceny oferty, przy czym może on nie wyrazić zgody na zawarcie umowy/aneksu w sprawie przyznawania uprawnień na podstawie Karty Dużej Rodziny na warunkach przedstawionych </w:t>
      </w:r>
      <w:r>
        <w:rPr>
          <w:rFonts w:ascii="Times New Roman" w:hAnsi="Times New Roman" w:cs="Times New Roman"/>
          <w:sz w:val="24"/>
          <w:szCs w:val="24"/>
        </w:rPr>
        <w:br/>
        <w:t>w zaktualizowanym formularzu oceny oferty.</w:t>
      </w:r>
    </w:p>
    <w:p w14:paraId="269FAE9A" w14:textId="77777777" w:rsidR="00F61314" w:rsidRDefault="00F61314" w:rsidP="00884D82">
      <w:pPr>
        <w:pStyle w:val="Akapitzlist"/>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Organizacja pozarządowa zawiera umowy z podmiotami, które na etapie negocjacji mogą zostać uznane przez ministra właściwego ds. rodziny za partnera strategicznego. Partnerem strategicznym może zostać podmiot (po indywidualnej ocenie oferty), który w szczególności spełnia następujące przesłanki: </w:t>
      </w:r>
    </w:p>
    <w:p w14:paraId="56FA1CBD" w14:textId="77777777" w:rsidR="00F61314" w:rsidRDefault="00F61314" w:rsidP="00884D82">
      <w:pPr>
        <w:pStyle w:val="Akapitzlist"/>
        <w:numPr>
          <w:ilvl w:val="1"/>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jest rozpoznawalny;</w:t>
      </w:r>
    </w:p>
    <w:p w14:paraId="542D73D9" w14:textId="77777777" w:rsidR="00F61314" w:rsidRDefault="00F61314" w:rsidP="00884D82">
      <w:pPr>
        <w:pStyle w:val="Akapitzlist"/>
        <w:numPr>
          <w:ilvl w:val="1"/>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obiekt ma znaczenie historyczne, kulturalne, sportowe, lub znajduje się na liście UNESCO;</w:t>
      </w:r>
    </w:p>
    <w:p w14:paraId="6EC228F7" w14:textId="77777777" w:rsidR="00F61314" w:rsidRDefault="00F61314" w:rsidP="00884D82">
      <w:pPr>
        <w:pStyle w:val="Akapitzlist"/>
        <w:numPr>
          <w:ilvl w:val="1"/>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prowadzi działalność w branży mającej wpływ na sytuację ekonomiczną rodzin wielodzietnych; </w:t>
      </w:r>
    </w:p>
    <w:p w14:paraId="29AA8378" w14:textId="77777777" w:rsidR="00F61314" w:rsidRDefault="00F61314" w:rsidP="00884D82">
      <w:pPr>
        <w:pStyle w:val="Akapitzlist"/>
        <w:numPr>
          <w:ilvl w:val="1"/>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oferta podmiotu jest dostępna w całej Polsce (oznacza to, że każdy posiadacz KDR może korzystać z usług firmy);</w:t>
      </w:r>
    </w:p>
    <w:p w14:paraId="0D825043" w14:textId="77777777" w:rsidR="00F61314" w:rsidRDefault="00F61314" w:rsidP="00884D82">
      <w:pPr>
        <w:pStyle w:val="Akapitzlist"/>
        <w:numPr>
          <w:ilvl w:val="1"/>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oferowana zniżka jest jak najwyższa (nie można zaakceptować niskiej oferty podmiotu tylko dlatego że prowadzi działalność w całej Polsce lub z powodu znacznej rozpoznawalności);</w:t>
      </w:r>
    </w:p>
    <w:p w14:paraId="5B4DE09F" w14:textId="77777777" w:rsidR="00F61314" w:rsidRDefault="00F61314" w:rsidP="00884D82">
      <w:pPr>
        <w:pStyle w:val="Akapitzlist"/>
        <w:numPr>
          <w:ilvl w:val="1"/>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oferta dotyczy głównej działalności podmiotu.</w:t>
      </w:r>
    </w:p>
    <w:p w14:paraId="55AF1C23" w14:textId="77777777" w:rsidR="00F61314" w:rsidRDefault="00F61314" w:rsidP="00F6131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Akceptacji podmiotu jako partnera strategicznego dokonuje minister właściwy ds. rodziny po indywidualnej ocenie oferty i działalności podmiotu. </w:t>
      </w:r>
    </w:p>
    <w:p w14:paraId="39D74587" w14:textId="77777777" w:rsidR="00F61314" w:rsidRDefault="00F61314" w:rsidP="00F61314">
      <w:pPr>
        <w:pStyle w:val="Nagwek1"/>
      </w:pPr>
      <w:bookmarkStart w:id="5" w:name="_Toc88569907"/>
      <w:r>
        <w:t>V Partnerstwo</w:t>
      </w:r>
      <w:bookmarkEnd w:id="5"/>
      <w:r>
        <w:t xml:space="preserve"> </w:t>
      </w:r>
    </w:p>
    <w:p w14:paraId="12932B94" w14:textId="77777777" w:rsidR="00F61314" w:rsidRDefault="00F61314" w:rsidP="00F61314">
      <w:pPr>
        <w:spacing w:line="360" w:lineRule="auto"/>
        <w:ind w:firstLine="568"/>
        <w:jc w:val="both"/>
        <w:rPr>
          <w:rFonts w:ascii="Times New Roman" w:hAnsi="Times New Roman" w:cs="Times New Roman"/>
          <w:sz w:val="24"/>
          <w:szCs w:val="24"/>
        </w:rPr>
      </w:pPr>
      <w:r>
        <w:rPr>
          <w:rFonts w:ascii="Times New Roman" w:hAnsi="Times New Roman" w:cs="Times New Roman"/>
          <w:sz w:val="24"/>
          <w:szCs w:val="24"/>
        </w:rPr>
        <w:t>W przypadku gdy oferent planuje realizację projektu wspólnie z partnerami publicznymi lub prywatnymi, zastosowanie ma partnerstwo. Partnerstwo może być realizowane w trzech formułach:</w:t>
      </w:r>
    </w:p>
    <w:p w14:paraId="32FB96F2" w14:textId="77777777" w:rsidR="00F61314" w:rsidRDefault="00F61314" w:rsidP="00F61314">
      <w:pPr>
        <w:pStyle w:val="Akapitzlist"/>
        <w:spacing w:line="36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Partnerstwo publiczno-społeczne,</w:t>
      </w:r>
    </w:p>
    <w:p w14:paraId="78DA9502" w14:textId="77777777" w:rsidR="00F61314" w:rsidRDefault="00F61314" w:rsidP="00F61314">
      <w:pPr>
        <w:pStyle w:val="Akapitzlist"/>
        <w:spacing w:line="36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Partnerstwo </w:t>
      </w:r>
      <w:proofErr w:type="spellStart"/>
      <w:r>
        <w:rPr>
          <w:rFonts w:ascii="Times New Roman" w:hAnsi="Times New Roman" w:cs="Times New Roman"/>
          <w:sz w:val="24"/>
          <w:szCs w:val="24"/>
        </w:rPr>
        <w:t>prywatno</w:t>
      </w:r>
      <w:proofErr w:type="spellEnd"/>
      <w:r>
        <w:rPr>
          <w:rFonts w:ascii="Times New Roman" w:hAnsi="Times New Roman" w:cs="Times New Roman"/>
          <w:sz w:val="24"/>
          <w:szCs w:val="24"/>
        </w:rPr>
        <w:t>-społeczne,</w:t>
      </w:r>
    </w:p>
    <w:p w14:paraId="7493586C" w14:textId="77777777" w:rsidR="00F61314" w:rsidRDefault="00F61314" w:rsidP="00F61314">
      <w:pPr>
        <w:pStyle w:val="Akapitzlist"/>
        <w:spacing w:line="36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Partnerstwo publiczno-</w:t>
      </w:r>
      <w:proofErr w:type="spellStart"/>
      <w:r>
        <w:rPr>
          <w:rFonts w:ascii="Times New Roman" w:hAnsi="Times New Roman" w:cs="Times New Roman"/>
          <w:sz w:val="24"/>
          <w:szCs w:val="24"/>
        </w:rPr>
        <w:t>prywatno</w:t>
      </w:r>
      <w:proofErr w:type="spellEnd"/>
      <w:r>
        <w:rPr>
          <w:rFonts w:ascii="Times New Roman" w:hAnsi="Times New Roman" w:cs="Times New Roman"/>
          <w:sz w:val="24"/>
          <w:szCs w:val="24"/>
        </w:rPr>
        <w:t>-społeczne.</w:t>
      </w:r>
    </w:p>
    <w:p w14:paraId="53B41A40" w14:textId="77777777" w:rsidR="00F61314" w:rsidRDefault="00F61314" w:rsidP="00F61314">
      <w:pPr>
        <w:pStyle w:val="Akapitzlist"/>
        <w:spacing w:line="360" w:lineRule="auto"/>
        <w:jc w:val="both"/>
        <w:rPr>
          <w:rFonts w:ascii="Times New Roman" w:hAnsi="Times New Roman" w:cs="Times New Roman"/>
          <w:sz w:val="24"/>
          <w:szCs w:val="24"/>
        </w:rPr>
      </w:pPr>
    </w:p>
    <w:p w14:paraId="3F5FDC32" w14:textId="77777777" w:rsidR="00F61314" w:rsidRDefault="00F61314" w:rsidP="00F61314">
      <w:pPr>
        <w:pStyle w:val="Nagwek1"/>
      </w:pPr>
      <w:bookmarkStart w:id="6" w:name="_Toc88569908"/>
      <w:r>
        <w:t>VI Oferta wspólna</w:t>
      </w:r>
      <w:bookmarkEnd w:id="6"/>
    </w:p>
    <w:p w14:paraId="5B8F46ED" w14:textId="77777777" w:rsidR="00F61314" w:rsidRDefault="00F61314" w:rsidP="00F61314">
      <w:pPr>
        <w:spacing w:line="360" w:lineRule="auto"/>
        <w:ind w:firstLine="708"/>
        <w:jc w:val="both"/>
        <w:rPr>
          <w:rFonts w:ascii="Times New Roman" w:hAnsi="Times New Roman" w:cs="Times New Roman"/>
          <w:sz w:val="24"/>
          <w:szCs w:val="24"/>
          <w:u w:val="single"/>
        </w:rPr>
      </w:pPr>
      <w:r>
        <w:rPr>
          <w:rFonts w:ascii="Times New Roman" w:hAnsi="Times New Roman" w:cs="Times New Roman"/>
          <w:sz w:val="24"/>
          <w:szCs w:val="24"/>
          <w:u w:val="single"/>
        </w:rPr>
        <w:t>Wyklucza się możliwość złożenia oferty wspólnej.</w:t>
      </w:r>
    </w:p>
    <w:p w14:paraId="22A0C6FE" w14:textId="77777777" w:rsidR="00F61314" w:rsidRDefault="00F61314" w:rsidP="00F61314">
      <w:pPr>
        <w:pStyle w:val="Nagwek1"/>
      </w:pPr>
      <w:bookmarkStart w:id="7" w:name="_Toc88569909"/>
      <w:r>
        <w:t>VII Dofinansowywane zadanie</w:t>
      </w:r>
      <w:bookmarkEnd w:id="7"/>
    </w:p>
    <w:p w14:paraId="0CFED066" w14:textId="77777777" w:rsidR="00F61314" w:rsidRDefault="00F61314" w:rsidP="00884D82">
      <w:pPr>
        <w:pStyle w:val="Akapitzlist"/>
        <w:numPr>
          <w:ilvl w:val="1"/>
          <w:numId w:val="3"/>
        </w:numPr>
        <w:spacing w:line="36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Dofinansowanie dotyczy zawierania przez organizację pozarządową umów z podmiotami przyznającymi uprawnienia na podstawie Karty Dużej Rodziny, o których mowa w art. 23 ust. 1 pkt. 2 ustawy o KDR, w okresie od dnia 1 stycznia 2022 r. do 31 grudnia 2023 r. lub od dnia podpisania umowy jeżeli zostanie zawarta po 1 stycznia 2022 r. </w:t>
      </w:r>
    </w:p>
    <w:p w14:paraId="268D8F88" w14:textId="77777777" w:rsidR="00F61314" w:rsidRDefault="00F61314" w:rsidP="00884D82">
      <w:pPr>
        <w:pStyle w:val="Akapitzlist"/>
        <w:numPr>
          <w:ilvl w:val="1"/>
          <w:numId w:val="3"/>
        </w:numPr>
        <w:spacing w:line="360" w:lineRule="auto"/>
        <w:ind w:left="851"/>
        <w:jc w:val="both"/>
        <w:rPr>
          <w:rFonts w:ascii="Times New Roman" w:hAnsi="Times New Roman" w:cs="Times New Roman"/>
          <w:sz w:val="24"/>
          <w:szCs w:val="24"/>
        </w:rPr>
      </w:pPr>
      <w:r>
        <w:rPr>
          <w:rFonts w:ascii="Times New Roman" w:hAnsi="Times New Roman" w:cs="Times New Roman"/>
          <w:sz w:val="24"/>
          <w:szCs w:val="24"/>
        </w:rPr>
        <w:t>Umowy z podmiotami przyznającymi uprawnienia na podstawie Karty Dużej Rodziny muszą spełniać minimalne warunki określone w art. 24 ust. 1 ustawy o KDR (wzór umowy stanowi załącznik nr 1 do regulaminu) oraz muszą być zgodne z wytycznymi (załącznik nr 2 do regulaminu).</w:t>
      </w:r>
    </w:p>
    <w:p w14:paraId="1FC809E8" w14:textId="77777777" w:rsidR="00F61314" w:rsidRDefault="00F61314" w:rsidP="00884D82">
      <w:pPr>
        <w:pStyle w:val="Akapitzlist"/>
        <w:numPr>
          <w:ilvl w:val="1"/>
          <w:numId w:val="3"/>
        </w:numPr>
        <w:spacing w:line="36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Wyłoniona organizacja, podpisując umowy z podmiotami przyznającymi uprawnienia na podstawie Karty Dużej Rodziny, powinna uwzględnić w szczególności uwarunkowania wskazane w art. 24 ust. 2 ustawy o KDR. </w:t>
      </w:r>
    </w:p>
    <w:p w14:paraId="5830D748" w14:textId="77777777" w:rsidR="00F61314" w:rsidRDefault="00F61314" w:rsidP="00884D82">
      <w:pPr>
        <w:pStyle w:val="Akapitzlist"/>
        <w:numPr>
          <w:ilvl w:val="1"/>
          <w:numId w:val="3"/>
        </w:numPr>
        <w:spacing w:line="36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Uwzględnienie uwarunkowań wskazanych w art. 24 ust. 2 ustawy o KDR będzie weryfikowane na formularzu oceny oferty podmiotu chcącego przystąpić do Karty Dużej Rodziny (wzory formularzy stanowią załączniki nr 3 i 3a </w:t>
      </w:r>
      <w:r>
        <w:rPr>
          <w:rFonts w:ascii="Times New Roman" w:hAnsi="Times New Roman" w:cs="Times New Roman"/>
          <w:sz w:val="24"/>
          <w:szCs w:val="24"/>
        </w:rPr>
        <w:br/>
        <w:t xml:space="preserve">w przypadku podmiotu strategicznego). </w:t>
      </w:r>
    </w:p>
    <w:p w14:paraId="64BFC25D" w14:textId="77777777" w:rsidR="00F61314" w:rsidRDefault="00F61314" w:rsidP="00884D82">
      <w:pPr>
        <w:pStyle w:val="Akapitzlist"/>
        <w:numPr>
          <w:ilvl w:val="1"/>
          <w:numId w:val="3"/>
        </w:numPr>
        <w:spacing w:line="36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Zadanie jest realizowane w Module Obsługi Partnerów (dalej: MOP) w Systemie Informatycznym KDR (dalej: SI KDR). </w:t>
      </w:r>
    </w:p>
    <w:p w14:paraId="2B90687E" w14:textId="77777777" w:rsidR="00F61314" w:rsidRDefault="00F61314" w:rsidP="00F61314">
      <w:pPr>
        <w:pStyle w:val="Akapitzlist"/>
        <w:spacing w:line="360" w:lineRule="auto"/>
        <w:ind w:left="851"/>
        <w:jc w:val="both"/>
        <w:rPr>
          <w:rFonts w:ascii="Times New Roman" w:hAnsi="Times New Roman" w:cs="Times New Roman"/>
          <w:sz w:val="24"/>
          <w:szCs w:val="24"/>
        </w:rPr>
      </w:pPr>
    </w:p>
    <w:p w14:paraId="5E05632B" w14:textId="77777777" w:rsidR="00F61314" w:rsidRDefault="00F61314" w:rsidP="00F61314">
      <w:pPr>
        <w:pStyle w:val="Nagwek1"/>
      </w:pPr>
      <w:bookmarkStart w:id="8" w:name="_Toc88569910"/>
      <w:r>
        <w:lastRenderedPageBreak/>
        <w:t>VIII Finansowanie</w:t>
      </w:r>
      <w:bookmarkEnd w:id="8"/>
    </w:p>
    <w:p w14:paraId="0FBA47B5" w14:textId="77777777" w:rsidR="00F61314" w:rsidRDefault="00F61314" w:rsidP="00884D82">
      <w:pPr>
        <w:pStyle w:val="Akapitzlist"/>
        <w:numPr>
          <w:ilvl w:val="1"/>
          <w:numId w:val="4"/>
        </w:numPr>
        <w:spacing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t xml:space="preserve">Zadanie publiczne finansowane jest ze środków budżetu państwa ujętych w cz. 63 – Rodzina budżetu resortu rodziny i polityki społecznej. Dysponentem środków budżetowych na dotację przyznaną w ramach programu jest minister właściwy </w:t>
      </w:r>
      <w:r>
        <w:rPr>
          <w:rFonts w:ascii="Times New Roman" w:hAnsi="Times New Roman" w:cs="Times New Roman"/>
          <w:sz w:val="24"/>
          <w:szCs w:val="24"/>
        </w:rPr>
        <w:br/>
        <w:t xml:space="preserve">ds. rodziny. </w:t>
      </w:r>
    </w:p>
    <w:p w14:paraId="785DB17C" w14:textId="77777777" w:rsidR="00F61314" w:rsidRDefault="00F61314" w:rsidP="00884D82">
      <w:pPr>
        <w:pStyle w:val="Akapitzlist"/>
        <w:numPr>
          <w:ilvl w:val="1"/>
          <w:numId w:val="4"/>
        </w:numPr>
        <w:spacing w:after="0"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t>Powierzenie zadania jest finansowane w całości z dotacji.</w:t>
      </w:r>
    </w:p>
    <w:p w14:paraId="3D6ECDDF" w14:textId="77777777" w:rsidR="00F61314" w:rsidRDefault="00F61314" w:rsidP="00884D82">
      <w:pPr>
        <w:pStyle w:val="Akapitzlist"/>
        <w:numPr>
          <w:ilvl w:val="1"/>
          <w:numId w:val="4"/>
        </w:numPr>
        <w:spacing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t>Ze środków dotacji będą finansowane jedynie działania mieszczące się w zakresie działalności statutowej nieodpłatnej i odpłatnej. Tym samym środki z dotacji nie mogą być przeznaczone na finansowanie działalności</w:t>
      </w:r>
      <w:r>
        <w:rPr>
          <w:rFonts w:ascii="Times New Roman" w:hAnsi="Times New Roman" w:cs="Times New Roman"/>
          <w:sz w:val="28"/>
          <w:szCs w:val="24"/>
        </w:rPr>
        <w:t xml:space="preserve"> </w:t>
      </w:r>
      <w:r>
        <w:rPr>
          <w:rFonts w:ascii="Times New Roman" w:hAnsi="Times New Roman" w:cs="Times New Roman"/>
          <w:sz w:val="24"/>
          <w:szCs w:val="24"/>
        </w:rPr>
        <w:t>gospodarczej.</w:t>
      </w:r>
    </w:p>
    <w:p w14:paraId="5EDCA62C" w14:textId="3A5A38F5" w:rsidR="00F61314" w:rsidRDefault="00F61314" w:rsidP="00884D82">
      <w:pPr>
        <w:pStyle w:val="Akapitzlist"/>
        <w:numPr>
          <w:ilvl w:val="1"/>
          <w:numId w:val="4"/>
        </w:numPr>
        <w:spacing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t xml:space="preserve">Ze środków dotacji będą finansowane działania dotyczące realizacji obowiązku informacyjnego o którym mowa w art. 35a-35d ustawy z dnia 27 sierpnia 2009 r. </w:t>
      </w:r>
      <w:r>
        <w:rPr>
          <w:rFonts w:ascii="Times New Roman" w:hAnsi="Times New Roman" w:cs="Times New Roman"/>
          <w:sz w:val="24"/>
          <w:szCs w:val="24"/>
        </w:rPr>
        <w:br/>
        <w:t>o finansach publicznych (Dz.</w:t>
      </w:r>
      <w:r w:rsidR="00705AD2">
        <w:rPr>
          <w:rFonts w:ascii="Times New Roman" w:hAnsi="Times New Roman" w:cs="Times New Roman"/>
          <w:sz w:val="24"/>
          <w:szCs w:val="24"/>
        </w:rPr>
        <w:t xml:space="preserve"> </w:t>
      </w:r>
      <w:r>
        <w:rPr>
          <w:rFonts w:ascii="Times New Roman" w:hAnsi="Times New Roman" w:cs="Times New Roman"/>
          <w:sz w:val="24"/>
          <w:szCs w:val="24"/>
        </w:rPr>
        <w:t xml:space="preserve">U. z 2021 r. poz. 305, z późn. zm.). </w:t>
      </w:r>
    </w:p>
    <w:p w14:paraId="51DFCEBC" w14:textId="77777777" w:rsidR="00F61314" w:rsidRDefault="00F61314" w:rsidP="00884D82">
      <w:pPr>
        <w:pStyle w:val="Akapitzlist"/>
        <w:numPr>
          <w:ilvl w:val="1"/>
          <w:numId w:val="3"/>
        </w:numPr>
        <w:spacing w:line="36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Wysokość wnioskowanej dotacji wynosi 1 500 000 zł w każdym roku realizacji zadania. </w:t>
      </w:r>
    </w:p>
    <w:p w14:paraId="120AD997" w14:textId="77777777" w:rsidR="00F61314" w:rsidRDefault="00F61314" w:rsidP="00884D82">
      <w:pPr>
        <w:pStyle w:val="Akapitzlist"/>
        <w:numPr>
          <w:ilvl w:val="1"/>
          <w:numId w:val="3"/>
        </w:numPr>
        <w:spacing w:line="36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Termin wykorzystania dotacji nie może przypadać wcześniej niż 1 stycznia i nie później niż do dnia 31 grudnia każdego roku realizacji zadania publicznego, przy czym w pierwszym roku realizacji zadania nie wcześniej niż od dnia podpisania umowy.  Rozliczenie dotacji i realizacji zadania następuje w okresach rocznych.    </w:t>
      </w:r>
    </w:p>
    <w:p w14:paraId="454A40C9" w14:textId="77777777" w:rsidR="00F61314" w:rsidRDefault="00F61314" w:rsidP="00884D82">
      <w:pPr>
        <w:pStyle w:val="Akapitzlist"/>
        <w:numPr>
          <w:ilvl w:val="1"/>
          <w:numId w:val="3"/>
        </w:numPr>
        <w:spacing w:line="360" w:lineRule="auto"/>
        <w:ind w:left="851"/>
        <w:jc w:val="both"/>
        <w:rPr>
          <w:rFonts w:ascii="Times New Roman" w:hAnsi="Times New Roman" w:cs="Times New Roman"/>
          <w:sz w:val="24"/>
          <w:szCs w:val="24"/>
        </w:rPr>
      </w:pPr>
      <w:r>
        <w:rPr>
          <w:rFonts w:ascii="Times New Roman" w:hAnsi="Times New Roman" w:cs="Times New Roman"/>
          <w:sz w:val="24"/>
          <w:szCs w:val="24"/>
        </w:rPr>
        <w:t>W przypadku gdy w ustawie budżetowej nie zostaną przewidziane środki na realizację zadania w kolejnym roku trwania umowy, zastrzega się możliwość wcześniejszego rozwiązania umowy z organizacją pozarządową.</w:t>
      </w:r>
    </w:p>
    <w:p w14:paraId="4CA42B12" w14:textId="77777777" w:rsidR="00F61314" w:rsidRDefault="00F61314" w:rsidP="00F61314">
      <w:pPr>
        <w:spacing w:after="0" w:line="360" w:lineRule="auto"/>
        <w:ind w:left="142" w:firstLine="426"/>
        <w:jc w:val="both"/>
        <w:rPr>
          <w:rFonts w:ascii="Times New Roman" w:hAnsi="Times New Roman" w:cs="Times New Roman"/>
          <w:sz w:val="24"/>
          <w:szCs w:val="24"/>
        </w:rPr>
      </w:pPr>
      <w:r>
        <w:rPr>
          <w:rFonts w:ascii="Times New Roman" w:hAnsi="Times New Roman" w:cs="Times New Roman"/>
          <w:sz w:val="24"/>
          <w:szCs w:val="24"/>
        </w:rPr>
        <w:t>i. Kosztami kwalifikowalnymi zadania są koszty:</w:t>
      </w:r>
    </w:p>
    <w:p w14:paraId="51153964" w14:textId="77777777" w:rsidR="00F61314" w:rsidRDefault="00F61314" w:rsidP="00884D82">
      <w:pPr>
        <w:pStyle w:val="Akapitzlist"/>
        <w:numPr>
          <w:ilvl w:val="2"/>
          <w:numId w:val="5"/>
        </w:numPr>
        <w:spacing w:line="360" w:lineRule="auto"/>
        <w:ind w:left="1134" w:hanging="283"/>
        <w:jc w:val="both"/>
        <w:rPr>
          <w:rFonts w:ascii="Times New Roman" w:hAnsi="Times New Roman" w:cs="Times New Roman"/>
          <w:sz w:val="24"/>
          <w:szCs w:val="24"/>
        </w:rPr>
      </w:pPr>
      <w:r>
        <w:rPr>
          <w:rFonts w:ascii="Times New Roman" w:hAnsi="Times New Roman" w:cs="Times New Roman"/>
          <w:sz w:val="24"/>
          <w:szCs w:val="24"/>
        </w:rPr>
        <w:t>wykorzystane wyłącznie na cel wskazany w ogłoszeniu niniejszego konkursu;</w:t>
      </w:r>
    </w:p>
    <w:p w14:paraId="364781BA" w14:textId="77777777" w:rsidR="00F61314" w:rsidRDefault="00F61314" w:rsidP="00884D82">
      <w:pPr>
        <w:pStyle w:val="Akapitzlist"/>
        <w:numPr>
          <w:ilvl w:val="2"/>
          <w:numId w:val="5"/>
        </w:numPr>
        <w:spacing w:line="360" w:lineRule="auto"/>
        <w:ind w:left="1134" w:hanging="283"/>
        <w:jc w:val="both"/>
        <w:rPr>
          <w:rFonts w:ascii="Times New Roman" w:hAnsi="Times New Roman" w:cs="Times New Roman"/>
          <w:sz w:val="24"/>
          <w:szCs w:val="24"/>
        </w:rPr>
      </w:pPr>
      <w:r>
        <w:rPr>
          <w:rFonts w:ascii="Times New Roman" w:hAnsi="Times New Roman" w:cs="Times New Roman"/>
          <w:sz w:val="24"/>
          <w:szCs w:val="24"/>
        </w:rPr>
        <w:t>niezbędne dla realizacji projektu;</w:t>
      </w:r>
    </w:p>
    <w:p w14:paraId="70489296" w14:textId="77777777" w:rsidR="00F61314" w:rsidRDefault="00F61314" w:rsidP="00884D82">
      <w:pPr>
        <w:pStyle w:val="Akapitzlist"/>
        <w:numPr>
          <w:ilvl w:val="2"/>
          <w:numId w:val="5"/>
        </w:numPr>
        <w:spacing w:line="360" w:lineRule="auto"/>
        <w:ind w:left="1134" w:hanging="283"/>
        <w:jc w:val="both"/>
        <w:rPr>
          <w:rFonts w:ascii="Times New Roman" w:hAnsi="Times New Roman" w:cs="Times New Roman"/>
          <w:sz w:val="24"/>
          <w:szCs w:val="24"/>
        </w:rPr>
      </w:pPr>
      <w:r>
        <w:rPr>
          <w:rFonts w:ascii="Times New Roman" w:hAnsi="Times New Roman" w:cs="Times New Roman"/>
          <w:sz w:val="24"/>
          <w:szCs w:val="24"/>
        </w:rPr>
        <w:t>racjonalne i efektywne;</w:t>
      </w:r>
    </w:p>
    <w:p w14:paraId="2B2C726A" w14:textId="77777777" w:rsidR="00F61314" w:rsidRDefault="00F61314" w:rsidP="00884D82">
      <w:pPr>
        <w:pStyle w:val="Akapitzlist"/>
        <w:numPr>
          <w:ilvl w:val="2"/>
          <w:numId w:val="5"/>
        </w:numPr>
        <w:spacing w:line="360" w:lineRule="auto"/>
        <w:ind w:left="1134" w:hanging="283"/>
        <w:jc w:val="both"/>
        <w:rPr>
          <w:rFonts w:ascii="Times New Roman" w:hAnsi="Times New Roman" w:cs="Times New Roman"/>
          <w:sz w:val="24"/>
          <w:szCs w:val="24"/>
        </w:rPr>
      </w:pPr>
      <w:r>
        <w:rPr>
          <w:rFonts w:ascii="Times New Roman" w:hAnsi="Times New Roman" w:cs="Times New Roman"/>
          <w:sz w:val="24"/>
          <w:szCs w:val="24"/>
        </w:rPr>
        <w:t>udokumentowane dokumentami memoriałowymi (np. fakturą);</w:t>
      </w:r>
    </w:p>
    <w:p w14:paraId="632E11F7" w14:textId="77777777" w:rsidR="00F61314" w:rsidRDefault="00F61314" w:rsidP="00884D82">
      <w:pPr>
        <w:pStyle w:val="Akapitzlist"/>
        <w:numPr>
          <w:ilvl w:val="2"/>
          <w:numId w:val="5"/>
        </w:numPr>
        <w:spacing w:line="360" w:lineRule="auto"/>
        <w:ind w:left="1134" w:hanging="283"/>
        <w:jc w:val="both"/>
        <w:rPr>
          <w:rFonts w:ascii="Times New Roman" w:hAnsi="Times New Roman" w:cs="Times New Roman"/>
          <w:sz w:val="24"/>
          <w:szCs w:val="24"/>
        </w:rPr>
      </w:pPr>
      <w:r>
        <w:rPr>
          <w:rFonts w:ascii="Times New Roman" w:hAnsi="Times New Roman" w:cs="Times New Roman"/>
          <w:sz w:val="24"/>
          <w:szCs w:val="24"/>
        </w:rPr>
        <w:t xml:space="preserve">faktycznie poniesione od dnia 1 stycznia 2022 r. do dnia 31 grudnia 2022 r. </w:t>
      </w:r>
      <w:r>
        <w:rPr>
          <w:rFonts w:ascii="Times New Roman" w:hAnsi="Times New Roman" w:cs="Times New Roman"/>
          <w:sz w:val="24"/>
          <w:szCs w:val="24"/>
        </w:rPr>
        <w:br/>
        <w:t xml:space="preserve">w pierwszym roku realizacji zadania, a w przypadku drugiego roku realizacji zadania od dnia 1 stycznia 2023 r. do dnia 31 grudnia 2023 r. </w:t>
      </w:r>
    </w:p>
    <w:p w14:paraId="7974192D" w14:textId="77777777" w:rsidR="00F61314" w:rsidRDefault="00F61314" w:rsidP="00884D82">
      <w:pPr>
        <w:pStyle w:val="Akapitzlist"/>
        <w:numPr>
          <w:ilvl w:val="2"/>
          <w:numId w:val="5"/>
        </w:numPr>
        <w:spacing w:line="360" w:lineRule="auto"/>
        <w:ind w:left="1134" w:hanging="283"/>
        <w:jc w:val="both"/>
        <w:rPr>
          <w:rFonts w:ascii="Times New Roman" w:hAnsi="Times New Roman" w:cs="Times New Roman"/>
          <w:sz w:val="24"/>
          <w:szCs w:val="24"/>
        </w:rPr>
      </w:pPr>
      <w:r>
        <w:rPr>
          <w:rFonts w:ascii="Times New Roman" w:hAnsi="Times New Roman" w:cs="Times New Roman"/>
          <w:sz w:val="24"/>
          <w:szCs w:val="24"/>
        </w:rPr>
        <w:t>przewidziane w budżecie projektu;</w:t>
      </w:r>
    </w:p>
    <w:p w14:paraId="75F6DB7D" w14:textId="77777777" w:rsidR="00F61314" w:rsidRDefault="00F61314" w:rsidP="00884D82">
      <w:pPr>
        <w:pStyle w:val="Akapitzlist"/>
        <w:numPr>
          <w:ilvl w:val="2"/>
          <w:numId w:val="5"/>
        </w:numPr>
        <w:spacing w:line="360" w:lineRule="auto"/>
        <w:ind w:left="1134" w:hanging="283"/>
        <w:jc w:val="both"/>
        <w:rPr>
          <w:rFonts w:ascii="Times New Roman" w:hAnsi="Times New Roman" w:cs="Times New Roman"/>
          <w:sz w:val="24"/>
          <w:szCs w:val="24"/>
        </w:rPr>
      </w:pPr>
      <w:r>
        <w:rPr>
          <w:rFonts w:ascii="Times New Roman" w:hAnsi="Times New Roman" w:cs="Times New Roman"/>
          <w:sz w:val="24"/>
          <w:szCs w:val="24"/>
        </w:rPr>
        <w:t>zgodne z odrębnymi przepisami prawa powszechnie obowiązującego;</w:t>
      </w:r>
    </w:p>
    <w:p w14:paraId="1A4F4C43" w14:textId="77777777" w:rsidR="00F61314" w:rsidRDefault="00F61314" w:rsidP="00884D82">
      <w:pPr>
        <w:pStyle w:val="Akapitzlist"/>
        <w:numPr>
          <w:ilvl w:val="2"/>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zgodne z zapisami niniejszego Regulaminu oraz ustawą z dnia 27 sierpnia 2009 r. o finansach publicznych (w tym realizacja obowiązku informacyjnego).</w:t>
      </w:r>
    </w:p>
    <w:p w14:paraId="6F2D77EF" w14:textId="77777777" w:rsidR="00F61314" w:rsidRDefault="00F61314" w:rsidP="00F61314">
      <w:pPr>
        <w:pStyle w:val="Akapitzlist"/>
        <w:spacing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lastRenderedPageBreak/>
        <w:t xml:space="preserve">j. Ze środków dotacji pokrywane będą jedynie następujące kategorie kosztów związanych </w:t>
      </w:r>
      <w:r>
        <w:rPr>
          <w:rFonts w:ascii="Times New Roman" w:hAnsi="Times New Roman" w:cs="Times New Roman"/>
          <w:b/>
          <w:sz w:val="24"/>
          <w:szCs w:val="24"/>
        </w:rPr>
        <w:t xml:space="preserve">bezpośrednio </w:t>
      </w:r>
      <w:r>
        <w:rPr>
          <w:rFonts w:ascii="Times New Roman" w:hAnsi="Times New Roman" w:cs="Times New Roman"/>
          <w:sz w:val="24"/>
          <w:szCs w:val="24"/>
        </w:rPr>
        <w:t>z realizacją zadania:</w:t>
      </w:r>
    </w:p>
    <w:p w14:paraId="3E5F049C" w14:textId="77777777" w:rsidR="00F61314" w:rsidRDefault="00F61314" w:rsidP="00884D82">
      <w:pPr>
        <w:pStyle w:val="Akapitzlist"/>
        <w:numPr>
          <w:ilvl w:val="0"/>
          <w:numId w:val="6"/>
        </w:numPr>
        <w:spacing w:line="360" w:lineRule="auto"/>
        <w:ind w:left="1134" w:hanging="283"/>
        <w:jc w:val="both"/>
        <w:rPr>
          <w:rFonts w:ascii="Times New Roman" w:hAnsi="Times New Roman" w:cs="Times New Roman"/>
          <w:sz w:val="24"/>
          <w:szCs w:val="24"/>
        </w:rPr>
      </w:pPr>
      <w:r>
        <w:rPr>
          <w:rFonts w:ascii="Times New Roman" w:hAnsi="Times New Roman" w:cs="Times New Roman"/>
          <w:sz w:val="24"/>
          <w:szCs w:val="24"/>
          <w:u w:val="single"/>
        </w:rPr>
        <w:t>Koszty merytoryczne</w:t>
      </w:r>
      <w:r>
        <w:rPr>
          <w:rFonts w:ascii="Times New Roman" w:hAnsi="Times New Roman" w:cs="Times New Roman"/>
          <w:sz w:val="24"/>
          <w:szCs w:val="24"/>
        </w:rPr>
        <w:t xml:space="preserve"> – co najmniej </w:t>
      </w:r>
      <w:r>
        <w:rPr>
          <w:rFonts w:ascii="Times New Roman" w:hAnsi="Times New Roman" w:cs="Times New Roman"/>
          <w:b/>
          <w:sz w:val="24"/>
          <w:szCs w:val="24"/>
        </w:rPr>
        <w:t>75% dotacji</w:t>
      </w:r>
      <w:r>
        <w:rPr>
          <w:rFonts w:ascii="Times New Roman" w:hAnsi="Times New Roman" w:cs="Times New Roman"/>
          <w:sz w:val="24"/>
          <w:szCs w:val="24"/>
        </w:rPr>
        <w:t xml:space="preserve"> – np. wynagrodzenia ekspertów </w:t>
      </w:r>
      <w:r>
        <w:rPr>
          <w:rFonts w:ascii="Times New Roman" w:hAnsi="Times New Roman" w:cs="Times New Roman"/>
          <w:sz w:val="24"/>
          <w:szCs w:val="24"/>
        </w:rPr>
        <w:br/>
        <w:t xml:space="preserve">i specjalistów realizujących zadania (jedynie w części odpowiadającej zaangażowaniu danej osoby w realizację projektu), wynagrodzenia innych osób zatrudnionych specjalnie na potrzeby projektu, koszt wyjazdów służbowych ekspertów i specjalistów zaangażowanych w realizację zadania (rozliczenie zgodnie z rozporządzeniem Ministra Pracy i Polityki Społecznej z dnia </w:t>
      </w:r>
      <w:r>
        <w:rPr>
          <w:rFonts w:ascii="Times New Roman" w:hAnsi="Times New Roman" w:cs="Times New Roman"/>
          <w:sz w:val="24"/>
          <w:szCs w:val="24"/>
        </w:rPr>
        <w:br/>
        <w:t xml:space="preserve">29 stycznia 2013 r. w sprawie należności przysługujących pracownikowi zatrudnionemu w państwowej lub samorządowej jednostce sfery budżetowej </w:t>
      </w:r>
      <w:r>
        <w:rPr>
          <w:rFonts w:ascii="Times New Roman" w:hAnsi="Times New Roman" w:cs="Times New Roman"/>
          <w:sz w:val="24"/>
          <w:szCs w:val="24"/>
        </w:rPr>
        <w:br/>
        <w:t>z tytułu podróży służbowej (Dz. U. poz. 167) oraz koszty promocji</w:t>
      </w:r>
      <w:r>
        <w:rPr>
          <w:rFonts w:ascii="Times New Roman" w:hAnsi="Times New Roman" w:cs="Times New Roman"/>
          <w:b/>
          <w:sz w:val="24"/>
          <w:szCs w:val="24"/>
        </w:rPr>
        <w:t xml:space="preserve"> </w:t>
      </w:r>
      <w:r>
        <w:rPr>
          <w:rFonts w:ascii="Times New Roman" w:hAnsi="Times New Roman" w:cs="Times New Roman"/>
          <w:b/>
          <w:sz w:val="24"/>
          <w:szCs w:val="24"/>
        </w:rPr>
        <w:br/>
      </w:r>
      <w:r>
        <w:rPr>
          <w:rFonts w:ascii="Times New Roman" w:hAnsi="Times New Roman" w:cs="Times New Roman"/>
          <w:sz w:val="24"/>
          <w:szCs w:val="24"/>
        </w:rPr>
        <w:t>(w tym koszty produkcji naklejek dla partnerów KDR, zgodnie ze wzorem stanowiącym załącznik nr 2a do regulaminu).</w:t>
      </w:r>
    </w:p>
    <w:p w14:paraId="5E40A704" w14:textId="2A379FEB" w:rsidR="00F61314" w:rsidRDefault="00F61314" w:rsidP="00884D82">
      <w:pPr>
        <w:pStyle w:val="Akapitzlist"/>
        <w:numPr>
          <w:ilvl w:val="0"/>
          <w:numId w:val="6"/>
        </w:numPr>
        <w:spacing w:line="360" w:lineRule="auto"/>
        <w:ind w:left="1134" w:hanging="283"/>
        <w:jc w:val="both"/>
        <w:rPr>
          <w:rFonts w:ascii="Times New Roman" w:hAnsi="Times New Roman" w:cs="Times New Roman"/>
          <w:sz w:val="24"/>
          <w:szCs w:val="24"/>
        </w:rPr>
      </w:pPr>
      <w:r>
        <w:rPr>
          <w:rFonts w:ascii="Times New Roman" w:hAnsi="Times New Roman" w:cs="Times New Roman"/>
          <w:sz w:val="24"/>
          <w:szCs w:val="24"/>
          <w:u w:val="single"/>
        </w:rPr>
        <w:t>Koszty obsługi zadania publicznego</w:t>
      </w:r>
      <w:r>
        <w:rPr>
          <w:rFonts w:ascii="Times New Roman" w:hAnsi="Times New Roman" w:cs="Times New Roman"/>
          <w:sz w:val="24"/>
          <w:szCs w:val="24"/>
        </w:rPr>
        <w:t xml:space="preserve"> – do wysokości </w:t>
      </w:r>
      <w:r>
        <w:rPr>
          <w:rFonts w:ascii="Times New Roman" w:hAnsi="Times New Roman" w:cs="Times New Roman"/>
          <w:b/>
          <w:sz w:val="24"/>
          <w:szCs w:val="24"/>
        </w:rPr>
        <w:t>25% dotacji</w:t>
      </w:r>
      <w:r>
        <w:rPr>
          <w:rFonts w:ascii="Times New Roman" w:hAnsi="Times New Roman" w:cs="Times New Roman"/>
          <w:sz w:val="24"/>
          <w:szCs w:val="24"/>
        </w:rPr>
        <w:t xml:space="preserve"> – np. kierowanie projektem, wykonywanie zadań administracyjnych, księgowych (jedynie w części odpowiadającej zaangażowaniu danej osoby w realizację projektu), opłaty za telefon/faks, opłaty pocztowe, czynsz, CO (w stosownej części, przypadającej na dany projekt), opłaty za przelewy bankowe, koszt zakupu lub wypożyczenia składnika majątku, którego wartość początkowa nie przekracza kwoty 10000,00 zł, koszty wyjazdów służbowych osób zaangażowanych w obsługę zadania (rozliczenie zgodnie z rozporządzeniem Ministra Pracy i Polityki Społecznej z dnia 29 stycznia 2013 r. w sprawie należności przysługujących pracownikowi zatrudnionemu w państwowej lub samorządowej jednostce sfery budżetowej </w:t>
      </w:r>
      <w:r>
        <w:rPr>
          <w:rFonts w:ascii="Times New Roman" w:hAnsi="Times New Roman" w:cs="Times New Roman"/>
          <w:sz w:val="24"/>
          <w:szCs w:val="24"/>
        </w:rPr>
        <w:br/>
        <w:t>z tytułu podróży służbowej.</w:t>
      </w:r>
    </w:p>
    <w:p w14:paraId="71543631" w14:textId="77777777" w:rsidR="00F61314" w:rsidRDefault="00F61314" w:rsidP="00884D82">
      <w:pPr>
        <w:pStyle w:val="Akapitzlist"/>
        <w:numPr>
          <w:ilvl w:val="1"/>
          <w:numId w:val="7"/>
        </w:numPr>
        <w:spacing w:line="360" w:lineRule="auto"/>
        <w:ind w:left="1134" w:hanging="283"/>
        <w:jc w:val="both"/>
        <w:rPr>
          <w:rFonts w:ascii="Times New Roman" w:hAnsi="Times New Roman" w:cs="Times New Roman"/>
          <w:sz w:val="24"/>
          <w:szCs w:val="24"/>
        </w:rPr>
      </w:pPr>
      <w:r>
        <w:rPr>
          <w:rFonts w:ascii="Times New Roman" w:hAnsi="Times New Roman" w:cs="Times New Roman"/>
          <w:sz w:val="24"/>
          <w:szCs w:val="24"/>
        </w:rPr>
        <w:t xml:space="preserve">W przypadku kosztów wynagrodzenia personelu (co do zasady zaliczanych do kosztów kwalifikowalnych), w tym kosztów osobowych administracji </w:t>
      </w:r>
      <w:r>
        <w:rPr>
          <w:rFonts w:ascii="Times New Roman" w:hAnsi="Times New Roman" w:cs="Times New Roman"/>
          <w:sz w:val="24"/>
          <w:szCs w:val="24"/>
        </w:rPr>
        <w:br/>
        <w:t>i obsługi projektu oraz kosztów osobowych merytorycznych, kwalifikowalne są wszystkie składniki wynagrodzenia, tj. w szczególności: wynagrodzenia netto, składki na ubezpieczenia społeczne i zdrowotne, zaliczka na podatek dochodowy. Płace nie mogą przekraczać wydatków normalnie ponoszonych przez Beneficjenta, zaś przyjęte stawki nie mogą być wyższe od stawek powszechnie stosowanych na danym rynku. Wynagrodzenia wynikające z umów zlecenia oraz umów o dzieło są zaliczane do kosztów kwalifikowalnych.</w:t>
      </w:r>
    </w:p>
    <w:p w14:paraId="46AFEBAA" w14:textId="77777777" w:rsidR="00F61314" w:rsidRDefault="00F61314" w:rsidP="00F6131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Rekomendowane jednostki miar stosowane w kosztorysie: godzina, miesiąc, umowa, sztuka, dzieło, usługa, kilometr (dla usług transportowych).</w:t>
      </w:r>
    </w:p>
    <w:p w14:paraId="65F0A7F4" w14:textId="77777777" w:rsidR="00F61314" w:rsidRDefault="00F61314" w:rsidP="00F61314">
      <w:pPr>
        <w:spacing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k. W ramach konkursu niedozwolone jest podwójne finansowanie wydatku, czyli zrefundowanie całkowite lub częściowe danego wydatku dwa razy ze środków publicznych, zarówno krajowych, jak i zagranicznych.</w:t>
      </w:r>
    </w:p>
    <w:p w14:paraId="5C683B9E" w14:textId="77777777" w:rsidR="00F61314" w:rsidRDefault="00F61314" w:rsidP="00705AD2">
      <w:pPr>
        <w:pStyle w:val="Akapitzlist"/>
        <w:numPr>
          <w:ilvl w:val="0"/>
          <w:numId w:val="8"/>
        </w:numPr>
        <w:spacing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 xml:space="preserve">Koszty niekwalifikowalne to koszty nieodnoszące się jednoznacznie do projektu, </w:t>
      </w:r>
      <w:r>
        <w:rPr>
          <w:rFonts w:ascii="Times New Roman" w:hAnsi="Times New Roman" w:cs="Times New Roman"/>
          <w:sz w:val="24"/>
          <w:szCs w:val="24"/>
        </w:rPr>
        <w:br/>
        <w:t>w tym:</w:t>
      </w:r>
    </w:p>
    <w:p w14:paraId="25C3FF88" w14:textId="77777777" w:rsidR="00F61314" w:rsidRDefault="00F61314" w:rsidP="00884D82">
      <w:pPr>
        <w:pStyle w:val="Akapitzlist"/>
        <w:numPr>
          <w:ilvl w:val="2"/>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podatek od towarów i usług (VAT), jeżeli może zostać odliczony w oparciu o ustawę z dnia 11 marca 2004 r. o podatku od towarów i usług (Dz. U. z 2021 r. poz. 685, </w:t>
      </w:r>
      <w:r>
        <w:rPr>
          <w:rFonts w:ascii="Times New Roman" w:hAnsi="Times New Roman" w:cs="Times New Roman"/>
          <w:sz w:val="24"/>
          <w:szCs w:val="24"/>
        </w:rPr>
        <w:br/>
        <w:t>z późn. zm.);</w:t>
      </w:r>
    </w:p>
    <w:p w14:paraId="6B2EC3CB" w14:textId="77777777" w:rsidR="00F61314" w:rsidRDefault="00F61314" w:rsidP="00884D82">
      <w:pPr>
        <w:pStyle w:val="Akapitzlist"/>
        <w:numPr>
          <w:ilvl w:val="2"/>
          <w:numId w:val="9"/>
        </w:numPr>
        <w:spacing w:line="360" w:lineRule="auto"/>
        <w:ind w:left="993" w:hanging="284"/>
        <w:jc w:val="both"/>
        <w:rPr>
          <w:rFonts w:ascii="Times New Roman" w:hAnsi="Times New Roman" w:cs="Times New Roman"/>
          <w:sz w:val="24"/>
          <w:szCs w:val="24"/>
        </w:rPr>
      </w:pPr>
      <w:r>
        <w:rPr>
          <w:rFonts w:ascii="Times New Roman" w:hAnsi="Times New Roman" w:cs="Times New Roman"/>
          <w:sz w:val="24"/>
          <w:szCs w:val="24"/>
        </w:rPr>
        <w:t>zakup nieruchomości gruntowej, lokalowej, budowlanej;</w:t>
      </w:r>
    </w:p>
    <w:p w14:paraId="7C1A3635" w14:textId="186321C1" w:rsidR="00F61314" w:rsidRDefault="00F61314" w:rsidP="00884D82">
      <w:pPr>
        <w:pStyle w:val="Akapitzlist"/>
        <w:numPr>
          <w:ilvl w:val="2"/>
          <w:numId w:val="9"/>
        </w:numPr>
        <w:spacing w:line="360"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zakup środków trwałych (w rozumieniu art. 3 ust. 1 pkt 15 ustawy z dnia </w:t>
      </w:r>
      <w:r>
        <w:rPr>
          <w:rFonts w:ascii="Times New Roman" w:hAnsi="Times New Roman" w:cs="Times New Roman"/>
          <w:sz w:val="24"/>
          <w:szCs w:val="24"/>
        </w:rPr>
        <w:br/>
        <w:t>29 września 1994 r. o rachunkowości (Dz. U. z 2021 r. poz. 217</w:t>
      </w:r>
      <w:r w:rsidR="00705AD2">
        <w:rPr>
          <w:rFonts w:ascii="Times New Roman" w:hAnsi="Times New Roman" w:cs="Times New Roman"/>
          <w:sz w:val="24"/>
          <w:szCs w:val="24"/>
        </w:rPr>
        <w:t>, z późn. zm.</w:t>
      </w:r>
      <w:r>
        <w:rPr>
          <w:rFonts w:ascii="Times New Roman" w:hAnsi="Times New Roman" w:cs="Times New Roman"/>
          <w:sz w:val="24"/>
          <w:szCs w:val="24"/>
        </w:rPr>
        <w:t>) oraz art. 16a ust. 1 w zw. z art. 16d ust. 1 ustawy z dnia 15 lutego 1992 r. o podatku dochodowym od osób prawnych (</w:t>
      </w:r>
      <w:r>
        <w:rPr>
          <w:rFonts w:ascii="Times New Roman" w:hAnsi="Times New Roman" w:cs="Times New Roman"/>
          <w:bCs/>
          <w:sz w:val="24"/>
          <w:szCs w:val="24"/>
        </w:rPr>
        <w:t>Dz. U. z 2021 r. poz. 1</w:t>
      </w:r>
      <w:r w:rsidR="00705AD2">
        <w:rPr>
          <w:rFonts w:ascii="Times New Roman" w:hAnsi="Times New Roman" w:cs="Times New Roman"/>
          <w:bCs/>
          <w:sz w:val="24"/>
          <w:szCs w:val="24"/>
        </w:rPr>
        <w:t>800, z późn. zm.</w:t>
      </w:r>
      <w:r>
        <w:rPr>
          <w:rFonts w:ascii="Times New Roman" w:hAnsi="Times New Roman" w:cs="Times New Roman"/>
          <w:sz w:val="24"/>
          <w:szCs w:val="24"/>
        </w:rPr>
        <w:t xml:space="preserve">); </w:t>
      </w:r>
    </w:p>
    <w:p w14:paraId="149E8C03" w14:textId="77777777" w:rsidR="00F61314" w:rsidRDefault="00F61314" w:rsidP="00884D82">
      <w:pPr>
        <w:pStyle w:val="Akapitzlist"/>
        <w:numPr>
          <w:ilvl w:val="2"/>
          <w:numId w:val="9"/>
        </w:numPr>
        <w:spacing w:line="360" w:lineRule="auto"/>
        <w:ind w:left="993" w:hanging="284"/>
        <w:jc w:val="both"/>
        <w:rPr>
          <w:rFonts w:ascii="Times New Roman" w:hAnsi="Times New Roman" w:cs="Times New Roman"/>
          <w:sz w:val="24"/>
          <w:szCs w:val="24"/>
        </w:rPr>
      </w:pPr>
      <w:r>
        <w:rPr>
          <w:rFonts w:ascii="Times New Roman" w:hAnsi="Times New Roman" w:cs="Times New Roman"/>
          <w:sz w:val="24"/>
          <w:szCs w:val="24"/>
        </w:rPr>
        <w:t>amortyzacja;</w:t>
      </w:r>
    </w:p>
    <w:p w14:paraId="216E1334" w14:textId="77777777" w:rsidR="00F61314" w:rsidRDefault="00F61314" w:rsidP="00884D82">
      <w:pPr>
        <w:pStyle w:val="Akapitzlist"/>
        <w:numPr>
          <w:ilvl w:val="2"/>
          <w:numId w:val="9"/>
        </w:numPr>
        <w:spacing w:line="360" w:lineRule="auto"/>
        <w:ind w:left="993" w:hanging="284"/>
        <w:jc w:val="both"/>
        <w:rPr>
          <w:rFonts w:ascii="Times New Roman" w:hAnsi="Times New Roman" w:cs="Times New Roman"/>
          <w:sz w:val="24"/>
          <w:szCs w:val="24"/>
        </w:rPr>
      </w:pPr>
      <w:r>
        <w:rPr>
          <w:rFonts w:ascii="Times New Roman" w:hAnsi="Times New Roman" w:cs="Times New Roman"/>
          <w:sz w:val="24"/>
          <w:szCs w:val="24"/>
        </w:rPr>
        <w:t>leasing;</w:t>
      </w:r>
    </w:p>
    <w:p w14:paraId="16E369A4" w14:textId="77777777" w:rsidR="00F61314" w:rsidRDefault="00F61314" w:rsidP="00884D82">
      <w:pPr>
        <w:pStyle w:val="Akapitzlist"/>
        <w:numPr>
          <w:ilvl w:val="2"/>
          <w:numId w:val="9"/>
        </w:numPr>
        <w:spacing w:line="360" w:lineRule="auto"/>
        <w:ind w:left="993" w:hanging="284"/>
        <w:jc w:val="both"/>
        <w:rPr>
          <w:rFonts w:ascii="Times New Roman" w:hAnsi="Times New Roman" w:cs="Times New Roman"/>
          <w:sz w:val="24"/>
          <w:szCs w:val="24"/>
        </w:rPr>
      </w:pPr>
      <w:r>
        <w:rPr>
          <w:rFonts w:ascii="Times New Roman" w:hAnsi="Times New Roman" w:cs="Times New Roman"/>
          <w:sz w:val="24"/>
          <w:szCs w:val="24"/>
        </w:rPr>
        <w:t xml:space="preserve">rezerwy na pokrycie przyszłych strat lub zobowiązań; </w:t>
      </w:r>
    </w:p>
    <w:p w14:paraId="2D587173" w14:textId="77777777" w:rsidR="00F61314" w:rsidRDefault="00F61314" w:rsidP="00884D82">
      <w:pPr>
        <w:pStyle w:val="Akapitzlist"/>
        <w:numPr>
          <w:ilvl w:val="2"/>
          <w:numId w:val="9"/>
        </w:numPr>
        <w:spacing w:line="360" w:lineRule="auto"/>
        <w:ind w:left="993" w:hanging="284"/>
        <w:jc w:val="both"/>
        <w:rPr>
          <w:rFonts w:ascii="Times New Roman" w:hAnsi="Times New Roman" w:cs="Times New Roman"/>
          <w:sz w:val="24"/>
          <w:szCs w:val="24"/>
        </w:rPr>
      </w:pPr>
      <w:r>
        <w:rPr>
          <w:rFonts w:ascii="Times New Roman" w:hAnsi="Times New Roman" w:cs="Times New Roman"/>
          <w:sz w:val="24"/>
          <w:szCs w:val="24"/>
        </w:rPr>
        <w:t xml:space="preserve">odsetki z tytułu niezapłaconych w terminie zobowiązań; </w:t>
      </w:r>
    </w:p>
    <w:p w14:paraId="35051D73" w14:textId="77777777" w:rsidR="00F61314" w:rsidRDefault="00F61314" w:rsidP="00884D82">
      <w:pPr>
        <w:pStyle w:val="Akapitzlist"/>
        <w:numPr>
          <w:ilvl w:val="2"/>
          <w:numId w:val="9"/>
        </w:numPr>
        <w:spacing w:line="360" w:lineRule="auto"/>
        <w:ind w:left="993" w:hanging="284"/>
        <w:jc w:val="both"/>
        <w:rPr>
          <w:rFonts w:ascii="Times New Roman" w:hAnsi="Times New Roman" w:cs="Times New Roman"/>
          <w:sz w:val="24"/>
          <w:szCs w:val="24"/>
        </w:rPr>
      </w:pPr>
      <w:r>
        <w:rPr>
          <w:rFonts w:ascii="Times New Roman" w:hAnsi="Times New Roman" w:cs="Times New Roman"/>
          <w:sz w:val="24"/>
          <w:szCs w:val="24"/>
        </w:rPr>
        <w:t>koszty kar i grzywien;</w:t>
      </w:r>
    </w:p>
    <w:p w14:paraId="204781FF" w14:textId="77777777" w:rsidR="00F61314" w:rsidRDefault="00F61314" w:rsidP="00884D82">
      <w:pPr>
        <w:pStyle w:val="Akapitzlist"/>
        <w:numPr>
          <w:ilvl w:val="2"/>
          <w:numId w:val="9"/>
        </w:numPr>
        <w:spacing w:line="360" w:lineRule="auto"/>
        <w:ind w:left="993" w:hanging="284"/>
        <w:jc w:val="both"/>
        <w:rPr>
          <w:rFonts w:ascii="Times New Roman" w:hAnsi="Times New Roman" w:cs="Times New Roman"/>
          <w:sz w:val="24"/>
          <w:szCs w:val="24"/>
        </w:rPr>
      </w:pPr>
      <w:r>
        <w:rPr>
          <w:rFonts w:ascii="Times New Roman" w:hAnsi="Times New Roman" w:cs="Times New Roman"/>
          <w:sz w:val="24"/>
          <w:szCs w:val="24"/>
        </w:rPr>
        <w:t>koszty procesów sądowych (z wyjątkiem spraw prowadzonych w interesie publicznym);</w:t>
      </w:r>
    </w:p>
    <w:p w14:paraId="7252D678" w14:textId="77777777" w:rsidR="00F61314" w:rsidRDefault="00F61314" w:rsidP="00884D82">
      <w:pPr>
        <w:pStyle w:val="Akapitzlist"/>
        <w:numPr>
          <w:ilvl w:val="2"/>
          <w:numId w:val="9"/>
        </w:numPr>
        <w:spacing w:line="360" w:lineRule="auto"/>
        <w:ind w:left="993" w:hanging="284"/>
        <w:jc w:val="both"/>
        <w:rPr>
          <w:rFonts w:ascii="Times New Roman" w:hAnsi="Times New Roman" w:cs="Times New Roman"/>
          <w:sz w:val="24"/>
          <w:szCs w:val="24"/>
        </w:rPr>
      </w:pPr>
      <w:r>
        <w:rPr>
          <w:rFonts w:ascii="Times New Roman" w:hAnsi="Times New Roman" w:cs="Times New Roman"/>
          <w:sz w:val="24"/>
          <w:szCs w:val="24"/>
        </w:rPr>
        <w:t>nagrody, premie i inne formy bonifikaty rzeczowej lub finansowej dla osób zajmujących się realizacją zadania;</w:t>
      </w:r>
    </w:p>
    <w:p w14:paraId="6EFABAB1" w14:textId="77777777" w:rsidR="00F61314" w:rsidRDefault="00F61314" w:rsidP="00884D82">
      <w:pPr>
        <w:pStyle w:val="Akapitzlist"/>
        <w:numPr>
          <w:ilvl w:val="2"/>
          <w:numId w:val="9"/>
        </w:numPr>
        <w:spacing w:line="360" w:lineRule="auto"/>
        <w:ind w:left="993" w:hanging="284"/>
        <w:jc w:val="both"/>
        <w:rPr>
          <w:rFonts w:ascii="Times New Roman" w:hAnsi="Times New Roman" w:cs="Times New Roman"/>
          <w:sz w:val="24"/>
          <w:szCs w:val="24"/>
        </w:rPr>
      </w:pPr>
      <w:r>
        <w:rPr>
          <w:rFonts w:ascii="Times New Roman" w:hAnsi="Times New Roman" w:cs="Times New Roman"/>
          <w:sz w:val="24"/>
          <w:szCs w:val="24"/>
        </w:rPr>
        <w:t>koszty obsługi konta bankowego (nie dotyczy kosztów przelewów);</w:t>
      </w:r>
    </w:p>
    <w:p w14:paraId="23D9174E" w14:textId="77777777" w:rsidR="00F61314" w:rsidRDefault="00F61314" w:rsidP="00884D82">
      <w:pPr>
        <w:pStyle w:val="Akapitzlist"/>
        <w:numPr>
          <w:ilvl w:val="2"/>
          <w:numId w:val="9"/>
        </w:numPr>
        <w:spacing w:line="360"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zakup napojów alkoholowych (jest to niezgodne z art. 4 ust. 1 pkt 32 </w:t>
      </w:r>
      <w:proofErr w:type="spellStart"/>
      <w:r>
        <w:rPr>
          <w:rFonts w:ascii="Times New Roman" w:hAnsi="Times New Roman" w:cs="Times New Roman"/>
          <w:sz w:val="24"/>
          <w:szCs w:val="24"/>
        </w:rPr>
        <w:t>UoDPPioW</w:t>
      </w:r>
      <w:proofErr w:type="spellEnd"/>
      <w:r>
        <w:rPr>
          <w:rFonts w:ascii="Times New Roman" w:hAnsi="Times New Roman" w:cs="Times New Roman"/>
          <w:sz w:val="24"/>
          <w:szCs w:val="24"/>
        </w:rPr>
        <w:t xml:space="preserve"> oraz art. 1 ust. 1 ustawy z dnia 26 października 1982 r. o wychowaniu w trzeźwości </w:t>
      </w:r>
      <w:r>
        <w:rPr>
          <w:rFonts w:ascii="Times New Roman" w:hAnsi="Times New Roman" w:cs="Times New Roman"/>
          <w:sz w:val="24"/>
          <w:szCs w:val="24"/>
        </w:rPr>
        <w:br/>
        <w:t>i przeciwdziałaniu alkoholizmowi (Dz. U. z 2021 r. poz. 1119);</w:t>
      </w:r>
    </w:p>
    <w:p w14:paraId="5A5FE0AE" w14:textId="77777777" w:rsidR="00F61314" w:rsidRDefault="00F61314" w:rsidP="00884D82">
      <w:pPr>
        <w:pStyle w:val="Akapitzlist"/>
        <w:numPr>
          <w:ilvl w:val="2"/>
          <w:numId w:val="9"/>
        </w:numPr>
        <w:spacing w:line="360" w:lineRule="auto"/>
        <w:ind w:left="993" w:hanging="284"/>
        <w:jc w:val="both"/>
        <w:rPr>
          <w:rFonts w:ascii="Times New Roman" w:hAnsi="Times New Roman" w:cs="Times New Roman"/>
          <w:sz w:val="24"/>
          <w:szCs w:val="24"/>
        </w:rPr>
      </w:pPr>
      <w:r>
        <w:rPr>
          <w:rFonts w:ascii="Times New Roman" w:hAnsi="Times New Roman" w:cs="Times New Roman"/>
          <w:sz w:val="24"/>
          <w:szCs w:val="24"/>
        </w:rPr>
        <w:t xml:space="preserve">podatki i opłaty, z wyłączeniem podatku dochodowego od osób fizycznych, składek na ubezpieczenie społeczne i zdrowotne, składek na Fundusz Pracy oraz Fundusz Gwarantowanych Świadczeń Pracowniczych, a także opłat za zaświadczenie </w:t>
      </w:r>
      <w:r>
        <w:rPr>
          <w:rFonts w:ascii="Times New Roman" w:hAnsi="Times New Roman" w:cs="Times New Roman"/>
          <w:sz w:val="24"/>
          <w:szCs w:val="24"/>
        </w:rPr>
        <w:br/>
        <w:t xml:space="preserve">o niekaralności, opłat za zajęcie pasa drogowego oraz kosztów związanych </w:t>
      </w:r>
      <w:r>
        <w:rPr>
          <w:rFonts w:ascii="Times New Roman" w:hAnsi="Times New Roman" w:cs="Times New Roman"/>
          <w:sz w:val="24"/>
          <w:szCs w:val="24"/>
        </w:rPr>
        <w:br/>
        <w:t>z uzyskaniem informacji publicznej;</w:t>
      </w:r>
    </w:p>
    <w:p w14:paraId="2B3B48C8" w14:textId="77777777" w:rsidR="00F61314" w:rsidRDefault="00F61314" w:rsidP="00884D82">
      <w:pPr>
        <w:pStyle w:val="Akapitzlist"/>
        <w:numPr>
          <w:ilvl w:val="2"/>
          <w:numId w:val="9"/>
        </w:numPr>
        <w:spacing w:line="360" w:lineRule="auto"/>
        <w:ind w:left="993" w:hanging="284"/>
        <w:jc w:val="both"/>
        <w:rPr>
          <w:rFonts w:ascii="Times New Roman" w:hAnsi="Times New Roman" w:cs="Times New Roman"/>
          <w:sz w:val="24"/>
          <w:szCs w:val="24"/>
        </w:rPr>
      </w:pPr>
      <w:r>
        <w:rPr>
          <w:rFonts w:ascii="Times New Roman" w:hAnsi="Times New Roman" w:cs="Times New Roman"/>
          <w:sz w:val="24"/>
          <w:szCs w:val="24"/>
        </w:rPr>
        <w:lastRenderedPageBreak/>
        <w:t xml:space="preserve">koszty wyjazdów służbowych osób zaangażowanych w realizację projektu na podstawie umowy cywilnoprawnej, chyba że umowa ta określa zasady </w:t>
      </w:r>
      <w:r>
        <w:rPr>
          <w:rFonts w:ascii="Times New Roman" w:hAnsi="Times New Roman" w:cs="Times New Roman"/>
          <w:sz w:val="24"/>
          <w:szCs w:val="24"/>
        </w:rPr>
        <w:br/>
        <w:t>i sposób podróży służbowej.</w:t>
      </w:r>
    </w:p>
    <w:p w14:paraId="1C63E4C5" w14:textId="77777777" w:rsidR="00F61314" w:rsidRDefault="00F61314" w:rsidP="00F61314">
      <w:pPr>
        <w:pStyle w:val="Akapitzlist"/>
        <w:spacing w:line="360" w:lineRule="auto"/>
        <w:ind w:left="1701"/>
        <w:jc w:val="both"/>
        <w:rPr>
          <w:rFonts w:ascii="Times New Roman" w:hAnsi="Times New Roman" w:cs="Times New Roman"/>
          <w:sz w:val="24"/>
          <w:szCs w:val="24"/>
        </w:rPr>
      </w:pPr>
    </w:p>
    <w:p w14:paraId="3F4C1150" w14:textId="77777777" w:rsidR="00F61314" w:rsidRDefault="00F61314" w:rsidP="00F61314">
      <w:pPr>
        <w:pStyle w:val="Nagwek1"/>
      </w:pPr>
      <w:bookmarkStart w:id="9" w:name="_Toc88569911"/>
      <w:r>
        <w:t>IX Sposób wypłacania dotacji</w:t>
      </w:r>
      <w:bookmarkEnd w:id="9"/>
    </w:p>
    <w:p w14:paraId="6441094B" w14:textId="77777777" w:rsidR="00F61314" w:rsidRDefault="00F61314" w:rsidP="00884D82">
      <w:pPr>
        <w:pStyle w:val="Akapitzlist"/>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Dotacja roczna jest wypłacana w 4 transzach.</w:t>
      </w:r>
    </w:p>
    <w:p w14:paraId="2E0E7D48" w14:textId="77777777" w:rsidR="00F61314" w:rsidRDefault="00F61314" w:rsidP="00884D82">
      <w:pPr>
        <w:pStyle w:val="Akapitzlist"/>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Transze wypłacane są według następującego schematu:</w:t>
      </w:r>
    </w:p>
    <w:p w14:paraId="7CE8F05F" w14:textId="77777777" w:rsidR="00F61314" w:rsidRDefault="00F61314" w:rsidP="00884D82">
      <w:pPr>
        <w:pStyle w:val="Akapitzlist"/>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w roku 2022:</w:t>
      </w:r>
    </w:p>
    <w:p w14:paraId="0F5A55B7" w14:textId="77777777" w:rsidR="00F61314" w:rsidRDefault="00F61314" w:rsidP="00884D82">
      <w:pPr>
        <w:pStyle w:val="Akapitzlist"/>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 transza w wysokości 375 000 złotych (słownie: trzysta siedemdziesiąt pięć tysięcy  złotych) w terminie do 10 dni kalendarzowych od dnia zawarcia umowy w 2022 r., lub jeżeli umowa zostanie zawarta w 2021 r. – do 10 dni kalendarzowych od początku </w:t>
      </w:r>
      <w:r>
        <w:rPr>
          <w:rFonts w:ascii="Times New Roman" w:hAnsi="Times New Roman" w:cs="Times New Roman"/>
          <w:sz w:val="24"/>
          <w:szCs w:val="24"/>
        </w:rPr>
        <w:br/>
        <w:t xml:space="preserve">2022 r., </w:t>
      </w:r>
    </w:p>
    <w:p w14:paraId="179701DC" w14:textId="77777777" w:rsidR="00F61314" w:rsidRDefault="00F61314" w:rsidP="00884D82">
      <w:pPr>
        <w:pStyle w:val="Akapitzlist"/>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II transza w wysokości 375 000 złotych (słownie: trzysta siedemdziesiąt pięć tysięcy  złotych) w terminie do 10 dnia kalendarzowego miesiąca po zakończeniu pierwszego kwartału,</w:t>
      </w:r>
    </w:p>
    <w:p w14:paraId="172F0720" w14:textId="77777777" w:rsidR="00F61314" w:rsidRDefault="00F61314" w:rsidP="00884D82">
      <w:pPr>
        <w:pStyle w:val="Akapitzlist"/>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III transza w wysokości 375 000 złotych (słownie: trzysta siedemdziesiąt pięć tysięcy  złotych) w terminie do 10 dnia kalendarzowego miesiąca po zakończeniu drugiego kwartału,</w:t>
      </w:r>
    </w:p>
    <w:p w14:paraId="023124EE" w14:textId="77777777" w:rsidR="00F61314" w:rsidRDefault="00F61314" w:rsidP="00884D82">
      <w:pPr>
        <w:pStyle w:val="Akapitzlist"/>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IV transza w wysokości 375 000 złotych (słownie: trzysta siedemdziesiąt pięć tysięcy  złotych) w terminie do 10 dnia kalendarzowego miesiąca po zakończeniu trzeciego kwartału,</w:t>
      </w:r>
    </w:p>
    <w:p w14:paraId="32626AD2" w14:textId="77777777" w:rsidR="00F61314" w:rsidRDefault="00F61314" w:rsidP="00884D82">
      <w:pPr>
        <w:pStyle w:val="Akapitzlist"/>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w roku 2023:</w:t>
      </w:r>
    </w:p>
    <w:p w14:paraId="04A8C227" w14:textId="77777777" w:rsidR="00F61314" w:rsidRDefault="00F61314" w:rsidP="00884D82">
      <w:pPr>
        <w:pStyle w:val="Akapitzlist"/>
        <w:numPr>
          <w:ilvl w:val="0"/>
          <w:numId w:val="14"/>
        </w:numPr>
        <w:spacing w:line="360"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I transza w wysokości 375 000 złotych (słownie: trzysta siedemdziesiąt pięć tysięcy  złotych) w terminie do 10 dni kalendarzowych od zatwierdzenia przez Zleceniodawcę sprawozdania rocznego z realizacji zadania publicznego za rok 2022, </w:t>
      </w:r>
    </w:p>
    <w:p w14:paraId="592CFDB3" w14:textId="77777777" w:rsidR="00F61314" w:rsidRDefault="00F61314" w:rsidP="00884D82">
      <w:pPr>
        <w:pStyle w:val="Akapitzlist"/>
        <w:numPr>
          <w:ilvl w:val="0"/>
          <w:numId w:val="14"/>
        </w:numPr>
        <w:spacing w:line="360" w:lineRule="auto"/>
        <w:ind w:left="851" w:hanging="425"/>
        <w:jc w:val="both"/>
        <w:rPr>
          <w:rFonts w:ascii="Times New Roman" w:hAnsi="Times New Roman" w:cs="Times New Roman"/>
          <w:sz w:val="24"/>
          <w:szCs w:val="24"/>
        </w:rPr>
      </w:pPr>
      <w:r>
        <w:rPr>
          <w:rFonts w:ascii="Times New Roman" w:hAnsi="Times New Roman" w:cs="Times New Roman"/>
          <w:sz w:val="24"/>
          <w:szCs w:val="24"/>
        </w:rPr>
        <w:t>II transza w wysokości 375 000 złotych (słownie: trzysta siedemdziesiąt pięć tysięcy  złotych) w terminie do 10 dnia kalendarzowego miesiąca po zakończeniu pierwszego kwartału,</w:t>
      </w:r>
    </w:p>
    <w:p w14:paraId="2E0DAA53" w14:textId="77777777" w:rsidR="00F61314" w:rsidRDefault="00F61314" w:rsidP="00884D82">
      <w:pPr>
        <w:pStyle w:val="Akapitzlist"/>
        <w:numPr>
          <w:ilvl w:val="0"/>
          <w:numId w:val="14"/>
        </w:numPr>
        <w:spacing w:line="360" w:lineRule="auto"/>
        <w:ind w:left="851" w:hanging="425"/>
        <w:jc w:val="both"/>
        <w:rPr>
          <w:rFonts w:ascii="Times New Roman" w:hAnsi="Times New Roman" w:cs="Times New Roman"/>
          <w:sz w:val="24"/>
          <w:szCs w:val="24"/>
        </w:rPr>
      </w:pPr>
      <w:r>
        <w:rPr>
          <w:rFonts w:ascii="Times New Roman" w:hAnsi="Times New Roman" w:cs="Times New Roman"/>
          <w:sz w:val="24"/>
          <w:szCs w:val="24"/>
        </w:rPr>
        <w:t>III transza w wysokości 375 000 złotych (słownie: trzysta siedemdziesiąt pięć tysięcy  złotych) w terminie do 10. dnia kalendarzowego miesiąca po zakończeniu drugiego kwartału,</w:t>
      </w:r>
    </w:p>
    <w:p w14:paraId="5D4BF403" w14:textId="77777777" w:rsidR="00F61314" w:rsidRDefault="00F61314" w:rsidP="00884D82">
      <w:pPr>
        <w:pStyle w:val="Akapitzlist"/>
        <w:numPr>
          <w:ilvl w:val="0"/>
          <w:numId w:val="14"/>
        </w:numPr>
        <w:spacing w:line="360" w:lineRule="auto"/>
        <w:ind w:left="851" w:hanging="425"/>
        <w:jc w:val="both"/>
        <w:rPr>
          <w:rFonts w:ascii="Times New Roman" w:hAnsi="Times New Roman" w:cs="Times New Roman"/>
          <w:sz w:val="24"/>
          <w:szCs w:val="24"/>
        </w:rPr>
      </w:pPr>
      <w:r>
        <w:rPr>
          <w:rFonts w:ascii="Times New Roman" w:hAnsi="Times New Roman" w:cs="Times New Roman"/>
          <w:sz w:val="24"/>
          <w:szCs w:val="24"/>
        </w:rPr>
        <w:lastRenderedPageBreak/>
        <w:t>IV transza w wysokości 375 000 złotych (słownie: trzysta siedemdziesiąt pięć tysięcy  złotych) w terminie do 10. dnia kalendarzowego miesiąca po zakończeniu trzeciego kwartału,</w:t>
      </w:r>
    </w:p>
    <w:p w14:paraId="45DD0A54" w14:textId="77777777" w:rsidR="00F61314" w:rsidRDefault="00F61314" w:rsidP="00884D82">
      <w:pPr>
        <w:pStyle w:val="Akapitzlist"/>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Rok kalendarzowy składa się z 12 następujących po sobie okresów sprawozdawczych, </w:t>
      </w:r>
      <w:r>
        <w:rPr>
          <w:rFonts w:ascii="Times New Roman" w:hAnsi="Times New Roman" w:cs="Times New Roman"/>
          <w:sz w:val="24"/>
          <w:szCs w:val="24"/>
        </w:rPr>
        <w:br/>
        <w:t>z czego pierwszy to styczeń.</w:t>
      </w:r>
    </w:p>
    <w:p w14:paraId="4BE2204A" w14:textId="77777777" w:rsidR="00F61314" w:rsidRDefault="00F61314" w:rsidP="00884D82">
      <w:pPr>
        <w:pStyle w:val="Akapitzlist"/>
        <w:numPr>
          <w:ilvl w:val="0"/>
          <w:numId w:val="10"/>
        </w:numPr>
        <w:spacing w:line="360" w:lineRule="auto"/>
        <w:jc w:val="both"/>
        <w:rPr>
          <w:rFonts w:ascii="Times New Roman" w:hAnsi="Times New Roman" w:cs="Times New Roman"/>
          <w:sz w:val="24"/>
          <w:szCs w:val="24"/>
          <w:shd w:val="clear" w:color="auto" w:fill="FFFF00"/>
        </w:rPr>
      </w:pPr>
      <w:r>
        <w:rPr>
          <w:rFonts w:ascii="Times New Roman" w:hAnsi="Times New Roman" w:cs="Times New Roman"/>
          <w:sz w:val="24"/>
          <w:szCs w:val="24"/>
        </w:rPr>
        <w:t>Dotacja roczna udzielana jest za zawarcie umów i aneksów spełniających ustalone przez ministra właściwego ds. rodziny kryteria i stawki, określone w pkt e, przy czym minister właściwy ds. rodziny zastrzega sobie możliwość zmiany kryteriów, wpływających na wycenę umowy lub aneksu na kolejny rok realizacji zadania publicznego, podając je do wiadomości organizacji do dnia 1 grudnia roku poprzedniego.</w:t>
      </w:r>
    </w:p>
    <w:p w14:paraId="3CFDA6AD" w14:textId="77777777" w:rsidR="00F61314" w:rsidRDefault="00F61314" w:rsidP="00884D82">
      <w:pPr>
        <w:pStyle w:val="Akapitzlist"/>
        <w:numPr>
          <w:ilvl w:val="0"/>
          <w:numId w:val="10"/>
        </w:numPr>
        <w:spacing w:line="360" w:lineRule="auto"/>
        <w:jc w:val="both"/>
        <w:rPr>
          <w:rFonts w:ascii="Times New Roman" w:hAnsi="Times New Roman" w:cs="Times New Roman"/>
          <w:sz w:val="24"/>
          <w:szCs w:val="24"/>
          <w:shd w:val="clear" w:color="auto" w:fill="FFFF00"/>
        </w:rPr>
      </w:pPr>
      <w:r>
        <w:rPr>
          <w:rFonts w:ascii="Times New Roman" w:hAnsi="Times New Roman" w:cs="Times New Roman"/>
          <w:sz w:val="24"/>
          <w:szCs w:val="24"/>
        </w:rPr>
        <w:t>Stawka za jedną umowę/aneks obliczana jest według następującego schematu:</w:t>
      </w:r>
    </w:p>
    <w:p w14:paraId="69F014FC" w14:textId="77777777" w:rsidR="00F61314" w:rsidRDefault="00F61314" w:rsidP="00884D82">
      <w:pPr>
        <w:pStyle w:val="Akapitzlist"/>
        <w:numPr>
          <w:ilvl w:val="3"/>
          <w:numId w:val="10"/>
        </w:numPr>
        <w:spacing w:line="360" w:lineRule="auto"/>
        <w:ind w:left="1776"/>
        <w:jc w:val="both"/>
        <w:rPr>
          <w:rFonts w:ascii="Times New Roman" w:hAnsi="Times New Roman" w:cs="Times New Roman"/>
          <w:sz w:val="24"/>
          <w:szCs w:val="24"/>
          <w:shd w:val="clear" w:color="auto" w:fill="FFFF00"/>
        </w:rPr>
      </w:pPr>
      <w:r>
        <w:rPr>
          <w:rFonts w:ascii="Times New Roman" w:hAnsi="Times New Roman" w:cs="Times New Roman"/>
          <w:b/>
          <w:sz w:val="24"/>
          <w:szCs w:val="24"/>
        </w:rPr>
        <w:t xml:space="preserve">Umowy </w:t>
      </w:r>
    </w:p>
    <w:p w14:paraId="3A61F518" w14:textId="77777777" w:rsidR="00F61314" w:rsidRDefault="00F61314" w:rsidP="00884D82">
      <w:pPr>
        <w:pStyle w:val="Akapitzlist"/>
        <w:numPr>
          <w:ilvl w:val="1"/>
          <w:numId w:val="15"/>
        </w:numPr>
        <w:spacing w:after="0" w:line="360" w:lineRule="auto"/>
        <w:ind w:left="1056"/>
        <w:jc w:val="both"/>
        <w:rPr>
          <w:rFonts w:ascii="Times New Roman" w:hAnsi="Times New Roman" w:cs="Times New Roman"/>
          <w:b/>
          <w:sz w:val="24"/>
          <w:szCs w:val="24"/>
        </w:rPr>
      </w:pPr>
      <w:r>
        <w:rPr>
          <w:rFonts w:ascii="Times New Roman" w:hAnsi="Times New Roman" w:cs="Times New Roman"/>
          <w:b/>
          <w:sz w:val="24"/>
          <w:szCs w:val="24"/>
        </w:rPr>
        <w:t>umowa z nowym podmiotem:</w:t>
      </w:r>
    </w:p>
    <w:p w14:paraId="5B04629F" w14:textId="77777777" w:rsidR="00F61314" w:rsidRDefault="00F61314" w:rsidP="00884D82">
      <w:pPr>
        <w:pStyle w:val="Akapitzlist"/>
        <w:numPr>
          <w:ilvl w:val="0"/>
          <w:numId w:val="1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600 zł – umowa bazowa;</w:t>
      </w:r>
    </w:p>
    <w:p w14:paraId="524863D9" w14:textId="77777777" w:rsidR="00F61314" w:rsidRDefault="00F61314" w:rsidP="00884D82">
      <w:pPr>
        <w:pStyle w:val="Akapitzlist"/>
        <w:numPr>
          <w:ilvl w:val="0"/>
          <w:numId w:val="1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700 zł – za umowę z podmiotem prowadzącym działalność na terenie gminy do 10 tys. mieszkańców;</w:t>
      </w:r>
    </w:p>
    <w:p w14:paraId="3E2B5FDD" w14:textId="77777777" w:rsidR="00F61314" w:rsidRDefault="00F61314" w:rsidP="00884D82">
      <w:pPr>
        <w:pStyle w:val="Akapitzlist"/>
        <w:numPr>
          <w:ilvl w:val="0"/>
          <w:numId w:val="1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800 zł – za umowę spełniającą 2 z 3 następujących warunków:</w:t>
      </w:r>
    </w:p>
    <w:p w14:paraId="21096792" w14:textId="77777777" w:rsidR="00F61314" w:rsidRDefault="00F61314" w:rsidP="00F61314">
      <w:pPr>
        <w:spacing w:after="0" w:line="360" w:lineRule="auto"/>
        <w:ind w:left="1776"/>
        <w:jc w:val="both"/>
        <w:rPr>
          <w:rFonts w:ascii="Times New Roman" w:hAnsi="Times New Roman" w:cs="Times New Roman"/>
          <w:sz w:val="24"/>
          <w:szCs w:val="24"/>
        </w:rPr>
      </w:pPr>
      <w:r>
        <w:rPr>
          <w:rFonts w:ascii="Times New Roman" w:hAnsi="Times New Roman" w:cs="Times New Roman"/>
          <w:sz w:val="24"/>
          <w:szCs w:val="24"/>
        </w:rPr>
        <w:t>- umowa z podmiotem z gminy do 10 tysięcy mieszkańców,</w:t>
      </w:r>
    </w:p>
    <w:p w14:paraId="00D70E0E" w14:textId="77777777" w:rsidR="00F61314" w:rsidRDefault="00F61314" w:rsidP="00F61314">
      <w:pPr>
        <w:spacing w:after="0" w:line="360" w:lineRule="auto"/>
        <w:ind w:left="1776"/>
        <w:jc w:val="both"/>
        <w:rPr>
          <w:rFonts w:ascii="Times New Roman" w:hAnsi="Times New Roman" w:cs="Times New Roman"/>
          <w:sz w:val="24"/>
          <w:szCs w:val="24"/>
        </w:rPr>
      </w:pPr>
      <w:r>
        <w:rPr>
          <w:rFonts w:ascii="Times New Roman" w:hAnsi="Times New Roman" w:cs="Times New Roman"/>
          <w:sz w:val="24"/>
          <w:szCs w:val="24"/>
        </w:rPr>
        <w:t>- umowa z podmiotem z branży: edukacja (żłobki, przedszkola, szkoły języków obcych, zajęcia edukacyjne, plastyczne), odzież i obuwie, spożywcza, mieszkanie (opłaty za prąd, gaz, wyposażenie), transport (komunikacja miejska lub publiczna), art. przemysłowe (wyłącznie RTV/AGD);</w:t>
      </w:r>
    </w:p>
    <w:p w14:paraId="5542E389" w14:textId="77777777" w:rsidR="00F61314" w:rsidRDefault="00F61314" w:rsidP="00F61314">
      <w:pPr>
        <w:spacing w:after="0" w:line="360" w:lineRule="auto"/>
        <w:ind w:left="1776"/>
        <w:jc w:val="both"/>
        <w:rPr>
          <w:rFonts w:ascii="Times New Roman" w:hAnsi="Times New Roman" w:cs="Times New Roman"/>
          <w:sz w:val="24"/>
          <w:szCs w:val="24"/>
        </w:rPr>
      </w:pPr>
      <w:r>
        <w:rPr>
          <w:rFonts w:ascii="Times New Roman" w:hAnsi="Times New Roman" w:cs="Times New Roman"/>
          <w:sz w:val="24"/>
          <w:szCs w:val="24"/>
        </w:rPr>
        <w:t>- umowa na czas nieokreślony;</w:t>
      </w:r>
    </w:p>
    <w:p w14:paraId="021FDE4F" w14:textId="2E129E64" w:rsidR="00F61314" w:rsidRDefault="00F61314" w:rsidP="00884D82">
      <w:pPr>
        <w:pStyle w:val="Akapitzlist"/>
        <w:numPr>
          <w:ilvl w:val="0"/>
          <w:numId w:val="1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1000 zł  – za umowę spełniającą 3 następujące warunki:</w:t>
      </w:r>
    </w:p>
    <w:p w14:paraId="1BA02BFB" w14:textId="77777777" w:rsidR="00F61314" w:rsidRDefault="00F61314" w:rsidP="00F61314">
      <w:pPr>
        <w:spacing w:after="0" w:line="360" w:lineRule="auto"/>
        <w:ind w:left="1776"/>
        <w:jc w:val="both"/>
        <w:rPr>
          <w:rFonts w:ascii="Times New Roman" w:hAnsi="Times New Roman" w:cs="Times New Roman"/>
          <w:sz w:val="24"/>
          <w:szCs w:val="24"/>
        </w:rPr>
      </w:pPr>
      <w:r>
        <w:rPr>
          <w:rFonts w:ascii="Times New Roman" w:hAnsi="Times New Roman" w:cs="Times New Roman"/>
          <w:sz w:val="24"/>
          <w:szCs w:val="24"/>
        </w:rPr>
        <w:t xml:space="preserve">- umowa z podmiotem z gminy do 10 tysięcy mieszkańców, </w:t>
      </w:r>
    </w:p>
    <w:p w14:paraId="6AC40743" w14:textId="77777777" w:rsidR="00F61314" w:rsidRDefault="00F61314" w:rsidP="00F61314">
      <w:pPr>
        <w:spacing w:after="0" w:line="360" w:lineRule="auto"/>
        <w:ind w:left="1776"/>
        <w:jc w:val="both"/>
        <w:rPr>
          <w:rFonts w:ascii="Times New Roman" w:hAnsi="Times New Roman" w:cs="Times New Roman"/>
          <w:sz w:val="24"/>
          <w:szCs w:val="24"/>
        </w:rPr>
      </w:pPr>
      <w:r>
        <w:rPr>
          <w:rFonts w:ascii="Times New Roman" w:hAnsi="Times New Roman" w:cs="Times New Roman"/>
          <w:sz w:val="24"/>
          <w:szCs w:val="24"/>
        </w:rPr>
        <w:t>- umowa z podmiotem z branży: edukacja (żłobki, przedszkola, szkoły języków obcych, zajęcia edukacyjne, plastyczne), odzież i obuwie, spożywcza, mieszkanie (opłaty za prąd, gaz, wyposażenie), transport (komunikacja miejska lub publiczna), art. przemysłowe (wyłącznie RTV/AGD);</w:t>
      </w:r>
    </w:p>
    <w:p w14:paraId="7D578654" w14:textId="77777777" w:rsidR="00F61314" w:rsidRDefault="00F61314" w:rsidP="00F61314">
      <w:pPr>
        <w:spacing w:after="0" w:line="360" w:lineRule="auto"/>
        <w:ind w:left="1776"/>
        <w:jc w:val="both"/>
        <w:rPr>
          <w:rFonts w:ascii="Times New Roman" w:hAnsi="Times New Roman" w:cs="Times New Roman"/>
          <w:sz w:val="24"/>
          <w:szCs w:val="24"/>
        </w:rPr>
      </w:pPr>
      <w:r>
        <w:rPr>
          <w:rFonts w:ascii="Times New Roman" w:hAnsi="Times New Roman" w:cs="Times New Roman"/>
          <w:sz w:val="24"/>
          <w:szCs w:val="24"/>
        </w:rPr>
        <w:t>- umowa na czas nieokreślony;</w:t>
      </w:r>
    </w:p>
    <w:p w14:paraId="21C9416C" w14:textId="77777777" w:rsidR="00F61314" w:rsidRDefault="00F61314" w:rsidP="00F61314">
      <w:pPr>
        <w:spacing w:after="0" w:line="360" w:lineRule="auto"/>
        <w:ind w:left="1776"/>
        <w:jc w:val="both"/>
        <w:rPr>
          <w:rFonts w:ascii="Times New Roman" w:hAnsi="Times New Roman" w:cs="Times New Roman"/>
          <w:b/>
          <w:sz w:val="24"/>
          <w:szCs w:val="24"/>
        </w:rPr>
      </w:pPr>
    </w:p>
    <w:p w14:paraId="40DF9E48" w14:textId="77777777" w:rsidR="00F61314" w:rsidRDefault="00F61314" w:rsidP="00F61314">
      <w:pPr>
        <w:spacing w:after="0" w:line="360" w:lineRule="auto"/>
        <w:ind w:left="1776"/>
        <w:jc w:val="both"/>
        <w:rPr>
          <w:rFonts w:ascii="Times New Roman" w:hAnsi="Times New Roman" w:cs="Times New Roman"/>
          <w:b/>
          <w:sz w:val="24"/>
          <w:szCs w:val="24"/>
        </w:rPr>
      </w:pPr>
    </w:p>
    <w:p w14:paraId="5DC80606" w14:textId="77777777" w:rsidR="00F61314" w:rsidRDefault="00F61314" w:rsidP="00884D82">
      <w:pPr>
        <w:pStyle w:val="Akapitzlist"/>
        <w:numPr>
          <w:ilvl w:val="1"/>
          <w:numId w:val="15"/>
        </w:numPr>
        <w:spacing w:after="0" w:line="360" w:lineRule="auto"/>
        <w:ind w:left="1056"/>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umowa z podmiotem, który kiedykolwiek brał udział w inicjatywie KDR: </w:t>
      </w:r>
    </w:p>
    <w:p w14:paraId="5D9BF429" w14:textId="77777777" w:rsidR="00F61314" w:rsidRDefault="00F61314" w:rsidP="00884D82">
      <w:pPr>
        <w:pStyle w:val="Akapitzlist"/>
        <w:numPr>
          <w:ilvl w:val="0"/>
          <w:numId w:val="1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200 zł – umowa na mniej korzystnych warunkach w stosunku do ostatniej oferty podmiotu;</w:t>
      </w:r>
    </w:p>
    <w:p w14:paraId="42F2BCE2" w14:textId="77777777" w:rsidR="00F61314" w:rsidRDefault="00F61314" w:rsidP="00884D82">
      <w:pPr>
        <w:pStyle w:val="Akapitzlist"/>
        <w:numPr>
          <w:ilvl w:val="0"/>
          <w:numId w:val="1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400 zł – umowa bazowa;</w:t>
      </w:r>
    </w:p>
    <w:p w14:paraId="75450AD5" w14:textId="77777777" w:rsidR="00F61314" w:rsidRDefault="00F61314" w:rsidP="00884D82">
      <w:pPr>
        <w:pStyle w:val="Akapitzlist"/>
        <w:numPr>
          <w:ilvl w:val="0"/>
          <w:numId w:val="1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500 zł – za umowę z podmiotem prowadzącym działalność na terenie  gminy do 10 tys. mieszkańców </w:t>
      </w:r>
    </w:p>
    <w:p w14:paraId="74BD7A52" w14:textId="77777777" w:rsidR="00F61314" w:rsidRDefault="00F61314" w:rsidP="00884D82">
      <w:pPr>
        <w:pStyle w:val="Akapitzlist"/>
        <w:numPr>
          <w:ilvl w:val="0"/>
          <w:numId w:val="1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600 zł – za umowę spełniającą 2 z 3 następujących warunków:</w:t>
      </w:r>
    </w:p>
    <w:p w14:paraId="240AA030" w14:textId="77777777" w:rsidR="00F61314" w:rsidRDefault="00F61314" w:rsidP="00F61314">
      <w:pPr>
        <w:spacing w:after="0" w:line="360" w:lineRule="auto"/>
        <w:ind w:left="1776"/>
        <w:jc w:val="both"/>
        <w:rPr>
          <w:rFonts w:ascii="Times New Roman" w:hAnsi="Times New Roman" w:cs="Times New Roman"/>
          <w:sz w:val="24"/>
          <w:szCs w:val="24"/>
        </w:rPr>
      </w:pPr>
      <w:r>
        <w:rPr>
          <w:rFonts w:ascii="Times New Roman" w:hAnsi="Times New Roman" w:cs="Times New Roman"/>
          <w:sz w:val="24"/>
          <w:szCs w:val="24"/>
        </w:rPr>
        <w:t>- umowa z podmiotem z gminy do 10 tysięcy mieszkańców,</w:t>
      </w:r>
    </w:p>
    <w:p w14:paraId="46B029C7" w14:textId="77777777" w:rsidR="00F61314" w:rsidRDefault="00F61314" w:rsidP="00F61314">
      <w:pPr>
        <w:spacing w:after="0" w:line="360" w:lineRule="auto"/>
        <w:ind w:left="1776"/>
        <w:jc w:val="both"/>
        <w:rPr>
          <w:rFonts w:ascii="Times New Roman" w:hAnsi="Times New Roman" w:cs="Times New Roman"/>
          <w:sz w:val="24"/>
          <w:szCs w:val="24"/>
        </w:rPr>
      </w:pPr>
      <w:r>
        <w:rPr>
          <w:rFonts w:ascii="Times New Roman" w:hAnsi="Times New Roman" w:cs="Times New Roman"/>
          <w:sz w:val="24"/>
          <w:szCs w:val="24"/>
        </w:rPr>
        <w:t>- umowa z podmiotem z branży: edukacja (żłobki, przedszkola, szkoły języków obcych, zajęcia edukacyjne, plastyczne), odzież i obuwie, spożywcza, mieszkanie (opłaty za prąd, gaz, wyposażenie), transport (komunikacja miejska lub publiczna), art. przemysłowe (wyłącznie RTV/AGD);</w:t>
      </w:r>
    </w:p>
    <w:p w14:paraId="6F3F970C" w14:textId="77777777" w:rsidR="00F61314" w:rsidRDefault="00F61314" w:rsidP="00F61314">
      <w:pPr>
        <w:spacing w:after="0" w:line="360" w:lineRule="auto"/>
        <w:ind w:left="1776"/>
        <w:jc w:val="both"/>
        <w:rPr>
          <w:rFonts w:ascii="Times New Roman" w:hAnsi="Times New Roman" w:cs="Times New Roman"/>
          <w:sz w:val="24"/>
          <w:szCs w:val="24"/>
        </w:rPr>
      </w:pPr>
      <w:r>
        <w:rPr>
          <w:rFonts w:ascii="Times New Roman" w:hAnsi="Times New Roman" w:cs="Times New Roman"/>
          <w:sz w:val="24"/>
          <w:szCs w:val="24"/>
        </w:rPr>
        <w:t>- umowa na czas nieokreślony;</w:t>
      </w:r>
    </w:p>
    <w:p w14:paraId="7592ACCE" w14:textId="77777777" w:rsidR="00F61314" w:rsidRDefault="00F61314" w:rsidP="00884D82">
      <w:pPr>
        <w:pStyle w:val="Akapitzlist"/>
        <w:numPr>
          <w:ilvl w:val="0"/>
          <w:numId w:val="1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800 zł  – za umowę spełniającą 3  następujące warunki:</w:t>
      </w:r>
    </w:p>
    <w:p w14:paraId="16FC4802" w14:textId="77777777" w:rsidR="00F61314" w:rsidRDefault="00F61314" w:rsidP="00F61314">
      <w:pPr>
        <w:spacing w:after="0" w:line="360" w:lineRule="auto"/>
        <w:ind w:left="1776"/>
        <w:jc w:val="both"/>
        <w:rPr>
          <w:rFonts w:ascii="Times New Roman" w:hAnsi="Times New Roman" w:cs="Times New Roman"/>
          <w:sz w:val="24"/>
          <w:szCs w:val="24"/>
        </w:rPr>
      </w:pPr>
      <w:r>
        <w:rPr>
          <w:rFonts w:ascii="Times New Roman" w:hAnsi="Times New Roman" w:cs="Times New Roman"/>
          <w:sz w:val="24"/>
          <w:szCs w:val="24"/>
        </w:rPr>
        <w:t xml:space="preserve">- umowa z podmiotem z gminy do 10 tysięcy mieszkańców, </w:t>
      </w:r>
    </w:p>
    <w:p w14:paraId="6763413A" w14:textId="77777777" w:rsidR="00F61314" w:rsidRDefault="00F61314" w:rsidP="00F61314">
      <w:pPr>
        <w:spacing w:after="0" w:line="360" w:lineRule="auto"/>
        <w:ind w:left="1776"/>
        <w:jc w:val="both"/>
        <w:rPr>
          <w:rFonts w:ascii="Times New Roman" w:hAnsi="Times New Roman" w:cs="Times New Roman"/>
          <w:sz w:val="24"/>
          <w:szCs w:val="24"/>
        </w:rPr>
      </w:pPr>
      <w:r>
        <w:rPr>
          <w:rFonts w:ascii="Times New Roman" w:hAnsi="Times New Roman" w:cs="Times New Roman"/>
          <w:sz w:val="24"/>
          <w:szCs w:val="24"/>
        </w:rPr>
        <w:t>- umowa z podmiotem z branży: edukacja (żłobki, przedszkola, szkoły języków obcych, zajęcia edukacyjne, plastyczne), odzież i obuwie, spożywcza, mieszkanie (opłaty za prąd, gaz, wyposażenie), transport (komunikacja miejska lub publiczna), art. przemysłowe (wyłącznie RTV/AGD);</w:t>
      </w:r>
    </w:p>
    <w:p w14:paraId="65CA395E" w14:textId="77777777" w:rsidR="00F61314" w:rsidRDefault="00F61314" w:rsidP="00F61314">
      <w:pPr>
        <w:spacing w:after="0" w:line="360" w:lineRule="auto"/>
        <w:ind w:left="1776"/>
        <w:jc w:val="both"/>
        <w:rPr>
          <w:rFonts w:ascii="Times New Roman" w:hAnsi="Times New Roman" w:cs="Times New Roman"/>
          <w:sz w:val="24"/>
          <w:szCs w:val="24"/>
        </w:rPr>
      </w:pPr>
      <w:r>
        <w:rPr>
          <w:rFonts w:ascii="Times New Roman" w:hAnsi="Times New Roman" w:cs="Times New Roman"/>
          <w:sz w:val="24"/>
          <w:szCs w:val="24"/>
        </w:rPr>
        <w:t>- umowa na czas nieokreślony;</w:t>
      </w:r>
    </w:p>
    <w:p w14:paraId="1A07A930" w14:textId="77777777" w:rsidR="00F61314" w:rsidRDefault="00F61314" w:rsidP="00884D82">
      <w:pPr>
        <w:pStyle w:val="Akapitzlist"/>
        <w:numPr>
          <w:ilvl w:val="0"/>
          <w:numId w:val="15"/>
        </w:numPr>
        <w:spacing w:after="0" w:line="360" w:lineRule="auto"/>
        <w:ind w:left="1701"/>
        <w:jc w:val="both"/>
        <w:rPr>
          <w:rFonts w:ascii="Times New Roman" w:hAnsi="Times New Roman" w:cs="Times New Roman"/>
          <w:b/>
          <w:sz w:val="24"/>
          <w:szCs w:val="24"/>
        </w:rPr>
      </w:pPr>
      <w:r>
        <w:rPr>
          <w:rFonts w:ascii="Times New Roman" w:hAnsi="Times New Roman" w:cs="Times New Roman"/>
          <w:b/>
          <w:sz w:val="24"/>
          <w:szCs w:val="24"/>
        </w:rPr>
        <w:t xml:space="preserve">Aneksy </w:t>
      </w:r>
    </w:p>
    <w:p w14:paraId="32F24857" w14:textId="77777777" w:rsidR="00F61314" w:rsidRDefault="00F61314" w:rsidP="00884D82">
      <w:pPr>
        <w:pStyle w:val="Akapitzlist"/>
        <w:numPr>
          <w:ilvl w:val="0"/>
          <w:numId w:val="1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300 zł – aneks bazowy – przedłużenie umowy na niepogorszonych warunkach lub dodanie nowych oddziałów;</w:t>
      </w:r>
    </w:p>
    <w:p w14:paraId="13CE0A66" w14:textId="77777777" w:rsidR="00F61314" w:rsidRDefault="00F61314" w:rsidP="00884D82">
      <w:pPr>
        <w:pStyle w:val="Akapitzlist"/>
        <w:numPr>
          <w:ilvl w:val="0"/>
          <w:numId w:val="1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400 zł – za aneks z podmiotem prowadzącym działalność w gminie, w której zamieszkuje do 10 tys. mieszkańców </w:t>
      </w:r>
    </w:p>
    <w:p w14:paraId="6271A7E5" w14:textId="77777777" w:rsidR="00F61314" w:rsidRDefault="00F61314" w:rsidP="00884D82">
      <w:pPr>
        <w:pStyle w:val="Akapitzlist"/>
        <w:numPr>
          <w:ilvl w:val="0"/>
          <w:numId w:val="1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500 zł – za aneks spełniający 2 z 3 następujących warunków:</w:t>
      </w:r>
    </w:p>
    <w:p w14:paraId="3D42E8EA" w14:textId="77777777" w:rsidR="00F61314" w:rsidRDefault="00F61314" w:rsidP="00F61314">
      <w:pPr>
        <w:spacing w:after="0" w:line="360" w:lineRule="auto"/>
        <w:ind w:left="1776"/>
        <w:jc w:val="both"/>
        <w:rPr>
          <w:rFonts w:ascii="Times New Roman" w:hAnsi="Times New Roman" w:cs="Times New Roman"/>
          <w:sz w:val="24"/>
          <w:szCs w:val="24"/>
        </w:rPr>
      </w:pPr>
      <w:r>
        <w:rPr>
          <w:rFonts w:ascii="Times New Roman" w:hAnsi="Times New Roman" w:cs="Times New Roman"/>
          <w:sz w:val="24"/>
          <w:szCs w:val="24"/>
        </w:rPr>
        <w:t xml:space="preserve">- aneks polepszający warunki umowy z podmiotem z gminy do 10 tysięcy mieszkańców, </w:t>
      </w:r>
    </w:p>
    <w:p w14:paraId="4AEE21FD" w14:textId="77777777" w:rsidR="00F61314" w:rsidRDefault="00F61314" w:rsidP="00F61314">
      <w:pPr>
        <w:spacing w:after="0" w:line="360" w:lineRule="auto"/>
        <w:ind w:left="1776"/>
        <w:jc w:val="both"/>
        <w:rPr>
          <w:rFonts w:ascii="Times New Roman" w:hAnsi="Times New Roman" w:cs="Times New Roman"/>
          <w:sz w:val="24"/>
          <w:szCs w:val="24"/>
        </w:rPr>
      </w:pPr>
      <w:r>
        <w:rPr>
          <w:rFonts w:ascii="Times New Roman" w:hAnsi="Times New Roman" w:cs="Times New Roman"/>
          <w:sz w:val="24"/>
          <w:szCs w:val="24"/>
        </w:rPr>
        <w:t xml:space="preserve">- aneks polepszający warunki umowy z podmiotem z branży: edukacja (żłobki, przedszkola, szkoły języków obcych, zajęcia edukacyjne, plastyczne), odzież i obuwie, spożywcza, mieszkanie (opłaty za prąd, gaz, </w:t>
      </w:r>
      <w:r>
        <w:rPr>
          <w:rFonts w:ascii="Times New Roman" w:hAnsi="Times New Roman" w:cs="Times New Roman"/>
          <w:sz w:val="24"/>
          <w:szCs w:val="24"/>
        </w:rPr>
        <w:lastRenderedPageBreak/>
        <w:t>wyposażenie), transport (komunikacja miejska lub publiczna), art. przemysłowe (wyłącznie RTV/AGD);</w:t>
      </w:r>
    </w:p>
    <w:p w14:paraId="2C9ABD9B" w14:textId="77777777" w:rsidR="00F61314" w:rsidRDefault="00F61314" w:rsidP="00F61314">
      <w:pPr>
        <w:spacing w:after="0" w:line="360" w:lineRule="auto"/>
        <w:ind w:left="1776"/>
        <w:jc w:val="both"/>
        <w:rPr>
          <w:rFonts w:ascii="Times New Roman" w:hAnsi="Times New Roman" w:cs="Times New Roman"/>
          <w:sz w:val="24"/>
          <w:szCs w:val="24"/>
        </w:rPr>
      </w:pPr>
      <w:r>
        <w:rPr>
          <w:rFonts w:ascii="Times New Roman" w:hAnsi="Times New Roman" w:cs="Times New Roman"/>
          <w:sz w:val="24"/>
          <w:szCs w:val="24"/>
        </w:rPr>
        <w:t>- aneks zmieniający umowę na czas nieokreślony;</w:t>
      </w:r>
    </w:p>
    <w:p w14:paraId="47689CDA" w14:textId="77777777" w:rsidR="00F61314" w:rsidRDefault="00F61314" w:rsidP="00884D82">
      <w:pPr>
        <w:pStyle w:val="Akapitzlist"/>
        <w:numPr>
          <w:ilvl w:val="0"/>
          <w:numId w:val="1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700 zł – za aneks spełniający 3 następujące warunki:</w:t>
      </w:r>
    </w:p>
    <w:p w14:paraId="13564438" w14:textId="77777777" w:rsidR="00F61314" w:rsidRDefault="00F61314" w:rsidP="00F61314">
      <w:pPr>
        <w:spacing w:after="0" w:line="360" w:lineRule="auto"/>
        <w:ind w:left="1776"/>
        <w:jc w:val="both"/>
        <w:rPr>
          <w:rFonts w:ascii="Times New Roman" w:hAnsi="Times New Roman" w:cs="Times New Roman"/>
          <w:sz w:val="24"/>
          <w:szCs w:val="24"/>
        </w:rPr>
      </w:pPr>
      <w:r>
        <w:rPr>
          <w:rFonts w:ascii="Times New Roman" w:hAnsi="Times New Roman" w:cs="Times New Roman"/>
          <w:sz w:val="24"/>
          <w:szCs w:val="24"/>
        </w:rPr>
        <w:t xml:space="preserve">- aneks polepszający warunki umowy z podmiotem z gminy do 10 tysięcy mieszkańców, </w:t>
      </w:r>
    </w:p>
    <w:p w14:paraId="6F83D6D5" w14:textId="77777777" w:rsidR="00F61314" w:rsidRDefault="00F61314" w:rsidP="00F61314">
      <w:pPr>
        <w:spacing w:after="0" w:line="360" w:lineRule="auto"/>
        <w:ind w:left="1776"/>
        <w:jc w:val="both"/>
        <w:rPr>
          <w:rFonts w:ascii="Times New Roman" w:hAnsi="Times New Roman" w:cs="Times New Roman"/>
          <w:sz w:val="24"/>
          <w:szCs w:val="24"/>
        </w:rPr>
      </w:pPr>
      <w:r>
        <w:rPr>
          <w:rFonts w:ascii="Times New Roman" w:hAnsi="Times New Roman" w:cs="Times New Roman"/>
          <w:sz w:val="24"/>
          <w:szCs w:val="24"/>
        </w:rPr>
        <w:t>- aneks polepszający warunki umowy z podmiotem z branży: edukacja (żłobki, przedszkola, szkoły języków obcych, zajęcia edukacyjne, plastyczne), odzież i obuwie, spożywcza, mieszkanie (opłaty za prąd, gaz, wyposażenie), transport (komunikacja miejska lub publiczna), art. przemysłowe (wyłącznie RTV/AGD);</w:t>
      </w:r>
    </w:p>
    <w:p w14:paraId="2FD595F4" w14:textId="77777777" w:rsidR="00F61314" w:rsidRDefault="00F61314" w:rsidP="00F61314">
      <w:pPr>
        <w:spacing w:after="0" w:line="360" w:lineRule="auto"/>
        <w:ind w:left="1776"/>
        <w:jc w:val="both"/>
        <w:rPr>
          <w:rFonts w:ascii="Times New Roman" w:hAnsi="Times New Roman" w:cs="Times New Roman"/>
          <w:sz w:val="24"/>
          <w:szCs w:val="24"/>
        </w:rPr>
      </w:pPr>
      <w:r>
        <w:rPr>
          <w:rFonts w:ascii="Times New Roman" w:hAnsi="Times New Roman" w:cs="Times New Roman"/>
          <w:sz w:val="24"/>
          <w:szCs w:val="24"/>
        </w:rPr>
        <w:t>- aneks zmieniający umowę na czas nieokreślony;</w:t>
      </w:r>
    </w:p>
    <w:p w14:paraId="2FE66CC3" w14:textId="77777777" w:rsidR="00F61314" w:rsidRDefault="00F61314" w:rsidP="00884D82">
      <w:pPr>
        <w:pStyle w:val="Akapitzlist"/>
        <w:numPr>
          <w:ilvl w:val="0"/>
          <w:numId w:val="1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0 złotych - aneks techniczny (zmiana adresu siedziby/oddziałów, zmiana właściciela, zmiana zapisów zniżki bez wpływu na jakość i wysokość oferty);</w:t>
      </w:r>
    </w:p>
    <w:p w14:paraId="35E73461" w14:textId="77777777" w:rsidR="00F61314" w:rsidRDefault="00F61314" w:rsidP="00884D82">
      <w:pPr>
        <w:pStyle w:val="Akapitzlist"/>
        <w:numPr>
          <w:ilvl w:val="0"/>
          <w:numId w:val="1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150 złotych – aneks zmieniający umowę na gorsze warunki (obniżenie zakresu zniżki i/lub zmniejszenie liczby oddziałów).</w:t>
      </w:r>
    </w:p>
    <w:p w14:paraId="01D14848" w14:textId="77777777" w:rsidR="00F61314" w:rsidRDefault="00F61314" w:rsidP="00884D82">
      <w:pPr>
        <w:pStyle w:val="Akapitzlist"/>
        <w:numPr>
          <w:ilvl w:val="0"/>
          <w:numId w:val="15"/>
        </w:numPr>
        <w:spacing w:after="0" w:line="360" w:lineRule="auto"/>
        <w:ind w:left="1701"/>
        <w:jc w:val="both"/>
        <w:rPr>
          <w:rFonts w:ascii="Times New Roman" w:hAnsi="Times New Roman" w:cs="Times New Roman"/>
          <w:b/>
          <w:sz w:val="24"/>
          <w:szCs w:val="24"/>
        </w:rPr>
      </w:pPr>
      <w:r>
        <w:rPr>
          <w:rFonts w:ascii="Times New Roman" w:hAnsi="Times New Roman" w:cs="Times New Roman"/>
          <w:b/>
          <w:sz w:val="24"/>
          <w:szCs w:val="24"/>
        </w:rPr>
        <w:t>Umowy i aneksy z podmiotami strategicznymi:</w:t>
      </w:r>
    </w:p>
    <w:p w14:paraId="54CE99DE" w14:textId="77777777" w:rsidR="00F61314" w:rsidRDefault="00F61314" w:rsidP="00F61314">
      <w:pPr>
        <w:spacing w:after="0" w:line="360" w:lineRule="auto"/>
        <w:ind w:left="1776"/>
        <w:jc w:val="both"/>
        <w:rPr>
          <w:rFonts w:ascii="Times New Roman" w:hAnsi="Times New Roman" w:cs="Times New Roman"/>
          <w:sz w:val="24"/>
          <w:szCs w:val="24"/>
        </w:rPr>
      </w:pPr>
      <w:r>
        <w:rPr>
          <w:rFonts w:ascii="Times New Roman" w:hAnsi="Times New Roman" w:cs="Times New Roman"/>
          <w:sz w:val="24"/>
          <w:szCs w:val="24"/>
        </w:rPr>
        <w:t>- umowa – minister ds. rodziny na podstawie indywidualnej oceny umowy pod względem liczby oddziałów, branży, oferty zaspokajającej podstawowe potrzeby rodziny wielodzietnej, rozmieszczenia oddziałów na terenie Polski, znaczenia podmiotu (rozpoznawalność, liczba klientów, przychody) może wycenić umowę na kwotę do 20 000 zł,</w:t>
      </w:r>
    </w:p>
    <w:p w14:paraId="14F1BDD5" w14:textId="77777777" w:rsidR="00F61314" w:rsidRDefault="00F61314" w:rsidP="00F61314">
      <w:pPr>
        <w:spacing w:after="0" w:line="360" w:lineRule="auto"/>
        <w:ind w:left="1776"/>
        <w:jc w:val="both"/>
        <w:rPr>
          <w:rFonts w:ascii="Times New Roman" w:hAnsi="Times New Roman" w:cs="Times New Roman"/>
          <w:sz w:val="24"/>
          <w:szCs w:val="24"/>
        </w:rPr>
      </w:pPr>
      <w:r>
        <w:rPr>
          <w:rFonts w:ascii="Times New Roman" w:hAnsi="Times New Roman" w:cs="Times New Roman"/>
          <w:sz w:val="24"/>
          <w:szCs w:val="24"/>
        </w:rPr>
        <w:t xml:space="preserve">- aneks – minister ds. rodziny na podstawie indywidualnej oceny aneksu pod względem liczby oddziałów, rozmieszczenia oddziałów w Polsce, oferty zaspokającej podstawowe potrzeby rodziny wielodzietnej, znaczenia podmiotu może wycenić aneks na kwotę do 20 000 zł (kryteria jak przy umowie). </w:t>
      </w:r>
    </w:p>
    <w:p w14:paraId="190C593E" w14:textId="77777777" w:rsidR="00F61314" w:rsidRDefault="00F61314" w:rsidP="00F61314">
      <w:pPr>
        <w:pStyle w:val="Bezodstpw"/>
        <w:ind w:left="1440"/>
        <w:rPr>
          <w:rFonts w:ascii="Times New Roman" w:hAnsi="Times New Roman" w:cs="Times New Roman"/>
        </w:rPr>
      </w:pPr>
    </w:p>
    <w:p w14:paraId="09C8503B" w14:textId="77777777" w:rsidR="00F61314" w:rsidRDefault="00F61314" w:rsidP="00884D82">
      <w:pPr>
        <w:pStyle w:val="Default"/>
        <w:numPr>
          <w:ilvl w:val="0"/>
          <w:numId w:val="10"/>
        </w:numPr>
        <w:spacing w:line="360" w:lineRule="auto"/>
        <w:jc w:val="both"/>
      </w:pPr>
      <w:r>
        <w:t>Zawarcie umów wycenionych sumarycznie w danym roku na więcej niż 1 500 000 zł nie stanowi podstawy do zwiększenia przyznanej w danym roku dotacji.</w:t>
      </w:r>
    </w:p>
    <w:p w14:paraId="64BA9D74" w14:textId="77777777" w:rsidR="00F61314" w:rsidRDefault="00F61314" w:rsidP="00884D82">
      <w:pPr>
        <w:pStyle w:val="Default"/>
        <w:numPr>
          <w:ilvl w:val="0"/>
          <w:numId w:val="10"/>
        </w:numPr>
        <w:spacing w:line="360" w:lineRule="auto"/>
        <w:jc w:val="both"/>
      </w:pPr>
      <w:r>
        <w:t xml:space="preserve">Do rozliczenia dotacji brane są pod uwagę jedynie umowy zamieszczone w systemie </w:t>
      </w:r>
      <w:r>
        <w:br/>
        <w:t>SI KDR oraz opublikowane za pośrednictwem systemu SI KDR na stronie internetowej urzędu obsługującego ministra właściwego ds. rodziny, tj. podmiot jest właściwie osadzony na mapie.</w:t>
      </w:r>
    </w:p>
    <w:p w14:paraId="663769EB" w14:textId="77777777" w:rsidR="00F61314" w:rsidRDefault="00F61314" w:rsidP="00884D82">
      <w:pPr>
        <w:pStyle w:val="Akapitzlist"/>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Organizacja pozarządowa po zakończeniu każdego miesiąca przekazuje do Ministerstwa Rodziny i Polityki Społecznej sprawozdanie miesięczne o zawartych w poprzednim miesiącu umowach z partnerami Karty Dużej Rodziny. Sprawozdanie przekazywane jest na adres </w:t>
      </w:r>
      <w:hyperlink r:id="rId24" w:history="1">
        <w:r>
          <w:rPr>
            <w:rStyle w:val="Hipercze"/>
            <w:rFonts w:ascii="Times New Roman" w:hAnsi="Times New Roman" w:cs="Times New Roman"/>
            <w:sz w:val="24"/>
            <w:szCs w:val="24"/>
          </w:rPr>
          <w:t>sekretariat.dsr@mrips.gov.pl</w:t>
        </w:r>
      </w:hyperlink>
      <w:r>
        <w:rPr>
          <w:rFonts w:ascii="Times New Roman" w:hAnsi="Times New Roman" w:cs="Times New Roman"/>
          <w:sz w:val="24"/>
          <w:szCs w:val="24"/>
        </w:rPr>
        <w:t xml:space="preserve">. Jeżeli MOP SI KDR nie działa, do sprawozdania dołącza się skany umów na płycie CD/ DVD/ pendrive. Nośnik przekazywany jest do Departamentu Polityki Rodzinnej Ministerstwa Rodziny i Polityki Społecznej. </w:t>
      </w:r>
    </w:p>
    <w:p w14:paraId="76E74318" w14:textId="77777777" w:rsidR="00F61314" w:rsidRDefault="00F61314" w:rsidP="00F61314">
      <w:pPr>
        <w:pStyle w:val="Akapitzlist"/>
        <w:spacing w:line="360" w:lineRule="auto"/>
        <w:ind w:left="644"/>
        <w:jc w:val="both"/>
        <w:rPr>
          <w:rFonts w:ascii="Times New Roman" w:hAnsi="Times New Roman" w:cs="Times New Roman"/>
          <w:sz w:val="24"/>
          <w:szCs w:val="24"/>
        </w:rPr>
      </w:pPr>
      <w:r>
        <w:rPr>
          <w:rFonts w:ascii="Times New Roman" w:hAnsi="Times New Roman" w:cs="Times New Roman"/>
          <w:sz w:val="24"/>
          <w:szCs w:val="24"/>
        </w:rPr>
        <w:t>Sprawozdania składane są w następujący sposób:</w:t>
      </w:r>
    </w:p>
    <w:p w14:paraId="2105F10C" w14:textId="77777777" w:rsidR="00F61314" w:rsidRDefault="00F61314" w:rsidP="00884D82">
      <w:pPr>
        <w:pStyle w:val="Akapitzlist"/>
        <w:numPr>
          <w:ilvl w:val="0"/>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Sprawozdanie przekazywane jest do 5 dnia roboczego w miesiącu  następującym po miesiącu, którego sprawozdanie dotyczy wraz z oryginałami umów, </w:t>
      </w:r>
    </w:p>
    <w:p w14:paraId="7BFD209D" w14:textId="77777777" w:rsidR="00F61314" w:rsidRDefault="00F61314" w:rsidP="00884D82">
      <w:pPr>
        <w:pStyle w:val="Akapitzlist"/>
        <w:numPr>
          <w:ilvl w:val="0"/>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Sprawozdanie składane jest na wzorze stanowiącym załącznik nr 4 do regulaminu. Zawiera zestawienie informacji o liczbie i rodzaju podpisanych umów/aneksów, zestawienie kosztów zgodnie z umową, faktycznie poniesionych wydatków, zestawienia faktur – rachunków związanych </w:t>
      </w:r>
      <w:r>
        <w:rPr>
          <w:rFonts w:ascii="Times New Roman" w:hAnsi="Times New Roman" w:cs="Times New Roman"/>
          <w:sz w:val="24"/>
          <w:szCs w:val="24"/>
        </w:rPr>
        <w:br/>
        <w:t xml:space="preserve">z realizacją zadania publicznego oraz informację o umowach, które wygasły bez podpisania aneksu w miesiącu, którego dotyczy sprawozdanie, oraz informację, o umowach, których termin obowiązywania wygasa w ciągu miesiąca następującego po miesiącu, w którym składane jest sprawozdanie (np. jeżeli sprawozdanie składane jest za miesiąc maj, wraz ze sprawozdaniem przekazywana jest lista umów, które wygasły bez aneksowania w miesiącu maju, oraz lista umów, których termin obowiązywania kończy się w miesiącu czerwcu), </w:t>
      </w:r>
    </w:p>
    <w:p w14:paraId="38D91D46" w14:textId="77777777" w:rsidR="00F61314" w:rsidRDefault="00F61314" w:rsidP="00884D82">
      <w:pPr>
        <w:pStyle w:val="Akapitzlist"/>
        <w:numPr>
          <w:ilvl w:val="0"/>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Ministerstwo Rodziny i Polityki Społecznej w ciągu 7 dni roboczych sprawdza sprawozdanie. W przypadku zgłoszenia zastrzeżeń do sprawozdania organizacja pozarządowa jest zobowiązana do dokonania poprawki w terminie do 3 dni roboczych. Weryfikacja po stronie Ministerstwa następuje w terminie 3 dni roboczych, </w:t>
      </w:r>
    </w:p>
    <w:p w14:paraId="7C44D22E" w14:textId="77777777" w:rsidR="00F61314" w:rsidRDefault="00F61314" w:rsidP="00884D82">
      <w:pPr>
        <w:pStyle w:val="Akapitzlist"/>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Jeżeli sprawozdanie miesięczne zostało zaakceptowane, Ministerstwo Rodziny i Polityki Społecznej informuje w formie pisemnej organizację o wysokości środków przysługujących za zawarte umowy w tym okresie, </w:t>
      </w:r>
    </w:p>
    <w:p w14:paraId="7740210C" w14:textId="77777777" w:rsidR="00F61314" w:rsidRDefault="00F61314" w:rsidP="00884D82">
      <w:pPr>
        <w:pStyle w:val="Akapitzlist"/>
        <w:numPr>
          <w:ilvl w:val="0"/>
          <w:numId w:val="17"/>
        </w:numPr>
        <w:suppressAutoHyphens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 przypadku, kiedy oryginały zawartych umów, nie zostaną przekazane do Ministerstwa Rodziny i Polityki Społecznej w terminie 2 miesięcy od dnia ich podpisania, minister właściwy ds. rodziny po analizie przyczyn niedotrzymania </w:t>
      </w:r>
      <w:r>
        <w:rPr>
          <w:rFonts w:ascii="Times New Roman" w:hAnsi="Times New Roman" w:cs="Times New Roman"/>
          <w:sz w:val="24"/>
          <w:szCs w:val="24"/>
        </w:rPr>
        <w:lastRenderedPageBreak/>
        <w:t xml:space="preserve">terminu,  zastrzega sobie prawo do możliwości obniżenia dotacji wskazanej </w:t>
      </w:r>
      <w:r>
        <w:rPr>
          <w:rFonts w:ascii="Times New Roman" w:hAnsi="Times New Roman" w:cs="Times New Roman"/>
          <w:sz w:val="24"/>
          <w:szCs w:val="24"/>
        </w:rPr>
        <w:br/>
        <w:t xml:space="preserve">w podpunkcie e. o 50%, </w:t>
      </w:r>
    </w:p>
    <w:p w14:paraId="7240D0C1" w14:textId="77777777" w:rsidR="00F61314" w:rsidRDefault="00F61314" w:rsidP="00884D82">
      <w:pPr>
        <w:pStyle w:val="Akapitzlist"/>
        <w:numPr>
          <w:ilvl w:val="0"/>
          <w:numId w:val="17"/>
        </w:numPr>
        <w:suppressAutoHyphens w:val="0"/>
        <w:spacing w:after="0" w:line="360" w:lineRule="auto"/>
        <w:jc w:val="both"/>
      </w:pPr>
      <w:r>
        <w:rPr>
          <w:rFonts w:ascii="Times New Roman" w:hAnsi="Times New Roman" w:cs="Times New Roman"/>
          <w:sz w:val="24"/>
          <w:szCs w:val="24"/>
        </w:rPr>
        <w:t xml:space="preserve">W przypadku błędnego opublikowania podmiotu na stronie urzędu obsługującego ministra ds. rodziny, minister wzywa do poprawienia błędów </w:t>
      </w:r>
      <w:r>
        <w:rPr>
          <w:rFonts w:ascii="Times New Roman" w:hAnsi="Times New Roman" w:cs="Times New Roman"/>
          <w:sz w:val="24"/>
          <w:szCs w:val="24"/>
        </w:rPr>
        <w:br/>
        <w:t xml:space="preserve">w terminie 7 dni roboczych. Jeżeli błędy nie zostaną poprawione we wskazanym terminie minister właściwy ds. rodziny po analizie przyczyn niedotrzymania terminu,  zastrzega sobie prawo do możliwości obniżenia dotacji wskazanej </w:t>
      </w:r>
      <w:r>
        <w:rPr>
          <w:rFonts w:ascii="Times New Roman" w:hAnsi="Times New Roman" w:cs="Times New Roman"/>
          <w:sz w:val="24"/>
          <w:szCs w:val="24"/>
        </w:rPr>
        <w:br/>
        <w:t>w podpunkcie e o 50%</w:t>
      </w:r>
      <w:r>
        <w:t>,</w:t>
      </w:r>
    </w:p>
    <w:p w14:paraId="3B955EA5" w14:textId="77777777" w:rsidR="00F61314" w:rsidRDefault="00F61314" w:rsidP="00884D82">
      <w:pPr>
        <w:pStyle w:val="Akapitzlist"/>
        <w:numPr>
          <w:ilvl w:val="0"/>
          <w:numId w:val="17"/>
        </w:numPr>
        <w:suppressAutoHyphens w:val="0"/>
        <w:spacing w:after="0" w:line="360" w:lineRule="auto"/>
        <w:jc w:val="both"/>
      </w:pPr>
      <w:r>
        <w:rPr>
          <w:rFonts w:ascii="Times New Roman" w:hAnsi="Times New Roman" w:cs="Times New Roman"/>
          <w:sz w:val="24"/>
          <w:szCs w:val="24"/>
        </w:rPr>
        <w:t>W przypadku spóźnienia finalizacji aneksu, co skutkuje wygaśnięciem umowy, to minister właściwy ds. rodziny zastrzega sobie prawo do możliwości obniżenia dotacji wskazanej w podpunkcie e o 50%.</w:t>
      </w:r>
    </w:p>
    <w:p w14:paraId="6C5CB462" w14:textId="77777777" w:rsidR="00F61314" w:rsidRDefault="00F61314" w:rsidP="00884D82">
      <w:pPr>
        <w:pStyle w:val="Akapitzlist"/>
        <w:numPr>
          <w:ilvl w:val="0"/>
          <w:numId w:val="10"/>
        </w:numPr>
        <w:suppressAutoHyphens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Organizacja pozarządowa, której została udzielona dotacja, jest obowiązana </w:t>
      </w:r>
      <w:r>
        <w:rPr>
          <w:rFonts w:ascii="Times New Roman" w:hAnsi="Times New Roman" w:cs="Times New Roman"/>
          <w:sz w:val="24"/>
          <w:szCs w:val="24"/>
        </w:rPr>
        <w:br/>
        <w:t>do prowadzenia wyodrębnionej ewidencji księgowej środków otrzymanych z dotacji oraz wydatków dokonywanych z tych środków.</w:t>
      </w:r>
    </w:p>
    <w:p w14:paraId="3B8108A4" w14:textId="77777777" w:rsidR="00F61314" w:rsidRDefault="00F61314" w:rsidP="00884D82">
      <w:pPr>
        <w:pStyle w:val="Akapitzlist"/>
        <w:numPr>
          <w:ilvl w:val="0"/>
          <w:numId w:val="10"/>
        </w:numPr>
        <w:suppressAutoHyphens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Jeżeli dotacja nie zostanie wykorzystana w ciągu roku kalendarzowego, to środki niewykorzystane nie przechodzą na następny rok.  </w:t>
      </w:r>
    </w:p>
    <w:p w14:paraId="60354AED" w14:textId="77777777" w:rsidR="00F61314" w:rsidRDefault="00F61314" w:rsidP="00884D82">
      <w:pPr>
        <w:pStyle w:val="Akapitzlist"/>
        <w:numPr>
          <w:ilvl w:val="0"/>
          <w:numId w:val="10"/>
        </w:numPr>
        <w:suppressAutoHyphens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Kwota dotacji niewykorzystanej za rok realizacji zadania publicznego w każdym roku podlega zwrotowi do dnia 15 stycznia roku kolejnego. </w:t>
      </w:r>
    </w:p>
    <w:p w14:paraId="77884DA5" w14:textId="77777777" w:rsidR="00F61314" w:rsidRDefault="00F61314" w:rsidP="00884D82">
      <w:pPr>
        <w:pStyle w:val="Akapitzlist"/>
        <w:numPr>
          <w:ilvl w:val="0"/>
          <w:numId w:val="10"/>
        </w:numPr>
        <w:suppressAutoHyphens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Środki z dotacji muszą zostać wydatkowane w każdym roku do dnia 31 grudnia roku, </w:t>
      </w:r>
      <w:r>
        <w:rPr>
          <w:rFonts w:ascii="Times New Roman" w:hAnsi="Times New Roman" w:cs="Times New Roman"/>
          <w:sz w:val="24"/>
          <w:szCs w:val="24"/>
        </w:rPr>
        <w:br/>
        <w:t xml:space="preserve">w którym realizowane jest zadanie. Wydatkowane środki w przypadku pierwszego roku realizacji zadania przed 1 stycznia 2022 r., jak i po 31 grudnia 2022 r., a w przypadku drugiego i kolejnych lat realizacji zadania przed 1 stycznia danego roku realizacji zadania jak i po 31 grudnia roku, w którym realizowane jest zadanie - uznaje się za wydatki niekwalifikowalne. </w:t>
      </w:r>
    </w:p>
    <w:p w14:paraId="4317B431" w14:textId="77777777" w:rsidR="00F61314" w:rsidRDefault="00F61314" w:rsidP="00884D82">
      <w:pPr>
        <w:pStyle w:val="Akapitzlist"/>
        <w:numPr>
          <w:ilvl w:val="0"/>
          <w:numId w:val="10"/>
        </w:numPr>
        <w:suppressAutoHyphens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Rozliczenie całego roku realizacji zadania, organizacja pozarządowa każdorazowo przedstawia do 30 stycznia roku następującego po roku, w którym zadanie było realizowane. Rozliczenie całego zadania organizacja pozarządowa przedstawia według wzoru sprawozdania stanowiącego załącznik nr 5 do regulaminu.</w:t>
      </w:r>
    </w:p>
    <w:p w14:paraId="7F68A260" w14:textId="77777777" w:rsidR="00F61314" w:rsidRDefault="00F61314" w:rsidP="00884D82">
      <w:pPr>
        <w:pStyle w:val="Akapitzlist"/>
        <w:numPr>
          <w:ilvl w:val="0"/>
          <w:numId w:val="10"/>
        </w:numPr>
        <w:suppressAutoHyphens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Zatwierdzenie przez Ministerstwo Rodziny i Polityki Społecznej sprawozdania rocznego rozliczenia dotacji w zakresie rzeczowym i finansowym, przedstawionego przez organizację pozarządową, powinno nastąpić w terminie 30 dni kalendarzowych od dnia jego przedstawienia. </w:t>
      </w:r>
    </w:p>
    <w:p w14:paraId="6C2A3043" w14:textId="77777777" w:rsidR="00F61314" w:rsidRDefault="00F61314" w:rsidP="00884D82">
      <w:pPr>
        <w:pStyle w:val="Akapitzlist"/>
        <w:numPr>
          <w:ilvl w:val="0"/>
          <w:numId w:val="10"/>
        </w:numPr>
        <w:suppressAutoHyphens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 przypadku gdy wydatki są niekwalifikowalne w rozumieniu regulaminu, uznaje się, że dotacja wykorzystana została w części lub całości niezgodnie z przeznaczeniem.</w:t>
      </w:r>
    </w:p>
    <w:p w14:paraId="298A700E" w14:textId="77777777" w:rsidR="00F61314" w:rsidRDefault="00F61314" w:rsidP="00884D82">
      <w:pPr>
        <w:pStyle w:val="Akapitzlist"/>
        <w:numPr>
          <w:ilvl w:val="0"/>
          <w:numId w:val="10"/>
        </w:numPr>
        <w:suppressAutoHyphens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Za środki przyznane w nadmiernej wysokości uważa się różnicę pomiędzy przyznaną dotacją a kwotą należnej dotacji wyliczoną na podstawie zawartych umów.</w:t>
      </w:r>
    </w:p>
    <w:p w14:paraId="3EF98A59" w14:textId="77777777" w:rsidR="00F61314" w:rsidRDefault="00F61314" w:rsidP="00884D82">
      <w:pPr>
        <w:pStyle w:val="Akapitzlist"/>
        <w:numPr>
          <w:ilvl w:val="0"/>
          <w:numId w:val="10"/>
        </w:numPr>
        <w:suppressAutoHyphens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 przypadku gdy środki nie zostały wydatkowane, uznawane są one za środki niewykorzystane.</w:t>
      </w:r>
    </w:p>
    <w:p w14:paraId="063D5A31" w14:textId="77777777" w:rsidR="00F61314" w:rsidRDefault="00F61314" w:rsidP="00884D82">
      <w:pPr>
        <w:pStyle w:val="Akapitzlist"/>
        <w:numPr>
          <w:ilvl w:val="0"/>
          <w:numId w:val="10"/>
        </w:numPr>
        <w:suppressAutoHyphens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Niewykorzystane środki, podlegają zwrotowi na rachunek bankowy Ministerstwa Rodziny i Polityki Społecznej wskazany w umowie.</w:t>
      </w:r>
    </w:p>
    <w:p w14:paraId="7AB9C5D1" w14:textId="77777777" w:rsidR="00F61314" w:rsidRDefault="00F61314" w:rsidP="00884D82">
      <w:pPr>
        <w:pStyle w:val="Akapitzlist"/>
        <w:numPr>
          <w:ilvl w:val="0"/>
          <w:numId w:val="10"/>
        </w:numPr>
        <w:suppressAutoHyphens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 przypadku stwierdzenia na podstawie rozliczenia rocznego, że dotacja wykorzystana została w części lub całości niezgodnie z przeznaczeniem albo pobrana w nadmiernej wysokości, podlega ona zwrotowi do budżetu państwa. Ministerstwo Rodziny i Polityki Społecznej poinformuje pisemnie Zleceniobiorcę o wysokości kwoty podlegającej zwrotowi.</w:t>
      </w:r>
    </w:p>
    <w:p w14:paraId="43E6CFB9" w14:textId="77777777" w:rsidR="00F61314" w:rsidRDefault="00F61314" w:rsidP="00884D82">
      <w:pPr>
        <w:pStyle w:val="Akapitzlist"/>
        <w:numPr>
          <w:ilvl w:val="0"/>
          <w:numId w:val="10"/>
        </w:numPr>
        <w:suppressAutoHyphens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Jeżeli suma wydatków finansowanych z dotacji w danej kategorii kosztów wykazana </w:t>
      </w:r>
      <w:r>
        <w:rPr>
          <w:rFonts w:ascii="Times New Roman" w:hAnsi="Times New Roman" w:cs="Times New Roman"/>
          <w:sz w:val="24"/>
          <w:szCs w:val="24"/>
        </w:rPr>
        <w:br/>
        <w:t xml:space="preserve">w sprawozdaniu z realizacji zadania publicznego nie jest równa sumie kosztów </w:t>
      </w:r>
      <w:r>
        <w:rPr>
          <w:rFonts w:ascii="Times New Roman" w:hAnsi="Times New Roman" w:cs="Times New Roman"/>
          <w:sz w:val="24"/>
          <w:szCs w:val="24"/>
        </w:rPr>
        <w:br/>
        <w:t xml:space="preserve">w umowie, to uznaje się ją za zgodną z umową, jeżeli nie nastąpiło zwiększenie tej sumy wydatków o więcej niż 5%. Jeżeli w ciągu trwania umowy organizacja pozarządowa chce przesunąć wydatki w granicy do 5%, to zgłasza to pisemnie do Ministerstwa Rodziny i Polityki Społecznej. Zmiana powyżej 5% nie wymaga zawarcia aneksu do umowy, a jedynie pisemnej zgody ze strony Ministerstwa Rodziny i Polityki Społecznej. </w:t>
      </w:r>
      <w:r>
        <w:rPr>
          <w:rFonts w:ascii="Times New Roman" w:hAnsi="Times New Roman" w:cs="Times New Roman"/>
          <w:sz w:val="24"/>
          <w:szCs w:val="24"/>
        </w:rPr>
        <w:br/>
        <w:t xml:space="preserve">W przypadku braku pisemnej zgody Ministerstwa Rodziny i Polityki Społecznej organizacja pozarządowa nie może dokonać przesunięcia środków. Jednocześnie wszystkie zmiany nie mogą skutkować przekroczeniem progu określonego dla kosztów obsługi (do 25%). Naruszenie postanowienia uważa się za pobranie części dotacji </w:t>
      </w:r>
      <w:r>
        <w:rPr>
          <w:rFonts w:ascii="Times New Roman" w:hAnsi="Times New Roman" w:cs="Times New Roman"/>
          <w:sz w:val="24"/>
          <w:szCs w:val="24"/>
        </w:rPr>
        <w:br/>
        <w:t>w nadmiernej wysokości i może skutkować rozwiązaniem umowy.</w:t>
      </w:r>
    </w:p>
    <w:p w14:paraId="08BBBC29" w14:textId="77777777" w:rsidR="00F61314" w:rsidRDefault="00F61314" w:rsidP="00884D82">
      <w:pPr>
        <w:pStyle w:val="Akapitzlist"/>
        <w:numPr>
          <w:ilvl w:val="0"/>
          <w:numId w:val="10"/>
        </w:numPr>
        <w:suppressAutoHyphens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Rozliczenie dotacji następuje na podstawie </w:t>
      </w:r>
      <w:r>
        <w:rPr>
          <w:rFonts w:ascii="Times New Roman" w:hAnsi="Times New Roman" w:cs="Times New Roman"/>
          <w:b/>
          <w:sz w:val="24"/>
          <w:szCs w:val="24"/>
        </w:rPr>
        <w:t>dowodów księgowych</w:t>
      </w:r>
      <w:r>
        <w:rPr>
          <w:rFonts w:ascii="Times New Roman" w:hAnsi="Times New Roman" w:cs="Times New Roman"/>
          <w:sz w:val="24"/>
          <w:szCs w:val="24"/>
        </w:rPr>
        <w:t xml:space="preserve">, spełniających wymagania określone dla dowodu księgowego, które zgodnie z ustawą z dnia </w:t>
      </w:r>
      <w:r>
        <w:rPr>
          <w:rFonts w:ascii="Times New Roman" w:hAnsi="Times New Roman" w:cs="Times New Roman"/>
          <w:sz w:val="24"/>
          <w:szCs w:val="24"/>
        </w:rPr>
        <w:br/>
        <w:t>29 września 1994 r. o rachunkowości, są podstawą stwierdzającą dokonanie operacji gospodarczej. Dowody księgowe powinny być rzetelne, to jest zgodne z rzeczywistym przebiegiem operacji gospodarczej, którą dokumentują, kompletne oraz wolne od błędów rachunkowych (art. 21 ustawy z dnia 29 września 1994 r. o rachunkowości określa, jakie dane powinien zawierać dokument, aby mógł być uznany za dowód księgowy).</w:t>
      </w:r>
    </w:p>
    <w:p w14:paraId="252E1D1B" w14:textId="77777777" w:rsidR="00F61314" w:rsidRDefault="00F61314" w:rsidP="00884D82">
      <w:pPr>
        <w:pStyle w:val="Rozdzia2"/>
        <w:numPr>
          <w:ilvl w:val="0"/>
          <w:numId w:val="10"/>
        </w:numPr>
        <w:ind w:hanging="357"/>
      </w:pPr>
      <w:r>
        <w:t>Organizacja pozarządowa przy rozliczeniu dotacji przedstawia zestawienie dowodów księgowych. Ministerstwo Rodziny i Polityki Społecznej ma prawo zażądać okazania dowodów księgowych przy rozliczeniu dotacji bądź kontroli.</w:t>
      </w:r>
    </w:p>
    <w:p w14:paraId="751F4EBA" w14:textId="77777777" w:rsidR="00F61314" w:rsidRDefault="00F61314" w:rsidP="00884D82">
      <w:pPr>
        <w:pStyle w:val="Rozdzia2"/>
        <w:numPr>
          <w:ilvl w:val="0"/>
          <w:numId w:val="10"/>
        </w:numPr>
        <w:ind w:hanging="357"/>
      </w:pPr>
      <w:r>
        <w:lastRenderedPageBreak/>
        <w:t>Wszystkie dokumenty finansowo-księgowe muszą być przechowywane przez minimum 5 lat licząc od początku roku następującego po roku, w którym organizacja pozarządowa realizowała zadanie publiczne.</w:t>
      </w:r>
    </w:p>
    <w:p w14:paraId="4D1C1F12" w14:textId="77777777" w:rsidR="00F61314" w:rsidRDefault="00F61314" w:rsidP="00884D82">
      <w:pPr>
        <w:pStyle w:val="Rozdzia2"/>
        <w:numPr>
          <w:ilvl w:val="0"/>
          <w:numId w:val="10"/>
        </w:numPr>
        <w:ind w:hanging="357"/>
      </w:pPr>
      <w:r>
        <w:t>Najczęściej pojawiające się błędy przy składaniu sprawozdań:</w:t>
      </w:r>
    </w:p>
    <w:p w14:paraId="4AE0C5C9" w14:textId="77777777" w:rsidR="00F61314" w:rsidRDefault="00F61314" w:rsidP="00884D82">
      <w:pPr>
        <w:numPr>
          <w:ilvl w:val="0"/>
          <w:numId w:val="18"/>
        </w:numPr>
        <w:spacing w:after="0" w:line="360" w:lineRule="auto"/>
        <w:ind w:hanging="357"/>
        <w:jc w:val="both"/>
        <w:rPr>
          <w:rFonts w:ascii="Times New Roman" w:hAnsi="Times New Roman" w:cs="Times New Roman"/>
          <w:sz w:val="24"/>
          <w:szCs w:val="24"/>
        </w:rPr>
      </w:pPr>
      <w:r>
        <w:rPr>
          <w:rFonts w:ascii="Times New Roman" w:hAnsi="Times New Roman" w:cs="Times New Roman"/>
          <w:sz w:val="24"/>
          <w:szCs w:val="24"/>
        </w:rPr>
        <w:t>złożenie sprawozdania po terminie;</w:t>
      </w:r>
    </w:p>
    <w:p w14:paraId="2C109E77" w14:textId="40401937" w:rsidR="00F61314" w:rsidRDefault="00F61314" w:rsidP="00884D82">
      <w:pPr>
        <w:numPr>
          <w:ilvl w:val="0"/>
          <w:numId w:val="18"/>
        </w:numPr>
        <w:spacing w:after="0" w:line="360" w:lineRule="auto"/>
        <w:ind w:hanging="357"/>
        <w:jc w:val="both"/>
        <w:rPr>
          <w:rFonts w:ascii="Times New Roman" w:hAnsi="Times New Roman" w:cs="Times New Roman"/>
          <w:sz w:val="24"/>
          <w:szCs w:val="24"/>
        </w:rPr>
      </w:pPr>
      <w:r>
        <w:rPr>
          <w:rFonts w:ascii="Times New Roman" w:hAnsi="Times New Roman" w:cs="Times New Roman"/>
          <w:sz w:val="24"/>
          <w:szCs w:val="24"/>
        </w:rPr>
        <w:t>dokonanie przelewu niewykorzystanej części dotacji po terminie określonym Umową (do 15</w:t>
      </w:r>
      <w:r w:rsidR="002045C4">
        <w:rPr>
          <w:rFonts w:ascii="Times New Roman" w:hAnsi="Times New Roman" w:cs="Times New Roman"/>
          <w:sz w:val="24"/>
          <w:szCs w:val="24"/>
        </w:rPr>
        <w:t>.</w:t>
      </w:r>
      <w:r>
        <w:rPr>
          <w:rFonts w:ascii="Times New Roman" w:hAnsi="Times New Roman" w:cs="Times New Roman"/>
          <w:sz w:val="24"/>
          <w:szCs w:val="24"/>
        </w:rPr>
        <w:t xml:space="preserve"> dnia </w:t>
      </w:r>
      <w:r w:rsidR="00CC169E">
        <w:rPr>
          <w:rFonts w:ascii="Times New Roman" w:hAnsi="Times New Roman" w:cs="Times New Roman"/>
          <w:sz w:val="24"/>
          <w:szCs w:val="24"/>
        </w:rPr>
        <w:t xml:space="preserve">kalendarzowego </w:t>
      </w:r>
      <w:r>
        <w:rPr>
          <w:rFonts w:ascii="Times New Roman" w:hAnsi="Times New Roman" w:cs="Times New Roman"/>
          <w:sz w:val="24"/>
          <w:szCs w:val="24"/>
        </w:rPr>
        <w:t>po terminie zakończenia realizacji umowy);</w:t>
      </w:r>
    </w:p>
    <w:p w14:paraId="149C0B08" w14:textId="77777777" w:rsidR="00F61314" w:rsidRDefault="00F61314" w:rsidP="00884D82">
      <w:pPr>
        <w:numPr>
          <w:ilvl w:val="0"/>
          <w:numId w:val="18"/>
        </w:numPr>
        <w:spacing w:after="0" w:line="360" w:lineRule="auto"/>
        <w:ind w:hanging="357"/>
        <w:jc w:val="both"/>
        <w:rPr>
          <w:rFonts w:ascii="Times New Roman" w:hAnsi="Times New Roman" w:cs="Times New Roman"/>
          <w:sz w:val="24"/>
          <w:szCs w:val="24"/>
        </w:rPr>
      </w:pPr>
      <w:r>
        <w:rPr>
          <w:rFonts w:ascii="Times New Roman" w:hAnsi="Times New Roman" w:cs="Times New Roman"/>
          <w:sz w:val="24"/>
          <w:szCs w:val="24"/>
        </w:rPr>
        <w:t>dokonanie przelewu niewykorzystanej dotacji po terminie określonym Umową bez uwzględnienia odsetek za zwłokę (w wysokości określonej jak dla zaległości podatkowych);</w:t>
      </w:r>
    </w:p>
    <w:p w14:paraId="415FF68A" w14:textId="77777777" w:rsidR="00F61314" w:rsidRDefault="00F61314" w:rsidP="00884D82">
      <w:pPr>
        <w:numPr>
          <w:ilvl w:val="0"/>
          <w:numId w:val="18"/>
        </w:numPr>
        <w:spacing w:after="0" w:line="360" w:lineRule="auto"/>
        <w:ind w:hanging="357"/>
        <w:jc w:val="both"/>
        <w:rPr>
          <w:rFonts w:ascii="Times New Roman" w:hAnsi="Times New Roman" w:cs="Times New Roman"/>
          <w:sz w:val="24"/>
          <w:szCs w:val="24"/>
        </w:rPr>
      </w:pPr>
      <w:r>
        <w:rPr>
          <w:rFonts w:ascii="Times New Roman" w:hAnsi="Times New Roman" w:cs="Times New Roman"/>
          <w:sz w:val="24"/>
          <w:szCs w:val="24"/>
        </w:rPr>
        <w:t>umieszczenie w zestawieniu faktur/rachunków dokumentów księgowych wystawionych lub opłaconych przed lub po terminie realizacji zadania zawartym w umowie;</w:t>
      </w:r>
    </w:p>
    <w:p w14:paraId="1981F4A9" w14:textId="77777777" w:rsidR="00F61314" w:rsidRDefault="00F61314" w:rsidP="00884D82">
      <w:pPr>
        <w:numPr>
          <w:ilvl w:val="0"/>
          <w:numId w:val="18"/>
        </w:numPr>
        <w:spacing w:after="0" w:line="360" w:lineRule="auto"/>
        <w:ind w:hanging="357"/>
        <w:jc w:val="both"/>
        <w:rPr>
          <w:rFonts w:ascii="Times New Roman" w:hAnsi="Times New Roman" w:cs="Times New Roman"/>
          <w:sz w:val="24"/>
          <w:szCs w:val="24"/>
        </w:rPr>
      </w:pPr>
      <w:r>
        <w:rPr>
          <w:rFonts w:ascii="Times New Roman" w:hAnsi="Times New Roman" w:cs="Times New Roman"/>
          <w:sz w:val="24"/>
          <w:szCs w:val="24"/>
        </w:rPr>
        <w:t>przedstawienie do rozliczenia dokumentów niebędących dowodami księgowymi w rozumieniu ustawy o rachunkowości.</w:t>
      </w:r>
    </w:p>
    <w:p w14:paraId="2993B9C8" w14:textId="77777777" w:rsidR="00F61314" w:rsidRDefault="00F61314" w:rsidP="00F61314">
      <w:pPr>
        <w:pStyle w:val="Nagwek1"/>
      </w:pPr>
      <w:bookmarkStart w:id="10" w:name="_Toc88569912"/>
      <w:r>
        <w:t>X Zasady składania ofert – wymagania formalne</w:t>
      </w:r>
      <w:bookmarkEnd w:id="10"/>
      <w:r>
        <w:t xml:space="preserve"> </w:t>
      </w:r>
    </w:p>
    <w:p w14:paraId="234B04F3" w14:textId="77777777" w:rsidR="00F61314" w:rsidRDefault="00F61314" w:rsidP="00884D82">
      <w:pPr>
        <w:pStyle w:val="Akapitzlist"/>
        <w:numPr>
          <w:ilvl w:val="1"/>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t>Ocenie podlegają jedynie oferty złożone na formularzu, którego wzór stanowi załącznik nr 6 do regulaminu.</w:t>
      </w:r>
    </w:p>
    <w:p w14:paraId="1009A935" w14:textId="77777777" w:rsidR="00F61314" w:rsidRDefault="00F61314" w:rsidP="00884D82">
      <w:pPr>
        <w:pStyle w:val="Akapitzlist"/>
        <w:numPr>
          <w:ilvl w:val="1"/>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Oferta musi zostać złożona w wersji papierowej w terminie do 21 dni kalendarzowych po ogłoszeniu konkursu, </w:t>
      </w:r>
      <w:r>
        <w:rPr>
          <w:rFonts w:ascii="Times New Roman" w:hAnsi="Times New Roman" w:cs="Times New Roman"/>
          <w:b/>
          <w:sz w:val="24"/>
          <w:szCs w:val="24"/>
        </w:rPr>
        <w:t>w kopercie z dopiskiem „KDR – Konkurs edycja 2022-2023”</w:t>
      </w:r>
      <w:r>
        <w:rPr>
          <w:rFonts w:ascii="Times New Roman" w:hAnsi="Times New Roman" w:cs="Times New Roman"/>
          <w:sz w:val="24"/>
          <w:szCs w:val="24"/>
        </w:rPr>
        <w:t>. Termin uznaje się za zachowany, jeżeli podmiot złoży kompletną ofertę w powyższym terminie w Ministerstwie Rodziny i Polityki Społecznej, ul. Nowogrodzka 1/3/5, 00-513 Warszawa (</w:t>
      </w:r>
      <w:r>
        <w:rPr>
          <w:rFonts w:ascii="Times New Roman" w:hAnsi="Times New Roman" w:cs="Times New Roman"/>
          <w:sz w:val="24"/>
          <w:szCs w:val="24"/>
          <w:u w:val="single"/>
        </w:rPr>
        <w:t>liczy się data wpływu do Ministerstwa Rodziny i Polityki Społecznej</w:t>
      </w:r>
      <w:r>
        <w:rPr>
          <w:rFonts w:ascii="Times New Roman" w:hAnsi="Times New Roman" w:cs="Times New Roman"/>
          <w:sz w:val="24"/>
          <w:szCs w:val="24"/>
        </w:rPr>
        <w:t>).</w:t>
      </w:r>
    </w:p>
    <w:p w14:paraId="5DAD224E" w14:textId="77777777" w:rsidR="00F61314" w:rsidRDefault="00F61314" w:rsidP="00884D82">
      <w:pPr>
        <w:pStyle w:val="Akapitzlist"/>
        <w:numPr>
          <w:ilvl w:val="1"/>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Oferta musi zawierać następujące załączniki: statut wraz z wewnętrznymi dokumentami potwierdzającymi posiadanie co najmniej jednej terenowej jednostki organizacyjnej w każdym województwie, kopia aktualnego odpisu z KRS, innego rejestru lub ewidencji, zgodnego z aktualnym stanem faktycznym i prawnym, potwierdzonego za zgodność z oryginałem (wyjątek stanowi wydruk ze strony internetowej Ministerstwa Sprawiedliwości, który nie wymaga potwierdzenia za zgodność z oryginałem) oraz podpisanego przez osoby uprawnione do reprezentowania podmiotu. </w:t>
      </w:r>
    </w:p>
    <w:p w14:paraId="5609F22F" w14:textId="77777777" w:rsidR="00F61314" w:rsidRDefault="00F61314" w:rsidP="00F61314">
      <w:pPr>
        <w:pStyle w:val="Nagwek1"/>
      </w:pPr>
      <w:bookmarkStart w:id="11" w:name="_Toc88569913"/>
      <w:r>
        <w:lastRenderedPageBreak/>
        <w:t>XI Zasady kwalifikowania ofert</w:t>
      </w:r>
      <w:bookmarkEnd w:id="11"/>
    </w:p>
    <w:p w14:paraId="569CEBD6" w14:textId="77777777" w:rsidR="00F61314" w:rsidRDefault="00F61314" w:rsidP="00884D82">
      <w:pPr>
        <w:pStyle w:val="Akapitzlist"/>
        <w:numPr>
          <w:ilvl w:val="0"/>
          <w:numId w:val="20"/>
        </w:numPr>
        <w:spacing w:line="360" w:lineRule="auto"/>
        <w:jc w:val="both"/>
        <w:rPr>
          <w:rFonts w:ascii="Times New Roman" w:hAnsi="Times New Roman" w:cs="Times New Roman"/>
          <w:sz w:val="24"/>
          <w:szCs w:val="24"/>
        </w:rPr>
      </w:pPr>
      <w:r>
        <w:rPr>
          <w:rFonts w:ascii="Times New Roman" w:hAnsi="Times New Roman" w:cs="Times New Roman"/>
          <w:sz w:val="24"/>
          <w:szCs w:val="24"/>
        </w:rPr>
        <w:t>Przy ocenie oferty będą stosowane następujące rodzaje kryteriów dokonywania wyboru projektów:</w:t>
      </w:r>
    </w:p>
    <w:p w14:paraId="5D1046C2" w14:textId="77777777" w:rsidR="00F61314" w:rsidRDefault="00F61314" w:rsidP="00884D82">
      <w:pPr>
        <w:pStyle w:val="Akapitzlist"/>
        <w:numPr>
          <w:ilvl w:val="1"/>
          <w:numId w:val="21"/>
        </w:numPr>
        <w:spacing w:line="360" w:lineRule="auto"/>
        <w:jc w:val="both"/>
        <w:rPr>
          <w:rFonts w:ascii="Times New Roman" w:hAnsi="Times New Roman" w:cs="Times New Roman"/>
          <w:sz w:val="24"/>
          <w:szCs w:val="24"/>
        </w:rPr>
      </w:pPr>
      <w:r>
        <w:rPr>
          <w:rFonts w:ascii="Times New Roman" w:hAnsi="Times New Roman" w:cs="Times New Roman"/>
          <w:sz w:val="24"/>
          <w:szCs w:val="24"/>
        </w:rPr>
        <w:t>Kryteria Formalne</w:t>
      </w:r>
    </w:p>
    <w:p w14:paraId="54776E65" w14:textId="77777777" w:rsidR="00F61314" w:rsidRDefault="00F61314" w:rsidP="00884D82">
      <w:pPr>
        <w:pStyle w:val="Akapitzlist"/>
        <w:numPr>
          <w:ilvl w:val="1"/>
          <w:numId w:val="21"/>
        </w:numPr>
        <w:spacing w:line="360" w:lineRule="auto"/>
        <w:jc w:val="both"/>
        <w:rPr>
          <w:rFonts w:ascii="Times New Roman" w:hAnsi="Times New Roman" w:cs="Times New Roman"/>
          <w:sz w:val="24"/>
          <w:szCs w:val="24"/>
        </w:rPr>
      </w:pPr>
      <w:r>
        <w:rPr>
          <w:rFonts w:ascii="Times New Roman" w:hAnsi="Times New Roman" w:cs="Times New Roman"/>
          <w:sz w:val="24"/>
          <w:szCs w:val="24"/>
        </w:rPr>
        <w:t>Kryteria Merytoryczne</w:t>
      </w:r>
    </w:p>
    <w:p w14:paraId="04D30471" w14:textId="77777777" w:rsidR="00F61314" w:rsidRDefault="00F61314" w:rsidP="00884D82">
      <w:pPr>
        <w:pStyle w:val="Akapitzlist"/>
        <w:numPr>
          <w:ilvl w:val="0"/>
          <w:numId w:val="2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Kryteria formalne – dotyczą one zagadnień związanych z wypełnieniem oferty </w:t>
      </w:r>
      <w:r>
        <w:rPr>
          <w:rFonts w:ascii="Times New Roman" w:hAnsi="Times New Roman" w:cs="Times New Roman"/>
          <w:sz w:val="24"/>
          <w:szCs w:val="24"/>
        </w:rPr>
        <w:br/>
        <w:t>o dofinansowanie zgodnie z przyjętymi zasadami.</w:t>
      </w:r>
    </w:p>
    <w:tbl>
      <w:tblPr>
        <w:tblW w:w="4962" w:type="pct"/>
        <w:jc w:val="righ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4A0" w:firstRow="1" w:lastRow="0" w:firstColumn="1" w:lastColumn="0" w:noHBand="0" w:noVBand="1"/>
      </w:tblPr>
      <w:tblGrid>
        <w:gridCol w:w="8993"/>
      </w:tblGrid>
      <w:tr w:rsidR="00F61314" w14:paraId="6BB83D85" w14:textId="77777777" w:rsidTr="00F61314">
        <w:trPr>
          <w:cantSplit/>
          <w:jc w:val="right"/>
        </w:trPr>
        <w:tc>
          <w:tcPr>
            <w:tcW w:w="9142" w:type="dxa"/>
            <w:tcBorders>
              <w:top w:val="single" w:sz="4" w:space="0" w:color="00000A"/>
              <w:left w:val="single" w:sz="4" w:space="0" w:color="00000A"/>
              <w:bottom w:val="single" w:sz="4" w:space="0" w:color="00000A"/>
              <w:right w:val="single" w:sz="4" w:space="0" w:color="00000A"/>
            </w:tcBorders>
            <w:hideMark/>
          </w:tcPr>
          <w:p w14:paraId="2E5E1E2C" w14:textId="77777777" w:rsidR="00F61314" w:rsidRDefault="00F6131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Wypełnienie i złożenie oferty w wersji papierowej w terminie i miejscu określonym </w:t>
            </w:r>
            <w:r>
              <w:rPr>
                <w:rFonts w:ascii="Times New Roman" w:hAnsi="Times New Roman" w:cs="Times New Roman"/>
                <w:sz w:val="24"/>
                <w:szCs w:val="24"/>
              </w:rPr>
              <w:br/>
              <w:t>w ogłoszeniu o konkursie (decyduje data wpływu do Ministerstwa Rodziny i Polityki Społecznej).</w:t>
            </w:r>
          </w:p>
        </w:tc>
      </w:tr>
      <w:tr w:rsidR="00F61314" w14:paraId="40C9067C" w14:textId="77777777" w:rsidTr="00F61314">
        <w:trPr>
          <w:cantSplit/>
          <w:jc w:val="right"/>
        </w:trPr>
        <w:tc>
          <w:tcPr>
            <w:tcW w:w="9142" w:type="dxa"/>
            <w:tcBorders>
              <w:top w:val="single" w:sz="4" w:space="0" w:color="00000A"/>
              <w:left w:val="single" w:sz="4" w:space="0" w:color="00000A"/>
              <w:bottom w:val="single" w:sz="4" w:space="0" w:color="00000A"/>
              <w:right w:val="single" w:sz="4" w:space="0" w:color="00000A"/>
            </w:tcBorders>
            <w:hideMark/>
          </w:tcPr>
          <w:p w14:paraId="161D18B8" w14:textId="77777777" w:rsidR="00F61314" w:rsidRDefault="00F6131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Złożenie oferty przez uprawniony podmiot – organizację pozarządową, o której mowa </w:t>
            </w:r>
            <w:r>
              <w:rPr>
                <w:rFonts w:ascii="Times New Roman" w:hAnsi="Times New Roman" w:cs="Times New Roman"/>
                <w:sz w:val="24"/>
                <w:szCs w:val="24"/>
              </w:rPr>
              <w:br/>
              <w:t xml:space="preserve">w art. 3 ust. 2 oraz ust. 3 pkt 1-4 </w:t>
            </w:r>
            <w:proofErr w:type="spellStart"/>
            <w:r>
              <w:rPr>
                <w:rFonts w:ascii="Times New Roman" w:hAnsi="Times New Roman" w:cs="Times New Roman"/>
                <w:sz w:val="24"/>
                <w:szCs w:val="24"/>
              </w:rPr>
              <w:t>UoDPPioW</w:t>
            </w:r>
            <w:proofErr w:type="spellEnd"/>
            <w:r>
              <w:rPr>
                <w:rFonts w:ascii="Times New Roman" w:hAnsi="Times New Roman" w:cs="Times New Roman"/>
                <w:sz w:val="24"/>
                <w:szCs w:val="24"/>
              </w:rPr>
              <w:t>, która:</w:t>
            </w:r>
          </w:p>
          <w:p w14:paraId="754A18FE" w14:textId="77777777" w:rsidR="00F61314" w:rsidRDefault="00F61314" w:rsidP="00884D82">
            <w:pPr>
              <w:pStyle w:val="Akapitzlist"/>
              <w:numPr>
                <w:ilvl w:val="1"/>
                <w:numId w:val="22"/>
              </w:numPr>
              <w:spacing w:line="360" w:lineRule="auto"/>
              <w:ind w:left="616" w:hanging="283"/>
              <w:jc w:val="both"/>
              <w:rPr>
                <w:rFonts w:ascii="Times New Roman" w:hAnsi="Times New Roman" w:cs="Times New Roman"/>
                <w:sz w:val="24"/>
                <w:szCs w:val="24"/>
              </w:rPr>
            </w:pPr>
            <w:r>
              <w:rPr>
                <w:rFonts w:ascii="Times New Roman" w:hAnsi="Times New Roman" w:cs="Times New Roman"/>
                <w:sz w:val="24"/>
                <w:szCs w:val="24"/>
              </w:rPr>
              <w:t xml:space="preserve"> przez okres co najmniej 3 lat prowadzi działalność na rzecz rodzin wielodzietnych,</w:t>
            </w:r>
          </w:p>
          <w:p w14:paraId="36ADB36C" w14:textId="77777777" w:rsidR="00F61314" w:rsidRDefault="00F61314" w:rsidP="00884D82">
            <w:pPr>
              <w:pStyle w:val="Akapitzlist"/>
              <w:numPr>
                <w:ilvl w:val="1"/>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ma co najmniej jedną terenową jednostkę organizacyjną w każdym województwie</w:t>
            </w:r>
            <w:r>
              <w:rPr>
                <w:rFonts w:ascii="Times New Roman" w:hAnsi="Times New Roman" w:cs="Times New Roman"/>
              </w:rPr>
              <w:t xml:space="preserve"> </w:t>
            </w:r>
            <w:r>
              <w:rPr>
                <w:rFonts w:ascii="Times New Roman" w:hAnsi="Times New Roman" w:cs="Times New Roman"/>
                <w:sz w:val="24"/>
                <w:szCs w:val="24"/>
              </w:rPr>
              <w:t>powołaną zgodnie ze statutem organizacji lub innym dokumentem wewnętrznym.</w:t>
            </w:r>
          </w:p>
        </w:tc>
      </w:tr>
      <w:tr w:rsidR="00F61314" w14:paraId="5E8840C9" w14:textId="77777777" w:rsidTr="00F61314">
        <w:trPr>
          <w:cantSplit/>
          <w:jc w:val="right"/>
        </w:trPr>
        <w:tc>
          <w:tcPr>
            <w:tcW w:w="9142" w:type="dxa"/>
            <w:tcBorders>
              <w:top w:val="single" w:sz="4" w:space="0" w:color="00000A"/>
              <w:left w:val="single" w:sz="4" w:space="0" w:color="00000A"/>
              <w:bottom w:val="single" w:sz="4" w:space="0" w:color="00000A"/>
              <w:right w:val="single" w:sz="4" w:space="0" w:color="00000A"/>
            </w:tcBorders>
            <w:hideMark/>
          </w:tcPr>
          <w:p w14:paraId="7B0A8B20" w14:textId="77777777" w:rsidR="00F61314" w:rsidRDefault="00F61314">
            <w:pPr>
              <w:spacing w:line="360" w:lineRule="auto"/>
              <w:jc w:val="both"/>
              <w:rPr>
                <w:rFonts w:ascii="Times New Roman" w:hAnsi="Times New Roman" w:cs="Times New Roman"/>
                <w:sz w:val="24"/>
                <w:szCs w:val="24"/>
              </w:rPr>
            </w:pPr>
            <w:r>
              <w:rPr>
                <w:rFonts w:ascii="Times New Roman" w:hAnsi="Times New Roman" w:cs="Times New Roman"/>
                <w:sz w:val="24"/>
                <w:szCs w:val="24"/>
              </w:rPr>
              <w:t>Kompletne sporządzenie oferty na właściwym formularzu, którego wzór stanowi załącznik do ogłoszenia.</w:t>
            </w:r>
          </w:p>
        </w:tc>
      </w:tr>
      <w:tr w:rsidR="00F61314" w14:paraId="6D6943D9" w14:textId="77777777" w:rsidTr="00F61314">
        <w:trPr>
          <w:cantSplit/>
          <w:jc w:val="right"/>
        </w:trPr>
        <w:tc>
          <w:tcPr>
            <w:tcW w:w="9142" w:type="dxa"/>
            <w:tcBorders>
              <w:top w:val="single" w:sz="4" w:space="0" w:color="00000A"/>
              <w:left w:val="single" w:sz="4" w:space="0" w:color="00000A"/>
              <w:bottom w:val="single" w:sz="4" w:space="0" w:color="00000A"/>
              <w:right w:val="single" w:sz="4" w:space="0" w:color="00000A"/>
            </w:tcBorders>
            <w:hideMark/>
          </w:tcPr>
          <w:p w14:paraId="2C2A4A18" w14:textId="77777777" w:rsidR="00F61314" w:rsidRDefault="00F61314">
            <w:pPr>
              <w:spacing w:line="360" w:lineRule="auto"/>
              <w:jc w:val="both"/>
              <w:rPr>
                <w:rFonts w:ascii="Times New Roman" w:hAnsi="Times New Roman" w:cs="Times New Roman"/>
                <w:sz w:val="24"/>
                <w:szCs w:val="24"/>
                <w:shd w:val="clear" w:color="auto" w:fill="FFFF00"/>
              </w:rPr>
            </w:pPr>
            <w:r>
              <w:rPr>
                <w:rFonts w:ascii="Times New Roman" w:hAnsi="Times New Roman" w:cs="Times New Roman"/>
                <w:sz w:val="24"/>
                <w:szCs w:val="24"/>
              </w:rPr>
              <w:t xml:space="preserve">Dołączenie kopii aktualnego statutu organizacji oraz dokumentów potwierdzających posiadanie w dniu złożenia oferty co najmniej jednej terenowej jednostki organizacyjnej </w:t>
            </w:r>
            <w:r>
              <w:rPr>
                <w:rFonts w:ascii="Times New Roman" w:hAnsi="Times New Roman" w:cs="Times New Roman"/>
                <w:sz w:val="24"/>
                <w:szCs w:val="24"/>
              </w:rPr>
              <w:br/>
              <w:t xml:space="preserve">w każdym województwie, potwierdzonych za zgodność z oryginałem oraz podpisane przez osoby uprawnione do reprezentowania podmiotu. Dokumentem potwierdzającym posiadanie jednostki terenowej może być wyciąg z Krajowego Rejestru Sądowego lub dokument potwierdzający powołanie jednostki terenowej zgodnie z procedurami wewnętrznymi wraz </w:t>
            </w:r>
            <w:r>
              <w:rPr>
                <w:rFonts w:ascii="Times New Roman" w:hAnsi="Times New Roman" w:cs="Times New Roman"/>
                <w:sz w:val="24"/>
                <w:szCs w:val="24"/>
              </w:rPr>
              <w:br/>
              <w:t>z oświadczeniem, że jednostka ta funkcjonuje w dniu złożenia oferty.</w:t>
            </w:r>
          </w:p>
        </w:tc>
      </w:tr>
      <w:tr w:rsidR="00F61314" w14:paraId="5350469B" w14:textId="77777777" w:rsidTr="00F61314">
        <w:trPr>
          <w:cantSplit/>
          <w:jc w:val="right"/>
        </w:trPr>
        <w:tc>
          <w:tcPr>
            <w:tcW w:w="9142" w:type="dxa"/>
            <w:tcBorders>
              <w:top w:val="single" w:sz="4" w:space="0" w:color="00000A"/>
              <w:left w:val="single" w:sz="4" w:space="0" w:color="00000A"/>
              <w:bottom w:val="single" w:sz="4" w:space="0" w:color="00000A"/>
              <w:right w:val="single" w:sz="4" w:space="0" w:color="00000A"/>
            </w:tcBorders>
            <w:hideMark/>
          </w:tcPr>
          <w:p w14:paraId="7A5CC075" w14:textId="77777777" w:rsidR="00F61314" w:rsidRDefault="00F6131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Dołączenie kopii aktualnego odpisu z KRS, innego rejestru lub ewidencji, zgodnego </w:t>
            </w:r>
            <w:r>
              <w:rPr>
                <w:rFonts w:ascii="Times New Roman" w:hAnsi="Times New Roman" w:cs="Times New Roman"/>
                <w:sz w:val="24"/>
                <w:szCs w:val="24"/>
              </w:rPr>
              <w:br/>
              <w:t>z aktualnym stanem faktycznym i prawnym, potwierdzonego za zgodność z oryginałem (wyjątek stanowi wydruk ze strony internetowej Ministerstwa Sprawiedliwości, który nie wymaga potwierdzenia za zgodność z oryginałem) oraz podpisanego przez osoby uprawnione do reprezentowania podmiotu;</w:t>
            </w:r>
          </w:p>
        </w:tc>
      </w:tr>
      <w:tr w:rsidR="00F61314" w14:paraId="3DE58EEB" w14:textId="77777777" w:rsidTr="00F61314">
        <w:trPr>
          <w:cantSplit/>
          <w:jc w:val="right"/>
        </w:trPr>
        <w:tc>
          <w:tcPr>
            <w:tcW w:w="9142" w:type="dxa"/>
            <w:tcBorders>
              <w:top w:val="single" w:sz="4" w:space="0" w:color="00000A"/>
              <w:left w:val="single" w:sz="4" w:space="0" w:color="00000A"/>
              <w:bottom w:val="single" w:sz="4" w:space="0" w:color="00000A"/>
              <w:right w:val="single" w:sz="4" w:space="0" w:color="00000A"/>
            </w:tcBorders>
            <w:hideMark/>
          </w:tcPr>
          <w:p w14:paraId="49B19D1F" w14:textId="77777777" w:rsidR="00F61314" w:rsidRDefault="00F61314">
            <w:pPr>
              <w:spacing w:before="60" w:after="6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Brak błędów rachunkowych w budżecie.</w:t>
            </w:r>
          </w:p>
        </w:tc>
      </w:tr>
    </w:tbl>
    <w:p w14:paraId="2AA8B35A" w14:textId="77777777" w:rsidR="00F61314" w:rsidRDefault="00F61314" w:rsidP="00F61314">
      <w:pPr>
        <w:pStyle w:val="Akapitzlist"/>
        <w:spacing w:line="360" w:lineRule="auto"/>
        <w:ind w:left="1800"/>
        <w:jc w:val="both"/>
        <w:rPr>
          <w:rFonts w:ascii="Times New Roman" w:hAnsi="Times New Roman" w:cs="Times New Roman"/>
          <w:sz w:val="24"/>
          <w:szCs w:val="24"/>
        </w:rPr>
      </w:pPr>
    </w:p>
    <w:p w14:paraId="24F53F57" w14:textId="77777777" w:rsidR="00F61314" w:rsidRDefault="00F61314" w:rsidP="00884D82">
      <w:pPr>
        <w:pStyle w:val="Akapitzlist"/>
        <w:numPr>
          <w:ilvl w:val="0"/>
          <w:numId w:val="20"/>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Kryteria merytoryczne – dotyczą ogólnych zasad odnoszących się do treści oferty, wiarygodności i zdolności projektodawcy do podjęcia realizacji projektu oraz zasad finansowania projektów z dotacji.</w:t>
      </w:r>
    </w:p>
    <w:tbl>
      <w:tblPr>
        <w:tblW w:w="5232" w:type="pct"/>
        <w:tblInd w:w="7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4A0" w:firstRow="1" w:lastRow="0" w:firstColumn="1" w:lastColumn="0" w:noHBand="0" w:noVBand="1"/>
      </w:tblPr>
      <w:tblGrid>
        <w:gridCol w:w="7013"/>
        <w:gridCol w:w="2469"/>
      </w:tblGrid>
      <w:tr w:rsidR="00F61314" w14:paraId="12D3D5B7" w14:textId="77777777" w:rsidTr="00F61314">
        <w:trPr>
          <w:trHeight w:val="454"/>
        </w:trPr>
        <w:tc>
          <w:tcPr>
            <w:tcW w:w="7013" w:type="dxa"/>
            <w:tcBorders>
              <w:top w:val="single" w:sz="4" w:space="0" w:color="00000A"/>
              <w:left w:val="single" w:sz="4" w:space="0" w:color="00000A"/>
              <w:bottom w:val="single" w:sz="4" w:space="0" w:color="00000A"/>
              <w:right w:val="single" w:sz="4" w:space="0" w:color="00000A"/>
            </w:tcBorders>
            <w:shd w:val="clear" w:color="auto" w:fill="D9D9D9"/>
            <w:vAlign w:val="center"/>
            <w:hideMark/>
          </w:tcPr>
          <w:p w14:paraId="6F8BB68F" w14:textId="77777777" w:rsidR="00F61314" w:rsidRDefault="00F61314">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Kryteria merytoryczne</w:t>
            </w:r>
          </w:p>
        </w:tc>
        <w:tc>
          <w:tcPr>
            <w:tcW w:w="2469" w:type="dxa"/>
            <w:tcBorders>
              <w:top w:val="single" w:sz="4" w:space="0" w:color="00000A"/>
              <w:left w:val="single" w:sz="4" w:space="0" w:color="00000A"/>
              <w:bottom w:val="single" w:sz="4" w:space="0" w:color="00000A"/>
              <w:right w:val="single" w:sz="4" w:space="0" w:color="00000A"/>
            </w:tcBorders>
            <w:shd w:val="clear" w:color="auto" w:fill="D9D9D9"/>
            <w:vAlign w:val="bottom"/>
            <w:hideMark/>
          </w:tcPr>
          <w:p w14:paraId="5DE77080" w14:textId="77777777" w:rsidR="00F61314" w:rsidRDefault="00F61314">
            <w:pPr>
              <w:spacing w:line="360" w:lineRule="auto"/>
              <w:ind w:left="113" w:hanging="794"/>
              <w:jc w:val="center"/>
              <w:rPr>
                <w:rFonts w:ascii="Times New Roman" w:hAnsi="Times New Roman" w:cs="Times New Roman"/>
                <w:b/>
                <w:bCs/>
                <w:sz w:val="24"/>
                <w:szCs w:val="24"/>
              </w:rPr>
            </w:pPr>
            <w:r>
              <w:rPr>
                <w:rFonts w:ascii="Times New Roman" w:hAnsi="Times New Roman" w:cs="Times New Roman"/>
                <w:b/>
                <w:bCs/>
                <w:sz w:val="24"/>
                <w:szCs w:val="24"/>
              </w:rPr>
              <w:t xml:space="preserve">         Maksymalna ocena punktowa</w:t>
            </w:r>
          </w:p>
        </w:tc>
      </w:tr>
      <w:tr w:rsidR="00F61314" w14:paraId="2CE39CC9" w14:textId="77777777" w:rsidTr="00F61314">
        <w:trPr>
          <w:trHeight w:val="532"/>
        </w:trPr>
        <w:tc>
          <w:tcPr>
            <w:tcW w:w="701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3BA8094" w14:textId="77777777" w:rsidR="00F61314" w:rsidRDefault="00F61314">
            <w:pPr>
              <w:spacing w:line="360" w:lineRule="auto"/>
              <w:jc w:val="both"/>
              <w:rPr>
                <w:rFonts w:ascii="Times New Roman" w:hAnsi="Times New Roman" w:cs="Times New Roman"/>
                <w:sz w:val="24"/>
                <w:szCs w:val="24"/>
              </w:rPr>
            </w:pPr>
            <w:r>
              <w:rPr>
                <w:rFonts w:ascii="Times New Roman" w:hAnsi="Times New Roman" w:cs="Times New Roman"/>
                <w:sz w:val="24"/>
                <w:szCs w:val="24"/>
              </w:rPr>
              <w:t>Sprecyzowanie celu działania</w:t>
            </w:r>
          </w:p>
        </w:tc>
        <w:tc>
          <w:tcPr>
            <w:tcW w:w="2469"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4E3A954" w14:textId="77777777" w:rsidR="00F61314" w:rsidRDefault="00F61314">
            <w:pPr>
              <w:pStyle w:val="Akapitzlist"/>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10</w:t>
            </w:r>
          </w:p>
        </w:tc>
      </w:tr>
      <w:tr w:rsidR="00F61314" w14:paraId="193FF54B" w14:textId="77777777" w:rsidTr="00F61314">
        <w:trPr>
          <w:trHeight w:val="338"/>
        </w:trPr>
        <w:tc>
          <w:tcPr>
            <w:tcW w:w="701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302975F" w14:textId="77777777" w:rsidR="00F61314" w:rsidRDefault="00F61314">
            <w:pPr>
              <w:spacing w:line="360" w:lineRule="auto"/>
              <w:jc w:val="both"/>
              <w:rPr>
                <w:rFonts w:ascii="Times New Roman" w:hAnsi="Times New Roman" w:cs="Times New Roman"/>
                <w:sz w:val="24"/>
                <w:szCs w:val="24"/>
              </w:rPr>
            </w:pPr>
            <w:r>
              <w:rPr>
                <w:rFonts w:ascii="Times New Roman" w:hAnsi="Times New Roman" w:cs="Times New Roman"/>
                <w:sz w:val="24"/>
                <w:szCs w:val="24"/>
              </w:rPr>
              <w:t>Zaproponowane działania – ocena pod kątem adekwatności, innowacyjności, jakości i możliwości zastosowania przez Oferenta</w:t>
            </w:r>
          </w:p>
        </w:tc>
        <w:tc>
          <w:tcPr>
            <w:tcW w:w="2469"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575F4E0" w14:textId="77777777" w:rsidR="00F61314" w:rsidRDefault="00F61314">
            <w:pPr>
              <w:pStyle w:val="Akapitzlist"/>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20</w:t>
            </w:r>
          </w:p>
        </w:tc>
      </w:tr>
      <w:tr w:rsidR="00F61314" w14:paraId="09811985" w14:textId="77777777" w:rsidTr="00F61314">
        <w:trPr>
          <w:trHeight w:val="232"/>
        </w:trPr>
        <w:tc>
          <w:tcPr>
            <w:tcW w:w="701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5B1EF66" w14:textId="77777777" w:rsidR="00F61314" w:rsidRDefault="00F61314">
            <w:pPr>
              <w:spacing w:line="360" w:lineRule="auto"/>
              <w:jc w:val="both"/>
              <w:rPr>
                <w:rFonts w:ascii="Times New Roman" w:hAnsi="Times New Roman" w:cs="Times New Roman"/>
                <w:sz w:val="24"/>
                <w:szCs w:val="24"/>
              </w:rPr>
            </w:pPr>
            <w:r>
              <w:rPr>
                <w:rFonts w:ascii="Times New Roman" w:hAnsi="Times New Roman" w:cs="Times New Roman"/>
                <w:sz w:val="24"/>
                <w:szCs w:val="24"/>
              </w:rPr>
              <w:t>Zasięg oddziaływania organizacji adekwatny do charakteru zadania (obejmujący teren wszystkich województw, wykraczający poza duże miasta)</w:t>
            </w:r>
          </w:p>
        </w:tc>
        <w:tc>
          <w:tcPr>
            <w:tcW w:w="2469"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639FBE3" w14:textId="77777777" w:rsidR="00F61314" w:rsidRDefault="00F61314">
            <w:pPr>
              <w:pStyle w:val="Akapitzlist"/>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15</w:t>
            </w:r>
          </w:p>
        </w:tc>
      </w:tr>
      <w:tr w:rsidR="00F61314" w14:paraId="10F87F2D" w14:textId="77777777" w:rsidTr="00F61314">
        <w:trPr>
          <w:trHeight w:val="232"/>
        </w:trPr>
        <w:tc>
          <w:tcPr>
            <w:tcW w:w="701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8BCC5EE" w14:textId="77777777" w:rsidR="00F61314" w:rsidRDefault="00F61314">
            <w:pPr>
              <w:spacing w:line="360" w:lineRule="auto"/>
              <w:jc w:val="both"/>
              <w:rPr>
                <w:rFonts w:ascii="Times New Roman" w:hAnsi="Times New Roman" w:cs="Times New Roman"/>
                <w:sz w:val="24"/>
                <w:szCs w:val="24"/>
              </w:rPr>
            </w:pPr>
            <w:r>
              <w:rPr>
                <w:rFonts w:ascii="Times New Roman" w:hAnsi="Times New Roman" w:cs="Times New Roman"/>
                <w:sz w:val="24"/>
                <w:szCs w:val="24"/>
              </w:rPr>
              <w:t>Stopień zaangażowania i wykorzystania potencjału własnego organizacji</w:t>
            </w:r>
          </w:p>
        </w:tc>
        <w:tc>
          <w:tcPr>
            <w:tcW w:w="2469"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D02014B" w14:textId="77777777" w:rsidR="00F61314" w:rsidRDefault="00F61314">
            <w:pPr>
              <w:pStyle w:val="Akapitzlist"/>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15</w:t>
            </w:r>
          </w:p>
        </w:tc>
      </w:tr>
      <w:tr w:rsidR="00F61314" w14:paraId="63F90E0A" w14:textId="77777777" w:rsidTr="00F61314">
        <w:trPr>
          <w:trHeight w:val="471"/>
        </w:trPr>
        <w:tc>
          <w:tcPr>
            <w:tcW w:w="701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833AE87" w14:textId="77777777" w:rsidR="00F61314" w:rsidRDefault="00F61314">
            <w:pPr>
              <w:spacing w:line="360" w:lineRule="auto"/>
              <w:jc w:val="both"/>
              <w:rPr>
                <w:rFonts w:ascii="Times New Roman" w:hAnsi="Times New Roman" w:cs="Times New Roman"/>
                <w:sz w:val="24"/>
                <w:szCs w:val="24"/>
              </w:rPr>
            </w:pPr>
            <w:r>
              <w:rPr>
                <w:rFonts w:ascii="Times New Roman" w:hAnsi="Times New Roman" w:cs="Times New Roman"/>
                <w:sz w:val="24"/>
                <w:szCs w:val="24"/>
              </w:rPr>
              <w:t>Zdobyte doświadczenie w działaniu na rzecz rodzin wielodzietnych</w:t>
            </w:r>
          </w:p>
        </w:tc>
        <w:tc>
          <w:tcPr>
            <w:tcW w:w="2469"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1BB27F7" w14:textId="77777777" w:rsidR="00F61314" w:rsidRDefault="00F61314">
            <w:pPr>
              <w:pStyle w:val="Akapitzlist"/>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20</w:t>
            </w:r>
          </w:p>
        </w:tc>
      </w:tr>
      <w:tr w:rsidR="00F61314" w14:paraId="31D55541" w14:textId="77777777" w:rsidTr="00F61314">
        <w:trPr>
          <w:trHeight w:val="471"/>
        </w:trPr>
        <w:tc>
          <w:tcPr>
            <w:tcW w:w="701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49C7145" w14:textId="77777777" w:rsidR="00F61314" w:rsidRDefault="00F6131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Zdobyte doświadczenie w pozyskiwaniu partnerów lub sponsorów </w:t>
            </w:r>
          </w:p>
        </w:tc>
        <w:tc>
          <w:tcPr>
            <w:tcW w:w="2469"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0B24386" w14:textId="77777777" w:rsidR="00F61314" w:rsidRDefault="00F61314">
            <w:pPr>
              <w:pStyle w:val="Akapitzlist"/>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25</w:t>
            </w:r>
          </w:p>
        </w:tc>
      </w:tr>
      <w:tr w:rsidR="00F61314" w14:paraId="2AE049C8" w14:textId="77777777" w:rsidTr="00F61314">
        <w:trPr>
          <w:trHeight w:val="471"/>
        </w:trPr>
        <w:tc>
          <w:tcPr>
            <w:tcW w:w="701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03475D4" w14:textId="77777777" w:rsidR="00F61314" w:rsidRDefault="00F61314">
            <w:pPr>
              <w:spacing w:line="360" w:lineRule="auto"/>
              <w:jc w:val="both"/>
              <w:rPr>
                <w:rFonts w:ascii="Times New Roman" w:hAnsi="Times New Roman" w:cs="Times New Roman"/>
                <w:sz w:val="24"/>
                <w:szCs w:val="24"/>
              </w:rPr>
            </w:pPr>
            <w:r>
              <w:rPr>
                <w:rFonts w:ascii="Times New Roman" w:hAnsi="Times New Roman" w:cs="Times New Roman"/>
                <w:sz w:val="24"/>
                <w:szCs w:val="24"/>
              </w:rPr>
              <w:t>Przejrzystość kalkulacji kosztów (szczegółowy opis pozycji kosztorysu, uzasadnienie kalkulacji kosztów, w tym wysokości przyjętych stawek jednostkowych) w odniesieniu do zakresu rzeczowego zadania i harmonogramu jego realizacji.</w:t>
            </w:r>
          </w:p>
        </w:tc>
        <w:tc>
          <w:tcPr>
            <w:tcW w:w="2469"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7993056" w14:textId="77777777" w:rsidR="00F61314" w:rsidRDefault="00F61314">
            <w:pPr>
              <w:pStyle w:val="Akapitzlist"/>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15</w:t>
            </w:r>
          </w:p>
        </w:tc>
      </w:tr>
      <w:tr w:rsidR="00F61314" w14:paraId="634182AB" w14:textId="77777777" w:rsidTr="00F61314">
        <w:trPr>
          <w:trHeight w:val="471"/>
        </w:trPr>
        <w:tc>
          <w:tcPr>
            <w:tcW w:w="701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97B3EC4" w14:textId="77777777" w:rsidR="00F61314" w:rsidRDefault="00F61314">
            <w:pPr>
              <w:spacing w:line="360" w:lineRule="auto"/>
              <w:jc w:val="both"/>
              <w:rPr>
                <w:rFonts w:ascii="Times New Roman" w:hAnsi="Times New Roman" w:cs="Times New Roman"/>
                <w:sz w:val="24"/>
                <w:szCs w:val="24"/>
              </w:rPr>
            </w:pPr>
            <w:r>
              <w:rPr>
                <w:rFonts w:ascii="Times New Roman" w:hAnsi="Times New Roman" w:cs="Times New Roman"/>
                <w:sz w:val="24"/>
                <w:szCs w:val="24"/>
              </w:rPr>
              <w:t>Przejrzystość harmonogramu działań</w:t>
            </w:r>
          </w:p>
        </w:tc>
        <w:tc>
          <w:tcPr>
            <w:tcW w:w="2469"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823DF7D" w14:textId="77777777" w:rsidR="00F61314" w:rsidRDefault="00F61314">
            <w:pPr>
              <w:pStyle w:val="Akapitzlist"/>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10</w:t>
            </w:r>
          </w:p>
        </w:tc>
      </w:tr>
    </w:tbl>
    <w:p w14:paraId="633EC62A" w14:textId="77777777" w:rsidR="00F61314" w:rsidRDefault="00F61314" w:rsidP="00F61314">
      <w:pPr>
        <w:spacing w:line="360" w:lineRule="auto"/>
        <w:jc w:val="both"/>
        <w:rPr>
          <w:rFonts w:ascii="Times New Roman" w:hAnsi="Times New Roman" w:cs="Times New Roman"/>
          <w:sz w:val="24"/>
          <w:szCs w:val="24"/>
        </w:rPr>
      </w:pPr>
    </w:p>
    <w:p w14:paraId="7A45369C" w14:textId="77777777" w:rsidR="00F61314" w:rsidRDefault="00F61314" w:rsidP="00884D82">
      <w:pPr>
        <w:pStyle w:val="Akapitzlist"/>
        <w:numPr>
          <w:ilvl w:val="0"/>
          <w:numId w:val="2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Komisja konkursowa, zwana dalej „komisją” zostanie wyłoniona w celu oceny złożonych ofert na podstawie karty oceny, której wzór stanowi załącznik nr 7 do regulaminu. W jej skład wchodzą: </w:t>
      </w:r>
    </w:p>
    <w:p w14:paraId="4C4CFA74" w14:textId="77777777" w:rsidR="00F61314" w:rsidRDefault="00F61314" w:rsidP="00884D82">
      <w:pPr>
        <w:pStyle w:val="Akapitzlist"/>
        <w:numPr>
          <w:ilvl w:val="1"/>
          <w:numId w:val="23"/>
        </w:numPr>
        <w:spacing w:line="360" w:lineRule="auto"/>
        <w:jc w:val="both"/>
        <w:rPr>
          <w:rFonts w:ascii="Times New Roman" w:hAnsi="Times New Roman" w:cs="Times New Roman"/>
          <w:sz w:val="24"/>
          <w:szCs w:val="24"/>
        </w:rPr>
      </w:pPr>
      <w:r>
        <w:rPr>
          <w:rFonts w:ascii="Times New Roman" w:hAnsi="Times New Roman" w:cs="Times New Roman"/>
          <w:sz w:val="24"/>
          <w:szCs w:val="24"/>
        </w:rPr>
        <w:t>przewodniczący oraz 4 przedstawicieli ministra właściwego ds. rodziny, zgodnie z zarządzeniem Ministra Rodziny i Polityki Społecznej;</w:t>
      </w:r>
    </w:p>
    <w:p w14:paraId="403110AD" w14:textId="77777777" w:rsidR="00F61314" w:rsidRDefault="00F61314" w:rsidP="00884D82">
      <w:pPr>
        <w:pStyle w:val="Akapitzlist"/>
        <w:numPr>
          <w:ilvl w:val="1"/>
          <w:numId w:val="2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 osoby wskazane przez organizacje pozarządowe lub podmioty wymienione w art. 3 ust. 3 </w:t>
      </w:r>
      <w:proofErr w:type="spellStart"/>
      <w:r>
        <w:rPr>
          <w:rFonts w:ascii="Times New Roman" w:hAnsi="Times New Roman" w:cs="Times New Roman"/>
          <w:sz w:val="24"/>
          <w:szCs w:val="24"/>
        </w:rPr>
        <w:t>UoDPPioW</w:t>
      </w:r>
      <w:proofErr w:type="spellEnd"/>
      <w:r>
        <w:rPr>
          <w:rFonts w:ascii="Times New Roman" w:hAnsi="Times New Roman" w:cs="Times New Roman"/>
          <w:sz w:val="24"/>
          <w:szCs w:val="24"/>
        </w:rPr>
        <w:t xml:space="preserve">, z wyłączeniem osób wskazanych przez te podmioty, które biorą udział w konkursie. W sytuacji zgłoszenia przez organizacje pozarządowe lub podmioty wymienione w ww. ustawie </w:t>
      </w:r>
      <w:r>
        <w:rPr>
          <w:rFonts w:ascii="Times New Roman" w:hAnsi="Times New Roman" w:cs="Times New Roman"/>
          <w:sz w:val="24"/>
          <w:szCs w:val="24"/>
        </w:rPr>
        <w:lastRenderedPageBreak/>
        <w:t>jednej osoby – w skład Komisji konkursowej wchodzi tylko jeden ich przedstawiciel.</w:t>
      </w:r>
    </w:p>
    <w:p w14:paraId="3559A333" w14:textId="1B531B6D" w:rsidR="00F61314" w:rsidRDefault="00F61314" w:rsidP="00884D82">
      <w:pPr>
        <w:pStyle w:val="Akapitzlist"/>
        <w:numPr>
          <w:ilvl w:val="0"/>
          <w:numId w:val="2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Zgodnie z art. 15 ust. 2da </w:t>
      </w:r>
      <w:proofErr w:type="spellStart"/>
      <w:r>
        <w:rPr>
          <w:rFonts w:ascii="Times New Roman" w:hAnsi="Times New Roman" w:cs="Times New Roman"/>
          <w:sz w:val="24"/>
          <w:szCs w:val="24"/>
        </w:rPr>
        <w:t>UoDPPioW</w:t>
      </w:r>
      <w:proofErr w:type="spellEnd"/>
      <w:r>
        <w:rPr>
          <w:rFonts w:ascii="Times New Roman" w:hAnsi="Times New Roman" w:cs="Times New Roman"/>
          <w:sz w:val="24"/>
          <w:szCs w:val="24"/>
        </w:rPr>
        <w:t xml:space="preserve"> Komisja konkursowa może działać bez udziału osób wskazanych przez organizacje pozarządowe lub podmioty wymienione w art. 3.</w:t>
      </w:r>
    </w:p>
    <w:p w14:paraId="4AD6BA03" w14:textId="77777777" w:rsidR="00F61314" w:rsidRDefault="00F61314" w:rsidP="00884D82">
      <w:pPr>
        <w:pStyle w:val="Akapitzlist"/>
        <w:numPr>
          <w:ilvl w:val="0"/>
          <w:numId w:val="20"/>
        </w:numPr>
        <w:spacing w:line="360" w:lineRule="auto"/>
        <w:jc w:val="both"/>
        <w:rPr>
          <w:rFonts w:ascii="Times New Roman" w:hAnsi="Times New Roman" w:cs="Times New Roman"/>
          <w:sz w:val="24"/>
          <w:szCs w:val="24"/>
        </w:rPr>
      </w:pPr>
      <w:r>
        <w:rPr>
          <w:rFonts w:ascii="Times New Roman" w:hAnsi="Times New Roman" w:cs="Times New Roman"/>
          <w:sz w:val="24"/>
          <w:szCs w:val="24"/>
        </w:rPr>
        <w:t>Jeżeli oferty złoży do pięciu organizacji pozarządowych, oferta oceniana jest przez wszystkich członków komisji. Jeżeli oferty złoży więcej niż pięć organizacji pozarządowych, oferta oceniana jest przez 2 członków komisji, wyznaczonych przez Przewodniczącego komisji.</w:t>
      </w:r>
    </w:p>
    <w:p w14:paraId="2AAAE0CE" w14:textId="77777777" w:rsidR="00F61314" w:rsidRDefault="00F61314" w:rsidP="00884D82">
      <w:pPr>
        <w:pStyle w:val="Akapitzlist"/>
        <w:numPr>
          <w:ilvl w:val="0"/>
          <w:numId w:val="2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Jeżeli w ocenie formalnej na wszystkie pytania zostanie udzielona odpowiedź pozytywna, wówczas oferta podlega ocenie merytorycznej. </w:t>
      </w:r>
    </w:p>
    <w:p w14:paraId="787EFEE6" w14:textId="77777777" w:rsidR="00F61314" w:rsidRDefault="00F61314" w:rsidP="00884D82">
      <w:pPr>
        <w:pStyle w:val="Akapitzlist"/>
        <w:numPr>
          <w:ilvl w:val="0"/>
          <w:numId w:val="2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 przypadku gdy członkowie komisji rozbieżnie ocenią spełnienie przez oferenta warunków formalnych udziału w konkursie, ostateczną decyzję w tym obszarze podejmuje Przewodniczący komisji. </w:t>
      </w:r>
    </w:p>
    <w:p w14:paraId="3B05A302" w14:textId="77777777" w:rsidR="00F61314" w:rsidRDefault="00F61314" w:rsidP="00884D82">
      <w:pPr>
        <w:pStyle w:val="Akapitzlist"/>
        <w:numPr>
          <w:ilvl w:val="0"/>
          <w:numId w:val="20"/>
        </w:numPr>
        <w:spacing w:line="360" w:lineRule="auto"/>
        <w:jc w:val="both"/>
        <w:rPr>
          <w:rFonts w:ascii="Times New Roman" w:hAnsi="Times New Roman" w:cs="Times New Roman"/>
          <w:sz w:val="24"/>
          <w:szCs w:val="24"/>
        </w:rPr>
      </w:pPr>
      <w:r>
        <w:rPr>
          <w:rFonts w:ascii="Times New Roman" w:hAnsi="Times New Roman" w:cs="Times New Roman"/>
          <w:sz w:val="24"/>
          <w:szCs w:val="24"/>
        </w:rPr>
        <w:t>W przypadku, gdy na etapie oceny merytorycznej członkowie komisji zgodnie przyznali ocenę negatywną w tym samym obszarze, oferta zostaje oceniona negatywnie (odrzucona) na etapie oceny merytorycznej.</w:t>
      </w:r>
    </w:p>
    <w:p w14:paraId="624B5B77" w14:textId="77777777" w:rsidR="00F61314" w:rsidRDefault="00F61314" w:rsidP="00884D82">
      <w:pPr>
        <w:pStyle w:val="Akapitzlist"/>
        <w:numPr>
          <w:ilvl w:val="0"/>
          <w:numId w:val="2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Ocena negatywna oznacza, że oferta otrzymała poniżej 50% punktów w co najmniej jednym z wymienionych obszarów: </w:t>
      </w:r>
      <w:r>
        <w:rPr>
          <w:rFonts w:ascii="Times New Roman" w:hAnsi="Times New Roman" w:cs="Times New Roman"/>
          <w:bCs/>
          <w:i/>
          <w:sz w:val="24"/>
          <w:szCs w:val="24"/>
        </w:rPr>
        <w:t>Zaproponowane działania – ocena pod kątem adekwatności, innowacyjności, jakości i możliwości zastosowania</w:t>
      </w:r>
      <w:r>
        <w:rPr>
          <w:rFonts w:ascii="Times New Roman" w:hAnsi="Times New Roman" w:cs="Times New Roman"/>
          <w:bCs/>
          <w:sz w:val="24"/>
          <w:szCs w:val="24"/>
        </w:rPr>
        <w:t xml:space="preserve"> </w:t>
      </w:r>
      <w:r>
        <w:rPr>
          <w:rFonts w:ascii="Times New Roman" w:hAnsi="Times New Roman" w:cs="Times New Roman"/>
          <w:bCs/>
          <w:i/>
          <w:sz w:val="24"/>
          <w:szCs w:val="24"/>
        </w:rPr>
        <w:t>przez Oferenta, Zdobyte doświadczenie w działaniu na rzecz rodzin wielodzietnych, Zdobyte doświadczenie w pozyskiwaniu partnerów lub sponsorów</w:t>
      </w:r>
      <w:r>
        <w:rPr>
          <w:rFonts w:ascii="Times New Roman" w:hAnsi="Times New Roman" w:cs="Times New Roman"/>
          <w:sz w:val="24"/>
          <w:szCs w:val="24"/>
        </w:rPr>
        <w:t>. W innym przypadku uznaje się, iż oferta została oceniona pozytywnie (przyjęta) na etapie oceny merytorycznej.</w:t>
      </w:r>
    </w:p>
    <w:p w14:paraId="0000D8F9" w14:textId="77777777" w:rsidR="00F61314" w:rsidRDefault="00F61314" w:rsidP="00884D82">
      <w:pPr>
        <w:pStyle w:val="Akapitzlist"/>
        <w:numPr>
          <w:ilvl w:val="0"/>
          <w:numId w:val="20"/>
        </w:numPr>
        <w:spacing w:line="360" w:lineRule="auto"/>
        <w:jc w:val="both"/>
        <w:rPr>
          <w:rFonts w:ascii="Times New Roman" w:hAnsi="Times New Roman" w:cs="Times New Roman"/>
          <w:sz w:val="24"/>
          <w:szCs w:val="24"/>
        </w:rPr>
      </w:pPr>
      <w:r>
        <w:rPr>
          <w:rFonts w:ascii="Times New Roman" w:hAnsi="Times New Roman" w:cs="Times New Roman"/>
          <w:sz w:val="24"/>
          <w:szCs w:val="24"/>
        </w:rPr>
        <w:t>W przypadku gdy członkowie komisji rozbieżnie oceniają spełnienie przez oferenta przesłanki merytorycznej, ostateczną decyzję w tym obszarze podejmuje Przewodniczący komisji.</w:t>
      </w:r>
    </w:p>
    <w:p w14:paraId="3B907BC9" w14:textId="77777777" w:rsidR="00F61314" w:rsidRDefault="00F61314" w:rsidP="00884D82">
      <w:pPr>
        <w:pStyle w:val="Akapitzlist"/>
        <w:numPr>
          <w:ilvl w:val="0"/>
          <w:numId w:val="2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 przypadku gdy oferta została oceniona pozytywnie przez wszystkich członków komisji, ale różnica w punktacji pomiędzy ich ocenami wynosi minimum </w:t>
      </w:r>
      <w:r>
        <w:rPr>
          <w:rFonts w:ascii="Times New Roman" w:hAnsi="Times New Roman" w:cs="Times New Roman"/>
          <w:sz w:val="24"/>
          <w:szCs w:val="24"/>
        </w:rPr>
        <w:br/>
        <w:t>26 punktów, ostateczną punktację i propozycję ostatecznej kwoty dotacji do zatwierdzenia przez Ministra po zapoznaniu się z ocenami wszystkich członków komisji ustala Przewodniczący komisji.</w:t>
      </w:r>
    </w:p>
    <w:p w14:paraId="30E991C2" w14:textId="77777777" w:rsidR="00F61314" w:rsidRDefault="00F61314" w:rsidP="00884D82">
      <w:pPr>
        <w:pStyle w:val="Akapitzlist"/>
        <w:numPr>
          <w:ilvl w:val="0"/>
          <w:numId w:val="2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Na podstawie kart wypełnionych przez poszczególnych członków komisji sporządza się wspólną kartę oceny formalnej i merytorycznej oferty, którą </w:t>
      </w:r>
      <w:r>
        <w:rPr>
          <w:rFonts w:ascii="Times New Roman" w:hAnsi="Times New Roman" w:cs="Times New Roman"/>
          <w:sz w:val="24"/>
          <w:szCs w:val="24"/>
        </w:rPr>
        <w:lastRenderedPageBreak/>
        <w:t xml:space="preserve">zatwierdza Przewodniczący komisji. Wspólna karta oceny formalnej </w:t>
      </w:r>
      <w:r>
        <w:rPr>
          <w:rFonts w:ascii="Times New Roman" w:hAnsi="Times New Roman" w:cs="Times New Roman"/>
          <w:sz w:val="24"/>
          <w:szCs w:val="24"/>
        </w:rPr>
        <w:br/>
        <w:t xml:space="preserve">i merytorycznej zawiera, z zastrzeżeniem lit. g–k, uśrednioną liczbę punktów </w:t>
      </w:r>
      <w:r>
        <w:rPr>
          <w:rFonts w:ascii="Times New Roman" w:hAnsi="Times New Roman" w:cs="Times New Roman"/>
          <w:sz w:val="24"/>
          <w:szCs w:val="24"/>
        </w:rPr>
        <w:br/>
        <w:t>w przypadku oceny merytorycznej oraz zatwierdzoną przez Przewodniczącego komisji kwotę dotacji. Karty oceny formalnej i merytorycznej oferty wypełnione przez poszczególnych członków komisji pozostają w dokumentacji konkursu.</w:t>
      </w:r>
    </w:p>
    <w:p w14:paraId="0B898889" w14:textId="77777777" w:rsidR="00F61314" w:rsidRDefault="00F61314" w:rsidP="00884D82">
      <w:pPr>
        <w:pStyle w:val="Akapitzlist"/>
        <w:numPr>
          <w:ilvl w:val="0"/>
          <w:numId w:val="2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Komisja przekazuje do zatwierdzenia przez Ministra ofertę, która spełnia wymogi formalne oraz została najwyżej oceniona pod względem merytorycznym. </w:t>
      </w:r>
      <w:r>
        <w:rPr>
          <w:rFonts w:ascii="Times New Roman" w:hAnsi="Times New Roman" w:cs="Times New Roman"/>
          <w:sz w:val="24"/>
          <w:szCs w:val="24"/>
        </w:rPr>
        <w:br/>
        <w:t>W przypadku gdy najwyższą liczbę punktów uzyskały dwie lub więcej organizacji pozarządowych, Komisja dokonuje wyboru w drodze głosowania. Jeżeli w wyniku głosowania nie została wyłoniona jedna oferta, ostateczną decyzję o wyborze oferty podejmuje Przewodniczący komisji.</w:t>
      </w:r>
    </w:p>
    <w:p w14:paraId="3647A711" w14:textId="5E4FE7CF" w:rsidR="00F61314" w:rsidRDefault="00F61314" w:rsidP="00884D82">
      <w:pPr>
        <w:pStyle w:val="Akapitzlist"/>
        <w:numPr>
          <w:ilvl w:val="0"/>
          <w:numId w:val="2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Oferta może być uzupełniona albo skorygowana w ciągu dnia roboczego od dnia otrzymania wezwania na adres poczty elektronicznej osoby wskazanej w II części pkt II oferty. </w:t>
      </w:r>
    </w:p>
    <w:p w14:paraId="75E112F6" w14:textId="77777777" w:rsidR="00F61314" w:rsidRDefault="00F61314" w:rsidP="00F61314">
      <w:pPr>
        <w:pStyle w:val="Akapitzlist"/>
        <w:spacing w:line="360" w:lineRule="auto"/>
        <w:ind w:left="1080"/>
        <w:jc w:val="both"/>
        <w:rPr>
          <w:rFonts w:ascii="Times New Roman" w:hAnsi="Times New Roman" w:cs="Times New Roman"/>
          <w:sz w:val="24"/>
          <w:szCs w:val="24"/>
        </w:rPr>
      </w:pPr>
    </w:p>
    <w:p w14:paraId="56A154C3" w14:textId="77777777" w:rsidR="00F61314" w:rsidRDefault="00F61314" w:rsidP="00F61314">
      <w:pPr>
        <w:pStyle w:val="Nagwek1"/>
      </w:pPr>
      <w:bookmarkStart w:id="12" w:name="_Toc88569914"/>
      <w:r>
        <w:t>XII Ogłoszenie wyników</w:t>
      </w:r>
      <w:bookmarkEnd w:id="12"/>
    </w:p>
    <w:p w14:paraId="063D9E2D" w14:textId="77777777" w:rsidR="00F61314" w:rsidRDefault="00F61314" w:rsidP="00F6131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Rozstrzygnięcie konkursu zostanie ogłoszone w terminie 30 dni kalendarzowych od upływu terminu do składania ofert, na stronie internetowej urzędu obsługującego ministra właściwego do spraw rodziny oraz w Biuletynie Informacji Publicznej Ministra Rodziny </w:t>
      </w:r>
      <w:r>
        <w:rPr>
          <w:rFonts w:ascii="Times New Roman" w:hAnsi="Times New Roman" w:cs="Times New Roman"/>
          <w:sz w:val="24"/>
          <w:szCs w:val="24"/>
        </w:rPr>
        <w:br/>
        <w:t xml:space="preserve">i Polityki Społecznej, a także na tablicy informacyjnej w siedzibie Ministerstwa Rodziny </w:t>
      </w:r>
      <w:r>
        <w:rPr>
          <w:rFonts w:ascii="Times New Roman" w:hAnsi="Times New Roman" w:cs="Times New Roman"/>
          <w:sz w:val="24"/>
          <w:szCs w:val="24"/>
        </w:rPr>
        <w:br/>
        <w:t>i Polityki Społecznej. Od rozstrzygnięcia nie przysługuje odwołanie.</w:t>
      </w:r>
    </w:p>
    <w:p w14:paraId="04E9D5F4" w14:textId="77777777" w:rsidR="00F61314" w:rsidRDefault="00F61314" w:rsidP="00F61314">
      <w:pPr>
        <w:pStyle w:val="Nagwek1"/>
      </w:pPr>
      <w:bookmarkStart w:id="13" w:name="_Toc88569915"/>
      <w:r>
        <w:t>XIII Zawarcie umowy</w:t>
      </w:r>
      <w:bookmarkEnd w:id="13"/>
    </w:p>
    <w:p w14:paraId="19C1AE8F" w14:textId="77777777" w:rsidR="00F61314" w:rsidRDefault="00F61314" w:rsidP="00884D82">
      <w:pPr>
        <w:pStyle w:val="Akapitzlist"/>
        <w:numPr>
          <w:ilvl w:val="0"/>
          <w:numId w:val="2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 ogłoszeniu wyników umowa zostanie zawarta po uzyskaniu zapewnienia </w:t>
      </w:r>
      <w:r>
        <w:rPr>
          <w:rFonts w:ascii="Times New Roman" w:hAnsi="Times New Roman" w:cs="Times New Roman"/>
          <w:sz w:val="24"/>
          <w:szCs w:val="24"/>
        </w:rPr>
        <w:br/>
        <w:t xml:space="preserve">o otrzymaniu środków finansowych na ten cel na 2022 r. z mocą obowiązywania </w:t>
      </w:r>
      <w:r>
        <w:rPr>
          <w:rFonts w:ascii="Times New Roman" w:hAnsi="Times New Roman" w:cs="Times New Roman"/>
          <w:sz w:val="24"/>
          <w:szCs w:val="24"/>
        </w:rPr>
        <w:br/>
        <w:t>od 1 stycznia 2022 r.</w:t>
      </w:r>
    </w:p>
    <w:p w14:paraId="36527147" w14:textId="77777777" w:rsidR="00F61314" w:rsidRDefault="00F61314" w:rsidP="00884D82">
      <w:pPr>
        <w:pStyle w:val="Akapitzlist"/>
        <w:numPr>
          <w:ilvl w:val="0"/>
          <w:numId w:val="2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 przypadku gdy organizacja pozarządowa przekaże 6 kolejnych sprawozdań miesięcznych, z rozliczenia których należna kwota dotacji za zawarte umowy sumarycznie nie przekroczy 600 000 zł, braku informacji o prowadzonych działaniach dotyczących negocjacji w MOP SI KDR lub w innych okolicznościach wskazanych </w:t>
      </w:r>
      <w:r>
        <w:rPr>
          <w:rFonts w:ascii="Times New Roman" w:hAnsi="Times New Roman" w:cs="Times New Roman"/>
          <w:sz w:val="24"/>
          <w:szCs w:val="24"/>
        </w:rPr>
        <w:br/>
        <w:t>w umowie, minister zastrzega sobie prawo rozwiązania umowy ze skutkiem natychmiastowym.</w:t>
      </w:r>
    </w:p>
    <w:p w14:paraId="13D075A8" w14:textId="77777777" w:rsidR="00F61314" w:rsidRDefault="00F61314" w:rsidP="00884D82">
      <w:pPr>
        <w:pStyle w:val="Akapitzlist"/>
        <w:numPr>
          <w:ilvl w:val="0"/>
          <w:numId w:val="24"/>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W przypadku braku zapewnienia środków finansowych na ten cel w kolejnych latach, umowa zostanie rozwiązana z końcem roku na jaki takie środki były uwzględnione </w:t>
      </w:r>
      <w:r>
        <w:rPr>
          <w:rFonts w:ascii="Times New Roman" w:hAnsi="Times New Roman" w:cs="Times New Roman"/>
          <w:sz w:val="24"/>
          <w:szCs w:val="24"/>
        </w:rPr>
        <w:br/>
        <w:t>w ustawie budżetowej.</w:t>
      </w:r>
    </w:p>
    <w:p w14:paraId="3F3E5EBC" w14:textId="77777777" w:rsidR="00F61314" w:rsidRDefault="00F61314" w:rsidP="00884D82">
      <w:pPr>
        <w:pStyle w:val="Akapitzlist"/>
        <w:numPr>
          <w:ilvl w:val="0"/>
          <w:numId w:val="24"/>
        </w:numPr>
        <w:spacing w:line="360" w:lineRule="auto"/>
        <w:jc w:val="both"/>
        <w:rPr>
          <w:rFonts w:ascii="Times New Roman" w:hAnsi="Times New Roman" w:cs="Times New Roman"/>
          <w:sz w:val="24"/>
          <w:szCs w:val="24"/>
        </w:rPr>
      </w:pPr>
      <w:r>
        <w:rPr>
          <w:rFonts w:ascii="Times New Roman" w:hAnsi="Times New Roman" w:cs="Times New Roman"/>
          <w:sz w:val="24"/>
          <w:szCs w:val="24"/>
        </w:rPr>
        <w:t>Obie strony mogą rozwiązać umowę z zachowaniem miesięcznego okresu wypowiedzenia.</w:t>
      </w:r>
    </w:p>
    <w:p w14:paraId="56C52EAF" w14:textId="77777777" w:rsidR="00F61314" w:rsidRDefault="00F61314" w:rsidP="00F61314">
      <w:pPr>
        <w:pStyle w:val="Akapitzlist"/>
        <w:spacing w:line="360" w:lineRule="auto"/>
        <w:ind w:left="2160"/>
        <w:jc w:val="both"/>
        <w:rPr>
          <w:rFonts w:ascii="Times New Roman" w:hAnsi="Times New Roman" w:cs="Times New Roman"/>
          <w:sz w:val="24"/>
          <w:szCs w:val="24"/>
        </w:rPr>
      </w:pPr>
    </w:p>
    <w:p w14:paraId="659CC7FD" w14:textId="77777777" w:rsidR="00F61314" w:rsidRDefault="00F61314" w:rsidP="00F61314">
      <w:pPr>
        <w:pStyle w:val="Nagwek1"/>
      </w:pPr>
      <w:bookmarkStart w:id="14" w:name="_Toc88569916"/>
      <w:r>
        <w:t>XIV Zadania podmiotów</w:t>
      </w:r>
      <w:bookmarkEnd w:id="14"/>
    </w:p>
    <w:p w14:paraId="4AB11BA3" w14:textId="77777777" w:rsidR="00F61314" w:rsidRDefault="00F61314" w:rsidP="00884D82">
      <w:pPr>
        <w:pStyle w:val="Akapitzlist"/>
        <w:numPr>
          <w:ilvl w:val="1"/>
          <w:numId w:val="25"/>
        </w:numPr>
        <w:spacing w:line="360" w:lineRule="auto"/>
        <w:jc w:val="both"/>
        <w:rPr>
          <w:rFonts w:ascii="Times New Roman" w:hAnsi="Times New Roman" w:cs="Times New Roman"/>
          <w:b/>
          <w:sz w:val="24"/>
          <w:szCs w:val="24"/>
        </w:rPr>
      </w:pPr>
      <w:r>
        <w:rPr>
          <w:rFonts w:ascii="Times New Roman" w:hAnsi="Times New Roman" w:cs="Times New Roman"/>
          <w:b/>
          <w:sz w:val="24"/>
          <w:szCs w:val="24"/>
        </w:rPr>
        <w:t>Zadania Zleceniobiorcy</w:t>
      </w:r>
    </w:p>
    <w:p w14:paraId="077E172E" w14:textId="77777777" w:rsidR="00F61314" w:rsidRDefault="00F61314" w:rsidP="00884D82">
      <w:pPr>
        <w:pStyle w:val="Akapitzlist"/>
        <w:numPr>
          <w:ilvl w:val="1"/>
          <w:numId w:val="26"/>
        </w:numPr>
        <w:spacing w:line="36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Złożenie oferty na właściwym formularzu, wraz z wymaganymi dokumentami, </w:t>
      </w:r>
    </w:p>
    <w:p w14:paraId="0B4C06D2" w14:textId="77777777" w:rsidR="00F61314" w:rsidRDefault="00F61314" w:rsidP="00884D82">
      <w:pPr>
        <w:pStyle w:val="Akapitzlist"/>
        <w:numPr>
          <w:ilvl w:val="1"/>
          <w:numId w:val="26"/>
        </w:numPr>
        <w:spacing w:after="0" w:line="360" w:lineRule="auto"/>
        <w:ind w:left="709"/>
        <w:jc w:val="both"/>
        <w:rPr>
          <w:rFonts w:ascii="Times New Roman" w:hAnsi="Times New Roman" w:cs="Times New Roman"/>
          <w:sz w:val="24"/>
          <w:szCs w:val="24"/>
        </w:rPr>
      </w:pPr>
      <w:r>
        <w:rPr>
          <w:rFonts w:ascii="Times New Roman" w:hAnsi="Times New Roman" w:cs="Times New Roman"/>
          <w:sz w:val="24"/>
          <w:szCs w:val="24"/>
        </w:rPr>
        <w:t>Nawiązywanie kontaktu z potencjalnymi partnerami KDR;</w:t>
      </w:r>
    </w:p>
    <w:p w14:paraId="7EAE6839" w14:textId="77777777" w:rsidR="00F61314" w:rsidRDefault="00F61314" w:rsidP="00884D82">
      <w:pPr>
        <w:pStyle w:val="NormalnyWeb"/>
        <w:numPr>
          <w:ilvl w:val="0"/>
          <w:numId w:val="27"/>
        </w:numPr>
        <w:spacing w:before="0" w:after="0" w:line="360" w:lineRule="auto"/>
        <w:contextualSpacing/>
        <w:jc w:val="both"/>
      </w:pPr>
      <w:r>
        <w:t xml:space="preserve">Negocjowanie warunków umowy z potencjalnymi partnerami KDR, zwłaszcza zniżek w cenach oferowanych przez nich towarów i usług oraz odznaczanie tych działań </w:t>
      </w:r>
      <w:r>
        <w:br/>
        <w:t xml:space="preserve">w Module Obsługi Partnerów w SI KDR; </w:t>
      </w:r>
    </w:p>
    <w:p w14:paraId="03E14CEB" w14:textId="77777777" w:rsidR="00F61314" w:rsidRDefault="00F61314" w:rsidP="00884D82">
      <w:pPr>
        <w:pStyle w:val="NormalnyWeb"/>
        <w:numPr>
          <w:ilvl w:val="0"/>
          <w:numId w:val="27"/>
        </w:numPr>
        <w:spacing w:before="0" w:after="0" w:line="360" w:lineRule="auto"/>
        <w:contextualSpacing/>
        <w:jc w:val="both"/>
      </w:pPr>
      <w:r>
        <w:t>Telefoniczne udzielanie informacji partnerom Karty Dużej Rodziny oraz podmiotom zainteresowanym przystąpieniem do KDR;</w:t>
      </w:r>
    </w:p>
    <w:p w14:paraId="755090BC" w14:textId="77777777" w:rsidR="00F61314" w:rsidRDefault="00F61314" w:rsidP="00884D82">
      <w:pPr>
        <w:pStyle w:val="NormalnyWeb"/>
        <w:numPr>
          <w:ilvl w:val="0"/>
          <w:numId w:val="27"/>
        </w:numPr>
        <w:spacing w:before="0" w:after="0" w:line="360" w:lineRule="auto"/>
        <w:contextualSpacing/>
        <w:jc w:val="both"/>
      </w:pPr>
      <w:r>
        <w:t>Przyjmowanie do obsługi w Module Obsługi Partnerów w SI KDR zgłoszeń potencjalnych partnerów, zarówno złożonych za pośrednictwem formularza na stronie empatia.mpips.gov.pl (automatycznie wpływa do MOP), jak również złożonych mailowo na wyodrębnione dla każdego województwa skrzynki elektroniczne (wymaga założenia przez organizację skrzynek elektronicznych dla każdego województwa);</w:t>
      </w:r>
    </w:p>
    <w:p w14:paraId="2ECD736F" w14:textId="77777777" w:rsidR="00F61314" w:rsidRDefault="00F61314" w:rsidP="00884D82">
      <w:pPr>
        <w:pStyle w:val="NormalnyWeb"/>
        <w:numPr>
          <w:ilvl w:val="0"/>
          <w:numId w:val="27"/>
        </w:numPr>
        <w:spacing w:before="0" w:after="0" w:line="360" w:lineRule="auto"/>
        <w:contextualSpacing/>
        <w:jc w:val="both"/>
      </w:pPr>
      <w:r>
        <w:t xml:space="preserve">Przeprowadzenie i przekazanie do Ministerstwa Rodziny i Polityki Społecznej do akceptacji oceny oferty podmiotu chcącego przystąpić do Karty Dużej Rodziny na formularzu, którego wzór stanowi załącznik nr 3 i 3a do regulaminu – w przypadku podmiotu strategicznego wzór formularza znajduje się w Module Obsługi Partnerów </w:t>
      </w:r>
      <w:r>
        <w:br/>
        <w:t>SI KDR;</w:t>
      </w:r>
    </w:p>
    <w:p w14:paraId="1AD23BF9" w14:textId="77777777" w:rsidR="00F61314" w:rsidRDefault="00F61314" w:rsidP="00884D82">
      <w:pPr>
        <w:pStyle w:val="NormalnyWeb"/>
        <w:numPr>
          <w:ilvl w:val="0"/>
          <w:numId w:val="27"/>
        </w:numPr>
        <w:spacing w:before="0" w:after="0" w:line="360" w:lineRule="auto"/>
        <w:contextualSpacing/>
        <w:jc w:val="both"/>
        <w:rPr>
          <w:iCs/>
        </w:rPr>
      </w:pPr>
      <w:r>
        <w:rPr>
          <w:iCs/>
        </w:rPr>
        <w:t xml:space="preserve">Podpisywanie umów z partnerami KDR (w przypadku podmiotów o mniejszym zasięgu, a także podmiotów strategicznych) lub przygotowanie podpisanych przez potencjalnych partnerów KDR umów do podpisu przez Ministra Rodziny </w:t>
      </w:r>
      <w:r>
        <w:rPr>
          <w:iCs/>
        </w:rPr>
        <w:br/>
        <w:t>i Polityki Społecznej (w przypadku podmiotów strategicznych);</w:t>
      </w:r>
    </w:p>
    <w:p w14:paraId="0E538059" w14:textId="77777777" w:rsidR="00F61314" w:rsidRDefault="00F61314" w:rsidP="00884D82">
      <w:pPr>
        <w:pStyle w:val="NormalnyWeb"/>
        <w:numPr>
          <w:ilvl w:val="0"/>
          <w:numId w:val="27"/>
        </w:numPr>
        <w:spacing w:before="0" w:after="0" w:line="360" w:lineRule="auto"/>
        <w:contextualSpacing/>
        <w:jc w:val="both"/>
        <w:rPr>
          <w:iCs/>
        </w:rPr>
      </w:pPr>
      <w:r>
        <w:rPr>
          <w:iCs/>
        </w:rPr>
        <w:t>Produkcja i dystrybucja naklejek „TU HONORUJEMY KARTĘ DUŻEJ RODZINY” (zgodnie z zapotrzebowaniem zgłoszonym organizacji pozarządowej przez partnerów),</w:t>
      </w:r>
    </w:p>
    <w:p w14:paraId="346F9559" w14:textId="012D82F9" w:rsidR="00F61314" w:rsidRDefault="00F61314" w:rsidP="00884D82">
      <w:pPr>
        <w:pStyle w:val="NormalnyWeb"/>
        <w:numPr>
          <w:ilvl w:val="0"/>
          <w:numId w:val="27"/>
        </w:numPr>
        <w:spacing w:before="0" w:after="0" w:line="360" w:lineRule="auto"/>
        <w:contextualSpacing/>
        <w:jc w:val="both"/>
        <w:rPr>
          <w:iCs/>
        </w:rPr>
      </w:pPr>
      <w:r>
        <w:rPr>
          <w:iCs/>
        </w:rPr>
        <w:t>Realizacja obowiązku informacyjnego</w:t>
      </w:r>
      <w:r w:rsidR="00B673D9">
        <w:rPr>
          <w:iCs/>
        </w:rPr>
        <w:t>,</w:t>
      </w:r>
      <w:r>
        <w:rPr>
          <w:iCs/>
        </w:rPr>
        <w:t xml:space="preserve"> </w:t>
      </w:r>
      <w:r>
        <w:t xml:space="preserve">wynikającego z art. 35a-35d ustawy z dnia 27 sierpnia 2009 r. o finansach publicznych, w sposób określony w rozporządzeniu Rady </w:t>
      </w:r>
      <w:r>
        <w:lastRenderedPageBreak/>
        <w:t>Ministrów z dnia 7 maja 2021 r. w sprawie określenia działań informacyjnych podejmowanych przez podmioty realizujące zadania finansowane lub dofinansowane z budżetu państwa lub z państwowych funduszy celowych (Dz.</w:t>
      </w:r>
      <w:r w:rsidR="002045C4">
        <w:t xml:space="preserve"> </w:t>
      </w:r>
      <w:r>
        <w:t>U. poz. 953). Zgodnie z § 2 pkt 2 i 3 ww. rozporządzenia obowiązek ten polega na umieszczeniu plakatu informacyjnego oraz informacji na stronie internetowej. Treść plakatu oraz miejsce jego umieszczenia są określone w § 6 ust. 1 i 2 ww. rozporządzenia. Zleceniobiorca, zgodnie z § 6 ust. 2 ww. rozporządzenia, zobowiązany jest do realizacji powyższego obowiązku w terminie do 3 dni roboczych od dnia podpisania umowy o realizację zadania publicznego. Treść informacji, która ma zostać umieszczona na stronie internetowej</w:t>
      </w:r>
      <w:r w:rsidR="002045C4">
        <w:t>,</w:t>
      </w:r>
      <w:r>
        <w:t xml:space="preserve"> określona jest w § 7 ust. 1 ww. rozporządzenia. Miejsce zamieszczenia informacji na stronie internetowej określa § 7 ust. 2 ww. rozporządzenia. Zleceniobiorca, zgodnie z § 7 ust. 3 pkt 4 ww. rozporządzenia, zobowiązany jest do realizacji powyższego obowiązku w dniu podjęcia pierwszych czynności zmierzających bezpośrednio do realizacji projektu, przypadającym po podpisaniu umowy o realizację zadania publicznego. Po upływie powyższych terminów Zleceniobiorca zobowiązany jest do złożenia oświadczenia, które stanowi załącznik nr 9 do regulaminu, celem potwierdzenia realizacji obowiązku informacyjnego. Oświadczenie należy złożyć </w:t>
      </w:r>
      <w:r>
        <w:br/>
        <w:t xml:space="preserve">w  postaci  papierowej na adres Ministerstwa Rodziny i Polityki Społecznej oraz </w:t>
      </w:r>
      <w:r>
        <w:br/>
        <w:t xml:space="preserve">w postaci elektronicznej na adres sekretariatu Departamentu Polityki Rodzinnej </w:t>
      </w:r>
      <w:r>
        <w:br/>
        <w:t xml:space="preserve">w terminie nie dłuższym niż 14 dni </w:t>
      </w:r>
      <w:r w:rsidR="00CC169E">
        <w:t xml:space="preserve">kalendarzowych </w:t>
      </w:r>
      <w:r>
        <w:t>od rozpoczęcia realizacji zadania publicznego. Plakat informacyjny jest wyeksponowany do dnia rozliczenia projektu. Zamieszczona informacja na stronie internetowej pozostaje na niej przez 90 dni</w:t>
      </w:r>
      <w:r w:rsidR="00CC169E">
        <w:t xml:space="preserve"> kalendarzowych</w:t>
      </w:r>
      <w:r>
        <w:t>, licząc od dnia rozliczenia projektu.</w:t>
      </w:r>
    </w:p>
    <w:p w14:paraId="37C147F5" w14:textId="77777777" w:rsidR="00F61314" w:rsidRDefault="00F61314" w:rsidP="00884D82">
      <w:pPr>
        <w:pStyle w:val="NormalnyWeb"/>
        <w:numPr>
          <w:ilvl w:val="0"/>
          <w:numId w:val="27"/>
        </w:numPr>
        <w:spacing w:before="0" w:after="0" w:line="360" w:lineRule="auto"/>
        <w:contextualSpacing/>
        <w:jc w:val="both"/>
      </w:pPr>
      <w:r>
        <w:t xml:space="preserve">Rejestracja w Module Obsługi Partnerów w SI KDR podpisanych umów </w:t>
      </w:r>
      <w:r>
        <w:br/>
        <w:t xml:space="preserve">z partnerami oraz działań w ramach negocjacji z potencjalnymi partnerami, a także  poprawna publikacja przez osobę z poziomu centralnego na stronie internetowej urzędu obsługującego ministra właściwego ds. rodziny </w:t>
      </w:r>
      <w:r>
        <w:rPr>
          <w:iCs/>
        </w:rPr>
        <w:t xml:space="preserve">wykazu uprawnień oraz instytucji albo podmiotów, które zawarły umowę </w:t>
      </w:r>
      <w:proofErr w:type="spellStart"/>
      <w:r>
        <w:rPr>
          <w:iCs/>
        </w:rPr>
        <w:t>ws</w:t>
      </w:r>
      <w:proofErr w:type="spellEnd"/>
      <w:r>
        <w:rPr>
          <w:iCs/>
        </w:rPr>
        <w:t>. przyznawania uprawnień członkom rodzin wielodzietnych – jest to podstawa prowadzenia rozliczenia środków za realizację zadania publicznego;</w:t>
      </w:r>
    </w:p>
    <w:p w14:paraId="0CF24691" w14:textId="6CBC5748" w:rsidR="00F61314" w:rsidRDefault="00F61314" w:rsidP="00884D82">
      <w:pPr>
        <w:pStyle w:val="NormalnyWeb"/>
        <w:numPr>
          <w:ilvl w:val="0"/>
          <w:numId w:val="27"/>
        </w:numPr>
        <w:spacing w:before="0" w:after="0" w:line="360" w:lineRule="auto"/>
        <w:contextualSpacing/>
        <w:jc w:val="both"/>
      </w:pPr>
      <w:r>
        <w:rPr>
          <w:iCs/>
        </w:rPr>
        <w:t xml:space="preserve">Jeżeli nastąpiła awaria Modułu Obsługi Partnerów SI KDR po jej usunięciu zadaniem organizacji pozarządowej jest uzupełnienie w Module Obsługi Partnerów SI KDR danych dot. podmiotów, z którymi organizacja pozarządowa zawarła umowy, w tym informacji o negocjacjach, formularza oceny oferty, danych i skanu umowy, aby </w:t>
      </w:r>
      <w:r>
        <w:rPr>
          <w:iCs/>
        </w:rPr>
        <w:lastRenderedPageBreak/>
        <w:t>nastąpiła publikacja podmiotu na wykazie na stronie internetowej urzędu obsługującego ministra właściwego ds. rodziny;</w:t>
      </w:r>
    </w:p>
    <w:p w14:paraId="4589E3DE" w14:textId="77777777" w:rsidR="00F61314" w:rsidRDefault="00F61314" w:rsidP="00884D82">
      <w:pPr>
        <w:pStyle w:val="NormalnyWeb"/>
        <w:numPr>
          <w:ilvl w:val="0"/>
          <w:numId w:val="27"/>
        </w:numPr>
        <w:spacing w:before="0" w:after="0" w:line="360" w:lineRule="auto"/>
        <w:contextualSpacing/>
        <w:jc w:val="both"/>
      </w:pPr>
      <w:r>
        <w:t xml:space="preserve">Przekazywanie na prośbę Ministerstwa Rodziny i Polityki Społecznej informacji </w:t>
      </w:r>
      <w:r>
        <w:br/>
        <w:t xml:space="preserve">o zawartych umowach, prowadzonych negocjacjach, przygotowanych do podpisu umowach, o działaniach wymagających renegocjowania lub rozwiązania umów oraz podjętych interwencjach w przypadku zgłoszenia nieprawidłowości </w:t>
      </w:r>
      <w:r>
        <w:br/>
        <w:t>w realizacji umowy przez partnera w celu monitorowania sytuacji oraz udzielania informacji na zapytania prasowe/obywateli/innych instytucji;</w:t>
      </w:r>
    </w:p>
    <w:p w14:paraId="55F7A885" w14:textId="77777777" w:rsidR="00F61314" w:rsidRDefault="00F61314" w:rsidP="00884D82">
      <w:pPr>
        <w:pStyle w:val="NormalnyWeb"/>
        <w:numPr>
          <w:ilvl w:val="0"/>
          <w:numId w:val="27"/>
        </w:numPr>
        <w:spacing w:before="0" w:after="0" w:line="360" w:lineRule="auto"/>
        <w:contextualSpacing/>
        <w:jc w:val="both"/>
      </w:pPr>
      <w:r>
        <w:t xml:space="preserve">Przekazanie sprawozdań wynikających z zapisów umowy i zapisów ustaw </w:t>
      </w:r>
      <w:r>
        <w:br/>
        <w:t xml:space="preserve">(art. 20 ustawy o KDR, art. 18 </w:t>
      </w:r>
      <w:proofErr w:type="spellStart"/>
      <w:r>
        <w:t>UoDPPioW</w:t>
      </w:r>
      <w:proofErr w:type="spellEnd"/>
      <w:r>
        <w:t>) w celu monitorowania sytuacji oraz udzielania informacji na zapytania prasowe/obywateli/innych instytucji, przy czym:</w:t>
      </w:r>
    </w:p>
    <w:p w14:paraId="1908CD3C" w14:textId="77777777" w:rsidR="00F61314" w:rsidRDefault="00F61314" w:rsidP="00884D82">
      <w:pPr>
        <w:pStyle w:val="NormalnyWeb"/>
        <w:numPr>
          <w:ilvl w:val="1"/>
          <w:numId w:val="27"/>
        </w:numPr>
        <w:spacing w:before="0" w:after="0" w:line="360" w:lineRule="auto"/>
        <w:contextualSpacing/>
        <w:jc w:val="both"/>
      </w:pPr>
      <w:r>
        <w:t xml:space="preserve">Sprawozdanie wynikające z art. 20 ustawy o KDR wykonuje się w Module Raportowym w SI KDR; </w:t>
      </w:r>
    </w:p>
    <w:p w14:paraId="01B64540" w14:textId="77777777" w:rsidR="00F61314" w:rsidRDefault="00F61314" w:rsidP="00884D82">
      <w:pPr>
        <w:pStyle w:val="NormalnyWeb"/>
        <w:numPr>
          <w:ilvl w:val="1"/>
          <w:numId w:val="27"/>
        </w:numPr>
        <w:spacing w:before="0" w:after="0" w:line="360" w:lineRule="auto"/>
        <w:contextualSpacing/>
        <w:jc w:val="both"/>
      </w:pPr>
      <w:r>
        <w:t>Sprawozdania miesięczne po każdym miesiącu realizacji zadania wykonuje się na formularzu, którego wzór określa załącznik nr 4 do regulaminu; w przypadku awarii MOP SI KDR, także wraz ze skanami umów zapisanych na nośniku (płyta CD/ DVD/ pendrive);</w:t>
      </w:r>
    </w:p>
    <w:p w14:paraId="488B628B" w14:textId="77777777" w:rsidR="00F61314" w:rsidRDefault="00F61314" w:rsidP="00884D82">
      <w:pPr>
        <w:pStyle w:val="NormalnyWeb"/>
        <w:numPr>
          <w:ilvl w:val="1"/>
          <w:numId w:val="27"/>
        </w:numPr>
        <w:spacing w:before="0" w:after="0" w:line="360" w:lineRule="auto"/>
        <w:contextualSpacing/>
        <w:jc w:val="both"/>
      </w:pPr>
      <w:r>
        <w:t>Sprawozdanie roczne dot. rozliczenia dotacji – sprawozdanie z realizacji zadania publicznego wykonuje się na formularzu, którego wzór określa załącznik nr 5 do regulaminu;</w:t>
      </w:r>
    </w:p>
    <w:p w14:paraId="2650547A" w14:textId="77777777" w:rsidR="00F61314" w:rsidRDefault="00F61314" w:rsidP="00884D82">
      <w:pPr>
        <w:pStyle w:val="NormalnyWeb"/>
        <w:numPr>
          <w:ilvl w:val="1"/>
          <w:numId w:val="27"/>
        </w:numPr>
        <w:spacing w:before="0" w:after="0" w:line="360" w:lineRule="auto"/>
        <w:contextualSpacing/>
        <w:jc w:val="both"/>
      </w:pPr>
      <w:r>
        <w:t>planu pozyskiwania partnerów strategicznych z informacją na jakim etapie negocjacji znajduje się każdy z podmiotów,</w:t>
      </w:r>
    </w:p>
    <w:p w14:paraId="72C59EF7" w14:textId="106D4F08" w:rsidR="00F61314" w:rsidRDefault="00F61314" w:rsidP="00884D82">
      <w:pPr>
        <w:pStyle w:val="NormalnyWeb"/>
        <w:numPr>
          <w:ilvl w:val="1"/>
          <w:numId w:val="27"/>
        </w:numPr>
        <w:spacing w:before="0" w:after="0" w:line="360" w:lineRule="auto"/>
        <w:contextualSpacing/>
        <w:jc w:val="both"/>
      </w:pPr>
      <w:r>
        <w:t xml:space="preserve">informacji dotyczących partnerów strategicznych tj. logo, informacje </w:t>
      </w:r>
      <w:r>
        <w:br/>
        <w:t>o podmiocie i oferowanych zniżkach – maks. 1000 znaków, w terminie do 3 dni</w:t>
      </w:r>
      <w:r w:rsidR="00CC169E">
        <w:t xml:space="preserve"> </w:t>
      </w:r>
      <w:r w:rsidR="00402EE4">
        <w:t>k</w:t>
      </w:r>
      <w:r w:rsidR="00CC169E">
        <w:t>alendarzowych</w:t>
      </w:r>
      <w:r>
        <w:t xml:space="preserve"> od dnia podpisania umowy z partnerem. </w:t>
      </w:r>
    </w:p>
    <w:p w14:paraId="227050FC" w14:textId="4C7DB2B5" w:rsidR="00F61314" w:rsidRDefault="00F61314" w:rsidP="00884D82">
      <w:pPr>
        <w:pStyle w:val="NormalnyWeb"/>
        <w:numPr>
          <w:ilvl w:val="0"/>
          <w:numId w:val="27"/>
        </w:numPr>
        <w:spacing w:before="0" w:after="0" w:line="360" w:lineRule="auto"/>
        <w:contextualSpacing/>
        <w:jc w:val="both"/>
      </w:pPr>
      <w:r>
        <w:t>Monitorowanie realizacji umów zawartych z partnerami KDR (m.in. sposobu udzielania zniżek, realizacji celów ustawy o KDR), podejmowanie działań zaradczych w sytuacjach nieprawidłowej realizacji umów lub w sytuacji, gdy oferowane przez podmiot dobra lub usługi pozostają w sprzeczności z promowaniem modelu rodziny wielodzietnej oraz jej pozytywnego wizerunku.</w:t>
      </w:r>
    </w:p>
    <w:p w14:paraId="49DF92B6" w14:textId="77777777" w:rsidR="00F61314" w:rsidRDefault="00F61314" w:rsidP="00884D82">
      <w:pPr>
        <w:pStyle w:val="Akapitzlist"/>
        <w:numPr>
          <w:ilvl w:val="0"/>
          <w:numId w:val="27"/>
        </w:numPr>
        <w:suppressAutoHyphens w:val="0"/>
        <w:spacing w:after="0" w:line="36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Zleceniobiorca zobowiązany jest do przekazywania do Ministerstwa Rodziny i Polityki Społecznej, w ujęciu kwartalnym, danych dotyczących liczby udzielonych zniżek przez partnerów strategicznych.</w:t>
      </w:r>
    </w:p>
    <w:p w14:paraId="210C2EAE" w14:textId="77777777" w:rsidR="00F61314" w:rsidRDefault="00F61314" w:rsidP="00884D82">
      <w:pPr>
        <w:pStyle w:val="Akapitzlist"/>
        <w:numPr>
          <w:ilvl w:val="0"/>
          <w:numId w:val="27"/>
        </w:numPr>
        <w:suppressAutoHyphens w:val="0"/>
        <w:spacing w:after="0" w:line="36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lastRenderedPageBreak/>
        <w:t>Zleceniobiorca zobowiązany jest do bieżącej weryfikacji poprawności i aktualności danych partnerów wyświetlanych na stronie internetowej urzędu obsługującego ministra właściwego ds. rodziny oraz okresowej, co kwartał, w przypadku partnerów strategicznych, których lokalizacje mogą ulegać zmianie (np. stacje paliw, oddziały banków, itp.).</w:t>
      </w:r>
    </w:p>
    <w:p w14:paraId="6B678587" w14:textId="77777777" w:rsidR="00F61314" w:rsidRDefault="00F61314" w:rsidP="00884D82">
      <w:pPr>
        <w:pStyle w:val="Akapitzlist"/>
        <w:numPr>
          <w:ilvl w:val="0"/>
          <w:numId w:val="27"/>
        </w:numPr>
        <w:suppressAutoHyphens w:val="0"/>
        <w:spacing w:after="0" w:line="36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 xml:space="preserve">Współpraca z Ministerstwem Rodziny i Polityki Społecznej w zakresie promocji. Podejmowanie działań promocyjnych po autoryzacji Ministerstwa Rodziny i Polityki Społecznej. </w:t>
      </w:r>
    </w:p>
    <w:p w14:paraId="7D7A6E58" w14:textId="77777777" w:rsidR="00F61314" w:rsidRDefault="00F61314" w:rsidP="00F61314">
      <w:pPr>
        <w:pStyle w:val="NormalnyWeb"/>
        <w:spacing w:before="0" w:after="0" w:line="360" w:lineRule="auto"/>
        <w:ind w:left="720"/>
        <w:contextualSpacing/>
        <w:jc w:val="both"/>
      </w:pPr>
    </w:p>
    <w:p w14:paraId="5CE83228" w14:textId="77777777" w:rsidR="00F61314" w:rsidRDefault="00F61314" w:rsidP="00F61314">
      <w:pPr>
        <w:pStyle w:val="NormalnyWeb"/>
        <w:spacing w:before="0" w:after="0" w:line="360" w:lineRule="auto"/>
        <w:ind w:left="720"/>
        <w:contextualSpacing/>
        <w:jc w:val="both"/>
        <w:rPr>
          <w:b/>
        </w:rPr>
      </w:pPr>
      <w:r>
        <w:rPr>
          <w:b/>
        </w:rPr>
        <w:t>b. Zadania ministra właściwego ds. rodziny</w:t>
      </w:r>
    </w:p>
    <w:p w14:paraId="52D9230A" w14:textId="77777777" w:rsidR="00F61314" w:rsidRDefault="00F61314" w:rsidP="00884D82">
      <w:pPr>
        <w:pStyle w:val="NormalnyWeb"/>
        <w:numPr>
          <w:ilvl w:val="0"/>
          <w:numId w:val="28"/>
        </w:numPr>
        <w:tabs>
          <w:tab w:val="left" w:pos="381"/>
        </w:tabs>
        <w:spacing w:before="0" w:after="0" w:line="360" w:lineRule="auto"/>
        <w:contextualSpacing/>
        <w:jc w:val="both"/>
        <w:rPr>
          <w:iCs/>
        </w:rPr>
      </w:pPr>
      <w:r>
        <w:rPr>
          <w:iCs/>
        </w:rPr>
        <w:t>Opracowanie konkursu i zasad rozliczenia organizacji pozarządowej;</w:t>
      </w:r>
    </w:p>
    <w:p w14:paraId="6F220FCC" w14:textId="77777777" w:rsidR="00F61314" w:rsidRDefault="00F61314" w:rsidP="00884D82">
      <w:pPr>
        <w:pStyle w:val="NormalnyWeb"/>
        <w:numPr>
          <w:ilvl w:val="0"/>
          <w:numId w:val="28"/>
        </w:numPr>
        <w:tabs>
          <w:tab w:val="left" w:pos="381"/>
        </w:tabs>
        <w:spacing w:before="0" w:after="0" w:line="360" w:lineRule="auto"/>
        <w:contextualSpacing/>
        <w:jc w:val="both"/>
        <w:rPr>
          <w:iCs/>
        </w:rPr>
      </w:pPr>
      <w:r>
        <w:rPr>
          <w:iCs/>
        </w:rPr>
        <w:t>Dostosowanie MOP do wymogów postawionych organizacji pozarządowej;</w:t>
      </w:r>
    </w:p>
    <w:p w14:paraId="08C4E4CC" w14:textId="77777777" w:rsidR="00F61314" w:rsidRDefault="00F61314" w:rsidP="00884D82">
      <w:pPr>
        <w:pStyle w:val="NormalnyWeb"/>
        <w:numPr>
          <w:ilvl w:val="0"/>
          <w:numId w:val="28"/>
        </w:numPr>
        <w:tabs>
          <w:tab w:val="left" w:pos="381"/>
        </w:tabs>
        <w:spacing w:before="0" w:after="0" w:line="360" w:lineRule="auto"/>
        <w:contextualSpacing/>
        <w:jc w:val="both"/>
        <w:rPr>
          <w:iCs/>
        </w:rPr>
      </w:pPr>
      <w:r>
        <w:rPr>
          <w:iCs/>
        </w:rPr>
        <w:t>Ogłoszenie konkursu;</w:t>
      </w:r>
    </w:p>
    <w:p w14:paraId="048A17F1" w14:textId="77777777" w:rsidR="00F61314" w:rsidRDefault="00F61314" w:rsidP="00884D82">
      <w:pPr>
        <w:pStyle w:val="NormalnyWeb"/>
        <w:numPr>
          <w:ilvl w:val="0"/>
          <w:numId w:val="28"/>
        </w:numPr>
        <w:tabs>
          <w:tab w:val="left" w:pos="381"/>
        </w:tabs>
        <w:spacing w:before="0" w:after="0" w:line="360" w:lineRule="auto"/>
        <w:contextualSpacing/>
        <w:jc w:val="both"/>
        <w:rPr>
          <w:iCs/>
        </w:rPr>
      </w:pPr>
      <w:r>
        <w:rPr>
          <w:iCs/>
        </w:rPr>
        <w:t>Udzielanie informacji o zasadach  i warunkach konkursu, a także ich interpretacja;</w:t>
      </w:r>
    </w:p>
    <w:p w14:paraId="40C52402" w14:textId="77777777" w:rsidR="00F61314" w:rsidRDefault="00F61314" w:rsidP="00884D82">
      <w:pPr>
        <w:pStyle w:val="NormalnyWeb"/>
        <w:numPr>
          <w:ilvl w:val="0"/>
          <w:numId w:val="28"/>
        </w:numPr>
        <w:tabs>
          <w:tab w:val="left" w:pos="381"/>
        </w:tabs>
        <w:spacing w:before="0" w:after="0" w:line="360" w:lineRule="auto"/>
        <w:contextualSpacing/>
        <w:jc w:val="both"/>
        <w:rPr>
          <w:iCs/>
        </w:rPr>
      </w:pPr>
      <w:r>
        <w:rPr>
          <w:iCs/>
        </w:rPr>
        <w:t>Wybór organizacji pozarządowej spośród ofert zgłoszonych w konkursie;</w:t>
      </w:r>
    </w:p>
    <w:p w14:paraId="6603480D" w14:textId="77777777" w:rsidR="00F61314" w:rsidRDefault="00F61314" w:rsidP="00884D82">
      <w:pPr>
        <w:pStyle w:val="NormalnyWeb"/>
        <w:numPr>
          <w:ilvl w:val="0"/>
          <w:numId w:val="28"/>
        </w:numPr>
        <w:tabs>
          <w:tab w:val="left" w:pos="381"/>
        </w:tabs>
        <w:spacing w:before="0" w:after="0" w:line="360" w:lineRule="auto"/>
        <w:contextualSpacing/>
        <w:jc w:val="both"/>
        <w:rPr>
          <w:iCs/>
        </w:rPr>
      </w:pPr>
      <w:r>
        <w:rPr>
          <w:iCs/>
        </w:rPr>
        <w:t>Ogłoszenie wyników konkursu;</w:t>
      </w:r>
    </w:p>
    <w:p w14:paraId="26F00712" w14:textId="77777777" w:rsidR="00F61314" w:rsidRDefault="00F61314" w:rsidP="00884D82">
      <w:pPr>
        <w:pStyle w:val="NormalnyWeb"/>
        <w:numPr>
          <w:ilvl w:val="0"/>
          <w:numId w:val="28"/>
        </w:numPr>
        <w:tabs>
          <w:tab w:val="left" w:pos="381"/>
        </w:tabs>
        <w:spacing w:before="0" w:after="0" w:line="360" w:lineRule="auto"/>
        <w:contextualSpacing/>
        <w:jc w:val="both"/>
        <w:rPr>
          <w:iCs/>
        </w:rPr>
      </w:pPr>
      <w:r>
        <w:rPr>
          <w:iCs/>
        </w:rPr>
        <w:t xml:space="preserve">Umieszczenie na stronie internetowej urzędu obsługującego ministra właściwego </w:t>
      </w:r>
      <w:r>
        <w:rPr>
          <w:iCs/>
        </w:rPr>
        <w:br/>
        <w:t>ds. rodziny wykazu kontaktów do przedstawicieli organizacji pozarządowej na szczeblu centralnym i wojewódzkim;</w:t>
      </w:r>
    </w:p>
    <w:p w14:paraId="614C0A0A" w14:textId="77777777" w:rsidR="00F61314" w:rsidRDefault="00F61314" w:rsidP="00884D82">
      <w:pPr>
        <w:pStyle w:val="NormalnyWeb"/>
        <w:numPr>
          <w:ilvl w:val="0"/>
          <w:numId w:val="28"/>
        </w:numPr>
        <w:tabs>
          <w:tab w:val="left" w:pos="381"/>
        </w:tabs>
        <w:spacing w:before="0" w:after="0" w:line="360" w:lineRule="auto"/>
        <w:contextualSpacing/>
        <w:jc w:val="both"/>
        <w:rPr>
          <w:iCs/>
        </w:rPr>
      </w:pPr>
      <w:r>
        <w:rPr>
          <w:iCs/>
        </w:rPr>
        <w:t>Akceptacja lub odrzucanie formularzy oceny oferty podmiotów chcących przystąpić do Karty Dużej Rodziny;</w:t>
      </w:r>
    </w:p>
    <w:p w14:paraId="3D2A0CEE" w14:textId="77777777" w:rsidR="00F61314" w:rsidRDefault="00F61314" w:rsidP="00884D82">
      <w:pPr>
        <w:pStyle w:val="NormalnyWeb"/>
        <w:numPr>
          <w:ilvl w:val="0"/>
          <w:numId w:val="28"/>
        </w:numPr>
        <w:tabs>
          <w:tab w:val="left" w:pos="381"/>
        </w:tabs>
        <w:spacing w:before="0" w:after="0" w:line="360" w:lineRule="auto"/>
        <w:contextualSpacing/>
        <w:jc w:val="both"/>
        <w:rPr>
          <w:iCs/>
        </w:rPr>
      </w:pPr>
      <w:r>
        <w:rPr>
          <w:iCs/>
        </w:rPr>
        <w:t>Akceptowanie sprawozdań miesięcznych i rocznych złożonych przez organizację pozarządową będących podstawą do rozliczania dotacji;</w:t>
      </w:r>
    </w:p>
    <w:p w14:paraId="113EE480" w14:textId="77777777" w:rsidR="00F61314" w:rsidRDefault="00F61314" w:rsidP="00884D82">
      <w:pPr>
        <w:pStyle w:val="NormalnyWeb"/>
        <w:numPr>
          <w:ilvl w:val="0"/>
          <w:numId w:val="28"/>
        </w:numPr>
        <w:tabs>
          <w:tab w:val="left" w:pos="381"/>
        </w:tabs>
        <w:spacing w:before="0" w:after="0" w:line="360" w:lineRule="auto"/>
        <w:contextualSpacing/>
        <w:jc w:val="both"/>
      </w:pPr>
      <w:r>
        <w:t xml:space="preserve">Monitorowanie realizacji zadania przez organizację pozarządową – sprawozdawczość wynikająca z umowy, jak i z ustawy o KDR (art. 20) oraz </w:t>
      </w:r>
      <w:proofErr w:type="spellStart"/>
      <w:r>
        <w:t>UoDPPioW</w:t>
      </w:r>
      <w:proofErr w:type="spellEnd"/>
      <w:r>
        <w:t xml:space="preserve"> (art. 18); </w:t>
      </w:r>
    </w:p>
    <w:p w14:paraId="34D0B467" w14:textId="77777777" w:rsidR="00F61314" w:rsidRDefault="00F61314" w:rsidP="00884D82">
      <w:pPr>
        <w:pStyle w:val="Akapitzlist"/>
        <w:numPr>
          <w:ilvl w:val="0"/>
          <w:numId w:val="2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Monitorowanie poprawności danych wprowadzanych do MOP SI KDR oraz zlecanie organizacji pozarządowej poprawienia błędów w wyznaczonym terminie. </w:t>
      </w:r>
    </w:p>
    <w:p w14:paraId="45A5AC35" w14:textId="11C523DE" w:rsidR="00F61314" w:rsidRDefault="00F61314" w:rsidP="00B673D9">
      <w:pPr>
        <w:pStyle w:val="Akapitzlist"/>
        <w:numPr>
          <w:ilvl w:val="0"/>
          <w:numId w:val="2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Kontrola, na podstawie art. 35c ust. 1 ustawy </w:t>
      </w:r>
      <w:r w:rsidR="00B673D9" w:rsidRPr="00B673D9">
        <w:rPr>
          <w:rFonts w:ascii="Times New Roman" w:hAnsi="Times New Roman" w:cs="Times New Roman"/>
          <w:sz w:val="24"/>
          <w:szCs w:val="24"/>
        </w:rPr>
        <w:t xml:space="preserve">z dnia 27 sierpnia 2009 r. </w:t>
      </w:r>
      <w:r>
        <w:rPr>
          <w:rFonts w:ascii="Times New Roman" w:hAnsi="Times New Roman" w:cs="Times New Roman"/>
          <w:sz w:val="24"/>
          <w:szCs w:val="24"/>
        </w:rPr>
        <w:t xml:space="preserve">o finansach publicznych, realizacji przez Zleceniobiorcę obowiązku informacyjnego, wynikającego z art. 35a-35d ww. ustawy. Kontrola ta odbędzie się poprzez przyjęcie oświadczenia, którego wzór stanowi załącznik nr 9 do regulaminu. </w:t>
      </w:r>
    </w:p>
    <w:p w14:paraId="7FCC5075" w14:textId="77777777" w:rsidR="00F61314" w:rsidRDefault="00F61314" w:rsidP="00F61314">
      <w:pPr>
        <w:pStyle w:val="Nagwek1"/>
      </w:pPr>
      <w:bookmarkStart w:id="15" w:name="_Toc88569917"/>
      <w:r>
        <w:t>XV Postanowienia końcowe</w:t>
      </w:r>
      <w:bookmarkEnd w:id="15"/>
    </w:p>
    <w:p w14:paraId="5C378539" w14:textId="77777777" w:rsidR="00F61314" w:rsidRDefault="00F61314" w:rsidP="00884D82">
      <w:pPr>
        <w:pStyle w:val="Akapitzlist"/>
        <w:numPr>
          <w:ilvl w:val="0"/>
          <w:numId w:val="29"/>
        </w:numPr>
        <w:spacing w:line="360" w:lineRule="auto"/>
        <w:jc w:val="both"/>
        <w:rPr>
          <w:rFonts w:ascii="Times New Roman" w:hAnsi="Times New Roman" w:cs="Times New Roman"/>
          <w:sz w:val="24"/>
          <w:szCs w:val="24"/>
        </w:rPr>
      </w:pPr>
      <w:r>
        <w:rPr>
          <w:rFonts w:ascii="Times New Roman" w:hAnsi="Times New Roman" w:cs="Times New Roman"/>
          <w:sz w:val="24"/>
          <w:szCs w:val="24"/>
        </w:rPr>
        <w:t>Od wyników rozstrzygnięcia konkursu nie ma odwołania.</w:t>
      </w:r>
    </w:p>
    <w:p w14:paraId="58FECB20" w14:textId="77777777" w:rsidR="00F61314" w:rsidRDefault="00F61314" w:rsidP="00884D82">
      <w:pPr>
        <w:pStyle w:val="Akapitzlist"/>
        <w:numPr>
          <w:ilvl w:val="0"/>
          <w:numId w:val="29"/>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Minister właściwy ds. rodziny zastrzega sobie prawo nie rozstrzygania konkursu bez podania powodu.</w:t>
      </w:r>
    </w:p>
    <w:p w14:paraId="41C36849" w14:textId="77777777" w:rsidR="00F61314" w:rsidRDefault="00F61314" w:rsidP="00F61314">
      <w:pPr>
        <w:pStyle w:val="Akapitzlist"/>
        <w:spacing w:line="360" w:lineRule="auto"/>
        <w:jc w:val="both"/>
        <w:rPr>
          <w:rFonts w:ascii="Times New Roman" w:hAnsi="Times New Roman" w:cs="Times New Roman"/>
          <w:sz w:val="24"/>
          <w:szCs w:val="24"/>
        </w:rPr>
      </w:pPr>
    </w:p>
    <w:p w14:paraId="00849450" w14:textId="77777777" w:rsidR="00F61314" w:rsidRDefault="00F61314" w:rsidP="00F61314">
      <w:pPr>
        <w:pStyle w:val="Nagwek1"/>
      </w:pPr>
      <w:bookmarkStart w:id="16" w:name="_Toc88569918"/>
      <w:r>
        <w:t>XVI Załączniki</w:t>
      </w:r>
      <w:bookmarkEnd w:id="16"/>
    </w:p>
    <w:p w14:paraId="793A61BA" w14:textId="77777777" w:rsidR="00F61314" w:rsidRDefault="00F61314" w:rsidP="00F61314">
      <w:p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Załącznik nr 1 – wzór umowy </w:t>
      </w:r>
      <w:proofErr w:type="spellStart"/>
      <w:r>
        <w:rPr>
          <w:rFonts w:ascii="Times New Roman" w:hAnsi="Times New Roman" w:cs="Times New Roman"/>
          <w:sz w:val="24"/>
          <w:szCs w:val="24"/>
        </w:rPr>
        <w:t>ws</w:t>
      </w:r>
      <w:proofErr w:type="spellEnd"/>
      <w:r>
        <w:rPr>
          <w:rFonts w:ascii="Times New Roman" w:hAnsi="Times New Roman" w:cs="Times New Roman"/>
          <w:sz w:val="24"/>
          <w:szCs w:val="24"/>
        </w:rPr>
        <w:t>. przyznawania uprawnień członkom rodzin wielodzietnych na podstawie Karty Dużej Rodziny</w:t>
      </w:r>
    </w:p>
    <w:p w14:paraId="4FC42444" w14:textId="77777777" w:rsidR="00F61314" w:rsidRDefault="00F61314" w:rsidP="00F61314">
      <w:p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Załącznik nr 2 – wytyczne do zawierania umów </w:t>
      </w:r>
      <w:proofErr w:type="spellStart"/>
      <w:r>
        <w:rPr>
          <w:rFonts w:ascii="Times New Roman" w:hAnsi="Times New Roman" w:cs="Times New Roman"/>
          <w:sz w:val="24"/>
          <w:szCs w:val="24"/>
        </w:rPr>
        <w:t>ws</w:t>
      </w:r>
      <w:proofErr w:type="spellEnd"/>
      <w:r>
        <w:rPr>
          <w:rFonts w:ascii="Times New Roman" w:hAnsi="Times New Roman" w:cs="Times New Roman"/>
          <w:sz w:val="24"/>
          <w:szCs w:val="24"/>
        </w:rPr>
        <w:t>. przyznawania uprawnień członkom rodzin wielodzietnych na podstawie Karty Dużej Rodziny</w:t>
      </w:r>
    </w:p>
    <w:p w14:paraId="32B02849" w14:textId="77777777" w:rsidR="00F61314" w:rsidRDefault="00F61314" w:rsidP="00F61314">
      <w:p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Załącznik nr 2a – wzór naklejki „TU HONORUJEMY KARTĘ DUŻEJ RODZINY” </w:t>
      </w:r>
    </w:p>
    <w:p w14:paraId="2B063B5B" w14:textId="77777777" w:rsidR="00F61314" w:rsidRDefault="00F61314" w:rsidP="00F61314">
      <w:p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Załącznik nr 3 – wzór formularza oceny oferty podmiotu chcącego przystąpić do Karty Dużej Rodziny</w:t>
      </w:r>
    </w:p>
    <w:p w14:paraId="291FECCC" w14:textId="77777777" w:rsidR="00F61314" w:rsidRDefault="00F61314" w:rsidP="00F61314">
      <w:pPr>
        <w:spacing w:line="360" w:lineRule="auto"/>
        <w:ind w:left="426"/>
        <w:jc w:val="both"/>
        <w:rPr>
          <w:rFonts w:ascii="Times New Roman" w:hAnsi="Times New Roman" w:cs="Times New Roman"/>
        </w:rPr>
      </w:pPr>
      <w:r>
        <w:rPr>
          <w:rFonts w:ascii="Times New Roman" w:hAnsi="Times New Roman" w:cs="Times New Roman"/>
        </w:rPr>
        <w:t xml:space="preserve">Załącznik nr </w:t>
      </w:r>
      <w:r>
        <w:rPr>
          <w:rFonts w:ascii="Times New Roman" w:hAnsi="Times New Roman" w:cs="Times New Roman"/>
          <w:sz w:val="24"/>
          <w:szCs w:val="24"/>
        </w:rPr>
        <w:t>3a – wzór formularza oceny oferty podmiotu strategicznego chcącego przystąpić do Karty Dużej Rodziny.</w:t>
      </w:r>
    </w:p>
    <w:p w14:paraId="48CC26AD" w14:textId="77777777" w:rsidR="00F61314" w:rsidRDefault="00F61314" w:rsidP="00F61314">
      <w:p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Załącznik nr 4 – wzór sprawozdania miesięcznego z wykonania zadania publicznego będącego podstawą rozliczenia dotacji</w:t>
      </w:r>
    </w:p>
    <w:p w14:paraId="5AF48925" w14:textId="77777777" w:rsidR="00F61314" w:rsidRDefault="00F61314" w:rsidP="00F61314">
      <w:p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Załącznik nr 5 – wzór sprawozdania rocznego z wykonania zadania publicznego, o którym mowa w art. 18 ust. 4 </w:t>
      </w:r>
      <w:proofErr w:type="spellStart"/>
      <w:r>
        <w:rPr>
          <w:rFonts w:ascii="Times New Roman" w:hAnsi="Times New Roman" w:cs="Times New Roman"/>
          <w:sz w:val="24"/>
          <w:szCs w:val="24"/>
        </w:rPr>
        <w:t>UoDPPioW</w:t>
      </w:r>
      <w:proofErr w:type="spellEnd"/>
    </w:p>
    <w:p w14:paraId="723E4986" w14:textId="77777777" w:rsidR="00F61314" w:rsidRDefault="00F61314" w:rsidP="00F61314">
      <w:p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Załącznik nr 6 – wzór oferty realizacji zadania publicznego którym mowa w art. 14 ust. 1 i 2 </w:t>
      </w:r>
      <w:proofErr w:type="spellStart"/>
      <w:r>
        <w:rPr>
          <w:rFonts w:ascii="Times New Roman" w:hAnsi="Times New Roman" w:cs="Times New Roman"/>
          <w:sz w:val="24"/>
          <w:szCs w:val="24"/>
        </w:rPr>
        <w:t>UoDPPioW</w:t>
      </w:r>
      <w:proofErr w:type="spellEnd"/>
    </w:p>
    <w:p w14:paraId="5A9787E6" w14:textId="52FDAF0C" w:rsidR="00F61314" w:rsidRDefault="00F61314" w:rsidP="00F61314">
      <w:p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Załącznik nr 6a – wzór Klauzuli informacyjnej RODO w ramach otwartego konkursu „Organizacja pozyskująca partnerów Karty Dużej Rodziny” – edycja 2022</w:t>
      </w:r>
      <w:r w:rsidR="00B673D9">
        <w:rPr>
          <w:rFonts w:ascii="Times New Roman" w:hAnsi="Times New Roman" w:cs="Times New Roman"/>
          <w:sz w:val="24"/>
          <w:szCs w:val="24"/>
        </w:rPr>
        <w:t>-</w:t>
      </w:r>
      <w:r>
        <w:rPr>
          <w:rFonts w:ascii="Times New Roman" w:hAnsi="Times New Roman" w:cs="Times New Roman"/>
          <w:sz w:val="24"/>
          <w:szCs w:val="24"/>
        </w:rPr>
        <w:t>2023</w:t>
      </w:r>
    </w:p>
    <w:p w14:paraId="024563E4" w14:textId="77777777" w:rsidR="00F61314" w:rsidRDefault="00F61314" w:rsidP="00F61314">
      <w:pPr>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Załącznik nr 7 – wzór karty oceny formalnej i merytorycznej oferty w konkursie „Organizacja pozyskująca partnerów Karty Dużej Rodziny” – edycja 2022-2023</w:t>
      </w:r>
    </w:p>
    <w:p w14:paraId="3B15D36E" w14:textId="77777777" w:rsidR="00F61314" w:rsidRDefault="00F61314" w:rsidP="00F61314">
      <w:pPr>
        <w:spacing w:before="240" w:after="0" w:line="360" w:lineRule="auto"/>
        <w:ind w:left="426"/>
        <w:jc w:val="both"/>
        <w:rPr>
          <w:rFonts w:ascii="Times New Roman" w:hAnsi="Times New Roman" w:cs="Times New Roman"/>
          <w:sz w:val="24"/>
          <w:szCs w:val="24"/>
        </w:rPr>
      </w:pPr>
      <w:r>
        <w:rPr>
          <w:rFonts w:ascii="Times New Roman" w:hAnsi="Times New Roman" w:cs="Times New Roman"/>
          <w:sz w:val="24"/>
          <w:szCs w:val="24"/>
        </w:rPr>
        <w:t>Załącznik nr 8 – wzór sprawozdania częściowego z realizacji zadania publicznego</w:t>
      </w:r>
    </w:p>
    <w:p w14:paraId="4F5D063E" w14:textId="77777777" w:rsidR="00F61314" w:rsidRDefault="00F61314" w:rsidP="00F61314">
      <w:pPr>
        <w:spacing w:before="240" w:after="0"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Załącznik nr 9 – wzór Oświadczenia dotyczącego realizacji obowiązku informacyjnego wynikającego z w art. 35a-35d ustawy z dnia 27 sierpnia 2009 r. o finansach publicznych </w:t>
      </w:r>
    </w:p>
    <w:p w14:paraId="3975D74D" w14:textId="62296B4A" w:rsidR="00AC6ECC" w:rsidRPr="00E90459" w:rsidRDefault="00AC6ECC" w:rsidP="00E90459">
      <w:pPr>
        <w:jc w:val="both"/>
        <w:rPr>
          <w:rFonts w:ascii="Times New Roman" w:hAnsi="Times New Roman" w:cs="Times New Roman"/>
        </w:rPr>
      </w:pPr>
      <w:bookmarkStart w:id="17" w:name="_Toc276589854"/>
      <w:bookmarkStart w:id="18" w:name="_Toc339975395"/>
      <w:bookmarkStart w:id="19" w:name="_Toc404002247"/>
      <w:bookmarkStart w:id="20" w:name="_Toc465890573"/>
      <w:bookmarkEnd w:id="17"/>
      <w:bookmarkEnd w:id="18"/>
      <w:bookmarkEnd w:id="19"/>
      <w:bookmarkEnd w:id="20"/>
    </w:p>
    <w:sectPr w:rsidR="00AC6ECC" w:rsidRPr="00E90459" w:rsidSect="002D2B08">
      <w:footerReference w:type="default" r:id="rId25"/>
      <w:pgSz w:w="11906" w:h="16838"/>
      <w:pgMar w:top="1134" w:right="1417" w:bottom="1417" w:left="1417" w:header="0" w:footer="708" w:gutter="0"/>
      <w:cols w:space="708"/>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BE71F8" w14:textId="77777777" w:rsidR="002B6573" w:rsidRDefault="002B6573">
      <w:pPr>
        <w:spacing w:after="0" w:line="240" w:lineRule="auto"/>
      </w:pPr>
      <w:r>
        <w:separator/>
      </w:r>
    </w:p>
  </w:endnote>
  <w:endnote w:type="continuationSeparator" w:id="0">
    <w:p w14:paraId="18AACA8E" w14:textId="77777777" w:rsidR="002B6573" w:rsidRDefault="002B6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9DA11" w14:textId="208CBBC9" w:rsidR="001D6DD5" w:rsidRDefault="001D6DD5">
    <w:pPr>
      <w:pStyle w:val="Stopka"/>
      <w:jc w:val="right"/>
    </w:pPr>
    <w:r>
      <w:fldChar w:fldCharType="begin"/>
    </w:r>
    <w:r>
      <w:instrText>PAGE</w:instrText>
    </w:r>
    <w:r>
      <w:fldChar w:fldCharType="separate"/>
    </w:r>
    <w:r w:rsidR="004672AD">
      <w:rPr>
        <w:noProof/>
      </w:rPr>
      <w:t>21</w:t>
    </w:r>
    <w:r>
      <w:fldChar w:fldCharType="end"/>
    </w:r>
  </w:p>
  <w:p w14:paraId="2FEFB2B1" w14:textId="77777777" w:rsidR="001D6DD5" w:rsidRDefault="001D6DD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4791E4" w14:textId="77777777" w:rsidR="002B6573" w:rsidRDefault="002B6573">
      <w:pPr>
        <w:spacing w:after="0" w:line="240" w:lineRule="auto"/>
      </w:pPr>
      <w:r>
        <w:separator/>
      </w:r>
    </w:p>
  </w:footnote>
  <w:footnote w:type="continuationSeparator" w:id="0">
    <w:p w14:paraId="3BBDB990" w14:textId="77777777" w:rsidR="002B6573" w:rsidRDefault="002B65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321E0"/>
    <w:multiLevelType w:val="multilevel"/>
    <w:tmpl w:val="6E7032B2"/>
    <w:lvl w:ilvl="0">
      <w:start w:val="1"/>
      <w:numFmt w:val="decimal"/>
      <w:lvlText w:val="%1."/>
      <w:lvlJc w:val="left"/>
      <w:pPr>
        <w:ind w:left="928" w:hanging="360"/>
      </w:pPr>
      <w:rPr>
        <w:b/>
      </w:rPr>
    </w:lvl>
    <w:lvl w:ilvl="1">
      <w:start w:val="1"/>
      <w:numFmt w:val="lowerLetter"/>
      <w:lvlText w:val="%2."/>
      <w:lvlJc w:val="left"/>
      <w:pPr>
        <w:ind w:left="1495" w:hanging="360"/>
      </w:pPr>
    </w:lvl>
    <w:lvl w:ilvl="2">
      <w:start w:val="1"/>
      <w:numFmt w:val="bullet"/>
      <w:lvlText w:val=""/>
      <w:lvlJc w:val="left"/>
      <w:pPr>
        <w:ind w:left="1031" w:hanging="180"/>
      </w:pPr>
      <w:rPr>
        <w:rFonts w:ascii="Symbol" w:hAnsi="Symbol" w:cs="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33D2FBA"/>
    <w:multiLevelType w:val="hybridMultilevel"/>
    <w:tmpl w:val="A3F69F3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7250A6F"/>
    <w:multiLevelType w:val="hybridMultilevel"/>
    <w:tmpl w:val="08FE432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8036813"/>
    <w:multiLevelType w:val="hybridMultilevel"/>
    <w:tmpl w:val="DFA8D40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8907030"/>
    <w:multiLevelType w:val="multilevel"/>
    <w:tmpl w:val="80D863D0"/>
    <w:lvl w:ilvl="0">
      <w:start w:val="1"/>
      <w:numFmt w:val="decimal"/>
      <w:lvlText w:val="%1."/>
      <w:lvlJc w:val="left"/>
      <w:pPr>
        <w:ind w:left="928" w:hanging="360"/>
      </w:pPr>
      <w:rPr>
        <w:b/>
      </w:rPr>
    </w:lvl>
    <w:lvl w:ilvl="1">
      <w:start w:val="1"/>
      <w:numFmt w:val="lowerLetter"/>
      <w:lvlText w:val="%2."/>
      <w:lvlJc w:val="left"/>
      <w:pPr>
        <w:ind w:left="1495"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8D37FF1"/>
    <w:multiLevelType w:val="multilevel"/>
    <w:tmpl w:val="07A0EF10"/>
    <w:lvl w:ilvl="0">
      <w:start w:val="1"/>
      <w:numFmt w:val="bullet"/>
      <w:lvlText w:val=""/>
      <w:lvlJc w:val="left"/>
      <w:pPr>
        <w:ind w:left="1070" w:hanging="360"/>
      </w:pPr>
      <w:rPr>
        <w:rFonts w:ascii="Symbol" w:hAnsi="Symbol" w:cs="Symbol" w:hint="default"/>
      </w:rPr>
    </w:lvl>
    <w:lvl w:ilvl="1">
      <w:start w:val="1"/>
      <w:numFmt w:val="bullet"/>
      <w:lvlText w:val="o"/>
      <w:lvlJc w:val="left"/>
      <w:pPr>
        <w:ind w:left="1790" w:hanging="360"/>
      </w:pPr>
      <w:rPr>
        <w:rFonts w:ascii="Courier New" w:hAnsi="Courier New" w:cs="Courier New" w:hint="default"/>
      </w:rPr>
    </w:lvl>
    <w:lvl w:ilvl="2">
      <w:start w:val="1"/>
      <w:numFmt w:val="bullet"/>
      <w:lvlText w:val=""/>
      <w:lvlJc w:val="left"/>
      <w:pPr>
        <w:ind w:left="2510" w:hanging="360"/>
      </w:pPr>
      <w:rPr>
        <w:rFonts w:ascii="Wingdings" w:hAnsi="Wingdings" w:cs="Wingdings" w:hint="default"/>
      </w:rPr>
    </w:lvl>
    <w:lvl w:ilvl="3">
      <w:start w:val="1"/>
      <w:numFmt w:val="bullet"/>
      <w:lvlText w:val=""/>
      <w:lvlJc w:val="left"/>
      <w:pPr>
        <w:ind w:left="3230" w:hanging="360"/>
      </w:pPr>
      <w:rPr>
        <w:rFonts w:ascii="Symbol" w:hAnsi="Symbol" w:cs="Symbol" w:hint="default"/>
      </w:rPr>
    </w:lvl>
    <w:lvl w:ilvl="4">
      <w:start w:val="1"/>
      <w:numFmt w:val="bullet"/>
      <w:lvlText w:val="o"/>
      <w:lvlJc w:val="left"/>
      <w:pPr>
        <w:ind w:left="3950" w:hanging="360"/>
      </w:pPr>
      <w:rPr>
        <w:rFonts w:ascii="Courier New" w:hAnsi="Courier New" w:cs="Courier New" w:hint="default"/>
      </w:rPr>
    </w:lvl>
    <w:lvl w:ilvl="5">
      <w:start w:val="1"/>
      <w:numFmt w:val="bullet"/>
      <w:lvlText w:val=""/>
      <w:lvlJc w:val="left"/>
      <w:pPr>
        <w:ind w:left="4670" w:hanging="360"/>
      </w:pPr>
      <w:rPr>
        <w:rFonts w:ascii="Wingdings" w:hAnsi="Wingdings" w:cs="Wingdings" w:hint="default"/>
      </w:rPr>
    </w:lvl>
    <w:lvl w:ilvl="6">
      <w:start w:val="1"/>
      <w:numFmt w:val="bullet"/>
      <w:lvlText w:val=""/>
      <w:lvlJc w:val="left"/>
      <w:pPr>
        <w:ind w:left="5390" w:hanging="360"/>
      </w:pPr>
      <w:rPr>
        <w:rFonts w:ascii="Symbol" w:hAnsi="Symbol" w:cs="Symbol" w:hint="default"/>
      </w:rPr>
    </w:lvl>
    <w:lvl w:ilvl="7">
      <w:start w:val="1"/>
      <w:numFmt w:val="bullet"/>
      <w:lvlText w:val="o"/>
      <w:lvlJc w:val="left"/>
      <w:pPr>
        <w:ind w:left="6110" w:hanging="360"/>
      </w:pPr>
      <w:rPr>
        <w:rFonts w:ascii="Courier New" w:hAnsi="Courier New" w:cs="Courier New" w:hint="default"/>
      </w:rPr>
    </w:lvl>
    <w:lvl w:ilvl="8">
      <w:start w:val="1"/>
      <w:numFmt w:val="bullet"/>
      <w:lvlText w:val=""/>
      <w:lvlJc w:val="left"/>
      <w:pPr>
        <w:ind w:left="6830" w:hanging="360"/>
      </w:pPr>
      <w:rPr>
        <w:rFonts w:ascii="Wingdings" w:hAnsi="Wingdings" w:cs="Wingdings" w:hint="default"/>
      </w:rPr>
    </w:lvl>
  </w:abstractNum>
  <w:abstractNum w:abstractNumId="6" w15:restartNumberingAfterBreak="0">
    <w:nsid w:val="1D2F428E"/>
    <w:multiLevelType w:val="multilevel"/>
    <w:tmpl w:val="BDA633D4"/>
    <w:lvl w:ilvl="0">
      <w:start w:val="1"/>
      <w:numFmt w:val="lowerLetter"/>
      <w:lvlText w:val="%1."/>
      <w:lvlJc w:val="left"/>
      <w:pPr>
        <w:ind w:left="1068" w:hanging="360"/>
      </w:pPr>
      <w:rPr>
        <w:b w:val="0"/>
      </w:rPr>
    </w:lvl>
    <w:lvl w:ilvl="1">
      <w:start w:val="1"/>
      <w:numFmt w:val="bullet"/>
      <w:lvlText w:val=""/>
      <w:lvlJc w:val="left"/>
      <w:pPr>
        <w:ind w:left="1635" w:hanging="360"/>
      </w:pPr>
      <w:rPr>
        <w:rFonts w:ascii="Symbol" w:hAnsi="Symbol" w:hint="default"/>
      </w:rPr>
    </w:lvl>
    <w:lvl w:ilvl="2">
      <w:start w:val="1"/>
      <w:numFmt w:val="lowerRoman"/>
      <w:lvlText w:val="%3."/>
      <w:lvlJc w:val="right"/>
      <w:pPr>
        <w:ind w:left="2300" w:hanging="180"/>
      </w:pPr>
    </w:lvl>
    <w:lvl w:ilvl="3">
      <w:start w:val="1"/>
      <w:numFmt w:val="decimal"/>
      <w:lvlText w:val="%4."/>
      <w:lvlJc w:val="left"/>
      <w:pPr>
        <w:ind w:left="3020" w:hanging="360"/>
      </w:pPr>
    </w:lvl>
    <w:lvl w:ilvl="4">
      <w:start w:val="1"/>
      <w:numFmt w:val="lowerLetter"/>
      <w:lvlText w:val="%5."/>
      <w:lvlJc w:val="left"/>
      <w:pPr>
        <w:ind w:left="3740" w:hanging="360"/>
      </w:pPr>
    </w:lvl>
    <w:lvl w:ilvl="5">
      <w:start w:val="1"/>
      <w:numFmt w:val="lowerRoman"/>
      <w:lvlText w:val="%6."/>
      <w:lvlJc w:val="right"/>
      <w:pPr>
        <w:ind w:left="4460" w:hanging="180"/>
      </w:pPr>
    </w:lvl>
    <w:lvl w:ilvl="6">
      <w:start w:val="1"/>
      <w:numFmt w:val="decimal"/>
      <w:lvlText w:val="%7."/>
      <w:lvlJc w:val="left"/>
      <w:pPr>
        <w:ind w:left="5180" w:hanging="360"/>
      </w:pPr>
    </w:lvl>
    <w:lvl w:ilvl="7">
      <w:start w:val="1"/>
      <w:numFmt w:val="lowerLetter"/>
      <w:lvlText w:val="%8."/>
      <w:lvlJc w:val="left"/>
      <w:pPr>
        <w:ind w:left="5900" w:hanging="360"/>
      </w:pPr>
    </w:lvl>
    <w:lvl w:ilvl="8">
      <w:start w:val="1"/>
      <w:numFmt w:val="lowerRoman"/>
      <w:lvlText w:val="%9."/>
      <w:lvlJc w:val="right"/>
      <w:pPr>
        <w:ind w:left="6620" w:hanging="180"/>
      </w:pPr>
    </w:lvl>
  </w:abstractNum>
  <w:abstractNum w:abstractNumId="7" w15:restartNumberingAfterBreak="0">
    <w:nsid w:val="1FE12024"/>
    <w:multiLevelType w:val="hybridMultilevel"/>
    <w:tmpl w:val="8BD025C0"/>
    <w:lvl w:ilvl="0" w:tplc="0B02A4F2">
      <w:start w:val="12"/>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69A5F21"/>
    <w:multiLevelType w:val="multilevel"/>
    <w:tmpl w:val="3BC8F824"/>
    <w:lvl w:ilvl="0">
      <w:start w:val="1"/>
      <w:numFmt w:val="decimal"/>
      <w:lvlText w:val="%1."/>
      <w:lvlJc w:val="left"/>
      <w:pPr>
        <w:ind w:left="928" w:hanging="360"/>
      </w:pPr>
      <w:rPr>
        <w:b/>
      </w:rPr>
    </w:lvl>
    <w:lvl w:ilvl="1">
      <w:start w:val="1"/>
      <w:numFmt w:val="bullet"/>
      <w:lvlText w:val=""/>
      <w:lvlJc w:val="left"/>
      <w:pPr>
        <w:ind w:left="1495"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8F259C7"/>
    <w:multiLevelType w:val="multilevel"/>
    <w:tmpl w:val="C3029490"/>
    <w:lvl w:ilvl="0">
      <w:start w:val="1"/>
      <w:numFmt w:val="lowerLetter"/>
      <w:lvlText w:val="%1."/>
      <w:lvlJc w:val="left"/>
      <w:pPr>
        <w:ind w:left="1080" w:hanging="360"/>
      </w:pPr>
    </w:lvl>
    <w:lvl w:ilvl="1">
      <w:start w:val="1"/>
      <w:numFmt w:val="lowerLetter"/>
      <w:lvlText w:val="%2."/>
      <w:lvlJc w:val="left"/>
      <w:pPr>
        <w:ind w:left="1778"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3B5F6CE1"/>
    <w:multiLevelType w:val="multilevel"/>
    <w:tmpl w:val="9D08CEA6"/>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1" w15:restartNumberingAfterBreak="0">
    <w:nsid w:val="3B932C60"/>
    <w:multiLevelType w:val="multilevel"/>
    <w:tmpl w:val="22EAF6FA"/>
    <w:lvl w:ilvl="0">
      <w:start w:val="1"/>
      <w:numFmt w:val="decimal"/>
      <w:lvlText w:val="%1."/>
      <w:lvlJc w:val="left"/>
      <w:pPr>
        <w:ind w:left="928" w:hanging="360"/>
      </w:pPr>
      <w:rPr>
        <w:b/>
      </w:rPr>
    </w:lvl>
    <w:lvl w:ilvl="1">
      <w:start w:val="1"/>
      <w:numFmt w:val="lowerLetter"/>
      <w:lvlText w:val="%2."/>
      <w:lvlJc w:val="left"/>
      <w:pPr>
        <w:ind w:left="1495"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DD712A6"/>
    <w:multiLevelType w:val="multilevel"/>
    <w:tmpl w:val="246A7002"/>
    <w:lvl w:ilvl="0">
      <w:start w:val="1"/>
      <w:numFmt w:val="decimal"/>
      <w:lvlText w:val="%1."/>
      <w:lvlJc w:val="left"/>
      <w:pPr>
        <w:ind w:left="928" w:hanging="360"/>
      </w:pPr>
      <w:rPr>
        <w:b/>
      </w:rPr>
    </w:lvl>
    <w:lvl w:ilvl="1">
      <w:start w:val="1"/>
      <w:numFmt w:val="lowerLetter"/>
      <w:lvlText w:val="%2."/>
      <w:lvlJc w:val="left"/>
      <w:pPr>
        <w:ind w:left="107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19F2535"/>
    <w:multiLevelType w:val="hybridMultilevel"/>
    <w:tmpl w:val="5CCA22DE"/>
    <w:lvl w:ilvl="0" w:tplc="00948CDA">
      <w:start w:val="1"/>
      <w:numFmt w:val="lowerLetter"/>
      <w:lvlText w:val="%1."/>
      <w:lvlJc w:val="left"/>
      <w:pPr>
        <w:ind w:left="644" w:hanging="360"/>
      </w:pPr>
      <w:rPr>
        <w:rFonts w:ascii="Times New Roman" w:eastAsia="Calibri" w:hAnsi="Times New Roman" w:cs="Times New Roman"/>
        <w:b w:val="0"/>
      </w:rPr>
    </w:lvl>
    <w:lvl w:ilvl="1" w:tplc="0415000D">
      <w:start w:val="1"/>
      <w:numFmt w:val="bullet"/>
      <w:lvlText w:val=""/>
      <w:lvlJc w:val="left"/>
      <w:pPr>
        <w:ind w:left="1440" w:hanging="360"/>
      </w:pPr>
      <w:rPr>
        <w:rFonts w:ascii="Wingdings" w:hAnsi="Wingding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E8F0DE40">
      <w:start w:val="1"/>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79267FF"/>
    <w:multiLevelType w:val="hybridMultilevel"/>
    <w:tmpl w:val="9C44472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7AD72FE"/>
    <w:multiLevelType w:val="hybridMultilevel"/>
    <w:tmpl w:val="954AE5C2"/>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E4F6F56"/>
    <w:multiLevelType w:val="multilevel"/>
    <w:tmpl w:val="EF927B78"/>
    <w:lvl w:ilvl="0">
      <w:start w:val="1"/>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7" w15:restartNumberingAfterBreak="0">
    <w:nsid w:val="50D00A36"/>
    <w:multiLevelType w:val="multilevel"/>
    <w:tmpl w:val="83B6608C"/>
    <w:lvl w:ilvl="0">
      <w:start w:val="11"/>
      <w:numFmt w:val="decimal"/>
      <w:lvlText w:val="%1."/>
      <w:lvlJc w:val="left"/>
      <w:pPr>
        <w:ind w:left="480" w:hanging="480"/>
      </w:pPr>
    </w:lvl>
    <w:lvl w:ilvl="1">
      <w:start w:val="1"/>
      <w:numFmt w:val="lowerLetter"/>
      <w:lvlText w:val="%2."/>
      <w:lvlJc w:val="left"/>
      <w:pPr>
        <w:ind w:left="1200" w:hanging="480"/>
      </w:pPr>
      <w:rPr>
        <w:rFonts w:ascii="Times New Roman" w:eastAsia="Calibri" w:hAnsi="Times New Roman" w:cs="Times New Roman"/>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8" w15:restartNumberingAfterBreak="0">
    <w:nsid w:val="65013057"/>
    <w:multiLevelType w:val="multilevel"/>
    <w:tmpl w:val="4AA4E7D8"/>
    <w:lvl w:ilvl="0">
      <w:start w:val="1"/>
      <w:numFmt w:val="decimal"/>
      <w:lvlText w:val="%1."/>
      <w:lvlJc w:val="left"/>
      <w:pPr>
        <w:ind w:left="928" w:hanging="360"/>
      </w:pPr>
      <w:rPr>
        <w:b/>
      </w:rPr>
    </w:lvl>
    <w:lvl w:ilvl="1">
      <w:start w:val="1"/>
      <w:numFmt w:val="bullet"/>
      <w:lvlText w:val=""/>
      <w:lvlJc w:val="left"/>
      <w:pPr>
        <w:ind w:left="1495" w:hanging="360"/>
      </w:pPr>
      <w:rPr>
        <w:rFonts w:ascii="Symbol" w:hAnsi="Symbol" w:cs="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95E01DD"/>
    <w:multiLevelType w:val="multilevel"/>
    <w:tmpl w:val="17AEF110"/>
    <w:lvl w:ilvl="0">
      <w:start w:val="1"/>
      <w:numFmt w:val="decimal"/>
      <w:lvlText w:val="%1."/>
      <w:lvlJc w:val="left"/>
      <w:pPr>
        <w:ind w:left="928" w:hanging="360"/>
      </w:pPr>
      <w:rPr>
        <w:b/>
      </w:rPr>
    </w:lvl>
    <w:lvl w:ilvl="1">
      <w:start w:val="1"/>
      <w:numFmt w:val="lowerLetter"/>
      <w:lvlText w:val="%2."/>
      <w:lvlJc w:val="left"/>
      <w:pPr>
        <w:ind w:left="1495" w:hanging="360"/>
      </w:pPr>
    </w:lvl>
    <w:lvl w:ilvl="2">
      <w:start w:val="1"/>
      <w:numFmt w:val="bullet"/>
      <w:lvlText w:val=""/>
      <w:lvlJc w:val="left"/>
      <w:pPr>
        <w:ind w:left="890" w:hanging="180"/>
      </w:pPr>
      <w:rPr>
        <w:rFonts w:ascii="Symbol" w:hAnsi="Symbol" w:cs="Symbol" w:hint="default"/>
        <w:color w:val="aut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A3C4A36"/>
    <w:multiLevelType w:val="hybridMultilevel"/>
    <w:tmpl w:val="7D603428"/>
    <w:lvl w:ilvl="0" w:tplc="FFBC89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0071CC6"/>
    <w:multiLevelType w:val="hybridMultilevel"/>
    <w:tmpl w:val="3B8241D8"/>
    <w:lvl w:ilvl="0" w:tplc="FFBC89C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702C12D9"/>
    <w:multiLevelType w:val="hybridMultilevel"/>
    <w:tmpl w:val="90CEB60C"/>
    <w:lvl w:ilvl="0" w:tplc="FFBC89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0DC7806"/>
    <w:multiLevelType w:val="hybridMultilevel"/>
    <w:tmpl w:val="A84AC5C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5FF7F23"/>
    <w:multiLevelType w:val="multilevel"/>
    <w:tmpl w:val="5972E216"/>
    <w:lvl w:ilvl="0">
      <w:start w:val="1"/>
      <w:numFmt w:val="lowerLetter"/>
      <w:lvlText w:val="%1."/>
      <w:lvlJc w:val="left"/>
      <w:pPr>
        <w:ind w:left="1080" w:hanging="360"/>
      </w:pPr>
    </w:lvl>
    <w:lvl w:ilvl="1">
      <w:start w:val="1"/>
      <w:numFmt w:val="bullet"/>
      <w:lvlText w:val=""/>
      <w:lvlJc w:val="left"/>
      <w:pPr>
        <w:ind w:left="719" w:hanging="360"/>
      </w:pPr>
      <w:rPr>
        <w:rFonts w:ascii="Symbol" w:hAnsi="Symbol" w:cs="Symbol"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77FE0AA6"/>
    <w:multiLevelType w:val="multilevel"/>
    <w:tmpl w:val="56D2354C"/>
    <w:lvl w:ilvl="0">
      <w:start w:val="1"/>
      <w:numFmt w:val="lowerLetter"/>
      <w:lvlText w:val="%1."/>
      <w:lvlJc w:val="left"/>
      <w:pPr>
        <w:ind w:left="1080" w:hanging="360"/>
      </w:pPr>
    </w:lvl>
    <w:lvl w:ilvl="1">
      <w:start w:val="1"/>
      <w:numFmt w:val="bullet"/>
      <w:lvlText w:val=""/>
      <w:lvlJc w:val="left"/>
      <w:pPr>
        <w:ind w:left="1800" w:hanging="360"/>
      </w:pPr>
      <w:rPr>
        <w:rFonts w:ascii="Symbol" w:hAnsi="Symbol" w:cs="Symbol" w:hint="default"/>
      </w:rPr>
    </w:lvl>
    <w:lvl w:ilvl="2">
      <w:start w:val="13"/>
      <w:numFmt w:val="decimal"/>
      <w:lvlText w:val="%3."/>
      <w:lvlJc w:val="left"/>
      <w:pPr>
        <w:ind w:left="2700" w:hanging="36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78300898"/>
    <w:multiLevelType w:val="multilevel"/>
    <w:tmpl w:val="995CDB14"/>
    <w:lvl w:ilvl="0">
      <w:start w:val="1"/>
      <w:numFmt w:val="bullet"/>
      <w:lvlText w:val=""/>
      <w:lvlJc w:val="left"/>
      <w:pPr>
        <w:ind w:left="720" w:hanging="360"/>
      </w:pPr>
      <w:rPr>
        <w:rFonts w:ascii="Symbol" w:hAnsi="Symbol" w:hint="default"/>
        <w:b w:val="0"/>
        <w:strike w:val="0"/>
        <w:d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86747BF"/>
    <w:multiLevelType w:val="hybridMultilevel"/>
    <w:tmpl w:val="70D28880"/>
    <w:lvl w:ilvl="0" w:tplc="04150001">
      <w:start w:val="1"/>
      <w:numFmt w:val="bullet"/>
      <w:lvlText w:val=""/>
      <w:lvlJc w:val="left"/>
      <w:pPr>
        <w:ind w:left="1416" w:hanging="360"/>
      </w:pPr>
      <w:rPr>
        <w:rFonts w:ascii="Symbol" w:hAnsi="Symbol" w:hint="default"/>
      </w:rPr>
    </w:lvl>
    <w:lvl w:ilvl="1" w:tplc="04150003" w:tentative="1">
      <w:start w:val="1"/>
      <w:numFmt w:val="bullet"/>
      <w:lvlText w:val="o"/>
      <w:lvlJc w:val="left"/>
      <w:pPr>
        <w:ind w:left="2136" w:hanging="360"/>
      </w:pPr>
      <w:rPr>
        <w:rFonts w:ascii="Courier New" w:hAnsi="Courier New" w:cs="Courier New" w:hint="default"/>
      </w:rPr>
    </w:lvl>
    <w:lvl w:ilvl="2" w:tplc="04150005" w:tentative="1">
      <w:start w:val="1"/>
      <w:numFmt w:val="bullet"/>
      <w:lvlText w:val=""/>
      <w:lvlJc w:val="left"/>
      <w:pPr>
        <w:ind w:left="2856" w:hanging="360"/>
      </w:pPr>
      <w:rPr>
        <w:rFonts w:ascii="Wingdings" w:hAnsi="Wingdings" w:hint="default"/>
      </w:rPr>
    </w:lvl>
    <w:lvl w:ilvl="3" w:tplc="04150001" w:tentative="1">
      <w:start w:val="1"/>
      <w:numFmt w:val="bullet"/>
      <w:lvlText w:val=""/>
      <w:lvlJc w:val="left"/>
      <w:pPr>
        <w:ind w:left="3576" w:hanging="360"/>
      </w:pPr>
      <w:rPr>
        <w:rFonts w:ascii="Symbol" w:hAnsi="Symbol" w:hint="default"/>
      </w:rPr>
    </w:lvl>
    <w:lvl w:ilvl="4" w:tplc="04150003" w:tentative="1">
      <w:start w:val="1"/>
      <w:numFmt w:val="bullet"/>
      <w:lvlText w:val="o"/>
      <w:lvlJc w:val="left"/>
      <w:pPr>
        <w:ind w:left="4296" w:hanging="360"/>
      </w:pPr>
      <w:rPr>
        <w:rFonts w:ascii="Courier New" w:hAnsi="Courier New" w:cs="Courier New" w:hint="default"/>
      </w:rPr>
    </w:lvl>
    <w:lvl w:ilvl="5" w:tplc="04150005" w:tentative="1">
      <w:start w:val="1"/>
      <w:numFmt w:val="bullet"/>
      <w:lvlText w:val=""/>
      <w:lvlJc w:val="left"/>
      <w:pPr>
        <w:ind w:left="5016" w:hanging="360"/>
      </w:pPr>
      <w:rPr>
        <w:rFonts w:ascii="Wingdings" w:hAnsi="Wingdings" w:hint="default"/>
      </w:rPr>
    </w:lvl>
    <w:lvl w:ilvl="6" w:tplc="04150001" w:tentative="1">
      <w:start w:val="1"/>
      <w:numFmt w:val="bullet"/>
      <w:lvlText w:val=""/>
      <w:lvlJc w:val="left"/>
      <w:pPr>
        <w:ind w:left="5736" w:hanging="360"/>
      </w:pPr>
      <w:rPr>
        <w:rFonts w:ascii="Symbol" w:hAnsi="Symbol" w:hint="default"/>
      </w:rPr>
    </w:lvl>
    <w:lvl w:ilvl="7" w:tplc="04150003" w:tentative="1">
      <w:start w:val="1"/>
      <w:numFmt w:val="bullet"/>
      <w:lvlText w:val="o"/>
      <w:lvlJc w:val="left"/>
      <w:pPr>
        <w:ind w:left="6456" w:hanging="360"/>
      </w:pPr>
      <w:rPr>
        <w:rFonts w:ascii="Courier New" w:hAnsi="Courier New" w:cs="Courier New" w:hint="default"/>
      </w:rPr>
    </w:lvl>
    <w:lvl w:ilvl="8" w:tplc="04150005" w:tentative="1">
      <w:start w:val="1"/>
      <w:numFmt w:val="bullet"/>
      <w:lvlText w:val=""/>
      <w:lvlJc w:val="left"/>
      <w:pPr>
        <w:ind w:left="7176" w:hanging="360"/>
      </w:pPr>
      <w:rPr>
        <w:rFonts w:ascii="Wingdings" w:hAnsi="Wingdings" w:hint="default"/>
      </w:rPr>
    </w:lvl>
  </w:abstractNum>
  <w:abstractNum w:abstractNumId="28" w15:restartNumberingAfterBreak="0">
    <w:nsid w:val="7E445C79"/>
    <w:multiLevelType w:val="multilevel"/>
    <w:tmpl w:val="995CDB14"/>
    <w:lvl w:ilvl="0">
      <w:start w:val="1"/>
      <w:numFmt w:val="bullet"/>
      <w:lvlText w:val=""/>
      <w:lvlJc w:val="left"/>
      <w:pPr>
        <w:ind w:left="720" w:hanging="360"/>
      </w:pPr>
      <w:rPr>
        <w:rFonts w:ascii="Symbol" w:hAnsi="Symbol" w:hint="default"/>
        <w:b w:val="0"/>
        <w:strike w:val="0"/>
        <w:d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22"/>
  </w:num>
  <w:num w:numId="13">
    <w:abstractNumId w:val="2"/>
  </w:num>
  <w:num w:numId="14">
    <w:abstractNumId w:val="20"/>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21"/>
  </w:num>
  <w:num w:numId="1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lvlOverride w:ilvl="2">
      <w:startOverride w:val="1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1"/>
  </w:num>
  <w:num w:numId="2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23E"/>
    <w:rsid w:val="00000365"/>
    <w:rsid w:val="000066C0"/>
    <w:rsid w:val="00042137"/>
    <w:rsid w:val="00061A9F"/>
    <w:rsid w:val="00063C00"/>
    <w:rsid w:val="00065192"/>
    <w:rsid w:val="00067FBB"/>
    <w:rsid w:val="0007146D"/>
    <w:rsid w:val="00072237"/>
    <w:rsid w:val="0007582D"/>
    <w:rsid w:val="00080F9F"/>
    <w:rsid w:val="0008251B"/>
    <w:rsid w:val="00086427"/>
    <w:rsid w:val="000A0095"/>
    <w:rsid w:val="000A33B3"/>
    <w:rsid w:val="000A7444"/>
    <w:rsid w:val="000B4E04"/>
    <w:rsid w:val="000C0199"/>
    <w:rsid w:val="000C4B0C"/>
    <w:rsid w:val="000E26F7"/>
    <w:rsid w:val="000E5561"/>
    <w:rsid w:val="001013E0"/>
    <w:rsid w:val="001047D8"/>
    <w:rsid w:val="00106A7B"/>
    <w:rsid w:val="00153FBA"/>
    <w:rsid w:val="00163E2F"/>
    <w:rsid w:val="00164C0A"/>
    <w:rsid w:val="00167533"/>
    <w:rsid w:val="00171A41"/>
    <w:rsid w:val="00174946"/>
    <w:rsid w:val="0017619D"/>
    <w:rsid w:val="00184FF8"/>
    <w:rsid w:val="00195761"/>
    <w:rsid w:val="001958A4"/>
    <w:rsid w:val="001A0281"/>
    <w:rsid w:val="001A031B"/>
    <w:rsid w:val="001A4BD0"/>
    <w:rsid w:val="001A78B5"/>
    <w:rsid w:val="001B149C"/>
    <w:rsid w:val="001B3198"/>
    <w:rsid w:val="001B4344"/>
    <w:rsid w:val="001D6DD5"/>
    <w:rsid w:val="001E5277"/>
    <w:rsid w:val="001F13F0"/>
    <w:rsid w:val="001F37D3"/>
    <w:rsid w:val="001F499F"/>
    <w:rsid w:val="001F5E9D"/>
    <w:rsid w:val="002045C4"/>
    <w:rsid w:val="002050E8"/>
    <w:rsid w:val="00205684"/>
    <w:rsid w:val="002226E2"/>
    <w:rsid w:val="00232148"/>
    <w:rsid w:val="0023310B"/>
    <w:rsid w:val="00235319"/>
    <w:rsid w:val="002369AD"/>
    <w:rsid w:val="002411BB"/>
    <w:rsid w:val="0024197A"/>
    <w:rsid w:val="00242A5F"/>
    <w:rsid w:val="00250F42"/>
    <w:rsid w:val="00251DC2"/>
    <w:rsid w:val="00266AEC"/>
    <w:rsid w:val="00296B3A"/>
    <w:rsid w:val="002A5856"/>
    <w:rsid w:val="002B1DDF"/>
    <w:rsid w:val="002B6573"/>
    <w:rsid w:val="002D2B08"/>
    <w:rsid w:val="002D4487"/>
    <w:rsid w:val="002D78F6"/>
    <w:rsid w:val="002E2AB0"/>
    <w:rsid w:val="002F18BE"/>
    <w:rsid w:val="002F7BE6"/>
    <w:rsid w:val="00300090"/>
    <w:rsid w:val="00300C0A"/>
    <w:rsid w:val="00315A56"/>
    <w:rsid w:val="00320942"/>
    <w:rsid w:val="00323015"/>
    <w:rsid w:val="00324A12"/>
    <w:rsid w:val="00340EC7"/>
    <w:rsid w:val="003446AF"/>
    <w:rsid w:val="003449EC"/>
    <w:rsid w:val="00350565"/>
    <w:rsid w:val="0035201A"/>
    <w:rsid w:val="00353E54"/>
    <w:rsid w:val="00366B6A"/>
    <w:rsid w:val="003775DF"/>
    <w:rsid w:val="00383642"/>
    <w:rsid w:val="0038673E"/>
    <w:rsid w:val="00387975"/>
    <w:rsid w:val="003918BA"/>
    <w:rsid w:val="003B22A7"/>
    <w:rsid w:val="003C20FD"/>
    <w:rsid w:val="003D1365"/>
    <w:rsid w:val="003D3069"/>
    <w:rsid w:val="003D3D3B"/>
    <w:rsid w:val="003D7DB4"/>
    <w:rsid w:val="003F0CB2"/>
    <w:rsid w:val="003F440C"/>
    <w:rsid w:val="00400CB1"/>
    <w:rsid w:val="00402EE4"/>
    <w:rsid w:val="004036A5"/>
    <w:rsid w:val="004044AD"/>
    <w:rsid w:val="00404BE6"/>
    <w:rsid w:val="00421621"/>
    <w:rsid w:val="00423BD6"/>
    <w:rsid w:val="00424948"/>
    <w:rsid w:val="00424F31"/>
    <w:rsid w:val="004250F1"/>
    <w:rsid w:val="0043281F"/>
    <w:rsid w:val="00465D74"/>
    <w:rsid w:val="004672AD"/>
    <w:rsid w:val="00476E10"/>
    <w:rsid w:val="00477CD2"/>
    <w:rsid w:val="0048761D"/>
    <w:rsid w:val="004A5D33"/>
    <w:rsid w:val="004B1A71"/>
    <w:rsid w:val="004B7920"/>
    <w:rsid w:val="004D139F"/>
    <w:rsid w:val="004D5B85"/>
    <w:rsid w:val="004F70C9"/>
    <w:rsid w:val="0050091E"/>
    <w:rsid w:val="00500D1C"/>
    <w:rsid w:val="00501800"/>
    <w:rsid w:val="005044E0"/>
    <w:rsid w:val="00504A0E"/>
    <w:rsid w:val="00532B8F"/>
    <w:rsid w:val="00536A89"/>
    <w:rsid w:val="005377FF"/>
    <w:rsid w:val="005467DD"/>
    <w:rsid w:val="00546EDA"/>
    <w:rsid w:val="00560DE7"/>
    <w:rsid w:val="00561E66"/>
    <w:rsid w:val="00563A94"/>
    <w:rsid w:val="0056623E"/>
    <w:rsid w:val="00575A36"/>
    <w:rsid w:val="005902D6"/>
    <w:rsid w:val="005917F1"/>
    <w:rsid w:val="00593F78"/>
    <w:rsid w:val="005A2E4B"/>
    <w:rsid w:val="005A5172"/>
    <w:rsid w:val="005A5B44"/>
    <w:rsid w:val="005B2F73"/>
    <w:rsid w:val="005B6E96"/>
    <w:rsid w:val="005C0429"/>
    <w:rsid w:val="005C3CDF"/>
    <w:rsid w:val="005D7A59"/>
    <w:rsid w:val="005E2DEC"/>
    <w:rsid w:val="005E5A65"/>
    <w:rsid w:val="005F2C5E"/>
    <w:rsid w:val="00604D5C"/>
    <w:rsid w:val="00611674"/>
    <w:rsid w:val="0061227D"/>
    <w:rsid w:val="006139B4"/>
    <w:rsid w:val="0061562E"/>
    <w:rsid w:val="00620E68"/>
    <w:rsid w:val="006320CE"/>
    <w:rsid w:val="00636B0D"/>
    <w:rsid w:val="00650F01"/>
    <w:rsid w:val="00653E12"/>
    <w:rsid w:val="00657D2B"/>
    <w:rsid w:val="00662379"/>
    <w:rsid w:val="00665E2F"/>
    <w:rsid w:val="0069045C"/>
    <w:rsid w:val="00691D18"/>
    <w:rsid w:val="006A3247"/>
    <w:rsid w:val="006A52C6"/>
    <w:rsid w:val="006C5D64"/>
    <w:rsid w:val="006D56EB"/>
    <w:rsid w:val="006E5A47"/>
    <w:rsid w:val="006E6930"/>
    <w:rsid w:val="006E6F7C"/>
    <w:rsid w:val="006F1053"/>
    <w:rsid w:val="006F5BBF"/>
    <w:rsid w:val="006F7526"/>
    <w:rsid w:val="007000A0"/>
    <w:rsid w:val="00702DBF"/>
    <w:rsid w:val="00704E91"/>
    <w:rsid w:val="00705AD2"/>
    <w:rsid w:val="0072323C"/>
    <w:rsid w:val="00730108"/>
    <w:rsid w:val="00735391"/>
    <w:rsid w:val="00737893"/>
    <w:rsid w:val="007458E8"/>
    <w:rsid w:val="007546C7"/>
    <w:rsid w:val="0075610C"/>
    <w:rsid w:val="007649DF"/>
    <w:rsid w:val="0076549E"/>
    <w:rsid w:val="007655EC"/>
    <w:rsid w:val="00766C50"/>
    <w:rsid w:val="00782EDD"/>
    <w:rsid w:val="007909E2"/>
    <w:rsid w:val="007919A4"/>
    <w:rsid w:val="00795876"/>
    <w:rsid w:val="00795BCB"/>
    <w:rsid w:val="007A412F"/>
    <w:rsid w:val="007A78CF"/>
    <w:rsid w:val="007B177F"/>
    <w:rsid w:val="007C1C75"/>
    <w:rsid w:val="007D7A03"/>
    <w:rsid w:val="007E091E"/>
    <w:rsid w:val="007E11EE"/>
    <w:rsid w:val="007E33FC"/>
    <w:rsid w:val="007F2FCD"/>
    <w:rsid w:val="00803E7D"/>
    <w:rsid w:val="00804E08"/>
    <w:rsid w:val="008214A0"/>
    <w:rsid w:val="008238EF"/>
    <w:rsid w:val="008247F8"/>
    <w:rsid w:val="00842A3F"/>
    <w:rsid w:val="00851C89"/>
    <w:rsid w:val="00857DDB"/>
    <w:rsid w:val="00872D80"/>
    <w:rsid w:val="008737F2"/>
    <w:rsid w:val="008759FD"/>
    <w:rsid w:val="008825EA"/>
    <w:rsid w:val="00882AC6"/>
    <w:rsid w:val="00884D82"/>
    <w:rsid w:val="00887502"/>
    <w:rsid w:val="00887AC9"/>
    <w:rsid w:val="008949E1"/>
    <w:rsid w:val="00894AD7"/>
    <w:rsid w:val="008A1332"/>
    <w:rsid w:val="008B1F82"/>
    <w:rsid w:val="008B235A"/>
    <w:rsid w:val="008B2E9A"/>
    <w:rsid w:val="008B4779"/>
    <w:rsid w:val="008C07E7"/>
    <w:rsid w:val="008C54B7"/>
    <w:rsid w:val="008D3A73"/>
    <w:rsid w:val="008E5CF0"/>
    <w:rsid w:val="00925E44"/>
    <w:rsid w:val="00933A30"/>
    <w:rsid w:val="00942974"/>
    <w:rsid w:val="009456D8"/>
    <w:rsid w:val="00950936"/>
    <w:rsid w:val="00953CB8"/>
    <w:rsid w:val="00954690"/>
    <w:rsid w:val="0096309C"/>
    <w:rsid w:val="0096436B"/>
    <w:rsid w:val="0096632C"/>
    <w:rsid w:val="00972C77"/>
    <w:rsid w:val="00975B92"/>
    <w:rsid w:val="009775BC"/>
    <w:rsid w:val="0098282C"/>
    <w:rsid w:val="00985F68"/>
    <w:rsid w:val="009937C6"/>
    <w:rsid w:val="00995849"/>
    <w:rsid w:val="009A3195"/>
    <w:rsid w:val="009A5048"/>
    <w:rsid w:val="009B68EC"/>
    <w:rsid w:val="009D7DC5"/>
    <w:rsid w:val="009F1610"/>
    <w:rsid w:val="00A03861"/>
    <w:rsid w:val="00A1629A"/>
    <w:rsid w:val="00A22A87"/>
    <w:rsid w:val="00A249F9"/>
    <w:rsid w:val="00A32231"/>
    <w:rsid w:val="00A436FA"/>
    <w:rsid w:val="00A552FA"/>
    <w:rsid w:val="00A579C2"/>
    <w:rsid w:val="00A64513"/>
    <w:rsid w:val="00A67CDC"/>
    <w:rsid w:val="00A67DA7"/>
    <w:rsid w:val="00A729FF"/>
    <w:rsid w:val="00A72FE4"/>
    <w:rsid w:val="00A806B3"/>
    <w:rsid w:val="00A84179"/>
    <w:rsid w:val="00AA2EB8"/>
    <w:rsid w:val="00AB782E"/>
    <w:rsid w:val="00AC32E6"/>
    <w:rsid w:val="00AC35B2"/>
    <w:rsid w:val="00AC6ECC"/>
    <w:rsid w:val="00AD6849"/>
    <w:rsid w:val="00AD77CD"/>
    <w:rsid w:val="00AE525A"/>
    <w:rsid w:val="00AF18F6"/>
    <w:rsid w:val="00AF2875"/>
    <w:rsid w:val="00AF6455"/>
    <w:rsid w:val="00B0317C"/>
    <w:rsid w:val="00B05748"/>
    <w:rsid w:val="00B11A10"/>
    <w:rsid w:val="00B206BA"/>
    <w:rsid w:val="00B24AC5"/>
    <w:rsid w:val="00B26389"/>
    <w:rsid w:val="00B37C41"/>
    <w:rsid w:val="00B428AF"/>
    <w:rsid w:val="00B45E6C"/>
    <w:rsid w:val="00B46E97"/>
    <w:rsid w:val="00B521BE"/>
    <w:rsid w:val="00B673D9"/>
    <w:rsid w:val="00B8753D"/>
    <w:rsid w:val="00B92B24"/>
    <w:rsid w:val="00B93CCA"/>
    <w:rsid w:val="00B96708"/>
    <w:rsid w:val="00BA20F4"/>
    <w:rsid w:val="00BA2354"/>
    <w:rsid w:val="00BB31B4"/>
    <w:rsid w:val="00BC1B2A"/>
    <w:rsid w:val="00BE72FC"/>
    <w:rsid w:val="00BF1FEA"/>
    <w:rsid w:val="00BF24BC"/>
    <w:rsid w:val="00C01EDB"/>
    <w:rsid w:val="00C039E6"/>
    <w:rsid w:val="00C103D1"/>
    <w:rsid w:val="00C17012"/>
    <w:rsid w:val="00C17AE3"/>
    <w:rsid w:val="00C22589"/>
    <w:rsid w:val="00C22C6D"/>
    <w:rsid w:val="00C262CC"/>
    <w:rsid w:val="00C35456"/>
    <w:rsid w:val="00C362A9"/>
    <w:rsid w:val="00C409B5"/>
    <w:rsid w:val="00C42EFA"/>
    <w:rsid w:val="00C44A56"/>
    <w:rsid w:val="00C45CF5"/>
    <w:rsid w:val="00C52BD9"/>
    <w:rsid w:val="00C53C83"/>
    <w:rsid w:val="00C5419B"/>
    <w:rsid w:val="00C5732B"/>
    <w:rsid w:val="00C661FB"/>
    <w:rsid w:val="00C723F2"/>
    <w:rsid w:val="00C7274A"/>
    <w:rsid w:val="00CA0880"/>
    <w:rsid w:val="00CA43ED"/>
    <w:rsid w:val="00CA5A8B"/>
    <w:rsid w:val="00CA687E"/>
    <w:rsid w:val="00CB6B92"/>
    <w:rsid w:val="00CC169E"/>
    <w:rsid w:val="00CC6192"/>
    <w:rsid w:val="00CD3442"/>
    <w:rsid w:val="00CE052F"/>
    <w:rsid w:val="00CE5D13"/>
    <w:rsid w:val="00D010B5"/>
    <w:rsid w:val="00D12E6E"/>
    <w:rsid w:val="00D13285"/>
    <w:rsid w:val="00D14F1F"/>
    <w:rsid w:val="00D27621"/>
    <w:rsid w:val="00D47C90"/>
    <w:rsid w:val="00D64B76"/>
    <w:rsid w:val="00D64F09"/>
    <w:rsid w:val="00D70F8D"/>
    <w:rsid w:val="00D751FC"/>
    <w:rsid w:val="00D752B1"/>
    <w:rsid w:val="00D77C5B"/>
    <w:rsid w:val="00D87FC5"/>
    <w:rsid w:val="00DA3E4D"/>
    <w:rsid w:val="00DB0055"/>
    <w:rsid w:val="00DB33D9"/>
    <w:rsid w:val="00DB483D"/>
    <w:rsid w:val="00DC0810"/>
    <w:rsid w:val="00DC432D"/>
    <w:rsid w:val="00DC55A3"/>
    <w:rsid w:val="00DD4528"/>
    <w:rsid w:val="00DD6D5D"/>
    <w:rsid w:val="00DE01C5"/>
    <w:rsid w:val="00DE6940"/>
    <w:rsid w:val="00DF0C14"/>
    <w:rsid w:val="00DF3045"/>
    <w:rsid w:val="00E20582"/>
    <w:rsid w:val="00E2292A"/>
    <w:rsid w:val="00E23FAE"/>
    <w:rsid w:val="00E24615"/>
    <w:rsid w:val="00E310BB"/>
    <w:rsid w:val="00E40689"/>
    <w:rsid w:val="00E51263"/>
    <w:rsid w:val="00E5465A"/>
    <w:rsid w:val="00E653D8"/>
    <w:rsid w:val="00E72743"/>
    <w:rsid w:val="00E73CB7"/>
    <w:rsid w:val="00E741BB"/>
    <w:rsid w:val="00E80A17"/>
    <w:rsid w:val="00E8474F"/>
    <w:rsid w:val="00E90459"/>
    <w:rsid w:val="00EA0405"/>
    <w:rsid w:val="00EA43CB"/>
    <w:rsid w:val="00EA644C"/>
    <w:rsid w:val="00EB2BC1"/>
    <w:rsid w:val="00EC01B7"/>
    <w:rsid w:val="00EC3CDD"/>
    <w:rsid w:val="00ED2588"/>
    <w:rsid w:val="00ED3B84"/>
    <w:rsid w:val="00EE387B"/>
    <w:rsid w:val="00EF13CC"/>
    <w:rsid w:val="00EF13E9"/>
    <w:rsid w:val="00F12F40"/>
    <w:rsid w:val="00F4241A"/>
    <w:rsid w:val="00F5668B"/>
    <w:rsid w:val="00F61314"/>
    <w:rsid w:val="00F754B9"/>
    <w:rsid w:val="00F77389"/>
    <w:rsid w:val="00F77A1A"/>
    <w:rsid w:val="00F77E97"/>
    <w:rsid w:val="00F800D9"/>
    <w:rsid w:val="00F8570A"/>
    <w:rsid w:val="00F85A97"/>
    <w:rsid w:val="00F943E2"/>
    <w:rsid w:val="00F975B3"/>
    <w:rsid w:val="00FB20C0"/>
    <w:rsid w:val="00FB557D"/>
    <w:rsid w:val="00FB7B17"/>
    <w:rsid w:val="00FC3B8E"/>
    <w:rsid w:val="00FC4C29"/>
    <w:rsid w:val="00FC7EC4"/>
    <w:rsid w:val="00FE5A86"/>
    <w:rsid w:val="00FF0394"/>
    <w:rsid w:val="00FF604F"/>
    <w:rsid w:val="00FF7E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0D587"/>
  <w15:docId w15:val="{5F718FF3-0199-4D54-8E39-F7297BC36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rsid w:val="0056623E"/>
    <w:pPr>
      <w:suppressAutoHyphens/>
      <w:spacing w:after="160" w:line="256" w:lineRule="auto"/>
    </w:pPr>
    <w:rPr>
      <w:rFonts w:ascii="Calibri" w:eastAsia="Calibri" w:hAnsi="Calibri" w:cs="Tahoma"/>
      <w:sz w:val="22"/>
      <w:szCs w:val="22"/>
    </w:rPr>
  </w:style>
  <w:style w:type="paragraph" w:styleId="Nagwek1">
    <w:name w:val="heading 1"/>
    <w:basedOn w:val="Normalny"/>
    <w:next w:val="Normalny"/>
    <w:link w:val="Nagwek1Znak"/>
    <w:uiPriority w:val="9"/>
    <w:qFormat/>
    <w:rsid w:val="008B2E9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semiHidden/>
    <w:unhideWhenUsed/>
    <w:qFormat/>
    <w:rsid w:val="00691D1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rsid w:val="0056623E"/>
    <w:rPr>
      <w:color w:val="000080"/>
      <w:u w:val="single"/>
    </w:rPr>
  </w:style>
  <w:style w:type="paragraph" w:styleId="Akapitzlist">
    <w:name w:val="List Paragraph"/>
    <w:basedOn w:val="Normalny"/>
    <w:uiPriority w:val="34"/>
    <w:qFormat/>
    <w:rsid w:val="0056623E"/>
    <w:pPr>
      <w:ind w:left="720"/>
      <w:contextualSpacing/>
    </w:pPr>
  </w:style>
  <w:style w:type="paragraph" w:styleId="Stopka">
    <w:name w:val="footer"/>
    <w:basedOn w:val="Normalny"/>
    <w:link w:val="StopkaZnak"/>
    <w:rsid w:val="0056623E"/>
    <w:pPr>
      <w:tabs>
        <w:tab w:val="center" w:pos="4536"/>
        <w:tab w:val="right" w:pos="9072"/>
      </w:tabs>
      <w:spacing w:after="0" w:line="240" w:lineRule="auto"/>
    </w:pPr>
  </w:style>
  <w:style w:type="character" w:customStyle="1" w:styleId="StopkaZnak">
    <w:name w:val="Stopka Znak"/>
    <w:basedOn w:val="Domylnaczcionkaakapitu"/>
    <w:link w:val="Stopka"/>
    <w:rsid w:val="0056623E"/>
    <w:rPr>
      <w:rFonts w:ascii="Calibri" w:eastAsia="Calibri" w:hAnsi="Calibri" w:cs="Tahoma"/>
      <w:sz w:val="22"/>
      <w:szCs w:val="22"/>
    </w:rPr>
  </w:style>
  <w:style w:type="paragraph" w:styleId="NormalnyWeb">
    <w:name w:val="Normal (Web)"/>
    <w:basedOn w:val="Normalny"/>
    <w:rsid w:val="0056623E"/>
    <w:pPr>
      <w:spacing w:before="280" w:after="280" w:line="240" w:lineRule="auto"/>
    </w:pPr>
    <w:rPr>
      <w:rFonts w:ascii="Times New Roman" w:hAnsi="Times New Roman" w:cs="Times New Roman"/>
      <w:sz w:val="24"/>
      <w:szCs w:val="24"/>
      <w:lang w:eastAsia="pl-PL"/>
    </w:rPr>
  </w:style>
  <w:style w:type="paragraph" w:customStyle="1" w:styleId="Rozdzia2">
    <w:name w:val="Rozdział 2"/>
    <w:basedOn w:val="Normalny"/>
    <w:rsid w:val="0056623E"/>
    <w:pPr>
      <w:tabs>
        <w:tab w:val="left" w:pos="360"/>
      </w:tabs>
      <w:spacing w:after="0" w:line="360" w:lineRule="auto"/>
      <w:ind w:left="360"/>
      <w:jc w:val="both"/>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56623E"/>
    <w:rPr>
      <w:color w:val="0000FF" w:themeColor="hyperlink"/>
      <w:u w:val="single"/>
    </w:rPr>
  </w:style>
  <w:style w:type="character" w:styleId="Odwoaniedokomentarza">
    <w:name w:val="annotation reference"/>
    <w:basedOn w:val="Domylnaczcionkaakapitu"/>
    <w:unhideWhenUsed/>
    <w:rsid w:val="009B68EC"/>
    <w:rPr>
      <w:sz w:val="16"/>
      <w:szCs w:val="16"/>
    </w:rPr>
  </w:style>
  <w:style w:type="paragraph" w:styleId="Tekstkomentarza">
    <w:name w:val="annotation text"/>
    <w:basedOn w:val="Normalny"/>
    <w:link w:val="TekstkomentarzaZnak"/>
    <w:unhideWhenUsed/>
    <w:rsid w:val="009B68EC"/>
    <w:pPr>
      <w:spacing w:line="240" w:lineRule="auto"/>
    </w:pPr>
    <w:rPr>
      <w:sz w:val="20"/>
      <w:szCs w:val="20"/>
    </w:rPr>
  </w:style>
  <w:style w:type="character" w:customStyle="1" w:styleId="TekstkomentarzaZnak">
    <w:name w:val="Tekst komentarza Znak"/>
    <w:basedOn w:val="Domylnaczcionkaakapitu"/>
    <w:link w:val="Tekstkomentarza"/>
    <w:rsid w:val="009B68EC"/>
    <w:rPr>
      <w:rFonts w:ascii="Calibri" w:eastAsia="Calibri" w:hAnsi="Calibri" w:cs="Tahoma"/>
      <w:sz w:val="20"/>
      <w:szCs w:val="20"/>
    </w:rPr>
  </w:style>
  <w:style w:type="paragraph" w:styleId="Tematkomentarza">
    <w:name w:val="annotation subject"/>
    <w:basedOn w:val="Tekstkomentarza"/>
    <w:next w:val="Tekstkomentarza"/>
    <w:link w:val="TematkomentarzaZnak"/>
    <w:uiPriority w:val="99"/>
    <w:semiHidden/>
    <w:unhideWhenUsed/>
    <w:rsid w:val="009B68EC"/>
    <w:rPr>
      <w:b/>
      <w:bCs/>
    </w:rPr>
  </w:style>
  <w:style w:type="character" w:customStyle="1" w:styleId="TematkomentarzaZnak">
    <w:name w:val="Temat komentarza Znak"/>
    <w:basedOn w:val="TekstkomentarzaZnak"/>
    <w:link w:val="Tematkomentarza"/>
    <w:uiPriority w:val="99"/>
    <w:semiHidden/>
    <w:rsid w:val="009B68EC"/>
    <w:rPr>
      <w:rFonts w:ascii="Calibri" w:eastAsia="Calibri" w:hAnsi="Calibri" w:cs="Tahoma"/>
      <w:b/>
      <w:bCs/>
      <w:sz w:val="20"/>
      <w:szCs w:val="20"/>
    </w:rPr>
  </w:style>
  <w:style w:type="paragraph" w:styleId="Tekstdymka">
    <w:name w:val="Balloon Text"/>
    <w:basedOn w:val="Normalny"/>
    <w:link w:val="TekstdymkaZnak"/>
    <w:uiPriority w:val="99"/>
    <w:semiHidden/>
    <w:unhideWhenUsed/>
    <w:rsid w:val="009B68EC"/>
    <w:pPr>
      <w:spacing w:after="0"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9B68EC"/>
    <w:rPr>
      <w:rFonts w:ascii="Tahoma" w:eastAsia="Calibri" w:hAnsi="Tahoma" w:cs="Tahoma"/>
      <w:sz w:val="16"/>
      <w:szCs w:val="16"/>
    </w:rPr>
  </w:style>
  <w:style w:type="paragraph" w:customStyle="1" w:styleId="Default">
    <w:name w:val="Default"/>
    <w:rsid w:val="00F77E97"/>
    <w:pPr>
      <w:autoSpaceDE w:val="0"/>
      <w:autoSpaceDN w:val="0"/>
      <w:adjustRightInd w:val="0"/>
      <w:spacing w:after="0" w:line="240" w:lineRule="auto"/>
    </w:pPr>
    <w:rPr>
      <w:color w:val="000000"/>
    </w:rPr>
  </w:style>
  <w:style w:type="paragraph" w:styleId="Poprawka">
    <w:name w:val="Revision"/>
    <w:hidden/>
    <w:uiPriority w:val="99"/>
    <w:semiHidden/>
    <w:rsid w:val="008B235A"/>
    <w:pPr>
      <w:spacing w:after="0" w:line="240" w:lineRule="auto"/>
    </w:pPr>
    <w:rPr>
      <w:rFonts w:ascii="Calibri" w:eastAsia="Calibri" w:hAnsi="Calibri" w:cs="Tahoma"/>
      <w:sz w:val="22"/>
      <w:szCs w:val="22"/>
    </w:rPr>
  </w:style>
  <w:style w:type="paragraph" w:styleId="Bezodstpw">
    <w:name w:val="No Spacing"/>
    <w:uiPriority w:val="1"/>
    <w:qFormat/>
    <w:rsid w:val="00604D5C"/>
    <w:pPr>
      <w:suppressAutoHyphens/>
      <w:spacing w:after="0" w:line="240" w:lineRule="auto"/>
    </w:pPr>
    <w:rPr>
      <w:rFonts w:ascii="Calibri" w:eastAsia="Calibri" w:hAnsi="Calibri" w:cs="Tahoma"/>
      <w:sz w:val="22"/>
      <w:szCs w:val="22"/>
    </w:rPr>
  </w:style>
  <w:style w:type="character" w:customStyle="1" w:styleId="Nagwek1Znak">
    <w:name w:val="Nagłówek 1 Znak"/>
    <w:basedOn w:val="Domylnaczcionkaakapitu"/>
    <w:link w:val="Nagwek1"/>
    <w:uiPriority w:val="9"/>
    <w:rsid w:val="008B2E9A"/>
    <w:rPr>
      <w:rFonts w:asciiTheme="majorHAnsi" w:eastAsiaTheme="majorEastAsia" w:hAnsiTheme="majorHAnsi" w:cstheme="majorBidi"/>
      <w:color w:val="365F91" w:themeColor="accent1" w:themeShade="BF"/>
      <w:sz w:val="32"/>
      <w:szCs w:val="32"/>
    </w:rPr>
  </w:style>
  <w:style w:type="paragraph" w:styleId="Nagwekspisutreci">
    <w:name w:val="TOC Heading"/>
    <w:basedOn w:val="Nagwek1"/>
    <w:next w:val="Normalny"/>
    <w:uiPriority w:val="39"/>
    <w:unhideWhenUsed/>
    <w:qFormat/>
    <w:rsid w:val="008B2E9A"/>
    <w:pPr>
      <w:suppressAutoHyphens w:val="0"/>
      <w:spacing w:line="259" w:lineRule="auto"/>
      <w:outlineLvl w:val="9"/>
    </w:pPr>
    <w:rPr>
      <w:lang w:eastAsia="pl-PL"/>
    </w:rPr>
  </w:style>
  <w:style w:type="paragraph" w:styleId="Spistreci1">
    <w:name w:val="toc 1"/>
    <w:basedOn w:val="Normalny"/>
    <w:next w:val="Normalny"/>
    <w:autoRedefine/>
    <w:uiPriority w:val="39"/>
    <w:unhideWhenUsed/>
    <w:rsid w:val="008B2E9A"/>
    <w:pPr>
      <w:spacing w:after="100"/>
    </w:pPr>
  </w:style>
  <w:style w:type="character" w:customStyle="1" w:styleId="Nagwek2Znak">
    <w:name w:val="Nagłówek 2 Znak"/>
    <w:basedOn w:val="Domylnaczcionkaakapitu"/>
    <w:link w:val="Nagwek2"/>
    <w:uiPriority w:val="9"/>
    <w:semiHidden/>
    <w:rsid w:val="00691D18"/>
    <w:rPr>
      <w:rFonts w:asciiTheme="majorHAnsi" w:eastAsiaTheme="majorEastAsia" w:hAnsiTheme="majorHAnsi" w:cstheme="majorBidi"/>
      <w:color w:val="365F91" w:themeColor="accent1" w:themeShade="BF"/>
      <w:sz w:val="26"/>
      <w:szCs w:val="26"/>
    </w:rPr>
  </w:style>
  <w:style w:type="character" w:customStyle="1" w:styleId="Nierozpoznanawzmianka1">
    <w:name w:val="Nierozpoznana wzmianka1"/>
    <w:basedOn w:val="Domylnaczcionkaakapitu"/>
    <w:uiPriority w:val="99"/>
    <w:semiHidden/>
    <w:unhideWhenUsed/>
    <w:rsid w:val="00804E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7396432">
      <w:bodyDiv w:val="1"/>
      <w:marLeft w:val="0"/>
      <w:marRight w:val="0"/>
      <w:marTop w:val="0"/>
      <w:marBottom w:val="0"/>
      <w:divBdr>
        <w:top w:val="none" w:sz="0" w:space="0" w:color="auto"/>
        <w:left w:val="none" w:sz="0" w:space="0" w:color="auto"/>
        <w:bottom w:val="none" w:sz="0" w:space="0" w:color="auto"/>
        <w:right w:val="none" w:sz="0" w:space="0" w:color="auto"/>
      </w:divBdr>
    </w:div>
    <w:div w:id="190652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sharebra\DSR$\Wydzial%20V\konkurs%20na%20organizacj&#281;%202022-2023\GOTOWE%20MATERIA&#321;Y\konsultacje%20wewn&#281;trzne\dokumenty%20po%20konsultacji\og&#322;oszenie\pliki%20poprawione_uwagi%20DP\REGULAMIN%20KONKURSU%202022-2023_z_DP.docx" TargetMode="External"/><Relationship Id="rId13" Type="http://schemas.openxmlformats.org/officeDocument/2006/relationships/hyperlink" Target="file:///\\sharebra\DSR$\Wydzial%20V\konkurs%20na%20organizacj&#281;%202022-2023\GOTOWE%20MATERIA&#321;Y\konsultacje%20wewn&#281;trzne\dokumenty%20po%20konsultacji\og&#322;oszenie\pliki%20poprawione_uwagi%20DP\REGULAMIN%20KONKURSU%202022-2023_z_DP.docx" TargetMode="External"/><Relationship Id="rId18" Type="http://schemas.openxmlformats.org/officeDocument/2006/relationships/hyperlink" Target="file:///\\sharebra\DSR$\Wydzial%20V\konkurs%20na%20organizacj&#281;%202022-2023\GOTOWE%20MATERIA&#321;Y\konsultacje%20wewn&#281;trzne\dokumenty%20po%20konsultacji\og&#322;oszenie\pliki%20poprawione_uwagi%20DP\REGULAMIN%20KONKURSU%202022-2023_z_DP.doc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file:///\\sharebra\DSR$\Wydzial%20V\konkurs%20na%20organizacj&#281;%202022-2023\GOTOWE%20MATERIA&#321;Y\konsultacje%20wewn&#281;trzne\dokumenty%20po%20konsultacji\og&#322;oszenie\pliki%20poprawione_uwagi%20DP\REGULAMIN%20KONKURSU%202022-2023_z_DP.docx" TargetMode="External"/><Relationship Id="rId7" Type="http://schemas.openxmlformats.org/officeDocument/2006/relationships/endnotes" Target="endnotes.xml"/><Relationship Id="rId12" Type="http://schemas.openxmlformats.org/officeDocument/2006/relationships/hyperlink" Target="file:///\\sharebra\DSR$\Wydzial%20V\konkurs%20na%20organizacj&#281;%202022-2023\GOTOWE%20MATERIA&#321;Y\konsultacje%20wewn&#281;trzne\dokumenty%20po%20konsultacji\og&#322;oszenie\pliki%20poprawione_uwagi%20DP\REGULAMIN%20KONKURSU%202022-2023_z_DP.docx" TargetMode="External"/><Relationship Id="rId17" Type="http://schemas.openxmlformats.org/officeDocument/2006/relationships/hyperlink" Target="file:///\\sharebra\DSR$\Wydzial%20V\konkurs%20na%20organizacj&#281;%202022-2023\GOTOWE%20MATERIA&#321;Y\konsultacje%20wewn&#281;trzne\dokumenty%20po%20konsultacji\og&#322;oszenie\pliki%20poprawione_uwagi%20DP\REGULAMIN%20KONKURSU%202022-2023_z_DP.docx"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file:///\\sharebra\DSR$\Wydzial%20V\konkurs%20na%20organizacj&#281;%202022-2023\GOTOWE%20MATERIA&#321;Y\konsultacje%20wewn&#281;trzne\dokumenty%20po%20konsultacji\og&#322;oszenie\pliki%20poprawione_uwagi%20DP\REGULAMIN%20KONKURSU%202022-2023_z_DP.docx" TargetMode="External"/><Relationship Id="rId20" Type="http://schemas.openxmlformats.org/officeDocument/2006/relationships/hyperlink" Target="file:///\\sharebra\DSR$\Wydzial%20V\konkurs%20na%20organizacj&#281;%202022-2023\GOTOWE%20MATERIA&#321;Y\konsultacje%20wewn&#281;trzne\dokumenty%20po%20konsultacji\og&#322;oszenie\pliki%20poprawione_uwagi%20DP\REGULAMIN%20KONKURSU%202022-2023_z_DP.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sharebra\DSR$\Wydzial%20V\konkurs%20na%20organizacj&#281;%202022-2023\GOTOWE%20MATERIA&#321;Y\konsultacje%20wewn&#281;trzne\dokumenty%20po%20konsultacji\og&#322;oszenie\pliki%20poprawione_uwagi%20DP\REGULAMIN%20KONKURSU%202022-2023_z_DP.docx" TargetMode="External"/><Relationship Id="rId24" Type="http://schemas.openxmlformats.org/officeDocument/2006/relationships/hyperlink" Target="mailto:sekretariat.dsr@mrips.gov.pl" TargetMode="External"/><Relationship Id="rId5" Type="http://schemas.openxmlformats.org/officeDocument/2006/relationships/webSettings" Target="webSettings.xml"/><Relationship Id="rId15" Type="http://schemas.openxmlformats.org/officeDocument/2006/relationships/hyperlink" Target="file:///\\sharebra\DSR$\Wydzial%20V\konkurs%20na%20organizacj&#281;%202022-2023\GOTOWE%20MATERIA&#321;Y\konsultacje%20wewn&#281;trzne\dokumenty%20po%20konsultacji\og&#322;oszenie\pliki%20poprawione_uwagi%20DP\REGULAMIN%20KONKURSU%202022-2023_z_DP.docx" TargetMode="External"/><Relationship Id="rId23" Type="http://schemas.openxmlformats.org/officeDocument/2006/relationships/hyperlink" Target="file:///\\sharebra\DSR$\Wydzial%20V\konkurs%20na%20organizacj&#281;%202022-2023\GOTOWE%20MATERIA&#321;Y\konsultacje%20wewn&#281;trzne\dokumenty%20po%20konsultacji\og&#322;oszenie\pliki%20poprawione_uwagi%20DP\REGULAMIN%20KONKURSU%202022-2023_z_DP.docx" TargetMode="External"/><Relationship Id="rId10" Type="http://schemas.openxmlformats.org/officeDocument/2006/relationships/hyperlink" Target="file:///\\sharebra\DSR$\Wydzial%20V\konkurs%20na%20organizacj&#281;%202022-2023\GOTOWE%20MATERIA&#321;Y\konsultacje%20wewn&#281;trzne\dokumenty%20po%20konsultacji\og&#322;oszenie\pliki%20poprawione_uwagi%20DP\REGULAMIN%20KONKURSU%202022-2023_z_DP.docx" TargetMode="External"/><Relationship Id="rId19" Type="http://schemas.openxmlformats.org/officeDocument/2006/relationships/hyperlink" Target="file:///\\sharebra\DSR$\Wydzial%20V\konkurs%20na%20organizacj&#281;%202022-2023\GOTOWE%20MATERIA&#321;Y\konsultacje%20wewn&#281;trzne\dokumenty%20po%20konsultacji\og&#322;oszenie\pliki%20poprawione_uwagi%20DP\REGULAMIN%20KONKURSU%202022-2023_z_DP.docx" TargetMode="External"/><Relationship Id="rId4" Type="http://schemas.openxmlformats.org/officeDocument/2006/relationships/settings" Target="settings.xml"/><Relationship Id="rId9" Type="http://schemas.openxmlformats.org/officeDocument/2006/relationships/hyperlink" Target="file:///\\sharebra\DSR$\Wydzial%20V\konkurs%20na%20organizacj&#281;%202022-2023\GOTOWE%20MATERIA&#321;Y\konsultacje%20wewn&#281;trzne\dokumenty%20po%20konsultacji\og&#322;oszenie\pliki%20poprawione_uwagi%20DP\REGULAMIN%20KONKURSU%202022-2023_z_DP.docx" TargetMode="External"/><Relationship Id="rId14" Type="http://schemas.openxmlformats.org/officeDocument/2006/relationships/hyperlink" Target="file:///\\sharebra\DSR$\Wydzial%20V\konkurs%20na%20organizacj&#281;%202022-2023\GOTOWE%20MATERIA&#321;Y\konsultacje%20wewn&#281;trzne\dokumenty%20po%20konsultacji\og&#322;oszenie\pliki%20poprawione_uwagi%20DP\REGULAMIN%20KONKURSU%202022-2023_z_DP.docx" TargetMode="External"/><Relationship Id="rId22" Type="http://schemas.openxmlformats.org/officeDocument/2006/relationships/hyperlink" Target="file:///\\sharebra\DSR$\Wydzial%20V\konkurs%20na%20organizacj&#281;%202022-2023\GOTOWE%20MATERIA&#321;Y\konsultacje%20wewn&#281;trzne\dokumenty%20po%20konsultacji\og&#322;oszenie\pliki%20poprawione_uwagi%20DP\REGULAMIN%20KONKURSU%202022-2023_z_DP.docx" TargetMode="Externa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1039A-048D-4ECC-B8C2-E0F837638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24</Pages>
  <Words>7516</Words>
  <Characters>45097</Characters>
  <Application>Microsoft Office Word</Application>
  <DocSecurity>0</DocSecurity>
  <Lines>375</Lines>
  <Paragraphs>105</Paragraphs>
  <ScaleCrop>false</ScaleCrop>
  <HeadingPairs>
    <vt:vector size="2" baseType="variant">
      <vt:variant>
        <vt:lpstr>Tytuł</vt:lpstr>
      </vt:variant>
      <vt:variant>
        <vt:i4>1</vt:i4>
      </vt:variant>
    </vt:vector>
  </HeadingPairs>
  <TitlesOfParts>
    <vt:vector size="1" baseType="lpstr">
      <vt:lpstr/>
    </vt:vector>
  </TitlesOfParts>
  <Company>TOSHIBA</Company>
  <LinksUpToDate>false</LinksUpToDate>
  <CharactersWithSpaces>52508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Kasia</dc:creator>
  <cp:lastModifiedBy>Magdalena Fabisiak</cp:lastModifiedBy>
  <cp:revision>74</cp:revision>
  <cp:lastPrinted>2019-05-06T09:51:00Z</cp:lastPrinted>
  <dcterms:created xsi:type="dcterms:W3CDTF">2021-11-09T06:52:00Z</dcterms:created>
  <dcterms:modified xsi:type="dcterms:W3CDTF">2021-11-25T12:46:00Z</dcterms:modified>
</cp:coreProperties>
</file>