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8AC22" w14:textId="77777777" w:rsidR="00F0255D" w:rsidRPr="007257B7" w:rsidRDefault="00F0255D" w:rsidP="00F0255D">
      <w:pPr>
        <w:pStyle w:val="Nagwek6"/>
        <w:rPr>
          <w:sz w:val="28"/>
          <w:szCs w:val="22"/>
        </w:rPr>
      </w:pPr>
      <w:r w:rsidRPr="007257B7">
        <w:rPr>
          <w:sz w:val="28"/>
          <w:szCs w:val="22"/>
        </w:rPr>
        <w:t>DZIAŁ 900 – GOSPODARKA KOMUNALNA I OCHRONA ŚRODOWISKA</w:t>
      </w:r>
    </w:p>
    <w:p w14:paraId="5C305071" w14:textId="77777777" w:rsidR="00F0255D" w:rsidRPr="002109B4" w:rsidRDefault="00F0255D" w:rsidP="00F0255D">
      <w:pPr>
        <w:spacing w:line="360" w:lineRule="auto"/>
      </w:pPr>
    </w:p>
    <w:p w14:paraId="753F03A4" w14:textId="1F8BC5ED" w:rsidR="00F0255D" w:rsidRDefault="00347AA5" w:rsidP="00347AA5">
      <w:pPr>
        <w:spacing w:line="360" w:lineRule="auto"/>
        <w:jc w:val="both"/>
      </w:pPr>
      <w:r w:rsidRPr="00D76114">
        <w:t xml:space="preserve">Dochody </w:t>
      </w:r>
      <w:r w:rsidR="00F65871">
        <w:t xml:space="preserve">zaplanowane </w:t>
      </w:r>
      <w:r w:rsidRPr="00D76114">
        <w:t>w</w:t>
      </w:r>
      <w:r w:rsidR="00D107D7">
        <w:t xml:space="preserve"> tym</w:t>
      </w:r>
      <w:r w:rsidRPr="00D76114">
        <w:t xml:space="preserve"> dziale za 2024</w:t>
      </w:r>
      <w:r w:rsidR="00CE260E">
        <w:t xml:space="preserve"> </w:t>
      </w:r>
      <w:r w:rsidRPr="00D76114">
        <w:t>r.</w:t>
      </w:r>
      <w:r w:rsidR="00F51599">
        <w:t xml:space="preserve"> w wysokości 534 tys. zł</w:t>
      </w:r>
      <w:r w:rsidRPr="00D76114">
        <w:t xml:space="preserve"> zrealizowano w kwocie </w:t>
      </w:r>
      <w:r>
        <w:t>1.253</w:t>
      </w:r>
      <w:r w:rsidRPr="00D76114">
        <w:t xml:space="preserve"> tys. zł, co stanowi </w:t>
      </w:r>
      <w:r>
        <w:t>234,6</w:t>
      </w:r>
      <w:r w:rsidRPr="00D76114">
        <w:t>% planu</w:t>
      </w:r>
      <w:r w:rsidR="00F51599">
        <w:tab/>
      </w:r>
      <w:r w:rsidRPr="00D76114">
        <w:t>.</w:t>
      </w:r>
      <w:r w:rsidR="00F0255D" w:rsidRPr="0025285E">
        <w:t xml:space="preserve"> </w:t>
      </w:r>
    </w:p>
    <w:p w14:paraId="60973FD4" w14:textId="77777777" w:rsidR="00F0255D" w:rsidRDefault="00F0255D" w:rsidP="00F0255D">
      <w:pPr>
        <w:pStyle w:val="Tekstpodstawowy"/>
        <w:rPr>
          <w:color w:val="auto"/>
        </w:rPr>
      </w:pPr>
    </w:p>
    <w:p w14:paraId="7A404A0E" w14:textId="1A9CD410" w:rsidR="00F0255D" w:rsidRDefault="00F0255D" w:rsidP="00F0255D">
      <w:pPr>
        <w:pStyle w:val="Tekstpodstawowy"/>
        <w:rPr>
          <w:color w:val="auto"/>
        </w:rPr>
      </w:pPr>
      <w:r w:rsidRPr="002109B4">
        <w:rPr>
          <w:color w:val="auto"/>
        </w:rPr>
        <w:t>Na dochody zrealizowane przez Wojewódzki Inspektorat Ochrony Środowiska złożyły się</w:t>
      </w:r>
      <w:r>
        <w:rPr>
          <w:color w:val="auto"/>
        </w:rPr>
        <w:t xml:space="preserve"> środki z tytułu</w:t>
      </w:r>
      <w:r w:rsidRPr="002109B4">
        <w:rPr>
          <w:color w:val="auto"/>
        </w:rPr>
        <w:t>:</w:t>
      </w:r>
    </w:p>
    <w:p w14:paraId="6A70DE2F" w14:textId="3ECFFBFA" w:rsidR="00F0255D" w:rsidRDefault="00F0255D" w:rsidP="00F0255D">
      <w:pPr>
        <w:pStyle w:val="Tekstpodstawowy"/>
        <w:numPr>
          <w:ilvl w:val="0"/>
          <w:numId w:val="4"/>
        </w:numPr>
        <w:rPr>
          <w:color w:val="auto"/>
        </w:rPr>
      </w:pPr>
      <w:r w:rsidRPr="00F0255D">
        <w:rPr>
          <w:color w:val="auto"/>
        </w:rPr>
        <w:t>opłat za zagospodarowanie odpadów, o których mowa w ustawie z dnia 20 stycznia 2005 r. o recyklingu pojazdów wycofanych z eksploatacji</w:t>
      </w:r>
      <w:r>
        <w:rPr>
          <w:color w:val="auto"/>
        </w:rPr>
        <w:t xml:space="preserve"> – 173 tys. zł, co stanowi 119,3% planu wynoszącego 145 tys. zł;</w:t>
      </w:r>
    </w:p>
    <w:p w14:paraId="182759B7" w14:textId="0A831AD5" w:rsidR="00F0255D" w:rsidRPr="006B40E0" w:rsidRDefault="00F0255D" w:rsidP="006B40E0">
      <w:pPr>
        <w:pStyle w:val="Tekstpodstawowy"/>
        <w:numPr>
          <w:ilvl w:val="0"/>
          <w:numId w:val="4"/>
        </w:numPr>
        <w:rPr>
          <w:color w:val="auto"/>
        </w:rPr>
      </w:pPr>
      <w:r w:rsidRPr="00C21C8E">
        <w:rPr>
          <w:color w:val="auto"/>
        </w:rPr>
        <w:t xml:space="preserve">kar pieniężnych nakładanych na podstawie ustawy z dnia 15 maja 2015 r.  </w:t>
      </w:r>
      <w:r w:rsidRPr="00C21C8E">
        <w:rPr>
          <w:color w:val="auto"/>
        </w:rPr>
        <w:br/>
        <w:t>o substancjach zubożających warstwę ozonową oraz o niektórych fluorowanych gazach cieplarnianych – 39 tys. zł, co stanowi 39% planu wynoszącego 100 tys. zł</w:t>
      </w:r>
      <w:r w:rsidR="00947895" w:rsidRPr="00C21C8E">
        <w:rPr>
          <w:color w:val="auto"/>
        </w:rPr>
        <w:t xml:space="preserve">. </w:t>
      </w:r>
      <w:r w:rsidR="00C21C8E" w:rsidRPr="00C21C8E">
        <w:rPr>
          <w:color w:val="auto"/>
        </w:rPr>
        <w:t xml:space="preserve">Niższe od planowanego wykonanie dochodów wynika przede wszystkim </w:t>
      </w:r>
      <w:r w:rsidR="00D84E21">
        <w:rPr>
          <w:color w:val="auto"/>
        </w:rPr>
        <w:t xml:space="preserve">z </w:t>
      </w:r>
      <w:r w:rsidR="00C21C8E" w:rsidRPr="006B40E0">
        <w:rPr>
          <w:color w:val="auto"/>
        </w:rPr>
        <w:t>sankcyjn</w:t>
      </w:r>
      <w:r w:rsidR="00D84E21">
        <w:rPr>
          <w:color w:val="auto"/>
        </w:rPr>
        <w:t>ego</w:t>
      </w:r>
      <w:r w:rsidR="00C21C8E" w:rsidRPr="006B40E0">
        <w:rPr>
          <w:color w:val="auto"/>
        </w:rPr>
        <w:t xml:space="preserve"> charakter</w:t>
      </w:r>
      <w:r w:rsidR="00D84E21">
        <w:rPr>
          <w:color w:val="auto"/>
        </w:rPr>
        <w:t>u</w:t>
      </w:r>
      <w:r w:rsidR="00C21C8E" w:rsidRPr="006B40E0">
        <w:rPr>
          <w:color w:val="auto"/>
        </w:rPr>
        <w:t xml:space="preserve"> dochodów. Charakter dochodów czyni je trudnymi do dokładnego zaplanowania</w:t>
      </w:r>
      <w:r w:rsidRPr="006B40E0">
        <w:rPr>
          <w:color w:val="auto"/>
        </w:rPr>
        <w:t>;</w:t>
      </w:r>
    </w:p>
    <w:p w14:paraId="06BE74C0" w14:textId="5C18FD7E" w:rsidR="00F0255D" w:rsidRDefault="00F0255D" w:rsidP="00F0255D">
      <w:pPr>
        <w:pStyle w:val="Tekstpodstawowy"/>
        <w:numPr>
          <w:ilvl w:val="0"/>
          <w:numId w:val="4"/>
        </w:numPr>
        <w:rPr>
          <w:color w:val="auto"/>
        </w:rPr>
      </w:pPr>
      <w:r w:rsidRPr="00F0255D">
        <w:rPr>
          <w:color w:val="auto"/>
        </w:rPr>
        <w:t xml:space="preserve">kar za naruszenie przepisów o ochronie środowiska, </w:t>
      </w:r>
      <w:r w:rsidR="00540F0B">
        <w:rPr>
          <w:color w:val="auto"/>
        </w:rPr>
        <w:t xml:space="preserve">m.in. </w:t>
      </w:r>
      <w:r w:rsidRPr="00F0255D">
        <w:rPr>
          <w:color w:val="auto"/>
        </w:rPr>
        <w:t>na podstawie ustaw</w:t>
      </w:r>
      <w:r w:rsidR="00540F0B">
        <w:rPr>
          <w:color w:val="auto"/>
        </w:rPr>
        <w:t>y</w:t>
      </w:r>
      <w:r w:rsidRPr="00F0255D">
        <w:rPr>
          <w:color w:val="auto"/>
        </w:rPr>
        <w:t>: Prawo Ochrony Środowiska</w:t>
      </w:r>
      <w:r w:rsidR="00540F0B">
        <w:rPr>
          <w:color w:val="auto"/>
        </w:rPr>
        <w:t xml:space="preserve">. W ramach tytułu dochodów nałożono 150 kar na osoby fizyczne oraz 219 na osoby prawne i inne jednostki organizacyjne. Najwięcej kar nałożono na podstawie przepisów karnych ustawy o odpadach (163), art. 109 ustawy Prawo Wodne (41) oraz art. 236 d ustawy Prawo Ochrony Środowiska  </w:t>
      </w:r>
      <w:r>
        <w:rPr>
          <w:color w:val="auto"/>
        </w:rPr>
        <w:t>– 955 tys. zł, co stanowi 353,7% planu wynoszącego</w:t>
      </w:r>
      <w:r w:rsidR="00540F0B">
        <w:rPr>
          <w:color w:val="auto"/>
        </w:rPr>
        <w:tab/>
      </w:r>
      <w:r>
        <w:rPr>
          <w:color w:val="auto"/>
        </w:rPr>
        <w:t xml:space="preserve"> 270 tys. zł</w:t>
      </w:r>
      <w:r w:rsidR="00947895">
        <w:rPr>
          <w:color w:val="auto"/>
        </w:rPr>
        <w:t>.</w:t>
      </w:r>
      <w:r w:rsidR="00947895" w:rsidRPr="00947895">
        <w:rPr>
          <w:color w:val="auto"/>
        </w:rPr>
        <w:t xml:space="preserve"> </w:t>
      </w:r>
      <w:r w:rsidR="00947895" w:rsidRPr="00CF3F1E">
        <w:rPr>
          <w:color w:val="auto"/>
        </w:rPr>
        <w:t>Wyższe od planowanego wykonanie dochodów z tytułu wynika</w:t>
      </w:r>
      <w:r w:rsidR="00540F0B">
        <w:rPr>
          <w:color w:val="auto"/>
        </w:rPr>
        <w:t xml:space="preserve"> </w:t>
      </w:r>
      <w:r w:rsidR="00D84E21">
        <w:rPr>
          <w:color w:val="auto"/>
        </w:rPr>
        <w:t>ze zmian organizacyjnych inspektoratu. I</w:t>
      </w:r>
      <w:r w:rsidR="00D84E21" w:rsidRPr="006B40E0">
        <w:rPr>
          <w:color w:val="auto"/>
        </w:rPr>
        <w:t xml:space="preserve">nspektorzy nie prowadzą </w:t>
      </w:r>
      <w:r w:rsidR="00D84E21">
        <w:rPr>
          <w:color w:val="auto"/>
        </w:rPr>
        <w:t xml:space="preserve">już </w:t>
      </w:r>
      <w:r w:rsidR="00D84E21" w:rsidRPr="006B40E0">
        <w:rPr>
          <w:color w:val="auto"/>
        </w:rPr>
        <w:t>postępowań administracyjnych celem</w:t>
      </w:r>
      <w:r w:rsidR="00D84E21">
        <w:rPr>
          <w:color w:val="auto"/>
        </w:rPr>
        <w:t xml:space="preserve"> </w:t>
      </w:r>
      <w:r w:rsidR="00D84E21" w:rsidRPr="006B40E0">
        <w:rPr>
          <w:color w:val="auto"/>
        </w:rPr>
        <w:t>wymierzenia kar. Przeprowadzają kontrolę i dokumentację</w:t>
      </w:r>
      <w:r w:rsidR="00540F0B">
        <w:rPr>
          <w:color w:val="auto"/>
        </w:rPr>
        <w:t xml:space="preserve"> </w:t>
      </w:r>
      <w:r w:rsidR="00D84E21" w:rsidRPr="006B40E0">
        <w:rPr>
          <w:color w:val="auto"/>
        </w:rPr>
        <w:t>z przeprowadzonej kontroli kierują do Wydziału Prawnego. Wcześniej przeprowadzali kontrolę i wymierzali kary. Obecnie skupiają się wyłącznie na kontrolach podmiotów nieprzestrzegających przepisów o ochronie środowiska.</w:t>
      </w:r>
      <w:r w:rsidR="00CF3F1E">
        <w:rPr>
          <w:color w:val="auto"/>
        </w:rPr>
        <w:t xml:space="preserve"> </w:t>
      </w:r>
      <w:r w:rsidR="00D84E21">
        <w:rPr>
          <w:color w:val="auto"/>
        </w:rPr>
        <w:t xml:space="preserve">Na zwiększone wykonanie wpływ miał także </w:t>
      </w:r>
      <w:r w:rsidR="00CF3F1E" w:rsidRPr="00C21C8E">
        <w:rPr>
          <w:color w:val="auto"/>
        </w:rPr>
        <w:t>sankcyjn</w:t>
      </w:r>
      <w:r w:rsidR="00D84E21">
        <w:rPr>
          <w:color w:val="auto"/>
        </w:rPr>
        <w:t>y</w:t>
      </w:r>
      <w:r w:rsidR="00CF3F1E" w:rsidRPr="00C21C8E">
        <w:rPr>
          <w:color w:val="auto"/>
        </w:rPr>
        <w:t xml:space="preserve"> charakter dochodów. Charakter dochodów czyni je trudnymi do dokładnego zaplanowania</w:t>
      </w:r>
      <w:r w:rsidR="00947895">
        <w:rPr>
          <w:color w:val="auto"/>
        </w:rPr>
        <w:t>;</w:t>
      </w:r>
    </w:p>
    <w:p w14:paraId="2F8742FD" w14:textId="58B0CA23" w:rsidR="00F0255D" w:rsidRPr="000103F8" w:rsidRDefault="00F0255D" w:rsidP="00F0255D">
      <w:pPr>
        <w:pStyle w:val="Tekstpodstawowy"/>
        <w:numPr>
          <w:ilvl w:val="0"/>
          <w:numId w:val="4"/>
        </w:numPr>
        <w:rPr>
          <w:color w:val="auto"/>
        </w:rPr>
      </w:pPr>
      <w:r w:rsidRPr="000103F8">
        <w:rPr>
          <w:color w:val="auto"/>
          <w:szCs w:val="28"/>
        </w:rPr>
        <w:t>kosztów egzekucji, opłat komorniczych oraz zwrotu kosztów upomnień</w:t>
      </w:r>
      <w:r w:rsidRPr="000103F8">
        <w:rPr>
          <w:color w:val="auto"/>
        </w:rPr>
        <w:t xml:space="preserve"> – </w:t>
      </w:r>
      <w:r w:rsidR="00026DB7" w:rsidRPr="000103F8">
        <w:rPr>
          <w:color w:val="auto"/>
        </w:rPr>
        <w:t>1</w:t>
      </w:r>
      <w:r w:rsidRPr="000103F8">
        <w:rPr>
          <w:color w:val="auto"/>
        </w:rPr>
        <w:t xml:space="preserve"> tys. zł, co stanowi </w:t>
      </w:r>
      <w:r w:rsidR="00026DB7" w:rsidRPr="000103F8">
        <w:rPr>
          <w:color w:val="auto"/>
        </w:rPr>
        <w:t>1</w:t>
      </w:r>
      <w:r w:rsidRPr="000103F8">
        <w:rPr>
          <w:color w:val="auto"/>
        </w:rPr>
        <w:t>00% planu wynoszącego 1 tys. zł;</w:t>
      </w:r>
    </w:p>
    <w:p w14:paraId="1E60DBB6" w14:textId="64877A12" w:rsidR="00F0255D" w:rsidRDefault="00182D21" w:rsidP="00F0255D">
      <w:pPr>
        <w:pStyle w:val="Tekstpodstawowy"/>
        <w:numPr>
          <w:ilvl w:val="0"/>
          <w:numId w:val="4"/>
        </w:numPr>
        <w:rPr>
          <w:color w:val="auto"/>
        </w:rPr>
      </w:pPr>
      <w:bookmarkStart w:id="0" w:name="_Hlk194571707"/>
      <w:r w:rsidRPr="000103F8">
        <w:rPr>
          <w:color w:val="auto"/>
        </w:rPr>
        <w:t>wpływów z kosztów kontroli, określanych decyzjami WIOŚ (m.in. koszty pobierania próbek, wykonania pomiarów i analiz ścieków) – 11 tys. zł, co stanowi 366,7% planu</w:t>
      </w:r>
      <w:r w:rsidR="00026DB7" w:rsidRPr="000103F8">
        <w:rPr>
          <w:color w:val="auto"/>
        </w:rPr>
        <w:t xml:space="preserve"> </w:t>
      </w:r>
      <w:r w:rsidR="00026DB7" w:rsidRPr="000103F8">
        <w:rPr>
          <w:color w:val="auto"/>
        </w:rPr>
        <w:lastRenderedPageBreak/>
        <w:t>wynoszącego 3 tys. zł</w:t>
      </w:r>
      <w:r w:rsidR="00947895" w:rsidRPr="000103F8">
        <w:rPr>
          <w:color w:val="auto"/>
        </w:rPr>
        <w:t>. Wyższe od planowanego wykonanie dochodów z tytułu wynika z</w:t>
      </w:r>
      <w:r w:rsidR="000103F8" w:rsidRPr="000103F8">
        <w:rPr>
          <w:color w:val="auto"/>
        </w:rPr>
        <w:t xml:space="preserve"> konieczności dokonania większej liczby czynności w toku przeprowadzanych kontroli</w:t>
      </w:r>
      <w:r>
        <w:rPr>
          <w:color w:val="auto"/>
        </w:rPr>
        <w:t>;</w:t>
      </w:r>
    </w:p>
    <w:bookmarkEnd w:id="0"/>
    <w:p w14:paraId="1491009D" w14:textId="44F86FC2" w:rsidR="00182D21" w:rsidRDefault="00182D21" w:rsidP="00F0255D">
      <w:pPr>
        <w:pStyle w:val="Tekstpodstawowy"/>
        <w:numPr>
          <w:ilvl w:val="0"/>
          <w:numId w:val="4"/>
        </w:numPr>
        <w:rPr>
          <w:color w:val="auto"/>
        </w:rPr>
      </w:pPr>
      <w:r w:rsidRPr="00182D21">
        <w:rPr>
          <w:color w:val="auto"/>
        </w:rPr>
        <w:t>opłaty prolongacyjnej</w:t>
      </w:r>
      <w:r>
        <w:rPr>
          <w:color w:val="auto"/>
        </w:rPr>
        <w:t xml:space="preserve"> – 8 tys. zł</w:t>
      </w:r>
      <w:r w:rsidR="00D22BA6">
        <w:rPr>
          <w:color w:val="auto"/>
        </w:rPr>
        <w:t xml:space="preserve"> (od 8 podmiotów)</w:t>
      </w:r>
      <w:r>
        <w:rPr>
          <w:color w:val="auto"/>
        </w:rPr>
        <w:t>, co stanowi 800% planu wynoszącego 1 tys. zł</w:t>
      </w:r>
      <w:r w:rsidR="00AC78AC">
        <w:rPr>
          <w:color w:val="auto"/>
        </w:rPr>
        <w:t xml:space="preserve">. </w:t>
      </w:r>
      <w:r w:rsidR="00AC78AC" w:rsidRPr="002D36ED">
        <w:rPr>
          <w:color w:val="auto"/>
        </w:rPr>
        <w:t>Wyższe od planowanego wykonanie dochodów</w:t>
      </w:r>
      <w:r w:rsidR="00D22BA6">
        <w:rPr>
          <w:color w:val="auto"/>
        </w:rPr>
        <w:t xml:space="preserve"> </w:t>
      </w:r>
      <w:r w:rsidR="00AC78AC" w:rsidRPr="002D36ED">
        <w:rPr>
          <w:color w:val="auto"/>
        </w:rPr>
        <w:t xml:space="preserve">wynika </w:t>
      </w:r>
      <w:r w:rsidR="00D22BA6">
        <w:rPr>
          <w:color w:val="auto"/>
        </w:rPr>
        <w:br/>
      </w:r>
      <w:r w:rsidR="00AC78AC" w:rsidRPr="002D36ED">
        <w:rPr>
          <w:color w:val="auto"/>
        </w:rPr>
        <w:t>z</w:t>
      </w:r>
      <w:r w:rsidR="002D36ED">
        <w:rPr>
          <w:color w:val="auto"/>
        </w:rPr>
        <w:t xml:space="preserve"> charakteru tego tytułu dochodów, </w:t>
      </w:r>
      <w:r w:rsidR="00A23AB3">
        <w:rPr>
          <w:color w:val="auto"/>
        </w:rPr>
        <w:t>trudnych</w:t>
      </w:r>
      <w:r w:rsidR="002D36ED">
        <w:rPr>
          <w:color w:val="auto"/>
        </w:rPr>
        <w:t xml:space="preserve"> do przewidzenia na etapie planowania</w:t>
      </w:r>
      <w:r>
        <w:rPr>
          <w:color w:val="auto"/>
        </w:rPr>
        <w:t>;</w:t>
      </w:r>
    </w:p>
    <w:p w14:paraId="4A02CDF2" w14:textId="5A82759E" w:rsidR="00182D21" w:rsidRDefault="00182D21" w:rsidP="00F0255D">
      <w:pPr>
        <w:pStyle w:val="Tekstpodstawowy"/>
        <w:numPr>
          <w:ilvl w:val="0"/>
          <w:numId w:val="4"/>
        </w:numPr>
        <w:rPr>
          <w:color w:val="auto"/>
        </w:rPr>
      </w:pPr>
      <w:bookmarkStart w:id="1" w:name="_Hlk194571791"/>
      <w:r w:rsidRPr="00182D21">
        <w:rPr>
          <w:color w:val="auto"/>
        </w:rPr>
        <w:t>odsetek za zwłokę</w:t>
      </w:r>
      <w:r>
        <w:rPr>
          <w:color w:val="auto"/>
        </w:rPr>
        <w:t xml:space="preserve"> – 61 tys. zł, co stanowi 762,5% planu wynoszącego 8 tys. zł</w:t>
      </w:r>
      <w:r w:rsidR="00AC78AC">
        <w:rPr>
          <w:color w:val="auto"/>
        </w:rPr>
        <w:t xml:space="preserve">. </w:t>
      </w:r>
      <w:r w:rsidR="00AC78AC" w:rsidRPr="000103F8">
        <w:rPr>
          <w:color w:val="auto"/>
        </w:rPr>
        <w:t>Wyższe od planowanego wykonanie dochodów z tytułu wynika z</w:t>
      </w:r>
      <w:r w:rsidR="00BE72E6">
        <w:rPr>
          <w:color w:val="auto"/>
        </w:rPr>
        <w:t xml:space="preserve"> charakteru dochodów.</w:t>
      </w:r>
      <w:r w:rsidR="000103F8">
        <w:rPr>
          <w:color w:val="auto"/>
        </w:rPr>
        <w:t xml:space="preserve"> Plan oparto na wielkości wpływów z lat poprzednich. Udało się jednak wyegzekwować znaczącą część odsetek za wpłaty mające mieć miejsce w roku 2023</w:t>
      </w:r>
      <w:r>
        <w:rPr>
          <w:color w:val="auto"/>
        </w:rPr>
        <w:t>;</w:t>
      </w:r>
    </w:p>
    <w:bookmarkEnd w:id="1"/>
    <w:p w14:paraId="22A07214" w14:textId="3C62F9E1" w:rsidR="00182D21" w:rsidRDefault="00182D21" w:rsidP="00F0255D">
      <w:pPr>
        <w:pStyle w:val="Tekstpodstawowy"/>
        <w:numPr>
          <w:ilvl w:val="0"/>
          <w:numId w:val="4"/>
        </w:numPr>
        <w:rPr>
          <w:color w:val="auto"/>
        </w:rPr>
      </w:pPr>
      <w:r w:rsidRPr="000103F8">
        <w:rPr>
          <w:color w:val="auto"/>
        </w:rPr>
        <w:t>rozliczeń z lat ubiegłych – 3 tys. zł, co stanowi 300% planu wynoszącego 1 tys. zł</w:t>
      </w:r>
      <w:r w:rsidR="00AC78AC" w:rsidRPr="000103F8">
        <w:rPr>
          <w:color w:val="auto"/>
        </w:rPr>
        <w:t>. Wyższe od planowanego wykonanie dochodów z tytułu wynika z</w:t>
      </w:r>
      <w:r w:rsidR="000103F8" w:rsidRPr="000103F8">
        <w:rPr>
          <w:color w:val="auto"/>
        </w:rPr>
        <w:t xml:space="preserve"> oparcia założeń </w:t>
      </w:r>
      <w:r w:rsidR="000103F8">
        <w:rPr>
          <w:color w:val="auto"/>
        </w:rPr>
        <w:br/>
      </w:r>
      <w:r w:rsidR="000103F8" w:rsidRPr="000103F8">
        <w:rPr>
          <w:color w:val="auto"/>
        </w:rPr>
        <w:t>o wpływy z lat ubiegłych</w:t>
      </w:r>
      <w:r>
        <w:rPr>
          <w:color w:val="auto"/>
        </w:rPr>
        <w:t>;</w:t>
      </w:r>
    </w:p>
    <w:p w14:paraId="0BE6EAF9" w14:textId="40F69EC8" w:rsidR="00182D21" w:rsidRDefault="00182D21" w:rsidP="00F0255D">
      <w:pPr>
        <w:pStyle w:val="Tekstpodstawowy"/>
        <w:numPr>
          <w:ilvl w:val="0"/>
          <w:numId w:val="4"/>
        </w:numPr>
        <w:rPr>
          <w:color w:val="auto"/>
        </w:rPr>
      </w:pPr>
      <w:r w:rsidRPr="00182D21">
        <w:rPr>
          <w:color w:val="auto"/>
        </w:rPr>
        <w:t xml:space="preserve">wynagrodzenie płatnika za terminowe regulowanie zobowiązań </w:t>
      </w:r>
      <w:r w:rsidR="00D22BA6">
        <w:rPr>
          <w:color w:val="auto"/>
        </w:rPr>
        <w:t xml:space="preserve">podatkowych </w:t>
      </w:r>
      <w:r w:rsidRPr="00182D21">
        <w:rPr>
          <w:color w:val="auto"/>
        </w:rPr>
        <w:t>oraz udostępniania informacji o środowisku</w:t>
      </w:r>
      <w:r>
        <w:rPr>
          <w:color w:val="auto"/>
        </w:rPr>
        <w:t xml:space="preserve"> – 2 tys. zł, co stanowi 40% planu wynoszącego 5 tys. zł</w:t>
      </w:r>
      <w:r w:rsidR="00AC78AC">
        <w:rPr>
          <w:color w:val="auto"/>
        </w:rPr>
        <w:t xml:space="preserve">. </w:t>
      </w:r>
      <w:r w:rsidR="00AC78AC" w:rsidRPr="002D36ED">
        <w:rPr>
          <w:color w:val="auto"/>
        </w:rPr>
        <w:t>Niższe od planowanego wykonanie dochodów z tytułu wynika z</w:t>
      </w:r>
      <w:r w:rsidR="002D36ED">
        <w:rPr>
          <w:color w:val="auto"/>
        </w:rPr>
        <w:t xml:space="preserve"> charakteru dochodów. Wysokość dochodów zależna jest przede wszystkim od liczby złożonych wniosków o udostępnienie informacji o środowisku</w:t>
      </w:r>
      <w:r w:rsidR="00A23AB3">
        <w:rPr>
          <w:color w:val="auto"/>
        </w:rPr>
        <w:t>.</w:t>
      </w:r>
    </w:p>
    <w:p w14:paraId="41DA68DB" w14:textId="77777777" w:rsidR="00F0255D" w:rsidRDefault="00F0255D" w:rsidP="00F0255D">
      <w:pPr>
        <w:pStyle w:val="Tekstpodstawowy"/>
        <w:rPr>
          <w:color w:val="auto"/>
        </w:rPr>
      </w:pPr>
    </w:p>
    <w:p w14:paraId="4B08BC5E" w14:textId="503633D9" w:rsidR="00F0255D" w:rsidRDefault="00026DB7" w:rsidP="00F0255D">
      <w:pPr>
        <w:pStyle w:val="Tekstpodstawowy"/>
        <w:rPr>
          <w:color w:val="auto"/>
        </w:rPr>
      </w:pPr>
      <w:r w:rsidRPr="00541B89">
        <w:rPr>
          <w:color w:val="auto"/>
        </w:rPr>
        <w:t>Należności na koniec 2024 r. wynoszą 5</w:t>
      </w:r>
      <w:r w:rsidR="002D36ED" w:rsidRPr="00541B89">
        <w:rPr>
          <w:color w:val="auto"/>
        </w:rPr>
        <w:t>5</w:t>
      </w:r>
      <w:r w:rsidRPr="00541B89">
        <w:rPr>
          <w:color w:val="auto"/>
        </w:rPr>
        <w:t>8 tys. zł</w:t>
      </w:r>
      <w:r w:rsidR="002D36ED" w:rsidRPr="00541B89">
        <w:rPr>
          <w:color w:val="auto"/>
        </w:rPr>
        <w:t xml:space="preserve"> i zmalały w stosunku do roku 2023 </w:t>
      </w:r>
      <w:r w:rsidR="00D22BA6">
        <w:rPr>
          <w:color w:val="auto"/>
        </w:rPr>
        <w:br/>
      </w:r>
      <w:r w:rsidR="002D36ED" w:rsidRPr="00541B89">
        <w:rPr>
          <w:color w:val="auto"/>
        </w:rPr>
        <w:t>o 11 tys. zł. Głównymi tytułami należności pozostaj</w:t>
      </w:r>
      <w:r w:rsidR="00541B89" w:rsidRPr="00541B89">
        <w:rPr>
          <w:color w:val="auto"/>
        </w:rPr>
        <w:t>ą grzywny i kary nałożone na osoby fizyczne oraz osoby prawne i inne jednostki organizacyjne.</w:t>
      </w:r>
    </w:p>
    <w:p w14:paraId="4F55B623" w14:textId="77777777" w:rsidR="00566838" w:rsidRDefault="00566838"/>
    <w:sectPr w:rsidR="00566838" w:rsidSect="00F0255D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188FC" w14:textId="77777777" w:rsidR="00A44430" w:rsidRDefault="00A44430">
      <w:r>
        <w:separator/>
      </w:r>
    </w:p>
  </w:endnote>
  <w:endnote w:type="continuationSeparator" w:id="0">
    <w:p w14:paraId="0800048A" w14:textId="77777777" w:rsidR="00A44430" w:rsidRDefault="00A44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35B38" w14:textId="77777777" w:rsidR="00A44430" w:rsidRDefault="00A44430">
      <w:r>
        <w:separator/>
      </w:r>
    </w:p>
  </w:footnote>
  <w:footnote w:type="continuationSeparator" w:id="0">
    <w:p w14:paraId="13A4C955" w14:textId="77777777" w:rsidR="00A44430" w:rsidRDefault="00A44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617F5" w14:textId="77777777" w:rsidR="005B4533" w:rsidRDefault="005B4533">
    <w:pPr>
      <w:pStyle w:val="Nagwek"/>
      <w:rPr>
        <w:sz w:val="20"/>
        <w:szCs w:val="20"/>
      </w:rPr>
    </w:pPr>
  </w:p>
  <w:p w14:paraId="04C1E434" w14:textId="77777777" w:rsidR="005B4533" w:rsidRPr="006B5589" w:rsidRDefault="00000000">
    <w:pPr>
      <w:pStyle w:val="Nagwek"/>
      <w:rPr>
        <w:sz w:val="20"/>
        <w:szCs w:val="20"/>
      </w:rPr>
    </w:pPr>
    <w:r w:rsidRPr="006B5589">
      <w:rPr>
        <w:sz w:val="20"/>
        <w:szCs w:val="20"/>
      </w:rPr>
      <w:t>cz. 85/22 – województwo pomorskie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2129"/>
    <w:multiLevelType w:val="hybridMultilevel"/>
    <w:tmpl w:val="B72CB7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201883"/>
    <w:multiLevelType w:val="hybridMultilevel"/>
    <w:tmpl w:val="5928C98E"/>
    <w:lvl w:ilvl="0" w:tplc="E034BA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F1426"/>
    <w:multiLevelType w:val="hybridMultilevel"/>
    <w:tmpl w:val="555E8BC4"/>
    <w:lvl w:ilvl="0" w:tplc="5C0494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547DBA"/>
    <w:multiLevelType w:val="hybridMultilevel"/>
    <w:tmpl w:val="1D267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19220">
    <w:abstractNumId w:val="1"/>
  </w:num>
  <w:num w:numId="2" w16cid:durableId="2015063978">
    <w:abstractNumId w:val="0"/>
  </w:num>
  <w:num w:numId="3" w16cid:durableId="1884554899">
    <w:abstractNumId w:val="2"/>
  </w:num>
  <w:num w:numId="4" w16cid:durableId="1015225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55D"/>
    <w:rsid w:val="000103F8"/>
    <w:rsid w:val="00026DB7"/>
    <w:rsid w:val="00053CD2"/>
    <w:rsid w:val="00102564"/>
    <w:rsid w:val="00132259"/>
    <w:rsid w:val="00182D21"/>
    <w:rsid w:val="00277849"/>
    <w:rsid w:val="002D36ED"/>
    <w:rsid w:val="00347AA5"/>
    <w:rsid w:val="0038055D"/>
    <w:rsid w:val="003F55F4"/>
    <w:rsid w:val="00433DB3"/>
    <w:rsid w:val="00540F0B"/>
    <w:rsid w:val="00541B89"/>
    <w:rsid w:val="00566838"/>
    <w:rsid w:val="005B4533"/>
    <w:rsid w:val="006151DA"/>
    <w:rsid w:val="006B40E0"/>
    <w:rsid w:val="00701B4C"/>
    <w:rsid w:val="00701D73"/>
    <w:rsid w:val="007257B7"/>
    <w:rsid w:val="007346AB"/>
    <w:rsid w:val="007D6C9F"/>
    <w:rsid w:val="008460AD"/>
    <w:rsid w:val="00947895"/>
    <w:rsid w:val="0095503D"/>
    <w:rsid w:val="009E0D11"/>
    <w:rsid w:val="009E619A"/>
    <w:rsid w:val="00A23AB3"/>
    <w:rsid w:val="00A44430"/>
    <w:rsid w:val="00AC78AC"/>
    <w:rsid w:val="00AE2182"/>
    <w:rsid w:val="00B67DAF"/>
    <w:rsid w:val="00B9796B"/>
    <w:rsid w:val="00BE1251"/>
    <w:rsid w:val="00BE72E6"/>
    <w:rsid w:val="00C21C8E"/>
    <w:rsid w:val="00C75AD0"/>
    <w:rsid w:val="00CC303F"/>
    <w:rsid w:val="00CE260E"/>
    <w:rsid w:val="00CF3F1E"/>
    <w:rsid w:val="00D107D7"/>
    <w:rsid w:val="00D22BA6"/>
    <w:rsid w:val="00D84E21"/>
    <w:rsid w:val="00E76AD8"/>
    <w:rsid w:val="00EE1948"/>
    <w:rsid w:val="00F0255D"/>
    <w:rsid w:val="00F51599"/>
    <w:rsid w:val="00F6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54C29"/>
  <w15:chartTrackingRefBased/>
  <w15:docId w15:val="{2DF36368-96E9-4F93-9DC2-E93221F2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5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2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2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25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2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25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F0255D"/>
    <w:pPr>
      <w:keepNext/>
      <w:keepLines/>
      <w:spacing w:before="40"/>
      <w:outlineLvl w:val="5"/>
    </w:pPr>
    <w:rPr>
      <w:rFonts w:eastAsiaTheme="majorEastAsia" w:cstheme="majorBidi"/>
      <w:b/>
      <w:iCs/>
      <w:sz w:val="3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25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25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25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2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2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2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25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25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F0255D"/>
    <w:rPr>
      <w:rFonts w:ascii="Times New Roman" w:eastAsiaTheme="majorEastAsia" w:hAnsi="Times New Roman" w:cstheme="majorBidi"/>
      <w:b/>
      <w:iCs/>
      <w:kern w:val="0"/>
      <w:sz w:val="32"/>
      <w:szCs w:val="24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25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25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25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25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2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2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2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2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25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25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25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2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25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255D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F0255D"/>
    <w:pPr>
      <w:spacing w:line="360" w:lineRule="auto"/>
      <w:jc w:val="both"/>
    </w:pPr>
    <w:rPr>
      <w:color w:val="FF0000"/>
      <w:szCs w:val="26"/>
    </w:rPr>
  </w:style>
  <w:style w:type="character" w:customStyle="1" w:styleId="TekstpodstawowyZnak">
    <w:name w:val="Tekst podstawowy Znak"/>
    <w:basedOn w:val="Domylnaczcionkaakapitu"/>
    <w:link w:val="Tekstpodstawowy"/>
    <w:rsid w:val="00F0255D"/>
    <w:rPr>
      <w:rFonts w:ascii="Times New Roman" w:eastAsia="Times New Roman" w:hAnsi="Times New Roman" w:cs="Times New Roman"/>
      <w:color w:val="FF0000"/>
      <w:kern w:val="0"/>
      <w:sz w:val="24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025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255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ekstpodstawowy21">
    <w:name w:val="Tekst podstawowy 21"/>
    <w:basedOn w:val="Normalny"/>
    <w:rsid w:val="00F0255D"/>
    <w:pPr>
      <w:suppressAutoHyphens/>
      <w:spacing w:line="360" w:lineRule="auto"/>
      <w:jc w:val="both"/>
    </w:pPr>
    <w:rPr>
      <w:rFonts w:cs="Calibri"/>
      <w:szCs w:val="26"/>
      <w:lang w:eastAsia="ar-SA"/>
    </w:rPr>
  </w:style>
  <w:style w:type="character" w:customStyle="1" w:styleId="highlight-disabled">
    <w:name w:val="highlight-disabled"/>
    <w:basedOn w:val="Domylnaczcionkaakapitu"/>
    <w:rsid w:val="00F02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525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Peciak</dc:creator>
  <cp:keywords/>
  <dc:description/>
  <cp:lastModifiedBy>Konrad Peciak</cp:lastModifiedBy>
  <cp:revision>15</cp:revision>
  <dcterms:created xsi:type="dcterms:W3CDTF">2025-03-27T13:18:00Z</dcterms:created>
  <dcterms:modified xsi:type="dcterms:W3CDTF">2025-04-17T07:59:00Z</dcterms:modified>
</cp:coreProperties>
</file>