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tabs>
          <w:tab w:val="left" w:pos="708" w:leader="none"/>
          <w:tab w:val="left" w:pos="1416" w:leader="none"/>
          <w:tab w:val="center" w:pos="4748" w:leader="none"/>
        </w:tabs>
        <w:spacing w:before="0" w:after="0"/>
        <w:ind w:firstLine="425"/>
        <w:jc w:val="right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  <w:t xml:space="preserve">Załącznik do uchwały nr 10 </w:t>
      </w:r>
    </w:p>
    <w:p>
      <w:pPr>
        <w:pStyle w:val="Normal"/>
        <w:tabs>
          <w:tab w:val="left" w:pos="708" w:leader="none"/>
          <w:tab w:val="left" w:pos="1416" w:leader="none"/>
          <w:tab w:val="center" w:pos="4748" w:leader="none"/>
        </w:tabs>
        <w:spacing w:before="0" w:after="0"/>
        <w:ind w:firstLine="425"/>
        <w:jc w:val="right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  <w:t xml:space="preserve">Komitetu Rady Ministrów do Spraw Cyfryzacji </w:t>
      </w:r>
    </w:p>
    <w:p>
      <w:pPr>
        <w:pStyle w:val="Normal"/>
        <w:tabs>
          <w:tab w:val="left" w:pos="708" w:leader="none"/>
          <w:tab w:val="left" w:pos="1416" w:leader="none"/>
          <w:tab w:val="center" w:pos="4748" w:leader="none"/>
        </w:tabs>
        <w:spacing w:before="0" w:after="0"/>
        <w:ind w:firstLine="425"/>
        <w:jc w:val="right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  <w:t xml:space="preserve">z dnia 16 kwietnia 2020 r.  </w:t>
      </w:r>
    </w:p>
    <w:p>
      <w:pPr>
        <w:pStyle w:val="Normal"/>
        <w:tabs>
          <w:tab w:val="left" w:pos="708" w:leader="none"/>
          <w:tab w:val="left" w:pos="1416" w:leader="none"/>
          <w:tab w:val="center" w:pos="4748" w:leader="none"/>
        </w:tabs>
        <w:spacing w:before="180" w:after="0"/>
        <w:ind w:firstLine="425"/>
        <w:jc w:val="center"/>
        <w:rPr>
          <w:rFonts w:ascii="Arial" w:hAnsi="Arial" w:cs="Arial"/>
          <w:b/>
          <w:b/>
          <w:sz w:val="26"/>
          <w:szCs w:val="26"/>
        </w:rPr>
      </w:pPr>
      <w:r>
        <w:rPr>
          <w:rFonts w:cs="Arial" w:ascii="Arial" w:hAnsi="Arial"/>
          <w:b/>
          <w:sz w:val="26"/>
          <w:szCs w:val="26"/>
        </w:rPr>
      </w:r>
    </w:p>
    <w:p>
      <w:pPr>
        <w:pStyle w:val="Nagwek1"/>
        <w:spacing w:lineRule="auto" w:line="240" w:before="0" w:after="120"/>
        <w:jc w:val="center"/>
        <w:rPr>
          <w:rFonts w:ascii="Arial" w:hAnsi="Arial" w:cs="Arial"/>
          <w:b/>
          <w:b/>
          <w:color w:val="00000A"/>
          <w:sz w:val="24"/>
          <w:szCs w:val="24"/>
        </w:rPr>
      </w:pPr>
      <w:r>
        <w:rPr>
          <w:rFonts w:cs="Arial" w:ascii="Arial" w:hAnsi="Arial"/>
          <w:b/>
          <w:color w:val="00000A"/>
          <w:sz w:val="24"/>
          <w:szCs w:val="24"/>
        </w:rPr>
        <w:t xml:space="preserve">Raport z postępu rzeczowo-finansowego projektu informatycznego </w:t>
      </w:r>
    </w:p>
    <w:p>
      <w:pPr>
        <w:pStyle w:val="Nagwek1"/>
        <w:spacing w:lineRule="auto" w:line="240" w:before="0" w:after="120"/>
        <w:jc w:val="center"/>
        <w:rPr/>
      </w:pPr>
      <w:r>
        <w:rPr>
          <w:rFonts w:cs="Arial" w:ascii="Arial" w:hAnsi="Arial"/>
          <w:b/>
          <w:color w:val="00000A"/>
          <w:sz w:val="24"/>
          <w:szCs w:val="24"/>
        </w:rPr>
        <w:t>za I kwartał 2021 roku</w:t>
      </w:r>
    </w:p>
    <w:p>
      <w:pPr>
        <w:pStyle w:val="Normal"/>
        <w:spacing w:before="0" w:after="360"/>
        <w:jc w:val="center"/>
        <w:rPr>
          <w:rFonts w:ascii="Arial" w:hAnsi="Arial" w:cs="Arial"/>
        </w:rPr>
      </w:pPr>
      <w:r>
        <w:rPr>
          <w:rFonts w:cs="Arial" w:ascii="Arial" w:hAnsi="Arial"/>
        </w:rPr>
        <w:t>(dane należy wskazać w zakresie odnoszącym się do okresu sprawozdawczego)</w:t>
      </w:r>
    </w:p>
    <w:tbl>
      <w:tblPr>
        <w:tblW w:w="5000" w:type="pct"/>
        <w:jc w:val="left"/>
        <w:tblInd w:w="0" w:type="dxa"/>
        <w:tblCellMar>
          <w:top w:w="0" w:type="dxa"/>
          <w:left w:w="103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2691"/>
        <w:gridCol w:w="6382"/>
      </w:tblGrid>
      <w:tr>
        <w:trPr>
          <w:trHeight w:val="57" w:hRule="atLeast"/>
        </w:trPr>
        <w:tc>
          <w:tcPr>
            <w:tcW w:w="26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D0CECE" w:themeFill="background2" w:themeFillShade="e6" w:val="clear"/>
            <w:vAlign w:val="center"/>
          </w:tcPr>
          <w:p>
            <w:pPr>
              <w:pStyle w:val="Normal"/>
              <w:spacing w:lineRule="auto" w:line="240" w:before="0" w:after="120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  <w:t>Tytuł projektu</w:t>
            </w:r>
          </w:p>
        </w:tc>
        <w:tc>
          <w:tcPr>
            <w:tcW w:w="63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Web"/>
              <w:spacing w:lineRule="auto" w:line="276" w:before="0" w:after="159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</w:rPr>
              <w:t>Ucyfrowienie zasobów akademickich regionu kujawsko-pomorskiego dla potrzeb nauki i dydaktyki całego kraju</w:t>
            </w:r>
          </w:p>
        </w:tc>
      </w:tr>
      <w:tr>
        <w:trPr>
          <w:trHeight w:val="57" w:hRule="atLeast"/>
        </w:trPr>
        <w:tc>
          <w:tcPr>
            <w:tcW w:w="26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D0CECE" w:themeFill="background2" w:themeFillShade="e6" w:val="clear"/>
            <w:vAlign w:val="center"/>
          </w:tcPr>
          <w:p>
            <w:pPr>
              <w:pStyle w:val="Normal"/>
              <w:spacing w:lineRule="auto" w:line="240" w:before="0" w:after="120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  <w:t>Wnioskodawca</w:t>
            </w:r>
          </w:p>
        </w:tc>
        <w:tc>
          <w:tcPr>
            <w:tcW w:w="63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Web"/>
              <w:spacing w:before="0" w:after="119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</w:rPr>
              <w:t xml:space="preserve">Uniwersytet Mikołaja Kopernika w Toruniu </w:t>
            </w:r>
          </w:p>
        </w:tc>
      </w:tr>
      <w:tr>
        <w:trPr>
          <w:trHeight w:val="57" w:hRule="atLeast"/>
        </w:trPr>
        <w:tc>
          <w:tcPr>
            <w:tcW w:w="26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D0CECE" w:themeFill="background2" w:themeFillShade="e6" w:val="clear"/>
            <w:vAlign w:val="center"/>
          </w:tcPr>
          <w:p>
            <w:pPr>
              <w:pStyle w:val="Normal"/>
              <w:spacing w:lineRule="auto" w:line="240" w:before="0" w:after="120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  <w:t>Beneficjent</w:t>
            </w:r>
          </w:p>
        </w:tc>
        <w:tc>
          <w:tcPr>
            <w:tcW w:w="63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Web"/>
              <w:spacing w:lineRule="auto" w:line="276" w:before="0" w:after="159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</w:rPr>
              <w:t>Uniwersytet Mikołaja Kopernika w Toruniu</w:t>
            </w:r>
          </w:p>
        </w:tc>
      </w:tr>
      <w:tr>
        <w:trPr>
          <w:trHeight w:val="57" w:hRule="atLeast"/>
        </w:trPr>
        <w:tc>
          <w:tcPr>
            <w:tcW w:w="26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D0CECE" w:themeFill="background2" w:themeFillShade="e6" w:val="clear"/>
            <w:vAlign w:val="center"/>
          </w:tcPr>
          <w:p>
            <w:pPr>
              <w:pStyle w:val="Normal"/>
              <w:spacing w:lineRule="auto" w:line="240" w:before="0" w:after="120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  <w:t>Partnerzy</w:t>
            </w:r>
          </w:p>
        </w:tc>
        <w:tc>
          <w:tcPr>
            <w:tcW w:w="63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Web"/>
              <w:spacing w:lineRule="auto" w:line="276" w:before="0" w:after="159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</w:rPr>
              <w:t>Uniwersytet Kazimierza Wielkiego w Bydgoszczy</w:t>
            </w:r>
          </w:p>
        </w:tc>
      </w:tr>
      <w:tr>
        <w:trPr>
          <w:trHeight w:val="57" w:hRule="atLeast"/>
        </w:trPr>
        <w:tc>
          <w:tcPr>
            <w:tcW w:w="26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D0CECE" w:themeFill="background2" w:themeFillShade="e6" w:val="clear"/>
            <w:vAlign w:val="center"/>
          </w:tcPr>
          <w:p>
            <w:pPr>
              <w:pStyle w:val="Normal"/>
              <w:spacing w:lineRule="auto" w:line="240" w:before="0" w:after="120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63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Web"/>
              <w:spacing w:lineRule="auto" w:line="276" w:before="0" w:after="159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</w:rPr>
              <w:t>Programu Operacyjnego Polska Cyfrowa na lata 2014 – 2020, Oś Priorytetowa nr 2 „E- administracja i otwarty rząd”, Działanie nr 2.3 „Cyfrowa dostępność i użyteczność informacji sektora publicznego”, Poddziałanie nr 2.3.1 „Cyfrowe udostępnienie informacji sektora publicznego ze źródeł administracyjnych i zasobów nauki (typ projektu: cyfrowe udostępnianie zasobów. Część budżetowa z której finansowany jest projekt, to: część 27- Informatyzacja</w:t>
            </w:r>
          </w:p>
        </w:tc>
      </w:tr>
      <w:tr>
        <w:trPr>
          <w:trHeight w:val="57" w:hRule="atLeast"/>
        </w:trPr>
        <w:tc>
          <w:tcPr>
            <w:tcW w:w="26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D0CECE" w:themeFill="background2" w:themeFillShade="e6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  <w:t xml:space="preserve">Całkowity koszt </w:t>
            </w:r>
          </w:p>
          <w:p>
            <w:pPr>
              <w:pStyle w:val="Normal"/>
              <w:spacing w:lineRule="auto" w:line="240" w:before="0" w:after="120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  <w:t>projektu</w:t>
            </w:r>
          </w:p>
        </w:tc>
        <w:tc>
          <w:tcPr>
            <w:tcW w:w="63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Web"/>
              <w:spacing w:lineRule="auto" w:line="276" w:before="0" w:after="159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  <w:color w:val="000000"/>
              </w:rPr>
              <w:t>4 599 042,05</w:t>
            </w:r>
          </w:p>
        </w:tc>
      </w:tr>
      <w:tr>
        <w:trPr>
          <w:trHeight w:val="57" w:hRule="atLeast"/>
        </w:trPr>
        <w:tc>
          <w:tcPr>
            <w:tcW w:w="26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D0CECE" w:themeFill="background2" w:themeFillShade="e6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  <w:t>Całkowity koszt projektu - wydatki kwalifikowalne</w:t>
            </w:r>
          </w:p>
        </w:tc>
        <w:tc>
          <w:tcPr>
            <w:tcW w:w="63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Web"/>
              <w:spacing w:lineRule="auto" w:line="276" w:before="0" w:after="159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  <w:color w:val="000000"/>
              </w:rPr>
              <w:t>4 599 042,05</w:t>
            </w:r>
          </w:p>
        </w:tc>
      </w:tr>
      <w:tr>
        <w:trPr>
          <w:trHeight w:val="57" w:hRule="atLeast"/>
        </w:trPr>
        <w:tc>
          <w:tcPr>
            <w:tcW w:w="26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D0CECE" w:themeFill="background2" w:themeFillShade="e6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  <w:t xml:space="preserve">Okres realizacji </w:t>
            </w:r>
          </w:p>
          <w:p>
            <w:pPr>
              <w:pStyle w:val="Normal"/>
              <w:spacing w:lineRule="auto" w:line="240" w:before="0" w:after="120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  <w:t>projektu</w:t>
            </w:r>
          </w:p>
        </w:tc>
        <w:tc>
          <w:tcPr>
            <w:tcW w:w="63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Web"/>
              <w:spacing w:before="0" w:after="0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</w:rPr>
              <w:t>Data rozpoczęcia realizacji projektu: 01.08.2018 r.</w:t>
              <w:br/>
              <w:t>Data zakończenia realizacji projektu: 31.07.2021 r.</w:t>
            </w:r>
          </w:p>
        </w:tc>
      </w:tr>
    </w:tbl>
    <w:p>
      <w:pPr>
        <w:pStyle w:val="Nagwek2"/>
        <w:numPr>
          <w:ilvl w:val="0"/>
          <w:numId w:val="1"/>
        </w:numPr>
        <w:spacing w:before="360" w:after="0"/>
        <w:ind w:left="284" w:right="282" w:hanging="284"/>
        <w:rPr>
          <w:rFonts w:ascii="Arial" w:hAnsi="Arial" w:cs="Arial"/>
          <w:b/>
          <w:b/>
          <w:color w:val="00000A"/>
          <w:sz w:val="24"/>
          <w:szCs w:val="24"/>
        </w:rPr>
      </w:pPr>
      <w:r>
        <w:rPr>
          <w:rFonts w:cs="Arial" w:ascii="Arial" w:hAnsi="Arial"/>
          <w:b/>
          <w:color w:val="00000A"/>
          <w:sz w:val="24"/>
          <w:szCs w:val="24"/>
        </w:rPr>
        <w:t xml:space="preserve">Otoczenie prawne </w:t>
      </w:r>
      <w:r>
        <w:rPr>
          <w:rFonts w:eastAsia="Calibri" w:cs="Arial" w:ascii="Arial" w:hAnsi="Arial" w:eastAsiaTheme="minorHAnsi"/>
          <w:color w:val="767171" w:themeColor="background2" w:themeShade="80"/>
          <w:sz w:val="20"/>
          <w:szCs w:val="20"/>
        </w:rPr>
        <w:t>&lt;maksymalnie 1000 znaków&gt;</w:t>
      </w:r>
    </w:p>
    <w:p>
      <w:pPr>
        <w:pStyle w:val="Nagwek3"/>
        <w:spacing w:before="40" w:after="360"/>
        <w:ind w:left="284" w:hanging="284"/>
        <w:rPr>
          <w:rFonts w:ascii="Arial" w:hAnsi="Arial" w:cs="Arial"/>
          <w:sz w:val="18"/>
          <w:szCs w:val="18"/>
        </w:rPr>
      </w:pPr>
      <w:r>
        <w:rPr>
          <w:rFonts w:cs="Arial" w:ascii="Arial" w:hAnsi="Arial"/>
        </w:rPr>
        <w:t xml:space="preserve"> </w:t>
      </w:r>
      <w:r>
        <w:rPr>
          <w:rFonts w:cs="Arial" w:ascii="Arial" w:hAnsi="Arial"/>
        </w:rPr>
        <w:tab/>
      </w:r>
      <w:r>
        <w:rPr>
          <w:rFonts w:cs="Arial" w:ascii="Arial" w:hAnsi="Arial"/>
          <w:sz w:val="18"/>
          <w:szCs w:val="18"/>
        </w:rPr>
        <w:t>Nie dotyczy</w:t>
      </w:r>
      <w:r>
        <w:rPr>
          <w:rFonts w:eastAsia="Calibri" w:cs="Arial" w:ascii="Arial" w:hAnsi="Arial" w:eastAsiaTheme="minorHAnsi"/>
          <w:color w:val="0070C0"/>
          <w:sz w:val="18"/>
          <w:szCs w:val="18"/>
        </w:rPr>
        <w:t xml:space="preserve"> </w:t>
      </w:r>
    </w:p>
    <w:p>
      <w:pPr>
        <w:pStyle w:val="Nagwek2"/>
        <w:numPr>
          <w:ilvl w:val="0"/>
          <w:numId w:val="1"/>
        </w:numPr>
        <w:ind w:left="426" w:hanging="426"/>
        <w:rPr>
          <w:rFonts w:ascii="Arial" w:hAnsi="Arial" w:eastAsia="Calibri" w:cs="Arial" w:eastAsiaTheme="minorHAnsi"/>
          <w:b/>
          <w:b/>
          <w:i/>
          <w:i/>
          <w:color w:val="00000A"/>
          <w:sz w:val="24"/>
          <w:szCs w:val="24"/>
        </w:rPr>
      </w:pPr>
      <w:r>
        <w:rPr>
          <w:rFonts w:cs="Arial" w:ascii="Arial" w:hAnsi="Arial"/>
          <w:b/>
          <w:color w:val="00000A"/>
          <w:sz w:val="24"/>
          <w:szCs w:val="24"/>
        </w:rPr>
        <w:t>Postęp finansowy</w:t>
      </w:r>
    </w:p>
    <w:tbl>
      <w:tblPr>
        <w:tblStyle w:val="Tabela-Siatka"/>
        <w:tblW w:w="96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971"/>
        <w:gridCol w:w="3258"/>
        <w:gridCol w:w="3405"/>
      </w:tblGrid>
      <w:tr>
        <w:trPr>
          <w:tblHeader w:val="true"/>
        </w:trPr>
        <w:tc>
          <w:tcPr>
            <w:tcW w:w="2971" w:type="dxa"/>
            <w:tcBorders/>
            <w:shd w:color="auto" w:fill="D0CECE" w:themeFill="background2" w:themeFillShade="e6" w:val="clear"/>
            <w:vAlign w:val="center"/>
          </w:tcPr>
          <w:p>
            <w:pPr>
              <w:pStyle w:val="Normal"/>
              <w:spacing w:lineRule="auto" w:line="240" w:before="120" w:after="0"/>
              <w:rPr>
                <w:rFonts w:ascii="Arial" w:hAnsi="Arial" w:cs="Arial"/>
                <w:b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58" w:type="dxa"/>
            <w:tcBorders/>
            <w:shd w:color="auto" w:fill="D0CECE" w:themeFill="background2" w:themeFillShade="e6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b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5" w:type="dxa"/>
            <w:tcBorders/>
            <w:shd w:color="auto" w:fill="D0CECE" w:themeFill="background2" w:themeFillShade="e6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b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Wartość środków zaangażowanych</w:t>
            </w:r>
          </w:p>
        </w:tc>
      </w:tr>
      <w:tr>
        <w:trPr/>
        <w:tc>
          <w:tcPr>
            <w:tcW w:w="297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Arial" w:ascii="Arial" w:hAnsi="Arial"/>
                <w:color w:val="000000" w:themeColor="text1"/>
                <w:sz w:val="18"/>
                <w:szCs w:val="20"/>
              </w:rPr>
              <w:t>88,9 %</w:t>
            </w:r>
          </w:p>
        </w:tc>
        <w:tc>
          <w:tcPr>
            <w:tcW w:w="325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Arial" w:ascii="Arial" w:hAnsi="Arial"/>
                <w:color w:val="000000" w:themeColor="text1"/>
                <w:sz w:val="18"/>
                <w:szCs w:val="20"/>
              </w:rPr>
              <w:t>85,25%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cs="Arial" w:ascii="Arial" w:hAnsi="Arial"/>
                <w:color w:val="0070C0"/>
                <w:sz w:val="18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cs="Arial" w:ascii="Arial" w:hAnsi="Arial"/>
                <w:color w:val="000000" w:themeColor="text1"/>
                <w:sz w:val="18"/>
                <w:szCs w:val="20"/>
              </w:rPr>
              <w:t>74,92%</w:t>
            </w:r>
          </w:p>
        </w:tc>
        <w:tc>
          <w:tcPr>
            <w:tcW w:w="340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cs="Arial" w:ascii="Arial" w:hAnsi="Arial"/>
                <w:color w:val="0070C0"/>
                <w:sz w:val="18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cs="Arial" w:ascii="Arial" w:hAnsi="Arial"/>
                <w:color w:val="000000" w:themeColor="text1"/>
                <w:sz w:val="18"/>
                <w:szCs w:val="20"/>
              </w:rPr>
              <w:t>87,63%</w:t>
            </w:r>
          </w:p>
        </w:tc>
      </w:tr>
    </w:tbl>
    <w:p>
      <w:pPr>
        <w:pStyle w:val="Nagwek3"/>
        <w:spacing w:before="40" w:after="200"/>
        <w:rPr>
          <w:rStyle w:val="Nagwek2Znak"/>
          <w:rFonts w:ascii="Arial" w:hAnsi="Arial" w:eastAsia="Calibri" w:cs="Arial" w:eastAsiaTheme="minorHAnsi"/>
          <w:color w:val="767171" w:themeColor="background2" w:themeShade="80"/>
          <w:sz w:val="20"/>
          <w:szCs w:val="20"/>
        </w:rPr>
      </w:pPr>
      <w:r>
        <w:rPr>
          <w:rFonts w:eastAsia="Calibri" w:cs="Arial" w:eastAsiaTheme="minorHAnsi" w:ascii="Arial" w:hAnsi="Arial"/>
          <w:color w:val="767171" w:themeColor="background2" w:themeShade="80"/>
          <w:sz w:val="20"/>
          <w:szCs w:val="20"/>
        </w:rPr>
      </w:r>
    </w:p>
    <w:p>
      <w:pPr>
        <w:pStyle w:val="Nagwek3"/>
        <w:numPr>
          <w:ilvl w:val="0"/>
          <w:numId w:val="1"/>
        </w:numPr>
        <w:spacing w:before="40" w:after="200"/>
        <w:ind w:left="426" w:hanging="426"/>
        <w:rPr>
          <w:rFonts w:ascii="Arial" w:hAnsi="Arial" w:eastAsia="Calibri" w:cs="Arial" w:eastAsiaTheme="minorHAnsi"/>
          <w:color w:val="767171" w:themeColor="background2" w:themeShade="80"/>
          <w:sz w:val="20"/>
          <w:szCs w:val="20"/>
        </w:rPr>
      </w:pPr>
      <w:r>
        <w:rPr>
          <w:rStyle w:val="Nagwek2Znak"/>
          <w:rFonts w:cs="Arial" w:ascii="Arial" w:hAnsi="Arial"/>
          <w:b/>
          <w:color w:val="00000A"/>
          <w:sz w:val="24"/>
          <w:szCs w:val="24"/>
        </w:rPr>
        <w:t>Postęp rzeczowy</w:t>
      </w:r>
      <w:r>
        <w:rPr>
          <w:rFonts w:cs="Arial" w:ascii="Arial" w:hAnsi="Arial"/>
          <w:color w:val="00000A"/>
        </w:rPr>
        <w:t xml:space="preserve"> </w:t>
      </w:r>
      <w:r>
        <w:rPr>
          <w:rFonts w:eastAsia="Calibri" w:cs="Arial" w:ascii="Arial" w:hAnsi="Arial" w:eastAsiaTheme="minorHAnsi"/>
          <w:color w:val="767171" w:themeColor="background2" w:themeShade="80"/>
          <w:sz w:val="20"/>
          <w:szCs w:val="20"/>
        </w:rPr>
        <w:t>&lt;maksymalnie 5000 znaków&gt;</w:t>
      </w:r>
    </w:p>
    <w:p>
      <w:pPr>
        <w:pStyle w:val="Normal"/>
        <w:spacing w:lineRule="auto" w:line="240" w:before="0" w:after="120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jc w:val="left"/>
        <w:tblInd w:w="-5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125"/>
        <w:gridCol w:w="1505"/>
        <w:gridCol w:w="1288"/>
        <w:gridCol w:w="1915"/>
        <w:gridCol w:w="2806"/>
      </w:tblGrid>
      <w:tr>
        <w:trPr>
          <w:tblHeader w:val="true"/>
        </w:trPr>
        <w:tc>
          <w:tcPr>
            <w:tcW w:w="2125" w:type="dxa"/>
            <w:tcBorders/>
            <w:shd w:color="auto" w:fill="D0CECE" w:themeFill="background2" w:themeFillShade="e6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b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Nazwa</w:t>
            </w:r>
          </w:p>
        </w:tc>
        <w:tc>
          <w:tcPr>
            <w:tcW w:w="1505" w:type="dxa"/>
            <w:tcBorders/>
            <w:shd w:color="auto" w:fill="D0CECE" w:themeFill="background2" w:themeFillShade="e6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b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 xml:space="preserve">Powiązane wskaźniki projektu </w:t>
            </w:r>
            <w:r>
              <w:rPr>
                <w:rStyle w:val="Zakotwiczenieprzypisudolnego"/>
                <w:rFonts w:cs="Arial" w:ascii="Arial" w:hAnsi="Arial"/>
                <w:b/>
                <w:sz w:val="20"/>
                <w:szCs w:val="20"/>
              </w:rPr>
              <w:footnoteReference w:id="2"/>
            </w:r>
          </w:p>
        </w:tc>
        <w:tc>
          <w:tcPr>
            <w:tcW w:w="1288" w:type="dxa"/>
            <w:tcBorders/>
            <w:shd w:color="auto" w:fill="D0CECE" w:themeFill="background2" w:themeFillShade="e6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b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1915" w:type="dxa"/>
            <w:tcBorders/>
            <w:shd w:color="auto" w:fill="D0CECE" w:themeFill="background2" w:themeFillShade="e6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b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Rzeczywisty termin osiągnięcia</w:t>
            </w:r>
          </w:p>
        </w:tc>
        <w:tc>
          <w:tcPr>
            <w:tcW w:w="2806" w:type="dxa"/>
            <w:tcBorders/>
            <w:shd w:color="auto" w:fill="D0CECE" w:themeFill="background2" w:themeFillShade="e6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b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Status realizacji kamienia milowego</w:t>
            </w:r>
          </w:p>
        </w:tc>
      </w:tr>
      <w:tr>
        <w:trPr/>
        <w:tc>
          <w:tcPr>
            <w:tcW w:w="212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/>
              <w:t xml:space="preserve">Ogłoszenie dotyczące wyboru wykonawcy studium wykonalności projektu </w:t>
            </w:r>
          </w:p>
        </w:tc>
        <w:tc>
          <w:tcPr>
            <w:tcW w:w="1505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/>
              <w:t>Brak powiązania ze wskaźnikiem</w:t>
            </w:r>
          </w:p>
        </w:tc>
        <w:tc>
          <w:tcPr>
            <w:tcW w:w="128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/>
              <w:t>11-2015</w:t>
            </w:r>
          </w:p>
        </w:tc>
        <w:tc>
          <w:tcPr>
            <w:tcW w:w="1915" w:type="dxa"/>
            <w:tcBorders/>
            <w:shd w:fill="auto" w:val="clear"/>
          </w:tcPr>
          <w:p>
            <w:pPr>
              <w:pStyle w:val="ListParagraph"/>
              <w:spacing w:lineRule="auto" w:line="240" w:before="0" w:after="0"/>
              <w:ind w:left="7" w:hanging="0"/>
              <w:contextualSpacing/>
              <w:rPr>
                <w:rFonts w:ascii="Arial" w:hAnsi="Arial" w:cs="Arial"/>
                <w:color w:val="0070C0"/>
                <w:sz w:val="18"/>
              </w:rPr>
            </w:pPr>
            <w:r>
              <w:rPr/>
              <w:t>11-2015</w:t>
            </w:r>
          </w:p>
        </w:tc>
        <w:tc>
          <w:tcPr>
            <w:tcW w:w="280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/>
              <w:t>osiągnięty</w:t>
            </w:r>
          </w:p>
        </w:tc>
      </w:tr>
      <w:tr>
        <w:trPr/>
        <w:tc>
          <w:tcPr>
            <w:tcW w:w="212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Wybór wykonawcy studium wykonalności projektu</w:t>
            </w:r>
          </w:p>
        </w:tc>
        <w:tc>
          <w:tcPr>
            <w:tcW w:w="1505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Brak powiązania ze wskaźnikiem</w:t>
            </w:r>
          </w:p>
        </w:tc>
        <w:tc>
          <w:tcPr>
            <w:tcW w:w="128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11-2015</w:t>
            </w:r>
          </w:p>
        </w:tc>
        <w:tc>
          <w:tcPr>
            <w:tcW w:w="1915" w:type="dxa"/>
            <w:tcBorders/>
            <w:shd w:fill="auto" w:val="clear"/>
          </w:tcPr>
          <w:p>
            <w:pPr>
              <w:pStyle w:val="ListParagraph"/>
              <w:spacing w:lineRule="auto" w:line="240" w:before="0" w:after="0"/>
              <w:ind w:left="7" w:hanging="0"/>
              <w:contextualSpacing/>
              <w:rPr/>
            </w:pPr>
            <w:r>
              <w:rPr/>
              <w:t>11-2015</w:t>
            </w:r>
          </w:p>
        </w:tc>
        <w:tc>
          <w:tcPr>
            <w:tcW w:w="280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osiągnięty</w:t>
            </w:r>
          </w:p>
        </w:tc>
      </w:tr>
      <w:tr>
        <w:trPr/>
        <w:tc>
          <w:tcPr>
            <w:tcW w:w="212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Zawarcie umowy na wykonanie studium wykonalności projektu</w:t>
            </w:r>
          </w:p>
        </w:tc>
        <w:tc>
          <w:tcPr>
            <w:tcW w:w="1505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Brak powiązania ze wskaźnikiem</w:t>
            </w:r>
          </w:p>
        </w:tc>
        <w:tc>
          <w:tcPr>
            <w:tcW w:w="128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12-2015</w:t>
            </w:r>
          </w:p>
        </w:tc>
        <w:tc>
          <w:tcPr>
            <w:tcW w:w="1915" w:type="dxa"/>
            <w:tcBorders/>
            <w:shd w:fill="auto" w:val="clear"/>
          </w:tcPr>
          <w:p>
            <w:pPr>
              <w:pStyle w:val="ListParagraph"/>
              <w:spacing w:lineRule="auto" w:line="240" w:before="0" w:after="0"/>
              <w:ind w:left="7" w:hanging="0"/>
              <w:contextualSpacing/>
              <w:rPr/>
            </w:pPr>
            <w:r>
              <w:rPr/>
              <w:t>12-2015</w:t>
            </w:r>
          </w:p>
        </w:tc>
        <w:tc>
          <w:tcPr>
            <w:tcW w:w="280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osiągnięty</w:t>
            </w:r>
          </w:p>
        </w:tc>
      </w:tr>
      <w:tr>
        <w:trPr/>
        <w:tc>
          <w:tcPr>
            <w:tcW w:w="212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Opracowanie studium wykonalności potwierdzone protokołem odbioru</w:t>
            </w:r>
          </w:p>
        </w:tc>
        <w:tc>
          <w:tcPr>
            <w:tcW w:w="1505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Brak powiązania ze wskaźnikiem</w:t>
            </w:r>
          </w:p>
        </w:tc>
        <w:tc>
          <w:tcPr>
            <w:tcW w:w="128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01-2016</w:t>
            </w:r>
          </w:p>
        </w:tc>
        <w:tc>
          <w:tcPr>
            <w:tcW w:w="1915" w:type="dxa"/>
            <w:tcBorders/>
            <w:shd w:fill="auto" w:val="clear"/>
          </w:tcPr>
          <w:p>
            <w:pPr>
              <w:pStyle w:val="ListParagraph"/>
              <w:spacing w:lineRule="auto" w:line="240" w:before="0" w:after="0"/>
              <w:ind w:left="7" w:hanging="0"/>
              <w:contextualSpacing/>
              <w:rPr/>
            </w:pPr>
            <w:r>
              <w:rPr/>
              <w:t>02-2016</w:t>
            </w:r>
          </w:p>
        </w:tc>
        <w:tc>
          <w:tcPr>
            <w:tcW w:w="2806" w:type="dxa"/>
            <w:tcBorders/>
            <w:shd w:fill="auto" w:val="clear"/>
          </w:tcPr>
          <w:p>
            <w:pPr>
              <w:pStyle w:val="NormalWeb"/>
              <w:spacing w:lineRule="auto" w:line="240" w:before="0" w:after="0"/>
              <w:rPr>
                <w:rFonts w:ascii="Calibri" w:hAnsi="Calibri" w:cs="Calibri" w:asciiTheme="minorHAnsi" w:cstheme="minorHAnsi" w:hAnsiTheme="minorHAnsi"/>
                <w:sz w:val="22"/>
                <w:szCs w:val="22"/>
              </w:rPr>
            </w:pPr>
            <w:r>
              <w:rPr>
                <w:rFonts w:cs="Calibri" w:ascii="Calibri" w:hAnsi="Calibri" w:asciiTheme="minorHAnsi" w:cstheme="minorHAnsi" w:hAnsiTheme="minorHAnsi"/>
                <w:sz w:val="22"/>
                <w:szCs w:val="22"/>
              </w:rPr>
              <w:t xml:space="preserve">osiągnięty - 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wykonawca dostarczył opracowany dokument z opóźnieniem, na tej podstawie sporządzono protokół przekazania w kolejnym miesiącu. Rzeczywisty termin osiągnięcia kamienia nie przekroczył daty punktu ostatecznego. </w:t>
            </w:r>
          </w:p>
        </w:tc>
      </w:tr>
      <w:tr>
        <w:trPr/>
        <w:tc>
          <w:tcPr>
            <w:tcW w:w="212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Przygotowanie aktualizacji studium wykonalności potwierdzone protokołem</w:t>
            </w:r>
          </w:p>
        </w:tc>
        <w:tc>
          <w:tcPr>
            <w:tcW w:w="1505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Brak powiązania ze wskaźnikiem</w:t>
            </w:r>
          </w:p>
        </w:tc>
        <w:tc>
          <w:tcPr>
            <w:tcW w:w="128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11-2017</w:t>
            </w:r>
          </w:p>
        </w:tc>
        <w:tc>
          <w:tcPr>
            <w:tcW w:w="1915" w:type="dxa"/>
            <w:tcBorders/>
            <w:shd w:fill="auto" w:val="clear"/>
          </w:tcPr>
          <w:p>
            <w:pPr>
              <w:pStyle w:val="ListParagraph"/>
              <w:spacing w:lineRule="auto" w:line="240" w:before="0" w:after="0"/>
              <w:ind w:left="7" w:hanging="0"/>
              <w:contextualSpacing/>
              <w:rPr/>
            </w:pPr>
            <w:r>
              <w:rPr/>
              <w:t>11-2017</w:t>
            </w:r>
          </w:p>
        </w:tc>
        <w:tc>
          <w:tcPr>
            <w:tcW w:w="280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osiągnięty</w:t>
            </w:r>
          </w:p>
        </w:tc>
      </w:tr>
      <w:tr>
        <w:trPr/>
        <w:tc>
          <w:tcPr>
            <w:tcW w:w="212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Zawarcie umowy partnerskiej UMK i UKW</w:t>
            </w:r>
          </w:p>
        </w:tc>
        <w:tc>
          <w:tcPr>
            <w:tcW w:w="1505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color w:val="000000"/>
              </w:rPr>
            </w:pPr>
            <w:r>
              <w:rPr>
                <w:color w:val="000000"/>
              </w:rPr>
              <w:t xml:space="preserve">Wskaźnik nr: 1 - 2,00sz. </w:t>
            </w:r>
          </w:p>
        </w:tc>
        <w:tc>
          <w:tcPr>
            <w:tcW w:w="128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11-2017</w:t>
            </w:r>
          </w:p>
        </w:tc>
        <w:tc>
          <w:tcPr>
            <w:tcW w:w="1915" w:type="dxa"/>
            <w:tcBorders/>
            <w:shd w:fill="auto" w:val="clear"/>
          </w:tcPr>
          <w:p>
            <w:pPr>
              <w:pStyle w:val="ListParagraph"/>
              <w:spacing w:lineRule="auto" w:line="240" w:before="0" w:after="0"/>
              <w:ind w:left="7" w:hanging="0"/>
              <w:contextualSpacing/>
              <w:rPr/>
            </w:pPr>
            <w:r>
              <w:rPr/>
              <w:t>11-2017</w:t>
            </w:r>
          </w:p>
        </w:tc>
        <w:tc>
          <w:tcPr>
            <w:tcW w:w="280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osiągnięty</w:t>
            </w:r>
          </w:p>
        </w:tc>
      </w:tr>
      <w:tr>
        <w:trPr/>
        <w:tc>
          <w:tcPr>
            <w:tcW w:w="212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Opublikowanie ogłoszenia o publicznej prezentacji </w:t>
            </w:r>
          </w:p>
        </w:tc>
        <w:tc>
          <w:tcPr>
            <w:tcW w:w="1505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Brak powiązania ze wskaźnikiem</w:t>
            </w:r>
          </w:p>
        </w:tc>
        <w:tc>
          <w:tcPr>
            <w:tcW w:w="128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09-2017</w:t>
            </w:r>
          </w:p>
        </w:tc>
        <w:tc>
          <w:tcPr>
            <w:tcW w:w="1915" w:type="dxa"/>
            <w:tcBorders/>
            <w:shd w:fill="auto" w:val="clear"/>
          </w:tcPr>
          <w:p>
            <w:pPr>
              <w:pStyle w:val="ListParagraph"/>
              <w:spacing w:lineRule="auto" w:line="240" w:before="0" w:after="0"/>
              <w:ind w:left="7" w:hanging="0"/>
              <w:contextualSpacing/>
              <w:rPr/>
            </w:pPr>
            <w:r>
              <w:rPr/>
              <w:t>08-2017</w:t>
            </w:r>
          </w:p>
        </w:tc>
        <w:tc>
          <w:tcPr>
            <w:tcW w:w="280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osiągnięty</w:t>
            </w:r>
          </w:p>
        </w:tc>
      </w:tr>
      <w:tr>
        <w:trPr/>
        <w:tc>
          <w:tcPr>
            <w:tcW w:w="212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Zorganizowanie publicznej prezentacji założeń projektu</w:t>
            </w:r>
          </w:p>
        </w:tc>
        <w:tc>
          <w:tcPr>
            <w:tcW w:w="1505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Brak powiązania ze wskaźnikiem</w:t>
            </w:r>
          </w:p>
        </w:tc>
        <w:tc>
          <w:tcPr>
            <w:tcW w:w="128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09-2017</w:t>
            </w:r>
          </w:p>
        </w:tc>
        <w:tc>
          <w:tcPr>
            <w:tcW w:w="1915" w:type="dxa"/>
            <w:tcBorders/>
            <w:shd w:fill="auto" w:val="clear"/>
          </w:tcPr>
          <w:p>
            <w:pPr>
              <w:pStyle w:val="ListParagraph"/>
              <w:spacing w:lineRule="auto" w:line="240" w:before="0" w:after="0"/>
              <w:ind w:left="7" w:hanging="0"/>
              <w:contextualSpacing/>
              <w:rPr/>
            </w:pPr>
            <w:r>
              <w:rPr/>
              <w:t>09-2017</w:t>
            </w:r>
          </w:p>
        </w:tc>
        <w:tc>
          <w:tcPr>
            <w:tcW w:w="280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osiągnięty</w:t>
            </w:r>
          </w:p>
        </w:tc>
      </w:tr>
      <w:tr>
        <w:trPr/>
        <w:tc>
          <w:tcPr>
            <w:tcW w:w="212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Wystąpienie z wnioskiem o pozytywną ocenę projektu do KRMC</w:t>
            </w:r>
          </w:p>
        </w:tc>
        <w:tc>
          <w:tcPr>
            <w:tcW w:w="1505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Brak powiązania ze wskaźnikiem</w:t>
            </w:r>
          </w:p>
        </w:tc>
        <w:tc>
          <w:tcPr>
            <w:tcW w:w="128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09-2017</w:t>
            </w:r>
          </w:p>
        </w:tc>
        <w:tc>
          <w:tcPr>
            <w:tcW w:w="1915" w:type="dxa"/>
            <w:tcBorders/>
            <w:shd w:fill="auto" w:val="clear"/>
          </w:tcPr>
          <w:p>
            <w:pPr>
              <w:pStyle w:val="ListParagraph"/>
              <w:spacing w:lineRule="auto" w:line="240" w:before="0" w:after="0"/>
              <w:ind w:left="7" w:hanging="0"/>
              <w:contextualSpacing/>
              <w:rPr/>
            </w:pPr>
            <w:r>
              <w:rPr/>
              <w:t>10-2017</w:t>
            </w:r>
          </w:p>
        </w:tc>
        <w:tc>
          <w:tcPr>
            <w:tcW w:w="280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osiągnięty – wniosek został skierowany w dniu 03.10.2017 r., tj. niezwłocznie po przygotowaniu niezbędnych załączników. Rzeczywisty termin osiągnięcia kamienia nie przekroczył daty punktu ostatecznego.</w:t>
            </w:r>
          </w:p>
        </w:tc>
      </w:tr>
      <w:tr>
        <w:trPr/>
        <w:tc>
          <w:tcPr>
            <w:tcW w:w="212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Uzyskanie z KRMC pozytywnej oceny projektu</w:t>
            </w:r>
          </w:p>
        </w:tc>
        <w:tc>
          <w:tcPr>
            <w:tcW w:w="1505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Brak powiązania ze wskaźnikiem</w:t>
            </w:r>
          </w:p>
        </w:tc>
        <w:tc>
          <w:tcPr>
            <w:tcW w:w="128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10-2017</w:t>
            </w:r>
          </w:p>
        </w:tc>
        <w:tc>
          <w:tcPr>
            <w:tcW w:w="1915" w:type="dxa"/>
            <w:tcBorders/>
            <w:shd w:fill="auto" w:val="clear"/>
          </w:tcPr>
          <w:p>
            <w:pPr>
              <w:pStyle w:val="ListParagraph"/>
              <w:spacing w:lineRule="auto" w:line="240" w:before="0" w:after="0"/>
              <w:ind w:left="7" w:hanging="0"/>
              <w:contextualSpacing/>
              <w:rPr/>
            </w:pPr>
            <w:r>
              <w:rPr/>
              <w:t>11-2017</w:t>
            </w:r>
          </w:p>
        </w:tc>
        <w:tc>
          <w:tcPr>
            <w:tcW w:w="280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osiągnięty – Przyczyna przekroczenia planowanego terminu: konieczność przeprowadzenia dodatkowych konsultacji z różnymi organami opiniotwórczymi.</w:t>
            </w:r>
          </w:p>
        </w:tc>
      </w:tr>
      <w:tr>
        <w:trPr/>
        <w:tc>
          <w:tcPr>
            <w:tcW w:w="212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Zatrudnienie bibliotekarzy, archiwistów, konserwatora</w:t>
            </w:r>
          </w:p>
        </w:tc>
        <w:tc>
          <w:tcPr>
            <w:tcW w:w="1505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i w:val="false"/>
                <w:i w:val="false"/>
                <w:iCs w:val="false"/>
              </w:rPr>
            </w:pPr>
            <w:r>
              <w:rPr>
                <w:rFonts w:cs="Calibri" w:cstheme="minorHAnsi"/>
                <w:i w:val="false"/>
                <w:iCs w:val="false"/>
                <w:sz w:val="22"/>
                <w:szCs w:val="22"/>
              </w:rPr>
              <w:t>Brak bezpośredniego powiązania ze wskaźnikiem</w:t>
            </w:r>
          </w:p>
        </w:tc>
        <w:tc>
          <w:tcPr>
            <w:tcW w:w="128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08-2018</w:t>
            </w:r>
          </w:p>
        </w:tc>
        <w:tc>
          <w:tcPr>
            <w:tcW w:w="1915" w:type="dxa"/>
            <w:tcBorders/>
            <w:shd w:fill="auto" w:val="clear"/>
          </w:tcPr>
          <w:p>
            <w:pPr>
              <w:pStyle w:val="ListParagraph"/>
              <w:spacing w:lineRule="auto" w:line="240" w:before="0" w:after="0"/>
              <w:ind w:left="7" w:hanging="0"/>
              <w:contextualSpacing/>
              <w:rPr/>
            </w:pPr>
            <w:r>
              <w:rPr/>
              <w:t>08-2018</w:t>
            </w:r>
          </w:p>
        </w:tc>
        <w:tc>
          <w:tcPr>
            <w:tcW w:w="280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osiągnięty</w:t>
            </w:r>
          </w:p>
        </w:tc>
      </w:tr>
      <w:tr>
        <w:trPr/>
        <w:tc>
          <w:tcPr>
            <w:tcW w:w="212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Wyselekcjonowanie zasobów i konserwacja zachowawcza</w:t>
            </w:r>
          </w:p>
        </w:tc>
        <w:tc>
          <w:tcPr>
            <w:tcW w:w="1505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i w:val="false"/>
                <w:i w:val="false"/>
                <w:iCs w:val="false"/>
              </w:rPr>
            </w:pPr>
            <w:r>
              <w:rPr>
                <w:rFonts w:cs="Calibri" w:cstheme="minorHAnsi"/>
                <w:i w:val="false"/>
                <w:iCs w:val="false"/>
                <w:sz w:val="22"/>
                <w:szCs w:val="22"/>
              </w:rPr>
              <w:t>Brak bezpośredniego powiązania ze wskaźnikiem</w:t>
            </w:r>
          </w:p>
        </w:tc>
        <w:tc>
          <w:tcPr>
            <w:tcW w:w="128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05-2021</w:t>
            </w:r>
          </w:p>
        </w:tc>
        <w:tc>
          <w:tcPr>
            <w:tcW w:w="1915" w:type="dxa"/>
            <w:tcBorders/>
            <w:shd w:fill="auto" w:val="clear"/>
          </w:tcPr>
          <w:p>
            <w:pPr>
              <w:pStyle w:val="ListParagraph"/>
              <w:spacing w:lineRule="auto" w:line="240" w:before="0" w:after="0"/>
              <w:ind w:left="7" w:hanging="0"/>
              <w:contextualSpacing/>
              <w:rPr/>
            </w:pPr>
            <w:r>
              <w:rPr/>
              <w:t>-</w:t>
            </w:r>
          </w:p>
        </w:tc>
        <w:tc>
          <w:tcPr>
            <w:tcW w:w="280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w trakcie realizacji</w:t>
            </w:r>
          </w:p>
        </w:tc>
      </w:tr>
      <w:tr>
        <w:trPr/>
        <w:tc>
          <w:tcPr>
            <w:tcW w:w="212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Wybór dostawcy oprogramowania i sprzętu oraz zawarcie umów dotyczących ww. dostaw</w:t>
            </w:r>
          </w:p>
        </w:tc>
        <w:tc>
          <w:tcPr>
            <w:tcW w:w="1505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i w:val="false"/>
                <w:i w:val="false"/>
                <w:iCs w:val="false"/>
              </w:rPr>
            </w:pPr>
            <w:r>
              <w:rPr>
                <w:rFonts w:cs="Calibri" w:cstheme="minorHAnsi"/>
                <w:i w:val="false"/>
                <w:iCs w:val="false"/>
                <w:sz w:val="22"/>
                <w:szCs w:val="22"/>
              </w:rPr>
              <w:t>Brak bezpośredniego powiązania ze wskaźnikiem</w:t>
            </w:r>
          </w:p>
        </w:tc>
        <w:tc>
          <w:tcPr>
            <w:tcW w:w="128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08-2018</w:t>
            </w:r>
          </w:p>
        </w:tc>
        <w:tc>
          <w:tcPr>
            <w:tcW w:w="1915" w:type="dxa"/>
            <w:tcBorders/>
            <w:shd w:fill="auto" w:val="clear"/>
          </w:tcPr>
          <w:p>
            <w:pPr>
              <w:pStyle w:val="NormalWeb"/>
              <w:spacing w:lineRule="auto" w:line="240" w:before="0" w:after="0"/>
              <w:ind w:left="6" w:hanging="0"/>
              <w:rPr>
                <w:rFonts w:ascii="Calibri" w:hAnsi="Calibri" w:cs="Calibri" w:asciiTheme="minorHAnsi" w:cstheme="minorHAnsi" w:hAnsiTheme="minorHAnsi"/>
                <w:sz w:val="22"/>
                <w:szCs w:val="22"/>
              </w:rPr>
            </w:pPr>
            <w:r>
              <w:rPr>
                <w:rFonts w:cs="Calibri" w:ascii="Calibri" w:hAnsi="Calibri" w:asciiTheme="minorHAnsi" w:cstheme="minorHAnsi" w:hAnsiTheme="minorHAnsi"/>
                <w:sz w:val="22"/>
                <w:szCs w:val="22"/>
              </w:rPr>
              <w:t>11-2019</w:t>
            </w:r>
          </w:p>
          <w:p>
            <w:pPr>
              <w:pStyle w:val="ListParagraph"/>
              <w:spacing w:lineRule="auto" w:line="240" w:before="0" w:after="0"/>
              <w:ind w:left="7" w:hanging="0"/>
              <w:contextualSpacing/>
              <w:rPr/>
            </w:pPr>
            <w:r>
              <w:rPr/>
            </w:r>
          </w:p>
        </w:tc>
        <w:tc>
          <w:tcPr>
            <w:tcW w:w="2806" w:type="dxa"/>
            <w:tcBorders/>
            <w:shd w:fill="auto" w:val="clear"/>
          </w:tcPr>
          <w:p>
            <w:pPr>
              <w:pStyle w:val="NormalWeb"/>
              <w:spacing w:lineRule="auto" w:line="240" w:before="0"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osiągnięty. 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Przyczyny nieosiągnięcia pełnego kamienia w zaplanowanym terminie: Duże obciążenie zadaniami pracowników uczelni prowadzących wymaganą przepisami prawa procedurę wyłonienia dostawców, możliwe terminy wdrożenia oprogramowania dłuższe niż początkowo zakładano, opóźnienie w zakupie niezbędnego serwera w ramach projektu E-kultura. Nie złożono w pierwszych terminach ofert na zakup części oprogramowania. W drugim terminie jedna z ofert przekraczała przewidziane środki na zakup. Trzeci termin zakończył się powodzeniem. 04.11.2019 podpisano z dostawcą umowę na ostatnie przewidziane w tym kamieniu oprogramowanie. Umowę zrealizowano terminowo 11.2020.</w:t>
            </w:r>
          </w:p>
        </w:tc>
      </w:tr>
      <w:tr>
        <w:trPr/>
        <w:tc>
          <w:tcPr>
            <w:tcW w:w="212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Potwierdzenie odbioru oprogramowania i sprzętu</w:t>
            </w:r>
          </w:p>
        </w:tc>
        <w:tc>
          <w:tcPr>
            <w:tcW w:w="1505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/>
            </w:pPr>
            <w:bookmarkStart w:id="0" w:name="__DdeLink__3440_3432004142"/>
            <w:bookmarkEnd w:id="0"/>
            <w:r>
              <w:rPr/>
              <w:t>Brak powiązania ze wskaźnikiem</w:t>
            </w:r>
          </w:p>
        </w:tc>
        <w:tc>
          <w:tcPr>
            <w:tcW w:w="128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09-2018</w:t>
            </w:r>
          </w:p>
        </w:tc>
        <w:tc>
          <w:tcPr>
            <w:tcW w:w="1915" w:type="dxa"/>
            <w:tcBorders/>
            <w:shd w:fill="auto" w:val="clear"/>
          </w:tcPr>
          <w:p>
            <w:pPr>
              <w:pStyle w:val="ListParagraph"/>
              <w:spacing w:lineRule="auto" w:line="240" w:before="0" w:after="0"/>
              <w:ind w:left="7" w:hanging="0"/>
              <w:contextualSpacing/>
              <w:rPr/>
            </w:pPr>
            <w:r>
              <w:rPr/>
              <w:t>11-2019</w:t>
            </w:r>
          </w:p>
        </w:tc>
        <w:tc>
          <w:tcPr>
            <w:tcW w:w="2806" w:type="dxa"/>
            <w:tcBorders/>
            <w:shd w:fill="auto" w:val="clear"/>
          </w:tcPr>
          <w:p>
            <w:pPr>
              <w:pStyle w:val="NormalWeb"/>
              <w:spacing w:lineRule="auto" w:line="240" w:before="0" w:after="0"/>
              <w:rPr>
                <w:rFonts w:ascii="Calibri" w:hAnsi="Calibri" w:cs="Calibri" w:asciiTheme="minorHAnsi" w:cstheme="minorHAnsi" w:hAnsiTheme="minorHAnsi"/>
                <w:sz w:val="22"/>
                <w:szCs w:val="22"/>
              </w:rPr>
            </w:pPr>
            <w:r>
              <w:rPr>
                <w:rFonts w:cs="Calibri" w:ascii="Calibri" w:hAnsi="Calibri" w:asciiTheme="minorHAnsi" w:cstheme="minorHAnsi" w:hAnsiTheme="minorHAnsi"/>
                <w:sz w:val="22"/>
                <w:szCs w:val="22"/>
              </w:rPr>
              <w:t>osiągnięty</w:t>
            </w:r>
          </w:p>
          <w:p>
            <w:pPr>
              <w:pStyle w:val="NormalWeb"/>
              <w:spacing w:lineRule="auto" w:line="240" w:before="280" w:after="0"/>
              <w:rPr>
                <w:rFonts w:ascii="Calibri" w:hAnsi="Calibri" w:cs="Calibri" w:asciiTheme="minorHAnsi" w:cstheme="minorHAnsi" w:hAnsiTheme="minorHAnsi"/>
                <w:sz w:val="22"/>
                <w:szCs w:val="22"/>
              </w:rPr>
            </w:pPr>
            <w:r>
              <w:rPr>
                <w:rFonts w:cs="Calibri" w:ascii="Calibri" w:hAnsi="Calibri" w:asciiTheme="minorHAnsi" w:cstheme="minorHAnsi" w:hAnsiTheme="minorHAnsi"/>
                <w:sz w:val="22"/>
                <w:szCs w:val="22"/>
              </w:rPr>
              <w:t>Przyczyna nieosiągnięcia pełnego kamienia w zaplanowanym terminie: nieosiągnięcie kamienia dot. wyboru dostawcy.</w:t>
            </w:r>
          </w:p>
          <w:p>
            <w:pPr>
              <w:pStyle w:val="Normal"/>
              <w:spacing w:lineRule="auto" w:line="240" w:before="0" w:after="0"/>
              <w:rPr>
                <w:rFonts w:cs="Calibri" w:cstheme="minorHAnsi"/>
              </w:rPr>
            </w:pPr>
            <w:r>
              <w:rPr>
                <w:rFonts w:cs="Calibri" w:cstheme="minorHAnsi"/>
              </w:rPr>
            </w:r>
          </w:p>
        </w:tc>
      </w:tr>
      <w:tr>
        <w:trPr/>
        <w:tc>
          <w:tcPr>
            <w:tcW w:w="2125" w:type="dxa"/>
            <w:tcBorders/>
            <w:shd w:fill="auto" w:val="clear"/>
          </w:tcPr>
          <w:p>
            <w:pPr>
              <w:pStyle w:val="NormalWeb"/>
              <w:spacing w:lineRule="auto" w:line="240" w:before="0" w:after="0"/>
              <w:rPr>
                <w:rFonts w:ascii="Calibri" w:hAnsi="Calibri" w:cs="Calibri" w:asciiTheme="minorHAnsi" w:cstheme="minorHAnsi" w:hAnsiTheme="minorHAnsi"/>
                <w:sz w:val="22"/>
                <w:szCs w:val="22"/>
              </w:rPr>
            </w:pPr>
            <w:r>
              <w:rPr>
                <w:rFonts w:cs="Calibri" w:ascii="Calibri" w:hAnsi="Calibri" w:asciiTheme="minorHAnsi" w:cstheme="minorHAnsi" w:hAnsiTheme="minorHAnsi"/>
                <w:sz w:val="22"/>
                <w:szCs w:val="22"/>
              </w:rPr>
              <w:t xml:space="preserve">Instalacja oprogramowania i sprzętu wybranych w drodze </w:t>
            </w:r>
          </w:p>
          <w:p>
            <w:pPr>
              <w:pStyle w:val="Normal"/>
              <w:spacing w:lineRule="auto" w:line="240" w:before="0" w:after="0"/>
              <w:rPr>
                <w:rFonts w:cs="Calibri" w:cstheme="minorHAnsi"/>
              </w:rPr>
            </w:pPr>
            <w:r>
              <w:rPr>
                <w:rFonts w:cs="Calibri" w:cstheme="minorHAnsi"/>
              </w:rPr>
              <w:t>zamówienia publicznego</w:t>
            </w:r>
          </w:p>
        </w:tc>
        <w:tc>
          <w:tcPr>
            <w:tcW w:w="1505" w:type="dxa"/>
            <w:tcBorders/>
            <w:shd w:color="auto" w:fill="auto" w:val="clear"/>
          </w:tcPr>
          <w:p>
            <w:pPr>
              <w:pStyle w:val="NormalWeb"/>
              <w:spacing w:lineRule="auto" w:line="240" w:before="0" w:after="0"/>
              <w:rPr>
                <w:color w:val="000000"/>
              </w:rPr>
            </w:pPr>
            <w:r>
              <w:rPr>
                <w:rFonts w:cs="Calibri" w:ascii="Calibri" w:hAnsi="Calibri" w:asciiTheme="minorHAnsi" w:cstheme="minorHAnsi" w:hAnsiTheme="minorHAnsi"/>
                <w:color w:val="000000"/>
                <w:sz w:val="22"/>
                <w:szCs w:val="22"/>
              </w:rPr>
              <w:t>Brak bezpośredniego powiązania ze wskaźnikiem</w:t>
              <w:br/>
            </w:r>
          </w:p>
        </w:tc>
        <w:tc>
          <w:tcPr>
            <w:tcW w:w="128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</w:rPr>
            </w:pPr>
            <w:r>
              <w:rPr>
                <w:rFonts w:cs="Calibri" w:cstheme="minorHAnsi"/>
              </w:rPr>
              <w:t>09-2018</w:t>
            </w:r>
          </w:p>
        </w:tc>
        <w:tc>
          <w:tcPr>
            <w:tcW w:w="1915" w:type="dxa"/>
            <w:tcBorders/>
            <w:shd w:fill="auto" w:val="clear"/>
          </w:tcPr>
          <w:p>
            <w:pPr>
              <w:pStyle w:val="ListParagraph"/>
              <w:spacing w:lineRule="auto" w:line="240" w:before="0" w:after="0"/>
              <w:ind w:left="7" w:hanging="0"/>
              <w:contextualSpacing/>
              <w:rPr>
                <w:rFonts w:cs="Calibri" w:cstheme="minorHAnsi"/>
              </w:rPr>
            </w:pPr>
            <w:r>
              <w:rPr>
                <w:rFonts w:cs="Calibri" w:cstheme="minorHAnsi"/>
              </w:rPr>
              <w:t>11-2020</w:t>
            </w:r>
          </w:p>
        </w:tc>
        <w:tc>
          <w:tcPr>
            <w:tcW w:w="2806" w:type="dxa"/>
            <w:tcBorders/>
            <w:shd w:fill="auto" w:val="clear"/>
          </w:tcPr>
          <w:p>
            <w:pPr>
              <w:pStyle w:val="NormalWeb"/>
              <w:spacing w:lineRule="auto" w:line="240" w:before="0" w:after="0"/>
              <w:rPr>
                <w:rFonts w:ascii="Calibri" w:hAnsi="Calibri" w:cs="Calibri" w:asciiTheme="minorAscii" w:cstheme="minorAscii" w:hAnsiTheme="minorAscii"/>
                <w:sz w:val="22"/>
                <w:szCs w:val="22"/>
              </w:rPr>
            </w:pPr>
            <w:r>
              <w:rPr>
                <w:rFonts w:cs="Calibri" w:ascii="Calibri" w:hAnsi="Calibri" w:asciiTheme="minorAscii" w:cstheme="minorAscii" w:hAnsiTheme="minorAscii"/>
                <w:sz w:val="22"/>
                <w:szCs w:val="22"/>
              </w:rPr>
              <w:t>osiągnięty</w:t>
            </w:r>
          </w:p>
          <w:p>
            <w:pPr>
              <w:pStyle w:val="NormalWeb"/>
              <w:spacing w:lineRule="auto" w:line="240" w:before="280" w:after="0"/>
              <w:rPr>
                <w:rFonts w:ascii="Calibri" w:hAnsi="Calibri" w:cs="Calibri" w:asciiTheme="minorHAnsi" w:cstheme="minorHAnsi" w:hAnsiTheme="minorHAnsi"/>
                <w:sz w:val="22"/>
                <w:szCs w:val="22"/>
              </w:rPr>
            </w:pPr>
            <w:r>
              <w:rPr>
                <w:rFonts w:cs="Calibri" w:ascii="Calibri" w:hAnsi="Calibri" w:asciiTheme="minorHAnsi" w:cstheme="minorHAnsi" w:hAnsiTheme="minorHAnsi"/>
                <w:sz w:val="22"/>
                <w:szCs w:val="22"/>
              </w:rPr>
              <w:t>Przyczyna nieosiągnięcia kamienia w zaplanowanym terminie: nieosiągnięcie kamienia dot. wyboru dostawcy.</w:t>
            </w:r>
          </w:p>
          <w:p>
            <w:pPr>
              <w:pStyle w:val="Normal"/>
              <w:spacing w:lineRule="auto" w:line="240" w:before="0" w:after="0"/>
              <w:rPr>
                <w:rFonts w:cs="Calibri" w:cstheme="minorAscii"/>
              </w:rPr>
            </w:pPr>
            <w:r>
              <w:rPr>
                <w:rFonts w:cs="Calibri" w:cstheme="minorAscii"/>
              </w:rPr>
              <w:t xml:space="preserve">Zakończono proces wdrażania ostatniego oprogramowania: 11.2020. </w:t>
            </w:r>
          </w:p>
        </w:tc>
      </w:tr>
      <w:tr>
        <w:trPr/>
        <w:tc>
          <w:tcPr>
            <w:tcW w:w="212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</w:rPr>
            </w:pPr>
            <w:r>
              <w:rPr>
                <w:rFonts w:cs="Calibri" w:cstheme="minorHAnsi"/>
              </w:rPr>
              <w:t>Zaangażowanie pracowników do skanowania</w:t>
            </w:r>
          </w:p>
        </w:tc>
        <w:tc>
          <w:tcPr>
            <w:tcW w:w="1505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i w:val="false"/>
                <w:i w:val="false"/>
                <w:iCs w:val="false"/>
              </w:rPr>
            </w:pPr>
            <w:r>
              <w:rPr>
                <w:rFonts w:cs="Calibri" w:cstheme="minorHAnsi"/>
                <w:i w:val="false"/>
                <w:iCs w:val="false"/>
                <w:sz w:val="22"/>
                <w:szCs w:val="22"/>
              </w:rPr>
              <w:t>Brak bezpośredniego powiązania ze wskaźnikiem</w:t>
            </w:r>
          </w:p>
        </w:tc>
        <w:tc>
          <w:tcPr>
            <w:tcW w:w="128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</w:rPr>
            </w:pPr>
            <w:r>
              <w:rPr>
                <w:rFonts w:cs="Calibri" w:cstheme="minorHAnsi"/>
              </w:rPr>
              <w:t>10-2018</w:t>
            </w:r>
          </w:p>
        </w:tc>
        <w:tc>
          <w:tcPr>
            <w:tcW w:w="1915" w:type="dxa"/>
            <w:tcBorders/>
            <w:shd w:fill="auto" w:val="clear"/>
          </w:tcPr>
          <w:p>
            <w:pPr>
              <w:pStyle w:val="ListParagraph"/>
              <w:spacing w:lineRule="auto" w:line="240" w:before="0" w:after="0"/>
              <w:ind w:left="7" w:hanging="0"/>
              <w:contextualSpacing/>
              <w:rPr>
                <w:rFonts w:cs="Calibri" w:cstheme="minorHAnsi"/>
              </w:rPr>
            </w:pPr>
            <w:r>
              <w:rPr>
                <w:rFonts w:cs="Calibri" w:cstheme="minorHAnsi"/>
              </w:rPr>
              <w:t>09-2018</w:t>
            </w:r>
          </w:p>
        </w:tc>
        <w:tc>
          <w:tcPr>
            <w:tcW w:w="280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</w:rPr>
            </w:pPr>
            <w:r>
              <w:rPr>
                <w:rFonts w:cs="Calibri" w:cstheme="minorHAnsi"/>
              </w:rPr>
              <w:t>osiągnięty</w:t>
            </w:r>
          </w:p>
        </w:tc>
      </w:tr>
      <w:tr>
        <w:trPr/>
        <w:tc>
          <w:tcPr>
            <w:tcW w:w="212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</w:rPr>
            </w:pPr>
            <w:r>
              <w:rPr>
                <w:rFonts w:cs="Calibri" w:cstheme="minorHAnsi"/>
              </w:rPr>
              <w:t>Skanowanie obrazów</w:t>
            </w:r>
          </w:p>
        </w:tc>
        <w:tc>
          <w:tcPr>
            <w:tcW w:w="1505" w:type="dxa"/>
            <w:tcBorders/>
            <w:shd w:color="auto" w:fill="auto" w:val="clear"/>
          </w:tcPr>
          <w:p>
            <w:pPr>
              <w:pStyle w:val="NormalWeb"/>
              <w:spacing w:lineRule="auto" w:line="240" w:before="0" w:after="0"/>
              <w:rPr>
                <w:color w:val="000000"/>
              </w:rPr>
            </w:pPr>
            <w:r>
              <w:rPr>
                <w:rFonts w:cs="Calibri" w:ascii="Calibri" w:hAnsi="Calibri" w:asciiTheme="minorHAnsi" w:cstheme="minorHAnsi" w:hAnsiTheme="minorHAnsi"/>
                <w:color w:val="000000"/>
                <w:sz w:val="22"/>
                <w:szCs w:val="22"/>
              </w:rPr>
              <w:t xml:space="preserve">Wskaźnik nr: </w:t>
              <w:br/>
              <w:t>2 – 28.000 szt. 6 – 5,09 TB</w:t>
            </w:r>
          </w:p>
          <w:p>
            <w:pPr>
              <w:pStyle w:val="Normal"/>
              <w:spacing w:lineRule="auto" w:line="240" w:before="0" w:after="0"/>
              <w:rPr>
                <w:rFonts w:cs="Calibri" w:cstheme="minorHAnsi"/>
              </w:rPr>
            </w:pPr>
            <w:r>
              <w:rPr>
                <w:rFonts w:cs="Calibri" w:cstheme="minorHAnsi"/>
              </w:rPr>
            </w:r>
          </w:p>
        </w:tc>
        <w:tc>
          <w:tcPr>
            <w:tcW w:w="128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</w:rPr>
            </w:pPr>
            <w:r>
              <w:rPr>
                <w:rFonts w:cs="Calibri" w:cstheme="minorHAnsi"/>
              </w:rPr>
              <w:t>07-2021</w:t>
            </w:r>
          </w:p>
        </w:tc>
        <w:tc>
          <w:tcPr>
            <w:tcW w:w="1915" w:type="dxa"/>
            <w:tcBorders/>
            <w:shd w:fill="auto" w:val="clear"/>
          </w:tcPr>
          <w:p>
            <w:pPr>
              <w:pStyle w:val="ListParagraph"/>
              <w:spacing w:lineRule="auto" w:line="240" w:before="0" w:after="0"/>
              <w:ind w:left="7" w:hanging="0"/>
              <w:contextualSpacing/>
              <w:rPr>
                <w:rFonts w:cs="Calibri" w:cstheme="minorHAnsi"/>
              </w:rPr>
            </w:pPr>
            <w:r>
              <w:rPr>
                <w:rFonts w:cs="Calibri" w:cstheme="minorHAnsi"/>
              </w:rPr>
              <w:t>-</w:t>
            </w:r>
          </w:p>
        </w:tc>
        <w:tc>
          <w:tcPr>
            <w:tcW w:w="280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</w:rPr>
            </w:pPr>
            <w:r>
              <w:rPr>
                <w:rFonts w:cs="Calibri" w:cstheme="minorHAnsi"/>
              </w:rPr>
              <w:t>w trakcie realizacji</w:t>
            </w:r>
          </w:p>
        </w:tc>
      </w:tr>
      <w:tr>
        <w:trPr/>
        <w:tc>
          <w:tcPr>
            <w:tcW w:w="212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</w:rPr>
            </w:pPr>
            <w:r>
              <w:rPr>
                <w:rFonts w:cs="Calibri" w:cstheme="minorHAnsi"/>
              </w:rPr>
              <w:t>Wybór wykonawców prac koniecznych do spełnienia standardu WCAG 2.0 AA</w:t>
            </w:r>
          </w:p>
        </w:tc>
        <w:tc>
          <w:tcPr>
            <w:tcW w:w="1505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i w:val="false"/>
                <w:i w:val="false"/>
                <w:iCs w:val="false"/>
              </w:rPr>
            </w:pPr>
            <w:r>
              <w:rPr>
                <w:rFonts w:cs="Calibri" w:cstheme="minorHAnsi"/>
                <w:i w:val="false"/>
                <w:iCs w:val="false"/>
                <w:sz w:val="22"/>
                <w:szCs w:val="22"/>
              </w:rPr>
              <w:t>Brak bezpośredniego powiązania ze wskaźnikiem</w:t>
            </w:r>
          </w:p>
        </w:tc>
        <w:tc>
          <w:tcPr>
            <w:tcW w:w="128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</w:rPr>
            </w:pPr>
            <w:r>
              <w:rPr>
                <w:rFonts w:cs="Calibri" w:cstheme="minorHAnsi"/>
              </w:rPr>
              <w:t>10-2018</w:t>
            </w:r>
          </w:p>
        </w:tc>
        <w:tc>
          <w:tcPr>
            <w:tcW w:w="1915" w:type="dxa"/>
            <w:tcBorders/>
            <w:shd w:fill="auto" w:val="clear"/>
          </w:tcPr>
          <w:p>
            <w:pPr>
              <w:pStyle w:val="ListParagraph"/>
              <w:spacing w:lineRule="auto" w:line="240" w:before="0" w:after="0"/>
              <w:ind w:left="7" w:hanging="0"/>
              <w:contextualSpacing/>
              <w:rPr>
                <w:rFonts w:cs="Calibri" w:cstheme="minorHAnsi"/>
              </w:rPr>
            </w:pPr>
            <w:r>
              <w:rPr>
                <w:rFonts w:cs="Calibri" w:cstheme="minorHAnsi"/>
              </w:rPr>
              <w:t>06-2019</w:t>
            </w:r>
          </w:p>
        </w:tc>
        <w:tc>
          <w:tcPr>
            <w:tcW w:w="280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</w:rPr>
            </w:pPr>
            <w:r>
              <w:rPr>
                <w:rFonts w:cs="Calibri" w:cstheme="minorHAnsi"/>
              </w:rPr>
              <w:t>Osiągnięty. Przyczyna nieosiągnięcia kamienia w zaplanowanym terminie: złożone oferty w odpowiedzi na ogłoszenie w Bazie Konkurencyjności przewyższały kwotę przeznaczoną do realizacji tego zadania.</w:t>
              <w:br/>
              <w:t>CPPC wyraziło zgodę na zmianę kategorii wydatków, która pozwoliła na zatrudnienie 2 osób na ¾ etatu każda, które wykonują to zadanie w siedzibie Lidera. Zatrudnienie nastąpiło 01.06.2019r.</w:t>
            </w:r>
          </w:p>
        </w:tc>
      </w:tr>
      <w:tr>
        <w:trPr/>
        <w:tc>
          <w:tcPr>
            <w:tcW w:w="2125" w:type="dxa"/>
            <w:tcBorders/>
            <w:shd w:fill="auto" w:val="clear"/>
          </w:tcPr>
          <w:p>
            <w:pPr>
              <w:pStyle w:val="NormalWeb"/>
              <w:spacing w:lineRule="auto" w:line="240" w:before="0" w:after="0"/>
              <w:rPr>
                <w:rFonts w:ascii="Calibri" w:hAnsi="Calibri" w:cs="Calibri" w:asciiTheme="minorHAnsi" w:cstheme="minorHAnsi" w:hAnsiTheme="minorHAnsi"/>
                <w:sz w:val="22"/>
                <w:szCs w:val="22"/>
              </w:rPr>
            </w:pPr>
            <w:r>
              <w:rPr>
                <w:rFonts w:cs="Calibri" w:ascii="Calibri" w:hAnsi="Calibri" w:asciiTheme="minorHAnsi" w:cstheme="minorHAnsi" w:hAnsiTheme="minorHAnsi"/>
                <w:sz w:val="22"/>
                <w:szCs w:val="22"/>
              </w:rPr>
              <w:t xml:space="preserve">Wykonanie prac koniecznych do spełnienia standardu </w:t>
            </w:r>
          </w:p>
          <w:p>
            <w:pPr>
              <w:pStyle w:val="Normal"/>
              <w:spacing w:lineRule="auto" w:line="240" w:before="0" w:after="0"/>
              <w:rPr>
                <w:rFonts w:cs="Calibri" w:cstheme="minorHAnsi"/>
              </w:rPr>
            </w:pPr>
            <w:r>
              <w:rPr>
                <w:rFonts w:cs="Calibri" w:cstheme="minorHAnsi"/>
              </w:rPr>
              <w:t>WCAG 2.0 AA</w:t>
            </w:r>
          </w:p>
        </w:tc>
        <w:tc>
          <w:tcPr>
            <w:tcW w:w="1505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i w:val="false"/>
                <w:i w:val="false"/>
                <w:iCs w:val="false"/>
              </w:rPr>
            </w:pPr>
            <w:r>
              <w:rPr>
                <w:rFonts w:cs="Calibri" w:cstheme="minorHAnsi"/>
                <w:i w:val="false"/>
                <w:iCs w:val="false"/>
                <w:sz w:val="22"/>
                <w:szCs w:val="22"/>
              </w:rPr>
              <w:t>Brak bezpośredniego powiązania ze wskaźnikiem</w:t>
            </w:r>
          </w:p>
        </w:tc>
        <w:tc>
          <w:tcPr>
            <w:tcW w:w="128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05-2021</w:t>
            </w:r>
          </w:p>
        </w:tc>
        <w:tc>
          <w:tcPr>
            <w:tcW w:w="1915" w:type="dxa"/>
            <w:tcBorders/>
            <w:shd w:fill="auto" w:val="clear"/>
          </w:tcPr>
          <w:p>
            <w:pPr>
              <w:pStyle w:val="ListParagraph"/>
              <w:spacing w:lineRule="auto" w:line="240" w:before="0" w:after="0"/>
              <w:ind w:left="7" w:hanging="0"/>
              <w:contextualSpacing/>
              <w:rPr/>
            </w:pPr>
            <w:r>
              <w:rPr/>
              <w:t>-</w:t>
            </w:r>
          </w:p>
        </w:tc>
        <w:tc>
          <w:tcPr>
            <w:tcW w:w="280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w trakcie realizacji</w:t>
            </w:r>
          </w:p>
        </w:tc>
      </w:tr>
      <w:tr>
        <w:trPr/>
        <w:tc>
          <w:tcPr>
            <w:tcW w:w="212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Ogłoszenie dot. zamówienia publicznego na wybór wykonawcy usługi dotyczącej skanowania srebrnych opraw 11</w:t>
            </w:r>
          </w:p>
        </w:tc>
        <w:tc>
          <w:tcPr>
            <w:tcW w:w="1505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i w:val="false"/>
                <w:i w:val="false"/>
                <w:iCs w:val="false"/>
              </w:rPr>
            </w:pPr>
            <w:r>
              <w:rPr>
                <w:rFonts w:cs="Calibri" w:cstheme="minorHAnsi"/>
                <w:i w:val="false"/>
                <w:iCs w:val="false"/>
                <w:sz w:val="22"/>
                <w:szCs w:val="22"/>
              </w:rPr>
              <w:t>Brak bezpośredniego powiązania ze wskaźnikiem</w:t>
            </w:r>
          </w:p>
        </w:tc>
        <w:tc>
          <w:tcPr>
            <w:tcW w:w="128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03-2019</w:t>
            </w:r>
          </w:p>
        </w:tc>
        <w:tc>
          <w:tcPr>
            <w:tcW w:w="1915" w:type="dxa"/>
            <w:tcBorders/>
            <w:shd w:fill="auto" w:val="clear"/>
          </w:tcPr>
          <w:p>
            <w:pPr>
              <w:pStyle w:val="ListParagraph"/>
              <w:spacing w:lineRule="auto" w:line="240" w:before="0" w:after="0"/>
              <w:ind w:left="7" w:hanging="0"/>
              <w:contextualSpacing/>
              <w:rPr/>
            </w:pPr>
            <w:r>
              <w:rPr/>
              <w:t>03-2019</w:t>
            </w:r>
          </w:p>
        </w:tc>
        <w:tc>
          <w:tcPr>
            <w:tcW w:w="280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osiągnięty</w:t>
            </w:r>
          </w:p>
        </w:tc>
      </w:tr>
      <w:tr>
        <w:trPr/>
        <w:tc>
          <w:tcPr>
            <w:tcW w:w="212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Wybór wykonawcy usługi skanowania srebrnych opraw</w:t>
            </w:r>
          </w:p>
        </w:tc>
        <w:tc>
          <w:tcPr>
            <w:tcW w:w="1505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i w:val="false"/>
                <w:i w:val="false"/>
                <w:iCs w:val="false"/>
              </w:rPr>
            </w:pPr>
            <w:r>
              <w:rPr>
                <w:rFonts w:cs="Calibri" w:cstheme="minorHAnsi"/>
                <w:i w:val="false"/>
                <w:iCs w:val="false"/>
                <w:sz w:val="22"/>
                <w:szCs w:val="22"/>
              </w:rPr>
              <w:t>Brak bezpośredniego powiązania ze wskaźnikiem</w:t>
            </w:r>
          </w:p>
        </w:tc>
        <w:tc>
          <w:tcPr>
            <w:tcW w:w="128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05-2019</w:t>
            </w:r>
          </w:p>
        </w:tc>
        <w:tc>
          <w:tcPr>
            <w:tcW w:w="1915" w:type="dxa"/>
            <w:tcBorders/>
            <w:shd w:fill="auto" w:val="clear"/>
          </w:tcPr>
          <w:p>
            <w:pPr>
              <w:pStyle w:val="ListParagraph"/>
              <w:spacing w:lineRule="auto" w:line="240" w:before="0" w:after="0"/>
              <w:ind w:left="7" w:hanging="0"/>
              <w:contextualSpacing/>
              <w:rPr/>
            </w:pPr>
            <w:r>
              <w:rPr/>
              <w:t>04-2019</w:t>
            </w:r>
          </w:p>
        </w:tc>
        <w:tc>
          <w:tcPr>
            <w:tcW w:w="280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osiągnięty</w:t>
            </w:r>
          </w:p>
        </w:tc>
      </w:tr>
      <w:tr>
        <w:trPr/>
        <w:tc>
          <w:tcPr>
            <w:tcW w:w="212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Zawarcie umowy z wykonawcą skanów srebrnych opraw</w:t>
            </w:r>
          </w:p>
        </w:tc>
        <w:tc>
          <w:tcPr>
            <w:tcW w:w="1505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i w:val="false"/>
                <w:i w:val="false"/>
                <w:iCs w:val="false"/>
              </w:rPr>
            </w:pPr>
            <w:r>
              <w:rPr>
                <w:rFonts w:cs="Calibri" w:cstheme="minorHAnsi"/>
                <w:i w:val="false"/>
                <w:iCs w:val="false"/>
                <w:sz w:val="22"/>
                <w:szCs w:val="22"/>
              </w:rPr>
              <w:t>Brak bezpośredniego powiązania ze wskaźnikiem</w:t>
            </w:r>
          </w:p>
        </w:tc>
        <w:tc>
          <w:tcPr>
            <w:tcW w:w="128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05-2019</w:t>
            </w:r>
          </w:p>
        </w:tc>
        <w:tc>
          <w:tcPr>
            <w:tcW w:w="1915" w:type="dxa"/>
            <w:tcBorders/>
            <w:shd w:fill="auto" w:val="clear"/>
          </w:tcPr>
          <w:p>
            <w:pPr>
              <w:pStyle w:val="ListParagraph"/>
              <w:spacing w:lineRule="auto" w:line="240" w:before="0" w:after="0"/>
              <w:ind w:left="7" w:hanging="0"/>
              <w:contextualSpacing/>
              <w:rPr/>
            </w:pPr>
            <w:r>
              <w:rPr/>
              <w:t>05-2019</w:t>
            </w:r>
          </w:p>
        </w:tc>
        <w:tc>
          <w:tcPr>
            <w:tcW w:w="280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osiągnięty</w:t>
            </w:r>
          </w:p>
        </w:tc>
      </w:tr>
      <w:tr>
        <w:trPr/>
        <w:tc>
          <w:tcPr>
            <w:tcW w:w="212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</w:rPr>
            </w:pPr>
            <w:r>
              <w:rPr>
                <w:rFonts w:cs="Calibri" w:cstheme="minorHAnsi"/>
              </w:rPr>
              <w:t>Wykonanie skanów srebrnych opraw</w:t>
            </w:r>
          </w:p>
        </w:tc>
        <w:tc>
          <w:tcPr>
            <w:tcW w:w="1505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Calibri" w:cstheme="minorHAnsi"/>
                <w:sz w:val="22"/>
                <w:szCs w:val="22"/>
              </w:rPr>
              <w:t xml:space="preserve">Wskaźnik nr: </w:t>
            </w:r>
            <w:r>
              <w:rPr>
                <w:rFonts w:cs="Calibri" w:cstheme="minorHAnsi"/>
              </w:rPr>
              <w:t>8 – 385 szt.</w:t>
            </w:r>
          </w:p>
        </w:tc>
        <w:tc>
          <w:tcPr>
            <w:tcW w:w="128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</w:rPr>
            </w:pPr>
            <w:r>
              <w:rPr>
                <w:rFonts w:cs="Calibri" w:cstheme="minorHAnsi"/>
              </w:rPr>
              <w:t>04-2020</w:t>
            </w:r>
          </w:p>
        </w:tc>
        <w:tc>
          <w:tcPr>
            <w:tcW w:w="1915" w:type="dxa"/>
            <w:tcBorders/>
            <w:shd w:fill="auto" w:val="clear"/>
          </w:tcPr>
          <w:p>
            <w:pPr>
              <w:pStyle w:val="ListParagraph"/>
              <w:spacing w:lineRule="auto" w:line="240" w:before="0" w:after="0"/>
              <w:ind w:left="7" w:hanging="0"/>
              <w:contextualSpacing/>
              <w:rPr>
                <w:rFonts w:cs="Calibri" w:cstheme="minorHAnsi"/>
              </w:rPr>
            </w:pPr>
            <w:r>
              <w:rPr>
                <w:rFonts w:cs="Calibri" w:cstheme="minorHAnsi"/>
              </w:rPr>
              <w:t>04-2020</w:t>
            </w:r>
          </w:p>
        </w:tc>
        <w:tc>
          <w:tcPr>
            <w:tcW w:w="280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</w:rPr>
            </w:pPr>
            <w:r>
              <w:rPr>
                <w:rFonts w:cs="Calibri" w:cstheme="minorHAnsi"/>
              </w:rPr>
              <w:t>osiągnięty</w:t>
            </w:r>
          </w:p>
        </w:tc>
      </w:tr>
      <w:tr>
        <w:trPr/>
        <w:tc>
          <w:tcPr>
            <w:tcW w:w="2125" w:type="dxa"/>
            <w:tcBorders/>
            <w:shd w:fill="auto" w:val="clear"/>
          </w:tcPr>
          <w:p>
            <w:pPr>
              <w:pStyle w:val="NormalWeb"/>
              <w:spacing w:lineRule="auto" w:line="240" w:before="0" w:after="0"/>
              <w:rPr>
                <w:rFonts w:ascii="Calibri" w:hAnsi="Calibri" w:cs="Calibri" w:asciiTheme="minorHAnsi" w:cstheme="minorHAnsi" w:hAnsiTheme="minorHAnsi"/>
                <w:sz w:val="22"/>
                <w:szCs w:val="22"/>
              </w:rPr>
            </w:pPr>
            <w:r>
              <w:rPr>
                <w:rFonts w:cs="Calibri" w:ascii="Calibri" w:hAnsi="Calibri" w:asciiTheme="minorHAnsi" w:cstheme="minorHAnsi" w:hAnsiTheme="minorHAnsi"/>
                <w:sz w:val="22"/>
                <w:szCs w:val="22"/>
              </w:rPr>
              <w:t xml:space="preserve">Zaangażowanie pracowników do przetwarzania plików po </w:t>
            </w:r>
          </w:p>
          <w:p>
            <w:pPr>
              <w:pStyle w:val="Normal"/>
              <w:spacing w:lineRule="auto" w:line="240" w:before="0" w:after="0"/>
              <w:rPr>
                <w:rFonts w:cs="Calibri" w:cstheme="minorHAnsi"/>
              </w:rPr>
            </w:pPr>
            <w:r>
              <w:rPr>
                <w:rFonts w:cs="Calibri" w:cstheme="minorHAnsi"/>
              </w:rPr>
              <w:t>skanowaniu do formatów do upowszechniania</w:t>
            </w:r>
          </w:p>
        </w:tc>
        <w:tc>
          <w:tcPr>
            <w:tcW w:w="1505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i w:val="false"/>
                <w:i w:val="false"/>
                <w:iCs w:val="false"/>
              </w:rPr>
            </w:pPr>
            <w:r>
              <w:rPr>
                <w:rFonts w:cs="Calibri" w:cstheme="minorHAnsi"/>
                <w:i w:val="false"/>
                <w:iCs w:val="false"/>
                <w:sz w:val="22"/>
                <w:szCs w:val="22"/>
              </w:rPr>
              <w:t>Brak bezpośredniego powiązania ze wskaźnikiem</w:t>
            </w:r>
          </w:p>
        </w:tc>
        <w:tc>
          <w:tcPr>
            <w:tcW w:w="128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</w:rPr>
            </w:pPr>
            <w:r>
              <w:rPr>
                <w:rFonts w:cs="Calibri" w:cstheme="minorHAnsi"/>
              </w:rPr>
              <w:t>10-2018</w:t>
            </w:r>
          </w:p>
        </w:tc>
        <w:tc>
          <w:tcPr>
            <w:tcW w:w="1915" w:type="dxa"/>
            <w:tcBorders/>
            <w:shd w:fill="auto" w:val="clear"/>
          </w:tcPr>
          <w:p>
            <w:pPr>
              <w:pStyle w:val="ListParagraph"/>
              <w:spacing w:lineRule="auto" w:line="240" w:before="0" w:after="0"/>
              <w:ind w:left="7" w:hanging="0"/>
              <w:contextualSpacing/>
              <w:rPr>
                <w:rFonts w:cs="Calibri" w:cstheme="minorHAnsi"/>
              </w:rPr>
            </w:pPr>
            <w:r>
              <w:rPr>
                <w:rFonts w:cs="Calibri" w:cstheme="minorHAnsi"/>
              </w:rPr>
              <w:t>10-2018</w:t>
            </w:r>
          </w:p>
        </w:tc>
        <w:tc>
          <w:tcPr>
            <w:tcW w:w="280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</w:rPr>
            </w:pPr>
            <w:r>
              <w:rPr>
                <w:rFonts w:cs="Calibri" w:cstheme="minorHAnsi"/>
              </w:rPr>
              <w:t>osiągnięty</w:t>
            </w:r>
          </w:p>
        </w:tc>
      </w:tr>
      <w:tr>
        <w:trPr/>
        <w:tc>
          <w:tcPr>
            <w:tcW w:w="212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</w:rPr>
            </w:pPr>
            <w:r>
              <w:rPr>
                <w:rFonts w:cs="Calibri" w:cstheme="minorHAnsi"/>
              </w:rPr>
              <w:t>Przetworzenie plików po skanowaniu do formatów odpowiednich do upowszechnienia</w:t>
            </w:r>
          </w:p>
        </w:tc>
        <w:tc>
          <w:tcPr>
            <w:tcW w:w="1505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i w:val="false"/>
                <w:i w:val="false"/>
                <w:iCs w:val="false"/>
              </w:rPr>
            </w:pPr>
            <w:r>
              <w:rPr>
                <w:rFonts w:cs="Calibri" w:cstheme="minorHAnsi"/>
                <w:i w:val="false"/>
                <w:iCs w:val="false"/>
                <w:sz w:val="22"/>
                <w:szCs w:val="22"/>
              </w:rPr>
              <w:t>Brak bezpośredniego powiązania ze wskaźnikiem</w:t>
            </w:r>
          </w:p>
        </w:tc>
        <w:tc>
          <w:tcPr>
            <w:tcW w:w="128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</w:rPr>
            </w:pPr>
            <w:r>
              <w:rPr>
                <w:rFonts w:cs="Calibri" w:cstheme="minorHAnsi"/>
              </w:rPr>
              <w:t>07-2021</w:t>
            </w:r>
          </w:p>
        </w:tc>
        <w:tc>
          <w:tcPr>
            <w:tcW w:w="1915" w:type="dxa"/>
            <w:tcBorders/>
            <w:shd w:fill="auto" w:val="clear"/>
          </w:tcPr>
          <w:p>
            <w:pPr>
              <w:pStyle w:val="ListParagraph"/>
              <w:spacing w:lineRule="auto" w:line="240" w:before="0" w:after="0"/>
              <w:ind w:left="7" w:hanging="0"/>
              <w:contextualSpacing/>
              <w:rPr>
                <w:rFonts w:cs="Calibri" w:cstheme="minorHAnsi"/>
              </w:rPr>
            </w:pPr>
            <w:r>
              <w:rPr>
                <w:rFonts w:cs="Calibri" w:cstheme="minorHAnsi"/>
              </w:rPr>
              <w:t>-</w:t>
            </w:r>
          </w:p>
        </w:tc>
        <w:tc>
          <w:tcPr>
            <w:tcW w:w="280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</w:rPr>
            </w:pPr>
            <w:r>
              <w:rPr>
                <w:rFonts w:cs="Calibri" w:cstheme="minorHAnsi"/>
              </w:rPr>
              <w:t>w trakcie realizacji</w:t>
            </w:r>
          </w:p>
        </w:tc>
      </w:tr>
      <w:tr>
        <w:trPr/>
        <w:tc>
          <w:tcPr>
            <w:tcW w:w="212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</w:rPr>
            </w:pPr>
            <w:r>
              <w:rPr>
                <w:rFonts w:cs="Calibri" w:cstheme="minorHAnsi"/>
              </w:rPr>
              <w:t>Zaangażowanie pracowników odpowiedzialnych za przygotowanie metadanych opisowych</w:t>
            </w:r>
          </w:p>
        </w:tc>
        <w:tc>
          <w:tcPr>
            <w:tcW w:w="1505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i w:val="false"/>
                <w:i w:val="false"/>
                <w:iCs w:val="false"/>
              </w:rPr>
            </w:pPr>
            <w:r>
              <w:rPr>
                <w:rFonts w:cs="Calibri" w:cstheme="minorHAnsi"/>
                <w:i w:val="false"/>
                <w:iCs w:val="false"/>
                <w:sz w:val="22"/>
                <w:szCs w:val="22"/>
              </w:rPr>
              <w:t>Brak bezpośredniego powiązania ze wskaźnikiem</w:t>
            </w:r>
          </w:p>
        </w:tc>
        <w:tc>
          <w:tcPr>
            <w:tcW w:w="128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</w:rPr>
            </w:pPr>
            <w:r>
              <w:rPr>
                <w:rFonts w:cs="Calibri" w:cstheme="minorHAnsi"/>
              </w:rPr>
              <w:t>10-2018</w:t>
            </w:r>
          </w:p>
        </w:tc>
        <w:tc>
          <w:tcPr>
            <w:tcW w:w="1915" w:type="dxa"/>
            <w:tcBorders/>
            <w:shd w:fill="auto" w:val="clear"/>
          </w:tcPr>
          <w:p>
            <w:pPr>
              <w:pStyle w:val="ListParagraph"/>
              <w:spacing w:lineRule="auto" w:line="240" w:before="0" w:after="0"/>
              <w:ind w:left="7" w:hanging="0"/>
              <w:contextualSpacing/>
              <w:rPr>
                <w:rFonts w:cs="Calibri" w:cstheme="minorHAnsi"/>
              </w:rPr>
            </w:pPr>
            <w:r>
              <w:rPr>
                <w:rFonts w:cs="Calibri" w:cstheme="minorHAnsi"/>
              </w:rPr>
              <w:t>10-2018</w:t>
            </w:r>
          </w:p>
        </w:tc>
        <w:tc>
          <w:tcPr>
            <w:tcW w:w="280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</w:rPr>
            </w:pPr>
            <w:r>
              <w:rPr>
                <w:rFonts w:cs="Calibri" w:cstheme="minorHAnsi"/>
              </w:rPr>
              <w:t>osiągnięty</w:t>
            </w:r>
          </w:p>
        </w:tc>
      </w:tr>
      <w:tr>
        <w:trPr/>
        <w:tc>
          <w:tcPr>
            <w:tcW w:w="212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</w:rPr>
            </w:pPr>
            <w:r>
              <w:rPr>
                <w:rFonts w:cs="Calibri" w:cstheme="minorHAnsi"/>
              </w:rPr>
              <w:t>Przygotowanie metadanych opisowych na platformę dLibra</w:t>
            </w:r>
          </w:p>
        </w:tc>
        <w:tc>
          <w:tcPr>
            <w:tcW w:w="1505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i w:val="false"/>
                <w:i w:val="false"/>
                <w:iCs w:val="false"/>
              </w:rPr>
            </w:pPr>
            <w:r>
              <w:rPr>
                <w:rFonts w:cs="Calibri" w:cstheme="minorHAnsi"/>
                <w:i w:val="false"/>
                <w:iCs w:val="false"/>
                <w:sz w:val="22"/>
                <w:szCs w:val="22"/>
              </w:rPr>
              <w:t>Brak bezpośredniego powiązania ze wskaźnikiem</w:t>
            </w:r>
          </w:p>
        </w:tc>
        <w:tc>
          <w:tcPr>
            <w:tcW w:w="128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</w:rPr>
            </w:pPr>
            <w:r>
              <w:rPr>
                <w:rFonts w:cs="Calibri" w:cstheme="minorHAnsi"/>
              </w:rPr>
              <w:t>07-2021</w:t>
            </w:r>
          </w:p>
        </w:tc>
        <w:tc>
          <w:tcPr>
            <w:tcW w:w="1915" w:type="dxa"/>
            <w:tcBorders/>
            <w:shd w:fill="auto" w:val="clear"/>
          </w:tcPr>
          <w:p>
            <w:pPr>
              <w:pStyle w:val="ListParagraph"/>
              <w:spacing w:lineRule="auto" w:line="240" w:before="0" w:after="0"/>
              <w:ind w:left="7" w:hanging="0"/>
              <w:contextualSpacing/>
              <w:rPr>
                <w:rFonts w:cs="Calibri" w:cstheme="minorHAnsi"/>
              </w:rPr>
            </w:pPr>
            <w:r>
              <w:rPr>
                <w:rFonts w:cs="Calibri" w:cstheme="minorHAnsi"/>
              </w:rPr>
              <w:t>-</w:t>
            </w:r>
          </w:p>
        </w:tc>
        <w:tc>
          <w:tcPr>
            <w:tcW w:w="280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</w:rPr>
            </w:pPr>
            <w:r>
              <w:rPr>
                <w:rFonts w:cs="Calibri" w:cstheme="minorHAnsi"/>
              </w:rPr>
              <w:t>w trakcie realizacji</w:t>
            </w:r>
          </w:p>
        </w:tc>
      </w:tr>
      <w:tr>
        <w:trPr/>
        <w:tc>
          <w:tcPr>
            <w:tcW w:w="212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</w:rPr>
            </w:pPr>
            <w:r>
              <w:rPr>
                <w:rFonts w:cs="Calibri" w:cstheme="minorHAnsi"/>
              </w:rPr>
              <w:t>Upowszechnienie metadanych w Internecie</w:t>
            </w:r>
          </w:p>
        </w:tc>
        <w:tc>
          <w:tcPr>
            <w:tcW w:w="1505" w:type="dxa"/>
            <w:tcBorders/>
            <w:shd w:color="auto" w:fill="auto" w:val="clear"/>
          </w:tcPr>
          <w:p>
            <w:pPr>
              <w:pStyle w:val="NormalWeb"/>
              <w:spacing w:lineRule="auto" w:line="240" w:before="0" w:after="0"/>
              <w:rPr/>
            </w:pPr>
            <w:r>
              <w:rPr>
                <w:rFonts w:cs="Calibri" w:ascii="Calibri" w:hAnsi="Calibri" w:asciiTheme="minorHAnsi" w:cstheme="minorHAnsi" w:hAnsiTheme="minorHAnsi"/>
                <w:sz w:val="22"/>
                <w:szCs w:val="22"/>
              </w:rPr>
              <w:t xml:space="preserve">Wskaźnik nr: </w:t>
              <w:br/>
              <w:t>3 – 28.000 szt.</w:t>
            </w:r>
          </w:p>
          <w:p>
            <w:pPr>
              <w:pStyle w:val="NormalWeb"/>
              <w:spacing w:lineRule="auto" w:line="240" w:before="0" w:after="0"/>
              <w:rPr>
                <w:color w:val="000000"/>
              </w:rPr>
            </w:pPr>
            <w:r>
              <w:rPr>
                <w:rFonts w:cs="Calibri" w:ascii="Calibri" w:hAnsi="Calibri" w:asciiTheme="minorHAnsi" w:cstheme="minorHAnsi" w:hAnsiTheme="minorHAnsi"/>
                <w:color w:val="000000"/>
                <w:sz w:val="22"/>
                <w:szCs w:val="22"/>
              </w:rPr>
              <w:t xml:space="preserve">4 – 1 szt. </w:t>
            </w:r>
          </w:p>
          <w:p>
            <w:pPr>
              <w:pStyle w:val="NormalWeb"/>
              <w:spacing w:lineRule="auto" w:line="240" w:before="0" w:after="0"/>
              <w:rPr/>
            </w:pPr>
            <w:r>
              <w:rPr>
                <w:rFonts w:cs="Calibri" w:ascii="Calibri" w:hAnsi="Calibri" w:asciiTheme="minorHAnsi" w:cstheme="minorHAnsi" w:hAnsiTheme="minorHAnsi"/>
                <w:sz w:val="22"/>
                <w:szCs w:val="22"/>
              </w:rPr>
              <w:t>5 – 129.000</w:t>
            </w:r>
          </w:p>
          <w:p>
            <w:pPr>
              <w:pStyle w:val="NormalWeb"/>
              <w:spacing w:lineRule="auto" w:line="240" w:before="0" w:after="0"/>
              <w:rPr/>
            </w:pPr>
            <w:r>
              <w:rPr>
                <w:rFonts w:cs="Calibri" w:ascii="Calibri" w:hAnsi="Calibri" w:asciiTheme="minorHAnsi" w:cstheme="minorHAnsi" w:hAnsiTheme="minorHAnsi"/>
                <w:sz w:val="22"/>
                <w:szCs w:val="22"/>
              </w:rPr>
              <w:t>7 – 0,01 TB</w:t>
            </w:r>
          </w:p>
        </w:tc>
        <w:tc>
          <w:tcPr>
            <w:tcW w:w="128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</w:rPr>
            </w:pPr>
            <w:r>
              <w:rPr>
                <w:rFonts w:cs="Calibri" w:cstheme="minorHAnsi"/>
              </w:rPr>
              <w:t>07-2021</w:t>
            </w:r>
          </w:p>
        </w:tc>
        <w:tc>
          <w:tcPr>
            <w:tcW w:w="1915" w:type="dxa"/>
            <w:tcBorders/>
            <w:shd w:fill="auto" w:val="clear"/>
          </w:tcPr>
          <w:p>
            <w:pPr>
              <w:pStyle w:val="ListParagraph"/>
              <w:spacing w:lineRule="auto" w:line="240" w:before="0" w:after="0"/>
              <w:ind w:left="7" w:hanging="0"/>
              <w:contextualSpacing/>
              <w:rPr>
                <w:rFonts w:cs="Calibri" w:cstheme="minorHAnsi"/>
              </w:rPr>
            </w:pPr>
            <w:r>
              <w:rPr>
                <w:rFonts w:cs="Calibri" w:cstheme="minorHAnsi"/>
              </w:rPr>
              <w:t>-</w:t>
            </w:r>
          </w:p>
        </w:tc>
        <w:tc>
          <w:tcPr>
            <w:tcW w:w="280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</w:rPr>
            </w:pPr>
            <w:r>
              <w:rPr>
                <w:rFonts w:cs="Calibri" w:cstheme="minorHAnsi"/>
              </w:rPr>
              <w:t>w trakcie realizacji</w:t>
            </w:r>
          </w:p>
        </w:tc>
      </w:tr>
      <w:tr>
        <w:trPr/>
        <w:tc>
          <w:tcPr>
            <w:tcW w:w="2125" w:type="dxa"/>
            <w:tcBorders/>
            <w:shd w:fill="auto" w:val="clear"/>
          </w:tcPr>
          <w:p>
            <w:pPr>
              <w:pStyle w:val="NormalWeb"/>
              <w:spacing w:lineRule="auto" w:line="240" w:before="0" w:after="0"/>
              <w:rPr>
                <w:rFonts w:ascii="Calibri" w:hAnsi="Calibri" w:cs="Calibri" w:asciiTheme="minorHAnsi" w:cstheme="minorHAnsi" w:hAnsiTheme="minorHAnsi"/>
                <w:sz w:val="22"/>
                <w:szCs w:val="22"/>
              </w:rPr>
            </w:pPr>
            <w:r>
              <w:rPr>
                <w:rFonts w:cs="Calibri" w:ascii="Calibri" w:hAnsi="Calibri" w:asciiTheme="minorHAnsi" w:cstheme="minorHAnsi" w:hAnsiTheme="minorHAnsi"/>
                <w:sz w:val="22"/>
                <w:szCs w:val="22"/>
              </w:rPr>
              <w:t xml:space="preserve">Ogłoszenie postępowania w zakresie wyboru wykonawcy </w:t>
            </w:r>
          </w:p>
          <w:p>
            <w:pPr>
              <w:pStyle w:val="Normal"/>
              <w:spacing w:lineRule="auto" w:line="240" w:before="0" w:after="0"/>
              <w:rPr>
                <w:rFonts w:cs="Calibri" w:cstheme="minorHAnsi"/>
              </w:rPr>
            </w:pPr>
            <w:r>
              <w:rPr>
                <w:rFonts w:cs="Calibri" w:cstheme="minorHAnsi"/>
              </w:rPr>
              <w:t>audytu zewnętrznego</w:t>
            </w:r>
          </w:p>
        </w:tc>
        <w:tc>
          <w:tcPr>
            <w:tcW w:w="1505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i w:val="false"/>
                <w:i w:val="false"/>
                <w:iCs w:val="false"/>
              </w:rPr>
            </w:pPr>
            <w:r>
              <w:rPr>
                <w:rFonts w:cs="Calibri" w:cstheme="minorHAnsi"/>
                <w:i w:val="false"/>
                <w:iCs w:val="false"/>
                <w:sz w:val="22"/>
                <w:szCs w:val="22"/>
              </w:rPr>
              <w:t>Brak bezpośredniego powiązania ze wskaźnikiem</w:t>
            </w:r>
          </w:p>
        </w:tc>
        <w:tc>
          <w:tcPr>
            <w:tcW w:w="128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</w:rPr>
            </w:pPr>
            <w:r>
              <w:rPr>
                <w:rFonts w:cs="Calibri" w:cstheme="minorHAnsi"/>
              </w:rPr>
              <w:t>03-2021</w:t>
            </w:r>
          </w:p>
        </w:tc>
        <w:tc>
          <w:tcPr>
            <w:tcW w:w="1915" w:type="dxa"/>
            <w:tcBorders/>
            <w:shd w:fill="auto" w:val="clear"/>
          </w:tcPr>
          <w:p>
            <w:pPr>
              <w:pStyle w:val="ListParagraph"/>
              <w:spacing w:lineRule="auto" w:line="240" w:before="0" w:after="0"/>
              <w:ind w:left="7" w:hanging="0"/>
              <w:contextualSpacing/>
              <w:rPr>
                <w:rFonts w:cs="Calibri" w:cstheme="minorHAnsi"/>
              </w:rPr>
            </w:pPr>
            <w:r>
              <w:rPr>
                <w:rFonts w:cs="Calibri" w:cstheme="minorHAnsi"/>
              </w:rPr>
              <w:t>-</w:t>
            </w:r>
          </w:p>
        </w:tc>
        <w:tc>
          <w:tcPr>
            <w:tcW w:w="280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Calibri" w:cstheme="minorHAnsi"/>
              </w:rPr>
              <w:t>w trakcie realizacji</w:t>
            </w:r>
          </w:p>
        </w:tc>
      </w:tr>
      <w:tr>
        <w:trPr/>
        <w:tc>
          <w:tcPr>
            <w:tcW w:w="212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Zawarcie umowy z wykonawcą audytu zewnętrznego</w:t>
            </w:r>
          </w:p>
        </w:tc>
        <w:tc>
          <w:tcPr>
            <w:tcW w:w="1505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i w:val="false"/>
                <w:i w:val="false"/>
                <w:iCs w:val="false"/>
              </w:rPr>
            </w:pPr>
            <w:r>
              <w:rPr>
                <w:rFonts w:cs="Calibri" w:cstheme="minorHAnsi"/>
                <w:i w:val="false"/>
                <w:iCs w:val="false"/>
                <w:sz w:val="22"/>
                <w:szCs w:val="22"/>
              </w:rPr>
              <w:t>Brak bezpośredniego powiązania ze wskaźnikiem</w:t>
            </w:r>
          </w:p>
        </w:tc>
        <w:tc>
          <w:tcPr>
            <w:tcW w:w="128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05-2021</w:t>
            </w:r>
          </w:p>
        </w:tc>
        <w:tc>
          <w:tcPr>
            <w:tcW w:w="1915" w:type="dxa"/>
            <w:tcBorders/>
            <w:shd w:fill="auto" w:val="clear"/>
          </w:tcPr>
          <w:p>
            <w:pPr>
              <w:pStyle w:val="ListParagraph"/>
              <w:spacing w:lineRule="auto" w:line="240" w:before="0" w:after="0"/>
              <w:ind w:left="7" w:hanging="0"/>
              <w:contextualSpacing/>
              <w:rPr/>
            </w:pPr>
            <w:r>
              <w:rPr/>
              <w:t>-</w:t>
            </w:r>
          </w:p>
        </w:tc>
        <w:tc>
          <w:tcPr>
            <w:tcW w:w="280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planowany</w:t>
            </w:r>
          </w:p>
        </w:tc>
      </w:tr>
      <w:tr>
        <w:trPr/>
        <w:tc>
          <w:tcPr>
            <w:tcW w:w="212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Przeprowadzenie audytu zew. pod kątem zgodności z WCAG i podpisanie protokołu wykonania usługi</w:t>
            </w:r>
          </w:p>
        </w:tc>
        <w:tc>
          <w:tcPr>
            <w:tcW w:w="1505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i w:val="false"/>
                <w:i w:val="false"/>
                <w:iCs w:val="false"/>
              </w:rPr>
            </w:pPr>
            <w:r>
              <w:rPr>
                <w:rFonts w:cs="Calibri" w:cstheme="minorHAnsi"/>
                <w:i w:val="false"/>
                <w:iCs w:val="false"/>
                <w:sz w:val="22"/>
                <w:szCs w:val="22"/>
              </w:rPr>
              <w:t>Brak bezpośredniego powiązania ze wskaźnikiem</w:t>
            </w:r>
          </w:p>
        </w:tc>
        <w:tc>
          <w:tcPr>
            <w:tcW w:w="128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05-2021</w:t>
            </w:r>
          </w:p>
        </w:tc>
        <w:tc>
          <w:tcPr>
            <w:tcW w:w="1915" w:type="dxa"/>
            <w:tcBorders/>
            <w:shd w:fill="auto" w:val="clear"/>
          </w:tcPr>
          <w:p>
            <w:pPr>
              <w:pStyle w:val="ListParagraph"/>
              <w:spacing w:lineRule="auto" w:line="240" w:before="0" w:after="0"/>
              <w:ind w:left="7" w:hanging="0"/>
              <w:contextualSpacing/>
              <w:rPr/>
            </w:pPr>
            <w:r>
              <w:rPr/>
              <w:t>-</w:t>
            </w:r>
          </w:p>
        </w:tc>
        <w:tc>
          <w:tcPr>
            <w:tcW w:w="280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planowany</w:t>
            </w:r>
          </w:p>
        </w:tc>
      </w:tr>
      <w:tr>
        <w:trPr/>
        <w:tc>
          <w:tcPr>
            <w:tcW w:w="212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</w:rPr>
            </w:pPr>
            <w:r>
              <w:rPr>
                <w:rFonts w:cs="Calibri" w:cstheme="minorHAnsi"/>
              </w:rPr>
              <w:t>Zabezpieczenie plików na dyskach twardych i na DVD</w:t>
            </w:r>
          </w:p>
        </w:tc>
        <w:tc>
          <w:tcPr>
            <w:tcW w:w="1505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i w:val="false"/>
                <w:i w:val="false"/>
                <w:iCs w:val="false"/>
              </w:rPr>
            </w:pPr>
            <w:r>
              <w:rPr>
                <w:rFonts w:cs="Calibri" w:cstheme="minorHAnsi"/>
                <w:i w:val="false"/>
                <w:iCs w:val="false"/>
                <w:sz w:val="22"/>
                <w:szCs w:val="22"/>
              </w:rPr>
              <w:t>Brak bezpośredniego powiązania ze wskaźnikiem</w:t>
            </w:r>
          </w:p>
        </w:tc>
        <w:tc>
          <w:tcPr>
            <w:tcW w:w="128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</w:rPr>
            </w:pPr>
            <w:r>
              <w:rPr>
                <w:rFonts w:cs="Calibri" w:cstheme="minorHAnsi"/>
              </w:rPr>
              <w:t>07-2021</w:t>
            </w:r>
          </w:p>
        </w:tc>
        <w:tc>
          <w:tcPr>
            <w:tcW w:w="1915" w:type="dxa"/>
            <w:tcBorders/>
            <w:shd w:fill="auto" w:val="clear"/>
          </w:tcPr>
          <w:p>
            <w:pPr>
              <w:pStyle w:val="ListParagraph"/>
              <w:spacing w:lineRule="auto" w:line="240" w:before="0" w:after="0"/>
              <w:ind w:left="7" w:hanging="0"/>
              <w:contextualSpacing/>
              <w:rPr>
                <w:rFonts w:cs="Calibri" w:cstheme="minorHAnsi"/>
              </w:rPr>
            </w:pPr>
            <w:r>
              <w:rPr>
                <w:rFonts w:cs="Calibri" w:cstheme="minorHAnsi"/>
              </w:rPr>
              <w:t>-</w:t>
            </w:r>
          </w:p>
        </w:tc>
        <w:tc>
          <w:tcPr>
            <w:tcW w:w="280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</w:rPr>
            </w:pPr>
            <w:r>
              <w:rPr>
                <w:rFonts w:cs="Calibri" w:cstheme="minorHAnsi"/>
              </w:rPr>
              <w:t>w trakcie realizacji</w:t>
            </w:r>
          </w:p>
        </w:tc>
      </w:tr>
      <w:tr>
        <w:trPr/>
        <w:tc>
          <w:tcPr>
            <w:tcW w:w="212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Zaangażowanie pracowników zatrudnionych do prac przy retrokonwersji</w:t>
            </w:r>
          </w:p>
        </w:tc>
        <w:tc>
          <w:tcPr>
            <w:tcW w:w="1505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i w:val="false"/>
                <w:i w:val="false"/>
                <w:iCs w:val="false"/>
              </w:rPr>
            </w:pPr>
            <w:r>
              <w:rPr>
                <w:rFonts w:cs="Calibri" w:cstheme="minorHAnsi"/>
                <w:i w:val="false"/>
                <w:iCs w:val="false"/>
                <w:sz w:val="22"/>
                <w:szCs w:val="22"/>
              </w:rPr>
              <w:t>Brak bezpośredniego powiązania ze wskaźnikiem</w:t>
            </w:r>
          </w:p>
        </w:tc>
        <w:tc>
          <w:tcPr>
            <w:tcW w:w="128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12-2018</w:t>
            </w:r>
          </w:p>
        </w:tc>
        <w:tc>
          <w:tcPr>
            <w:tcW w:w="1915" w:type="dxa"/>
            <w:tcBorders/>
            <w:shd w:fill="auto" w:val="clear"/>
          </w:tcPr>
          <w:p>
            <w:pPr>
              <w:pStyle w:val="ListParagraph"/>
              <w:spacing w:lineRule="auto" w:line="240" w:before="0" w:after="0"/>
              <w:ind w:left="7" w:hanging="0"/>
              <w:contextualSpacing/>
              <w:rPr/>
            </w:pPr>
            <w:r>
              <w:rPr/>
              <w:t>12-2018</w:t>
            </w:r>
          </w:p>
        </w:tc>
        <w:tc>
          <w:tcPr>
            <w:tcW w:w="280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osiągnięty</w:t>
            </w:r>
          </w:p>
        </w:tc>
      </w:tr>
      <w:tr>
        <w:trPr/>
        <w:tc>
          <w:tcPr>
            <w:tcW w:w="212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Wykonanie retrokonwersji</w:t>
            </w:r>
          </w:p>
        </w:tc>
        <w:tc>
          <w:tcPr>
            <w:tcW w:w="1505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Wskaźnik nr: 3 – 15.000 szt.</w:t>
            </w:r>
          </w:p>
        </w:tc>
        <w:tc>
          <w:tcPr>
            <w:tcW w:w="128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07-2020</w:t>
            </w:r>
          </w:p>
        </w:tc>
        <w:tc>
          <w:tcPr>
            <w:tcW w:w="1915" w:type="dxa"/>
            <w:tcBorders/>
            <w:shd w:fill="auto" w:val="clear"/>
          </w:tcPr>
          <w:p>
            <w:pPr>
              <w:pStyle w:val="ListParagraph"/>
              <w:spacing w:lineRule="auto" w:line="240" w:before="0" w:after="0"/>
              <w:ind w:left="7" w:hanging="0"/>
              <w:contextualSpacing/>
              <w:rPr/>
            </w:pPr>
            <w:r>
              <w:rPr/>
              <w:t>09-2020</w:t>
            </w:r>
          </w:p>
        </w:tc>
        <w:tc>
          <w:tcPr>
            <w:tcW w:w="280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osiągnięty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br/>
            </w:r>
            <w:r>
              <w:rPr>
                <w:rFonts w:cs="Calibri" w:cstheme="minorHAnsi"/>
              </w:rPr>
              <w:t xml:space="preserve">Przyczyna nieosiągnięcia kamienia w zaplanowanym terminie: wybuch pandemii spowodował skierowanie przez uczelnię części pracowników do pracy zdalnej co uniemożliwiło prowadzenie prac w zaplanowanym tempie. Prace zakończono 2 miesiące po terminie planowanym, za to z nadwyżką oraz przed upływem daty punktu krytycznego. </w:t>
            </w:r>
            <w:r>
              <w:rPr/>
              <w:br/>
              <w:t xml:space="preserve">Partner-UKW zakończył zadanie terminowo. </w:t>
            </w:r>
          </w:p>
        </w:tc>
      </w:tr>
      <w:tr>
        <w:trPr/>
        <w:tc>
          <w:tcPr>
            <w:tcW w:w="2125" w:type="dxa"/>
            <w:tcBorders/>
            <w:shd w:fill="auto" w:val="clear"/>
          </w:tcPr>
          <w:p>
            <w:pPr>
              <w:pStyle w:val="NormalWeb"/>
              <w:spacing w:lineRule="auto" w:line="240" w:before="0" w:after="0"/>
              <w:rPr>
                <w:rFonts w:ascii="Calibri" w:hAnsi="Calibri" w:cs="Calibri" w:asciiTheme="minorHAnsi" w:cstheme="minorHAnsi" w:hAnsiTheme="minorHAnsi"/>
                <w:sz w:val="22"/>
                <w:szCs w:val="22"/>
              </w:rPr>
            </w:pPr>
            <w:r>
              <w:rPr>
                <w:rFonts w:cs="Calibri" w:ascii="Calibri" w:hAnsi="Calibri" w:asciiTheme="minorHAnsi" w:cstheme="minorHAnsi" w:hAnsiTheme="minorHAnsi"/>
                <w:sz w:val="22"/>
                <w:szCs w:val="22"/>
              </w:rPr>
              <w:t xml:space="preserve">Przygotowanie i odbiór tablicy informacyjnej i utworzenie </w:t>
            </w:r>
          </w:p>
          <w:p>
            <w:pPr>
              <w:pStyle w:val="Normal"/>
              <w:spacing w:lineRule="auto" w:line="240" w:before="0" w:after="0"/>
              <w:rPr>
                <w:rFonts w:cs="Calibri" w:cstheme="minorHAnsi"/>
              </w:rPr>
            </w:pPr>
            <w:r>
              <w:rPr>
                <w:rFonts w:cs="Calibri" w:cstheme="minorHAnsi"/>
              </w:rPr>
              <w:t>zakładki dotyczącej projektu na stronach www UMK i UKW</w:t>
            </w:r>
          </w:p>
        </w:tc>
        <w:tc>
          <w:tcPr>
            <w:tcW w:w="1505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</w:rPr>
            </w:pPr>
            <w:r>
              <w:rPr>
                <w:rFonts w:cs="Calibri" w:cstheme="minorHAnsi"/>
              </w:rPr>
              <w:t>Brak powiązania ze wskaźnikiem</w:t>
            </w:r>
          </w:p>
        </w:tc>
        <w:tc>
          <w:tcPr>
            <w:tcW w:w="128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</w:rPr>
            </w:pPr>
            <w:r>
              <w:rPr>
                <w:rFonts w:cs="Calibri" w:cstheme="minorHAnsi"/>
              </w:rPr>
              <w:t>09-2018</w:t>
            </w:r>
          </w:p>
        </w:tc>
        <w:tc>
          <w:tcPr>
            <w:tcW w:w="1915" w:type="dxa"/>
            <w:tcBorders/>
            <w:shd w:fill="auto" w:val="clear"/>
          </w:tcPr>
          <w:p>
            <w:pPr>
              <w:pStyle w:val="ListParagraph"/>
              <w:spacing w:lineRule="auto" w:line="240" w:before="0" w:after="0"/>
              <w:ind w:left="7" w:hanging="0"/>
              <w:contextualSpacing/>
              <w:rPr>
                <w:rFonts w:cs="Calibri" w:cstheme="minorHAnsi"/>
              </w:rPr>
            </w:pPr>
            <w:r>
              <w:rPr>
                <w:rFonts w:cs="Calibri" w:cstheme="minorHAnsi"/>
              </w:rPr>
              <w:t>11-2018</w:t>
            </w:r>
          </w:p>
        </w:tc>
        <w:tc>
          <w:tcPr>
            <w:tcW w:w="2806" w:type="dxa"/>
            <w:tcBorders/>
            <w:shd w:fill="auto" w:val="clear"/>
          </w:tcPr>
          <w:p>
            <w:pPr>
              <w:pStyle w:val="NormalWeb"/>
              <w:spacing w:lineRule="auto" w:line="240" w:before="0" w:after="0"/>
              <w:rPr>
                <w:rFonts w:ascii="Calibri" w:hAnsi="Calibri" w:cs="Calibri" w:asciiTheme="minorHAnsi" w:cstheme="minorHAnsi" w:hAnsiTheme="minorHAnsi"/>
                <w:sz w:val="22"/>
                <w:szCs w:val="22"/>
              </w:rPr>
            </w:pPr>
            <w:r>
              <w:rPr>
                <w:rFonts w:cs="Calibri" w:ascii="Calibri" w:hAnsi="Calibri" w:asciiTheme="minorHAnsi" w:cstheme="minorHAnsi" w:hAnsiTheme="minorHAnsi"/>
                <w:sz w:val="22"/>
                <w:szCs w:val="22"/>
              </w:rPr>
              <w:t>Osiągnięty. Pierwsza część kamienia milowego osiągnięta w terminie (utworzenie zakładki) natomiast druga część kamienia milowego (Przygotowanie i odbiór tablicy informacyjnej) osiągnięta po terminie.</w:t>
            </w:r>
          </w:p>
          <w:p>
            <w:pPr>
              <w:pStyle w:val="Normal"/>
              <w:spacing w:lineRule="auto" w:line="240" w:before="0" w:after="0"/>
              <w:rPr>
                <w:rFonts w:cs="Calibri" w:cstheme="minorHAnsi"/>
              </w:rPr>
            </w:pPr>
            <w:r>
              <w:rPr>
                <w:rFonts w:cs="Calibri" w:cstheme="minorHAnsi"/>
              </w:rPr>
              <w:t>Przyczyną nieosiągnięcia pełnego kamienia milowego w terminie było zbyt duże obciążenie zadaniami pracowników uczelni prowadzących wymaganą przepisami prawa procedurę wyłonienia dostawców. Termin osiągnięcia pełnego kamienia nie przekroczył „Daty punktu ostatecznego”.</w:t>
            </w:r>
          </w:p>
        </w:tc>
      </w:tr>
      <w:tr>
        <w:trPr/>
        <w:tc>
          <w:tcPr>
            <w:tcW w:w="212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Opracowanie i druk broszur informacyjnych, plakatów, roll-up'ów</w:t>
            </w:r>
          </w:p>
        </w:tc>
        <w:tc>
          <w:tcPr>
            <w:tcW w:w="1505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Brak powiązania ze wskaźnikiem</w:t>
            </w:r>
          </w:p>
        </w:tc>
        <w:tc>
          <w:tcPr>
            <w:tcW w:w="128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04-2019</w:t>
            </w:r>
          </w:p>
        </w:tc>
        <w:tc>
          <w:tcPr>
            <w:tcW w:w="1915" w:type="dxa"/>
            <w:tcBorders/>
            <w:shd w:fill="auto" w:val="clear"/>
          </w:tcPr>
          <w:p>
            <w:pPr>
              <w:pStyle w:val="ListParagraph"/>
              <w:spacing w:lineRule="auto" w:line="240" w:before="0" w:after="0"/>
              <w:ind w:left="7" w:hanging="0"/>
              <w:contextualSpacing/>
              <w:rPr/>
            </w:pPr>
            <w:r>
              <w:rPr/>
            </w:r>
          </w:p>
        </w:tc>
        <w:tc>
          <w:tcPr>
            <w:tcW w:w="280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W trakcie realizacji. Kamień częściowo osiągnięty. Opracowano i wydrukowano plakaty i roll-up’y. Po uzyskanie zgody CPPC na realizację tego zadania z uwzględnieniem dwu dodatków zadaniowych, wykonanie broszur zaplanowano na styczeń i luty 2021 mając zdigitalizowany dostatecznie szeroki materiał do należytej promocji projektu w broszurach. Prace te kończymy obecnie w ramach wkładu własnego.</w:t>
            </w:r>
          </w:p>
        </w:tc>
      </w:tr>
      <w:tr>
        <w:trPr/>
        <w:tc>
          <w:tcPr>
            <w:tcW w:w="212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Wykonanie wystaw ruchomych</w:t>
            </w:r>
          </w:p>
        </w:tc>
        <w:tc>
          <w:tcPr>
            <w:tcW w:w="1505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Brak powiązania ze wskaźnikiem</w:t>
            </w:r>
          </w:p>
        </w:tc>
        <w:tc>
          <w:tcPr>
            <w:tcW w:w="128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03-2021</w:t>
            </w:r>
          </w:p>
        </w:tc>
        <w:tc>
          <w:tcPr>
            <w:tcW w:w="1915" w:type="dxa"/>
            <w:tcBorders/>
            <w:shd w:fill="auto" w:val="clear"/>
          </w:tcPr>
          <w:p>
            <w:pPr>
              <w:pStyle w:val="ListParagraph"/>
              <w:spacing w:lineRule="auto" w:line="240" w:before="0" w:after="0"/>
              <w:ind w:left="7" w:hanging="0"/>
              <w:contextualSpacing/>
              <w:rPr/>
            </w:pPr>
            <w:r>
              <w:rPr/>
              <w:t>-</w:t>
            </w:r>
          </w:p>
        </w:tc>
        <w:tc>
          <w:tcPr>
            <w:tcW w:w="280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w trakcie realizacji. W UMK i UKW opracowano, wydrukowano i zaprezentowano pierwsze z dwu wystaw ruchomych. Drugie wystawy są na ukończeniu.</w:t>
            </w:r>
          </w:p>
        </w:tc>
      </w:tr>
      <w:tr>
        <w:trPr/>
        <w:tc>
          <w:tcPr>
            <w:tcW w:w="212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Organizacja konferencji podsumowującej realizację projektu</w:t>
            </w:r>
          </w:p>
        </w:tc>
        <w:tc>
          <w:tcPr>
            <w:tcW w:w="1505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Brak powiązania ze wskaźnikiem</w:t>
            </w:r>
          </w:p>
        </w:tc>
        <w:tc>
          <w:tcPr>
            <w:tcW w:w="128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07-2021</w:t>
            </w:r>
          </w:p>
        </w:tc>
        <w:tc>
          <w:tcPr>
            <w:tcW w:w="1915" w:type="dxa"/>
            <w:tcBorders/>
            <w:shd w:fill="auto" w:val="clear"/>
          </w:tcPr>
          <w:p>
            <w:pPr>
              <w:pStyle w:val="ListParagraph"/>
              <w:spacing w:lineRule="auto" w:line="240" w:before="0" w:after="0"/>
              <w:ind w:left="7" w:hanging="0"/>
              <w:contextualSpacing/>
              <w:rPr/>
            </w:pPr>
            <w:r>
              <w:rPr/>
              <w:t>-</w:t>
            </w:r>
          </w:p>
        </w:tc>
        <w:tc>
          <w:tcPr>
            <w:tcW w:w="280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planowany</w:t>
            </w:r>
          </w:p>
        </w:tc>
      </w:tr>
      <w:tr>
        <w:trPr/>
        <w:tc>
          <w:tcPr>
            <w:tcW w:w="212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Przygotowanie i odbiór tablicy pamiątkowej</w:t>
            </w:r>
          </w:p>
        </w:tc>
        <w:tc>
          <w:tcPr>
            <w:tcW w:w="1505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Brak powiązania ze wskaźnikiem</w:t>
            </w:r>
          </w:p>
        </w:tc>
        <w:tc>
          <w:tcPr>
            <w:tcW w:w="128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07-2021</w:t>
            </w:r>
          </w:p>
        </w:tc>
        <w:tc>
          <w:tcPr>
            <w:tcW w:w="1915" w:type="dxa"/>
            <w:tcBorders/>
            <w:shd w:fill="auto" w:val="clear"/>
          </w:tcPr>
          <w:p>
            <w:pPr>
              <w:pStyle w:val="ListParagraph"/>
              <w:spacing w:lineRule="auto" w:line="240" w:before="0" w:after="0"/>
              <w:ind w:left="7" w:hanging="0"/>
              <w:contextualSpacing/>
              <w:rPr/>
            </w:pPr>
            <w:r>
              <w:rPr/>
              <w:t>-</w:t>
            </w:r>
          </w:p>
        </w:tc>
        <w:tc>
          <w:tcPr>
            <w:tcW w:w="280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planowany</w:t>
            </w:r>
          </w:p>
        </w:tc>
      </w:tr>
      <w:tr>
        <w:trPr/>
        <w:tc>
          <w:tcPr>
            <w:tcW w:w="212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Upowszechnienie informacji dotyczącej projektu, jego zakończenia oraz uzyskanych rezultatów (proces ciągły)</w:t>
            </w:r>
          </w:p>
        </w:tc>
        <w:tc>
          <w:tcPr>
            <w:tcW w:w="1505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Brak powiązania ze wskaźnikiem</w:t>
            </w:r>
          </w:p>
        </w:tc>
        <w:tc>
          <w:tcPr>
            <w:tcW w:w="128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07-2021</w:t>
            </w:r>
          </w:p>
        </w:tc>
        <w:tc>
          <w:tcPr>
            <w:tcW w:w="1915" w:type="dxa"/>
            <w:tcBorders/>
            <w:shd w:fill="auto" w:val="clear"/>
          </w:tcPr>
          <w:p>
            <w:pPr>
              <w:pStyle w:val="ListParagraph"/>
              <w:spacing w:lineRule="auto" w:line="240" w:before="0" w:after="0"/>
              <w:ind w:left="7" w:hanging="0"/>
              <w:contextualSpacing/>
              <w:rPr/>
            </w:pPr>
            <w:r>
              <w:rPr/>
              <w:t>-</w:t>
            </w:r>
          </w:p>
        </w:tc>
        <w:tc>
          <w:tcPr>
            <w:tcW w:w="280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w trakcie realizacji</w:t>
            </w:r>
          </w:p>
        </w:tc>
      </w:tr>
      <w:tr>
        <w:trPr/>
        <w:tc>
          <w:tcPr>
            <w:tcW w:w="212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Zaangażowanie Kierownika projektu</w:t>
            </w:r>
          </w:p>
        </w:tc>
        <w:tc>
          <w:tcPr>
            <w:tcW w:w="1505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Brak powiązania ze wskaźnikiem</w:t>
            </w:r>
          </w:p>
        </w:tc>
        <w:tc>
          <w:tcPr>
            <w:tcW w:w="128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07-2021</w:t>
            </w:r>
          </w:p>
        </w:tc>
        <w:tc>
          <w:tcPr>
            <w:tcW w:w="1915" w:type="dxa"/>
            <w:tcBorders/>
            <w:shd w:fill="auto" w:val="clear"/>
          </w:tcPr>
          <w:p>
            <w:pPr>
              <w:pStyle w:val="ListParagraph"/>
              <w:spacing w:lineRule="auto" w:line="240" w:before="0" w:after="0"/>
              <w:ind w:left="7" w:hanging="0"/>
              <w:contextualSpacing/>
              <w:rPr/>
            </w:pPr>
            <w:r>
              <w:rPr/>
              <w:t>-</w:t>
            </w:r>
          </w:p>
        </w:tc>
        <w:tc>
          <w:tcPr>
            <w:tcW w:w="280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w trakcie realizacji</w:t>
            </w:r>
          </w:p>
        </w:tc>
      </w:tr>
      <w:tr>
        <w:trPr/>
        <w:tc>
          <w:tcPr>
            <w:tcW w:w="212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Zaangażowanie Asystenta Kierownika projektu</w:t>
            </w:r>
          </w:p>
        </w:tc>
        <w:tc>
          <w:tcPr>
            <w:tcW w:w="1505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Brak powiązania ze wskaźnikiem</w:t>
            </w:r>
          </w:p>
        </w:tc>
        <w:tc>
          <w:tcPr>
            <w:tcW w:w="128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07-2021</w:t>
            </w:r>
          </w:p>
        </w:tc>
        <w:tc>
          <w:tcPr>
            <w:tcW w:w="1915" w:type="dxa"/>
            <w:tcBorders/>
            <w:shd w:fill="auto" w:val="clear"/>
          </w:tcPr>
          <w:p>
            <w:pPr>
              <w:pStyle w:val="ListParagraph"/>
              <w:spacing w:lineRule="auto" w:line="240" w:before="0" w:after="0"/>
              <w:ind w:left="7" w:hanging="0"/>
              <w:contextualSpacing/>
              <w:rPr/>
            </w:pPr>
            <w:r>
              <w:rPr/>
              <w:t>-</w:t>
            </w:r>
          </w:p>
        </w:tc>
        <w:tc>
          <w:tcPr>
            <w:tcW w:w="280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w trakcie realizacji</w:t>
            </w:r>
          </w:p>
        </w:tc>
      </w:tr>
      <w:tr>
        <w:trPr/>
        <w:tc>
          <w:tcPr>
            <w:tcW w:w="212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Zaangażowanie Koordynatora projektu po stronie Partnera</w:t>
            </w:r>
          </w:p>
        </w:tc>
        <w:tc>
          <w:tcPr>
            <w:tcW w:w="1505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Brak powiązania ze wskaźnikiem</w:t>
            </w:r>
          </w:p>
        </w:tc>
        <w:tc>
          <w:tcPr>
            <w:tcW w:w="128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07-2021</w:t>
            </w:r>
          </w:p>
        </w:tc>
        <w:tc>
          <w:tcPr>
            <w:tcW w:w="1915" w:type="dxa"/>
            <w:tcBorders/>
            <w:shd w:fill="auto" w:val="clear"/>
          </w:tcPr>
          <w:p>
            <w:pPr>
              <w:pStyle w:val="ListParagraph"/>
              <w:spacing w:lineRule="auto" w:line="240" w:before="0" w:after="0"/>
              <w:ind w:left="7" w:hanging="0"/>
              <w:contextualSpacing/>
              <w:rPr/>
            </w:pPr>
            <w:r>
              <w:rPr/>
              <w:t>-</w:t>
            </w:r>
          </w:p>
        </w:tc>
        <w:tc>
          <w:tcPr>
            <w:tcW w:w="280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w trakcie realizacji </w:t>
            </w:r>
          </w:p>
        </w:tc>
      </w:tr>
      <w:tr>
        <w:trPr/>
        <w:tc>
          <w:tcPr>
            <w:tcW w:w="2125" w:type="dxa"/>
            <w:tcBorders/>
            <w:shd w:fill="auto" w:val="clear"/>
          </w:tcPr>
          <w:p>
            <w:pPr>
              <w:pStyle w:val="NormalWeb"/>
              <w:spacing w:lineRule="auto" w:line="240" w:before="0" w:after="0"/>
              <w:rPr>
                <w:rFonts w:ascii="Calibri" w:hAnsi="Calibri" w:cs="Calibri" w:asciiTheme="minorHAnsi" w:cstheme="minorHAnsi" w:hAnsiTheme="minorHAnsi"/>
                <w:sz w:val="22"/>
                <w:szCs w:val="22"/>
              </w:rPr>
            </w:pPr>
            <w:r>
              <w:rPr>
                <w:rFonts w:cs="Calibri" w:ascii="Calibri" w:hAnsi="Calibri" w:asciiTheme="minorHAnsi" w:cstheme="minorHAnsi" w:hAnsiTheme="minorHAnsi"/>
                <w:sz w:val="22"/>
                <w:szCs w:val="22"/>
              </w:rPr>
              <w:t xml:space="preserve">Zaangażowanie asystenta Koordynatora po stronie </w:t>
            </w:r>
          </w:p>
          <w:p>
            <w:pPr>
              <w:pStyle w:val="Normal"/>
              <w:spacing w:lineRule="auto" w:line="240" w:before="0" w:after="0"/>
              <w:rPr>
                <w:rFonts w:cs="Calibri" w:cstheme="minorHAnsi"/>
              </w:rPr>
            </w:pPr>
            <w:r>
              <w:rPr>
                <w:rFonts w:cs="Calibri" w:cstheme="minorHAnsi"/>
              </w:rPr>
              <w:t>Partnera</w:t>
            </w:r>
          </w:p>
        </w:tc>
        <w:tc>
          <w:tcPr>
            <w:tcW w:w="1505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</w:rPr>
            </w:pPr>
            <w:r>
              <w:rPr>
                <w:rFonts w:cs="Calibri" w:cstheme="minorHAnsi"/>
              </w:rPr>
              <w:t>Brak powiązania ze wskaźnikiem</w:t>
            </w:r>
          </w:p>
        </w:tc>
        <w:tc>
          <w:tcPr>
            <w:tcW w:w="128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</w:rPr>
            </w:pPr>
            <w:r>
              <w:rPr>
                <w:rFonts w:cs="Calibri" w:cstheme="minorHAnsi"/>
              </w:rPr>
              <w:t>07-2021</w:t>
            </w:r>
          </w:p>
        </w:tc>
        <w:tc>
          <w:tcPr>
            <w:tcW w:w="1915" w:type="dxa"/>
            <w:tcBorders/>
            <w:shd w:fill="auto" w:val="clear"/>
          </w:tcPr>
          <w:p>
            <w:pPr>
              <w:pStyle w:val="ListParagraph"/>
              <w:spacing w:lineRule="auto" w:line="240" w:before="0" w:after="0"/>
              <w:ind w:left="7" w:hanging="0"/>
              <w:contextualSpacing/>
              <w:rPr>
                <w:rFonts w:cs="Calibri" w:cstheme="minorHAnsi"/>
              </w:rPr>
            </w:pPr>
            <w:r>
              <w:rPr>
                <w:rFonts w:cs="Calibri" w:cstheme="minorHAnsi"/>
              </w:rPr>
              <w:t>-</w:t>
            </w:r>
          </w:p>
        </w:tc>
        <w:tc>
          <w:tcPr>
            <w:tcW w:w="280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</w:rPr>
            </w:pPr>
            <w:r>
              <w:rPr>
                <w:rFonts w:cs="Calibri" w:cstheme="minorHAnsi"/>
              </w:rPr>
              <w:t>w trakcie realizacji</w:t>
            </w:r>
          </w:p>
        </w:tc>
      </w:tr>
      <w:tr>
        <w:trPr/>
        <w:tc>
          <w:tcPr>
            <w:tcW w:w="212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Sporządzenie końcowego wniosku o płatność przez Kierownika projektu</w:t>
            </w:r>
          </w:p>
        </w:tc>
        <w:tc>
          <w:tcPr>
            <w:tcW w:w="1505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Brak powiązania ze wskaźnikiem</w:t>
            </w:r>
          </w:p>
        </w:tc>
        <w:tc>
          <w:tcPr>
            <w:tcW w:w="128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07-2021</w:t>
            </w:r>
          </w:p>
        </w:tc>
        <w:tc>
          <w:tcPr>
            <w:tcW w:w="1915" w:type="dxa"/>
            <w:tcBorders/>
            <w:shd w:fill="auto" w:val="clear"/>
          </w:tcPr>
          <w:p>
            <w:pPr>
              <w:pStyle w:val="ListParagraph"/>
              <w:spacing w:lineRule="auto" w:line="240" w:before="0" w:after="0"/>
              <w:ind w:left="7" w:hanging="0"/>
              <w:contextualSpacing/>
              <w:rPr/>
            </w:pPr>
            <w:r>
              <w:rPr/>
              <w:t>-</w:t>
            </w:r>
          </w:p>
        </w:tc>
        <w:tc>
          <w:tcPr>
            <w:tcW w:w="280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planowany</w:t>
            </w:r>
          </w:p>
        </w:tc>
      </w:tr>
    </w:tbl>
    <w:p>
      <w:pPr>
        <w:pStyle w:val="Normal"/>
        <w:spacing w:before="240" w:after="120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543"/>
        <w:gridCol w:w="1275"/>
        <w:gridCol w:w="1841"/>
        <w:gridCol w:w="1701"/>
        <w:gridCol w:w="2274"/>
      </w:tblGrid>
      <w:tr>
        <w:trPr>
          <w:tblHeader w:val="true"/>
        </w:trPr>
        <w:tc>
          <w:tcPr>
            <w:tcW w:w="2543" w:type="dxa"/>
            <w:tcBorders/>
            <w:shd w:color="auto" w:fill="D0CECE" w:themeFill="background2" w:themeFillShade="e6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b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Nazwa</w:t>
            </w:r>
          </w:p>
        </w:tc>
        <w:tc>
          <w:tcPr>
            <w:tcW w:w="1275" w:type="dxa"/>
            <w:tcBorders/>
            <w:shd w:color="auto" w:fill="D0CECE" w:themeFill="background2" w:themeFillShade="e6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b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Jedn. miary</w:t>
            </w:r>
          </w:p>
        </w:tc>
        <w:tc>
          <w:tcPr>
            <w:tcW w:w="1841" w:type="dxa"/>
            <w:tcBorders/>
            <w:shd w:color="auto" w:fill="D0CECE" w:themeFill="background2" w:themeFillShade="e6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b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 xml:space="preserve">Wartość 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b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tcBorders/>
            <w:shd w:color="auto" w:fill="D0CECE" w:themeFill="background2" w:themeFillShade="e6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b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2274" w:type="dxa"/>
            <w:tcBorders/>
            <w:shd w:color="auto" w:fill="D0CECE" w:themeFill="background2" w:themeFillShade="e6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b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>
        <w:trPr/>
        <w:tc>
          <w:tcPr>
            <w:tcW w:w="254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color w:val="0070C0"/>
                <w:lang w:eastAsia="pl-PL"/>
              </w:rPr>
            </w:pPr>
            <w:r>
              <w:rPr>
                <w:rFonts w:cs="Calibri" w:cstheme="minorHAnsi"/>
              </w:rPr>
              <w:t xml:space="preserve">1. Wskaźnik kluczowy (obligatoryjny) – wskaźnik produktu: Liczba podmiotów, które udostępniły on-line informacje sektora </w:t>
            </w:r>
          </w:p>
        </w:tc>
        <w:tc>
          <w:tcPr>
            <w:tcW w:w="127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color w:val="0070C0"/>
              </w:rPr>
            </w:pPr>
            <w:r>
              <w:rPr>
                <w:rFonts w:cs="Calibri" w:cstheme="minorHAnsi"/>
              </w:rPr>
              <w:t>szt.</w:t>
            </w:r>
          </w:p>
        </w:tc>
        <w:tc>
          <w:tcPr>
            <w:tcW w:w="184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color w:val="0070C0"/>
              </w:rPr>
            </w:pPr>
            <w:r>
              <w:rPr>
                <w:rFonts w:cs="Calibri" w:cstheme="minorHAnsi"/>
              </w:rPr>
              <w:t>2,00</w:t>
            </w:r>
          </w:p>
        </w:tc>
        <w:tc>
          <w:tcPr>
            <w:tcW w:w="170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color w:val="0070C0"/>
              </w:rPr>
            </w:pPr>
            <w:r>
              <w:rPr>
                <w:rFonts w:cs="Calibri" w:cstheme="minorHAnsi"/>
              </w:rPr>
              <w:t>07.2021</w:t>
            </w:r>
          </w:p>
        </w:tc>
        <w:tc>
          <w:tcPr>
            <w:tcW w:w="227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color w:val="0070C0"/>
              </w:rPr>
            </w:pPr>
            <w:r>
              <w:rPr>
                <w:rFonts w:cs="Calibri" w:cstheme="minorHAnsi"/>
              </w:rPr>
              <w:t>2,00</w:t>
            </w:r>
          </w:p>
        </w:tc>
      </w:tr>
      <w:tr>
        <w:trPr/>
        <w:tc>
          <w:tcPr>
            <w:tcW w:w="254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color w:val="0070C0"/>
                <w:lang w:eastAsia="pl-PL"/>
              </w:rPr>
            </w:pPr>
            <w:r>
              <w:rPr>
                <w:rFonts w:cs="Calibri" w:cstheme="minorHAnsi"/>
              </w:rPr>
              <w:t>2. Wskaźnik kluczowy (adekwatny do projektu) – wskaźnik produktu: Liczba zdigitalizowanych dokumentów zawierających informacje sektora publicznego.</w:t>
            </w:r>
          </w:p>
        </w:tc>
        <w:tc>
          <w:tcPr>
            <w:tcW w:w="127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color w:val="0070C0"/>
              </w:rPr>
            </w:pPr>
            <w:r>
              <w:rPr>
                <w:rFonts w:cs="Calibri" w:cstheme="minorHAnsi"/>
              </w:rPr>
              <w:t>szt.</w:t>
            </w:r>
          </w:p>
        </w:tc>
        <w:tc>
          <w:tcPr>
            <w:tcW w:w="184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color w:val="0070C0"/>
              </w:rPr>
            </w:pPr>
            <w:r>
              <w:rPr>
                <w:rFonts w:cs="Calibri" w:cstheme="minorHAnsi"/>
              </w:rPr>
              <w:t>28.000,00</w:t>
            </w:r>
          </w:p>
        </w:tc>
        <w:tc>
          <w:tcPr>
            <w:tcW w:w="170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color w:val="0070C0"/>
              </w:rPr>
            </w:pPr>
            <w:r>
              <w:rPr>
                <w:rFonts w:cs="Calibri" w:cstheme="minorHAnsi"/>
              </w:rPr>
              <w:t>07.2021</w:t>
            </w:r>
          </w:p>
        </w:tc>
        <w:tc>
          <w:tcPr>
            <w:tcW w:w="2274" w:type="dxa"/>
            <w:tcBorders/>
            <w:shd w:fill="auto" w:val="clear"/>
          </w:tcPr>
          <w:p>
            <w:pPr>
              <w:pStyle w:val="NormalWeb"/>
              <w:spacing w:lineRule="auto" w:line="240" w:before="0" w:after="0"/>
              <w:rPr/>
            </w:pPr>
            <w:r>
              <w:rPr>
                <w:rFonts w:cs="Calibri" w:ascii="Calibri" w:hAnsi="Calibri" w:asciiTheme="minorHAnsi" w:cstheme="minorHAnsi" w:hAnsiTheme="minorHAnsi"/>
                <w:sz w:val="22"/>
                <w:szCs w:val="22"/>
              </w:rPr>
              <w:t>22 690</w:t>
            </w:r>
          </w:p>
          <w:p>
            <w:pPr>
              <w:pStyle w:val="Normal"/>
              <w:spacing w:lineRule="auto" w:line="240" w:before="0" w:after="0"/>
              <w:rPr>
                <w:rFonts w:cs="Calibri" w:cstheme="minorHAnsi"/>
                <w:color w:val="0070C0"/>
              </w:rPr>
            </w:pPr>
            <w:r>
              <w:rPr>
                <w:rFonts w:cs="Calibri" w:cstheme="minorHAnsi"/>
                <w:color w:val="0070C0"/>
              </w:rPr>
            </w:r>
          </w:p>
        </w:tc>
      </w:tr>
      <w:tr>
        <w:trPr/>
        <w:tc>
          <w:tcPr>
            <w:tcW w:w="254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Calibri" w:cstheme="minorHAnsi"/>
              </w:rPr>
              <w:t>3. Wskaźnik kluczowy (adekwatny do projektu) – wskaźnik produktu: Liczba udostępnionych on-line dokumentów zawierających informacje sektora publicznego</w:t>
            </w:r>
          </w:p>
        </w:tc>
        <w:tc>
          <w:tcPr>
            <w:tcW w:w="127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color w:val="0070C0"/>
              </w:rPr>
            </w:pPr>
            <w:r>
              <w:rPr>
                <w:rFonts w:cs="Calibri" w:cstheme="minorHAnsi"/>
              </w:rPr>
              <w:t>szt.</w:t>
            </w:r>
          </w:p>
        </w:tc>
        <w:tc>
          <w:tcPr>
            <w:tcW w:w="184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color w:val="0070C0"/>
              </w:rPr>
            </w:pPr>
            <w:r>
              <w:rPr>
                <w:rFonts w:cs="Calibri" w:cstheme="minorHAnsi"/>
              </w:rPr>
              <w:t>43.000 ,00</w:t>
            </w:r>
          </w:p>
        </w:tc>
        <w:tc>
          <w:tcPr>
            <w:tcW w:w="170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color w:val="0070C0"/>
              </w:rPr>
            </w:pPr>
            <w:r>
              <w:rPr>
                <w:rFonts w:cs="Calibri" w:cstheme="minorHAnsi"/>
              </w:rPr>
              <w:t>07.2021</w:t>
            </w:r>
          </w:p>
        </w:tc>
        <w:tc>
          <w:tcPr>
            <w:tcW w:w="2274" w:type="dxa"/>
            <w:tcBorders/>
            <w:shd w:fill="auto" w:val="clear"/>
          </w:tcPr>
          <w:p>
            <w:pPr>
              <w:pStyle w:val="NormalWeb"/>
              <w:spacing w:lineRule="auto" w:line="240" w:before="0" w:after="0"/>
              <w:rPr/>
            </w:pPr>
            <w:r>
              <w:rPr>
                <w:rFonts w:cs="Calibri" w:ascii="Calibri" w:hAnsi="Calibri" w:asciiTheme="minorHAnsi" w:cstheme="minorHAnsi" w:hAnsiTheme="minorHAnsi"/>
                <w:sz w:val="22"/>
                <w:szCs w:val="22"/>
              </w:rPr>
              <w:t>34 919</w:t>
            </w:r>
          </w:p>
          <w:p>
            <w:pPr>
              <w:pStyle w:val="Normal"/>
              <w:spacing w:lineRule="auto" w:line="240" w:before="0" w:after="0"/>
              <w:rPr>
                <w:rFonts w:cs="Calibri" w:cstheme="minorHAnsi"/>
                <w:color w:val="0070C0"/>
              </w:rPr>
            </w:pPr>
            <w:r>
              <w:rPr>
                <w:rFonts w:cs="Calibri" w:cstheme="minorHAnsi"/>
                <w:color w:val="0070C0"/>
              </w:rPr>
            </w:r>
          </w:p>
        </w:tc>
      </w:tr>
      <w:tr>
        <w:trPr/>
        <w:tc>
          <w:tcPr>
            <w:tcW w:w="254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color w:val="0070C0"/>
                <w:lang w:eastAsia="pl-PL"/>
              </w:rPr>
            </w:pPr>
            <w:r>
              <w:rPr>
                <w:rFonts w:cs="Calibri" w:cstheme="minorHAnsi"/>
              </w:rPr>
              <w:t xml:space="preserve">4. Wskaźnik kluczowy (adekwatny do projektu) – wskaźnik produktu: Liczba baz danych udostępnionych on-line poprzez API </w:t>
            </w:r>
          </w:p>
        </w:tc>
        <w:tc>
          <w:tcPr>
            <w:tcW w:w="127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color w:val="0070C0"/>
              </w:rPr>
            </w:pPr>
            <w:r>
              <w:rPr>
                <w:rFonts w:cs="Calibri" w:cstheme="minorHAnsi"/>
              </w:rPr>
              <w:t>szt.</w:t>
            </w:r>
          </w:p>
        </w:tc>
        <w:tc>
          <w:tcPr>
            <w:tcW w:w="184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color w:val="0070C0"/>
              </w:rPr>
            </w:pPr>
            <w:r>
              <w:rPr>
                <w:rFonts w:cs="Calibri" w:cstheme="minorHAnsi"/>
              </w:rPr>
              <w:t>1</w:t>
            </w:r>
          </w:p>
        </w:tc>
        <w:tc>
          <w:tcPr>
            <w:tcW w:w="170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color w:val="0070C0"/>
              </w:rPr>
            </w:pPr>
            <w:r>
              <w:rPr>
                <w:rFonts w:cs="Calibri" w:cstheme="minorHAnsi"/>
              </w:rPr>
              <w:t>07.2021</w:t>
            </w:r>
          </w:p>
        </w:tc>
        <w:tc>
          <w:tcPr>
            <w:tcW w:w="227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color w:val="0070C0"/>
              </w:rPr>
            </w:pPr>
            <w:r>
              <w:rPr>
                <w:rFonts w:cs="Calibri" w:cstheme="minorHAnsi"/>
              </w:rPr>
              <w:t>1</w:t>
            </w:r>
          </w:p>
        </w:tc>
      </w:tr>
      <w:tr>
        <w:trPr/>
        <w:tc>
          <w:tcPr>
            <w:tcW w:w="254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color w:val="0070C0"/>
                <w:lang w:eastAsia="pl-PL"/>
              </w:rPr>
            </w:pPr>
            <w:r>
              <w:rPr>
                <w:rFonts w:cs="Calibri" w:cstheme="minorHAnsi"/>
              </w:rPr>
              <w:t>5. Wskaźnik kluczowy (obligatoryjny) –wskaźnik rezultatu bezpośredniego: Liczba pobrań/ odtworzeń dokumentów zawierających informacje sektora publicznego.</w:t>
            </w:r>
          </w:p>
        </w:tc>
        <w:tc>
          <w:tcPr>
            <w:tcW w:w="1275" w:type="dxa"/>
            <w:tcBorders/>
            <w:shd w:fill="auto" w:val="clear"/>
          </w:tcPr>
          <w:p>
            <w:pPr>
              <w:pStyle w:val="NormalWeb"/>
              <w:spacing w:lineRule="auto" w:line="240" w:before="0" w:after="0"/>
              <w:rPr>
                <w:rFonts w:ascii="Calibri" w:hAnsi="Calibri" w:cs="Calibri" w:asciiTheme="minorHAnsi" w:cstheme="minorHAnsi" w:hAnsiTheme="minorHAnsi"/>
                <w:sz w:val="22"/>
                <w:szCs w:val="22"/>
              </w:rPr>
            </w:pPr>
            <w:r>
              <w:rPr>
                <w:rFonts w:cs="Calibri" w:ascii="Calibri" w:hAnsi="Calibri" w:asciiTheme="minorHAnsi" w:cstheme="minorHAnsi" w:hAnsiTheme="minorHAnsi"/>
                <w:sz w:val="22"/>
                <w:szCs w:val="22"/>
              </w:rPr>
              <w:t>szt./rok</w:t>
            </w:r>
          </w:p>
          <w:p>
            <w:pPr>
              <w:pStyle w:val="Normal"/>
              <w:spacing w:lineRule="auto" w:line="240" w:before="0" w:after="0"/>
              <w:rPr>
                <w:rFonts w:cs="Calibri" w:cstheme="minorHAnsi"/>
                <w:color w:val="0070C0"/>
              </w:rPr>
            </w:pPr>
            <w:r>
              <w:rPr>
                <w:rFonts w:cs="Calibri" w:cstheme="minorHAnsi"/>
                <w:color w:val="0070C0"/>
              </w:rPr>
            </w:r>
          </w:p>
        </w:tc>
        <w:tc>
          <w:tcPr>
            <w:tcW w:w="184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color w:val="0070C0"/>
              </w:rPr>
            </w:pPr>
            <w:r>
              <w:rPr>
                <w:rFonts w:cs="Calibri" w:cstheme="minorHAnsi"/>
              </w:rPr>
              <w:t xml:space="preserve">129.000,00 </w:t>
            </w:r>
          </w:p>
        </w:tc>
        <w:tc>
          <w:tcPr>
            <w:tcW w:w="1701" w:type="dxa"/>
            <w:tcBorders/>
            <w:shd w:fill="auto" w:val="clear"/>
          </w:tcPr>
          <w:p>
            <w:pPr>
              <w:pStyle w:val="NormalWeb"/>
              <w:spacing w:lineRule="auto" w:line="240" w:before="0" w:after="0"/>
              <w:rPr>
                <w:rFonts w:ascii="Calibri" w:hAnsi="Calibri" w:cs="Calibri" w:asciiTheme="minorHAnsi" w:cstheme="minorHAnsi" w:hAnsiTheme="minorHAnsi"/>
                <w:sz w:val="22"/>
                <w:szCs w:val="22"/>
              </w:rPr>
            </w:pPr>
            <w:r>
              <w:rPr>
                <w:rFonts w:cs="Calibri" w:ascii="Calibri" w:hAnsi="Calibri" w:asciiTheme="minorHAnsi" w:cstheme="minorHAnsi" w:hAnsiTheme="minorHAnsi"/>
                <w:sz w:val="22"/>
                <w:szCs w:val="22"/>
              </w:rPr>
              <w:t>07.2022</w:t>
            </w:r>
          </w:p>
          <w:p>
            <w:pPr>
              <w:pStyle w:val="Normal"/>
              <w:spacing w:lineRule="auto" w:line="240" w:before="0" w:after="0"/>
              <w:rPr>
                <w:rFonts w:cs="Calibri" w:cstheme="minorHAnsi"/>
                <w:color w:val="0070C0"/>
              </w:rPr>
            </w:pPr>
            <w:r>
              <w:rPr>
                <w:rFonts w:cs="Calibri" w:cstheme="minorHAnsi"/>
                <w:color w:val="0070C0"/>
              </w:rPr>
            </w:r>
          </w:p>
        </w:tc>
        <w:tc>
          <w:tcPr>
            <w:tcW w:w="2274" w:type="dxa"/>
            <w:tcBorders/>
            <w:shd w:fill="auto" w:val="clear"/>
          </w:tcPr>
          <w:p>
            <w:pPr>
              <w:pStyle w:val="NormalWeb"/>
              <w:spacing w:lineRule="auto" w:line="240" w:before="0" w:after="0"/>
              <w:rPr/>
            </w:pPr>
            <w:r>
              <w:rPr>
                <w:rFonts w:cs="Calibri" w:ascii="Calibri" w:hAnsi="Calibri" w:asciiTheme="minorHAnsi" w:cstheme="minorHAnsi" w:hAnsiTheme="minorHAnsi"/>
                <w:sz w:val="22"/>
                <w:szCs w:val="22"/>
              </w:rPr>
              <w:t>186 971</w:t>
            </w:r>
          </w:p>
          <w:p>
            <w:pPr>
              <w:pStyle w:val="Normal"/>
              <w:spacing w:lineRule="auto" w:line="240" w:before="0" w:after="0"/>
              <w:rPr>
                <w:rFonts w:cs="Calibri" w:cstheme="minorHAnsi"/>
                <w:color w:val="0070C0"/>
              </w:rPr>
            </w:pPr>
            <w:r>
              <w:rPr>
                <w:rFonts w:cs="Calibri" w:cstheme="minorHAnsi"/>
                <w:color w:val="0070C0"/>
              </w:rPr>
            </w:r>
          </w:p>
        </w:tc>
      </w:tr>
      <w:tr>
        <w:trPr/>
        <w:tc>
          <w:tcPr>
            <w:tcW w:w="254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color w:val="0070C0"/>
                <w:lang w:eastAsia="pl-PL"/>
              </w:rPr>
            </w:pPr>
            <w:r>
              <w:rPr>
                <w:rFonts w:cs="Calibri" w:cstheme="minorHAnsi"/>
              </w:rPr>
              <w:t>6. Wskaźnik specyficzny dla programu (adekwatny do projektu) – wskaźnik produktu: Rozmiar zdigitalizowanej informacji sektora publicznego.</w:t>
            </w:r>
          </w:p>
        </w:tc>
        <w:tc>
          <w:tcPr>
            <w:tcW w:w="127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color w:val="0070C0"/>
              </w:rPr>
            </w:pPr>
            <w:r>
              <w:rPr>
                <w:rFonts w:cs="Calibri" w:cstheme="minorHAnsi"/>
              </w:rPr>
              <w:t>TB</w:t>
            </w:r>
          </w:p>
        </w:tc>
        <w:tc>
          <w:tcPr>
            <w:tcW w:w="184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color w:val="0070C0"/>
              </w:rPr>
            </w:pPr>
            <w:r>
              <w:rPr>
                <w:rFonts w:cs="Calibri" w:cstheme="minorHAnsi"/>
              </w:rPr>
              <w:t>5,09</w:t>
            </w:r>
          </w:p>
        </w:tc>
        <w:tc>
          <w:tcPr>
            <w:tcW w:w="170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color w:val="0070C0"/>
              </w:rPr>
            </w:pPr>
            <w:r>
              <w:rPr>
                <w:rFonts w:cs="Calibri" w:cstheme="minorHAnsi"/>
              </w:rPr>
              <w:t>07.2021</w:t>
            </w:r>
          </w:p>
        </w:tc>
        <w:tc>
          <w:tcPr>
            <w:tcW w:w="227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Calibri" w:cstheme="minorHAnsi"/>
              </w:rPr>
              <w:t>17,09</w:t>
            </w:r>
          </w:p>
        </w:tc>
      </w:tr>
      <w:tr>
        <w:trPr/>
        <w:tc>
          <w:tcPr>
            <w:tcW w:w="254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>
              <w:rPr/>
              <w:t>7. Wskaźnik specyficzny dla programu (adekwatny do projektu) – wskaźnik produktu: Rozmiar udostępnionych on-line informacji sektora publicznego.</w:t>
            </w:r>
          </w:p>
        </w:tc>
        <w:tc>
          <w:tcPr>
            <w:tcW w:w="127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/>
              <w:t>TB</w:t>
            </w:r>
          </w:p>
        </w:tc>
        <w:tc>
          <w:tcPr>
            <w:tcW w:w="184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/>
              <w:t xml:space="preserve">0,01 </w:t>
            </w:r>
          </w:p>
        </w:tc>
        <w:tc>
          <w:tcPr>
            <w:tcW w:w="170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/>
              <w:t>07.2021</w:t>
            </w:r>
          </w:p>
        </w:tc>
        <w:tc>
          <w:tcPr>
            <w:tcW w:w="227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0,21</w:t>
            </w:r>
          </w:p>
        </w:tc>
      </w:tr>
      <w:tr>
        <w:trPr/>
        <w:tc>
          <w:tcPr>
            <w:tcW w:w="254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>
              <w:rPr/>
              <w:t>8. Wskaźnik specyficzny dla programu (adekwatny do projektu) – wskaźnik rezultatu bezpośredniego: Liczba pobrań/ odtworzeń unikatowych 11 srebrnych opraw książkowych.</w:t>
            </w:r>
          </w:p>
        </w:tc>
        <w:tc>
          <w:tcPr>
            <w:tcW w:w="127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/>
              <w:t>szt.</w:t>
            </w:r>
          </w:p>
        </w:tc>
        <w:tc>
          <w:tcPr>
            <w:tcW w:w="184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/>
              <w:t>385,00</w:t>
            </w:r>
          </w:p>
        </w:tc>
        <w:tc>
          <w:tcPr>
            <w:tcW w:w="170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/>
              <w:t>07.2022</w:t>
            </w:r>
          </w:p>
        </w:tc>
        <w:tc>
          <w:tcPr>
            <w:tcW w:w="227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159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cs="Arial" w:ascii="Arial" w:hAnsi="Arial"/>
                <w:color w:val="0070C0"/>
                <w:sz w:val="18"/>
                <w:szCs w:val="20"/>
              </w:rPr>
            </w:r>
          </w:p>
        </w:tc>
      </w:tr>
    </w:tbl>
    <w:p>
      <w:pPr>
        <w:pStyle w:val="Nagwek2"/>
        <w:numPr>
          <w:ilvl w:val="0"/>
          <w:numId w:val="1"/>
        </w:numPr>
        <w:spacing w:before="360" w:after="120"/>
        <w:ind w:left="426" w:hanging="426"/>
        <w:rPr>
          <w:rFonts w:ascii="Arial" w:hAnsi="Arial" w:cs="Arial"/>
        </w:rPr>
      </w:pPr>
      <w:r>
        <w:rPr>
          <w:rStyle w:val="Nagwek2Znak"/>
          <w:rFonts w:cs="Arial" w:ascii="Arial" w:hAnsi="Arial"/>
          <w:b/>
          <w:color w:val="00000A"/>
          <w:sz w:val="24"/>
          <w:szCs w:val="24"/>
        </w:rPr>
        <w:t>E-usługi A2A, A2B, A2C</w:t>
      </w:r>
      <w:r>
        <w:rPr>
          <w:rFonts w:cs="Arial" w:ascii="Arial" w:hAnsi="Arial"/>
          <w:color w:val="00000A"/>
        </w:rPr>
        <w:t xml:space="preserve"> </w:t>
      </w:r>
      <w:bookmarkStart w:id="1" w:name="_Hlk506932259"/>
      <w:r>
        <w:rPr>
          <w:rFonts w:cs="Arial" w:ascii="Arial" w:hAnsi="Arial"/>
          <w:sz w:val="20"/>
          <w:szCs w:val="20"/>
        </w:rPr>
        <w:t>&lt;</w:t>
      </w:r>
      <w:bookmarkEnd w:id="1"/>
      <w:r>
        <w:rPr>
          <w:rFonts w:cs="Arial" w:ascii="Arial" w:hAnsi="Arial"/>
          <w:color w:val="767171" w:themeColor="background2" w:themeShade="80"/>
          <w:sz w:val="20"/>
          <w:szCs w:val="20"/>
        </w:rPr>
        <w:t>maksymalnie 2000 znaków&gt;</w:t>
      </w:r>
    </w:p>
    <w:tbl>
      <w:tblPr>
        <w:tblStyle w:val="Tabela-Siatka"/>
        <w:tblW w:w="96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935"/>
        <w:gridCol w:w="1170"/>
        <w:gridCol w:w="1132"/>
        <w:gridCol w:w="4396"/>
      </w:tblGrid>
      <w:tr>
        <w:trPr>
          <w:tblHeader w:val="true"/>
        </w:trPr>
        <w:tc>
          <w:tcPr>
            <w:tcW w:w="2935" w:type="dxa"/>
            <w:tcBorders/>
            <w:shd w:color="auto" w:fill="D0CECE" w:themeFill="background2" w:themeFillShade="e6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b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Nazwa</w:t>
            </w:r>
          </w:p>
        </w:tc>
        <w:tc>
          <w:tcPr>
            <w:tcW w:w="1170" w:type="dxa"/>
            <w:tcBorders/>
            <w:shd w:color="auto" w:fill="D0CECE" w:themeFill="background2" w:themeFillShade="e6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b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2" w:type="dxa"/>
            <w:tcBorders/>
            <w:shd w:color="auto" w:fill="D0CECE" w:themeFill="background2" w:themeFillShade="e6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b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6" w:type="dxa"/>
            <w:tcBorders/>
            <w:shd w:color="auto" w:fill="D0CECE" w:themeFill="background2" w:themeFillShade="e6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b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Opis zmian</w:t>
            </w:r>
          </w:p>
        </w:tc>
      </w:tr>
      <w:tr>
        <w:trPr/>
        <w:tc>
          <w:tcPr>
            <w:tcW w:w="293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/>
              <w:t>nie dotyczy</w:t>
            </w:r>
          </w:p>
        </w:tc>
        <w:tc>
          <w:tcPr>
            <w:tcW w:w="117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/>
              <w:t>nie dotyczy</w:t>
            </w:r>
          </w:p>
        </w:tc>
        <w:tc>
          <w:tcPr>
            <w:tcW w:w="113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/>
              <w:t>nie dotyczy</w:t>
            </w:r>
          </w:p>
        </w:tc>
        <w:tc>
          <w:tcPr>
            <w:tcW w:w="439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/>
              <w:t>nie dotyczy</w:t>
            </w:r>
          </w:p>
        </w:tc>
      </w:tr>
    </w:tbl>
    <w:p>
      <w:pPr>
        <w:pStyle w:val="Nagwek2"/>
        <w:numPr>
          <w:ilvl w:val="0"/>
          <w:numId w:val="1"/>
        </w:numPr>
        <w:spacing w:before="360" w:after="0"/>
        <w:ind w:left="284" w:hanging="284"/>
        <w:rPr>
          <w:rStyle w:val="Nagwek3Znak"/>
          <w:rFonts w:ascii="Arial" w:hAnsi="Arial" w:eastAsia="Calibri" w:cs="Arial" w:eastAsiaTheme="minorHAnsi"/>
          <w:b/>
          <w:b/>
          <w:color w:val="0070C0"/>
          <w:sz w:val="26"/>
          <w:szCs w:val="26"/>
        </w:rPr>
      </w:pPr>
      <w:r>
        <w:rPr>
          <w:rStyle w:val="Nagwek3Znak"/>
          <w:rFonts w:eastAsia="Calibri" w:cs="Arial" w:ascii="Arial" w:hAnsi="Arial" w:eastAsiaTheme="minorHAnsi"/>
          <w:b/>
          <w:color w:val="00000A"/>
        </w:rPr>
        <w:t>Udostępnione informacje sektora publicznego i zdigitalizowane zasoby</w:t>
      </w:r>
      <w:r>
        <w:rPr>
          <w:rStyle w:val="Nagwek3Znak"/>
          <w:rFonts w:eastAsia="Calibri" w:cs="Arial" w:ascii="Arial" w:hAnsi="Arial" w:eastAsiaTheme="minorHAnsi"/>
          <w:b/>
          <w:color w:val="00000A"/>
          <w:sz w:val="26"/>
          <w:szCs w:val="26"/>
        </w:rPr>
        <w:t xml:space="preserve"> </w:t>
      </w:r>
      <w:r>
        <w:rPr>
          <w:rFonts w:cs="Arial" w:ascii="Arial" w:hAnsi="Arial"/>
          <w:color w:val="767171" w:themeColor="background2" w:themeShade="80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935"/>
        <w:gridCol w:w="1170"/>
        <w:gridCol w:w="1132"/>
        <w:gridCol w:w="4396"/>
      </w:tblGrid>
      <w:tr>
        <w:trPr>
          <w:tblHeader w:val="true"/>
        </w:trPr>
        <w:tc>
          <w:tcPr>
            <w:tcW w:w="2935" w:type="dxa"/>
            <w:tcBorders/>
            <w:shd w:color="auto" w:fill="D0CECE" w:themeFill="background2" w:themeFillShade="e6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b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Nazwa</w:t>
            </w:r>
          </w:p>
        </w:tc>
        <w:tc>
          <w:tcPr>
            <w:tcW w:w="1170" w:type="dxa"/>
            <w:tcBorders/>
            <w:shd w:color="auto" w:fill="D0CECE" w:themeFill="background2" w:themeFillShade="e6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b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2" w:type="dxa"/>
            <w:tcBorders/>
            <w:shd w:color="auto" w:fill="D0CECE" w:themeFill="background2" w:themeFillShade="e6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b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6" w:type="dxa"/>
            <w:tcBorders/>
            <w:shd w:color="auto" w:fill="D0CECE" w:themeFill="background2" w:themeFillShade="e6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b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Opis zmian</w:t>
            </w:r>
          </w:p>
        </w:tc>
      </w:tr>
      <w:tr>
        <w:trPr/>
        <w:tc>
          <w:tcPr>
            <w:tcW w:w="293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/>
              <w:t>Poszerzenie otwartej naukowej bazy źródłowej o 28 000,00 zdigitalizowanych obiektów cyfrowych ze zbiorów Uniwersytetu Mikołaja Kopernika oraz Uniwersytetu Kazimierza Wielkiego.</w:t>
            </w:r>
          </w:p>
        </w:tc>
        <w:tc>
          <w:tcPr>
            <w:tcW w:w="117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/>
              <w:t>07-2021</w:t>
            </w:r>
          </w:p>
        </w:tc>
        <w:tc>
          <w:tcPr>
            <w:tcW w:w="113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/>
              <w:t>W trakcie realizacji</w:t>
            </w:r>
          </w:p>
        </w:tc>
        <w:tc>
          <w:tcPr>
            <w:tcW w:w="439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Otwarta naukowa baza źródłowa została poszerzona w 4kw. 2020 o 1822 obiekty cyfrowe. Razem jest już 19919 obiektów cyfrowych. Plan projektu przewiduje osiągnięcie wskaźnika 28000 do końca 07.2021.</w:t>
            </w:r>
          </w:p>
        </w:tc>
      </w:tr>
      <w:tr>
        <w:trPr/>
        <w:tc>
          <w:tcPr>
            <w:tcW w:w="293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/>
              <w:t xml:space="preserve">Poszerzenie otwartej naukowej bazy źródłowej o 15 000,00 nowych elektronicznych opisów bibliograficznych. </w:t>
            </w:r>
          </w:p>
        </w:tc>
        <w:tc>
          <w:tcPr>
            <w:tcW w:w="117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/>
              <w:t>07-2020</w:t>
            </w:r>
          </w:p>
        </w:tc>
        <w:tc>
          <w:tcPr>
            <w:tcW w:w="113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/>
              <w:t>09-2020</w:t>
            </w:r>
          </w:p>
        </w:tc>
        <w:tc>
          <w:tcPr>
            <w:tcW w:w="439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/>
              <w:t>Otwarta naukowa baza źródłowa została poszerzona w 3 kw. 2020 r. o 3887 nowych rekordów. Razem jest 18221 rekordów. Plan projektu przewidywał osiągnięcie wskaźnika 15000 do końca 07.2020. W wyniku pandemii zadanie zakończono 30.09.2020 i osiągnięto nadwyżkę 3221 ob. Wynik: 15 000+3 221.</w:t>
            </w:r>
          </w:p>
        </w:tc>
      </w:tr>
    </w:tbl>
    <w:p>
      <w:pPr>
        <w:pStyle w:val="Nagwek3"/>
        <w:numPr>
          <w:ilvl w:val="0"/>
          <w:numId w:val="1"/>
        </w:numPr>
        <w:spacing w:before="360" w:after="0"/>
        <w:ind w:left="426" w:hanging="426"/>
        <w:rPr>
          <w:rFonts w:ascii="Arial" w:hAnsi="Arial" w:cs="Arial"/>
          <w:sz w:val="18"/>
          <w:szCs w:val="18"/>
        </w:rPr>
      </w:pPr>
      <w:r>
        <w:rPr>
          <w:rStyle w:val="Nagwek2Znak"/>
          <w:rFonts w:cs="Arial" w:ascii="Arial" w:hAnsi="Arial"/>
          <w:b/>
          <w:color w:val="00000A"/>
          <w:sz w:val="24"/>
          <w:szCs w:val="24"/>
        </w:rPr>
        <w:t>Produkty końcowe projektu</w:t>
      </w:r>
      <w:r>
        <w:rPr>
          <w:rStyle w:val="Nagwek2Znak"/>
          <w:rFonts w:cs="Arial" w:ascii="Arial" w:hAnsi="Arial"/>
          <w:color w:val="00000A"/>
          <w:sz w:val="24"/>
          <w:szCs w:val="24"/>
        </w:rPr>
        <w:t xml:space="preserve"> (inne niż wskazane w pkt 4 i 5)</w:t>
      </w:r>
      <w:r>
        <w:rPr>
          <w:rFonts w:cs="Arial" w:ascii="Arial" w:hAnsi="Arial"/>
          <w:color w:val="00000A"/>
        </w:rPr>
        <w:t xml:space="preserve"> </w:t>
      </w:r>
      <w:r>
        <w:rPr>
          <w:rFonts w:cs="Arial" w:ascii="Arial" w:hAnsi="Arial"/>
          <w:color w:val="767171" w:themeColor="background2" w:themeShade="80"/>
          <w:sz w:val="20"/>
          <w:szCs w:val="18"/>
        </w:rPr>
        <w:t>&lt;maksymalnie 2000 znaków&gt;</w:t>
      </w:r>
      <w:r>
        <w:rPr>
          <w:rFonts w:cs="Arial" w:ascii="Arial" w:hAnsi="Arial"/>
          <w:sz w:val="20"/>
          <w:szCs w:val="18"/>
        </w:rPr>
        <w:t xml:space="preserve"> </w:t>
      </w:r>
    </w:p>
    <w:tbl>
      <w:tblPr>
        <w:tblStyle w:val="Tabela-Siatka"/>
        <w:tblW w:w="96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547"/>
        <w:gridCol w:w="1699"/>
        <w:gridCol w:w="1843"/>
        <w:gridCol w:w="3544"/>
      </w:tblGrid>
      <w:tr>
        <w:trPr>
          <w:tblHeader w:val="true"/>
        </w:trPr>
        <w:tc>
          <w:tcPr>
            <w:tcW w:w="2547" w:type="dxa"/>
            <w:tcBorders/>
            <w:shd w:color="auto" w:fill="D0CECE" w:themeFill="background2" w:themeFillShade="e6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b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699" w:type="dxa"/>
            <w:tcBorders/>
            <w:shd w:color="auto" w:fill="D0CECE" w:themeFill="background2" w:themeFillShade="e6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b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tcBorders/>
            <w:shd w:color="auto" w:fill="D0CECE" w:themeFill="background2" w:themeFillShade="e6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b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4" w:type="dxa"/>
            <w:tcBorders/>
            <w:shd w:color="auto" w:fill="D0CECE" w:themeFill="background2" w:themeFillShade="e6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b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 xml:space="preserve">Komplementarność względem produktów innych projektów 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b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</w:r>
          </w:p>
        </w:tc>
      </w:tr>
      <w:tr>
        <w:trPr/>
        <w:tc>
          <w:tcPr>
            <w:tcW w:w="254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/>
              <w:t>nie dotyczy</w:t>
            </w:r>
          </w:p>
        </w:tc>
        <w:tc>
          <w:tcPr>
            <w:tcW w:w="169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/>
              <w:t>nie dotyczy</w:t>
            </w:r>
          </w:p>
        </w:tc>
        <w:tc>
          <w:tcPr>
            <w:tcW w:w="184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/>
              <w:t>nie dotyczy</w:t>
            </w:r>
          </w:p>
        </w:tc>
        <w:tc>
          <w:tcPr>
            <w:tcW w:w="354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/>
              <w:t>nie dotyczy</w:t>
            </w:r>
          </w:p>
        </w:tc>
      </w:tr>
    </w:tbl>
    <w:p>
      <w:pPr>
        <w:pStyle w:val="ListParagraph"/>
        <w:numPr>
          <w:ilvl w:val="0"/>
          <w:numId w:val="1"/>
        </w:numPr>
        <w:spacing w:before="360" w:after="120"/>
        <w:ind w:left="426" w:hanging="426"/>
        <w:contextualSpacing/>
        <w:rPr>
          <w:rFonts w:ascii="Arial" w:hAnsi="Arial" w:cs="Arial"/>
          <w:sz w:val="20"/>
          <w:szCs w:val="20"/>
        </w:rPr>
      </w:pPr>
      <w:r>
        <w:rPr>
          <w:rStyle w:val="Nagwek2Znak"/>
          <w:rFonts w:cs="Arial" w:ascii="Arial" w:hAnsi="Arial"/>
          <w:b/>
          <w:color w:val="00000A"/>
          <w:sz w:val="24"/>
          <w:szCs w:val="24"/>
        </w:rPr>
        <w:t>Ryzyka</w:t>
      </w:r>
      <w:r>
        <w:rPr>
          <w:rStyle w:val="Nagwek3Znak"/>
          <w:rFonts w:cs="Arial" w:ascii="Arial" w:hAnsi="Arial"/>
          <w:b/>
          <w:color w:val="00000A"/>
        </w:rPr>
        <w:t xml:space="preserve"> </w:t>
      </w:r>
      <w:r>
        <w:rPr>
          <w:rFonts w:cs="Arial" w:ascii="Arial" w:hAnsi="Arial"/>
          <w:color w:val="0070C0"/>
        </w:rPr>
        <w:t xml:space="preserve">  </w:t>
      </w:r>
      <w:r>
        <w:rPr>
          <w:rFonts w:cs="Arial" w:ascii="Arial" w:hAnsi="Arial"/>
          <w:color w:val="767171" w:themeColor="background2" w:themeShade="80"/>
          <w:sz w:val="20"/>
          <w:szCs w:val="20"/>
        </w:rPr>
        <w:t>&lt;maksymalnie 2000 znaków&gt;</w:t>
      </w:r>
    </w:p>
    <w:p>
      <w:pPr>
        <w:pStyle w:val="Normal"/>
        <w:spacing w:before="0" w:after="12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jc w:val="left"/>
        <w:tblInd w:w="-5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263"/>
        <w:gridCol w:w="1696"/>
        <w:gridCol w:w="2127"/>
        <w:gridCol w:w="2411"/>
      </w:tblGrid>
      <w:tr>
        <w:trPr>
          <w:tblHeader w:val="true"/>
        </w:trPr>
        <w:tc>
          <w:tcPr>
            <w:tcW w:w="3263" w:type="dxa"/>
            <w:tcBorders/>
            <w:shd w:color="auto" w:fill="D0CECE" w:themeFill="background2" w:themeFillShade="e6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b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Nazwa ryzyka</w:t>
            </w:r>
          </w:p>
        </w:tc>
        <w:tc>
          <w:tcPr>
            <w:tcW w:w="1696" w:type="dxa"/>
            <w:tcBorders/>
            <w:shd w:color="auto" w:fill="D0CECE" w:themeFill="background2" w:themeFillShade="e6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b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127" w:type="dxa"/>
            <w:tcBorders/>
            <w:shd w:color="auto" w:fill="D0CECE" w:themeFill="background2" w:themeFillShade="e6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b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411" w:type="dxa"/>
            <w:tcBorders/>
            <w:shd w:color="auto" w:fill="D0CECE" w:themeFill="background2" w:themeFillShade="e6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b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Sposób zarzadzania ryzykiem</w:t>
            </w:r>
          </w:p>
        </w:tc>
      </w:tr>
      <w:tr>
        <w:trPr/>
        <w:tc>
          <w:tcPr>
            <w:tcW w:w="326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/>
              <w:t>Ryzyko wydłużenia czasu realizacji projektu w obszarze ryzyka formalno-instytucjonalnego.</w:t>
            </w:r>
            <w:r>
              <w:rPr>
                <w:color w:val="C00000"/>
              </w:rPr>
              <w:t xml:space="preserve"> </w:t>
            </w:r>
            <w:r>
              <w:rPr/>
              <w:t>Czynnik ryzyka: duże obciążenie zadaniami pracowników uczelni prowadzących wymaganą przepisami prawa procedurę wyłonienia dostawców</w:t>
            </w:r>
          </w:p>
        </w:tc>
        <w:tc>
          <w:tcPr>
            <w:tcW w:w="169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color w:val="0070C0"/>
              </w:rPr>
            </w:pPr>
            <w:r>
              <w:rPr/>
              <w:t>mała</w:t>
            </w:r>
          </w:p>
        </w:tc>
        <w:tc>
          <w:tcPr>
            <w:tcW w:w="212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/>
              <w:t>średnie</w:t>
            </w:r>
          </w:p>
        </w:tc>
        <w:tc>
          <w:tcPr>
            <w:tcW w:w="241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color w:val="000000"/>
              </w:rPr>
            </w:pPr>
            <w:r>
              <w:rPr>
                <w:color w:val="000000"/>
              </w:rPr>
              <w:t xml:space="preserve">- spodziewany efekt: stopniowy postęp prac jako wynik działań takich jak pomoc osobom zaangażowanym w części administracyjnej w tworzeniu opisów przedmiotu zamówienia, dokonaniu rozpoznania rynku firm specjalizujących się w danym oprogramowaniu i usługach. Zasięganie rad u innych instytucji. </w:t>
            </w:r>
          </w:p>
          <w:p>
            <w:pPr>
              <w:pStyle w:val="Normal"/>
              <w:spacing w:lineRule="auto" w:line="240" w:before="0" w:after="0"/>
              <w:rPr>
                <w:color w:val="000000"/>
              </w:rPr>
            </w:pPr>
            <w:r>
              <w:rPr>
                <w:color w:val="000000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color w:val="000000"/>
              </w:rPr>
              <w:t>- brak zmian w zakresie ryzyka. Kluczowi dla projektu dostawcy zostali już wyłonieni.</w:t>
            </w:r>
            <w:r>
              <w:rPr>
                <w:rFonts w:cs="Arial" w:ascii="Arial" w:hAnsi="Arial"/>
                <w:color w:val="0070C0"/>
              </w:rPr>
              <w:t xml:space="preserve"> </w:t>
            </w:r>
            <w:r>
              <w:rPr>
                <w:rFonts w:cs="Arial"/>
                <w:color w:val="auto"/>
              </w:rPr>
              <w:t>Trwa obecnie tworzenie zapytania dotyczącego audytu zewnętrznego dot. WCAG</w:t>
            </w:r>
          </w:p>
        </w:tc>
      </w:tr>
      <w:tr>
        <w:trPr/>
        <w:tc>
          <w:tcPr>
            <w:tcW w:w="326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Ryzyko wydłużenia czasu realizacji projektu w obszarze ryzyka formalno-instytucjonalnego. Czynnik ryzyka: unieważnienie procedur przetargowych</w:t>
            </w:r>
          </w:p>
        </w:tc>
        <w:tc>
          <w:tcPr>
            <w:tcW w:w="169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mała</w:t>
            </w:r>
          </w:p>
        </w:tc>
        <w:tc>
          <w:tcPr>
            <w:tcW w:w="212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średnie</w:t>
            </w:r>
          </w:p>
        </w:tc>
        <w:tc>
          <w:tcPr>
            <w:tcW w:w="241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color w:val="000000"/>
              </w:rPr>
              <w:t>- spodziewany efekt: Jeśli p</w:t>
            </w:r>
            <w:r>
              <w:rPr/>
              <w:t>rocedura przetargowa i wybór wykonawców zostaną przeprowadzone odpowiednio wcześnie to działania powinny rozpocząć się terminowo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color w:val="000000" w:themeColor="text1" w:themeShade="ff" w:themeTint="ff"/>
              </w:rPr>
              <w:t xml:space="preserve">- prawdopodobieństwo wystąpienia zmienione na średnie ze względu na opóźnienie zw. </w:t>
            </w:r>
            <w:r>
              <w:rPr>
                <w:rFonts w:eastAsia="Calibri" w:cs=""/>
                <w:color w:val="000000" w:themeColor="text1" w:themeShade="ff" w:themeTint="ff"/>
                <w:kern w:val="0"/>
                <w:sz w:val="22"/>
                <w:szCs w:val="22"/>
                <w:lang w:val="pl-PL" w:eastAsia="en-US" w:bidi="ar-SA"/>
              </w:rPr>
              <w:t>z</w:t>
            </w:r>
            <w:r>
              <w:rPr>
                <w:color w:val="000000" w:themeColor="text1" w:themeShade="ff" w:themeTint="ff"/>
              </w:rPr>
              <w:t xml:space="preserve"> ogłoszeniem w zakresie audytu zewnętrznego.</w:t>
            </w:r>
          </w:p>
        </w:tc>
      </w:tr>
      <w:tr>
        <w:trPr/>
        <w:tc>
          <w:tcPr>
            <w:tcW w:w="326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</w:rPr>
            </w:pPr>
            <w:r>
              <w:rPr>
                <w:rFonts w:cs="Calibri" w:cstheme="minorHAnsi"/>
              </w:rPr>
              <w:t>Ryzyko nieosiągnięcia celów projektu w obszarze ryzyka formalno-instytucjonalnego. Czynnik ryzyka: rezygnacja UKW jako partnera projektu z uczestnictwa w projekcie</w:t>
            </w:r>
          </w:p>
        </w:tc>
        <w:tc>
          <w:tcPr>
            <w:tcW w:w="169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</w:rPr>
            </w:pPr>
            <w:r>
              <w:rPr>
                <w:rFonts w:cs="Calibri" w:cstheme="minorHAnsi"/>
              </w:rPr>
              <w:t>duża</w:t>
            </w:r>
          </w:p>
        </w:tc>
        <w:tc>
          <w:tcPr>
            <w:tcW w:w="212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</w:rPr>
            </w:pPr>
            <w:r>
              <w:rPr>
                <w:rFonts w:cs="Calibri" w:cstheme="minorHAnsi"/>
              </w:rPr>
              <w:t>znikome</w:t>
            </w:r>
          </w:p>
        </w:tc>
        <w:tc>
          <w:tcPr>
            <w:tcW w:w="2411" w:type="dxa"/>
            <w:tcBorders/>
            <w:shd w:fill="auto" w:val="clear"/>
          </w:tcPr>
          <w:p>
            <w:pPr>
              <w:pStyle w:val="NormalWeb"/>
              <w:spacing w:lineRule="auto" w:line="240" w:before="0" w:after="0"/>
              <w:rPr>
                <w:rFonts w:ascii="Calibri" w:hAnsi="Calibri" w:cs="Calibri" w:asciiTheme="minorHAnsi" w:cstheme="minorHAnsi" w:hAnsiTheme="minorHAnsi"/>
                <w:sz w:val="22"/>
                <w:szCs w:val="22"/>
              </w:rPr>
            </w:pPr>
            <w:r>
              <w:rPr>
                <w:rFonts w:cs="Calibri" w:ascii="Calibri" w:hAnsi="Calibri" w:asciiTheme="minorHAnsi" w:cstheme="minorHAnsi" w:hAnsiTheme="minorHAnsi"/>
                <w:sz w:val="22"/>
                <w:szCs w:val="22"/>
              </w:rPr>
              <w:t>- spodziewany efekt działań: znikome prawdopodobieństwo wystąpienia ryzyka. Uzasadnienie:</w:t>
            </w:r>
          </w:p>
          <w:p>
            <w:pPr>
              <w:pStyle w:val="Normal"/>
              <w:spacing w:lineRule="auto" w:line="240" w:before="0" w:after="0"/>
              <w:rPr>
                <w:rFonts w:cs="Calibri" w:cstheme="minorHAnsi"/>
              </w:rPr>
            </w:pPr>
            <w:r>
              <w:rPr>
                <w:rFonts w:cs="Calibri" w:cstheme="minorHAnsi"/>
              </w:rPr>
              <w:t>Wyboru partnera dokonano z listy partnerów, którzy tworzą KPBC. Biblioteka Uniwersytetu Kazimierza Wielkiego była współtwórcą biblioteki cyfrowej naszego regionu w latach 2004-2009. Współpraca między dwiema bibliotekami przebiega od lat bardzo dobrze, biblioteki realizują razem projekty, wymieniają zbiory, organizują imprezy, obsługują wzajemnie swoich użytkowników, koordynują cyfryzację w regionie. Obie biblioteki od lat mają oficjalne umowy o współpracy, ta kooperacja daje gwarancje solidności i skutecznej realizacji niniejszego projektu.</w:t>
            </w:r>
          </w:p>
          <w:p>
            <w:pPr>
              <w:pStyle w:val="Normal"/>
              <w:spacing w:lineRule="auto" w:line="240" w:before="0" w:after="0"/>
              <w:rPr>
                <w:rFonts w:cs="Calibri" w:cstheme="minorHAnsi"/>
                <w:color w:val="000000"/>
              </w:rPr>
            </w:pPr>
            <w:r>
              <w:rPr>
                <w:rFonts w:cs="Calibri" w:cstheme="minorHAnsi"/>
                <w:color w:val="000000"/>
              </w:rPr>
            </w:r>
          </w:p>
          <w:p>
            <w:pPr>
              <w:pStyle w:val="Normal"/>
              <w:spacing w:lineRule="auto" w:line="240" w:before="0" w:after="0"/>
              <w:rPr>
                <w:rFonts w:cs="Calibri" w:cstheme="minorHAnsi"/>
                <w:color w:val="000000"/>
              </w:rPr>
            </w:pPr>
            <w:r>
              <w:rPr>
                <w:color w:val="000000"/>
              </w:rPr>
              <w:t xml:space="preserve">- brak zmian w zakresie ryzyka. Prowadzona jest </w:t>
            </w:r>
            <w:r>
              <w:rPr>
                <w:rFonts w:cs="Calibri" w:cstheme="minorHAnsi"/>
              </w:rPr>
              <w:t>stała współpraca z partnerem.</w:t>
            </w:r>
          </w:p>
        </w:tc>
      </w:tr>
      <w:tr>
        <w:trPr/>
        <w:tc>
          <w:tcPr>
            <w:tcW w:w="3263" w:type="dxa"/>
            <w:tcBorders/>
            <w:shd w:fill="auto" w:val="clear"/>
          </w:tcPr>
          <w:p>
            <w:pPr>
              <w:pStyle w:val="NormalWeb"/>
              <w:spacing w:lineRule="auto" w:line="240" w:before="0" w:after="0"/>
              <w:rPr>
                <w:rFonts w:ascii="Calibri" w:hAnsi="Calibri" w:cs="Calibri" w:asciiTheme="minorHAnsi" w:cstheme="minorHAnsi" w:hAnsiTheme="minorHAnsi"/>
                <w:sz w:val="22"/>
                <w:szCs w:val="22"/>
              </w:rPr>
            </w:pPr>
            <w:r>
              <w:rPr>
                <w:rFonts w:cs="Calibri" w:ascii="Calibri" w:hAnsi="Calibri" w:asciiTheme="minorHAnsi" w:cstheme="minorHAnsi" w:hAnsiTheme="minorHAnsi"/>
                <w:sz w:val="22"/>
                <w:szCs w:val="22"/>
              </w:rPr>
              <w:t xml:space="preserve">Ryzyko wydłużenia czasu realizacji projektu w obszarze ryzyka technicznego i środowiskowego. </w:t>
            </w:r>
          </w:p>
          <w:p>
            <w:pPr>
              <w:pStyle w:val="Normal"/>
              <w:spacing w:lineRule="auto" w:line="240" w:before="0" w:after="0"/>
              <w:rPr>
                <w:rFonts w:cs="Calibri" w:cstheme="minorHAnsi"/>
              </w:rPr>
            </w:pPr>
            <w:r>
              <w:rPr>
                <w:rFonts w:cs="Calibri" w:cstheme="minorHAnsi"/>
              </w:rPr>
              <w:t>Czynnik ryzyka: problemy techniczno-technologiczne</w:t>
            </w:r>
          </w:p>
        </w:tc>
        <w:tc>
          <w:tcPr>
            <w:tcW w:w="169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</w:rPr>
            </w:pPr>
            <w:r>
              <w:rPr>
                <w:rFonts w:cs="Calibri" w:cstheme="minorHAnsi"/>
              </w:rPr>
              <w:t>średnia</w:t>
            </w:r>
          </w:p>
        </w:tc>
        <w:tc>
          <w:tcPr>
            <w:tcW w:w="2127" w:type="dxa"/>
            <w:tcBorders/>
            <w:shd w:fill="auto" w:val="clear"/>
          </w:tcPr>
          <w:p>
            <w:pPr>
              <w:pStyle w:val="Normal"/>
              <w:bidi w:val="0"/>
              <w:spacing w:lineRule="auto" w:line="259" w:beforeAutospacing="0" w:before="0" w:afterAutospacing="0" w:after="0"/>
              <w:ind w:left="0" w:right="0" w:hanging="0"/>
              <w:jc w:val="left"/>
              <w:rPr/>
            </w:pPr>
            <w:r>
              <w:rPr>
                <w:rFonts w:cs="Calibri" w:cstheme="minorAscii"/>
              </w:rPr>
              <w:t>wysokie</w:t>
            </w:r>
          </w:p>
        </w:tc>
        <w:tc>
          <w:tcPr>
            <w:tcW w:w="241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</w:rPr>
            </w:pPr>
            <w:r>
              <w:rPr>
                <w:rFonts w:cs="Calibri" w:cstheme="minorHAnsi"/>
              </w:rPr>
              <w:t>- spodziewany efekt działań: Prace przeprowadzane są przez osoby i firmy posiadające odpowiednie doświadczenie w realizacji podobnych inwestycji, w związku z czym nie powinny wystąpić opóźnienia lub problemy związane z zastosowaniem nieodpowiedniego wyposażenia lub niewłaściwej technologii.</w:t>
            </w:r>
          </w:p>
          <w:p>
            <w:pPr>
              <w:pStyle w:val="Normal"/>
              <w:spacing w:lineRule="auto" w:line="240" w:before="0" w:after="0"/>
              <w:rPr>
                <w:rFonts w:cs="Calibri" w:cstheme="minorAscii"/>
                <w:color w:val="000000" w:themeColor="text1" w:themeShade="ff" w:themeTint="ff"/>
              </w:rPr>
            </w:pPr>
            <w:r>
              <w:rPr>
                <w:color w:val="000000" w:themeColor="text1" w:themeShade="ff" w:themeTint="ff"/>
              </w:rPr>
              <w:t>- ryzyko rośnie ze względu na zagrożenie koronawirusem. Dużych skanerów czy stanowiska do fotografowania nie będzie można zabrać do domu w wypadku pracy zdalnej.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color w:val="000000" w:themeColor="text1" w:themeShade="ff" w:themeTint="ff"/>
              </w:rPr>
              <w:t>-</w:t>
            </w:r>
            <w:r>
              <w:rPr>
                <w:color w:val="000000" w:themeColor="text1" w:themeShade="ff" w:themeTint="ff"/>
              </w:rPr>
              <w:t xml:space="preserve">brak </w:t>
            </w:r>
            <w:r>
              <w:rPr>
                <w:color w:val="000000" w:themeColor="text1" w:themeShade="ff" w:themeTint="ff"/>
              </w:rPr>
              <w:t xml:space="preserve">zmian w zakresie prawdopodobieństwa wystąpienia ryzyka. </w:t>
            </w:r>
            <w:r>
              <w:rPr>
                <w:color w:val="000000" w:themeColor="text1" w:themeShade="ff" w:themeTint="ff"/>
              </w:rPr>
              <w:t>Ryzyko</w:t>
            </w:r>
            <w:r>
              <w:rPr>
                <w:color w:val="000000" w:themeColor="text1" w:themeShade="ff" w:themeTint="ff"/>
              </w:rPr>
              <w:t xml:space="preserve"> wysokie ze względu na przedłużający się stan epidemii</w:t>
            </w:r>
          </w:p>
        </w:tc>
      </w:tr>
      <w:tr>
        <w:trPr/>
        <w:tc>
          <w:tcPr>
            <w:tcW w:w="3263" w:type="dxa"/>
            <w:tcBorders/>
            <w:shd w:fill="auto" w:val="clear"/>
          </w:tcPr>
          <w:p>
            <w:pPr>
              <w:pStyle w:val="NormalWeb"/>
              <w:spacing w:lineRule="auto" w:line="240" w:before="0" w:after="0"/>
              <w:rPr>
                <w:rFonts w:ascii="Calibri" w:hAnsi="Calibri" w:cs="Calibri" w:asciiTheme="minorHAnsi" w:cstheme="minorHAnsi" w:hAnsiTheme="minorHAnsi"/>
                <w:sz w:val="22"/>
                <w:szCs w:val="22"/>
              </w:rPr>
            </w:pPr>
            <w:r>
              <w:rPr>
                <w:rFonts w:cs="Calibri" w:ascii="Calibri" w:hAnsi="Calibri" w:asciiTheme="minorHAnsi" w:cstheme="minorHAnsi" w:hAnsiTheme="minorHAnsi"/>
                <w:sz w:val="22"/>
                <w:szCs w:val="22"/>
              </w:rPr>
              <w:t>Ryzyko awarii sprzętu komputerowego i digitalizacyjnego</w:t>
            </w:r>
          </w:p>
          <w:p>
            <w:pPr>
              <w:pStyle w:val="NormalWeb"/>
              <w:spacing w:lineRule="auto" w:line="240" w:before="280" w:after="0"/>
              <w:rPr>
                <w:rFonts w:ascii="Calibri" w:hAnsi="Calibri" w:cs="Calibri" w:asciiTheme="minorHAnsi" w:cstheme="minorHAnsi" w:hAnsiTheme="minorHAnsi"/>
                <w:sz w:val="22"/>
                <w:szCs w:val="22"/>
              </w:rPr>
            </w:pPr>
            <w:r>
              <w:rPr>
                <w:rFonts w:cs="Calibri" w:ascii="Calibri" w:hAnsi="Calibri" w:asciiTheme="minorHAnsi" w:cstheme="minorHAnsi" w:hAnsiTheme="minorHAnsi"/>
                <w:sz w:val="22"/>
                <w:szCs w:val="22"/>
              </w:rPr>
              <w:t>Czynnik ryzyka: problemy techniczno-technologiczne</w:t>
            </w:r>
          </w:p>
        </w:tc>
        <w:tc>
          <w:tcPr>
            <w:tcW w:w="169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</w:rPr>
            </w:pPr>
            <w:r>
              <w:rPr>
                <w:rFonts w:cs="Calibri" w:cstheme="minorHAnsi"/>
              </w:rPr>
              <w:t>duża</w:t>
            </w:r>
          </w:p>
        </w:tc>
        <w:tc>
          <w:tcPr>
            <w:tcW w:w="212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</w:rPr>
            </w:pPr>
            <w:r>
              <w:rPr>
                <w:rFonts w:cs="Calibri" w:cstheme="minorHAnsi"/>
              </w:rPr>
              <w:t>średnie</w:t>
            </w:r>
          </w:p>
        </w:tc>
        <w:tc>
          <w:tcPr>
            <w:tcW w:w="241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</w:rPr>
            </w:pPr>
            <w:r>
              <w:rPr>
                <w:rFonts w:cs="Calibri" w:cstheme="minorHAnsi"/>
              </w:rPr>
              <w:t>- spodziewany efekt działań: brak przestojów lub minimalne przestoje w pracy na sprzęcie dzięki przeprowadzanym pilnym naprawom sprzętu lub wymianie na nowy ze środków własnych Uczelni.</w:t>
            </w:r>
          </w:p>
          <w:p>
            <w:pPr>
              <w:pStyle w:val="Normal"/>
              <w:spacing w:lineRule="auto" w:line="240" w:before="0" w:after="0"/>
              <w:rPr>
                <w:rFonts w:cs="Calibri" w:cstheme="minorHAnsi"/>
              </w:rPr>
            </w:pPr>
            <w:r>
              <w:rPr>
                <w:color w:val="000000"/>
              </w:rPr>
              <w:t>- brak zmian w zakresie ryzyka</w:t>
            </w:r>
          </w:p>
        </w:tc>
      </w:tr>
      <w:tr>
        <w:trPr/>
        <w:tc>
          <w:tcPr>
            <w:tcW w:w="3263" w:type="dxa"/>
            <w:tcBorders/>
            <w:shd w:fill="auto" w:val="clear"/>
          </w:tcPr>
          <w:p>
            <w:pPr>
              <w:pStyle w:val="NormalWeb"/>
              <w:spacing w:lineRule="auto" w:line="240" w:before="0" w:after="0"/>
              <w:rPr>
                <w:rFonts w:ascii="Calibri" w:hAnsi="Calibri" w:cs="Calibri" w:asciiTheme="minorHAnsi" w:cstheme="minorHAnsi" w:hAnsiTheme="minorHAnsi"/>
                <w:sz w:val="22"/>
                <w:szCs w:val="22"/>
              </w:rPr>
            </w:pPr>
            <w:r>
              <w:rPr>
                <w:rFonts w:cs="Calibri" w:ascii="Calibri" w:hAnsi="Calibri" w:asciiTheme="minorHAnsi" w:cstheme="minorHAnsi" w:hAnsiTheme="minorHAnsi"/>
                <w:sz w:val="22"/>
                <w:szCs w:val="22"/>
              </w:rPr>
              <w:t>Ryzyko przekroczenia kosztów w obszarze ryzyka technicznego i środowiskowego. Czynnik ryzyka: wzrost ceny wykonawstwa</w:t>
            </w:r>
          </w:p>
        </w:tc>
        <w:tc>
          <w:tcPr>
            <w:tcW w:w="1696" w:type="dxa"/>
            <w:tcBorders/>
            <w:shd w:fill="auto" w:val="clear"/>
          </w:tcPr>
          <w:p>
            <w:pPr>
              <w:pStyle w:val="Normal"/>
              <w:bidi w:val="0"/>
              <w:spacing w:lineRule="auto" w:line="259" w:beforeAutospacing="0" w:before="0" w:afterAutospacing="0" w:after="0"/>
              <w:ind w:left="0" w:right="0" w:hanging="0"/>
              <w:jc w:val="left"/>
              <w:rPr/>
            </w:pPr>
            <w:r>
              <w:rPr>
                <w:rFonts w:cs="Calibri" w:cstheme="minorAscii"/>
              </w:rPr>
              <w:t>mała</w:t>
            </w:r>
          </w:p>
        </w:tc>
        <w:tc>
          <w:tcPr>
            <w:tcW w:w="212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</w:rPr>
            </w:pPr>
            <w:r>
              <w:rPr>
                <w:rFonts w:cs="Calibri" w:cstheme="minorHAnsi"/>
              </w:rPr>
              <w:t>średnie</w:t>
            </w:r>
          </w:p>
        </w:tc>
        <w:tc>
          <w:tcPr>
            <w:tcW w:w="2411" w:type="dxa"/>
            <w:tcBorders/>
            <w:shd w:fill="auto" w:val="clear"/>
          </w:tcPr>
          <w:p>
            <w:pPr>
              <w:pStyle w:val="NormalWeb"/>
              <w:spacing w:lineRule="auto" w:line="240" w:before="0" w:after="0"/>
              <w:rPr>
                <w:rFonts w:ascii="Calibri" w:hAnsi="Calibri" w:cs="Calibri" w:asciiTheme="minorHAnsi" w:cstheme="minorHAnsi" w:hAnsiTheme="minorHAnsi"/>
                <w:sz w:val="22"/>
                <w:szCs w:val="22"/>
              </w:rPr>
            </w:pPr>
            <w:r>
              <w:rPr>
                <w:rFonts w:cs="Calibri" w:ascii="Calibri" w:hAnsi="Calibri" w:asciiTheme="minorHAnsi" w:cstheme="minorHAnsi" w:hAnsiTheme="minorHAnsi"/>
                <w:sz w:val="22"/>
                <w:szCs w:val="22"/>
              </w:rPr>
              <w:t>- spodziewany efekt działań:</w:t>
            </w:r>
            <w:r>
              <w:rPr>
                <w:rFonts w:cs="Calibri" w:ascii="Calibri" w:hAnsi="Calibri" w:asciiTheme="minorHAnsi" w:cstheme="minorHAnsi" w:hAnsiTheme="minorHAnsi"/>
              </w:rPr>
              <w:t xml:space="preserve"> </w:t>
            </w:r>
            <w:r>
              <w:rPr>
                <w:rFonts w:cs="Calibri" w:ascii="Calibri" w:hAnsi="Calibri" w:asciiTheme="minorHAnsi" w:cstheme="minorHAnsi" w:hAnsiTheme="minorHAnsi"/>
                <w:sz w:val="22"/>
                <w:szCs w:val="22"/>
              </w:rPr>
              <w:t>Stopniowy postęp prac, który pozwoli na korektę najważniejszych książek i czasopism. Wysoka cena wykonania usługi zewnętrznej zadania zw. z prowadzeniem korekty po maszynowym OCR została przekwalifikowana za zgodą CPPC na zatrudnienie dwu osób na ¾ etatu, które wykonują to zadanie w siedzibie beneficjenta od 01.06.2019</w:t>
            </w:r>
          </w:p>
          <w:p>
            <w:pPr>
              <w:pStyle w:val="NormalWeb"/>
              <w:spacing w:lineRule="auto" w:line="240" w:before="280" w:after="0"/>
              <w:rPr>
                <w:rFonts w:ascii="Calibri" w:hAnsi="Calibri" w:cs="Calibri" w:asciiTheme="minorHAnsi" w:cstheme="minorHAnsi" w:hAnsiTheme="minorHAnsi"/>
                <w:sz w:val="22"/>
                <w:szCs w:val="22"/>
              </w:rPr>
            </w:pPr>
            <w:r>
              <w:rPr>
                <w:rFonts w:cs="Calibri" w:ascii="Calibri" w:hAnsi="Calibri" w:asciiTheme="minorHAnsi" w:cstheme="minorHAnsi" w:hAnsiTheme="minorHAnsi"/>
                <w:sz w:val="22"/>
                <w:szCs w:val="22"/>
              </w:rPr>
              <w:t>- Cała kwota zostaje przeznaczona na wynagrodzenie, inne koszty zw. ze stanowiskiem pracy Lider pokrywa z własnych funduszy. Przeznaczona kwota w projekcie wystarczy na korektę wybranej części czasopism i książek. Po podwyżkach na UMK wynagrodzenie dwu pracowników jest poniżej kwoty, która obowiązuje na uczelni na podobnym stanowisku.</w:t>
            </w:r>
          </w:p>
          <w:p>
            <w:pPr>
              <w:pStyle w:val="NormalWeb"/>
              <w:spacing w:lineRule="auto" w:line="240" w:before="280" w:after="0"/>
              <w:rPr>
                <w:rFonts w:ascii="Calibri" w:hAnsi="Calibri" w:cs="Calibri" w:asciiTheme="minorAscii" w:cstheme="minorAscii" w:hAnsiTheme="minorAscii"/>
                <w:color w:val="000000" w:themeColor="text1" w:themeShade="ff" w:themeTint="ff"/>
                <w:sz w:val="22"/>
                <w:szCs w:val="22"/>
              </w:rPr>
            </w:pPr>
            <w:r>
              <w:rPr>
                <w:rFonts w:cs="Calibri" w:ascii="Calibri" w:hAnsi="Calibri" w:asciiTheme="minorAscii" w:cstheme="minorAscii" w:hAnsiTheme="minorAscii"/>
                <w:color w:val="000000" w:themeColor="text1" w:themeShade="ff" w:themeTint="ff"/>
                <w:sz w:val="22"/>
                <w:szCs w:val="22"/>
              </w:rPr>
              <w:t>- zmiana w zakresie prawdopodobieństwa wystąpienia ryzyka na małą ze względu na to, że rozstrzygnięto wykonanie usług zewnętrznych kluczowych dla projektu i wskaźników.</w:t>
            </w:r>
          </w:p>
        </w:tc>
      </w:tr>
      <w:tr>
        <w:trPr/>
        <w:tc>
          <w:tcPr>
            <w:tcW w:w="3263" w:type="dxa"/>
            <w:tcBorders/>
            <w:shd w:fill="auto" w:val="clear"/>
          </w:tcPr>
          <w:p>
            <w:pPr>
              <w:pStyle w:val="NormalWeb"/>
              <w:spacing w:lineRule="auto" w:line="240" w:before="0" w:after="0"/>
              <w:rPr>
                <w:rFonts w:ascii="Calibri" w:hAnsi="Calibri" w:cs="Calibri" w:asciiTheme="minorHAnsi" w:cstheme="minorHAnsi" w:hAnsiTheme="minorHAnsi"/>
                <w:sz w:val="22"/>
                <w:szCs w:val="22"/>
              </w:rPr>
            </w:pPr>
            <w:r>
              <w:rPr>
                <w:rFonts w:cs="Calibri" w:ascii="Calibri" w:hAnsi="Calibri" w:asciiTheme="minorHAnsi" w:cstheme="minorHAnsi" w:hAnsiTheme="minorHAnsi"/>
                <w:sz w:val="22"/>
                <w:szCs w:val="22"/>
              </w:rPr>
              <w:t>Ryzyko przekroczenia zakładanych kosztów eksploatacji w obszarze ryzyka technicznego i środowiskowego.</w:t>
            </w:r>
          </w:p>
          <w:p>
            <w:pPr>
              <w:pStyle w:val="NormalWeb"/>
              <w:spacing w:lineRule="auto" w:line="240" w:before="280" w:after="0"/>
              <w:rPr>
                <w:rFonts w:ascii="Calibri" w:hAnsi="Calibri" w:cs="Calibri" w:asciiTheme="minorHAnsi" w:cstheme="minorHAnsi" w:hAnsiTheme="minorHAnsi"/>
                <w:sz w:val="22"/>
                <w:szCs w:val="22"/>
              </w:rPr>
            </w:pPr>
            <w:r>
              <w:rPr>
                <w:rFonts w:cs="Calibri" w:ascii="Calibri" w:hAnsi="Calibri" w:asciiTheme="minorHAnsi" w:cstheme="minorHAnsi" w:hAnsiTheme="minorHAnsi"/>
                <w:sz w:val="22"/>
                <w:szCs w:val="22"/>
              </w:rPr>
              <w:t>Czynnik ryzyka: wzrost cen</w:t>
            </w:r>
          </w:p>
        </w:tc>
        <w:tc>
          <w:tcPr>
            <w:tcW w:w="169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</w:rPr>
            </w:pPr>
            <w:r>
              <w:rPr>
                <w:rFonts w:cs="Calibri" w:cstheme="minorHAnsi"/>
              </w:rPr>
              <w:t>średnia</w:t>
            </w:r>
          </w:p>
        </w:tc>
        <w:tc>
          <w:tcPr>
            <w:tcW w:w="212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</w:rPr>
            </w:pPr>
            <w:r>
              <w:rPr>
                <w:rFonts w:cs="Calibri" w:cstheme="minorHAnsi"/>
              </w:rPr>
              <w:t>średnie</w:t>
            </w:r>
          </w:p>
        </w:tc>
        <w:tc>
          <w:tcPr>
            <w:tcW w:w="2411" w:type="dxa"/>
            <w:tcBorders/>
            <w:shd w:fill="auto" w:val="clear"/>
          </w:tcPr>
          <w:p>
            <w:pPr>
              <w:pStyle w:val="NormalWeb"/>
              <w:spacing w:lineRule="auto" w:line="240" w:before="0" w:after="0"/>
              <w:rPr>
                <w:rFonts w:ascii="Calibri" w:hAnsi="Calibri" w:cs="Calibri" w:asciiTheme="minorAscii" w:cstheme="minorAscii" w:hAnsiTheme="minorAscii"/>
                <w:sz w:val="22"/>
                <w:szCs w:val="22"/>
              </w:rPr>
            </w:pPr>
            <w:r>
              <w:rPr>
                <w:rFonts w:cs="Calibri" w:ascii="Calibri" w:hAnsi="Calibri" w:asciiTheme="minorAscii" w:cstheme="minorAscii" w:hAnsiTheme="minorAscii"/>
                <w:sz w:val="22"/>
                <w:szCs w:val="22"/>
              </w:rPr>
              <w:t>- Wykonywanie dotychczasowych prac w projekcie odbywa się na podstawie umowy o pracę lub dodatków specjalnych zadaniowych.</w:t>
            </w:r>
            <w:r>
              <w:rPr/>
              <w:br/>
            </w:r>
            <w:r>
              <w:rPr>
                <w:rFonts w:cs="Calibri" w:ascii="Calibri" w:hAnsi="Calibri" w:asciiTheme="minorAscii" w:cstheme="minorAscii" w:hAnsiTheme="minorAscii"/>
                <w:sz w:val="22"/>
                <w:szCs w:val="22"/>
              </w:rPr>
              <w:t>- brak zmian w zakresie ryzyka</w:t>
            </w:r>
          </w:p>
          <w:p>
            <w:pPr>
              <w:pStyle w:val="Normal"/>
              <w:spacing w:lineRule="auto" w:line="240" w:before="0" w:after="0"/>
              <w:rPr>
                <w:rFonts w:cs="Calibri" w:cstheme="minorHAnsi"/>
              </w:rPr>
            </w:pPr>
            <w:r>
              <w:rPr>
                <w:rFonts w:cs="Calibri" w:cstheme="minorHAnsi"/>
              </w:rPr>
            </w:r>
          </w:p>
        </w:tc>
      </w:tr>
      <w:tr>
        <w:trPr/>
        <w:tc>
          <w:tcPr>
            <w:tcW w:w="3263" w:type="dxa"/>
            <w:tcBorders/>
            <w:shd w:fill="auto" w:val="clear"/>
          </w:tcPr>
          <w:p>
            <w:pPr>
              <w:pStyle w:val="NormalWeb"/>
              <w:spacing w:lineRule="auto" w:line="240" w:before="0" w:after="0"/>
              <w:rPr>
                <w:rFonts w:ascii="Calibri" w:hAnsi="Calibri" w:cs="Calibri" w:asciiTheme="minorHAnsi" w:cstheme="minorHAnsi" w:hAnsiTheme="minorHAnsi"/>
                <w:sz w:val="22"/>
                <w:szCs w:val="22"/>
              </w:rPr>
            </w:pPr>
            <w:r>
              <w:rPr>
                <w:rFonts w:cs="Calibri" w:ascii="Calibri" w:hAnsi="Calibri" w:asciiTheme="minorHAnsi" w:cstheme="minorHAnsi" w:hAnsiTheme="minorHAnsi"/>
                <w:sz w:val="22"/>
                <w:szCs w:val="22"/>
              </w:rPr>
              <w:t>Ryzyko nieosiągnięcia wskaźników projektu w obszarze ryzyka technicznego i środowiskowego.</w:t>
            </w:r>
          </w:p>
          <w:p>
            <w:pPr>
              <w:pStyle w:val="NormalWeb"/>
              <w:spacing w:lineRule="auto" w:line="240" w:before="280" w:after="0"/>
              <w:rPr>
                <w:rFonts w:ascii="Calibri" w:hAnsi="Calibri" w:cs="Calibri" w:asciiTheme="minorHAnsi" w:cstheme="minorHAnsi" w:hAnsiTheme="minorHAnsi"/>
                <w:sz w:val="22"/>
                <w:szCs w:val="22"/>
              </w:rPr>
            </w:pPr>
            <w:r>
              <w:rPr>
                <w:rFonts w:cs="Calibri" w:ascii="Calibri" w:hAnsi="Calibri" w:asciiTheme="minorHAnsi" w:cstheme="minorHAnsi" w:hAnsiTheme="minorHAnsi"/>
                <w:sz w:val="22"/>
                <w:szCs w:val="22"/>
              </w:rPr>
              <w:t>Czynnik ryzyka: Niezrealizowanie pełnego zakresu projektu</w:t>
            </w:r>
          </w:p>
          <w:p>
            <w:pPr>
              <w:pStyle w:val="NormalWeb"/>
              <w:spacing w:lineRule="auto" w:line="240" w:before="280" w:after="0"/>
              <w:rPr>
                <w:rFonts w:ascii="Calibri" w:hAnsi="Calibri" w:cs="Calibri" w:asciiTheme="minorHAnsi" w:cstheme="minorHAnsi" w:hAnsiTheme="minorHAnsi"/>
                <w:sz w:val="22"/>
                <w:szCs w:val="22"/>
              </w:rPr>
            </w:pPr>
            <w:r>
              <w:rPr>
                <w:rFonts w:cs="Calibri" w:ascii="Calibri" w:hAnsi="Calibri" w:asciiTheme="minorHAnsi" w:cstheme="minorHAnsi" w:hAnsiTheme="minorHAnsi"/>
                <w:sz w:val="22"/>
                <w:szCs w:val="22"/>
              </w:rPr>
              <w:t>Nieprawidłowe oszacowanie wartości wskaźników.</w:t>
            </w:r>
          </w:p>
        </w:tc>
        <w:tc>
          <w:tcPr>
            <w:tcW w:w="169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</w:rPr>
            </w:pPr>
            <w:r>
              <w:rPr>
                <w:rFonts w:cs="Calibri" w:cstheme="minorHAnsi"/>
              </w:rPr>
              <w:t>duża</w:t>
            </w:r>
          </w:p>
        </w:tc>
        <w:tc>
          <w:tcPr>
            <w:tcW w:w="212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Calibri" w:cstheme="minorAscii"/>
              </w:rPr>
            </w:pPr>
            <w:r>
              <w:rPr>
                <w:rFonts w:cs="Calibri" w:cstheme="minorAscii"/>
              </w:rPr>
              <w:t>niskie</w:t>
            </w:r>
          </w:p>
        </w:tc>
        <w:tc>
          <w:tcPr>
            <w:tcW w:w="2411" w:type="dxa"/>
            <w:tcBorders/>
            <w:shd w:fill="auto" w:val="clear"/>
          </w:tcPr>
          <w:p>
            <w:pPr>
              <w:pStyle w:val="NormalWeb"/>
              <w:spacing w:lineRule="auto" w:line="240" w:before="0" w:after="0"/>
              <w:rPr>
                <w:rFonts w:ascii="Calibri" w:hAnsi="Calibri" w:cs="Calibri" w:asciiTheme="minorHAnsi" w:cstheme="minorHAnsi" w:hAnsiTheme="minorHAnsi"/>
                <w:sz w:val="22"/>
                <w:szCs w:val="22"/>
              </w:rPr>
            </w:pPr>
            <w:r>
              <w:rPr>
                <w:rFonts w:cs="Calibri" w:ascii="Calibri" w:hAnsi="Calibri" w:asciiTheme="minorHAnsi" w:cstheme="minorHAnsi" w:hAnsiTheme="minorHAnsi"/>
                <w:sz w:val="22"/>
                <w:szCs w:val="22"/>
              </w:rPr>
              <w:t>- bieżące monitorowanie postępu prac i rozwiązywanie powstających problemów</w:t>
            </w:r>
          </w:p>
          <w:p>
            <w:pPr>
              <w:pStyle w:val="NormalWeb"/>
              <w:spacing w:lineRule="auto" w:line="240" w:before="280" w:after="0"/>
              <w:rPr>
                <w:rFonts w:ascii="Calibri" w:hAnsi="Calibri" w:cs="Calibri" w:asciiTheme="minorHAnsi" w:cstheme="minorHAnsi" w:hAnsiTheme="minorHAnsi"/>
                <w:sz w:val="22"/>
                <w:szCs w:val="22"/>
              </w:rPr>
            </w:pPr>
            <w:r>
              <w:rPr>
                <w:rFonts w:cs="Calibri" w:ascii="Calibri" w:hAnsi="Calibri" w:asciiTheme="minorHAnsi" w:cstheme="minorHAnsi" w:hAnsiTheme="minorHAnsi"/>
                <w:sz w:val="22"/>
                <w:szCs w:val="22"/>
              </w:rPr>
              <w:t>- efekt: stopniowy postęp prac</w:t>
            </w:r>
          </w:p>
          <w:p>
            <w:pPr>
              <w:pStyle w:val="NormalWeb"/>
              <w:spacing w:lineRule="auto" w:line="240" w:before="280" w:after="0"/>
              <w:rPr/>
            </w:pPr>
            <w:r>
              <w:rPr>
                <w:rFonts w:cs="Calibri" w:ascii="Calibri" w:hAnsi="Calibri" w:asciiTheme="minorAscii" w:cstheme="minorAscii" w:hAnsiTheme="minorAscii"/>
                <w:sz w:val="22"/>
                <w:szCs w:val="22"/>
              </w:rPr>
              <w:t xml:space="preserve">- </w:t>
            </w:r>
            <w:r>
              <w:rPr>
                <w:rFonts w:cs="Calibri" w:ascii="Calibri" w:hAnsi="Calibri" w:asciiTheme="minorAscii" w:cstheme="minorAscii" w:hAnsiTheme="minorAscii"/>
                <w:sz w:val="22"/>
                <w:szCs w:val="22"/>
              </w:rPr>
              <w:t xml:space="preserve">brak </w:t>
            </w:r>
            <w:r>
              <w:rPr>
                <w:rFonts w:cs="Calibri" w:ascii="Calibri" w:hAnsi="Calibri" w:asciiTheme="minorAscii" w:cstheme="minorAscii" w:hAnsiTheme="minorAscii"/>
                <w:sz w:val="22"/>
                <w:szCs w:val="22"/>
              </w:rPr>
              <w:t xml:space="preserve">zmian. Zagrożeniem może być wydłużenie prac przy projekcie, ale bez zagrożenia </w:t>
            </w:r>
            <w:r>
              <w:rPr>
                <w:rFonts w:cs="Calibri" w:ascii="Calibri" w:hAnsi="Calibri" w:asciiTheme="minorAscii" w:cstheme="minorAscii" w:hAnsiTheme="minorAscii"/>
                <w:sz w:val="22"/>
                <w:szCs w:val="22"/>
              </w:rPr>
              <w:t>osiągnięcia</w:t>
            </w:r>
            <w:r>
              <w:rPr>
                <w:rFonts w:cs="Calibri" w:ascii="Calibri" w:hAnsi="Calibri" w:asciiTheme="minorAscii" w:cstheme="minorAscii" w:hAnsiTheme="minorAscii"/>
                <w:sz w:val="22"/>
                <w:szCs w:val="22"/>
              </w:rPr>
              <w:t xml:space="preserve"> wskaźników docelowych. </w:t>
            </w:r>
          </w:p>
          <w:p>
            <w:pPr>
              <w:pStyle w:val="Normal"/>
              <w:spacing w:lineRule="auto" w:line="240" w:before="0" w:after="0"/>
              <w:rPr>
                <w:rFonts w:cs="Calibri" w:cstheme="minorHAnsi"/>
              </w:rPr>
            </w:pPr>
            <w:r>
              <w:rPr>
                <w:rFonts w:cs="Calibri" w:cstheme="minorHAnsi"/>
              </w:rPr>
            </w:r>
          </w:p>
        </w:tc>
      </w:tr>
      <w:tr>
        <w:trPr/>
        <w:tc>
          <w:tcPr>
            <w:tcW w:w="3263" w:type="dxa"/>
            <w:tcBorders/>
            <w:shd w:fill="auto" w:val="clear"/>
          </w:tcPr>
          <w:p>
            <w:pPr>
              <w:pStyle w:val="NormalWeb"/>
              <w:spacing w:lineRule="auto" w:line="240" w:before="0" w:after="0"/>
              <w:rPr>
                <w:rFonts w:ascii="Calibri" w:hAnsi="Calibri" w:cs="Calibri" w:asciiTheme="minorHAnsi" w:cstheme="minorHAnsi" w:hAnsiTheme="minorHAnsi"/>
                <w:sz w:val="22"/>
                <w:szCs w:val="22"/>
              </w:rPr>
            </w:pPr>
            <w:r>
              <w:rPr>
                <w:rFonts w:cs="Calibri" w:ascii="Calibri" w:hAnsi="Calibri" w:asciiTheme="minorHAnsi" w:cstheme="minorHAnsi" w:hAnsiTheme="minorHAnsi"/>
                <w:sz w:val="22"/>
                <w:szCs w:val="22"/>
              </w:rPr>
              <w:t>Ryzyko zmian kadrowych w obszarze ryzyka społecznego.</w:t>
            </w:r>
          </w:p>
          <w:p>
            <w:pPr>
              <w:pStyle w:val="NormalWeb"/>
              <w:spacing w:lineRule="auto" w:line="240" w:before="280" w:after="0"/>
              <w:rPr>
                <w:rFonts w:ascii="Calibri" w:hAnsi="Calibri" w:cs="Calibri" w:asciiTheme="minorHAnsi" w:cstheme="minorHAnsi" w:hAnsiTheme="minorHAnsi"/>
                <w:sz w:val="22"/>
                <w:szCs w:val="22"/>
              </w:rPr>
            </w:pPr>
            <w:r>
              <w:rPr>
                <w:rFonts w:cs="Calibri" w:ascii="Calibri" w:hAnsi="Calibri" w:asciiTheme="minorHAnsi" w:cstheme="minorHAnsi" w:hAnsiTheme="minorHAnsi"/>
                <w:sz w:val="22"/>
                <w:szCs w:val="22"/>
              </w:rPr>
              <w:t>Czynnik ryzyka: Choroby/niezdolności do pracy osób wykonujących czynności objęte projektem.</w:t>
            </w:r>
          </w:p>
        </w:tc>
        <w:tc>
          <w:tcPr>
            <w:tcW w:w="169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</w:rPr>
            </w:pPr>
            <w:r>
              <w:rPr>
                <w:rFonts w:cs="Calibri" w:cstheme="minorHAnsi"/>
              </w:rPr>
              <w:t>duża</w:t>
            </w:r>
          </w:p>
        </w:tc>
        <w:tc>
          <w:tcPr>
            <w:tcW w:w="212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</w:rPr>
            </w:pPr>
            <w:r>
              <w:rPr>
                <w:rFonts w:cs="Calibri" w:cstheme="minorHAnsi"/>
              </w:rPr>
              <w:t>wysokie</w:t>
            </w:r>
          </w:p>
        </w:tc>
        <w:tc>
          <w:tcPr>
            <w:tcW w:w="2411" w:type="dxa"/>
            <w:tcBorders/>
            <w:shd w:fill="auto" w:val="clear"/>
          </w:tcPr>
          <w:p>
            <w:pPr>
              <w:pStyle w:val="NormalWeb"/>
              <w:spacing w:lineRule="auto" w:line="240" w:before="0" w:after="0"/>
              <w:rPr>
                <w:rFonts w:ascii="Calibri" w:hAnsi="Calibri" w:cs="Calibri" w:asciiTheme="minorHAnsi" w:cstheme="minorHAnsi" w:hAnsiTheme="minorHAnsi"/>
                <w:sz w:val="22"/>
                <w:szCs w:val="22"/>
              </w:rPr>
            </w:pPr>
            <w:r>
              <w:rPr>
                <w:rFonts w:cs="Calibri" w:ascii="Calibri" w:hAnsi="Calibri" w:asciiTheme="minorHAnsi" w:cstheme="minorHAnsi" w:hAnsiTheme="minorHAnsi"/>
                <w:sz w:val="22"/>
                <w:szCs w:val="22"/>
              </w:rPr>
              <w:t>- zatrudnienie osoby w zastępstwie za chorego pracownika</w:t>
            </w:r>
          </w:p>
          <w:p>
            <w:pPr>
              <w:pStyle w:val="NormalWeb"/>
              <w:spacing w:lineRule="auto" w:line="240" w:before="280" w:after="0"/>
              <w:rPr>
                <w:rFonts w:ascii="Calibri" w:hAnsi="Calibri" w:cs="Calibri" w:asciiTheme="minorHAnsi" w:cstheme="minorHAnsi" w:hAnsiTheme="minorHAnsi"/>
                <w:sz w:val="22"/>
                <w:szCs w:val="22"/>
              </w:rPr>
            </w:pPr>
            <w:r>
              <w:rPr>
                <w:rFonts w:cs="Calibri" w:ascii="Calibri" w:hAnsi="Calibri" w:asciiTheme="minorHAnsi" w:cstheme="minorHAnsi" w:hAnsiTheme="minorHAnsi"/>
                <w:sz w:val="22"/>
                <w:szCs w:val="22"/>
              </w:rPr>
              <w:t>-zatrudnienie osoby w miejsce pracownika, który odszedł z uczelni</w:t>
            </w:r>
          </w:p>
          <w:p>
            <w:pPr>
              <w:pStyle w:val="NormalWeb"/>
              <w:spacing w:lineRule="auto" w:line="240" w:before="280" w:after="0"/>
              <w:rPr>
                <w:rFonts w:ascii="Calibri" w:hAnsi="Calibri" w:cs="Calibri" w:asciiTheme="minorHAnsi" w:cstheme="minorHAnsi" w:hAnsiTheme="minorHAnsi"/>
                <w:sz w:val="22"/>
                <w:szCs w:val="22"/>
              </w:rPr>
            </w:pPr>
            <w:r>
              <w:rPr>
                <w:rFonts w:cs="Calibri" w:ascii="Calibri" w:hAnsi="Calibri" w:asciiTheme="minorHAnsi" w:cstheme="minorHAnsi" w:hAnsiTheme="minorHAnsi"/>
                <w:sz w:val="22"/>
                <w:szCs w:val="22"/>
              </w:rPr>
              <w:t>- zwiększenia obsady o dodatkowego pracowników w sekcji digitalizacji</w:t>
            </w:r>
          </w:p>
          <w:p>
            <w:pPr>
              <w:pStyle w:val="NormalWeb"/>
              <w:spacing w:lineRule="auto" w:line="240" w:before="280" w:after="0"/>
              <w:rPr>
                <w:rFonts w:ascii="Calibri" w:hAnsi="Calibri" w:cs="Calibri" w:asciiTheme="minorHAnsi" w:cstheme="minorHAnsi" w:hAnsiTheme="minorHAnsi"/>
                <w:sz w:val="22"/>
                <w:szCs w:val="22"/>
              </w:rPr>
            </w:pPr>
            <w:r>
              <w:rPr>
                <w:rFonts w:cs="Calibri" w:ascii="Calibri" w:hAnsi="Calibri" w:asciiTheme="minorHAnsi" w:cstheme="minorHAnsi" w:hAnsiTheme="minorHAnsi"/>
                <w:sz w:val="22"/>
                <w:szCs w:val="22"/>
              </w:rPr>
              <w:t xml:space="preserve">-spodziewany efekt: rozłożenie obowiązków na większą grupę pracowników zminimalizuje efekty nieobecności pracowników na skutek chorób. </w:t>
            </w:r>
          </w:p>
          <w:p>
            <w:pPr>
              <w:pStyle w:val="NormalWeb"/>
              <w:spacing w:lineRule="auto" w:line="240" w:before="280" w:after="0"/>
              <w:rPr/>
            </w:pPr>
            <w:r>
              <w:rPr>
                <w:rFonts w:cs="Calibri" w:ascii="Calibri" w:hAnsi="Calibri" w:asciiTheme="minorHAnsi" w:cstheme="minorHAnsi" w:hAnsiTheme="minorHAnsi"/>
                <w:sz w:val="22"/>
                <w:szCs w:val="22"/>
              </w:rPr>
              <w:t xml:space="preserve">- </w:t>
            </w:r>
            <w:r>
              <w:rPr>
                <w:rFonts w:cs="Calibri" w:ascii="Calibri" w:hAnsi="Calibri" w:asciiTheme="minorHAnsi" w:cstheme="minorHAnsi" w:hAnsiTheme="minorHAnsi"/>
                <w:sz w:val="22"/>
                <w:szCs w:val="22"/>
              </w:rPr>
              <w:t xml:space="preserve">1.poł. 2020: </w:t>
            </w:r>
            <w:r>
              <w:rPr>
                <w:rFonts w:cs="Calibri" w:ascii="Calibri" w:hAnsi="Calibri" w:asciiTheme="minorHAnsi" w:cstheme="minorHAnsi" w:hAnsiTheme="minorHAnsi"/>
                <w:sz w:val="22"/>
                <w:szCs w:val="22"/>
              </w:rPr>
              <w:t xml:space="preserve">z powodu zagrożenia pandemią pracownicy zostali oddelegowani w znacznym stopniu do pracy zdalnej, aby uniknąć ognisk zachorowań </w:t>
            </w:r>
          </w:p>
          <w:p>
            <w:pPr>
              <w:pStyle w:val="NormalWeb"/>
              <w:spacing w:lineRule="auto" w:line="240" w:before="280" w:after="0"/>
              <w:rPr>
                <w:rFonts w:ascii="Calibri" w:hAnsi="Calibri" w:cs="Calibri" w:asciiTheme="minorAscii" w:cstheme="minorAscii" w:hAnsiTheme="minorAscii"/>
                <w:sz w:val="22"/>
                <w:szCs w:val="22"/>
              </w:rPr>
            </w:pPr>
            <w:r>
              <w:rPr>
                <w:rFonts w:cs="Calibri" w:ascii="Calibri" w:hAnsi="Calibri" w:asciiTheme="minorAscii" w:cstheme="minorAscii" w:hAnsiTheme="minorAscii"/>
                <w:sz w:val="22"/>
                <w:szCs w:val="22"/>
              </w:rPr>
              <w:t>-w 10.2020 Beneficjent i Partner znów przeszli na pracę częściowo zdalną (model hybrydowy) decyzją władz obu jednostek.</w:t>
            </w:r>
          </w:p>
          <w:p>
            <w:pPr>
              <w:pStyle w:val="NormalWeb"/>
              <w:spacing w:lineRule="auto" w:line="240" w:before="280" w:after="0"/>
              <w:rPr>
                <w:rFonts w:ascii="Calibri" w:hAnsi="Calibri" w:cs="Calibri" w:asciiTheme="minorAscii" w:cstheme="minorAscii" w:hAnsiTheme="minorAscii"/>
                <w:sz w:val="22"/>
                <w:szCs w:val="22"/>
              </w:rPr>
            </w:pPr>
            <w:r>
              <w:rPr>
                <w:rFonts w:cs="Calibri" w:ascii="Calibri" w:hAnsi="Calibri" w:asciiTheme="minorAscii" w:cstheme="minorAscii" w:hAnsiTheme="minorAscii"/>
                <w:sz w:val="22"/>
                <w:szCs w:val="22"/>
              </w:rPr>
              <w:t>- brak zmian w zakresie ryzyka</w:t>
            </w:r>
          </w:p>
        </w:tc>
      </w:tr>
      <w:tr>
        <w:trPr/>
        <w:tc>
          <w:tcPr>
            <w:tcW w:w="3263" w:type="dxa"/>
            <w:tcBorders/>
            <w:shd w:fill="auto" w:val="clear"/>
          </w:tcPr>
          <w:p>
            <w:pPr>
              <w:pStyle w:val="NormalWeb"/>
              <w:spacing w:lineRule="auto" w:line="240" w:before="0" w:after="0"/>
              <w:rPr>
                <w:rFonts w:ascii="Calibri" w:hAnsi="Calibri" w:cs="Calibri" w:asciiTheme="minorHAnsi" w:cstheme="minorHAnsi" w:hAnsiTheme="minorHAnsi"/>
                <w:sz w:val="22"/>
                <w:szCs w:val="22"/>
              </w:rPr>
            </w:pPr>
            <w:r>
              <w:rPr>
                <w:rFonts w:cs="Calibri" w:ascii="Calibri" w:hAnsi="Calibri" w:asciiTheme="minorHAnsi" w:cstheme="minorHAnsi" w:hAnsiTheme="minorHAnsi"/>
                <w:sz w:val="22"/>
                <w:szCs w:val="22"/>
              </w:rPr>
              <w:t xml:space="preserve">Ryzyko </w:t>
            </w:r>
          </w:p>
          <w:p>
            <w:pPr>
              <w:pStyle w:val="NormalWeb"/>
              <w:spacing w:lineRule="auto" w:line="240" w:before="280" w:after="0"/>
              <w:rPr>
                <w:rFonts w:ascii="Calibri" w:hAnsi="Calibri" w:cs="Calibri" w:asciiTheme="minorHAnsi" w:cstheme="minorHAnsi" w:hAnsiTheme="minorHAnsi"/>
                <w:sz w:val="22"/>
                <w:szCs w:val="22"/>
              </w:rPr>
            </w:pPr>
            <w:r>
              <w:rPr>
                <w:rFonts w:cs="Calibri" w:ascii="Calibri" w:hAnsi="Calibri" w:asciiTheme="minorHAnsi" w:cstheme="minorHAnsi" w:hAnsiTheme="minorHAnsi"/>
                <w:sz w:val="22"/>
                <w:szCs w:val="22"/>
              </w:rPr>
              <w:t>opóźnienia w dostawie i instalacji środków trwałych i wartości niematerialnych i prawnych</w:t>
            </w:r>
          </w:p>
          <w:p>
            <w:pPr>
              <w:pStyle w:val="NormalWeb"/>
              <w:spacing w:lineRule="auto" w:line="240" w:before="280" w:after="0"/>
              <w:rPr>
                <w:rFonts w:ascii="Calibri" w:hAnsi="Calibri" w:cs="Calibri" w:asciiTheme="minorHAnsi" w:cstheme="minorHAnsi" w:hAnsiTheme="minorHAnsi"/>
                <w:sz w:val="22"/>
                <w:szCs w:val="22"/>
              </w:rPr>
            </w:pPr>
            <w:r>
              <w:rPr>
                <w:rFonts w:cs="Calibri" w:cstheme="minorHAnsi" w:ascii="Calibri" w:hAnsi="Calibri"/>
                <w:sz w:val="22"/>
                <w:szCs w:val="22"/>
              </w:rPr>
            </w:r>
          </w:p>
        </w:tc>
        <w:tc>
          <w:tcPr>
            <w:tcW w:w="169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</w:rPr>
            </w:pPr>
            <w:r>
              <w:rPr>
                <w:rFonts w:cs="Calibri" w:cstheme="minorHAnsi"/>
              </w:rPr>
              <w:t>mała</w:t>
            </w:r>
          </w:p>
        </w:tc>
        <w:tc>
          <w:tcPr>
            <w:tcW w:w="212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Calibri" w:cstheme="minorAscii"/>
              </w:rPr>
            </w:pPr>
            <w:r>
              <w:rPr>
                <w:rFonts w:cs="Calibri" w:cstheme="minorAscii"/>
              </w:rPr>
              <w:t>niskie</w:t>
            </w:r>
          </w:p>
        </w:tc>
        <w:tc>
          <w:tcPr>
            <w:tcW w:w="2411" w:type="dxa"/>
            <w:tcBorders/>
            <w:shd w:fill="auto" w:val="clear"/>
          </w:tcPr>
          <w:p>
            <w:pPr>
              <w:pStyle w:val="NormalWeb"/>
              <w:spacing w:lineRule="auto" w:line="240" w:before="0" w:after="0"/>
              <w:rPr>
                <w:rFonts w:ascii="Calibri" w:hAnsi="Calibri" w:cs="Calibri" w:asciiTheme="minorAscii" w:cstheme="minorAscii" w:hAnsiTheme="minorAscii"/>
                <w:sz w:val="22"/>
                <w:szCs w:val="22"/>
              </w:rPr>
            </w:pPr>
            <w:r>
              <w:rPr>
                <w:rFonts w:cs="Calibri" w:ascii="Calibri" w:hAnsi="Calibri" w:asciiTheme="minorAscii" w:cstheme="minorAscii" w:hAnsiTheme="minorAscii"/>
                <w:sz w:val="22"/>
                <w:szCs w:val="22"/>
              </w:rPr>
              <w:t xml:space="preserve">- wdrożono oprogramowanie do prowadzenia Bibliotek Cyfrowych oraz oprogramowania do zarządzania procesem digitalizacji. </w:t>
            </w:r>
            <w:r>
              <w:rPr/>
              <w:br/>
            </w:r>
            <w:r>
              <w:rPr>
                <w:rFonts w:cs="Calibri" w:ascii="Calibri" w:hAnsi="Calibri" w:asciiTheme="minorAscii" w:cstheme="minorAscii" w:hAnsiTheme="minorAscii"/>
                <w:sz w:val="22"/>
                <w:szCs w:val="22"/>
              </w:rPr>
              <w:t>- używane są również arkusze kalkulacyjne do monitorowania prac w projekcie.</w:t>
            </w:r>
          </w:p>
          <w:p>
            <w:pPr>
              <w:pStyle w:val="Normal"/>
              <w:spacing w:lineRule="auto" w:line="240" w:before="0" w:after="0"/>
              <w:ind w:left="0" w:hanging="0"/>
              <w:rPr/>
            </w:pPr>
            <w:r>
              <w:rPr>
                <w:rFonts w:cs="Calibri" w:cstheme="minorAscii"/>
              </w:rPr>
              <w:t xml:space="preserve">-zakończono wdrażanie przewidzianych w projekcie oprogramowań. </w:t>
            </w:r>
          </w:p>
          <w:p>
            <w:pPr>
              <w:pStyle w:val="Normal"/>
              <w:spacing w:lineRule="auto" w:line="240" w:before="0" w:after="0"/>
              <w:ind w:left="0" w:hanging="0"/>
              <w:rPr/>
            </w:pPr>
            <w:r>
              <w:rPr>
                <w:rFonts w:cs="Calibri" w:cstheme="minorAscii"/>
              </w:rPr>
              <w:t xml:space="preserve">- </w:t>
            </w:r>
            <w:r>
              <w:rPr>
                <w:rFonts w:cs="Calibri" w:cstheme="minorAscii"/>
              </w:rPr>
              <w:t>brak zmian w zakresie ryzyka.</w:t>
            </w:r>
          </w:p>
        </w:tc>
      </w:tr>
    </w:tbl>
    <w:p>
      <w:pPr>
        <w:pStyle w:val="Normal"/>
        <w:spacing w:before="240" w:after="120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</w:r>
    </w:p>
    <w:p>
      <w:pPr>
        <w:pStyle w:val="Normal"/>
        <w:spacing w:before="240" w:after="120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</w:r>
    </w:p>
    <w:p>
      <w:pPr>
        <w:pStyle w:val="Normal"/>
        <w:spacing w:before="240" w:after="120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</w:r>
    </w:p>
    <w:p>
      <w:pPr>
        <w:pStyle w:val="Normal"/>
        <w:spacing w:before="240" w:after="120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jc w:val="left"/>
        <w:tblInd w:w="-5" w:type="dxa"/>
        <w:tblCellMar>
          <w:top w:w="0" w:type="dxa"/>
          <w:left w:w="103" w:type="dxa"/>
          <w:bottom w:w="0" w:type="dxa"/>
          <w:right w:w="108" w:type="dxa"/>
        </w:tblCellMar>
        <w:tblLook w:firstRow="1" w:noVBand="0" w:lastRow="0" w:firstColumn="1" w:lastColumn="0" w:noHBand="0" w:val="00a0"/>
      </w:tblPr>
      <w:tblGrid>
        <w:gridCol w:w="3259"/>
        <w:gridCol w:w="1701"/>
        <w:gridCol w:w="2124"/>
        <w:gridCol w:w="2695"/>
      </w:tblGrid>
      <w:tr>
        <w:trPr>
          <w:trHeight w:val="724" w:hRule="atLeast"/>
        </w:trPr>
        <w:tc>
          <w:tcPr>
            <w:tcW w:w="32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D9D9D9" w:themeFill="background1" w:themeFillShade="d9" w:val="clear"/>
            <w:vAlign w:val="center"/>
          </w:tcPr>
          <w:p>
            <w:pPr>
              <w:pStyle w:val="Normal"/>
              <w:spacing w:before="0" w:after="160"/>
              <w:jc w:val="center"/>
              <w:rPr>
                <w:rFonts w:ascii="Arial" w:hAnsi="Arial" w:eastAsia="MS MinNew Roman" w:cs="Arial"/>
                <w:b/>
                <w:b/>
                <w:bCs/>
                <w:sz w:val="20"/>
              </w:rPr>
            </w:pPr>
            <w:r>
              <w:rPr>
                <w:rFonts w:eastAsia="MS MinNew Roman" w:cs="Arial" w:ascii="Arial" w:hAnsi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D9D9D9" w:themeFill="background1" w:themeFillShade="d9" w:val="clear"/>
            <w:vAlign w:val="center"/>
          </w:tcPr>
          <w:p>
            <w:pPr>
              <w:pStyle w:val="Caption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>
              <w:rPr>
                <w:rFonts w:cs="Arial" w:ascii="Arial" w:hAnsi="Arial"/>
                <w:sz w:val="20"/>
                <w:szCs w:val="20"/>
              </w:rPr>
              <w:t>Siła oddziaływania</w:t>
            </w:r>
          </w:p>
        </w:tc>
        <w:tc>
          <w:tcPr>
            <w:tcW w:w="21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D9D9D9" w:themeFill="background1" w:themeFillShade="d9" w:val="clear"/>
          </w:tcPr>
          <w:p>
            <w:pPr>
              <w:pStyle w:val="Caption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D9D9D9" w:themeFill="background1" w:themeFillShade="d9" w:val="clear"/>
            <w:vAlign w:val="center"/>
          </w:tcPr>
          <w:p>
            <w:pPr>
              <w:pStyle w:val="Caption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>
              <w:rPr>
                <w:rFonts w:cs="Arial" w:ascii="Arial" w:hAnsi="Arial"/>
                <w:sz w:val="20"/>
                <w:szCs w:val="20"/>
              </w:rPr>
              <w:t>Sposób zarzadzania ryzykiem</w:t>
            </w:r>
          </w:p>
        </w:tc>
      </w:tr>
      <w:tr>
        <w:trPr>
          <w:trHeight w:val="724" w:hRule="atLeast"/>
        </w:trPr>
        <w:tc>
          <w:tcPr>
            <w:tcW w:w="32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widowControl/>
              <w:suppressAutoHyphens w:val="false"/>
              <w:bidi w:val="0"/>
              <w:spacing w:lineRule="auto" w:line="259" w:before="0" w:after="160"/>
              <w:jc w:val="left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>
              <w:rPr/>
              <w:t>Ryzyko techniczne – utrata danych spowodowana awarią systemu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</w:tcPr>
          <w:p>
            <w:pPr>
              <w:pStyle w:val="Caption"/>
              <w:rPr>
                <w:rFonts w:ascii="Arial" w:hAnsi="Arial" w:eastAsia="Times New Roman" w:cs="Arial"/>
                <w:b w:val="false"/>
                <w:b w:val="false"/>
                <w:bCs w:val="false"/>
                <w:color w:val="0070C0"/>
                <w:kern w:val="0"/>
                <w:sz w:val="18"/>
                <w:szCs w:val="18"/>
                <w:lang w:eastAsia="pl-PL"/>
              </w:rPr>
            </w:pPr>
            <w:r>
              <w:rPr>
                <w:rFonts w:cs="Calibri" w:ascii="Calibri" w:hAnsi="Calibri"/>
                <w:b w:val="false"/>
                <w:bCs w:val="false"/>
                <w:sz w:val="22"/>
                <w:szCs w:val="22"/>
              </w:rPr>
              <w:t>duża</w:t>
            </w:r>
          </w:p>
        </w:tc>
        <w:tc>
          <w:tcPr>
            <w:tcW w:w="21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</w:tcPr>
          <w:p>
            <w:pPr>
              <w:pStyle w:val="Caption"/>
              <w:rPr>
                <w:rFonts w:ascii="Arial" w:hAnsi="Arial" w:eastAsia="Times New Roman" w:cs="Arial"/>
                <w:b w:val="false"/>
                <w:b w:val="false"/>
                <w:bCs w:val="false"/>
                <w:color w:val="0070C0"/>
                <w:kern w:val="0"/>
                <w:sz w:val="18"/>
                <w:szCs w:val="18"/>
                <w:lang w:eastAsia="pl-PL"/>
              </w:rPr>
            </w:pPr>
            <w:r>
              <w:rPr>
                <w:rFonts w:cs="Calibri Light" w:ascii="Calibri Light" w:hAnsi="Calibri Light"/>
                <w:b w:val="false"/>
                <w:bCs w:val="false"/>
              </w:rPr>
              <w:t>znikome</w:t>
            </w:r>
          </w:p>
        </w:tc>
        <w:tc>
          <w:tcPr>
            <w:tcW w:w="26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</w:tcPr>
          <w:p>
            <w:pPr>
              <w:pStyle w:val="NormalWeb"/>
              <w:spacing w:before="0" w:after="0"/>
              <w:rPr/>
            </w:pPr>
            <w:r>
              <w:rPr>
                <w:rFonts w:cs="Calibri" w:ascii="Calibri" w:hAnsi="Calibri"/>
                <w:sz w:val="22"/>
                <w:szCs w:val="22"/>
              </w:rPr>
              <w:t>Stosowany system bezpieczeństwa ma na celu eliminowanie ryzyka jakim jest brak dostępu do biblioteki spowodowany awarią systemu. Wszystkie usługi systemowe tworzące bibliotekę cyfrową wraz z gromadzonymi danymi objęte są zautomatyzowaną procedurą tworzenia pełnych i przyrostowych kopii zapasowych na serwerze backupowym.</w:t>
            </w:r>
          </w:p>
          <w:p>
            <w:pPr>
              <w:pStyle w:val="Caption"/>
              <w:rPr>
                <w:rFonts w:ascii="Arial" w:hAnsi="Arial" w:eastAsia="Times New Roman" w:cs="Arial"/>
                <w:b w:val="false"/>
                <w:b w:val="false"/>
                <w:bCs w:val="false"/>
                <w:color w:val="0070C0"/>
                <w:kern w:val="0"/>
                <w:sz w:val="18"/>
                <w:szCs w:val="18"/>
                <w:lang w:eastAsia="pl-PL"/>
              </w:rPr>
            </w:pPr>
            <w:r>
              <w:rPr>
                <w:rFonts w:cs="Calibri" w:ascii="Calibri" w:hAnsi="Calibri"/>
                <w:b w:val="false"/>
                <w:bCs w:val="false"/>
                <w:sz w:val="22"/>
                <w:szCs w:val="22"/>
              </w:rPr>
              <w:t>Ponadto dwa razy dziennie wykonywany jest zrzut bazy, składowany w dwóch lokalizacjach (Uczelniane Centrum Informatyczne i Biblioteka Uniwersytecka UMK). Skany źródłowe gromadzone są na dyskach Biblioteki Uniwersyteckiej UMK oraz w Krajowym Magazynie Danych (usługa archiwizacji PLATON U4). Ponadto stale monitorowane jest obciążenie systemu i dostępność usług.</w:t>
            </w:r>
          </w:p>
        </w:tc>
      </w:tr>
    </w:tbl>
    <w:p>
      <w:pPr>
        <w:pStyle w:val="ListParagraph"/>
        <w:numPr>
          <w:ilvl w:val="0"/>
          <w:numId w:val="1"/>
        </w:numPr>
        <w:spacing w:before="360" w:after="160"/>
        <w:contextualSpacing/>
        <w:jc w:val="both"/>
        <w:rPr>
          <w:rStyle w:val="Nagwek2Znak"/>
          <w:rFonts w:ascii="Arial" w:hAnsi="Arial" w:eastAsia="Calibri" w:cs="Arial" w:eastAsiaTheme="minorHAnsi"/>
          <w:b/>
          <w:b/>
          <w:color w:val="00000A"/>
          <w:sz w:val="24"/>
          <w:szCs w:val="24"/>
        </w:rPr>
      </w:pPr>
      <w:r>
        <w:rPr>
          <w:rStyle w:val="Nagwek2Znak"/>
          <w:rFonts w:eastAsia="Calibri" w:cs="Arial" w:ascii="Arial" w:hAnsi="Arial" w:eastAsiaTheme="minorHAnsi"/>
          <w:b/>
          <w:color w:val="00000A"/>
          <w:sz w:val="24"/>
          <w:szCs w:val="24"/>
        </w:rPr>
        <w:t>Wymiarowanie systemu informatycznego</w:t>
      </w:r>
    </w:p>
    <w:p>
      <w:pPr>
        <w:pStyle w:val="Normal"/>
        <w:rPr>
          <w:rStyle w:val="Nagwek2Znak"/>
          <w:rFonts w:ascii="Arial" w:hAnsi="Arial" w:eastAsia="Calibri" w:cs="Arial" w:eastAsiaTheme="minorHAnsi"/>
          <w:bCs/>
          <w:color w:val="00000A"/>
          <w:sz w:val="24"/>
          <w:szCs w:val="24"/>
        </w:rPr>
      </w:pPr>
      <w:r>
        <w:rPr>
          <w:rStyle w:val="Nagwek2Znak"/>
          <w:rFonts w:eastAsia="Calibri" w:cs="Arial" w:ascii="Arial" w:hAnsi="Arial" w:eastAsiaTheme="minorHAnsi"/>
          <w:bCs/>
          <w:color w:val="00000A"/>
          <w:sz w:val="24"/>
          <w:szCs w:val="24"/>
        </w:rPr>
        <w:t>Nie dotyczy</w:t>
      </w:r>
    </w:p>
    <w:p>
      <w:pPr>
        <w:pStyle w:val="ListParagraph"/>
        <w:numPr>
          <w:ilvl w:val="0"/>
          <w:numId w:val="1"/>
        </w:numPr>
        <w:spacing w:before="360" w:after="160"/>
        <w:contextualSpacing/>
        <w:jc w:val="both"/>
        <w:rPr>
          <w:rFonts w:ascii="Arial" w:hAnsi="Arial" w:cs="Arial"/>
          <w:color w:val="0070C0"/>
        </w:rPr>
      </w:pPr>
      <w:r>
        <w:rPr>
          <w:rStyle w:val="Nagwek2Znak"/>
          <w:rFonts w:cs="Arial" w:ascii="Arial" w:hAnsi="Arial"/>
          <w:b/>
          <w:color w:val="00000A"/>
          <w:sz w:val="24"/>
          <w:szCs w:val="24"/>
        </w:rPr>
        <w:t>Dane kontaktowe:</w:t>
      </w:r>
      <w:r>
        <w:rPr>
          <w:rFonts w:cs="Arial" w:ascii="Arial" w:hAnsi="Arial"/>
          <w:b/>
        </w:rPr>
        <w:t xml:space="preserve"> </w:t>
      </w:r>
    </w:p>
    <w:p>
      <w:pPr>
        <w:pStyle w:val="NormalWeb"/>
        <w:spacing w:beforeAutospacing="0" w:before="363" w:after="159"/>
        <w:rPr/>
      </w:pPr>
      <w:r>
        <w:rPr>
          <w:rFonts w:cs="Calibri" w:ascii="Calibri" w:hAnsi="Calibri" w:asciiTheme="minorHAnsi" w:cstheme="minorHAnsi" w:hAnsiTheme="minorHAnsi"/>
        </w:rPr>
        <w:t>dr Anna Karolina Zawada</w:t>
        <w:br/>
        <w:t>Koordynator projektu POPC.02.03.01-00-0039/18</w:t>
        <w:br/>
        <w:t>Oddział Komputeryzacji i Digitalizacji</w:t>
        <w:br/>
        <w:t>Biblioteka Uniwersytecka</w:t>
        <w:br/>
        <w:t>Uniwersytet Mikołaja Kopernika w Toruniu</w:t>
        <w:br/>
      </w:r>
      <w:hyperlink r:id="rId2">
        <w:r>
          <w:rPr>
            <w:rStyle w:val="Czeinternetowe"/>
            <w:rFonts w:cs="Calibri" w:ascii="Calibri" w:hAnsi="Calibri" w:asciiTheme="minorHAnsi" w:cstheme="minorHAnsi" w:hAnsiTheme="minorHAnsi"/>
          </w:rPr>
          <w:t>kz@umk.pl</w:t>
        </w:r>
      </w:hyperlink>
      <w:r>
        <w:rPr>
          <w:rFonts w:cs="Calibri" w:ascii="Calibri" w:hAnsi="Calibri" w:asciiTheme="minorHAnsi" w:cstheme="minorHAnsi" w:hAnsiTheme="minorHAnsi"/>
        </w:rPr>
        <w:br/>
        <w:t>tel. 56 611 4420</w:t>
      </w:r>
    </w:p>
    <w:p>
      <w:pPr>
        <w:pStyle w:val="NormalWeb"/>
        <w:spacing w:before="280" w:after="0"/>
        <w:rPr/>
      </w:pPr>
      <w:r>
        <w:rPr/>
      </w:r>
    </w:p>
    <w:p>
      <w:pPr>
        <w:pStyle w:val="NormalWeb"/>
        <w:spacing w:before="280" w:after="0"/>
        <w:rPr/>
      </w:pPr>
      <w:r>
        <w:rPr/>
      </w:r>
    </w:p>
    <w:p>
      <w:pPr>
        <w:pStyle w:val="NormalWeb"/>
        <w:spacing w:before="280" w:after="0"/>
        <w:rPr/>
      </w:pPr>
      <w:r>
        <w:rPr>
          <w:rFonts w:cs="Arial" w:ascii="Arial" w:hAnsi="Arial"/>
        </w:rPr>
        <w:t xml:space="preserve">Załącznik nr 1 </w:t>
      </w:r>
    </w:p>
    <w:p>
      <w:pPr>
        <w:pStyle w:val="NormalWeb"/>
        <w:spacing w:before="280" w:after="0"/>
        <w:rPr/>
      </w:pPr>
      <w:r>
        <w:rPr>
          <w:rFonts w:cs="Arial" w:ascii="Arial" w:hAnsi="Arial"/>
        </w:rPr>
        <w:t>Wzór raportu z wymiarowania systemu informatycznego – NIE DOTYCZY</w:t>
      </w:r>
    </w:p>
    <w:p>
      <w:pPr>
        <w:pStyle w:val="Normal"/>
        <w:spacing w:before="0" w:after="0"/>
        <w:jc w:val="both"/>
        <w:rPr/>
      </w:pPr>
      <w:r>
        <w:rPr/>
      </w:r>
    </w:p>
    <w:sectPr>
      <w:headerReference w:type="default" r:id="rId3"/>
      <w:footerReference w:type="default" r:id="rId4"/>
      <w:footnotePr>
        <w:numFmt w:val="decimal"/>
      </w:footnotePr>
      <w:type w:val="nextPage"/>
      <w:pgSz w:w="11906" w:h="16838"/>
      <w:pgMar w:left="1416" w:right="1416" w:header="709" w:top="1417" w:footer="709" w:bottom="1417" w:gutter="0"/>
      <w:pgBorders w:display="allPages" w:offsetFrom="page">
        <w:top w:val="single" w:sz="4" w:space="24" w:color="000001"/>
        <w:left w:val="single" w:sz="4" w:space="24" w:color="000001"/>
        <w:bottom w:val="single" w:sz="4" w:space="24" w:color="000001"/>
        <w:right w:val="single" w:sz="4" w:space="24" w:color="000001"/>
      </w:pgBorders>
      <w:pgNumType w:start="1"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Calibri Light">
    <w:charset w:val="ee"/>
    <w:family w:val="roman"/>
    <w:pitch w:val="variable"/>
  </w:font>
  <w:font w:name="Segoe UI">
    <w:charset w:val="ee"/>
    <w:family w:val="roman"/>
    <w:pitch w:val="variable"/>
  </w:font>
  <w:font w:name="Arial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tabs>
        <w:tab w:val="clear" w:pos="708"/>
        <w:tab w:val="center" w:pos="4550" w:leader="none"/>
        <w:tab w:val="left" w:pos="5818" w:leader="none"/>
      </w:tabs>
      <w:ind w:right="260" w:hanging="0"/>
      <w:jc w:val="right"/>
      <w:rPr/>
    </w:pPr>
    <w:r>
      <w:rPr>
        <w:color w:val="8496B0" w:themeColor="text2" w:themeTint="99"/>
        <w:spacing w:val="60"/>
        <w:sz w:val="24"/>
        <w:szCs w:val="24"/>
      </w:rPr>
      <w:t>Strona</w:t>
    </w:r>
    <w:r>
      <w:rPr>
        <w:color w:val="8496B0" w:themeColor="text2" w:themeTint="99"/>
        <w:sz w:val="24"/>
        <w:szCs w:val="24"/>
      </w:rPr>
      <w:t xml:space="preserve"> </w:t>
    </w:r>
    <w:r>
      <w:rPr/>
      <w:fldChar w:fldCharType="begin"/>
    </w:r>
    <w:r>
      <w:rPr/>
      <w:instrText> PAGE </w:instrText>
    </w:r>
    <w:r>
      <w:rPr/>
      <w:fldChar w:fldCharType="separate"/>
    </w:r>
    <w:r>
      <w:rPr/>
      <w:t>16</w:t>
    </w:r>
    <w:r>
      <w:rPr/>
      <w:fldChar w:fldCharType="end"/>
    </w:r>
    <w:r>
      <w:rPr>
        <w:color w:val="323E4F" w:themeColor="text2" w:themeShade="bf"/>
        <w:sz w:val="24"/>
        <w:szCs w:val="24"/>
      </w:rPr>
      <w:t xml:space="preserve"> | </w:t>
    </w:r>
    <w:r>
      <w:rPr/>
      <w:fldChar w:fldCharType="begin"/>
    </w:r>
    <w:r>
      <w:rPr/>
      <w:instrText> NUMPAGES </w:instrText>
    </w:r>
    <w:r>
      <w:rPr/>
      <w:fldChar w:fldCharType="separate"/>
    </w:r>
    <w:r>
      <w:rPr/>
      <w:t>16</w:t>
    </w:r>
    <w:r>
      <w:rPr/>
      <w:fldChar w:fldCharType="end"/>
    </w:r>
  </w:p>
  <w:p>
    <w:pPr>
      <w:pStyle w:val="Stopka"/>
      <w:rPr/>
    </w:pPr>
    <w:r>
      <w:rPr/>
    </w:r>
  </w:p>
</w:ftr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footnote w:id="0" w:type="separator">
    <w:p>
      <w:r>
        <w:separator/>
      </w:r>
    </w:p>
  </w:footnote>
  <w:footnote w:id="1" w:type="continuationSeparator">
    <w:p>
      <w:r>
        <w:continuationSeparator/>
      </w:r>
    </w:p>
  </w:footnote>
  <w:footnote w:id="2">
    <w:p>
      <w:pPr>
        <w:pStyle w:val="Przypisdolny"/>
        <w:rPr/>
      </w:pPr>
      <w:r>
        <w:rPr>
          <w:rStyle w:val="Znakiprzypiswdolnych"/>
        </w:rPr>
        <w:footnoteRef/>
      </w:r>
      <w:r>
        <w:rPr>
          <w:rStyle w:val="Znakiprzypiswdolnych"/>
        </w:rPr>
        <w:tab/>
      </w:r>
      <w:r>
        <w:rPr/>
        <w:t xml:space="preserve"> Sekcja dotyczy projektów realizowanych ze środków UE</w:t>
      </w:r>
    </w:p>
  </w:footnote>
</w:footnote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Gwka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360" w:hanging="360"/>
      </w:pPr>
      <w:rPr>
        <w:sz w:val="24"/>
        <w:i w:val="false"/>
        <w:b/>
        <w:szCs w:val="26"/>
        <w:rFonts w:ascii="Arial" w:hAnsi="Arial"/>
        <w:color w:val="00000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90"/>
  <w:defaultTabStop w:val="708"/>
  <w:autoHyphenation w:val="true"/>
  <w:footnotePr>
    <w:numFmt w:val="decimal"/>
    <w:footnote w:id="0"/>
    <w:footnote w:id="1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/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iPriority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933bec"/>
    <w:pPr>
      <w:widowControl/>
      <w:suppressAutoHyphens w:val="fals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kern w:val="0"/>
      <w:sz w:val="22"/>
      <w:szCs w:val="22"/>
      <w:lang w:val="pl-PL" w:eastAsia="en-US" w:bidi="ar-SA"/>
    </w:rPr>
  </w:style>
  <w:style w:type="paragraph" w:styleId="Nagwek1">
    <w:name w:val="Heading 1"/>
    <w:basedOn w:val="Normal"/>
    <w:next w:val="Normal"/>
    <w:link w:val="Nagwek1Znak"/>
    <w:uiPriority w:val="9"/>
    <w:qFormat/>
    <w:rsid w:val="009e4c67"/>
    <w:pPr>
      <w:keepNext w:val="true"/>
      <w:keepLines/>
      <w:spacing w:before="240" w:after="0"/>
      <w:outlineLvl w:val="0"/>
    </w:pPr>
    <w:rPr>
      <w:rFonts w:ascii="Calibri Light" w:hAnsi="Calibri Light" w:eastAsia="" w:cs="" w:asciiTheme="majorHAnsi" w:cstheme="majorBidi" w:eastAsiaTheme="majorEastAsia" w:hAnsiTheme="majorHAnsi"/>
      <w:color w:val="2E74B5" w:themeColor="accent1" w:themeShade="bf"/>
      <w:sz w:val="32"/>
      <w:szCs w:val="32"/>
    </w:rPr>
  </w:style>
  <w:style w:type="paragraph" w:styleId="Nagwek2">
    <w:name w:val="Heading 2"/>
    <w:basedOn w:val="Normal"/>
    <w:next w:val="Normal"/>
    <w:link w:val="Nagwek2Znak"/>
    <w:uiPriority w:val="9"/>
    <w:unhideWhenUsed/>
    <w:qFormat/>
    <w:rsid w:val="009e4c67"/>
    <w:pPr>
      <w:keepNext w:val="true"/>
      <w:keepLines/>
      <w:spacing w:before="40" w:after="0"/>
      <w:outlineLvl w:val="1"/>
    </w:pPr>
    <w:rPr>
      <w:rFonts w:ascii="Calibri Light" w:hAnsi="Calibri Light" w:eastAsia="" w:cs="" w:asciiTheme="majorHAnsi" w:cstheme="majorBidi" w:eastAsiaTheme="majorEastAsia" w:hAnsiTheme="majorHAnsi"/>
      <w:color w:val="2E74B5" w:themeColor="accent1" w:themeShade="bf"/>
      <w:sz w:val="26"/>
      <w:szCs w:val="26"/>
    </w:rPr>
  </w:style>
  <w:style w:type="paragraph" w:styleId="Nagwek3">
    <w:name w:val="Heading 3"/>
    <w:basedOn w:val="Normal"/>
    <w:next w:val="Normal"/>
    <w:link w:val="Nagwek3Znak"/>
    <w:uiPriority w:val="9"/>
    <w:unhideWhenUsed/>
    <w:qFormat/>
    <w:rsid w:val="000f30b9"/>
    <w:pPr>
      <w:keepNext w:val="true"/>
      <w:keepLines/>
      <w:spacing w:before="40" w:after="0"/>
      <w:outlineLvl w:val="2"/>
    </w:pPr>
    <w:rPr>
      <w:rFonts w:ascii="Calibri Light" w:hAnsi="Calibri Light" w:eastAsia="" w:cs="" w:asciiTheme="majorHAnsi" w:cstheme="majorBidi" w:eastAsiaTheme="majorEastAsia" w:hAnsiTheme="majorHAnsi"/>
      <w:color w:val="1F4D78" w:themeColor="accent1" w:themeShade="7f"/>
      <w:sz w:val="24"/>
      <w:szCs w:val="24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Annotationreference">
    <w:name w:val="annotation reference"/>
    <w:basedOn w:val="DefaultParagraphFont"/>
    <w:unhideWhenUsed/>
    <w:qFormat/>
    <w:rsid w:val="001c2d74"/>
    <w:rPr>
      <w:sz w:val="16"/>
      <w:szCs w:val="16"/>
    </w:rPr>
  </w:style>
  <w:style w:type="character" w:styleId="TekstkomentarzaZnak" w:customStyle="1">
    <w:name w:val="Tekst komentarza Znak"/>
    <w:basedOn w:val="DefaultParagraphFont"/>
    <w:link w:val="Tekstkomentarza"/>
    <w:uiPriority w:val="99"/>
    <w:qFormat/>
    <w:rsid w:val="001c2d74"/>
    <w:rPr>
      <w:sz w:val="20"/>
      <w:szCs w:val="20"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qFormat/>
    <w:rsid w:val="001c2d74"/>
    <w:rPr>
      <w:b/>
      <w:bCs/>
      <w:sz w:val="20"/>
      <w:szCs w:val="20"/>
    </w:rPr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1c2d74"/>
    <w:rPr>
      <w:rFonts w:ascii="Segoe UI" w:hAnsi="Segoe UI" w:cs="Segoe UI"/>
      <w:sz w:val="18"/>
      <w:szCs w:val="18"/>
    </w:rPr>
  </w:style>
  <w:style w:type="character" w:styleId="TekstprzypisudolnegoZnak" w:customStyle="1">
    <w:name w:val="Tekst przypisu dolnego Znak"/>
    <w:basedOn w:val="DefaultParagraphFont"/>
    <w:link w:val="Tekstprzypisudolnego"/>
    <w:uiPriority w:val="99"/>
    <w:semiHidden/>
    <w:qFormat/>
    <w:rsid w:val="00bb2420"/>
    <w:rPr>
      <w:sz w:val="20"/>
      <w:szCs w:val="20"/>
    </w:rPr>
  </w:style>
  <w:style w:type="character" w:styleId="Zakotwiczenieprzypisudolnego">
    <w:name w:val="Zakotwiczenie przypisu dolnego"/>
    <w:rPr>
      <w:vertAlign w:val="superscript"/>
    </w:rPr>
  </w:style>
  <w:style w:type="character" w:styleId="FootnoteCharacters">
    <w:name w:val="Footnote Characters"/>
    <w:basedOn w:val="DefaultParagraphFont"/>
    <w:uiPriority w:val="99"/>
    <w:semiHidden/>
    <w:unhideWhenUsed/>
    <w:qFormat/>
    <w:rsid w:val="00bb2420"/>
    <w:rPr>
      <w:vertAlign w:val="superscript"/>
    </w:rPr>
  </w:style>
  <w:style w:type="character" w:styleId="Nagwek1Znak" w:customStyle="1">
    <w:name w:val="Nagłówek 1 Znak"/>
    <w:basedOn w:val="DefaultParagraphFont"/>
    <w:link w:val="Nagwek1"/>
    <w:uiPriority w:val="9"/>
    <w:qFormat/>
    <w:rsid w:val="009e4c67"/>
    <w:rPr>
      <w:rFonts w:ascii="Calibri Light" w:hAnsi="Calibri Light" w:eastAsia="" w:cs="" w:asciiTheme="majorHAnsi" w:cstheme="majorBidi" w:eastAsiaTheme="majorEastAsia" w:hAnsiTheme="majorHAnsi"/>
      <w:color w:val="2E74B5" w:themeColor="accent1" w:themeShade="bf"/>
      <w:sz w:val="32"/>
      <w:szCs w:val="32"/>
    </w:rPr>
  </w:style>
  <w:style w:type="character" w:styleId="Nagwek2Znak" w:customStyle="1">
    <w:name w:val="Nagłówek 2 Znak"/>
    <w:basedOn w:val="DefaultParagraphFont"/>
    <w:link w:val="Nagwek2"/>
    <w:uiPriority w:val="9"/>
    <w:qFormat/>
    <w:rsid w:val="009e4c67"/>
    <w:rPr>
      <w:rFonts w:ascii="Calibri Light" w:hAnsi="Calibri Light" w:eastAsia="" w:cs="" w:asciiTheme="majorHAnsi" w:cstheme="majorBidi" w:eastAsiaTheme="majorEastAsia" w:hAnsiTheme="majorHAnsi"/>
      <w:color w:val="2E74B5" w:themeColor="accent1" w:themeShade="bf"/>
      <w:sz w:val="26"/>
      <w:szCs w:val="26"/>
    </w:rPr>
  </w:style>
  <w:style w:type="character" w:styleId="Nagwek3Znak" w:customStyle="1">
    <w:name w:val="Nagłówek 3 Znak"/>
    <w:basedOn w:val="DefaultParagraphFont"/>
    <w:link w:val="Nagwek3"/>
    <w:uiPriority w:val="9"/>
    <w:qFormat/>
    <w:rsid w:val="000f30b9"/>
    <w:rPr>
      <w:rFonts w:ascii="Calibri Light" w:hAnsi="Calibri Light" w:eastAsia="" w:cs="" w:asciiTheme="majorHAnsi" w:cstheme="majorBidi" w:eastAsiaTheme="majorEastAsia" w:hAnsiTheme="majorHAnsi"/>
      <w:color w:val="1F4D78" w:themeColor="accent1" w:themeShade="7f"/>
      <w:sz w:val="24"/>
      <w:szCs w:val="24"/>
    </w:rPr>
  </w:style>
  <w:style w:type="character" w:styleId="NagwekZnak" w:customStyle="1">
    <w:name w:val="Nagłówek Znak"/>
    <w:basedOn w:val="DefaultParagraphFont"/>
    <w:link w:val="Nagwek"/>
    <w:uiPriority w:val="99"/>
    <w:qFormat/>
    <w:rsid w:val="005c77bb"/>
    <w:rPr/>
  </w:style>
  <w:style w:type="character" w:styleId="StopkaZnak" w:customStyle="1">
    <w:name w:val="Stopka Znak"/>
    <w:basedOn w:val="DefaultParagraphFont"/>
    <w:link w:val="Stopka"/>
    <w:uiPriority w:val="99"/>
    <w:qFormat/>
    <w:rsid w:val="005c77bb"/>
    <w:rPr/>
  </w:style>
  <w:style w:type="character" w:styleId="BodyText1Char" w:customStyle="1">
    <w:name w:val="Body Text 1 Char"/>
    <w:basedOn w:val="DefaultParagraphFont"/>
    <w:link w:val="BodyText1"/>
    <w:qFormat/>
    <w:rsid w:val="002b6f21"/>
    <w:rPr>
      <w:rFonts w:ascii="Arial" w:hAnsi="Arial" w:eastAsia="Times New Roman" w:cs="Arial"/>
      <w:b/>
      <w:iCs/>
      <w:color w:val="0070C0"/>
    </w:rPr>
  </w:style>
  <w:style w:type="character" w:styleId="Tekstpodstawowy2Znak" w:customStyle="1">
    <w:name w:val="Tekst podstawowy 2 Znak"/>
    <w:basedOn w:val="DefaultParagraphFont"/>
    <w:link w:val="Tekstpodstawowy2"/>
    <w:qFormat/>
    <w:rsid w:val="006a60aa"/>
    <w:rPr>
      <w:rFonts w:ascii="Arial" w:hAnsi="Arial" w:eastAsia="Times New Roman" w:cs="Times New Roman"/>
      <w:sz w:val="24"/>
      <w:szCs w:val="24"/>
      <w:lang w:val="en-US"/>
    </w:rPr>
  </w:style>
  <w:style w:type="character" w:styleId="TekstpodstawowyZnak" w:customStyle="1">
    <w:name w:val="Tekst podstawowy Znak"/>
    <w:basedOn w:val="DefaultParagraphFont"/>
    <w:link w:val="Tekstpodstawowy"/>
    <w:uiPriority w:val="99"/>
    <w:semiHidden/>
    <w:qFormat/>
    <w:rsid w:val="00ae1643"/>
    <w:rPr/>
  </w:style>
  <w:style w:type="character" w:styleId="Czeinternetowe">
    <w:name w:val="Łącze internetowe"/>
    <w:basedOn w:val="DefaultParagraphFont"/>
    <w:uiPriority w:val="99"/>
    <w:semiHidden/>
    <w:unhideWhenUsed/>
    <w:rsid w:val="00c778c3"/>
    <w:rPr>
      <w:color w:val="0563C1"/>
      <w:u w:val="single"/>
    </w:rPr>
  </w:style>
  <w:style w:type="character" w:styleId="Znakiprzypiswdolnych">
    <w:name w:val="Znaki przypisów dolnych"/>
    <w:qFormat/>
    <w:rPr/>
  </w:style>
  <w:style w:type="character" w:styleId="Zakotwiczenieprzypisukocowego">
    <w:name w:val="Zakotwiczenie przypisu końcowego"/>
    <w:rPr>
      <w:vertAlign w:val="superscript"/>
    </w:rPr>
  </w:style>
  <w:style w:type="character" w:styleId="Znakiprzypiswkocowych">
    <w:name w:val="Znaki przypisów końcowych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Noto Sans CJK SC" w:cs="FreeSans"/>
      <w:sz w:val="28"/>
      <w:szCs w:val="28"/>
    </w:rPr>
  </w:style>
  <w:style w:type="paragraph" w:styleId="Tretekstu">
    <w:name w:val="Body Text"/>
    <w:basedOn w:val="Normal"/>
    <w:link w:val="TekstpodstawowyZnak"/>
    <w:uiPriority w:val="99"/>
    <w:semiHidden/>
    <w:unhideWhenUsed/>
    <w:rsid w:val="00ae1643"/>
    <w:pPr>
      <w:spacing w:before="0" w:after="120"/>
    </w:pPr>
    <w:rPr/>
  </w:style>
  <w:style w:type="paragraph" w:styleId="Lista">
    <w:name w:val="List"/>
    <w:basedOn w:val="Tretekstu"/>
    <w:pPr/>
    <w:rPr>
      <w:rFonts w:cs="Free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FreeSans"/>
    </w:rPr>
  </w:style>
  <w:style w:type="paragraph" w:styleId="ListParagraph">
    <w:name w:val="List Paragraph"/>
    <w:basedOn w:val="Normal"/>
    <w:uiPriority w:val="34"/>
    <w:qFormat/>
    <w:rsid w:val="0077418f"/>
    <w:pPr>
      <w:spacing w:before="0" w:after="160"/>
      <w:ind w:left="720" w:hanging="0"/>
      <w:contextualSpacing/>
    </w:pPr>
    <w:rPr/>
  </w:style>
  <w:style w:type="paragraph" w:styleId="Annotationtext">
    <w:name w:val="annotation text"/>
    <w:basedOn w:val="Normal"/>
    <w:link w:val="TekstkomentarzaZnak"/>
    <w:uiPriority w:val="99"/>
    <w:unhideWhenUsed/>
    <w:qFormat/>
    <w:rsid w:val="001c2d74"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Annotationtext"/>
    <w:link w:val="TematkomentarzaZnak"/>
    <w:uiPriority w:val="99"/>
    <w:semiHidden/>
    <w:unhideWhenUsed/>
    <w:qFormat/>
    <w:rsid w:val="001c2d74"/>
    <w:pPr/>
    <w:rPr>
      <w:b/>
      <w:bCs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1c2d74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Przypisdolny">
    <w:name w:val="Footnote Text"/>
    <w:basedOn w:val="Normal"/>
    <w:link w:val="TekstprzypisudolnegoZnak"/>
    <w:uiPriority w:val="99"/>
    <w:semiHidden/>
    <w:unhideWhenUsed/>
    <w:rsid w:val="00bb2420"/>
    <w:pPr>
      <w:spacing w:lineRule="auto" w:line="240" w:before="0" w:after="0"/>
    </w:pPr>
    <w:rPr>
      <w:sz w:val="20"/>
      <w:szCs w:val="20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unhideWhenUsed/>
    <w:rsid w:val="005c77bb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Stopka">
    <w:name w:val="Footer"/>
    <w:basedOn w:val="Normal"/>
    <w:link w:val="StopkaZnak"/>
    <w:uiPriority w:val="99"/>
    <w:unhideWhenUsed/>
    <w:rsid w:val="005c77bb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Bodytext1blueitalic" w:customStyle="1">
    <w:name w:val="Body text 1 + blue + italic"/>
    <w:basedOn w:val="Normal"/>
    <w:autoRedefine/>
    <w:qFormat/>
    <w:rsid w:val="002b6f21"/>
    <w:pPr>
      <w:widowControl w:val="false"/>
      <w:spacing w:lineRule="auto" w:line="240" w:before="240" w:after="240"/>
      <w:ind w:left="360" w:hanging="0"/>
    </w:pPr>
    <w:rPr>
      <w:rFonts w:ascii="Times New Roman" w:hAnsi="Times New Roman" w:eastAsia="Times New Roman" w:cs="Times New Roman"/>
      <w:iCs/>
      <w:color w:val="0070C0"/>
      <w:sz w:val="24"/>
      <w:szCs w:val="24"/>
      <w:lang w:val="en-GB"/>
    </w:rPr>
  </w:style>
  <w:style w:type="paragraph" w:styleId="BodyText1" w:customStyle="1">
    <w:name w:val="Body Text 1"/>
    <w:basedOn w:val="Normal"/>
    <w:link w:val="BodyText1Char"/>
    <w:autoRedefine/>
    <w:qFormat/>
    <w:rsid w:val="002b6f21"/>
    <w:pPr>
      <w:widowControl w:val="false"/>
      <w:spacing w:lineRule="auto" w:line="240" w:before="240" w:after="240"/>
      <w:ind w:left="360" w:hanging="0"/>
    </w:pPr>
    <w:rPr>
      <w:rFonts w:ascii="Arial" w:hAnsi="Arial" w:eastAsia="Times New Roman" w:cs="Arial"/>
      <w:b/>
      <w:iCs/>
      <w:color w:val="0070C0"/>
    </w:rPr>
  </w:style>
  <w:style w:type="paragraph" w:styleId="BodyText2">
    <w:name w:val="Body Text 2"/>
    <w:basedOn w:val="Normal"/>
    <w:link w:val="Tekstpodstawowy2Znak"/>
    <w:qFormat/>
    <w:rsid w:val="006a60aa"/>
    <w:pPr>
      <w:spacing w:lineRule="auto" w:line="240" w:before="0" w:after="120"/>
      <w:ind w:left="900" w:hanging="0"/>
    </w:pPr>
    <w:rPr>
      <w:rFonts w:ascii="Arial" w:hAnsi="Arial" w:eastAsia="Times New Roman" w:cs="Times New Roman"/>
      <w:sz w:val="24"/>
      <w:szCs w:val="24"/>
      <w:lang w:val="en-US"/>
    </w:rPr>
  </w:style>
  <w:style w:type="paragraph" w:styleId="Caption">
    <w:name w:val="caption"/>
    <w:basedOn w:val="Normal"/>
    <w:next w:val="Normal"/>
    <w:qFormat/>
    <w:rsid w:val="0091332c"/>
    <w:pPr>
      <w:widowControl w:val="false"/>
      <w:suppressAutoHyphens w:val="true"/>
      <w:spacing w:lineRule="auto" w:line="240" w:before="0" w:after="0"/>
    </w:pPr>
    <w:rPr>
      <w:rFonts w:ascii="Times New Roman" w:hAnsi="Times New Roman" w:eastAsia="Arial Unicode MS" w:cs="Times New Roman"/>
      <w:b/>
      <w:bCs/>
      <w:kern w:val="2"/>
      <w:sz w:val="24"/>
      <w:szCs w:val="24"/>
    </w:rPr>
  </w:style>
  <w:style w:type="paragraph" w:styleId="NormalWeb">
    <w:name w:val="Normal (Web)"/>
    <w:basedOn w:val="Normal"/>
    <w:uiPriority w:val="99"/>
    <w:unhideWhenUsed/>
    <w:qFormat/>
    <w:rsid w:val="00725f19"/>
    <w:pPr>
      <w:spacing w:beforeAutospacing="1" w:after="119"/>
    </w:pPr>
    <w:rPr>
      <w:rFonts w:ascii="Times New Roman" w:hAnsi="Times New Roman" w:eastAsia="Times New Roman" w:cs="Times New Roman"/>
      <w:sz w:val="24"/>
      <w:szCs w:val="24"/>
      <w:lang w:eastAsia="pl-PL"/>
    </w:rPr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kz@umk.pl" TargetMode="External"/><Relationship Id="rId3" Type="http://schemas.openxmlformats.org/officeDocument/2006/relationships/header" Target="header1.xml"/><Relationship Id="rId4" Type="http://schemas.openxmlformats.org/officeDocument/2006/relationships/footer" Target="footer1.xml"/><Relationship Id="rId5" Type="http://schemas.openxmlformats.org/officeDocument/2006/relationships/footnotes" Target="footnotes.xml"/><Relationship Id="rId6" Type="http://schemas.openxmlformats.org/officeDocument/2006/relationships/numbering" Target="numbering.xml"/><Relationship Id="rId7" Type="http://schemas.openxmlformats.org/officeDocument/2006/relationships/fontTable" Target="fontTable.xml"/><Relationship Id="rId8" Type="http://schemas.openxmlformats.org/officeDocument/2006/relationships/settings" Target="settings.xml"/><Relationship Id="rId9" Type="http://schemas.openxmlformats.org/officeDocument/2006/relationships/theme" Target="theme/theme1.xml"/><Relationship Id="rId10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126272-2E85-4FB4-AA93-D2499544BC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Application>LibreOffice/6.3.2.2$Windows_x86 LibreOffice_project/98b30e735bda24bc04ab42594c85f7fd8be07b9c</Application>
  <Pages>16</Pages>
  <Words>2588</Words>
  <Characters>18223</Characters>
  <CharactersWithSpaces>20428</CharactersWithSpaces>
  <Paragraphs>449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2021-01-14T14:14:00Z</dcterms:created>
  <dc:creator/>
  <dc:description/>
  <dc:language>pl-PL</dc:language>
  <cp:lastModifiedBy/>
  <dcterms:modified xsi:type="dcterms:W3CDTF">2021-04-15T15:11:49Z</dcterms:modified>
  <cp:revision>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00.0001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