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06" w:rsidRPr="00716406" w:rsidRDefault="00716406" w:rsidP="00716406">
      <w:pPr>
        <w:jc w:val="right"/>
        <w:rPr>
          <w:sz w:val="24"/>
          <w:szCs w:val="24"/>
        </w:rPr>
      </w:pPr>
      <w:r w:rsidRPr="00716406">
        <w:rPr>
          <w:sz w:val="24"/>
          <w:szCs w:val="24"/>
        </w:rPr>
        <w:t>Załącznik nr 3</w:t>
      </w:r>
    </w:p>
    <w:p w:rsidR="00716406" w:rsidRDefault="00716406" w:rsidP="00243425">
      <w:pPr>
        <w:jc w:val="center"/>
        <w:rPr>
          <w:b/>
          <w:sz w:val="28"/>
          <w:szCs w:val="28"/>
        </w:rPr>
      </w:pPr>
    </w:p>
    <w:p w:rsidR="00243425" w:rsidRPr="00243425" w:rsidRDefault="00243425" w:rsidP="0024342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3425">
        <w:rPr>
          <w:b/>
          <w:sz w:val="28"/>
          <w:szCs w:val="28"/>
        </w:rPr>
        <w:t>Wymagania ogólne:</w:t>
      </w:r>
    </w:p>
    <w:p w:rsidR="00243425" w:rsidRDefault="00243425" w:rsidP="00243425">
      <w:pPr>
        <w:jc w:val="both"/>
        <w:rPr>
          <w:sz w:val="24"/>
          <w:szCs w:val="24"/>
          <w:u w:val="single"/>
        </w:rPr>
      </w:pPr>
    </w:p>
    <w:p w:rsidR="001C195A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3425" w:rsidRPr="001C195A" w:rsidRDefault="00243425" w:rsidP="002434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Odczynniki chemiczne </w:t>
      </w:r>
    </w:p>
    <w:p w:rsidR="00243425" w:rsidRDefault="00243425" w:rsidP="0024342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Odczynniki, które mają określony termin przydatności muszą w dniu dostawy mieć nie mniej niż 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75% ważności okresu przydatności określonego przez producenta. Termin ważności minimum 1 rok.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Odczynniki muszą być dostarczone w opakowaniach oryginalnych, nie większych lub mniejszych niż w opisie i z czytelnym terminem ważności.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Każda dostarczona partia odczynników musi posiadać kartę charakterystyki oraz certyfikat jakości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zawierający nazwę odczynnika, numer serii i termin ważności oraz odniesienie do specyfikacji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przetargowej.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Wszystkie materiały odniesienia powinny posiadać świadectwo materiału odniesienia zawierające nazwę materiału odniesienia z numerem serii i terminem ważności, z podaną wartością wielkości odtwarzanej wraz z niepewnością rozszerzoną, z określonym przeznaczeniem oraz metodą wykonania i charakterystyką materiału odniesienia, z warunkami użytkowania i przechowywania. 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Roztwory buforowe są wykorzystywane do pomiaru </w:t>
      </w: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 xml:space="preserve"> w temp. 25˚C.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>Bufor 9,18 i 6,86  muszą być w pojemnikach po 100ml. Pozostałe bufory: 7,00; 9,21; 5,00;3,06;1,68 muszą być w pojemnikach o objętości 500ml z naczynkiem do wykonywania pomiaru i posiadać termin ważności nie krótszy niż dwa lata dla opakowania jednostkowego.</w:t>
      </w: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>Materiały odniesienia muszą posiadać akredytację na normę ISO 17025 oraz normę ISO 17034.</w:t>
      </w:r>
    </w:p>
    <w:p w:rsidR="00243425" w:rsidRDefault="00243425" w:rsidP="00243425">
      <w:pPr>
        <w:jc w:val="both"/>
        <w:rPr>
          <w:sz w:val="24"/>
          <w:szCs w:val="24"/>
        </w:rPr>
      </w:pPr>
    </w:p>
    <w:p w:rsidR="00243425" w:rsidRDefault="00243425" w:rsidP="0024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243425" w:rsidRDefault="00243425" w:rsidP="00243425">
      <w:pPr>
        <w:jc w:val="both"/>
        <w:rPr>
          <w:sz w:val="24"/>
          <w:szCs w:val="24"/>
        </w:rPr>
      </w:pPr>
    </w:p>
    <w:p w:rsidR="00243425" w:rsidRDefault="00243425" w:rsidP="00243425">
      <w:pPr>
        <w:jc w:val="both"/>
        <w:rPr>
          <w:sz w:val="24"/>
          <w:szCs w:val="24"/>
        </w:rPr>
      </w:pPr>
    </w:p>
    <w:p w:rsidR="00243425" w:rsidRDefault="00243425" w:rsidP="00243425">
      <w:pPr>
        <w:jc w:val="both"/>
        <w:rPr>
          <w:b/>
          <w:sz w:val="24"/>
          <w:szCs w:val="24"/>
          <w:vertAlign w:val="subscript"/>
        </w:rPr>
      </w:pPr>
    </w:p>
    <w:p w:rsidR="00243425" w:rsidRDefault="00243425" w:rsidP="00243425">
      <w:pPr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243425" w:rsidRDefault="00243425" w:rsidP="00243425">
      <w:pPr>
        <w:jc w:val="both"/>
        <w:rPr>
          <w:sz w:val="24"/>
          <w:szCs w:val="24"/>
        </w:rPr>
      </w:pPr>
    </w:p>
    <w:p w:rsidR="00B53336" w:rsidRDefault="00B53336"/>
    <w:sectPr w:rsidR="00B5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66E"/>
    <w:multiLevelType w:val="hybridMultilevel"/>
    <w:tmpl w:val="C63A28B8"/>
    <w:lvl w:ilvl="0" w:tplc="8060548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C6818"/>
    <w:multiLevelType w:val="hybridMultilevel"/>
    <w:tmpl w:val="447820DE"/>
    <w:lvl w:ilvl="0" w:tplc="8060548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75EC0"/>
    <w:multiLevelType w:val="hybridMultilevel"/>
    <w:tmpl w:val="7348FD42"/>
    <w:lvl w:ilvl="0" w:tplc="8060548E">
      <w:start w:val="1"/>
      <w:numFmt w:val="bullet"/>
      <w:lvlText w:val=""/>
      <w:lvlJc w:val="center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25"/>
    <w:rsid w:val="001C195A"/>
    <w:rsid w:val="00243425"/>
    <w:rsid w:val="00716406"/>
    <w:rsid w:val="00B5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BF9E8-427D-43BA-B504-E3DD8AB0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243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4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Ewa Juszczak</cp:lastModifiedBy>
  <cp:revision>6</cp:revision>
  <dcterms:created xsi:type="dcterms:W3CDTF">2022-03-01T10:13:00Z</dcterms:created>
  <dcterms:modified xsi:type="dcterms:W3CDTF">2022-03-03T09:17:00Z</dcterms:modified>
</cp:coreProperties>
</file>