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FED0A" w14:textId="77777777" w:rsidR="0002435E" w:rsidRDefault="008866A7">
      <w:pPr>
        <w:spacing w:before="120" w:after="60"/>
        <w:jc w:val="center"/>
      </w:pPr>
      <w:r>
        <w:rPr>
          <w:b/>
          <w:bCs/>
          <w:color w:val="1F3864"/>
          <w:sz w:val="28"/>
          <w:szCs w:val="28"/>
        </w:rPr>
        <w:t>WYJAŚNIENIA TREŚCI OPISU PRZEDMIOTU SZACOWANIA</w:t>
      </w:r>
    </w:p>
    <w:p w14:paraId="6BE53FF8" w14:textId="77777777" w:rsidR="0002435E" w:rsidRDefault="008866A7">
      <w:pPr>
        <w:spacing w:after="240"/>
        <w:jc w:val="center"/>
      </w:pPr>
      <w:r>
        <w:rPr>
          <w:i/>
          <w:iCs/>
        </w:rPr>
        <w:t>Dostawa, wdrożenie i utrzymanie usług chmurowych dla Systemu Obsługi Postępowań z zakresu Ocen Oddziaływania na Środowisko (SOPOOŚ) – Etap I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226"/>
      </w:tblGrid>
      <w:tr w:rsidR="0002435E" w14:paraId="09E6D74D" w14:textId="77777777">
        <w:trPr>
          <w:cantSplit/>
        </w:trPr>
        <w:tc>
          <w:tcPr>
            <w:tcW w:w="2800" w:type="dxa"/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D3F4CB" w14:textId="77777777" w:rsidR="0002435E" w:rsidRDefault="008866A7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Nazwa projektu</w:t>
            </w:r>
          </w:p>
        </w:tc>
        <w:tc>
          <w:tcPr>
            <w:tcW w:w="6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62F892" w14:textId="77777777" w:rsidR="0002435E" w:rsidRDefault="008866A7">
            <w:pPr>
              <w:spacing w:after="40"/>
            </w:pPr>
            <w:r>
              <w:rPr>
                <w:sz w:val="19"/>
                <w:szCs w:val="19"/>
              </w:rPr>
              <w:t xml:space="preserve">System Obsługi Postępowań w sprawie Ocen </w:t>
            </w:r>
            <w:r>
              <w:rPr>
                <w:sz w:val="19"/>
                <w:szCs w:val="19"/>
              </w:rPr>
              <w:t>Oddziaływania na Środowisko (SOPOOŚ) – Etap I</w:t>
            </w:r>
          </w:p>
        </w:tc>
      </w:tr>
      <w:tr w:rsidR="0002435E" w14:paraId="7A789DF4" w14:textId="77777777">
        <w:trPr>
          <w:cantSplit/>
        </w:trPr>
        <w:tc>
          <w:tcPr>
            <w:tcW w:w="2800" w:type="dxa"/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DE6BC7" w14:textId="77777777" w:rsidR="0002435E" w:rsidRDefault="008866A7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Zamawiający</w:t>
            </w:r>
          </w:p>
        </w:tc>
        <w:tc>
          <w:tcPr>
            <w:tcW w:w="6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D9A416" w14:textId="77777777" w:rsidR="0002435E" w:rsidRDefault="008866A7">
            <w:pPr>
              <w:spacing w:after="40"/>
            </w:pPr>
            <w:r>
              <w:rPr>
                <w:sz w:val="19"/>
                <w:szCs w:val="19"/>
              </w:rPr>
              <w:t>Generalna Dyrekcja Ochrony Środowiska (GDOŚ)</w:t>
            </w:r>
          </w:p>
        </w:tc>
      </w:tr>
      <w:tr w:rsidR="0002435E" w14:paraId="67677912" w14:textId="77777777">
        <w:trPr>
          <w:cantSplit/>
        </w:trPr>
        <w:tc>
          <w:tcPr>
            <w:tcW w:w="2800" w:type="dxa"/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50A22A" w14:textId="77777777" w:rsidR="0002435E" w:rsidRDefault="008866A7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Dotyczy</w:t>
            </w:r>
          </w:p>
        </w:tc>
        <w:tc>
          <w:tcPr>
            <w:tcW w:w="6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69D6F0" w14:textId="77777777" w:rsidR="0002435E" w:rsidRDefault="008866A7">
            <w:pPr>
              <w:spacing w:after="40"/>
            </w:pPr>
            <w:r>
              <w:rPr>
                <w:sz w:val="19"/>
                <w:szCs w:val="19"/>
              </w:rPr>
              <w:t>Załącznik nr 1 do ogłoszenia – Opis przedmiotu szacowania, wersja 1.0</w:t>
            </w:r>
          </w:p>
        </w:tc>
      </w:tr>
      <w:tr w:rsidR="0002435E" w14:paraId="682D1E55" w14:textId="77777777">
        <w:trPr>
          <w:cantSplit/>
        </w:trPr>
        <w:tc>
          <w:tcPr>
            <w:tcW w:w="2800" w:type="dxa"/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9CA57F" w14:textId="77777777" w:rsidR="0002435E" w:rsidRDefault="008866A7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Data</w:t>
            </w:r>
          </w:p>
        </w:tc>
        <w:tc>
          <w:tcPr>
            <w:tcW w:w="6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85B994" w14:textId="7B1EC299" w:rsidR="0002435E" w:rsidRDefault="008866A7">
            <w:pPr>
              <w:spacing w:after="40"/>
            </w:pPr>
            <w:r>
              <w:rPr>
                <w:sz w:val="19"/>
                <w:szCs w:val="19"/>
              </w:rPr>
              <w:t>2</w:t>
            </w:r>
            <w:r>
              <w:rPr>
                <w:sz w:val="19"/>
                <w:szCs w:val="19"/>
              </w:rPr>
              <w:t xml:space="preserve"> października 2026 r.</w:t>
            </w:r>
          </w:p>
        </w:tc>
      </w:tr>
    </w:tbl>
    <w:p w14:paraId="25F18C3B" w14:textId="77777777" w:rsidR="0002435E" w:rsidRDefault="0002435E">
      <w:pPr>
        <w:spacing w:after="120"/>
        <w:jc w:val="both"/>
      </w:pPr>
    </w:p>
    <w:p w14:paraId="3E9D75BF" w14:textId="77777777" w:rsidR="0002435E" w:rsidRDefault="008866A7">
      <w:pPr>
        <w:spacing w:after="120" w:line="276" w:lineRule="auto"/>
        <w:jc w:val="both"/>
      </w:pPr>
      <w:r>
        <w:t xml:space="preserve">Generalna Dyrekcja Ochrony Środowiska, w </w:t>
      </w:r>
      <w:r>
        <w:t>związku z pytaniami, które wpłynęły w toku szacowania wartości zamówienia, przekazuje poniżej ich treść wraz z wyjaśnieniami.</w:t>
      </w:r>
    </w:p>
    <w:p w14:paraId="39BAF0B6" w14:textId="77777777" w:rsidR="0002435E" w:rsidRDefault="008866A7">
      <w:pPr>
        <w:keepNext/>
        <w:pBdr>
          <w:bottom w:val="single" w:sz="6" w:space="2" w:color="1F3864"/>
        </w:pBdr>
        <w:spacing w:before="280" w:after="120"/>
      </w:pPr>
      <w:r>
        <w:rPr>
          <w:b/>
          <w:bCs/>
          <w:color w:val="1F3864"/>
          <w:sz w:val="26"/>
          <w:szCs w:val="26"/>
        </w:rPr>
        <w:t>Uwaga ogólna</w:t>
      </w:r>
    </w:p>
    <w:p w14:paraId="53B1452A" w14:textId="77777777" w:rsidR="0002435E" w:rsidRDefault="008866A7">
      <w:pPr>
        <w:spacing w:after="120" w:line="276" w:lineRule="auto"/>
        <w:jc w:val="both"/>
      </w:pPr>
      <w:r>
        <w:t>Postępowanie ma charakter szacowania wartości zamówienia. Opis przedmiotu szacowania nie jest opisem przedmiotu zamów</w:t>
      </w:r>
      <w:r>
        <w:t>ienia w rozumieniu art. 99 ustawy Prawo zamówień publicznych i nie określa warunków udziału ani wymagań podmiotowych.</w:t>
      </w:r>
    </w:p>
    <w:p w14:paraId="52B74E4C" w14:textId="77777777" w:rsidR="0002435E" w:rsidRDefault="008866A7">
      <w:pPr>
        <w:spacing w:after="120" w:line="276" w:lineRule="auto"/>
        <w:jc w:val="both"/>
      </w:pPr>
      <w:r>
        <w:t>Zdanie otwierające rozdział 7 („Wymagane będzie zapewnienie zgodności przez Wykonawcę z wskazanymi niżej przepisami, regulacjami i standar</w:t>
      </w:r>
      <w:r>
        <w:t>dami”) zapowiada kierunek wymagań. Nie oznacza obowiązku posiadania certyfikatu zgodności z każdym standardem wymienionym w pkt 7.2. Standardy te są punktem odniesienia dla oczekiwanego poziomu zabezpieczeń, a dowody wymienione w pkt 7.3 mają charakter prz</w:t>
      </w:r>
      <w:r>
        <w:t>ykładowy.</w:t>
      </w:r>
    </w:p>
    <w:p w14:paraId="5D43A4FB" w14:textId="77777777" w:rsidR="0002435E" w:rsidRDefault="008866A7">
      <w:pPr>
        <w:spacing w:after="120" w:line="276" w:lineRule="auto"/>
        <w:jc w:val="both"/>
      </w:pPr>
      <w:r>
        <w:t>Zgodnie z Załącznikiem nr 2 do Formularza szacowania („Uwagi Wykonawcy do założeń architektonicznych”) Zamawiający zaprosił Wykonawców do wskazania zapisów, które mogłyby ograniczać konkurencję. Uwagi zgłoszone w pytaniu 3 zostaną przeanalizowane</w:t>
      </w:r>
      <w:r>
        <w:t xml:space="preserve"> w tym trybie przy opracowaniu dokumentacji postępowania.</w:t>
      </w:r>
    </w:p>
    <w:p w14:paraId="071D1631" w14:textId="77777777" w:rsidR="0002435E" w:rsidRDefault="008866A7">
      <w:pPr>
        <w:spacing w:after="120" w:line="276" w:lineRule="auto"/>
        <w:jc w:val="both"/>
      </w:pPr>
      <w:r>
        <w:t>Poniższe wyjaśnienia doprecyzowują treść Opisu przedmiotu szacowania i prosimy o ich uwzględnienie przy wypełnianiu Formularza szacowania.</w:t>
      </w:r>
    </w:p>
    <w:p w14:paraId="01E90396" w14:textId="77777777" w:rsidR="0002435E" w:rsidRDefault="008866A7">
      <w:pPr>
        <w:keepNext/>
        <w:pBdr>
          <w:bottom w:val="single" w:sz="6" w:space="2" w:color="1F3864"/>
        </w:pBdr>
        <w:spacing w:before="280" w:after="120"/>
      </w:pPr>
      <w:r>
        <w:rPr>
          <w:b/>
          <w:bCs/>
          <w:color w:val="1F3864"/>
          <w:sz w:val="26"/>
          <w:szCs w:val="26"/>
        </w:rPr>
        <w:t>Pytanie 1</w:t>
      </w:r>
    </w:p>
    <w:p w14:paraId="633B444B" w14:textId="77777777" w:rsidR="0002435E" w:rsidRDefault="008866A7">
      <w:pPr>
        <w:keepNext/>
        <w:spacing w:before="120" w:after="80"/>
      </w:pPr>
      <w:r>
        <w:rPr>
          <w:b/>
          <w:bCs/>
          <w:color w:val="1F3864"/>
        </w:rPr>
        <w:t>Treść pytania (pkt 7.3 Weryfikacja dostawcy):</w:t>
      </w:r>
    </w:p>
    <w:p w14:paraId="73B7D0EE" w14:textId="77777777" w:rsidR="0002435E" w:rsidRDefault="008866A7">
      <w:pPr>
        <w:pBdr>
          <w:left w:val="single" w:sz="12" w:space="8" w:color="DCE6F1"/>
        </w:pBdr>
        <w:spacing w:after="80" w:line="276" w:lineRule="auto"/>
        <w:ind w:left="284"/>
        <w:jc w:val="both"/>
      </w:pPr>
      <w:r>
        <w:rPr>
          <w:i/>
          <w:iCs/>
          <w:color w:val="404040"/>
          <w:sz w:val="20"/>
          <w:szCs w:val="20"/>
        </w:rPr>
        <w:t>Z u</w:t>
      </w:r>
      <w:r>
        <w:rPr>
          <w:i/>
          <w:iCs/>
          <w:color w:val="404040"/>
          <w:sz w:val="20"/>
          <w:szCs w:val="20"/>
        </w:rPr>
        <w:t xml:space="preserve">wagi na to, że bezpośrednim odpowiednikiem używanego głównie w USA standardu SOC 2 </w:t>
      </w:r>
      <w:proofErr w:type="spellStart"/>
      <w:r>
        <w:rPr>
          <w:i/>
          <w:iCs/>
          <w:color w:val="404040"/>
          <w:sz w:val="20"/>
          <w:szCs w:val="20"/>
        </w:rPr>
        <w:t>Type</w:t>
      </w:r>
      <w:proofErr w:type="spellEnd"/>
      <w:r>
        <w:rPr>
          <w:i/>
          <w:iCs/>
          <w:color w:val="404040"/>
          <w:sz w:val="20"/>
          <w:szCs w:val="20"/>
        </w:rPr>
        <w:t xml:space="preserve"> II jest powszechnie stosowany w Europie ISO/IEC 27001 i 27002 prosimy o odpowiedź, czy Zamawiający uzna równoważność SOC 2 </w:t>
      </w:r>
      <w:proofErr w:type="spellStart"/>
      <w:r>
        <w:rPr>
          <w:i/>
          <w:iCs/>
          <w:color w:val="404040"/>
          <w:sz w:val="20"/>
          <w:szCs w:val="20"/>
        </w:rPr>
        <w:t>Type</w:t>
      </w:r>
      <w:proofErr w:type="spellEnd"/>
      <w:r>
        <w:rPr>
          <w:i/>
          <w:iCs/>
          <w:color w:val="404040"/>
          <w:sz w:val="20"/>
          <w:szCs w:val="20"/>
        </w:rPr>
        <w:t xml:space="preserve"> II z normą ISO/IEC 27001/27002 (w zakres</w:t>
      </w:r>
      <w:r>
        <w:rPr>
          <w:i/>
          <w:iCs/>
          <w:color w:val="404040"/>
          <w:sz w:val="20"/>
          <w:szCs w:val="20"/>
        </w:rPr>
        <w:t>ie Systemu Zarządzania Bezpieczeństwem Informacji – SZBI)? Czy przedstawienie certyfikatu ISO 27001 wraz z Deklaracją Stosowania będzie wystarczające dla Zamawiającego?</w:t>
      </w:r>
    </w:p>
    <w:p w14:paraId="6DD72994" w14:textId="77777777" w:rsidR="0002435E" w:rsidRDefault="008866A7">
      <w:pPr>
        <w:keepNext/>
        <w:spacing w:before="120" w:after="80"/>
      </w:pPr>
      <w:r>
        <w:rPr>
          <w:b/>
          <w:bCs/>
          <w:color w:val="1F3864"/>
        </w:rPr>
        <w:t>Odpowiedź:</w:t>
      </w:r>
    </w:p>
    <w:p w14:paraId="7262FAFD" w14:textId="77777777" w:rsidR="0002435E" w:rsidRDefault="008866A7">
      <w:pPr>
        <w:spacing w:after="120" w:line="276" w:lineRule="auto"/>
        <w:jc w:val="both"/>
      </w:pPr>
      <w:r>
        <w:t xml:space="preserve">Raport SOC 2 </w:t>
      </w:r>
      <w:proofErr w:type="spellStart"/>
      <w:r>
        <w:t>Type</w:t>
      </w:r>
      <w:proofErr w:type="spellEnd"/>
      <w:r>
        <w:t xml:space="preserve"> II i certyfikat ISO/IEC 27001 to różne dokumenty. Raport S</w:t>
      </w:r>
      <w:r>
        <w:t xml:space="preserve">OC 2 </w:t>
      </w:r>
      <w:proofErr w:type="spellStart"/>
      <w:r>
        <w:t>Type</w:t>
      </w:r>
      <w:proofErr w:type="spellEnd"/>
      <w:r>
        <w:t xml:space="preserve"> II to atestacja według AICPA Trust Services </w:t>
      </w:r>
      <w:proofErr w:type="spellStart"/>
      <w:r>
        <w:t>Criteria</w:t>
      </w:r>
      <w:proofErr w:type="spellEnd"/>
      <w:r>
        <w:t xml:space="preserve"> i dotyczy skuteczności działania kontroli w badanym okresie. </w:t>
      </w:r>
      <w:r>
        <w:lastRenderedPageBreak/>
        <w:t>Certyfikat ISO/IEC 27001 potwierdza zgodność systemu zarządzania bezpieczeństwem informacji z normą.</w:t>
      </w:r>
    </w:p>
    <w:p w14:paraId="5A43AF39" w14:textId="77777777" w:rsidR="0002435E" w:rsidRDefault="008866A7">
      <w:pPr>
        <w:spacing w:after="120" w:line="276" w:lineRule="auto"/>
        <w:jc w:val="both"/>
      </w:pPr>
      <w:r>
        <w:t>Zamawiający uzna za wystarczają</w:t>
      </w:r>
      <w:r>
        <w:t>ce przedstawienie ważnego certyfikatu ISO/IEC 27001 wraz z Deklaracją Stosowania (</w:t>
      </w:r>
      <w:proofErr w:type="spellStart"/>
      <w:r>
        <w:t>SoA</w:t>
      </w:r>
      <w:proofErr w:type="spellEnd"/>
      <w:r>
        <w:t>), jeżeli spełnione są łącznie następujące warunki:</w:t>
      </w:r>
    </w:p>
    <w:p w14:paraId="71A60C86" w14:textId="77777777" w:rsidR="0002435E" w:rsidRDefault="008866A7">
      <w:pPr>
        <w:tabs>
          <w:tab w:val="left" w:pos="567"/>
        </w:tabs>
        <w:spacing w:after="80" w:line="276" w:lineRule="auto"/>
        <w:ind w:left="567" w:hanging="340"/>
        <w:jc w:val="both"/>
      </w:pPr>
      <w:r>
        <w:t>a)</w:t>
      </w:r>
      <w:r>
        <w:tab/>
        <w:t>certyfikat wydała jednostka certyfikująca akredytowana przez krajową jednostkę akredytującą będącą sygnatariuszem po</w:t>
      </w:r>
      <w:r>
        <w:t>rozumień EA MLA / IAF MLA (np. PCA);</w:t>
      </w:r>
    </w:p>
    <w:p w14:paraId="0A3B6353" w14:textId="77777777" w:rsidR="0002435E" w:rsidRDefault="008866A7">
      <w:pPr>
        <w:tabs>
          <w:tab w:val="left" w:pos="567"/>
        </w:tabs>
        <w:spacing w:after="80" w:line="276" w:lineRule="auto"/>
        <w:ind w:left="567" w:hanging="340"/>
        <w:jc w:val="both"/>
      </w:pPr>
      <w:r>
        <w:t>b)</w:t>
      </w:r>
      <w:r>
        <w:tab/>
        <w:t>zakres certyfikacji obejmuje usługi chmurowe oraz ośrodki przetwarzania danych wykorzystywane do realizacji zamówienia;</w:t>
      </w:r>
    </w:p>
    <w:p w14:paraId="235E1755" w14:textId="77777777" w:rsidR="0002435E" w:rsidRDefault="008866A7">
      <w:pPr>
        <w:tabs>
          <w:tab w:val="left" w:pos="567"/>
        </w:tabs>
        <w:spacing w:after="80" w:line="276" w:lineRule="auto"/>
        <w:ind w:left="567" w:hanging="340"/>
        <w:jc w:val="both"/>
      </w:pPr>
      <w:r>
        <w:t>c)</w:t>
      </w:r>
      <w:r>
        <w:tab/>
        <w:t xml:space="preserve">Deklaracja Stosowania odnosi się do zabezpieczeń według ISO/IEC 27002:2022 i nie wyłącza bez </w:t>
      </w:r>
      <w:r>
        <w:t>uzasadnienia zabezpieczeń istotnych dla świadczenia usług chmurowych.</w:t>
      </w:r>
    </w:p>
    <w:p w14:paraId="6BB1E9D9" w14:textId="77777777" w:rsidR="0002435E" w:rsidRDefault="008866A7">
      <w:pPr>
        <w:spacing w:after="120" w:line="276" w:lineRule="auto"/>
        <w:jc w:val="both"/>
      </w:pPr>
      <w:r>
        <w:t xml:space="preserve">W takim przypadku przedstawienie raportu SOC 2 </w:t>
      </w:r>
      <w:proofErr w:type="spellStart"/>
      <w:r>
        <w:t>Type</w:t>
      </w:r>
      <w:proofErr w:type="spellEnd"/>
      <w:r>
        <w:t xml:space="preserve"> II nie jest wymagane. Zamawiający dopuszcza go jako dokument uzupełniający. Raport SOC 2 </w:t>
      </w:r>
      <w:proofErr w:type="spellStart"/>
      <w:r>
        <w:t>Type</w:t>
      </w:r>
      <w:proofErr w:type="spellEnd"/>
      <w:r>
        <w:t xml:space="preserve"> II może również zostać uznany za dokumen</w:t>
      </w:r>
      <w:r>
        <w:t>t równoważny certyfikatowi ISO/IEC 27001, jeżeli spełnia kryteria wskazane w odpowiedzi na pytanie 3 pkt 4.</w:t>
      </w:r>
    </w:p>
    <w:p w14:paraId="23651F19" w14:textId="77777777" w:rsidR="0002435E" w:rsidRDefault="008866A7">
      <w:pPr>
        <w:spacing w:after="120" w:line="276" w:lineRule="auto"/>
        <w:jc w:val="both"/>
      </w:pPr>
      <w:r>
        <w:t>Prosimy o wskazanie posiadanych dokumentów, ich zakresu i okresu w odpowiedzi na pytanie P10 Formularza szacowania.</w:t>
      </w:r>
    </w:p>
    <w:p w14:paraId="7966BFE5" w14:textId="77777777" w:rsidR="0002435E" w:rsidRDefault="008866A7">
      <w:pPr>
        <w:keepNext/>
        <w:pBdr>
          <w:bottom w:val="single" w:sz="6" w:space="2" w:color="1F3864"/>
        </w:pBdr>
        <w:spacing w:before="280" w:after="120"/>
      </w:pPr>
      <w:r>
        <w:rPr>
          <w:b/>
          <w:bCs/>
          <w:color w:val="1F3864"/>
          <w:sz w:val="26"/>
          <w:szCs w:val="26"/>
        </w:rPr>
        <w:t>Pytanie 2</w:t>
      </w:r>
    </w:p>
    <w:p w14:paraId="75DCAEC5" w14:textId="77777777" w:rsidR="0002435E" w:rsidRDefault="008866A7">
      <w:pPr>
        <w:keepNext/>
        <w:spacing w:before="120" w:after="80"/>
      </w:pPr>
      <w:r>
        <w:rPr>
          <w:b/>
          <w:bCs/>
          <w:color w:val="1F3864"/>
        </w:rPr>
        <w:t>Treść pytania (pkt 7.3</w:t>
      </w:r>
      <w:r>
        <w:rPr>
          <w:b/>
          <w:bCs/>
          <w:color w:val="1F3864"/>
        </w:rPr>
        <w:t xml:space="preserve"> Weryfikacja dostawcy):</w:t>
      </w:r>
    </w:p>
    <w:p w14:paraId="2E29C210" w14:textId="77777777" w:rsidR="0002435E" w:rsidRDefault="008866A7">
      <w:pPr>
        <w:pBdr>
          <w:left w:val="single" w:sz="12" w:space="8" w:color="DCE6F1"/>
        </w:pBdr>
        <w:spacing w:after="80" w:line="276" w:lineRule="auto"/>
        <w:ind w:left="284"/>
        <w:jc w:val="both"/>
      </w:pPr>
      <w:r>
        <w:rPr>
          <w:i/>
          <w:iCs/>
          <w:color w:val="404040"/>
          <w:sz w:val="20"/>
          <w:szCs w:val="20"/>
        </w:rPr>
        <w:t xml:space="preserve">Czy w przypadku, kiedy oferent ma lokalizacje wyłącznie na terenie Polski i nie jest </w:t>
      </w:r>
      <w:proofErr w:type="spellStart"/>
      <w:r>
        <w:rPr>
          <w:i/>
          <w:iCs/>
          <w:color w:val="404040"/>
          <w:sz w:val="20"/>
          <w:szCs w:val="20"/>
        </w:rPr>
        <w:t>hiperskalerem</w:t>
      </w:r>
      <w:proofErr w:type="spellEnd"/>
      <w:r>
        <w:rPr>
          <w:i/>
          <w:iCs/>
          <w:color w:val="404040"/>
          <w:sz w:val="20"/>
          <w:szCs w:val="20"/>
        </w:rPr>
        <w:t>, to wymagana jest atestacja BSI C5 (</w:t>
      </w:r>
      <w:proofErr w:type="spellStart"/>
      <w:r>
        <w:rPr>
          <w:i/>
          <w:iCs/>
          <w:color w:val="404040"/>
          <w:sz w:val="20"/>
          <w:szCs w:val="20"/>
        </w:rPr>
        <w:t>Cloud</w:t>
      </w:r>
      <w:proofErr w:type="spellEnd"/>
      <w:r>
        <w:rPr>
          <w:i/>
          <w:iCs/>
          <w:color w:val="404040"/>
          <w:sz w:val="20"/>
          <w:szCs w:val="20"/>
        </w:rPr>
        <w:t xml:space="preserve"> Computing </w:t>
      </w:r>
      <w:proofErr w:type="spellStart"/>
      <w:r>
        <w:rPr>
          <w:i/>
          <w:iCs/>
          <w:color w:val="404040"/>
          <w:sz w:val="20"/>
          <w:szCs w:val="20"/>
        </w:rPr>
        <w:t>Compliance</w:t>
      </w:r>
      <w:proofErr w:type="spellEnd"/>
      <w:r>
        <w:rPr>
          <w:i/>
          <w:iCs/>
          <w:color w:val="404040"/>
          <w:sz w:val="20"/>
          <w:szCs w:val="20"/>
        </w:rPr>
        <w:t xml:space="preserve"> </w:t>
      </w:r>
      <w:proofErr w:type="spellStart"/>
      <w:r>
        <w:rPr>
          <w:i/>
          <w:iCs/>
          <w:color w:val="404040"/>
          <w:sz w:val="20"/>
          <w:szCs w:val="20"/>
        </w:rPr>
        <w:t>Criteria</w:t>
      </w:r>
      <w:proofErr w:type="spellEnd"/>
      <w:r>
        <w:rPr>
          <w:i/>
          <w:iCs/>
          <w:color w:val="404040"/>
          <w:sz w:val="20"/>
          <w:szCs w:val="20"/>
        </w:rPr>
        <w:t xml:space="preserve"> </w:t>
      </w:r>
      <w:proofErr w:type="spellStart"/>
      <w:r>
        <w:rPr>
          <w:i/>
          <w:iCs/>
          <w:color w:val="404040"/>
          <w:sz w:val="20"/>
          <w:szCs w:val="20"/>
        </w:rPr>
        <w:t>Catalogue</w:t>
      </w:r>
      <w:proofErr w:type="spellEnd"/>
      <w:r>
        <w:rPr>
          <w:i/>
          <w:iCs/>
          <w:color w:val="404040"/>
          <w:sz w:val="20"/>
          <w:szCs w:val="20"/>
        </w:rPr>
        <w:t>)?</w:t>
      </w:r>
    </w:p>
    <w:p w14:paraId="1306BB74" w14:textId="77777777" w:rsidR="0002435E" w:rsidRDefault="008866A7">
      <w:pPr>
        <w:keepNext/>
        <w:spacing w:before="120" w:after="80"/>
      </w:pPr>
      <w:r>
        <w:rPr>
          <w:b/>
          <w:bCs/>
          <w:color w:val="1F3864"/>
        </w:rPr>
        <w:t>Odpowiedź:</w:t>
      </w:r>
    </w:p>
    <w:p w14:paraId="04520A3D" w14:textId="77777777" w:rsidR="0002435E" w:rsidRDefault="008866A7">
      <w:pPr>
        <w:spacing w:after="120" w:line="276" w:lineRule="auto"/>
        <w:jc w:val="both"/>
      </w:pPr>
      <w:r>
        <w:t xml:space="preserve">Atestacja BSI C5 nie jest wymagana. </w:t>
      </w:r>
      <w:r>
        <w:t>Jest to niemiecki katalog kryteriów, który nie wynika z przepisów obowiązujących Zamawiającego.</w:t>
      </w:r>
    </w:p>
    <w:p w14:paraId="5A5F895F" w14:textId="77777777" w:rsidR="0002435E" w:rsidRDefault="008866A7">
      <w:pPr>
        <w:spacing w:after="120" w:line="276" w:lineRule="auto"/>
        <w:jc w:val="both"/>
      </w:pPr>
      <w:r>
        <w:t>Wystarczające jest wykazanie bezpieczeństwa usługi na warunkach wskazanych w odpowiedzi na pytanie 1. Uwzględnienie w zakresie certyfikacji ISO/IEC 27017 (a w z</w:t>
      </w:r>
      <w:r>
        <w:t xml:space="preserve">akresie danych osobowych – ISO/IEC 27018) Zamawiający uzna za potwierdzenie spełnienia wymagań właściwych dla usług chmurowych. Okoliczność, że Wykonawca posiada ośrodki przetwarzania wyłącznie na terytorium RP i nie jest </w:t>
      </w:r>
      <w:proofErr w:type="spellStart"/>
      <w:r>
        <w:t>hiperskalerem</w:t>
      </w:r>
      <w:proofErr w:type="spellEnd"/>
      <w:r>
        <w:t>, nie stanowi przeszk</w:t>
      </w:r>
      <w:r>
        <w:t>ody do złożenia oferty.</w:t>
      </w:r>
    </w:p>
    <w:p w14:paraId="1E25D8BB" w14:textId="77777777" w:rsidR="0002435E" w:rsidRDefault="008866A7">
      <w:pPr>
        <w:spacing w:after="120" w:line="276" w:lineRule="auto"/>
        <w:jc w:val="both"/>
      </w:pPr>
      <w:r>
        <w:t>Prosimy o wskazanie posiadanych dokumentów, ich zakresu i okresu w odpowiedzi na pytanie P10 Formularza szacowania.</w:t>
      </w:r>
    </w:p>
    <w:p w14:paraId="2CF841E5" w14:textId="77777777" w:rsidR="0002435E" w:rsidRDefault="008866A7">
      <w:pPr>
        <w:keepNext/>
        <w:pBdr>
          <w:bottom w:val="single" w:sz="6" w:space="2" w:color="1F3864"/>
        </w:pBdr>
        <w:spacing w:before="280" w:after="120"/>
      </w:pPr>
      <w:r>
        <w:rPr>
          <w:b/>
          <w:bCs/>
          <w:color w:val="1F3864"/>
          <w:sz w:val="26"/>
          <w:szCs w:val="26"/>
        </w:rPr>
        <w:t>Pytanie 3</w:t>
      </w:r>
    </w:p>
    <w:p w14:paraId="4B04BE5D" w14:textId="77777777" w:rsidR="0002435E" w:rsidRDefault="008866A7">
      <w:pPr>
        <w:keepNext/>
        <w:spacing w:before="120" w:after="80"/>
      </w:pPr>
      <w:r>
        <w:rPr>
          <w:b/>
          <w:bCs/>
          <w:color w:val="1F3864"/>
        </w:rPr>
        <w:t>Treść pytania (podstawa i proporcjonalność wymagań z pkt 7.2):</w:t>
      </w:r>
    </w:p>
    <w:p w14:paraId="1007DD44" w14:textId="77777777" w:rsidR="0002435E" w:rsidRDefault="008866A7">
      <w:pPr>
        <w:pBdr>
          <w:left w:val="single" w:sz="12" w:space="8" w:color="DCE6F1"/>
        </w:pBdr>
        <w:spacing w:after="80" w:line="276" w:lineRule="auto"/>
        <w:ind w:left="284"/>
        <w:jc w:val="both"/>
      </w:pPr>
      <w:r>
        <w:rPr>
          <w:i/>
          <w:iCs/>
          <w:color w:val="404040"/>
          <w:sz w:val="20"/>
          <w:szCs w:val="20"/>
        </w:rPr>
        <w:t>W odniesieniu do wymagań zawartych w dokume</w:t>
      </w:r>
      <w:r>
        <w:rPr>
          <w:i/>
          <w:iCs/>
          <w:color w:val="404040"/>
          <w:sz w:val="20"/>
          <w:szCs w:val="20"/>
        </w:rPr>
        <w:t>ntacji postępowania dotyczącego „Dostawy, wdrożenia i utrzymania usług chmurowych”, prosimy o wyjaśnienie podstawy merytorycznej oraz uzasadnienie proporcjonalności obowiązku stosowania następujących standardów: ISO/IEC 27001 i ISO/IEC 27002, ISO/IEC 19086</w:t>
      </w:r>
      <w:r>
        <w:rPr>
          <w:i/>
          <w:iCs/>
          <w:color w:val="404040"/>
          <w:sz w:val="20"/>
          <w:szCs w:val="20"/>
        </w:rPr>
        <w:t>, ISO 22301, Standardów Cyberbezpieczeństwa Chmur Obliczeniowych SCCO v. 2.00. W ocenie Wykonawcy standardami bezpośrednio odpowiadającymi zakresowi usług chmurowych będących przedmiotem zamówienia są przede wszystkim ISO/IEC 27017 oraz ISO/IEC 27018. […]</w:t>
      </w:r>
    </w:p>
    <w:p w14:paraId="18C02743" w14:textId="77777777" w:rsidR="0002435E" w:rsidRDefault="008866A7">
      <w:pPr>
        <w:pBdr>
          <w:left w:val="single" w:sz="12" w:space="8" w:color="DCE6F1"/>
        </w:pBdr>
        <w:spacing w:after="80" w:line="276" w:lineRule="auto"/>
        <w:ind w:left="284"/>
        <w:jc w:val="both"/>
      </w:pPr>
      <w:r>
        <w:rPr>
          <w:i/>
          <w:iCs/>
          <w:color w:val="404040"/>
          <w:sz w:val="20"/>
          <w:szCs w:val="20"/>
        </w:rPr>
        <w:lastRenderedPageBreak/>
        <w:t>Czy Zamawiający wyrazi zgodę na zmianę dokumentacji postępowania poprzez uznanie ISO/IEC 27017 oraz ISO/IEC 27018 za standardy wystarczające i bezpośrednio odpowiadające zakresowi dostawy, wdrożenia i utrzymania usług chmurowych oraz odstąpi od obligatoryj</w:t>
      </w:r>
      <w:r>
        <w:rPr>
          <w:i/>
          <w:iCs/>
          <w:color w:val="404040"/>
          <w:sz w:val="20"/>
          <w:szCs w:val="20"/>
        </w:rPr>
        <w:t>nego wymagania ISO/IEC 27001, ISO/IEC 27002, ISO/IEC 19086, ISO 22301 i SCCO v. 2.00? W przypadku braku zgody prosimy o: 1) wskazanie konkretnych postanowień każdego z wymienionych standardów, które są niezbędne do prawidłowej realizacji przedmiotu zamówie</w:t>
      </w:r>
      <w:r>
        <w:rPr>
          <w:i/>
          <w:iCs/>
          <w:color w:val="404040"/>
          <w:sz w:val="20"/>
          <w:szCs w:val="20"/>
        </w:rPr>
        <w:t>nia; 2) wykazanie związku każdego wymagania z przedmiotem zamówienia oraz jego proporcjonalności do wartości i celu zamówienia; 3) określenie dokumentów, za pomocą których wykonawca ma potwierdzić spełnienie poszczególnych wymagań; 4) potwierdzenie, że Zam</w:t>
      </w:r>
      <w:r>
        <w:rPr>
          <w:i/>
          <w:iCs/>
          <w:color w:val="404040"/>
          <w:sz w:val="20"/>
          <w:szCs w:val="20"/>
        </w:rPr>
        <w:t>awiający dopuszcza rozwiązania równoważne, zgodnie z art. 101 ust. 4 PZP; 5) wskazanie jednoznacznych i mierzalnych kryteriów oceny równoważności.</w:t>
      </w:r>
    </w:p>
    <w:p w14:paraId="1EAEF99A" w14:textId="77777777" w:rsidR="0002435E" w:rsidRDefault="008866A7">
      <w:pPr>
        <w:keepNext/>
        <w:spacing w:before="120" w:after="80"/>
      </w:pPr>
      <w:r>
        <w:rPr>
          <w:b/>
          <w:bCs/>
          <w:color w:val="1F3864"/>
        </w:rPr>
        <w:t>Odpowiedź:</w:t>
      </w:r>
    </w:p>
    <w:p w14:paraId="39AA4EA1" w14:textId="77777777" w:rsidR="0002435E" w:rsidRDefault="008866A7">
      <w:pPr>
        <w:keepNext/>
        <w:spacing w:before="160" w:after="80"/>
      </w:pPr>
      <w:r>
        <w:rPr>
          <w:b/>
          <w:bCs/>
        </w:rPr>
        <w:t>1. Podstawa merytoryczna</w:t>
      </w:r>
    </w:p>
    <w:p w14:paraId="55974D7B" w14:textId="77777777" w:rsidR="0002435E" w:rsidRDefault="008866A7">
      <w:pPr>
        <w:spacing w:after="120" w:line="276" w:lineRule="auto"/>
        <w:jc w:val="both"/>
      </w:pPr>
      <w:r>
        <w:t>Wymagania wynikają z następujących źródeł:</w:t>
      </w:r>
    </w:p>
    <w:p w14:paraId="28843D1B" w14:textId="77777777" w:rsidR="0002435E" w:rsidRDefault="008866A7">
      <w:pPr>
        <w:tabs>
          <w:tab w:val="left" w:pos="567"/>
        </w:tabs>
        <w:spacing w:after="80" w:line="276" w:lineRule="auto"/>
        <w:ind w:left="567" w:hanging="340"/>
        <w:jc w:val="both"/>
      </w:pPr>
      <w:r>
        <w:t>a)</w:t>
      </w:r>
      <w:r>
        <w:tab/>
      </w:r>
      <w:r>
        <w:t>Ustawa z dnia 5 lipca 2018 r. o krajowym systemie cyberbezpieczeństwa, w brzmieniu obowiązującym od 3 kwietnia 2026 r., wdrażająca dyrektywę (UE) 2022/2555 (NIS2), nakłada obowiązek zarządzania ryzykiem, w tym bezpieczeństwem łańcucha dostaw oraz ciągłości</w:t>
      </w:r>
      <w:r>
        <w:t>ą działania (por. art. 21 ust. 2 lit. c i d dyrektywy). Dostawca usług chmurowych stanowi kluczowe ogniwo tego łańcucha.</w:t>
      </w:r>
    </w:p>
    <w:p w14:paraId="7847B80B" w14:textId="77777777" w:rsidR="0034531E" w:rsidRDefault="008866A7" w:rsidP="0034531E">
      <w:pPr>
        <w:tabs>
          <w:tab w:val="left" w:pos="567"/>
        </w:tabs>
        <w:spacing w:after="80" w:line="276" w:lineRule="auto"/>
        <w:ind w:left="567" w:hanging="340"/>
        <w:jc w:val="both"/>
      </w:pPr>
      <w:r>
        <w:t>b)</w:t>
      </w:r>
      <w:r>
        <w:tab/>
      </w:r>
      <w:r w:rsidR="0034531E" w:rsidRPr="0034531E">
        <w:t>Rozporządzenie Rady Ministrów z dnia 21 maja 2024 r. w sprawie Krajowych Ram Interoperacyjności, minimalnych wymagań dla rejestrów publicznych i wymiany informacji w postaci elektronicznej oraz minimalnych wymagań dla systemów teleinformatycznych (Dz.U. z 2024 r. poz. 773), zwane dalej „rozporządzeniem KRI”, w § 19 ust. 1 nakłada na podmiot realizujący zadania publiczne obowiązek opracowania i ustanowienia, wdrożenia i eksploatowania, monitorowania i przeglądania oraz utrzymywania i doskonalenia systemu zarządzania bezpieczeństwem informacji (SZBI), zapewniającego poufność, dostępność i integralność informacji z uwzględnieniem takich atrybutów, jak autentyczność, rozliczalność, niezaprzeczalność i niezawodność.</w:t>
      </w:r>
      <w:r w:rsidR="0034531E">
        <w:t xml:space="preserve"> </w:t>
      </w:r>
      <w:r w:rsidR="0034531E" w:rsidRPr="0034531E">
        <w:t>Stosownie do § 19 ust. 3 rozporządzenia KRI wymagania, o których mowa w § 19 ust. 1 i 2, uznaje się za spełnione, jeżeli system zarządzania bezpieczeństwem informacji został opracowany na podstawie Polskiej Normy PN-ISO/IEC 27001, a ustanawianie zabezpieczeń, zarządzanie ryzykiem oraz zarządzanie ciągłością działania są realizowane z uwzględnieniem Polskich Norm PN-ISO/IEC 27002, PN-ISO/IEC 27005 oraz PN-ISO/IEC 22301.</w:t>
      </w:r>
    </w:p>
    <w:p w14:paraId="03ABD7A4" w14:textId="726C83D1" w:rsidR="0034531E" w:rsidRPr="0034531E" w:rsidRDefault="0034531E" w:rsidP="0034531E">
      <w:pPr>
        <w:tabs>
          <w:tab w:val="left" w:pos="567"/>
        </w:tabs>
        <w:spacing w:after="80" w:line="276" w:lineRule="auto"/>
        <w:ind w:left="567" w:hanging="340"/>
        <w:jc w:val="both"/>
      </w:pPr>
      <w:r w:rsidRPr="0034531E">
        <w:t xml:space="preserve">W związku z powyższym Wykonawca zobowiązany jest do realizacji przedmiotu zamówienia </w:t>
      </w:r>
      <w:r>
        <w:br/>
      </w:r>
      <w:r w:rsidRPr="0034531E">
        <w:t>w sposób zapewniający, że:</w:t>
      </w:r>
    </w:p>
    <w:p w14:paraId="727C7156" w14:textId="77777777" w:rsidR="0034531E" w:rsidRPr="0034531E" w:rsidRDefault="0034531E" w:rsidP="0034531E">
      <w:pPr>
        <w:numPr>
          <w:ilvl w:val="0"/>
          <w:numId w:val="4"/>
        </w:numPr>
        <w:tabs>
          <w:tab w:val="left" w:pos="567"/>
        </w:tabs>
        <w:spacing w:after="80" w:line="276" w:lineRule="auto"/>
        <w:jc w:val="both"/>
      </w:pPr>
      <w:r w:rsidRPr="0034531E">
        <w:t>podstawą opracowania SZBI jest norma PN-ISO/IEC 27001;</w:t>
      </w:r>
    </w:p>
    <w:p w14:paraId="2B14EA60" w14:textId="77777777" w:rsidR="0034531E" w:rsidRPr="0034531E" w:rsidRDefault="0034531E" w:rsidP="0034531E">
      <w:pPr>
        <w:numPr>
          <w:ilvl w:val="0"/>
          <w:numId w:val="4"/>
        </w:numPr>
        <w:tabs>
          <w:tab w:val="left" w:pos="567"/>
        </w:tabs>
        <w:spacing w:after="80" w:line="276" w:lineRule="auto"/>
        <w:jc w:val="both"/>
      </w:pPr>
      <w:r w:rsidRPr="0034531E">
        <w:t>dobór i ustanawianie zabezpieczeń realizowane są z uwzględnieniem normy PN-ISO/IEC 27002;</w:t>
      </w:r>
    </w:p>
    <w:p w14:paraId="5C7041B6" w14:textId="77777777" w:rsidR="0034531E" w:rsidRPr="0034531E" w:rsidRDefault="0034531E" w:rsidP="0034531E">
      <w:pPr>
        <w:numPr>
          <w:ilvl w:val="0"/>
          <w:numId w:val="4"/>
        </w:numPr>
        <w:tabs>
          <w:tab w:val="left" w:pos="567"/>
        </w:tabs>
        <w:spacing w:after="80" w:line="276" w:lineRule="auto"/>
        <w:jc w:val="both"/>
      </w:pPr>
      <w:r w:rsidRPr="0034531E">
        <w:t>szacowanie i postępowanie z ryzykiem realizowane są z uwzględnieniem normy PN-ISO/IEC 27005;</w:t>
      </w:r>
    </w:p>
    <w:p w14:paraId="5995BEFA" w14:textId="77777777" w:rsidR="0034531E" w:rsidRPr="0034531E" w:rsidRDefault="0034531E" w:rsidP="0034531E">
      <w:pPr>
        <w:numPr>
          <w:ilvl w:val="0"/>
          <w:numId w:val="4"/>
        </w:numPr>
        <w:tabs>
          <w:tab w:val="left" w:pos="567"/>
        </w:tabs>
        <w:spacing w:after="80" w:line="276" w:lineRule="auto"/>
        <w:jc w:val="both"/>
      </w:pPr>
      <w:r w:rsidRPr="0034531E">
        <w:t>zarządzanie ciągłością działania realizowane jest z uwzględnieniem normy PN-ISO/IEC 22301.</w:t>
      </w:r>
    </w:p>
    <w:p w14:paraId="7428EAFB" w14:textId="4809D2A6" w:rsidR="0002435E" w:rsidRDefault="0034531E" w:rsidP="0034531E">
      <w:pPr>
        <w:tabs>
          <w:tab w:val="left" w:pos="567"/>
        </w:tabs>
        <w:spacing w:after="80" w:line="276" w:lineRule="auto"/>
        <w:ind w:left="567" w:hanging="340"/>
        <w:jc w:val="both"/>
      </w:pPr>
      <w:r w:rsidRPr="0034531E">
        <w:t>Zamawiający dopuszcza stosowanie aktualnych wydań wskazanych norm, w tym ich odpowiedników wprowadzonych jako PN-EN ISO/IEC, a także rozwiązań równoważnych w rozumieniu art. 101 ust. 4 ustawy z dnia 11 września 2019 r. – Prawo zamówień publicznych, przy czym ciężar wykazania równoważności spoczywa na Wykonawcy.</w:t>
      </w:r>
    </w:p>
    <w:p w14:paraId="60CB8589" w14:textId="77777777" w:rsidR="0002435E" w:rsidRDefault="008866A7">
      <w:pPr>
        <w:tabs>
          <w:tab w:val="left" w:pos="567"/>
        </w:tabs>
        <w:spacing w:after="80" w:line="276" w:lineRule="auto"/>
        <w:ind w:left="567" w:hanging="340"/>
        <w:jc w:val="both"/>
      </w:pPr>
      <w:r>
        <w:t>c)</w:t>
      </w:r>
      <w:r>
        <w:tab/>
        <w:t>Standardy Cyberbezpiec</w:t>
      </w:r>
      <w:r>
        <w:t>zeństwa Chmur Obliczeniowych (SCCO) są rządowym standardem dla jednostek administracji publicznej korzystających z usług chmurowych.</w:t>
      </w:r>
    </w:p>
    <w:p w14:paraId="7ACEB767" w14:textId="77777777" w:rsidR="0002435E" w:rsidRDefault="008866A7">
      <w:pPr>
        <w:tabs>
          <w:tab w:val="left" w:pos="567"/>
        </w:tabs>
        <w:spacing w:after="80" w:line="276" w:lineRule="auto"/>
        <w:ind w:left="567" w:hanging="340"/>
        <w:jc w:val="both"/>
      </w:pPr>
      <w:r>
        <w:t>d)</w:t>
      </w:r>
      <w:r>
        <w:tab/>
        <w:t>System SOPOOŚ obsługuje postępowania administracyjne w sprawie ocen oddziaływania na środowisko, obejmujące przetwarzani</w:t>
      </w:r>
      <w:r>
        <w:t>e danych osobowych, ustawowe terminy oraz udział społeczeństwa. Uzasadnia to podwyższone wymagania w zakresie dostępności, integralności i rozliczalności.</w:t>
      </w:r>
      <w:bookmarkStart w:id="0" w:name="_GoBack"/>
      <w:bookmarkEnd w:id="0"/>
    </w:p>
    <w:p w14:paraId="675ED411" w14:textId="77777777" w:rsidR="0002435E" w:rsidRDefault="008866A7">
      <w:pPr>
        <w:keepNext/>
        <w:spacing w:before="160" w:after="80"/>
      </w:pPr>
      <w:r>
        <w:rPr>
          <w:b/>
          <w:bCs/>
        </w:rPr>
        <w:t>2. Normy ISO/IEC 27017 i ISO/IEC 27018</w:t>
      </w:r>
    </w:p>
    <w:p w14:paraId="3BFA6E83" w14:textId="77777777" w:rsidR="0002435E" w:rsidRDefault="008866A7">
      <w:pPr>
        <w:spacing w:after="120" w:line="276" w:lineRule="auto"/>
        <w:jc w:val="both"/>
      </w:pPr>
      <w:r>
        <w:t>Normy ISO/IEC 27017 i 27018 są zbiorami wytycznych rozszerzają</w:t>
      </w:r>
      <w:r>
        <w:t>cych zabezpieczenia ISO/IEC 27002 i nie podlegają samodzielnej certyfikacji. Zgodność z nimi potwierdza się w ramach certyfikacji SZBI według ISO/IEC 27001. Nie mogą one zatem zastąpić wymagania ISO/IEC 27001/27002, lecz stanowią jego uzupełnienie. Zamawia</w:t>
      </w:r>
      <w:r>
        <w:t>jący uzna ich uwzględnienie w zakresie certyfikatu za potwierdzenie spełnienia wymagań właściwych dla usług chmurowych.</w:t>
      </w:r>
    </w:p>
    <w:p w14:paraId="116E655E" w14:textId="77777777" w:rsidR="0002435E" w:rsidRDefault="008866A7">
      <w:pPr>
        <w:keepNext/>
        <w:spacing w:before="160" w:after="80"/>
      </w:pPr>
      <w:r>
        <w:rPr>
          <w:b/>
          <w:bCs/>
        </w:rPr>
        <w:t>3. Zakres wymagań i sposób ich wykazania</w:t>
      </w:r>
    </w:p>
    <w:p w14:paraId="53338F74" w14:textId="77777777" w:rsidR="0002435E" w:rsidRDefault="008866A7">
      <w:pPr>
        <w:tabs>
          <w:tab w:val="left" w:pos="567"/>
        </w:tabs>
        <w:spacing w:after="80" w:line="276" w:lineRule="auto"/>
        <w:ind w:left="567" w:hanging="340"/>
        <w:jc w:val="both"/>
      </w:pPr>
      <w:r>
        <w:t>a)</w:t>
      </w:r>
      <w:r>
        <w:tab/>
      </w:r>
      <w:r>
        <w:rPr>
          <w:b/>
          <w:bCs/>
        </w:rPr>
        <w:t xml:space="preserve">ISO/IEC 27001 i ISO/IEC 27002. </w:t>
      </w:r>
      <w:r>
        <w:t>Związek z przedmiotem zamówienia: bezpieczeństwo przetwarzani</w:t>
      </w:r>
      <w:r>
        <w:t>a danych systemu, w szczególności kontrola dostępu, kryptografia, logowanie i monitorowanie, zarządzanie incydentami oraz bezpieczeństwo dostawców. Dokument potwierdzający: certyfikat wraz z Deklaracją Stosowania, na warunkach wskazanych w odpowiedzi na py</w:t>
      </w:r>
      <w:r>
        <w:t>tanie 1.</w:t>
      </w:r>
    </w:p>
    <w:p w14:paraId="7C1339D7" w14:textId="77777777" w:rsidR="0002435E" w:rsidRDefault="008866A7">
      <w:pPr>
        <w:tabs>
          <w:tab w:val="left" w:pos="567"/>
        </w:tabs>
        <w:spacing w:after="80" w:line="276" w:lineRule="auto"/>
        <w:ind w:left="567" w:hanging="340"/>
        <w:jc w:val="both"/>
      </w:pPr>
      <w:r>
        <w:t>b)</w:t>
      </w:r>
      <w:r>
        <w:tab/>
      </w:r>
      <w:r>
        <w:rPr>
          <w:b/>
          <w:bCs/>
        </w:rPr>
        <w:t xml:space="preserve">ISO 22301. </w:t>
      </w:r>
      <w:r>
        <w:t>Związek z przedmiotem zamówienia: wymaganie wysokiej dostępności (pkt 5.3) oraz zapewnienie ciągłości obsługi postępowań. Dokument potwierdzający: certyfikat ISO 22301 albo udokumentowany system zarządzania ciągłością działania (plan</w:t>
      </w:r>
      <w:r>
        <w:t>y ciągłości działania z określonymi wartościami RTO/RPO) wraz z raportem z niezależnego audytu lub testów przeprowadzonych w ostatnich 12 miesiącach.</w:t>
      </w:r>
    </w:p>
    <w:p w14:paraId="089EF21B" w14:textId="77777777" w:rsidR="0002435E" w:rsidRDefault="008866A7">
      <w:pPr>
        <w:tabs>
          <w:tab w:val="left" w:pos="567"/>
        </w:tabs>
        <w:spacing w:after="80" w:line="276" w:lineRule="auto"/>
        <w:ind w:left="567" w:hanging="340"/>
        <w:jc w:val="both"/>
      </w:pPr>
      <w:r>
        <w:t>c)</w:t>
      </w:r>
      <w:r>
        <w:tab/>
      </w:r>
      <w:r>
        <w:rPr>
          <w:b/>
          <w:bCs/>
        </w:rPr>
        <w:t xml:space="preserve">ISO/IEC 19086. </w:t>
      </w:r>
      <w:r>
        <w:t xml:space="preserve">Norma nie jest przedmiotem certyfikacji i Zamawiający nie wymaga certyfikatu. Wymaganie </w:t>
      </w:r>
      <w:r>
        <w:t>dotyczy struktury i treści umowy o poziomie usług (SLA), w tym definicji, metryk oraz zobowiązań w zakresie bezpieczeństwa i ochrony danych. Dokument potwierdzający: projekt SLA lub oświadczenie Wykonawcy o zgodności SLA z ISO/IEC 19086.</w:t>
      </w:r>
    </w:p>
    <w:p w14:paraId="54BAB92B" w14:textId="77777777" w:rsidR="0002435E" w:rsidRDefault="008866A7">
      <w:pPr>
        <w:tabs>
          <w:tab w:val="left" w:pos="567"/>
        </w:tabs>
        <w:spacing w:after="80" w:line="276" w:lineRule="auto"/>
        <w:ind w:left="567" w:hanging="340"/>
        <w:jc w:val="both"/>
      </w:pPr>
      <w:r>
        <w:t>d)</w:t>
      </w:r>
      <w:r>
        <w:tab/>
      </w:r>
      <w:r>
        <w:rPr>
          <w:b/>
          <w:bCs/>
        </w:rPr>
        <w:t xml:space="preserve">SCCO v. 2.00. </w:t>
      </w:r>
      <w:r>
        <w:t>D</w:t>
      </w:r>
      <w:r>
        <w:t>okument potwierdzający: oświadczenie Wykonawcy o spełnieniu wymagań SCCO dla poziomu właściwego dla danych przetwarzanych w SOPOOŚ, wraz z zestawieniem wymagań i sposobu ich realizacji. Poziom zostanie wskazany w dokumentacji postępowania.</w:t>
      </w:r>
    </w:p>
    <w:p w14:paraId="1A5E8BC7" w14:textId="77777777" w:rsidR="0002435E" w:rsidRDefault="008866A7">
      <w:pPr>
        <w:keepNext/>
        <w:spacing w:before="160" w:after="80"/>
      </w:pPr>
      <w:r>
        <w:rPr>
          <w:b/>
          <w:bCs/>
        </w:rPr>
        <w:t>4. Rozwiązania r</w:t>
      </w:r>
      <w:r>
        <w:rPr>
          <w:b/>
          <w:bCs/>
        </w:rPr>
        <w:t>ównoważne</w:t>
      </w:r>
    </w:p>
    <w:p w14:paraId="38250D03" w14:textId="77777777" w:rsidR="0002435E" w:rsidRDefault="008866A7">
      <w:pPr>
        <w:spacing w:after="120" w:line="276" w:lineRule="auto"/>
        <w:jc w:val="both"/>
      </w:pPr>
      <w:r>
        <w:t>Zamawiający dopuszcza rozwiązania równoważne zgodnie z art. 101 ust. 4 ustawy Prawo zamówień publicznych. Za równoważny Zamawiający uzna dokument, który łącznie:</w:t>
      </w:r>
    </w:p>
    <w:p w14:paraId="0070FD04" w14:textId="77777777" w:rsidR="0002435E" w:rsidRDefault="008866A7">
      <w:pPr>
        <w:tabs>
          <w:tab w:val="left" w:pos="567"/>
        </w:tabs>
        <w:spacing w:after="80" w:line="276" w:lineRule="auto"/>
        <w:ind w:left="567" w:hanging="340"/>
        <w:jc w:val="both"/>
      </w:pPr>
      <w:r>
        <w:t>a)</w:t>
      </w:r>
      <w:r>
        <w:tab/>
        <w:t>został wydany przez niezależny podmiot, akredytowany lub uprawniony do przeprowad</w:t>
      </w:r>
      <w:r>
        <w:t>zania danego typu oceny;</w:t>
      </w:r>
    </w:p>
    <w:p w14:paraId="09A73C87" w14:textId="77777777" w:rsidR="0002435E" w:rsidRDefault="008866A7">
      <w:pPr>
        <w:tabs>
          <w:tab w:val="left" w:pos="567"/>
        </w:tabs>
        <w:spacing w:after="80" w:line="276" w:lineRule="auto"/>
        <w:ind w:left="567" w:hanging="340"/>
        <w:jc w:val="both"/>
      </w:pPr>
      <w:r>
        <w:t>b)</w:t>
      </w:r>
      <w:r>
        <w:tab/>
        <w:t>obejmuje usługi i lokalizacje wykorzystywane do realizacji zamówienia;</w:t>
      </w:r>
    </w:p>
    <w:p w14:paraId="6FC9B1C0" w14:textId="77777777" w:rsidR="0002435E" w:rsidRDefault="008866A7">
      <w:pPr>
        <w:tabs>
          <w:tab w:val="left" w:pos="567"/>
        </w:tabs>
        <w:spacing w:after="80" w:line="276" w:lineRule="auto"/>
        <w:ind w:left="567" w:hanging="340"/>
        <w:jc w:val="both"/>
      </w:pPr>
      <w:r>
        <w:t>c)</w:t>
      </w:r>
      <w:r>
        <w:tab/>
        <w:t>jest ważny na dzień składania ofert, a w przypadku raportów z badania – obejmuje okres zakończony nie wcześniej niż 12 miesięcy przed tym dniem;</w:t>
      </w:r>
    </w:p>
    <w:p w14:paraId="27B50C9F" w14:textId="77777777" w:rsidR="0002435E" w:rsidRDefault="008866A7">
      <w:pPr>
        <w:tabs>
          <w:tab w:val="left" w:pos="567"/>
        </w:tabs>
        <w:spacing w:after="80" w:line="276" w:lineRule="auto"/>
        <w:ind w:left="567" w:hanging="340"/>
        <w:jc w:val="both"/>
      </w:pPr>
      <w:r>
        <w:t>d)</w:t>
      </w:r>
      <w:r>
        <w:tab/>
      </w:r>
      <w:r>
        <w:t>potwierdza zabezpieczenia co najmniej w obszarach wskazanych w pkt 3.</w:t>
      </w:r>
    </w:p>
    <w:p w14:paraId="67B2075A" w14:textId="77777777" w:rsidR="0002435E" w:rsidRDefault="008866A7">
      <w:pPr>
        <w:spacing w:after="120" w:line="276" w:lineRule="auto"/>
        <w:jc w:val="both"/>
      </w:pPr>
      <w:r>
        <w:t xml:space="preserve">Przykładowo, w odniesieniu do ISO/IEC 27001 za równoważne mogą zostać uznane: CSA STAR </w:t>
      </w:r>
      <w:proofErr w:type="spellStart"/>
      <w:r>
        <w:t>Certification</w:t>
      </w:r>
      <w:proofErr w:type="spellEnd"/>
      <w:r>
        <w:t xml:space="preserve"> (Level 2), raport SOC 2 </w:t>
      </w:r>
      <w:proofErr w:type="spellStart"/>
      <w:r>
        <w:t>Type</w:t>
      </w:r>
      <w:proofErr w:type="spellEnd"/>
      <w:r>
        <w:t xml:space="preserve"> II lub atestacja BSI C5. Obowiązek wykazania równoważnoś</w:t>
      </w:r>
      <w:r>
        <w:t>ci spoczywa na Wykonawcy, który się na nią powołuje.</w:t>
      </w:r>
    </w:p>
    <w:p w14:paraId="33D0EE7F" w14:textId="77777777" w:rsidR="0002435E" w:rsidRDefault="008866A7">
      <w:pPr>
        <w:keepNext/>
        <w:spacing w:before="160" w:after="80"/>
      </w:pPr>
      <w:r>
        <w:rPr>
          <w:b/>
          <w:bCs/>
        </w:rPr>
        <w:t>5. Stanowisko Zamawiającego</w:t>
      </w:r>
    </w:p>
    <w:p w14:paraId="715A6011" w14:textId="77777777" w:rsidR="0002435E" w:rsidRDefault="008866A7">
      <w:pPr>
        <w:spacing w:after="120" w:line="276" w:lineRule="auto"/>
        <w:jc w:val="both"/>
      </w:pPr>
      <w:r>
        <w:t>Zamawiający nie wyraża zgody na odstąpienie od wymienionych standardów i zastąpienie ich wyłącznie normami ISO/IEC 27017 i ISO/IEC 27018. Zamawiający doprecyzuje w dokumentacj</w:t>
      </w:r>
      <w:r>
        <w:t>i postępowania sposób wykazania spełnienia poszczególnych wymagań, zgodnie z powyższymi wyjaśnieniami.</w:t>
      </w:r>
    </w:p>
    <w:p w14:paraId="33245587" w14:textId="77777777" w:rsidR="0002435E" w:rsidRDefault="008866A7">
      <w:pPr>
        <w:spacing w:after="120" w:line="276" w:lineRule="auto"/>
        <w:jc w:val="both"/>
      </w:pPr>
      <w:r>
        <w:t>Zamawiający wskazuje jednocześnie, że obecny etap ma charakter szacowania wartości zamówienia. Ostateczny kształt wymagań zostanie określony w dokumentac</w:t>
      </w:r>
      <w:r>
        <w:t>ji postępowania o udzielenie zamówienia.</w:t>
      </w:r>
    </w:p>
    <w:p w14:paraId="13F1DE82" w14:textId="77777777" w:rsidR="0002435E" w:rsidRDefault="008866A7">
      <w:pPr>
        <w:keepNext/>
        <w:pBdr>
          <w:bottom w:val="single" w:sz="6" w:space="2" w:color="1F3864"/>
        </w:pBdr>
        <w:spacing w:before="280" w:after="120"/>
      </w:pPr>
      <w:r>
        <w:rPr>
          <w:b/>
          <w:bCs/>
          <w:color w:val="1F3864"/>
          <w:sz w:val="26"/>
          <w:szCs w:val="26"/>
        </w:rPr>
        <w:t>Pytanie 4</w:t>
      </w:r>
    </w:p>
    <w:p w14:paraId="40F1D920" w14:textId="77777777" w:rsidR="0002435E" w:rsidRDefault="008866A7">
      <w:pPr>
        <w:keepNext/>
        <w:spacing w:before="120" w:after="80"/>
      </w:pPr>
      <w:r>
        <w:rPr>
          <w:b/>
          <w:bCs/>
          <w:color w:val="1F3864"/>
        </w:rPr>
        <w:t>Treść pytania (pkt 5.3 Wysoka dostępność):</w:t>
      </w:r>
    </w:p>
    <w:p w14:paraId="1923676F" w14:textId="77777777" w:rsidR="0002435E" w:rsidRDefault="008866A7">
      <w:pPr>
        <w:pBdr>
          <w:left w:val="single" w:sz="12" w:space="8" w:color="DCE6F1"/>
        </w:pBdr>
        <w:spacing w:after="80" w:line="276" w:lineRule="auto"/>
        <w:ind w:left="284"/>
        <w:jc w:val="both"/>
      </w:pPr>
      <w:r>
        <w:rPr>
          <w:i/>
          <w:iCs/>
          <w:color w:val="404040"/>
          <w:sz w:val="20"/>
          <w:szCs w:val="20"/>
        </w:rPr>
        <w:t xml:space="preserve">Budowa wysokodostępnego klastra wymaga minimum dwóch ośrodków przetwarzania danych oraz dodatkowej lokalizacji, która będzie pełniła rolę świadka dla zapewnienia </w:t>
      </w:r>
      <w:r>
        <w:rPr>
          <w:i/>
          <w:iCs/>
          <w:color w:val="404040"/>
          <w:sz w:val="20"/>
          <w:szCs w:val="20"/>
        </w:rPr>
        <w:t>kworum w sytuacji awarii jednego data-</w:t>
      </w:r>
      <w:proofErr w:type="spellStart"/>
      <w:r>
        <w:rPr>
          <w:i/>
          <w:iCs/>
          <w:color w:val="404040"/>
          <w:sz w:val="20"/>
          <w:szCs w:val="20"/>
        </w:rPr>
        <w:t>center</w:t>
      </w:r>
      <w:proofErr w:type="spellEnd"/>
      <w:r>
        <w:rPr>
          <w:i/>
          <w:iCs/>
          <w:color w:val="404040"/>
          <w:sz w:val="20"/>
          <w:szCs w:val="20"/>
        </w:rPr>
        <w:t xml:space="preserve">. Czy Zamawiający potwierdza, czy system ma być odporny na awarie jednego data </w:t>
      </w:r>
      <w:proofErr w:type="spellStart"/>
      <w:r>
        <w:rPr>
          <w:i/>
          <w:iCs/>
          <w:color w:val="404040"/>
          <w:sz w:val="20"/>
          <w:szCs w:val="20"/>
        </w:rPr>
        <w:t>center</w:t>
      </w:r>
      <w:proofErr w:type="spellEnd"/>
      <w:r>
        <w:rPr>
          <w:i/>
          <w:iCs/>
          <w:color w:val="404040"/>
          <w:sz w:val="20"/>
          <w:szCs w:val="20"/>
        </w:rPr>
        <w:t xml:space="preserve">, czy ma zachować wysoką dostępność HA w ramach jednego data </w:t>
      </w:r>
      <w:proofErr w:type="spellStart"/>
      <w:r>
        <w:rPr>
          <w:i/>
          <w:iCs/>
          <w:color w:val="404040"/>
          <w:sz w:val="20"/>
          <w:szCs w:val="20"/>
        </w:rPr>
        <w:t>center</w:t>
      </w:r>
      <w:proofErr w:type="spellEnd"/>
      <w:r>
        <w:rPr>
          <w:i/>
          <w:iCs/>
          <w:color w:val="404040"/>
          <w:sz w:val="20"/>
          <w:szCs w:val="20"/>
        </w:rPr>
        <w:t>?</w:t>
      </w:r>
    </w:p>
    <w:p w14:paraId="7E43D9BF" w14:textId="77777777" w:rsidR="0002435E" w:rsidRDefault="008866A7">
      <w:pPr>
        <w:keepNext/>
        <w:spacing w:before="120" w:after="80"/>
      </w:pPr>
      <w:r>
        <w:rPr>
          <w:b/>
          <w:bCs/>
          <w:color w:val="1F3864"/>
        </w:rPr>
        <w:t>Odpowiedź:</w:t>
      </w:r>
    </w:p>
    <w:p w14:paraId="0C057F15" w14:textId="77777777" w:rsidR="0002435E" w:rsidRDefault="008866A7">
      <w:pPr>
        <w:spacing w:after="120" w:line="276" w:lineRule="auto"/>
        <w:jc w:val="both"/>
      </w:pPr>
      <w:r>
        <w:t>Zamawiający potwierdza, że system produkcyjny m</w:t>
      </w:r>
      <w:r>
        <w:t xml:space="preserve">usi zachować ciągłość działania (HA) w przypadku awarii całego pojedynczego ośrodka przetwarzania danych. Zgodnie z pkt 5.3 przez strefę dostępności rozumiemy fizycznie odrębną lokalizację z niezależnym zasilaniem, chłodzeniem i łączami sieciowymi. Wysoka </w:t>
      </w:r>
      <w:r>
        <w:t>dostępność zapewniona wyłącznie w ramach jednego ośrodka nie spełnia tego wymagania.</w:t>
      </w:r>
    </w:p>
    <w:p w14:paraId="49E9047F" w14:textId="77777777" w:rsidR="0002435E" w:rsidRDefault="008866A7">
      <w:pPr>
        <w:spacing w:after="120" w:line="276" w:lineRule="auto"/>
        <w:jc w:val="both"/>
      </w:pPr>
      <w:r>
        <w:t>Wymaganie może zostać zrealizowane m.in. w jednym z poniższych modeli:</w:t>
      </w:r>
    </w:p>
    <w:p w14:paraId="0B5E5B00" w14:textId="77777777" w:rsidR="0002435E" w:rsidRDefault="008866A7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rPr>
          <w:b/>
          <w:bCs/>
        </w:rPr>
        <w:t>Model chmury publicznej (</w:t>
      </w:r>
      <w:proofErr w:type="spellStart"/>
      <w:r>
        <w:rPr>
          <w:b/>
          <w:bCs/>
        </w:rPr>
        <w:t>multi</w:t>
      </w:r>
      <w:proofErr w:type="spellEnd"/>
      <w:r>
        <w:rPr>
          <w:b/>
          <w:bCs/>
        </w:rPr>
        <w:t xml:space="preserve">-AZ). </w:t>
      </w:r>
      <w:r>
        <w:t>Wdrożenie środowiska w architekturze wielostrefowej w ramach jed</w:t>
      </w:r>
      <w:r>
        <w:t>nego regionu chmurowego, w którym rolę niezależnych ośrodków pełnią odrębne strefy dostępności. Redundancja warstwy zarządzającej (</w:t>
      </w:r>
      <w:proofErr w:type="spellStart"/>
      <w:r>
        <w:t>control</w:t>
      </w:r>
      <w:proofErr w:type="spellEnd"/>
      <w:r>
        <w:t xml:space="preserve"> </w:t>
      </w:r>
      <w:proofErr w:type="spellStart"/>
      <w:r>
        <w:t>plane</w:t>
      </w:r>
      <w:proofErr w:type="spellEnd"/>
      <w:r>
        <w:t xml:space="preserve"> / </w:t>
      </w:r>
      <w:proofErr w:type="spellStart"/>
      <w:r>
        <w:t>etcd</w:t>
      </w:r>
      <w:proofErr w:type="spellEnd"/>
      <w:r>
        <w:t xml:space="preserve">) może być realizowana w ramach zarządzanej usługi klastrowej dostawcy, z rozproszeniem członków </w:t>
      </w:r>
      <w:proofErr w:type="spellStart"/>
      <w:r>
        <w:t>etcd</w:t>
      </w:r>
      <w:proofErr w:type="spellEnd"/>
      <w:r>
        <w:t xml:space="preserve"> na </w:t>
      </w:r>
      <w:r>
        <w:t>3 strefy dostępności. Jeżeli region udostępnia 2 strefy dostępności, trzeci członek kworum (świadek) musi znajdować się w lokalizacji niezależnej od obu stref.</w:t>
      </w:r>
    </w:p>
    <w:p w14:paraId="3DD5C0D4" w14:textId="77777777" w:rsidR="0002435E" w:rsidRDefault="008866A7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rPr>
          <w:b/>
          <w:bCs/>
        </w:rPr>
        <w:t>Model infrastruktury tradycyjnej / kolokacyjnej (</w:t>
      </w:r>
      <w:proofErr w:type="spellStart"/>
      <w:r>
        <w:rPr>
          <w:b/>
          <w:bCs/>
        </w:rPr>
        <w:t>multi</w:t>
      </w:r>
      <w:proofErr w:type="spellEnd"/>
      <w:r>
        <w:rPr>
          <w:b/>
          <w:bCs/>
        </w:rPr>
        <w:t xml:space="preserve">-DC). </w:t>
      </w:r>
      <w:r>
        <w:t xml:space="preserve">Wdrożenie klastra rozproszonego </w:t>
      </w:r>
      <w:r>
        <w:t>pomiędzy co najmniej dwoma niezależnymi fizycznie centrami danych, z obligatoryjnym zapewnieniem trzeciej, niezależnej lokalizacji pełniącej rolę świadka, w celu zabezpieczenia klastra przed zjawiskiem „</w:t>
      </w:r>
      <w:proofErr w:type="spellStart"/>
      <w:r>
        <w:t>split-brain</w:t>
      </w:r>
      <w:proofErr w:type="spellEnd"/>
      <w:r>
        <w:t>”.</w:t>
      </w:r>
    </w:p>
    <w:p w14:paraId="4C5356D6" w14:textId="77777777" w:rsidR="0002435E" w:rsidRDefault="008866A7">
      <w:pPr>
        <w:spacing w:after="120" w:line="276" w:lineRule="auto"/>
        <w:jc w:val="both"/>
      </w:pPr>
      <w:r>
        <w:t>Środowisko testowe i CI/CD mogą działać</w:t>
      </w:r>
      <w:r>
        <w:t xml:space="preserve"> w jednej strefie. Niezależnie od wysokiej dostępności wymagana jest kopia zapasowa w drugiej lokalizacji (pkt 5.2). Koszt i sposób realizacji prosimy wskazać w odpowiedzi na pytania P1 i P7 Formularza szacowania, z uwzględnieniem w wycenie ewentualnej lok</w:t>
      </w:r>
      <w:r>
        <w:t>alizacji świadka.</w:t>
      </w:r>
    </w:p>
    <w:p w14:paraId="34373712" w14:textId="77777777" w:rsidR="0002435E" w:rsidRDefault="008866A7">
      <w:pPr>
        <w:keepNext/>
        <w:pBdr>
          <w:bottom w:val="single" w:sz="6" w:space="2" w:color="1F3864"/>
        </w:pBdr>
        <w:spacing w:before="280" w:after="120"/>
      </w:pPr>
      <w:r>
        <w:rPr>
          <w:b/>
          <w:bCs/>
          <w:color w:val="1F3864"/>
          <w:sz w:val="26"/>
          <w:szCs w:val="26"/>
        </w:rPr>
        <w:t>Pytanie 5</w:t>
      </w:r>
    </w:p>
    <w:p w14:paraId="45487386" w14:textId="77777777" w:rsidR="0002435E" w:rsidRDefault="008866A7">
      <w:pPr>
        <w:keepNext/>
        <w:spacing w:before="120" w:after="80"/>
      </w:pPr>
      <w:r>
        <w:rPr>
          <w:b/>
          <w:bCs/>
          <w:color w:val="1F3864"/>
        </w:rPr>
        <w:t>Treść pytania (pkt 8.1 Wdrożenie – instalacja i konfiguracja klastrów bazodanowych):</w:t>
      </w:r>
    </w:p>
    <w:p w14:paraId="0784A82F" w14:textId="77777777" w:rsidR="0002435E" w:rsidRDefault="008866A7">
      <w:pPr>
        <w:pBdr>
          <w:left w:val="single" w:sz="12" w:space="8" w:color="DCE6F1"/>
        </w:pBdr>
        <w:spacing w:after="80" w:line="276" w:lineRule="auto"/>
        <w:ind w:left="284"/>
        <w:jc w:val="both"/>
      </w:pPr>
      <w:r>
        <w:rPr>
          <w:i/>
          <w:iCs/>
          <w:color w:val="404040"/>
          <w:sz w:val="20"/>
          <w:szCs w:val="20"/>
        </w:rPr>
        <w:t>Proszę wskazać przewidywalną wielkość bazy danych oraz wymagania dla klastrów bazodanowych.</w:t>
      </w:r>
    </w:p>
    <w:p w14:paraId="0734D803" w14:textId="77777777" w:rsidR="0002435E" w:rsidRDefault="008866A7">
      <w:pPr>
        <w:keepNext/>
        <w:spacing w:before="120" w:after="80"/>
      </w:pPr>
      <w:r>
        <w:rPr>
          <w:b/>
          <w:bCs/>
          <w:color w:val="1F3864"/>
        </w:rPr>
        <w:t>Odpowiedź:</w:t>
      </w:r>
    </w:p>
    <w:p w14:paraId="114FA2C4" w14:textId="77777777" w:rsidR="0002435E" w:rsidRDefault="008866A7">
      <w:pPr>
        <w:spacing w:after="120" w:line="276" w:lineRule="auto"/>
        <w:jc w:val="both"/>
      </w:pPr>
      <w:r>
        <w:t xml:space="preserve">Bazy danych to relacyjne bazy open </w:t>
      </w:r>
      <w:proofErr w:type="spellStart"/>
      <w:r>
        <w:t>source</w:t>
      </w:r>
      <w:proofErr w:type="spellEnd"/>
      <w:r>
        <w:t xml:space="preserve"> (klasy </w:t>
      </w:r>
      <w:proofErr w:type="spellStart"/>
      <w:r>
        <w:t>PostgreSQL</w:t>
      </w:r>
      <w:proofErr w:type="spellEnd"/>
      <w:r>
        <w:t xml:space="preserve">), uruchamiane w klastrze </w:t>
      </w:r>
      <w:proofErr w:type="spellStart"/>
      <w:r>
        <w:t>Kubernetes</w:t>
      </w:r>
      <w:proofErr w:type="spellEnd"/>
      <w:r>
        <w:t xml:space="preserve"> i zarządzane przez operatory (pkt 2.3). Treść dokumentów i załączników przechowywana jest w pamięci obiektowej (pkt 3.2). W bazie danych przechowywane są wyłącznie metadane spraw i dokumentów (w </w:t>
      </w:r>
      <w:r>
        <w:t>tym odwołania do obiektów w pamięci obiektowej), dane użytkowników i uprawnień oraz dziennik zdarzeń.</w:t>
      </w:r>
    </w:p>
    <w:p w14:paraId="3723EB1B" w14:textId="77777777" w:rsidR="0002435E" w:rsidRDefault="008866A7">
      <w:pPr>
        <w:spacing w:after="120" w:line="276" w:lineRule="auto"/>
        <w:jc w:val="both"/>
      </w:pPr>
      <w:r>
        <w:t>Do celów szacowania należy przyjąć, że wolumen bazy danych w okresie obowiązywania umowy nie przekroczy kilkuset GB. Wartość ta zostanie doprecyzowana w O</w:t>
      </w:r>
      <w:r>
        <w:t>PZ.</w:t>
      </w:r>
    </w:p>
    <w:p w14:paraId="77FF4398" w14:textId="77777777" w:rsidR="0002435E" w:rsidRDefault="008866A7">
      <w:pPr>
        <w:spacing w:after="120" w:line="276" w:lineRule="auto"/>
        <w:jc w:val="both"/>
      </w:pPr>
      <w:r>
        <w:t>Wymagania dla klastra bazodanowego:</w:t>
      </w:r>
    </w:p>
    <w:p w14:paraId="16D127CA" w14:textId="77777777" w:rsidR="0002435E" w:rsidRDefault="008866A7">
      <w:pPr>
        <w:pStyle w:val="Akapitzlist"/>
        <w:numPr>
          <w:ilvl w:val="0"/>
          <w:numId w:val="3"/>
        </w:numPr>
        <w:spacing w:after="80" w:line="276" w:lineRule="auto"/>
        <w:jc w:val="both"/>
      </w:pPr>
      <w:r>
        <w:t xml:space="preserve">architektura klastrowa oparta o minimum 3 węzły bazodanowe rozłożone między strefy dostępności (pkt 5.3), realizująca automatyczny </w:t>
      </w:r>
      <w:proofErr w:type="spellStart"/>
      <w:r>
        <w:t>failover</w:t>
      </w:r>
      <w:proofErr w:type="spellEnd"/>
      <w:r>
        <w:t xml:space="preserve"> bez utraty spójności danych,</w:t>
      </w:r>
    </w:p>
    <w:p w14:paraId="70F036BD" w14:textId="77777777" w:rsidR="0002435E" w:rsidRDefault="008866A7">
      <w:pPr>
        <w:pStyle w:val="Akapitzlist"/>
        <w:numPr>
          <w:ilvl w:val="0"/>
          <w:numId w:val="3"/>
        </w:numPr>
        <w:spacing w:after="80" w:line="276" w:lineRule="auto"/>
        <w:jc w:val="both"/>
      </w:pPr>
      <w:r>
        <w:t>przestrzeń dyskowa bazy rozszerzalna bez przerw</w:t>
      </w:r>
      <w:r>
        <w:t xml:space="preserve"> w pracy, w klasie SSD/</w:t>
      </w:r>
      <w:proofErr w:type="spellStart"/>
      <w:r>
        <w:t>NVMe</w:t>
      </w:r>
      <w:proofErr w:type="spellEnd"/>
      <w:r>
        <w:t xml:space="preserve"> o parametrach z pkt 4.3,</w:t>
      </w:r>
    </w:p>
    <w:p w14:paraId="4A70E001" w14:textId="77777777" w:rsidR="0002435E" w:rsidRDefault="008866A7">
      <w:pPr>
        <w:pStyle w:val="Akapitzlist"/>
        <w:numPr>
          <w:ilvl w:val="0"/>
          <w:numId w:val="3"/>
        </w:numPr>
        <w:spacing w:after="80" w:line="276" w:lineRule="auto"/>
        <w:jc w:val="both"/>
      </w:pPr>
      <w:r>
        <w:t>kopie bazy wykonywane zgodnie z pkt 5.1 (co najmniej co 4 h), z ciągłą archiwizacją dziennika transakcji umożliwiającą odtworzenie do punktu w czasie (RPO ≤ 4 h),</w:t>
      </w:r>
    </w:p>
    <w:p w14:paraId="674E5D34" w14:textId="77777777" w:rsidR="0002435E" w:rsidRDefault="008866A7">
      <w:pPr>
        <w:pStyle w:val="Akapitzlist"/>
        <w:numPr>
          <w:ilvl w:val="0"/>
          <w:numId w:val="3"/>
        </w:numPr>
        <w:spacing w:after="80" w:line="276" w:lineRule="auto"/>
        <w:jc w:val="both"/>
      </w:pPr>
      <w:r>
        <w:t>archiwum dziennika transakcji uwzględnio</w:t>
      </w:r>
      <w:r>
        <w:t>ne w pojemności usługi kopii zapasowych (pkt 5.1, pytanie P5 Formularza szacowania).</w:t>
      </w:r>
    </w:p>
    <w:p w14:paraId="445A81BC" w14:textId="77777777" w:rsidR="0002435E" w:rsidRDefault="008866A7">
      <w:pPr>
        <w:spacing w:after="120" w:line="276" w:lineRule="auto"/>
        <w:jc w:val="both"/>
      </w:pPr>
      <w:r>
        <w:t>Środowisko testowe ma mieć tę samą topologię. Prosimy o ujęcie kosztu w pozycji 17 Zestawienia kosztowego, a porównanie z zarządzaną usługą bazodanową – w odpowiedzi na py</w:t>
      </w:r>
      <w:r>
        <w:t>tanie P4 Formularza szacowania.</w:t>
      </w:r>
    </w:p>
    <w:p w14:paraId="5F2FEE13" w14:textId="77777777" w:rsidR="0002435E" w:rsidRDefault="008866A7">
      <w:pPr>
        <w:keepNext/>
        <w:pBdr>
          <w:bottom w:val="single" w:sz="6" w:space="2" w:color="1F3864"/>
        </w:pBdr>
        <w:spacing w:before="280" w:after="120"/>
      </w:pPr>
      <w:r>
        <w:rPr>
          <w:b/>
          <w:bCs/>
          <w:color w:val="1F3864"/>
          <w:sz w:val="26"/>
          <w:szCs w:val="26"/>
        </w:rPr>
        <w:t>Pytanie 6</w:t>
      </w:r>
    </w:p>
    <w:p w14:paraId="4CCD3481" w14:textId="77777777" w:rsidR="0002435E" w:rsidRDefault="008866A7">
      <w:pPr>
        <w:keepNext/>
        <w:spacing w:before="120" w:after="80"/>
      </w:pPr>
      <w:r>
        <w:rPr>
          <w:b/>
          <w:bCs/>
          <w:color w:val="1F3864"/>
        </w:rPr>
        <w:t>Treść pytania (pkt 8.1 Wdrożenie – konfiguracja silnika polityk i walidacji zasobów):</w:t>
      </w:r>
    </w:p>
    <w:p w14:paraId="77641E63" w14:textId="77777777" w:rsidR="0002435E" w:rsidRDefault="008866A7">
      <w:pPr>
        <w:pBdr>
          <w:left w:val="single" w:sz="12" w:space="8" w:color="DCE6F1"/>
        </w:pBdr>
        <w:spacing w:after="80" w:line="276" w:lineRule="auto"/>
        <w:ind w:left="284"/>
        <w:jc w:val="both"/>
      </w:pPr>
      <w:r>
        <w:rPr>
          <w:i/>
          <w:iCs/>
          <w:color w:val="404040"/>
          <w:sz w:val="20"/>
          <w:szCs w:val="20"/>
        </w:rPr>
        <w:t>Prosimy o szczegółowe wyjaśnienie wymagania.</w:t>
      </w:r>
    </w:p>
    <w:p w14:paraId="56EEC0E3" w14:textId="77777777" w:rsidR="0002435E" w:rsidRDefault="008866A7">
      <w:pPr>
        <w:keepNext/>
        <w:spacing w:before="120" w:after="80"/>
      </w:pPr>
      <w:r>
        <w:rPr>
          <w:b/>
          <w:bCs/>
          <w:color w:val="1F3864"/>
        </w:rPr>
        <w:t>Odpowiedź:</w:t>
      </w:r>
    </w:p>
    <w:p w14:paraId="206AA74C" w14:textId="77777777" w:rsidR="0002435E" w:rsidRDefault="008866A7">
      <w:pPr>
        <w:spacing w:after="120" w:line="276" w:lineRule="auto"/>
        <w:jc w:val="both"/>
      </w:pPr>
      <w:r>
        <w:t>Zamawiający oczekuje wdrożenia i konfiguracji silnika polityk klastra kl</w:t>
      </w:r>
      <w:r>
        <w:t xml:space="preserve">asy Policy Engine oraz </w:t>
      </w:r>
      <w:proofErr w:type="spellStart"/>
      <w:r>
        <w:t>Dynamic</w:t>
      </w:r>
      <w:proofErr w:type="spellEnd"/>
      <w:r>
        <w:t xml:space="preserve"> </w:t>
      </w:r>
      <w:proofErr w:type="spellStart"/>
      <w:r>
        <w:t>Admission</w:t>
      </w:r>
      <w:proofErr w:type="spellEnd"/>
      <w:r>
        <w:t xml:space="preserve"> Control, takiego jak </w:t>
      </w:r>
      <w:proofErr w:type="spellStart"/>
      <w:r>
        <w:t>Kyverno</w:t>
      </w:r>
      <w:proofErr w:type="spellEnd"/>
      <w:r>
        <w:t xml:space="preserve">, OPA </w:t>
      </w:r>
      <w:proofErr w:type="spellStart"/>
      <w:r>
        <w:t>Gatekeeper</w:t>
      </w:r>
      <w:proofErr w:type="spellEnd"/>
      <w:r>
        <w:t xml:space="preserve"> lub innego równoważnego, zintegrowanego z mechanizmem </w:t>
      </w:r>
      <w:proofErr w:type="spellStart"/>
      <w:r>
        <w:t>Kubernetes</w:t>
      </w:r>
      <w:proofErr w:type="spellEnd"/>
      <w:r>
        <w:t xml:space="preserve"> </w:t>
      </w:r>
      <w:proofErr w:type="spellStart"/>
      <w:r>
        <w:t>Admission</w:t>
      </w:r>
      <w:proofErr w:type="spellEnd"/>
      <w:r>
        <w:t xml:space="preserve"> </w:t>
      </w:r>
      <w:proofErr w:type="spellStart"/>
      <w:r>
        <w:t>Controllers</w:t>
      </w:r>
      <w:proofErr w:type="spellEnd"/>
      <w:r>
        <w:t>. Celem jest automatyczna weryfikacja, standaryzacja i ochrona klastra przed uruchom</w:t>
      </w:r>
      <w:r>
        <w:t>ieniem wdrożeń niekompletnych, błędnych lub niezgodnych z dobrymi praktykami.</w:t>
      </w:r>
    </w:p>
    <w:p w14:paraId="36A0D87D" w14:textId="77777777" w:rsidR="0002435E" w:rsidRDefault="008866A7">
      <w:pPr>
        <w:spacing w:after="120" w:line="276" w:lineRule="auto"/>
        <w:jc w:val="both"/>
      </w:pPr>
      <w:r>
        <w:t>Przykładowe funkcjonalności:</w:t>
      </w:r>
    </w:p>
    <w:p w14:paraId="539E10FF" w14:textId="77777777" w:rsidR="0002435E" w:rsidRDefault="008866A7">
      <w:pPr>
        <w:pStyle w:val="Akapitzlist"/>
        <w:numPr>
          <w:ilvl w:val="0"/>
          <w:numId w:val="3"/>
        </w:numPr>
        <w:spacing w:after="80" w:line="276" w:lineRule="auto"/>
        <w:jc w:val="both"/>
      </w:pPr>
      <w:r>
        <w:rPr>
          <w:b/>
          <w:bCs/>
        </w:rPr>
        <w:t xml:space="preserve">Walidacja deklaracji zasobów: </w:t>
      </w:r>
      <w:r>
        <w:t>wymuszenie definicji żądań i limitów dla procesora oraz pamięci; egzekwowanie bezpiecznego kontekstu wykonawczego konte</w:t>
      </w:r>
      <w:r>
        <w:t xml:space="preserve">nerów poprzez zakaz pracy w trybie uprzywilejowanym oraz zakaz działania jako </w:t>
      </w:r>
      <w:proofErr w:type="spellStart"/>
      <w:r>
        <w:t>root</w:t>
      </w:r>
      <w:proofErr w:type="spellEnd"/>
      <w:r>
        <w:t>; weryfikacja pobierania obrazów wyłącznie z autoryzowanych rejestrów; kontrola obecności reguł izolacji ruchu sieciowego dla aplikacji.</w:t>
      </w:r>
    </w:p>
    <w:p w14:paraId="71FEDB74" w14:textId="77777777" w:rsidR="0002435E" w:rsidRDefault="008866A7">
      <w:pPr>
        <w:pStyle w:val="Akapitzlist"/>
        <w:numPr>
          <w:ilvl w:val="0"/>
          <w:numId w:val="3"/>
        </w:numPr>
        <w:spacing w:after="80" w:line="276" w:lineRule="auto"/>
        <w:jc w:val="both"/>
      </w:pPr>
      <w:r>
        <w:rPr>
          <w:b/>
          <w:bCs/>
        </w:rPr>
        <w:t>Automatyzacja na poziomie przestrzeni</w:t>
      </w:r>
      <w:r>
        <w:rPr>
          <w:b/>
          <w:bCs/>
        </w:rPr>
        <w:t xml:space="preserve"> nazw: </w:t>
      </w:r>
      <w:r>
        <w:t>konfiguracja reguł automatycznie uzupełniających brakujące etykiety i parametry w manifestach oraz automatyczne tworzenie domyślnych limitów zasobów.</w:t>
      </w:r>
    </w:p>
    <w:p w14:paraId="5935E2A8" w14:textId="77777777" w:rsidR="0002435E" w:rsidRDefault="008866A7">
      <w:pPr>
        <w:pStyle w:val="Akapitzlist"/>
        <w:numPr>
          <w:ilvl w:val="0"/>
          <w:numId w:val="3"/>
        </w:numPr>
        <w:spacing w:after="80" w:line="276" w:lineRule="auto"/>
        <w:jc w:val="both"/>
      </w:pPr>
      <w:r>
        <w:rPr>
          <w:b/>
          <w:bCs/>
        </w:rPr>
        <w:t xml:space="preserve">Konfiguracja trybów pracy: </w:t>
      </w:r>
      <w:r>
        <w:t>uruchomienie reguł krytycznych w trybie blokującym niepoprawne wdrożenia</w:t>
      </w:r>
      <w:r>
        <w:t xml:space="preserve"> wraz ze zwróceniem komunikatu o błędzie, wdrożenie reguł pomocniczych w trybie audytowym oraz zapewnienie raportowania stanu zgodności klastra.</w:t>
      </w:r>
    </w:p>
    <w:p w14:paraId="03452811" w14:textId="77777777" w:rsidR="0002435E" w:rsidRDefault="008866A7">
      <w:pPr>
        <w:spacing w:after="120" w:line="276" w:lineRule="auto"/>
        <w:jc w:val="both"/>
      </w:pPr>
      <w:r>
        <w:t>Narzędzie ma pełnić rolę zautomatyzowanego strażnika konfiguracji, eliminując ryzyka wynikające z błędów ludzki</w:t>
      </w:r>
      <w:r>
        <w:t>ch podczas publikacji aplikacji i obiektów definiowanych przez użytkownika.</w:t>
      </w:r>
    </w:p>
    <w:p w14:paraId="0F1ED046" w14:textId="77777777" w:rsidR="0002435E" w:rsidRDefault="008866A7">
      <w:pPr>
        <w:spacing w:after="120" w:line="276" w:lineRule="auto"/>
        <w:jc w:val="both"/>
      </w:pPr>
      <w:r>
        <w:t>Pozycja ma charakter opcjonalny. Prosimy o ujęcie kosztu w pozycji 18 Zestawienia kosztowego.</w:t>
      </w:r>
    </w:p>
    <w:sectPr w:rsidR="0002435E">
      <w:headerReference w:type="default" r:id="rId7"/>
      <w:footerReference w:type="default" r:id="rId8"/>
      <w:pgSz w:w="11906" w:h="16838"/>
      <w:pgMar w:top="1418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93F89" w14:textId="77777777" w:rsidR="00DC7248" w:rsidRDefault="00DC7248">
      <w:r>
        <w:separator/>
      </w:r>
    </w:p>
  </w:endnote>
  <w:endnote w:type="continuationSeparator" w:id="0">
    <w:p w14:paraId="4E30DF1A" w14:textId="77777777" w:rsidR="00DC7248" w:rsidRDefault="00DC7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BCEF9" w14:textId="5D980A29" w:rsidR="0002435E" w:rsidRDefault="008866A7">
    <w:pPr>
      <w:pBdr>
        <w:top w:val="single" w:sz="4" w:space="4" w:color="BFBFBF"/>
      </w:pBdr>
      <w:jc w:val="center"/>
    </w:pPr>
    <w:r>
      <w:rPr>
        <w:color w:val="595959"/>
        <w:sz w:val="16"/>
        <w:szCs w:val="16"/>
      </w:rPr>
      <w:t xml:space="preserve">Wyjaśnienia treści Opisu przedmiotu szacowania | SOPOOŚ – usługi chmurowe | s.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>
      <w:rPr>
        <w:noProof/>
        <w:color w:val="595959"/>
        <w:sz w:val="16"/>
        <w:szCs w:val="16"/>
      </w:rPr>
      <w:t>7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z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>
      <w:rPr>
        <w:noProof/>
        <w:color w:val="595959"/>
        <w:sz w:val="16"/>
        <w:szCs w:val="16"/>
      </w:rPr>
      <w:t>7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71DEAE" w14:textId="77777777" w:rsidR="00DC7248" w:rsidRDefault="00DC7248">
      <w:r>
        <w:separator/>
      </w:r>
    </w:p>
  </w:footnote>
  <w:footnote w:type="continuationSeparator" w:id="0">
    <w:p w14:paraId="22F3D655" w14:textId="77777777" w:rsidR="00DC7248" w:rsidRDefault="00DC7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6742FA" w14:textId="77777777" w:rsidR="0002435E" w:rsidRDefault="008866A7">
    <w:pPr>
      <w:tabs>
        <w:tab w:val="right" w:pos="9026"/>
      </w:tabs>
      <w:spacing w:after="120"/>
    </w:pPr>
    <w:r>
      <w:rPr>
        <w:noProof/>
      </w:rPr>
      <w:drawing>
        <wp:inline distT="0" distB="0" distL="0" distR="0" wp14:anchorId="7A388081" wp14:editId="64A6DF7B">
          <wp:extent cx="2009775" cy="8286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828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70D84D05" wp14:editId="350FA2C4">
          <wp:extent cx="790575" cy="771525"/>
          <wp:effectExtent l="0" t="0" r="0" b="0"/>
          <wp:docPr id="834922699" name="Obraz 8349226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71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E5E0D"/>
    <w:multiLevelType w:val="hybridMultilevel"/>
    <w:tmpl w:val="DE9236BA"/>
    <w:lvl w:ilvl="0" w:tplc="E7C048C6">
      <w:start w:val="1"/>
      <w:numFmt w:val="decimal"/>
      <w:lvlText w:val="%1."/>
      <w:lvlJc w:val="left"/>
      <w:pPr>
        <w:ind w:left="567" w:hanging="340"/>
      </w:pPr>
    </w:lvl>
    <w:lvl w:ilvl="1" w:tplc="51023DCE">
      <w:numFmt w:val="decimal"/>
      <w:lvlText w:val=""/>
      <w:lvlJc w:val="left"/>
    </w:lvl>
    <w:lvl w:ilvl="2" w:tplc="72F6E7C6">
      <w:numFmt w:val="decimal"/>
      <w:lvlText w:val=""/>
      <w:lvlJc w:val="left"/>
    </w:lvl>
    <w:lvl w:ilvl="3" w:tplc="2494BCEA">
      <w:numFmt w:val="decimal"/>
      <w:lvlText w:val=""/>
      <w:lvlJc w:val="left"/>
    </w:lvl>
    <w:lvl w:ilvl="4" w:tplc="0A82597C">
      <w:numFmt w:val="decimal"/>
      <w:lvlText w:val=""/>
      <w:lvlJc w:val="left"/>
    </w:lvl>
    <w:lvl w:ilvl="5" w:tplc="7D3251D8">
      <w:numFmt w:val="decimal"/>
      <w:lvlText w:val=""/>
      <w:lvlJc w:val="left"/>
    </w:lvl>
    <w:lvl w:ilvl="6" w:tplc="3756373C">
      <w:numFmt w:val="decimal"/>
      <w:lvlText w:val=""/>
      <w:lvlJc w:val="left"/>
    </w:lvl>
    <w:lvl w:ilvl="7" w:tplc="875C5D34">
      <w:numFmt w:val="decimal"/>
      <w:lvlText w:val=""/>
      <w:lvlJc w:val="left"/>
    </w:lvl>
    <w:lvl w:ilvl="8" w:tplc="FE606362">
      <w:numFmt w:val="decimal"/>
      <w:lvlText w:val=""/>
      <w:lvlJc w:val="left"/>
    </w:lvl>
  </w:abstractNum>
  <w:abstractNum w:abstractNumId="1" w15:restartNumberingAfterBreak="0">
    <w:nsid w:val="18F6490A"/>
    <w:multiLevelType w:val="multilevel"/>
    <w:tmpl w:val="A0A8E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A11A1E"/>
    <w:multiLevelType w:val="hybridMultilevel"/>
    <w:tmpl w:val="54E8A110"/>
    <w:lvl w:ilvl="0" w:tplc="55283758">
      <w:start w:val="1"/>
      <w:numFmt w:val="bullet"/>
      <w:lvlText w:val="–"/>
      <w:lvlJc w:val="left"/>
      <w:pPr>
        <w:ind w:left="567" w:hanging="283"/>
      </w:pPr>
    </w:lvl>
    <w:lvl w:ilvl="1" w:tplc="971EF7BA">
      <w:start w:val="1"/>
      <w:numFmt w:val="bullet"/>
      <w:lvlText w:val="•"/>
      <w:lvlJc w:val="left"/>
      <w:pPr>
        <w:ind w:left="1134" w:hanging="283"/>
      </w:pPr>
    </w:lvl>
    <w:lvl w:ilvl="2" w:tplc="4AF06B28">
      <w:numFmt w:val="decimal"/>
      <w:lvlText w:val=""/>
      <w:lvlJc w:val="left"/>
    </w:lvl>
    <w:lvl w:ilvl="3" w:tplc="71368348">
      <w:numFmt w:val="decimal"/>
      <w:lvlText w:val=""/>
      <w:lvlJc w:val="left"/>
    </w:lvl>
    <w:lvl w:ilvl="4" w:tplc="FF1457B0">
      <w:numFmt w:val="decimal"/>
      <w:lvlText w:val=""/>
      <w:lvlJc w:val="left"/>
    </w:lvl>
    <w:lvl w:ilvl="5" w:tplc="4D925726">
      <w:numFmt w:val="decimal"/>
      <w:lvlText w:val=""/>
      <w:lvlJc w:val="left"/>
    </w:lvl>
    <w:lvl w:ilvl="6" w:tplc="B71C55BC">
      <w:numFmt w:val="decimal"/>
      <w:lvlText w:val=""/>
      <w:lvlJc w:val="left"/>
    </w:lvl>
    <w:lvl w:ilvl="7" w:tplc="781EAC78">
      <w:numFmt w:val="decimal"/>
      <w:lvlText w:val=""/>
      <w:lvlJc w:val="left"/>
    </w:lvl>
    <w:lvl w:ilvl="8" w:tplc="F67A4AB8">
      <w:numFmt w:val="decimal"/>
      <w:lvlText w:val=""/>
      <w:lvlJc w:val="left"/>
    </w:lvl>
  </w:abstractNum>
  <w:abstractNum w:abstractNumId="3" w15:restartNumberingAfterBreak="0">
    <w:nsid w:val="7D5458D6"/>
    <w:multiLevelType w:val="hybridMultilevel"/>
    <w:tmpl w:val="B5701310"/>
    <w:lvl w:ilvl="0" w:tplc="97C27AA2">
      <w:start w:val="1"/>
      <w:numFmt w:val="bullet"/>
      <w:lvlText w:val="●"/>
      <w:lvlJc w:val="left"/>
      <w:pPr>
        <w:ind w:left="720" w:hanging="360"/>
      </w:pPr>
    </w:lvl>
    <w:lvl w:ilvl="1" w:tplc="2AEE67D4">
      <w:start w:val="1"/>
      <w:numFmt w:val="bullet"/>
      <w:lvlText w:val="○"/>
      <w:lvlJc w:val="left"/>
      <w:pPr>
        <w:ind w:left="1440" w:hanging="360"/>
      </w:pPr>
    </w:lvl>
    <w:lvl w:ilvl="2" w:tplc="BF3E21A4">
      <w:start w:val="1"/>
      <w:numFmt w:val="bullet"/>
      <w:lvlText w:val="■"/>
      <w:lvlJc w:val="left"/>
      <w:pPr>
        <w:ind w:left="2160" w:hanging="360"/>
      </w:pPr>
    </w:lvl>
    <w:lvl w:ilvl="3" w:tplc="183E5B50">
      <w:start w:val="1"/>
      <w:numFmt w:val="bullet"/>
      <w:lvlText w:val="●"/>
      <w:lvlJc w:val="left"/>
      <w:pPr>
        <w:ind w:left="2880" w:hanging="360"/>
      </w:pPr>
    </w:lvl>
    <w:lvl w:ilvl="4" w:tplc="9D8EFABA">
      <w:start w:val="1"/>
      <w:numFmt w:val="bullet"/>
      <w:lvlText w:val="○"/>
      <w:lvlJc w:val="left"/>
      <w:pPr>
        <w:ind w:left="3600" w:hanging="360"/>
      </w:pPr>
    </w:lvl>
    <w:lvl w:ilvl="5" w:tplc="7276BAEC">
      <w:start w:val="1"/>
      <w:numFmt w:val="bullet"/>
      <w:lvlText w:val="■"/>
      <w:lvlJc w:val="left"/>
      <w:pPr>
        <w:ind w:left="4320" w:hanging="360"/>
      </w:pPr>
    </w:lvl>
    <w:lvl w:ilvl="6" w:tplc="7C5C3A90">
      <w:start w:val="1"/>
      <w:numFmt w:val="bullet"/>
      <w:lvlText w:val="●"/>
      <w:lvlJc w:val="left"/>
      <w:pPr>
        <w:ind w:left="5040" w:hanging="360"/>
      </w:pPr>
    </w:lvl>
    <w:lvl w:ilvl="7" w:tplc="0530838C">
      <w:start w:val="1"/>
      <w:numFmt w:val="bullet"/>
      <w:lvlText w:val="●"/>
      <w:lvlJc w:val="left"/>
      <w:pPr>
        <w:ind w:left="5760" w:hanging="360"/>
      </w:pPr>
    </w:lvl>
    <w:lvl w:ilvl="8" w:tplc="1AE2BD2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3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35E"/>
    <w:rsid w:val="0002435E"/>
    <w:rsid w:val="0034531E"/>
    <w:rsid w:val="007134FA"/>
    <w:rsid w:val="008866A7"/>
    <w:rsid w:val="00DC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A2298"/>
  <w15:docId w15:val="{7914EAE8-5F72-4F2D-8FE0-FD1908C8B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34531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2466</Words>
  <Characters>14799</Characters>
  <Application>Microsoft Office Word</Application>
  <DocSecurity>0</DocSecurity>
  <Lines>123</Lines>
  <Paragraphs>34</Paragraphs>
  <ScaleCrop>false</ScaleCrop>
  <Company/>
  <LinksUpToDate>false</LinksUpToDate>
  <CharactersWithSpaces>17231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Juźwikowski</dc:creator>
  <cp:lastModifiedBy>Katarzyna Zagrobelna</cp:lastModifiedBy>
  <cp:revision>3</cp:revision>
  <dcterms:created xsi:type="dcterms:W3CDTF">2026-10-02T12:37:00Z</dcterms:created>
  <dcterms:modified xsi:type="dcterms:W3CDTF">2026-10-02T12:41:00Z</dcterms:modified>
</cp:coreProperties>
</file>