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2.4.0 -->
  <w:body>
    <w:p w:rsidR="00A77B3E">
      <w:pPr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/>
          <w:caps/>
          <w:sz w:val="24"/>
        </w:rPr>
        <w:t>Zarządzenie</w:t>
      </w:r>
      <w:r>
        <w:rPr>
          <w:rFonts w:ascii="Times New Roman" w:eastAsia="Times New Roman" w:hAnsi="Times New Roman" w:cs="Times New Roman"/>
          <w:b/>
          <w:caps/>
          <w:sz w:val="24"/>
        </w:rPr>
        <w:br/>
      </w:r>
      <w:r>
        <w:rPr>
          <w:rFonts w:ascii="Times New Roman" w:eastAsia="Times New Roman" w:hAnsi="Times New Roman" w:cs="Times New Roman"/>
          <w:b/>
          <w:caps/>
          <w:sz w:val="24"/>
        </w:rPr>
        <w:t>Regionalnego Dyrektora Ochrony Środowiska w Bydgoszczy</w:t>
      </w:r>
    </w:p>
    <w:p w:rsidR="00A77B3E">
      <w:pPr>
        <w:spacing w:before="280" w:after="280"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 w:val="0"/>
          <w:caps w:val="0"/>
          <w:sz w:val="24"/>
        </w:rPr>
        <w:t>z dnia 4 czerwca 2025 r.</w:t>
      </w:r>
    </w:p>
    <w:p w:rsidR="00A77B3E">
      <w:pPr>
        <w:spacing w:before="280" w:after="280" w:line="240" w:lineRule="auto"/>
        <w:ind w:left="0"/>
        <w:jc w:val="center"/>
        <w:rPr>
          <w:rFonts w:ascii="Times New Roman" w:eastAsia="Times New Roman" w:hAnsi="Times New Roman" w:cs="Times New Roman"/>
          <w:b w:val="0"/>
          <w:caps w:val="0"/>
          <w:sz w:val="22"/>
        </w:rPr>
      </w:pP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/>
          <w:caps w:val="0"/>
          <w:sz w:val="24"/>
        </w:rPr>
        <w:t>w sprawie uznania za rezerwat przyrody „Krzewińskie Bagno”</w:t>
      </w:r>
    </w:p>
    <w:p w:rsidR="00A77B3E">
      <w:pPr>
        <w:keepNext w:val="0"/>
        <w:keepLines/>
        <w:spacing w:before="120" w:after="120" w:line="240" w:lineRule="auto"/>
        <w:ind w:left="0" w:right="0" w:firstLine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Na podstawie art. 13 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ustawy z dnia 16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kwietnia 2004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roku o ochronie przyrody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br/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(Dz. U. z 2024 r. poz. 1478 oraz 1940) zarządza się, co następuje: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1. 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 xml:space="preserve">Uznaje  się  za  rezerwat  przyrody  pod  nazwą  „Krzewińskie Bagno”,  zwany  dalej „rezerwatem”,  obszar  o powierzchni  84,16  ha,  położony  na  terenie  gminy  Warlubie,  w powiecie świeckim, w województwie kujawsko-pomorskim. 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 obszarach graniczących z rezerwatem wyznacza się otulinę o powierzchni 40,59 ha, położoną na terenie gminy Warlubie, w powiecie świeckim, w województwie kujawsko-pomorskim.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Położenie i przebieg granicy rezerwatu oraz jego otuliny w postaci mapy są określone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załączniku nr 1 do zarządzenia.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4. 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Położenie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przebieg granicy rezerwatu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postaci wykazu współrzędnych punktów załamania granicy są określone w załączniku nr 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zarządzenia.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5. 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Położenie i przebieg granicy otuliny rezerwatu w postaci wykazu współrzędnych punktów załamania granicy są określone w załączniku nr 3 do zarządzenia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Celem ochrony rezerwatu jest zachowanie śródleśnego torfowiska przejściowego z charakterystycznym zespołem roślinności torfowiskowo-bagiennej.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3. 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rezerwatu określa się rodzaj - Torfowiskowy (T)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rezerwatu określa się typ i podtyp: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ze względu na dominujący przedmiot ochrony: typ - Fitocenotyczny (PFi), podtyp - zbiorowisk nieleśnych (zn);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ze względu na główny typ ekosystemu: typ - Torfowiskowy (ET),  podtyp  - torfowisk przejściowych (tp).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4.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Nadzór nad rezerwatem sprawuje Regionalny Dyrektor Ochrony Środowiska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Bydgoszczy.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5.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Zarządzenie wchodzi w życie po upływie 14 dni od dnia ogłoszenia.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2670440" cy="1054608"/>
            <wp:docPr id="100001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0440" cy="105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sectPr>
          <w:footerReference w:type="default" r:id="rId7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:rsidR="00A77B3E">
      <w:pPr>
        <w:keepNext/>
        <w:spacing w:before="120" w:after="120" w:line="360" w:lineRule="auto"/>
        <w:ind w:left="3634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 zarządzenia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Regionalnego Dyrektora Ochrony Środowiska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Bydgoszczy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 dnia 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czerwca 2025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Położenie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przebieg granicy rezerwatu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jego otuliny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postaci mapy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166485" cy="7592485"/>
            <wp:docPr id="100003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759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166485" cy="7592485"/>
            <wp:docPr id="100005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759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166485" cy="7592485"/>
            <wp:docPr id="100007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759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166485" cy="7592485"/>
            <wp:docPr id="100009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759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5532041" cy="6811326"/>
            <wp:docPr id="100011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32041" cy="681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5041"/>
        <w:gridCol w:w="5041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val="105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</w:tr>
    </w:tbl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2685876" cy="1060704"/>
            <wp:docPr id="100013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85876" cy="106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sectPr>
          <w:footerReference w:type="default" r:id="rId19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:rsidR="00A77B3E">
      <w:pPr>
        <w:keepNext/>
        <w:spacing w:before="120" w:after="120" w:line="360" w:lineRule="auto"/>
        <w:ind w:left="3634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 zarządzenia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Regionalnego Dyrektora Ochrony Środowiska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Bydgoszczy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 dnia 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czerwca 2025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Położenie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przebieg granicy rezerwatu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postaci wykazu współrzędnych punktów załamania granicy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układzie współrzędnych płaskich prostokątnych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PL-1992</w:t>
      </w:r>
      <w:r>
        <w:rPr>
          <w:rStyle w:val="FootnoteReference"/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0"/>
          <w:u w:val="none" w:color="000000"/>
          <w:vertAlign w:val="superscript"/>
        </w:rPr>
        <w:footnoteReference w:customMarkFollows="1" w:id="2"/>
        <w:t xml:space="preserve">1)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3318"/>
        <w:gridCol w:w="3382"/>
        <w:gridCol w:w="3382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Nr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X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Y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640389,57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471722,85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640218,65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471747,50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640176,36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471734,63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640094,07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471680,99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640072,54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471655,08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640027,61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471601,00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639993,17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471554,24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639953,80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471500,79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639800,87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471395,37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639702,11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471363,91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639642,02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471358,92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639613,99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471356,54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639598,09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471357,99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639566,17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471370,80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639524,92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471387,36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639497,15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471393,89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639473,34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471393,22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639413,46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471366,55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639419,49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471344,77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639406,71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471320,83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639374,93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471276,29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639367,37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471260,04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639457,39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471179,05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639466,64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471160,19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639458,51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471079,76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639432,52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471047,66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639489,37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470996,89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639449,03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470921,21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639451,76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470862,08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639487,14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470811,36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639494,03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470778,24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639499,37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470759,62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639520,47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470722,22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639536,63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470709,71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639551,91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470703,29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639610,25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470708,93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639648,21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470701,03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639692,34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470717,83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639712,06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470712,48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639750,23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470680,53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639777,53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470648,98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639779,50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470620,73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639786,31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470605,34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639808,11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470593,46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639868,27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470593,01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639884,66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470588,75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639888,85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470582,51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639908,69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470590,13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639946,08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470611,00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639987,30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470655,56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640011,46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470685,72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640035,61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470717,56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640027,97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470725,15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640046,38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470760,03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640063,96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470783,89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640064,36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470784,44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640070,01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470792,11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640088,56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470806,83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640105,50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470820,27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640119,50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470831,38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640159,45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470863,08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640179,16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470878,71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640230,97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470910,24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640242,53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470912,13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640250,82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470913,49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640256,07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470914,09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640306,16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470919,87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640312,47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470925,42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640355,02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470984,10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640369,33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471014,39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640370,33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471016,51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640386,11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471049,94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640377,16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471073,50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640371,64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471088,00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640370,33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471091,46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640366,59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471101,30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640368,03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471127,08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640370,33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471130,80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640376,66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471141,04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640385,94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471148,16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640413,95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471152,61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640504,78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471160,50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640523,52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471173,51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640544,04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471187,76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640563,98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471198,18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640568,31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471204,03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640583,46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471224,46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640600,52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471257,12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640601,43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471258,85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640605,28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471267,70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640606,19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471269,81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640647,95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471306,26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640667,52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471323,35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640685,05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471356,36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640688,47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471362,80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640702,57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471396,53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640707,17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471407,55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640722,06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471435,66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640726,00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471443,11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640742,25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471481,42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640745,39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471504,64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640736,33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471527,11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640692,73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471575,68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640685,05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471579,78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640670,85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471587,35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640640,30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471585,02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640623,64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471560,29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640623,37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471559,90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640602,50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471551,86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640522,29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471520,98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640516,27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471518,66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640474,21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471528,39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640439,06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471545,16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640406,92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471568,74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640402,07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471603,61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640415,73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471691,28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640411,13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471714,29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640389,57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471722,85</w:t>
            </w:r>
          </w:p>
        </w:tc>
      </w:tr>
    </w:tbl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2670440" cy="1054608"/>
            <wp:docPr id="100015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70440" cy="105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sectPr>
          <w:footerReference w:type="default" r:id="rId21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:rsidR="00A77B3E">
      <w:pPr>
        <w:keepNext/>
        <w:spacing w:before="120" w:after="120" w:line="360" w:lineRule="auto"/>
        <w:ind w:left="3634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 zarządzenia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Regionalnego Dyrektora Ochrony Środowiska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Bydgoszczy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 dnia 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czerwca 2025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Położenie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przebieg granicy otuliny rezerwatu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postaci wykazu współrzędnych punktów załamania granicy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układzie współrzędnych płaskich prostokątnych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PL-1992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1269"/>
        <w:gridCol w:w="2865"/>
        <w:gridCol w:w="2865"/>
        <w:gridCol w:w="3083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Nr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X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Y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Komentarz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639308,89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471327,29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639220,49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471139,68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639219,42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471105,14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639214,03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471074,44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639231,74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471074,00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639302,06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471072,27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639329,47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471059,53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639353,19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471066,67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639371,08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471103,06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639425,46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470929,92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639425,79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470927,33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639427,11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470926,98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639422,94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470886,62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639433,74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470875,15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639433,76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470841,72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639424,63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470826,24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639415,50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470807,59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639418,68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470785,76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639435,49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470760,67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639484,80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470745,58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639470,63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470695,44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639509,27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470691,06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639543,01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470694,70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639583,36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470684,45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639633,96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470685,77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639714,32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470661,63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639715,98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470636,82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639765,92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470583,57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639827,84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470555,11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639828,47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470555,45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639892,13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470577,97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639894,57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470574,60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639995,33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470438,37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640047,83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470477,08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640096,62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470535,95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640140,99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470492,87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640155,81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470548,69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640196,87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470703,23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640224,51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470827,49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640269,22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470853,69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640318,06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470882,31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640351,93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470910,86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640393,58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470946,10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640402,41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470953,56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640410,27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470958,55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640416,83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470962,71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640414,91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470966,38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640414,91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470966,38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640386,11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471049,94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640394,29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471049,75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640431,91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471073,95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640496,65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471113,09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640561,32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471166,77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640587,64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471180,55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640613,42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471208,88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640639,86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471234,53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640663,86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471250,93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640704,38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471298,36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640712,57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471291,03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640661,77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471210,85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640677,95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471193,74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640734,87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471174,79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640843,35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471212,14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640850,20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471228,62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640852,62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471244,51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640890,67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471332,52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640941,70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471450,60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640891,86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471443,71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640884,02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471446,78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640866,76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471454,04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640839,35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471462,89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640849,01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471517,07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640880,78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471505,07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640877,42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471534,26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640626,88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471651,82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640612,56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471658,77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640493,73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471716,46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640432,13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471746,37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640396,87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471761,90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640387,13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471769,94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640368,52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471767,85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640276,24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471774,46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640180,66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471778,43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640091,80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471784,17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640048,62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471676,65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639983,02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471686,68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639970,57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471675,63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639963,31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471663,35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639958,85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471651,63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639951,04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471635,45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639946,57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471624,84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639946,01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471619,82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639934,43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471608,52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639917,13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471598,61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639901,78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471597,08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639886,16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471596,10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639863,83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471593,31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639840,95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471589,40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639840,32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471588,89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639714,91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471623,80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639699,05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471566,16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639674,19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471475,82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639600,16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471478,47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639553,30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471522,88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639558,46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471479,14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639480,99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471502,86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639467,47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471458,79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639405,05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471488,28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639385,82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471462,79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639286,01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471350,77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639324,73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471341,16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639308,89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471327,29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640389,57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471722,85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640218,65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471747,50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640176,36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471734,63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640094,07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471680,99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640072,54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471655,08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640027,61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471601,00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639993,17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471554,24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639953,80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471500,79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639800,87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471395,37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639702,11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471363,91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639642,02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471358,92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639613,99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471356,54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639598,09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471357,99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639566,17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471370,80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639524,92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471387,36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639497,15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471393,89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639473,34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471393,22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639413,46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471366,55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639419,49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471344,77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639406,71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471320,83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639374,93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471276,29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639367,37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471260,04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639457,39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471179,05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639466,64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471160,19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639458,51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471079,76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639432,52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471047,66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639489,37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470996,89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639449,03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470921,21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639451,76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470862,08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639487,14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470811,36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639494,03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470778,24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639499,37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470759,62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639520,47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470722,22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639536,63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470709,71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639551,91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470703,29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639610,25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470708,93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639648,21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470701,03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639692,34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470717,83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639712,06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470712,48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639750,23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470680,53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639777,53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470648,98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639779,50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470620,73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639786,31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470605,34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639808,11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470593,46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639868,27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470593,01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639884,66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470588,75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639888,85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470582,51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639908,69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470590,13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639946,08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470611,00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639987,30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470655,56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640011,46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470685,72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640035,61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470717,56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640027,97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470725,15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640046,38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470760,03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640063,96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470783,89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640064,36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470784,44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640070,01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470792,11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640088,56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470806,83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640105,50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470820,27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640119,50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470831,38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640159,45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470863,08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640179,16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470878,71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640230,97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470910,24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640242,53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470912,13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640250,82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470913,49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640256,07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470914,09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640306,16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470919,87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640312,47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470925,42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640355,02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470984,10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640369,33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471014,39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640370,33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471016,51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640386,11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471049,94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640377,16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471073,50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640371,64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471088,00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640370,33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471091,46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640366,59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471101,30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640368,03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471127,08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640370,33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471130,80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640376,66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471141,04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640385,94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471148,16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640413,95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471152,61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640504,78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471160,50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640523,52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471173,51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640544,04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471187,76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640563,98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471198,18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640568,31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471204,03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640583,46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471224,46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640600,52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471257,12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640601,43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471258,85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640605,28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471267,70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640606,19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471269,81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640647,95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471306,26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640667,52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471323,35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640685,05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471356,36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640688,47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471362,80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640702,57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471396,53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640707,17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471407,55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640722,06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471435,66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640726,00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471443,11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640742,25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471481,42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640745,39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471504,64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640736,33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471527,11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640692,73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471575,68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640685,05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471579,78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640670,85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471587,35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640640,30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471585,02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640623,64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471560,29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640623,37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471559,90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640602,50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471551,86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640522,29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471520,98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640516,27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471518,66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640474,21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471528,39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640439,06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471545,16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640406,92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471568,74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640402,07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471603,61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640415,73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471691,28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640411,13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471714,29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640389,57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471722,85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</w:tbl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2670440" cy="1054608"/>
            <wp:docPr id="100017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70440" cy="105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sectPr>
          <w:footerReference w:type="default" r:id="rId23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contextualSpacing w:val="0"/>
        <w:jc w:val="left"/>
        <w:rPr>
          <w:color w:val="000000"/>
          <w:sz w:val="22"/>
          <w:szCs w:val="20"/>
          <w:shd w:val="clear" w:color="auto" w:fill="FFFFFF"/>
          <w:lang w:val="x-none" w:eastAsia="en-US" w:bidi="ar-SA"/>
        </w:r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jc w:val="center"/>
        <w:rPr>
          <w:b/>
          <w:caps/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aps/>
          <w:color w:val="000000"/>
          <w:szCs w:val="20"/>
          <w:shd w:val="clear" w:color="auto" w:fill="FFFFFF"/>
          <w:lang w:val="x-none" w:eastAsia="en-US" w:bidi="ar-SA"/>
        </w:rPr>
        <w:t>u</w:t>
      </w:r>
      <w:r>
        <w:rPr>
          <w:b/>
          <w:caps/>
          <w:color w:val="000000"/>
          <w:szCs w:val="20"/>
          <w:shd w:val="clear" w:color="auto" w:fill="FFFFFF"/>
        </w:rPr>
        <w:t>ZASADNIENIE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jc w:val="center"/>
        <w:rPr>
          <w:b/>
          <w:caps/>
          <w:color w:val="000000"/>
          <w:szCs w:val="20"/>
          <w:shd w:val="clear" w:color="auto" w:fill="FFFFFF"/>
          <w:lang w:val="x-none" w:eastAsia="en-US" w:bidi="ar-SA"/>
        </w:r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426"/>
        <w:contextualSpacing w:val="0"/>
        <w:rPr>
          <w:color w:val="000000"/>
          <w:szCs w:val="20"/>
          <w:u w:color="000000"/>
          <w:shd w:val="clear" w:color="auto" w:fill="FFFFFF"/>
          <w:lang w:val="x-none" w:eastAsia="en-US" w:bidi="ar-SA"/>
        </w:rPr>
      </w:pP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Na  podstawie  art.  13  ust. 3 ustawy  z dnia  16 kwietnia  2004 roku  o ochronie  przyrody  (Dz. U. z 202</w:t>
      </w:r>
      <w:r>
        <w:rPr>
          <w:color w:val="000000"/>
          <w:szCs w:val="20"/>
          <w:u w:color="000000"/>
          <w:shd w:val="clear" w:color="auto" w:fill="FFFFFF"/>
        </w:rPr>
        <w:t>4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 r. poz. </w:t>
      </w:r>
      <w:r>
        <w:rPr>
          <w:color w:val="000000"/>
          <w:szCs w:val="20"/>
          <w:u w:color="000000"/>
          <w:shd w:val="clear" w:color="auto" w:fill="FFFFFF"/>
        </w:rPr>
        <w:t>1478 ze zm.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) uznanie za rezerwat przyrody następuje w drodze aktu prawa miejscowego w formie zarządzenia regionalnego dyrektora ochrony środowiska, które określa jego nazwę,  położenie lub  przebieg  granicy  i  otulinę,  jeżeli  została  wyznaczona,  cele  ochrony </w:t>
      </w:r>
      <w:r>
        <w:rPr>
          <w:color w:val="000000"/>
          <w:szCs w:val="20"/>
          <w:u w:color="000000"/>
          <w:shd w:val="clear" w:color="auto" w:fill="FFFFFF"/>
        </w:rPr>
        <w:t>o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raz rodzaj, typ i podtyp rezerwatu przyrody, a także sprawującego nadzór nad rezerwatem. 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426"/>
        <w:contextualSpacing w:val="0"/>
        <w:rPr>
          <w:color w:val="000000"/>
          <w:szCs w:val="20"/>
          <w:u w:color="000000"/>
          <w:shd w:val="clear" w:color="auto" w:fill="FFFFFF"/>
          <w:lang w:val="x-none" w:eastAsia="en-US" w:bidi="ar-SA"/>
        </w:rPr>
      </w:pP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Rezerwat przyrody „</w:t>
      </w:r>
      <w:r>
        <w:rPr>
          <w:color w:val="000000"/>
          <w:szCs w:val="20"/>
          <w:u w:color="000000"/>
          <w:shd w:val="clear" w:color="auto" w:fill="FFFFFF"/>
        </w:rPr>
        <w:t>Krzewińskie Bagno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” o powierzchni </w:t>
      </w:r>
      <w:r>
        <w:rPr>
          <w:color w:val="000000"/>
          <w:szCs w:val="20"/>
          <w:u w:color="000000"/>
          <w:shd w:val="clear" w:color="auto" w:fill="FFFFFF"/>
        </w:rPr>
        <w:t>84,16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 ha zlokalizowany jest </w:t>
      </w:r>
      <w:r>
        <w:rPr>
          <w:color w:val="000000"/>
          <w:szCs w:val="20"/>
          <w:u w:color="000000"/>
          <w:shd w:val="clear" w:color="auto" w:fill="FFFFFF"/>
        </w:rPr>
        <w:br/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na terenie gminy </w:t>
      </w:r>
      <w:r>
        <w:rPr>
          <w:color w:val="000000"/>
          <w:szCs w:val="20"/>
          <w:u w:color="000000"/>
          <w:shd w:val="clear" w:color="auto" w:fill="FFFFFF"/>
        </w:rPr>
        <w:t>Warlubie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, w powiecie </w:t>
      </w:r>
      <w:r>
        <w:rPr>
          <w:color w:val="000000"/>
          <w:szCs w:val="20"/>
          <w:u w:color="000000"/>
          <w:shd w:val="clear" w:color="auto" w:fill="FFFFFF"/>
        </w:rPr>
        <w:t>świeckim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, w województwie kujawsko-pomorskim. </w:t>
      </w:r>
      <w:r>
        <w:rPr>
          <w:color w:val="000000"/>
          <w:szCs w:val="20"/>
          <w:u w:color="000000"/>
          <w:shd w:val="clear" w:color="auto" w:fill="FFFFFF"/>
        </w:rPr>
        <w:br/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W dniu </w:t>
      </w:r>
      <w:r>
        <w:rPr>
          <w:color w:val="000000"/>
          <w:szCs w:val="20"/>
          <w:u w:color="000000"/>
          <w:shd w:val="clear" w:color="auto" w:fill="FFFFFF"/>
        </w:rPr>
        <w:t>2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u w:color="000000"/>
          <w:shd w:val="clear" w:color="auto" w:fill="FFFFFF"/>
        </w:rPr>
        <w:t>sierpnia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 2024 r.  do  Regionalnej  Dyrekcji  Ochrony  Środowiska  w  Bydgoszczy,  wpłynął wniosek  Nadleśnictwa  </w:t>
      </w:r>
      <w:r>
        <w:rPr>
          <w:color w:val="000000"/>
          <w:szCs w:val="20"/>
          <w:u w:color="000000"/>
          <w:shd w:val="clear" w:color="auto" w:fill="FFFFFF"/>
        </w:rPr>
        <w:t>Osie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,  o  utworzenie  powyższego  rezerwatu  przyrody.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426"/>
        <w:contextualSpacing w:val="0"/>
        <w:rPr>
          <w:color w:val="000000"/>
          <w:szCs w:val="20"/>
          <w:u w:color="000000"/>
          <w:shd w:val="clear" w:color="auto" w:fill="FFFFFF"/>
          <w:lang w:val="x-none" w:eastAsia="en-US" w:bidi="ar-SA"/>
        </w:rPr>
      </w:pPr>
      <w:r>
        <w:rPr>
          <w:color w:val="000000"/>
          <w:szCs w:val="20"/>
          <w:u w:color="000000"/>
          <w:shd w:val="clear" w:color="auto" w:fill="FFFFFF"/>
        </w:rPr>
        <w:t>Przedmiotowy obszar to rozległe torfowisko przejściowe, stanowiące w dużej części użytek ekologiczny oraz położone w granicach obszaru Natura 2000 PLH040022 Krzewiny.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  </w:t>
      </w:r>
      <w:r>
        <w:rPr>
          <w:color w:val="000000"/>
          <w:szCs w:val="20"/>
          <w:u w:color="000000"/>
          <w:shd w:val="clear" w:color="auto" w:fill="FFFFFF"/>
        </w:rPr>
        <w:br/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Na obszarach graniczących z rezerwatem wyznacza się otulinę o powierzchni </w:t>
      </w:r>
      <w:r>
        <w:rPr>
          <w:color w:val="000000"/>
          <w:szCs w:val="20"/>
          <w:u w:color="000000"/>
          <w:shd w:val="clear" w:color="auto" w:fill="FFFFFF"/>
        </w:rPr>
        <w:t>40,59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 ha.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426"/>
        <w:contextualSpacing w:val="0"/>
        <w:rPr>
          <w:color w:val="000000"/>
          <w:szCs w:val="20"/>
          <w:u w:color="000000"/>
          <w:shd w:val="clear" w:color="auto" w:fill="FFFFFF"/>
        </w:rPr>
      </w:pPr>
      <w:r>
        <w:rPr>
          <w:color w:val="000000"/>
          <w:szCs w:val="20"/>
          <w:u w:color="000000"/>
          <w:shd w:val="clear" w:color="auto" w:fill="FFFFFF"/>
        </w:rPr>
        <w:t xml:space="preserve">Dane o proponowanym rezerwacie pochodzą m.in. z dokumentacji do planu zadań ochronnych dla obszaru Natura 2000 PLH040022 Krzewiny oraz dokumentacji z monitoringu siedlisk przyrodniczych wykonanego w 2020 r.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/>
        <w:spacing w:before="0" w:beforeAutospacing="0" w:after="0" w:afterAutospacing="0" w:line="360" w:lineRule="auto"/>
        <w:ind w:left="0" w:right="0" w:firstLine="426"/>
        <w:contextualSpacing w:val="0"/>
        <w:rPr>
          <w:color w:val="000000"/>
          <w:szCs w:val="20"/>
          <w:u w:color="000000"/>
          <w:shd w:val="clear" w:color="auto" w:fill="FFFFFF"/>
          <w:lang w:val="x-none" w:eastAsia="en-US" w:bidi="ar-SA"/>
        </w:rPr>
      </w:pP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Proponowany do objęcia ochroną obszar stanowi w większości płat siedliska przyrodniczego 7140  Torfowiska przejściowe i trzęsawiska (przeważnie z roślinnością z </w:t>
      </w:r>
      <w:r>
        <w:rPr>
          <w:i/>
          <w:color w:val="000000"/>
          <w:szCs w:val="20"/>
          <w:u w:color="000000"/>
          <w:shd w:val="clear" w:color="auto" w:fill="FFFFFF"/>
          <w:lang w:val="x-none" w:eastAsia="en-US" w:bidi="ar-SA"/>
        </w:rPr>
        <w:t>Scheuchzerio-Caricetea nigrae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). Siedlisko na wskazanym płacie jest w większości odsłonięte z umiarkowaną liczbą zakrzewień. Poza dominacją mchów z rodzaju </w:t>
      </w:r>
      <w:r>
        <w:rPr>
          <w:i/>
          <w:color w:val="000000"/>
          <w:szCs w:val="20"/>
          <w:u w:color="000000"/>
          <w:shd w:val="clear" w:color="auto" w:fill="FFFFFF"/>
          <w:lang w:val="x-none" w:eastAsia="en-US" w:bidi="ar-SA"/>
        </w:rPr>
        <w:t>Sphagnum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 występują: turzyca nitkowata </w:t>
      </w:r>
      <w:r>
        <w:rPr>
          <w:i/>
          <w:color w:val="000000"/>
          <w:szCs w:val="20"/>
          <w:u w:color="000000"/>
          <w:shd w:val="clear" w:color="auto" w:fill="FFFFFF"/>
          <w:lang w:val="x-none" w:eastAsia="en-US" w:bidi="ar-SA"/>
        </w:rPr>
        <w:t>Carex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 </w:t>
      </w:r>
      <w:r>
        <w:rPr>
          <w:i/>
          <w:color w:val="000000"/>
          <w:szCs w:val="20"/>
          <w:u w:color="000000"/>
          <w:shd w:val="clear" w:color="auto" w:fill="FFFFFF"/>
          <w:lang w:val="x-none" w:eastAsia="en-US" w:bidi="ar-SA"/>
        </w:rPr>
        <w:t>lasiocarpa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, turzyca dzióbkowata </w:t>
      </w:r>
      <w:r>
        <w:rPr>
          <w:i/>
          <w:color w:val="000000"/>
          <w:szCs w:val="20"/>
          <w:u w:color="000000"/>
          <w:shd w:val="clear" w:color="auto" w:fill="FFFFFF"/>
          <w:lang w:val="x-none" w:eastAsia="en-US" w:bidi="ar-SA"/>
        </w:rPr>
        <w:t>C. rostrata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, przygiełka biała </w:t>
      </w:r>
      <w:r>
        <w:rPr>
          <w:i/>
          <w:color w:val="000000"/>
          <w:szCs w:val="20"/>
          <w:u w:color="000000"/>
          <w:shd w:val="clear" w:color="auto" w:fill="FFFFFF"/>
          <w:lang w:val="x-none" w:eastAsia="en-US" w:bidi="ar-SA"/>
        </w:rPr>
        <w:t>Rhynchospora alba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, wełnianka wąskolistna </w:t>
      </w:r>
      <w:r>
        <w:rPr>
          <w:i/>
          <w:color w:val="000000"/>
          <w:szCs w:val="20"/>
          <w:u w:color="000000"/>
          <w:shd w:val="clear" w:color="auto" w:fill="FFFFFF"/>
          <w:lang w:val="x-none" w:eastAsia="en-US" w:bidi="ar-SA"/>
        </w:rPr>
        <w:t>Eriophorum angustifolium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, wełnianka pochwowata </w:t>
      </w:r>
      <w:r>
        <w:rPr>
          <w:i/>
          <w:color w:val="000000"/>
          <w:szCs w:val="20"/>
          <w:u w:color="000000"/>
          <w:shd w:val="clear" w:color="auto" w:fill="FFFFFF"/>
          <w:lang w:val="x-none" w:eastAsia="en-US" w:bidi="ar-SA"/>
        </w:rPr>
        <w:t>E. vaginatum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, bobrek trójlistkowy </w:t>
      </w:r>
      <w:r>
        <w:rPr>
          <w:i/>
          <w:color w:val="000000"/>
          <w:szCs w:val="20"/>
          <w:u w:color="000000"/>
          <w:shd w:val="clear" w:color="auto" w:fill="FFFFFF"/>
          <w:lang w:val="x-none" w:eastAsia="en-US" w:bidi="ar-SA"/>
        </w:rPr>
        <w:t>Menyanthes trifoliata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, bagnica torfowa </w:t>
      </w:r>
      <w:r>
        <w:rPr>
          <w:i/>
          <w:color w:val="000000"/>
          <w:szCs w:val="20"/>
          <w:u w:color="000000"/>
          <w:shd w:val="clear" w:color="auto" w:fill="FFFFFF"/>
          <w:lang w:val="x-none" w:eastAsia="en-US" w:bidi="ar-SA"/>
        </w:rPr>
        <w:t>Scheuchzeria palustris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, modrzewnica pospolita </w:t>
      </w:r>
      <w:r>
        <w:rPr>
          <w:i/>
          <w:color w:val="000000"/>
          <w:szCs w:val="20"/>
          <w:u w:color="000000"/>
          <w:shd w:val="clear" w:color="auto" w:fill="FFFFFF"/>
          <w:lang w:val="x-none" w:eastAsia="en-US" w:bidi="ar-SA"/>
        </w:rPr>
        <w:t>Andromeda polifolia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, rosiczka okrągłolistna </w:t>
      </w:r>
      <w:r>
        <w:rPr>
          <w:i/>
          <w:color w:val="000000"/>
          <w:szCs w:val="20"/>
          <w:u w:color="000000"/>
          <w:shd w:val="clear" w:color="auto" w:fill="FFFFFF"/>
          <w:lang w:val="x-none" w:eastAsia="en-US" w:bidi="ar-SA"/>
        </w:rPr>
        <w:t>Drosera rotundifolia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, żurawina błotna </w:t>
      </w:r>
      <w:r>
        <w:rPr>
          <w:i/>
          <w:color w:val="000000"/>
          <w:szCs w:val="20"/>
          <w:u w:color="000000"/>
          <w:shd w:val="clear" w:color="auto" w:fill="FFFFFF"/>
          <w:lang w:val="x-none" w:eastAsia="en-US" w:bidi="ar-SA"/>
        </w:rPr>
        <w:t>Oxyccocus palustris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, fiołek błotny </w:t>
      </w:r>
      <w:r>
        <w:rPr>
          <w:i/>
          <w:color w:val="000000"/>
          <w:szCs w:val="20"/>
          <w:u w:color="000000"/>
          <w:shd w:val="clear" w:color="auto" w:fill="FFFFFF"/>
          <w:lang w:val="x-none" w:eastAsia="en-US" w:bidi="ar-SA"/>
        </w:rPr>
        <w:t>Viola palustris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, siedmiopalecznik błotny </w:t>
      </w:r>
      <w:r>
        <w:rPr>
          <w:i/>
          <w:color w:val="000000"/>
          <w:szCs w:val="20"/>
          <w:u w:color="000000"/>
          <w:shd w:val="clear" w:color="auto" w:fill="FFFFFF"/>
          <w:lang w:val="x-none" w:eastAsia="en-US" w:bidi="ar-SA"/>
        </w:rPr>
        <w:t>Comarum palustre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, skrzyp błotny </w:t>
      </w:r>
      <w:r>
        <w:rPr>
          <w:i/>
          <w:color w:val="000000"/>
          <w:szCs w:val="20"/>
          <w:u w:color="000000"/>
          <w:shd w:val="clear" w:color="auto" w:fill="FFFFFF"/>
          <w:lang w:val="x-none" w:eastAsia="en-US" w:bidi="ar-SA"/>
        </w:rPr>
        <w:t>Equisetum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 </w:t>
      </w:r>
      <w:r>
        <w:rPr>
          <w:i/>
          <w:color w:val="000000"/>
          <w:szCs w:val="20"/>
          <w:u w:color="000000"/>
          <w:shd w:val="clear" w:color="auto" w:fill="FFFFFF"/>
          <w:lang w:val="x-none" w:eastAsia="en-US" w:bidi="ar-SA"/>
        </w:rPr>
        <w:t>palustre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, mietlica rozłogowa </w:t>
      </w:r>
      <w:r>
        <w:rPr>
          <w:i/>
          <w:color w:val="000000"/>
          <w:szCs w:val="20"/>
          <w:u w:color="000000"/>
          <w:shd w:val="clear" w:color="auto" w:fill="FFFFFF"/>
          <w:lang w:val="x-none" w:eastAsia="en-US" w:bidi="ar-SA"/>
        </w:rPr>
        <w:t>Agrostis stolonifera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, tojeść bukietowa </w:t>
      </w:r>
      <w:r>
        <w:rPr>
          <w:i/>
          <w:color w:val="000000"/>
          <w:szCs w:val="20"/>
          <w:u w:color="000000"/>
          <w:shd w:val="clear" w:color="auto" w:fill="FFFFFF"/>
          <w:lang w:val="x-none" w:eastAsia="en-US" w:bidi="ar-SA"/>
        </w:rPr>
        <w:t>Lysimachia thyrsiflora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, turzyca gwiazdkowata </w:t>
      </w:r>
      <w:r>
        <w:rPr>
          <w:i/>
          <w:color w:val="000000"/>
          <w:szCs w:val="20"/>
          <w:u w:color="000000"/>
          <w:shd w:val="clear" w:color="auto" w:fill="FFFFFF"/>
          <w:lang w:val="x-none" w:eastAsia="en-US" w:bidi="ar-SA"/>
        </w:rPr>
        <w:t>Carex echinata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, trzcinnik prosty </w:t>
      </w:r>
      <w:r>
        <w:rPr>
          <w:i/>
          <w:color w:val="000000"/>
          <w:szCs w:val="20"/>
          <w:u w:color="000000"/>
          <w:shd w:val="clear" w:color="auto" w:fill="FFFFFF"/>
          <w:lang w:val="x-none" w:eastAsia="en-US" w:bidi="ar-SA"/>
        </w:rPr>
        <w:t>Calamagrostis stricta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 i inne. Na fragmentach obserwuje się dość duży udział trzciny pospolitej </w:t>
      </w:r>
      <w:r>
        <w:rPr>
          <w:i/>
          <w:color w:val="000000"/>
          <w:szCs w:val="20"/>
          <w:u w:color="000000"/>
          <w:shd w:val="clear" w:color="auto" w:fill="FFFFFF"/>
          <w:lang w:val="x-none" w:eastAsia="en-US" w:bidi="ar-SA"/>
        </w:rPr>
        <w:t>Phragmites australis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 oraz zakrzewienia olszy czarnej </w:t>
      </w:r>
      <w:r>
        <w:rPr>
          <w:i/>
          <w:color w:val="000000"/>
          <w:szCs w:val="20"/>
          <w:u w:color="000000"/>
          <w:shd w:val="clear" w:color="auto" w:fill="FFFFFF"/>
          <w:lang w:val="x-none" w:eastAsia="en-US" w:bidi="ar-SA"/>
        </w:rPr>
        <w:t>Alnus glutinosa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 i brzozy brodawkowatej </w:t>
      </w:r>
      <w:r>
        <w:rPr>
          <w:i/>
          <w:color w:val="000000"/>
          <w:szCs w:val="20"/>
          <w:u w:color="000000"/>
          <w:shd w:val="clear" w:color="auto" w:fill="FFFFFF"/>
          <w:lang w:val="x-none" w:eastAsia="en-US" w:bidi="ar-SA"/>
        </w:rPr>
        <w:t>Betula pubescens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/>
        <w:spacing w:before="0" w:beforeAutospacing="0" w:after="0" w:afterAutospacing="0" w:line="360" w:lineRule="auto"/>
        <w:ind w:left="0" w:right="0" w:firstLine="426"/>
        <w:contextualSpacing w:val="0"/>
        <w:rPr>
          <w:color w:val="000000"/>
          <w:szCs w:val="20"/>
          <w:u w:color="000000"/>
          <w:shd w:val="clear" w:color="auto" w:fill="FFFFFF"/>
          <w:lang w:val="x-none" w:eastAsia="en-US" w:bidi="ar-SA"/>
        </w:rPr>
      </w:pPr>
      <w:r>
        <w:rPr>
          <w:color w:val="000000"/>
          <w:szCs w:val="20"/>
          <w:u w:color="000000"/>
          <w:shd w:val="clear" w:color="auto" w:fill="FFFFFF"/>
        </w:rPr>
        <w:t xml:space="preserve">Ostatnie badania monitoringowe w obszarze Natura 2000 również potwierdzają dobry stan płatu siedliska, które w 2020 r. otrzymało ocenę właściwą FV.  Lustracja  terenowa wykazała,  </w:t>
        <w:br/>
        <w:t xml:space="preserve">że  powierzchnia  zajęta  przez  właściwą  fitocenozę  nie  uległa  zmniejszeniu. Badania wykonane na – wyznaczonym w 2011 r. i częściowo zmodyfikowanym – transekcie pozwoliły na nadanie oceny właściwej dla wszystkich wskaźników opisujących parametr „specyficzna  struktura  </w:t>
        <w:br/>
        <w:t xml:space="preserve">i  funkcje”.  Ocenę  właściwą  przyznano  również  parametrowi opisującemu  perspektywy  zachowania  siedliska,  ponieważ  nie  zaobserwowano  istotnych negatywnych trendów, które wskazywałyby na znaczne prawdopodobieństwo pogorszenia się stanu ochrony badanego płatu </w:t>
        <w:br/>
        <w:t xml:space="preserve">w perspektywie około 10 lat.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426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</w:rPr>
        <w:t xml:space="preserve">Ze względu na powyższe walory przyrodnicze, celem ochrony rezerwatu jest </w:t>
      </w:r>
      <w:r>
        <w:rPr>
          <w:color w:val="000000"/>
          <w:szCs w:val="20"/>
          <w:shd w:val="clear" w:color="auto" w:fill="FFFFFF"/>
        </w:rPr>
        <w:t>zachowanie śródleśnego torfowiska przejściowego z charakterystycznym zespołem roślinności torfowiskowo-bagiennej.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426"/>
        <w:contextualSpacing w:val="0"/>
        <w:rPr>
          <w:color w:val="000000"/>
          <w:szCs w:val="20"/>
          <w:u w:color="000000"/>
          <w:shd w:val="clear" w:color="auto" w:fill="FFFFFF"/>
          <w:lang w:val="x-none" w:eastAsia="en-US" w:bidi="ar-SA"/>
        </w:rPr>
      </w:pP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Zgodnie  z  rozporządzeniem  Ministra  Środowiska  z  dnia  30  marca  2005  r.  w  sprawie rodzajów, typów i podtypów rezerwatów przyrody (Dz. U. z 2005 r., Nr 60, poz. 533) </w:t>
      </w:r>
      <w:r>
        <w:rPr>
          <w:color w:val="000000"/>
          <w:szCs w:val="20"/>
          <w:u w:color="000000"/>
          <w:shd w:val="clear" w:color="auto" w:fill="FFFFFF"/>
        </w:rPr>
        <w:br/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dla rezerwatu przyrody  „</w:t>
      </w:r>
      <w:r>
        <w:rPr>
          <w:color w:val="000000"/>
          <w:szCs w:val="20"/>
          <w:u w:color="000000"/>
          <w:shd w:val="clear" w:color="auto" w:fill="FFFFFF"/>
        </w:rPr>
        <w:t>Krzewińskie Bagno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”  określono  rodzaj  rezerwatu  </w:t>
      </w:r>
      <w:r>
        <w:rPr>
          <w:color w:val="000000"/>
          <w:szCs w:val="20"/>
          <w:u w:color="000000"/>
          <w:shd w:val="clear" w:color="auto" w:fill="FFFFFF"/>
        </w:rPr>
        <w:t>Torfowiskowy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  (</w:t>
      </w:r>
      <w:r>
        <w:rPr>
          <w:color w:val="000000"/>
          <w:szCs w:val="20"/>
          <w:u w:color="000000"/>
          <w:shd w:val="clear" w:color="auto" w:fill="FFFFFF"/>
        </w:rPr>
        <w:t>T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)  </w:t>
      </w:r>
      <w:r>
        <w:rPr>
          <w:color w:val="000000"/>
          <w:szCs w:val="20"/>
          <w:u w:color="000000"/>
          <w:shd w:val="clear" w:color="auto" w:fill="FFFFFF"/>
        </w:rPr>
        <w:br/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oraz  określono  typ  i podtyp: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708" w:right="0" w:firstLine="0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1)  ze  względu  na  dominujący  przedmiot  ochrony:  typ  -  </w:t>
      </w:r>
      <w:r>
        <w:rPr>
          <w:color w:val="000000"/>
          <w:szCs w:val="20"/>
          <w:shd w:val="clear" w:color="auto" w:fill="FFFFFF"/>
        </w:rPr>
        <w:t>Fitocenotyczny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</w:t>
      </w:r>
      <w:r>
        <w:rPr>
          <w:color w:val="000000"/>
          <w:szCs w:val="20"/>
          <w:shd w:val="clear" w:color="auto" w:fill="FFFFFF"/>
        </w:rPr>
        <w:t>PFi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),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podtyp - </w:t>
      </w:r>
      <w:r>
        <w:rPr>
          <w:color w:val="000000"/>
          <w:szCs w:val="20"/>
          <w:shd w:val="clear" w:color="auto" w:fill="FFFFFF"/>
        </w:rPr>
        <w:t>zbiorowisk nieleśnych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</w:t>
      </w:r>
      <w:r>
        <w:rPr>
          <w:color w:val="000000"/>
          <w:szCs w:val="20"/>
          <w:shd w:val="clear" w:color="auto" w:fill="FFFFFF"/>
        </w:rPr>
        <w:t>zn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);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708" w:right="0" w:firstLine="0"/>
        <w:contextualSpacing w:val="0"/>
        <w:rPr>
          <w:color w:val="000000"/>
          <w:szCs w:val="20"/>
          <w:u w:color="00000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2) ze  względu  na  główny  typ  ekosystemu:  typ  –  </w:t>
      </w:r>
      <w:r>
        <w:rPr>
          <w:color w:val="000000"/>
          <w:szCs w:val="20"/>
          <w:shd w:val="clear" w:color="auto" w:fill="FFFFFF"/>
        </w:rPr>
        <w:t>Torfowiskowy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 </w:t>
      </w:r>
      <w:r>
        <w:rPr>
          <w:color w:val="000000"/>
          <w:szCs w:val="20"/>
          <w:shd w:val="clear" w:color="auto" w:fill="FFFFFF"/>
        </w:rPr>
        <w:t>(ET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), 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podtyp  –  </w:t>
      </w:r>
      <w:r>
        <w:rPr>
          <w:color w:val="000000"/>
          <w:szCs w:val="20"/>
          <w:shd w:val="clear" w:color="auto" w:fill="FFFFFF"/>
        </w:rPr>
        <w:t>torfowisk przejściowych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</w:t>
      </w:r>
      <w:r>
        <w:rPr>
          <w:color w:val="000000"/>
          <w:szCs w:val="20"/>
          <w:shd w:val="clear" w:color="auto" w:fill="FFFFFF"/>
        </w:rPr>
        <w:t>tp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).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8"/>
        <w:contextualSpacing w:val="0"/>
        <w:rPr>
          <w:color w:val="000000"/>
          <w:szCs w:val="20"/>
          <w:u w:color="000000"/>
          <w:shd w:val="clear" w:color="auto" w:fill="FFFFFF"/>
          <w:lang w:val="x-none" w:eastAsia="en-US" w:bidi="ar-SA"/>
        </w:rPr>
      </w:pP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W  niniejszym  akcie  prawnym,  wykorzystując  dane  systemu  informacji  przestrzennej, wprowadzono załączniki w postaci mapy obszaru rezerwatu oraz wykaz współrzędnych punktów załamania granic rezerwatu, sporządzonych w układzie współrzędnych płaskich prostokątnych </w:t>
      </w:r>
      <w:r>
        <w:rPr>
          <w:color w:val="000000"/>
          <w:szCs w:val="20"/>
          <w:u w:color="000000"/>
          <w:shd w:val="clear" w:color="auto" w:fill="FFFFFF"/>
        </w:rPr>
        <w:br/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PL-1992, o których mowa w rozporządzeniu Rady Ministrów z dnia 15 października 2012 r. </w:t>
      </w:r>
      <w:r>
        <w:rPr>
          <w:color w:val="000000"/>
          <w:szCs w:val="20"/>
          <w:u w:color="000000"/>
          <w:shd w:val="clear" w:color="auto" w:fill="FFFFFF"/>
        </w:rPr>
        <w:br/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w sprawie państwowego systemu odniesień przestrzennych </w:t>
      </w:r>
      <w:r>
        <w:rPr>
          <w:color w:val="000000"/>
          <w:szCs w:val="20"/>
          <w:shd w:val="clear" w:color="auto" w:fill="FFFFFF"/>
          <w:lang w:val="x-none" w:eastAsia="en-US" w:bidi="ar-SA"/>
        </w:rPr>
        <w:t>(Dz.U z 20</w:t>
      </w:r>
      <w:r>
        <w:rPr>
          <w:color w:val="000000"/>
          <w:szCs w:val="20"/>
          <w:shd w:val="clear" w:color="auto" w:fill="FFFFFF"/>
        </w:rPr>
        <w:t>24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r., poz. </w:t>
      </w:r>
      <w:r>
        <w:rPr>
          <w:color w:val="000000"/>
          <w:szCs w:val="20"/>
          <w:shd w:val="clear" w:color="auto" w:fill="FFFFFF"/>
        </w:rPr>
        <w:t>342</w:t>
      </w:r>
      <w:r>
        <w:rPr>
          <w:color w:val="000000"/>
          <w:szCs w:val="20"/>
          <w:shd w:val="clear" w:color="auto" w:fill="FFFFFF"/>
          <w:lang w:val="x-none" w:eastAsia="en-US" w:bidi="ar-SA"/>
        </w:rPr>
        <w:t>).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Cs w:val="20"/>
          <w:u w:color="000000"/>
          <w:shd w:val="clear" w:color="auto" w:fill="FFFFFF"/>
          <w:lang w:val="x-none" w:eastAsia="en-US" w:bidi="ar-SA"/>
        </w:rPr>
      </w:pP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Rezerwat  przyrody  „</w:t>
      </w:r>
      <w:r>
        <w:rPr>
          <w:color w:val="000000"/>
          <w:szCs w:val="20"/>
          <w:u w:color="000000"/>
          <w:shd w:val="clear" w:color="auto" w:fill="FFFFFF"/>
        </w:rPr>
        <w:t>Krzewińskie Bagno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”  położony  jest  na  gruntach  należących  </w:t>
      </w:r>
      <w:r>
        <w:rPr>
          <w:color w:val="000000"/>
          <w:szCs w:val="20"/>
          <w:u w:color="000000"/>
          <w:shd w:val="clear" w:color="auto" w:fill="FFFFFF"/>
        </w:rPr>
        <w:br/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do  Skarbu  Państwa,  zarządzanych  przez  Państwowe  Gospodarstwo  Leśne  Lasy  Państwowe Nadleśnictwo </w:t>
      </w:r>
      <w:r>
        <w:rPr>
          <w:color w:val="000000"/>
          <w:szCs w:val="20"/>
          <w:u w:color="000000"/>
          <w:shd w:val="clear" w:color="auto" w:fill="FFFFFF"/>
        </w:rPr>
        <w:t>Osie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.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Państwowe Gospodarstwo Leśne Lasy Państwowe Nadleśnictwo </w:t>
      </w:r>
      <w:r>
        <w:rPr>
          <w:color w:val="000000"/>
          <w:szCs w:val="20"/>
          <w:u w:color="000000"/>
          <w:shd w:val="clear" w:color="auto" w:fill="FFFFFF"/>
        </w:rPr>
        <w:t xml:space="preserve">Osie, wyraziło zgodę </w:t>
        <w:br/>
        <w:t xml:space="preserve">na utworzenie rezerwatu przyrody „Krzewińskie Bagno” i zaopiniowało projekt niniejszego zarządzenia pozytywnie pismem z dnia 13 lutego 2025 r., znak </w:t>
      </w:r>
      <w:r>
        <w:rPr>
          <w:color w:val="000000"/>
          <w:szCs w:val="20"/>
          <w:shd w:val="clear" w:color="auto" w:fill="FFFFFF"/>
          <w:lang w:val="x-none" w:eastAsia="en-US" w:bidi="ar-SA"/>
        </w:rPr>
        <w:t>ZG.7212.1.2024</w:t>
      </w:r>
      <w:r>
        <w:rPr>
          <w:color w:val="000000"/>
          <w:szCs w:val="20"/>
          <w:shd w:val="clear" w:color="auto" w:fill="FFFFFF"/>
        </w:rPr>
        <w:t>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Regionalna  Dyrekcja  Lasów  Państwowych</w:t>
      </w:r>
      <w:r>
        <w:rPr>
          <w:color w:val="000000"/>
          <w:szCs w:val="20"/>
          <w:shd w:val="clear" w:color="auto" w:fill="FFFFFF"/>
        </w:rPr>
        <w:t xml:space="preserve"> w Toruniu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 wyraziła  zgodę  na  utworzenie  rezerwatu przyrody „</w:t>
      </w:r>
      <w:r>
        <w:rPr>
          <w:color w:val="000000"/>
          <w:szCs w:val="20"/>
          <w:shd w:val="clear" w:color="auto" w:fill="FFFFFF"/>
        </w:rPr>
        <w:t>Krzewińskie Bagno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” </w:t>
      </w:r>
      <w:r>
        <w:rPr>
          <w:color w:val="000000"/>
          <w:szCs w:val="20"/>
          <w:u w:color="000000"/>
          <w:shd w:val="clear" w:color="auto" w:fill="FFFFFF"/>
        </w:rPr>
        <w:t>i zaopiniowało projekt niniejszego zarządzenia pozytywnie pismem z dnia 30 stycznia 2025 r., znak 1ZO.7212.10.2025.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Nadzór nad rezerwatem powierzony został Regionaln</w:t>
      </w:r>
      <w:r>
        <w:rPr>
          <w:color w:val="000000"/>
          <w:szCs w:val="20"/>
          <w:shd w:val="clear" w:color="auto" w:fill="FFFFFF"/>
        </w:rPr>
        <w:t>emu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Dyrektor</w:t>
      </w:r>
      <w:r>
        <w:rPr>
          <w:color w:val="000000"/>
          <w:szCs w:val="20"/>
          <w:shd w:val="clear" w:color="auto" w:fill="FFFFFF"/>
        </w:rPr>
        <w:t>owi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Ochrony Środowiska w Bydgoszczy.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Projekt zarządzenia został zaopiniowany pozytywnie przez Regionalną Radę Ochrony Przyrody w Bydgoszczy  uchwałą nr 1/2025, z dnia 13 marca 2025 r.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Na podstawie art. 59 ust. 2 ustawy z dnia 23 stycznia 2009 r. o wojewodzie i administracji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rządowej w województwie </w:t>
      </w:r>
      <w:r>
        <w:rPr>
          <w:color w:val="000000"/>
          <w:sz w:val="23"/>
          <w:szCs w:val="20"/>
          <w:shd w:val="clear" w:color="auto" w:fill="FFFFFF"/>
        </w:rPr>
        <w:t>(Dz. U. z 2025 r. poz. 428)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r>
        <w:rPr>
          <w:color w:val="000000"/>
          <w:szCs w:val="20"/>
          <w:shd w:val="clear" w:color="auto" w:fill="FFFFFF"/>
        </w:rPr>
        <w:t xml:space="preserve">projekt zarządzenia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został uzgodniony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przez Wojewodę Kujawsko-Pomorskiego </w:t>
      </w:r>
      <w:r>
        <w:rPr>
          <w:color w:val="000000"/>
          <w:szCs w:val="20"/>
          <w:shd w:val="clear" w:color="auto" w:fill="FFFFFF"/>
        </w:rPr>
        <w:t xml:space="preserve">pismem znak: WRS.II.710.4.1.2025, z dnia 20 marca 2025 r.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rPr>
          <w:color w:val="000000"/>
          <w:szCs w:val="20"/>
          <w:shd w:val="clear" w:color="auto" w:fill="FFFFFF"/>
        </w:r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jc w:val="right"/>
        <w:rPr>
          <w:color w:val="000000"/>
          <w:szCs w:val="20"/>
          <w:shd w:val="clear" w:color="auto" w:fill="FFFFFF"/>
          <w:lang w:val="x-none" w:eastAsia="en-US" w:bidi="ar-SA"/>
        </w:rPr>
      </w:pPr>
      <w:r>
        <w:drawing>
          <wp:inline>
            <wp:extent cx="2639060" cy="105219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05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footerReference w:type="default" r:id="rId25"/>
      <w:type w:val="nextPage"/>
      <w:pgSz w:w="11907" w:h="16839" w:code="9"/>
      <w:pgMar w:top="1440" w:right="862" w:bottom="1440" w:left="144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bottom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066BE127-BC08-4814-9B1E-1B2F45D05B92. 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bottom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bottom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066BE127-BC08-4814-9B1E-1B2F45D05B92. 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bottom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bottom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066BE127-BC08-4814-9B1E-1B2F45D05B92. 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bottom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bottom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066BE127-BC08-4814-9B1E-1B2F45D05B92. 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bottom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403"/>
      <w:gridCol w:w="3202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403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bottom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066BE127-BC08-4814-9B1E-1B2F45D05B92. Uchwalony</w:t>
          </w:r>
        </w:p>
      </w:tc>
      <w:tc>
        <w:tcPr>
          <w:tcW w:w="3202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bottom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pPr>
        <w:spacing w:after="0" w:line="240" w:lineRule="auto"/>
      </w:pPr>
      <w:r>
        <w:separator/>
      </w:r>
    </w:p>
  </w:footnote>
  <w:footnote w:type="continuationSeparator" w:id="1">
    <w:p>
      <w:pPr>
        <w:spacing w:after="0" w:line="240" w:lineRule="auto"/>
      </w:pPr>
      <w:r>
        <w:continuationSeparator/>
      </w:r>
    </w:p>
  </w:footnote>
  <w:footnote w:id="2">
    <w:p>
      <w:pPr>
        <w:pStyle w:val="FootnoteText"/>
        <w:keepNext w:val="0"/>
        <w:keepLines/>
        <w:spacing w:before="0" w:after="0" w:line="240" w:lineRule="auto"/>
        <w:ind w:left="170" w:right="0" w:hanging="170"/>
        <w:jc w:val="both"/>
        <w:rPr>
          <w:rFonts w:ascii="Times New Roman" w:eastAsia="Times New Roman" w:hAnsi="Times New Roman" w:cs="Times New Roman"/>
          <w:sz w:val="20"/>
        </w:rPr>
      </w:pPr>
      <w:r>
        <w:rPr>
          <w:rStyle w:val="FootnoteReference"/>
          <w:b w:val="0"/>
          <w:caps w:val="0"/>
        </w:rPr>
        <w:t>1) </w:t>
      </w:r>
      <w:r>
        <w:rPr>
          <w:rFonts w:ascii="Times New Roman" w:eastAsia="Times New Roman" w:hAnsi="Times New Roman" w:cs="Times New Roman"/>
          <w:b w:val="0"/>
          <w:caps w:val="0"/>
          <w:sz w:val="20"/>
        </w:rPr>
        <w:t>Układ współrzędnych płaskich prostokątnych PL-1992 jest jednym z układów tworzących państwowy system odniesień przestrzennych, o którym mowa w przepisach wydanych na podstawie art. 3 ust. 5 ustawy z dnia 17 maja 1989 r. – Prawo geodezyjne i kartograficzne (t.j. Dz. U. z 2024 r. poz. 1151 i 1824).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footnotePr>
    <w:footnote w:id="0"/>
    <w:footnote w:id="1"/>
  </w:footnotePr>
  <w:endnotePr>
    <w:numFmt w:val="decimal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Times New Roman" w:eastAsia="Times New Roman" w:hAnsi="Times New Roman" w:cs="Times New Roman"/>
      <w:sz w:val="24"/>
      <w:szCs w:val="24"/>
      <w:lang w:val="pl-PL" w:eastAsia="pl-PL" w:bidi="pl-PL"/>
    </w:rPr>
  </w:style>
  <w:style w:type="character" w:default="1" w:styleId="DefaultParagraphFont">
    <w:name w:val="Default Paragraph Font"/>
    <w:semiHidden/>
    <w:rPr>
      <w:lang w:val="pl-PL" w:eastAsia="pl-PL" w:bidi="pl-PL"/>
    </w:rPr>
  </w:style>
  <w:style w:type="table" w:default="1" w:styleId="TableNormal">
    <w:name w:val="Normal Table"/>
    <w:semiHidden/>
    <w:rPr>
      <w:lang w:val="pl-PL" w:eastAsia="pl-PL" w:bidi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FootnoteReference">
    <w:name w:val="footnote reference"/>
    <w:basedOn w:val="DefaultParagraphFont"/>
    <w:rsid w:val="00805BCE"/>
    <w:rPr>
      <w:vertAlign w:val="superscript"/>
    </w:rPr>
  </w:style>
  <w:style w:type="paragraph" w:styleId="FootnoteText">
    <w:name w:val="footnote text"/>
    <w:basedOn w:val="Normal"/>
    <w:rsid w:val="00805BCE"/>
    <w:rPr>
      <w:sz w:val="20"/>
      <w:szCs w:val="20"/>
    </w:rPr>
  </w:style>
  <w:style w:type="paragraph" w:customStyle="1" w:styleId="Standard">
    <w:name w:val="Standard"/>
    <w:basedOn w:val="Normal"/>
    <w:pPr>
      <w:suppressAutoHyphens/>
      <w:jc w:val="left"/>
    </w:pPr>
    <w:rPr>
      <w:szCs w:val="20"/>
      <w:lang w:val="x-none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image" Target="media/image3.png" /><Relationship Id="rId11" Type="http://schemas.openxmlformats.org/officeDocument/2006/relationships/image" Target="ZalacznikE721C95F-F2EC-422C-9E58-4CF3A1E1A733.png" TargetMode="External" /><Relationship Id="rId12" Type="http://schemas.openxmlformats.org/officeDocument/2006/relationships/image" Target="media/image4.png" /><Relationship Id="rId13" Type="http://schemas.openxmlformats.org/officeDocument/2006/relationships/image" Target="Zalacznik57C4DF50-DC9E-4A83-B7F5-CCA5830F25E8.png" TargetMode="External" /><Relationship Id="rId14" Type="http://schemas.openxmlformats.org/officeDocument/2006/relationships/image" Target="media/image5.png" /><Relationship Id="rId15" Type="http://schemas.openxmlformats.org/officeDocument/2006/relationships/image" Target="ZalacznikE74C0FBF-C2B5-46A6-B3FC-E3D740CED3D1.png" TargetMode="External" /><Relationship Id="rId16" Type="http://schemas.openxmlformats.org/officeDocument/2006/relationships/image" Target="media/image6.png" /><Relationship Id="rId17" Type="http://schemas.openxmlformats.org/officeDocument/2006/relationships/image" Target="Zalacznik25F68F94-4762-4E4C-B4FD-11908E995E5D.png" TargetMode="External" /><Relationship Id="rId18" Type="http://schemas.openxmlformats.org/officeDocument/2006/relationships/image" Target="Zalacznik1E49BCB5-9784-4D74-8D97-29E584EDCCDC.jpg" TargetMode="External" /><Relationship Id="rId19" Type="http://schemas.openxmlformats.org/officeDocument/2006/relationships/footer" Target="footer2.xml" /><Relationship Id="rId2" Type="http://schemas.openxmlformats.org/officeDocument/2006/relationships/settings" Target="settings.xml" /><Relationship Id="rId20" Type="http://schemas.openxmlformats.org/officeDocument/2006/relationships/image" Target="Zalacznik76E93053-A4BB-4F3F-9E88-799348D16F42.jpg" TargetMode="External" /><Relationship Id="rId21" Type="http://schemas.openxmlformats.org/officeDocument/2006/relationships/footer" Target="footer3.xml" /><Relationship Id="rId22" Type="http://schemas.openxmlformats.org/officeDocument/2006/relationships/image" Target="Zalacznik4D89D389-9C88-4EA7-AEFC-CD78C9A77E5D.jpg" TargetMode="External" /><Relationship Id="rId23" Type="http://schemas.openxmlformats.org/officeDocument/2006/relationships/footer" Target="footer4.xml" /><Relationship Id="rId24" Type="http://schemas.openxmlformats.org/officeDocument/2006/relationships/image" Target="media/image7.jpeg" /><Relationship Id="rId25" Type="http://schemas.openxmlformats.org/officeDocument/2006/relationships/footer" Target="footer5.xml" /><Relationship Id="rId26" Type="http://schemas.openxmlformats.org/officeDocument/2006/relationships/theme" Target="theme/theme1.xml" /><Relationship Id="rId27" Type="http://schemas.openxmlformats.org/officeDocument/2006/relationships/styles" Target="style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image" Target="media/image1.jpeg" /><Relationship Id="rId6" Type="http://schemas.openxmlformats.org/officeDocument/2006/relationships/image" Target="Zalacznik42229822-0D4A-4A3F-B71D-C8C1B8D09A38.jpg" TargetMode="External" /><Relationship Id="rId7" Type="http://schemas.openxmlformats.org/officeDocument/2006/relationships/footer" Target="footer1.xml" /><Relationship Id="rId8" Type="http://schemas.openxmlformats.org/officeDocument/2006/relationships/image" Target="media/image2.png" /><Relationship Id="rId9" Type="http://schemas.openxmlformats.org/officeDocument/2006/relationships/image" Target="ZalacznikE82A0F6F-9ED4-4430-AC99-329F5A190A41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Regionalny Dyrektor Ochrony Środowiska w Bydgoszczy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z dnia 4 czerwca 2025 r.</dc:title>
  <dc:subject>w^sprawie uznania za rezerwat przyrody „Krzewińskie Bagno”</dc:subject>
  <dc:creator>kleszczynska</dc:creator>
  <cp:lastModifiedBy>kleszczynska</cp:lastModifiedBy>
  <cp:revision>1</cp:revision>
  <dcterms:created xsi:type="dcterms:W3CDTF">2025-06-02T13:16:42Z</dcterms:created>
  <dcterms:modified xsi:type="dcterms:W3CDTF">2025-06-02T13:16:42Z</dcterms:modified>
  <cp:category>Akt prawny</cp:category>
</cp:coreProperties>
</file>