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C49AF" w14:textId="65997509" w:rsidR="00E10570" w:rsidRDefault="00E10570" w:rsidP="003A1BBF">
      <w:pPr>
        <w:pStyle w:val="Style2"/>
        <w:widowControl/>
        <w:spacing w:line="360" w:lineRule="auto"/>
        <w:rPr>
          <w:rStyle w:val="FontStyle14"/>
          <w:b w:val="0"/>
          <w:sz w:val="24"/>
          <w:szCs w:val="24"/>
        </w:rPr>
      </w:pPr>
      <w:bookmarkStart w:id="0" w:name="_GoBack"/>
      <w:bookmarkEnd w:id="0"/>
    </w:p>
    <w:p w14:paraId="31A7998B" w14:textId="77777777" w:rsidR="00206B67" w:rsidRPr="00E76F6D" w:rsidRDefault="00206B67" w:rsidP="00206B67">
      <w:pPr>
        <w:widowControl/>
        <w:spacing w:line="240" w:lineRule="exact"/>
        <w:ind w:firstLine="701"/>
        <w:jc w:val="both"/>
        <w:rPr>
          <w:color w:val="FF0000"/>
          <w:sz w:val="20"/>
          <w:szCs w:val="20"/>
        </w:rPr>
      </w:pPr>
    </w:p>
    <w:p w14:paraId="29F3F021" w14:textId="0E4FEE58" w:rsidR="0049609E" w:rsidRDefault="0049609E" w:rsidP="00C638FB">
      <w:pPr>
        <w:pStyle w:val="Style2"/>
        <w:widowControl/>
        <w:spacing w:line="360" w:lineRule="auto"/>
      </w:pPr>
    </w:p>
    <w:p w14:paraId="5F34ECC6" w14:textId="40B0F1BA" w:rsidR="00E76F6D" w:rsidRDefault="00E76F6D" w:rsidP="007147B0">
      <w:pPr>
        <w:pStyle w:val="Style2"/>
        <w:widowControl/>
        <w:spacing w:after="240" w:line="360" w:lineRule="auto"/>
        <w:rPr>
          <w:rStyle w:val="FontStyle12"/>
        </w:rPr>
      </w:pPr>
      <w:r w:rsidRPr="007147B0">
        <w:rPr>
          <w:rStyle w:val="FontStyle14"/>
          <w:b w:val="0"/>
          <w:sz w:val="24"/>
          <w:szCs w:val="24"/>
        </w:rPr>
        <w:t>- Sprawa</w:t>
      </w:r>
      <w:r w:rsidRPr="007147B0">
        <w:rPr>
          <w:rStyle w:val="FontStyle13"/>
          <w:b w:val="0"/>
        </w:rPr>
        <w:t xml:space="preserve"> o sygn. </w:t>
      </w:r>
      <w:r w:rsidR="007147B0" w:rsidRPr="007147B0">
        <w:rPr>
          <w:rStyle w:val="FontStyle13"/>
          <w:b w:val="0"/>
        </w:rPr>
        <w:t>akt I C 1987/19</w:t>
      </w:r>
      <w:r w:rsidR="007147B0" w:rsidRPr="007147B0">
        <w:rPr>
          <w:rStyle w:val="FontStyle13"/>
        </w:rPr>
        <w:t xml:space="preserve"> </w:t>
      </w:r>
      <w:r>
        <w:t xml:space="preserve">z powództwa Jacka Płotkowiaka, działającego jako reprezentant grupy, przeciwko Santander Towarzystwu Funduszy Inwestycyjnych spółka akcyjna z siedzibą w Poznaniu </w:t>
      </w:r>
      <w:r>
        <w:rPr>
          <w:rStyle w:val="FontStyle12"/>
        </w:rPr>
        <w:t>o zapłatę.</w:t>
      </w:r>
    </w:p>
    <w:p w14:paraId="0C6C54CE" w14:textId="53CE68D6" w:rsidR="00E76F6D" w:rsidRDefault="00E76F6D" w:rsidP="00BE7EB2">
      <w:pPr>
        <w:pStyle w:val="Style2"/>
        <w:widowControl/>
        <w:spacing w:after="240" w:line="360" w:lineRule="auto"/>
      </w:pPr>
      <w:r>
        <w:t xml:space="preserve">- </w:t>
      </w:r>
      <w:r>
        <w:rPr>
          <w:rStyle w:val="FontStyle12"/>
        </w:rPr>
        <w:t xml:space="preserve">Postanowieniem z dnia 1 czerwca 2020 </w:t>
      </w:r>
      <w:r w:rsidRPr="002B26A5">
        <w:rPr>
          <w:rStyle w:val="FontStyle12"/>
        </w:rPr>
        <w:t>r.</w:t>
      </w:r>
      <w:r w:rsidR="00BE7EB2">
        <w:rPr>
          <w:rStyle w:val="FontStyle12"/>
        </w:rPr>
        <w:t xml:space="preserve">, sygn. akt </w:t>
      </w:r>
      <w:r w:rsidR="00BE7EB2" w:rsidRPr="007147B0">
        <w:rPr>
          <w:rStyle w:val="FontStyle13"/>
          <w:b w:val="0"/>
        </w:rPr>
        <w:t>I C 1987/1</w:t>
      </w:r>
      <w:r w:rsidR="00BE7EB2">
        <w:rPr>
          <w:rStyle w:val="FontStyle13"/>
          <w:b w:val="0"/>
        </w:rPr>
        <w:t>9,</w:t>
      </w:r>
      <w:r w:rsidR="00BE7EB2">
        <w:rPr>
          <w:rStyle w:val="FontStyle12"/>
        </w:rPr>
        <w:t xml:space="preserve"> </w:t>
      </w:r>
      <w:r>
        <w:rPr>
          <w:rStyle w:val="FontStyle12"/>
        </w:rPr>
        <w:t xml:space="preserve">Sąd Okręgowy </w:t>
      </w:r>
      <w:r w:rsidR="00BE7EB2">
        <w:rPr>
          <w:rStyle w:val="FontStyle12"/>
        </w:rPr>
        <w:br/>
      </w:r>
      <w:r>
        <w:rPr>
          <w:rStyle w:val="FontStyle12"/>
        </w:rPr>
        <w:t xml:space="preserve">w Poznaniu, Wydział I Cywilny postanowił zarządzić </w:t>
      </w:r>
      <w:r w:rsidRPr="00263D0D">
        <w:t xml:space="preserve">zamieszczenie ogłoszenia </w:t>
      </w:r>
      <w:r w:rsidR="00BE7EB2">
        <w:br/>
      </w:r>
      <w:r w:rsidRPr="00263D0D">
        <w:t xml:space="preserve">o wszczęciu postępowania grupowego </w:t>
      </w:r>
      <w:r>
        <w:t>przez okres 21 dni na stronie BIP Sądu Okręgowego w Poznaniu, a także stronie internetowej pozwanego Santander Towarzystw</w:t>
      </w:r>
      <w:r w:rsidR="009D7301">
        <w:t>a</w:t>
      </w:r>
      <w:r>
        <w:t xml:space="preserve"> Funduszy Inwestycyjnych spółka akcyjna z siedzibą w Poznaniu o treści: </w:t>
      </w:r>
    </w:p>
    <w:p w14:paraId="768B2B85" w14:textId="4DAF3358" w:rsidR="007147B0" w:rsidRDefault="006059A4" w:rsidP="007147B0">
      <w:pPr>
        <w:pStyle w:val="Style2"/>
        <w:widowControl/>
        <w:spacing w:line="360" w:lineRule="auto"/>
      </w:pPr>
      <w:r>
        <w:t xml:space="preserve">     </w:t>
      </w:r>
      <w:r w:rsidR="0049609E">
        <w:t>„Przed Sądem Okręgowym w Poznaniu w Wydziale I Cywilnym wszczęte zostało postępowanie grupowe, w trybie ustawy z dnia 17 grudnia 2009 roku o dochodzeniu roszczeń w postępowaniu grupowym (Dz.U. nr 7 z 2010 r. poz.</w:t>
      </w:r>
      <w:r w:rsidR="00E76F6D">
        <w:t xml:space="preserve"> </w:t>
      </w:r>
      <w:r w:rsidR="0049609E">
        <w:t xml:space="preserve">44, ze zmianami) </w:t>
      </w:r>
      <w:r w:rsidR="00D80045">
        <w:br/>
      </w:r>
      <w:r w:rsidR="0049609E">
        <w:t xml:space="preserve">z powództwa Jacka Płotkowiaka, działającego jako reprezentanta grupy, przeciwko Santander Towarzystwu Funduszy Inwestycyjnych spółka akcyjna z siedzibą </w:t>
      </w:r>
      <w:r w:rsidR="00D80045">
        <w:br/>
      </w:r>
      <w:r w:rsidR="0049609E">
        <w:t>w Poznaniu, sygnatura akt I C 1987/19. Jacek Płotkowiak jako reprezentant grupy wniósł  o ustalenie, że pozwany ponosi co do zasady odpowiedzialność  odszkodowawczą  względem powoda oraz Członków Grupy za wyrządzone im szkody z tytułu niewykonania oraz nienależytego wykonania obowiązków, jakie ciążyły na nim, jako podmiocie zarządzającym Funduszem „Arka BZ WBK Fundusz Rynku Nieruchomości Specjalistyczny Fundusz Inwestycyjny Zamknięty", przy czym wartość odszkodowania winna zostać  ustalona według zasady 54,38 PLN za każdy certyfikat, podlegający umorzeniu w trakcie likwidacji Funduszu, a także o zasądzenie od pozwanego na rzecz powoda zwrotu kosztów procesu, w tym kosztów zastępstwa adwokackiego według norm przepisanych. Uzasadniając swoje roszczenie reprezentant grupy zarzucił  pozwanemu zaniechanie zbycia majątku w terminie zakreślonym statutem oraz podjęcie decyzji o przedłużeniu działalności Funduszu, co spowodowało 45 % deprecjację  wartości majątku. Podał, że likwidator</w:t>
      </w:r>
      <w:r w:rsidR="007147B0">
        <w:t xml:space="preserve"> - </w:t>
      </w:r>
      <w:r w:rsidR="0049609E">
        <w:t xml:space="preserve">ING Bank Śląski S.A. z siedzibą  </w:t>
      </w:r>
      <w:r w:rsidR="00D80045">
        <w:br/>
      </w:r>
      <w:r w:rsidR="0049609E">
        <w:t xml:space="preserve">w Katowicach wypłacił  uczestnikom tzw. wartość  umorzeniową  certyfikatu </w:t>
      </w:r>
      <w:r w:rsidR="00D80045">
        <w:br/>
      </w:r>
      <w:r w:rsidR="0049609E">
        <w:t>po 64,68 PLN. Nadmienił, że w konsekwencji po stronie uczestników Funduszu wygenerowało to realną  stratę  w wymiarze 54,38 PLN (119,06 PLN</w:t>
      </w:r>
      <w:r w:rsidR="00D80045">
        <w:t xml:space="preserve"> - </w:t>
      </w:r>
      <w:r w:rsidR="0049609E">
        <w:t xml:space="preserve">64,68 PLN). </w:t>
      </w:r>
      <w:r w:rsidR="007147B0">
        <w:t xml:space="preserve"> </w:t>
      </w:r>
    </w:p>
    <w:p w14:paraId="3B7BA386" w14:textId="484D94A0" w:rsidR="007147B0" w:rsidRDefault="007147B0" w:rsidP="007147B0">
      <w:pPr>
        <w:pStyle w:val="Style2"/>
        <w:widowControl/>
        <w:spacing w:line="360" w:lineRule="auto"/>
      </w:pPr>
      <w:r>
        <w:t xml:space="preserve">      </w:t>
      </w:r>
      <w:r w:rsidR="0049609E">
        <w:t>Każda osoba, która zawarła umowę  nabycia certyfikatów Funduszu „Arka BZ WBK Fundusz Rynku Nieruchomości Specjalistyczny Fundusz Inwestycyjny Za</w:t>
      </w:r>
      <w:r w:rsidR="00852B19">
        <w:t>m</w:t>
      </w:r>
      <w:r w:rsidR="0049609E">
        <w:t xml:space="preserve">knięty", których subskrypcja odbywała się w maju i czerwcu 2004 roku oraz stwierdzi, że jej roszczenie może być  objęte tym powództwem grupowym, może </w:t>
      </w:r>
      <w:r w:rsidR="00852B19">
        <w:t>p</w:t>
      </w:r>
      <w:r w:rsidR="0049609E">
        <w:t xml:space="preserve">rzystąpić do sprawy składając pisemne oświadczenie. Oświadczenie należy złożyć  </w:t>
      </w:r>
      <w:r w:rsidR="0049609E">
        <w:lastRenderedPageBreak/>
        <w:t>reprezentantowi grupy</w:t>
      </w:r>
      <w:r w:rsidR="00D80045">
        <w:t xml:space="preserve"> - </w:t>
      </w:r>
      <w:r w:rsidR="0049609E">
        <w:t xml:space="preserve">Jackowi Płotkowiakowi, za pośrednictwem Kancelarii Prawnej Adwokat Arkadiusz Niewiada, ul. Garbary 53/1, 61 </w:t>
      </w:r>
      <w:r w:rsidR="00D80045">
        <w:t xml:space="preserve">- </w:t>
      </w:r>
      <w:r w:rsidR="0049609E">
        <w:t xml:space="preserve">869 Poznań  w terminie dwóch miesięcy od dnia ukazania niniejszego ogłoszenia. </w:t>
      </w:r>
    </w:p>
    <w:p w14:paraId="6D04DFA4" w14:textId="77777777" w:rsidR="00FD66A4" w:rsidRDefault="007147B0" w:rsidP="007147B0">
      <w:pPr>
        <w:pStyle w:val="Style2"/>
        <w:widowControl/>
        <w:spacing w:line="360" w:lineRule="auto"/>
      </w:pPr>
      <w:r>
        <w:t xml:space="preserve">      </w:t>
      </w:r>
      <w:r w:rsidR="0049609E">
        <w:t xml:space="preserve">Przystąpienie do grupy po upływie powyższego terminu jest niedopuszczalne. </w:t>
      </w:r>
      <w:r w:rsidR="00FD66A4">
        <w:t xml:space="preserve">  </w:t>
      </w:r>
    </w:p>
    <w:p w14:paraId="719ED224" w14:textId="55518AD0" w:rsidR="0049609E" w:rsidRDefault="00FD66A4" w:rsidP="007147B0">
      <w:pPr>
        <w:pStyle w:val="Style2"/>
        <w:widowControl/>
        <w:spacing w:line="360" w:lineRule="auto"/>
      </w:pPr>
      <w:r>
        <w:t xml:space="preserve">      </w:t>
      </w:r>
      <w:r w:rsidR="0049609E">
        <w:t xml:space="preserve">Złożenie oświadczenia o przystąpieniu do grupy jest równoznaczne z wyrażeniem zgody na pełnienie funkcji reprezentanta grupy przez Jacka Płotkowiaka oraz zasady wynagradzania pełnomocnika. Wynagradzanie pełnomocnika reprezentanta wynosi </w:t>
      </w:r>
      <w:r w:rsidR="006059A4">
        <w:br/>
      </w:r>
      <w:r w:rsidR="0049609E">
        <w:t xml:space="preserve">738 PLN jako wynagrodzenie podstawowe za prowadzenie sprawy na rzecz każdego </w:t>
      </w:r>
      <w:r>
        <w:br/>
      </w:r>
      <w:r w:rsidR="0049609E">
        <w:t xml:space="preserve">z członków grupy. W przypadku wydania wyroku zasądzającego na rzecz członków grupy lub w przypadku zawarcia ugody (sądowej lub pozasądowej) pełnomocnik otrzyma wynagrodzenie dodatkowe w wysokości 15% brutto od kwoty uzyskanego świadczenia przez każdego z członków grupy, liczonego jako suma należności głównej </w:t>
      </w:r>
      <w:r>
        <w:br/>
      </w:r>
      <w:r w:rsidR="0049609E">
        <w:t xml:space="preserve">i odsetek. </w:t>
      </w:r>
    </w:p>
    <w:p w14:paraId="2B775CF8" w14:textId="34469248" w:rsidR="0049609E" w:rsidRDefault="00FD66A4" w:rsidP="00FD66A4">
      <w:pPr>
        <w:pStyle w:val="Style2"/>
        <w:widowControl/>
        <w:spacing w:after="240" w:line="360" w:lineRule="auto"/>
      </w:pPr>
      <w:r>
        <w:t xml:space="preserve">      </w:t>
      </w:r>
      <w:r w:rsidR="0049609E">
        <w:t>Prawomocny wyrok ma skutek wobec wszystkich członków grupy, które skutecznie złożą  oświadczenie o przystąpieniu do postępowania grupowego i zostaną</w:t>
      </w:r>
      <w:r w:rsidR="00E76F6D">
        <w:t xml:space="preserve"> </w:t>
      </w:r>
      <w:r w:rsidR="0049609E">
        <w:t>uwzględnione w postanowieniu sądu określającym skład grupy."</w:t>
      </w:r>
    </w:p>
    <w:p w14:paraId="552AE9F1" w14:textId="63F74413" w:rsidR="00186008" w:rsidRDefault="00186008" w:rsidP="00186008">
      <w:pPr>
        <w:widowControl/>
        <w:spacing w:after="240" w:line="360" w:lineRule="auto"/>
        <w:jc w:val="both"/>
        <w:rPr>
          <w:bCs/>
        </w:rPr>
      </w:pPr>
      <w:r>
        <w:t xml:space="preserve">- </w:t>
      </w:r>
      <w:r>
        <w:rPr>
          <w:bCs/>
        </w:rPr>
        <w:t xml:space="preserve">Ogłoszenie zostało opublikowane na stronie BIP Sądu Okręgowego w Poznaniu w dniu </w:t>
      </w:r>
      <w:r>
        <w:rPr>
          <w:bCs/>
        </w:rPr>
        <w:br/>
        <w:t xml:space="preserve">9 czerwca 2020 r. </w:t>
      </w:r>
    </w:p>
    <w:p w14:paraId="0FC8D51E" w14:textId="4D582CE7" w:rsidR="00FD66A4" w:rsidRDefault="00FD66A4" w:rsidP="00FD66A4">
      <w:pPr>
        <w:pStyle w:val="Style2"/>
        <w:widowControl/>
        <w:spacing w:after="240" w:line="360" w:lineRule="auto"/>
      </w:pPr>
      <w:r>
        <w:t>- Postępowanie jest w toku.</w:t>
      </w:r>
    </w:p>
    <w:p w14:paraId="3F457B78" w14:textId="77777777" w:rsidR="00C638FB" w:rsidRPr="00206B67" w:rsidRDefault="00C638FB" w:rsidP="00E76F6D">
      <w:pPr>
        <w:widowControl/>
        <w:spacing w:before="202" w:line="442" w:lineRule="exact"/>
        <w:ind w:firstLine="701"/>
        <w:jc w:val="both"/>
      </w:pPr>
    </w:p>
    <w:p w14:paraId="679E7A04" w14:textId="77777777" w:rsidR="003A1BBF" w:rsidRPr="00E04077" w:rsidRDefault="003A1BBF" w:rsidP="003A1BBF">
      <w:pPr>
        <w:pStyle w:val="Style2"/>
        <w:widowControl/>
        <w:spacing w:line="360" w:lineRule="auto"/>
        <w:rPr>
          <w:rStyle w:val="FontStyle13"/>
          <w:b w:val="0"/>
          <w:bCs w:val="0"/>
        </w:rPr>
      </w:pPr>
    </w:p>
    <w:sectPr w:rsidR="003A1BBF" w:rsidRPr="00E04077">
      <w:type w:val="continuous"/>
      <w:pgSz w:w="11905" w:h="16837"/>
      <w:pgMar w:top="725" w:right="1599" w:bottom="541" w:left="1829"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CCBC5" w14:textId="77777777" w:rsidR="003F5263" w:rsidRDefault="003F5263">
      <w:r>
        <w:separator/>
      </w:r>
    </w:p>
  </w:endnote>
  <w:endnote w:type="continuationSeparator" w:id="0">
    <w:p w14:paraId="6AA5FFBE" w14:textId="77777777" w:rsidR="003F5263" w:rsidRDefault="003F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2FF" w:usb1="0000FCFF" w:usb2="00000001" w:usb3="00000000" w:csb0="0000019F" w:csb1="00000000"/>
  </w:font>
  <w:font w:name="Franklin Gothic Demi Cond">
    <w:panose1 w:val="020B07060304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B836E" w14:textId="77777777" w:rsidR="003F5263" w:rsidRDefault="003F5263">
      <w:r>
        <w:separator/>
      </w:r>
    </w:p>
  </w:footnote>
  <w:footnote w:type="continuationSeparator" w:id="0">
    <w:p w14:paraId="0BDE8253" w14:textId="77777777" w:rsidR="003F5263" w:rsidRDefault="003F5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D948EB"/>
    <w:multiLevelType w:val="singleLevel"/>
    <w:tmpl w:val="4A786032"/>
    <w:lvl w:ilvl="0">
      <w:start w:val="2"/>
      <w:numFmt w:val="decimal"/>
      <w:lvlText w:val="%1."/>
      <w:legacy w:legacy="1" w:legacySpace="0" w:legacyIndent="346"/>
      <w:lvlJc w:val="left"/>
      <w:pPr>
        <w:ind w:left="0" w:firstLine="0"/>
      </w:pPr>
      <w:rPr>
        <w:rFonts w:ascii="Microsoft Sans Serif" w:hAnsi="Microsoft Sans Serif" w:cs="Microsoft Sans Serif" w:hint="default"/>
      </w:rPr>
    </w:lvl>
  </w:abstractNum>
  <w:abstractNum w:abstractNumId="1" w15:restartNumberingAfterBreak="0">
    <w:nsid w:val="6AB900F9"/>
    <w:multiLevelType w:val="singleLevel"/>
    <w:tmpl w:val="2B6AF112"/>
    <w:lvl w:ilvl="0">
      <w:numFmt w:val="decimal"/>
      <w:lvlText w:val="%1"/>
      <w:legacy w:legacy="1" w:legacySpace="0" w:legacyIndent="201"/>
      <w:lvlJc w:val="left"/>
      <w:rPr>
        <w:rFonts w:ascii="Georgia" w:hAnsi="Georgia" w:hint="default"/>
      </w:rPr>
    </w:lvl>
  </w:abstractNum>
  <w:abstractNum w:abstractNumId="2" w15:restartNumberingAfterBreak="0">
    <w:nsid w:val="72CD77F7"/>
    <w:multiLevelType w:val="singleLevel"/>
    <w:tmpl w:val="FFE2063E"/>
    <w:lvl w:ilvl="0">
      <w:start w:val="2"/>
      <w:numFmt w:val="decimal"/>
      <w:lvlText w:val="%1)"/>
      <w:legacy w:legacy="1" w:legacySpace="0" w:legacyIndent="336"/>
      <w:lvlJc w:val="left"/>
      <w:rPr>
        <w:rFonts w:ascii="Times New Roman" w:hAnsi="Times New Roman" w:cs="Times New Roman" w:hint="default"/>
      </w:rPr>
    </w:lvl>
  </w:abstractNum>
  <w:num w:numId="1">
    <w:abstractNumId w:val="1"/>
  </w:num>
  <w:num w:numId="2">
    <w:abstractNumId w:val="1"/>
    <w:lvlOverride w:ilvl="0">
      <w:lvl w:ilvl="0">
        <w:numFmt w:val="decimal"/>
        <w:lvlText w:val="%1"/>
        <w:legacy w:legacy="1" w:legacySpace="0" w:legacyIndent="201"/>
        <w:lvlJc w:val="left"/>
        <w:rPr>
          <w:rFonts w:ascii="Times New Roman" w:hAnsi="Times New Roman" w:cs="Times New Roman" w:hint="default"/>
        </w:rPr>
      </w:lvl>
    </w:lvlOverride>
  </w:num>
  <w:num w:numId="3">
    <w:abstractNumId w:val="2"/>
  </w:num>
  <w:num w:numId="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6DB"/>
    <w:rsid w:val="00014116"/>
    <w:rsid w:val="000375A8"/>
    <w:rsid w:val="00046F80"/>
    <w:rsid w:val="00056D50"/>
    <w:rsid w:val="0007563F"/>
    <w:rsid w:val="00082649"/>
    <w:rsid w:val="000830CA"/>
    <w:rsid w:val="000B0972"/>
    <w:rsid w:val="000C77DC"/>
    <w:rsid w:val="000F4712"/>
    <w:rsid w:val="00135369"/>
    <w:rsid w:val="00146D18"/>
    <w:rsid w:val="00177637"/>
    <w:rsid w:val="00186008"/>
    <w:rsid w:val="001871A2"/>
    <w:rsid w:val="00197770"/>
    <w:rsid w:val="001B1A0E"/>
    <w:rsid w:val="001C08F9"/>
    <w:rsid w:val="001E2512"/>
    <w:rsid w:val="001F1ACC"/>
    <w:rsid w:val="002021F6"/>
    <w:rsid w:val="00206B67"/>
    <w:rsid w:val="00263D0D"/>
    <w:rsid w:val="002873B6"/>
    <w:rsid w:val="002B06B8"/>
    <w:rsid w:val="002B26A5"/>
    <w:rsid w:val="002C3917"/>
    <w:rsid w:val="002E3E9A"/>
    <w:rsid w:val="002E4FEA"/>
    <w:rsid w:val="002F3284"/>
    <w:rsid w:val="00317271"/>
    <w:rsid w:val="00322817"/>
    <w:rsid w:val="00351112"/>
    <w:rsid w:val="00351D46"/>
    <w:rsid w:val="0035340C"/>
    <w:rsid w:val="0035619A"/>
    <w:rsid w:val="00366BE6"/>
    <w:rsid w:val="00375AF2"/>
    <w:rsid w:val="003A1BBF"/>
    <w:rsid w:val="003B0905"/>
    <w:rsid w:val="003B74C4"/>
    <w:rsid w:val="003C3A6F"/>
    <w:rsid w:val="003C6ACB"/>
    <w:rsid w:val="003C78E5"/>
    <w:rsid w:val="003E5D0A"/>
    <w:rsid w:val="003F5263"/>
    <w:rsid w:val="003F58A8"/>
    <w:rsid w:val="00417CD6"/>
    <w:rsid w:val="004425A1"/>
    <w:rsid w:val="00457168"/>
    <w:rsid w:val="00464C0E"/>
    <w:rsid w:val="00464EC6"/>
    <w:rsid w:val="004656DB"/>
    <w:rsid w:val="0049609E"/>
    <w:rsid w:val="004974E9"/>
    <w:rsid w:val="004A5849"/>
    <w:rsid w:val="004D45DD"/>
    <w:rsid w:val="004F356A"/>
    <w:rsid w:val="004F4686"/>
    <w:rsid w:val="005047FF"/>
    <w:rsid w:val="00514390"/>
    <w:rsid w:val="00563972"/>
    <w:rsid w:val="00587440"/>
    <w:rsid w:val="005A78B2"/>
    <w:rsid w:val="005B439F"/>
    <w:rsid w:val="005C014E"/>
    <w:rsid w:val="005D40C4"/>
    <w:rsid w:val="005E5AFF"/>
    <w:rsid w:val="00601B62"/>
    <w:rsid w:val="006049DE"/>
    <w:rsid w:val="006059A4"/>
    <w:rsid w:val="0062077F"/>
    <w:rsid w:val="00621FB4"/>
    <w:rsid w:val="00623AA4"/>
    <w:rsid w:val="006506FB"/>
    <w:rsid w:val="00681C24"/>
    <w:rsid w:val="0069397D"/>
    <w:rsid w:val="006A6D0A"/>
    <w:rsid w:val="006B369C"/>
    <w:rsid w:val="006E2082"/>
    <w:rsid w:val="006F628D"/>
    <w:rsid w:val="007147B0"/>
    <w:rsid w:val="00765ACA"/>
    <w:rsid w:val="007B5656"/>
    <w:rsid w:val="007C3A4C"/>
    <w:rsid w:val="007E624D"/>
    <w:rsid w:val="0084425B"/>
    <w:rsid w:val="0085262E"/>
    <w:rsid w:val="00852B19"/>
    <w:rsid w:val="00863317"/>
    <w:rsid w:val="00875E6F"/>
    <w:rsid w:val="0087638C"/>
    <w:rsid w:val="008932F3"/>
    <w:rsid w:val="008F1976"/>
    <w:rsid w:val="00906059"/>
    <w:rsid w:val="00906682"/>
    <w:rsid w:val="00926865"/>
    <w:rsid w:val="009453AE"/>
    <w:rsid w:val="00952CC1"/>
    <w:rsid w:val="00952EA2"/>
    <w:rsid w:val="00992D3B"/>
    <w:rsid w:val="009B0F9C"/>
    <w:rsid w:val="009B1E90"/>
    <w:rsid w:val="009B7F14"/>
    <w:rsid w:val="009D7301"/>
    <w:rsid w:val="00A27245"/>
    <w:rsid w:val="00A3266B"/>
    <w:rsid w:val="00A62DDD"/>
    <w:rsid w:val="00A73523"/>
    <w:rsid w:val="00A744AE"/>
    <w:rsid w:val="00A754DE"/>
    <w:rsid w:val="00A847BF"/>
    <w:rsid w:val="00AD0055"/>
    <w:rsid w:val="00AE4EBA"/>
    <w:rsid w:val="00AF428C"/>
    <w:rsid w:val="00AF718A"/>
    <w:rsid w:val="00B07A20"/>
    <w:rsid w:val="00B27DA6"/>
    <w:rsid w:val="00B522C5"/>
    <w:rsid w:val="00B61B74"/>
    <w:rsid w:val="00B65356"/>
    <w:rsid w:val="00B77D02"/>
    <w:rsid w:val="00B852C8"/>
    <w:rsid w:val="00BA041B"/>
    <w:rsid w:val="00BA79BF"/>
    <w:rsid w:val="00BC018F"/>
    <w:rsid w:val="00BC180E"/>
    <w:rsid w:val="00BD753C"/>
    <w:rsid w:val="00BE7EB2"/>
    <w:rsid w:val="00BF4DB3"/>
    <w:rsid w:val="00BF6753"/>
    <w:rsid w:val="00C03406"/>
    <w:rsid w:val="00C25967"/>
    <w:rsid w:val="00C27D86"/>
    <w:rsid w:val="00C610B0"/>
    <w:rsid w:val="00C638FB"/>
    <w:rsid w:val="00C70025"/>
    <w:rsid w:val="00C846F1"/>
    <w:rsid w:val="00C90F5E"/>
    <w:rsid w:val="00C922AC"/>
    <w:rsid w:val="00CB60DE"/>
    <w:rsid w:val="00CD3282"/>
    <w:rsid w:val="00CF31CB"/>
    <w:rsid w:val="00D16489"/>
    <w:rsid w:val="00D51D5D"/>
    <w:rsid w:val="00D57B31"/>
    <w:rsid w:val="00D75CA8"/>
    <w:rsid w:val="00D80045"/>
    <w:rsid w:val="00D8386C"/>
    <w:rsid w:val="00D87C38"/>
    <w:rsid w:val="00DA3470"/>
    <w:rsid w:val="00DC0995"/>
    <w:rsid w:val="00DD06AA"/>
    <w:rsid w:val="00E04077"/>
    <w:rsid w:val="00E10570"/>
    <w:rsid w:val="00E1666C"/>
    <w:rsid w:val="00E2029F"/>
    <w:rsid w:val="00E753E9"/>
    <w:rsid w:val="00E76F6D"/>
    <w:rsid w:val="00EA0421"/>
    <w:rsid w:val="00EA2163"/>
    <w:rsid w:val="00EC389D"/>
    <w:rsid w:val="00F1226B"/>
    <w:rsid w:val="00F2233C"/>
    <w:rsid w:val="00F23140"/>
    <w:rsid w:val="00F32E42"/>
    <w:rsid w:val="00F34081"/>
    <w:rsid w:val="00F34A9E"/>
    <w:rsid w:val="00F43BEC"/>
    <w:rsid w:val="00F50B39"/>
    <w:rsid w:val="00F71297"/>
    <w:rsid w:val="00F73A9D"/>
    <w:rsid w:val="00F80FEC"/>
    <w:rsid w:val="00F94A3C"/>
    <w:rsid w:val="00FB45D9"/>
    <w:rsid w:val="00FD66A4"/>
    <w:rsid w:val="00FE12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E2114"/>
  <w14:defaultImageDpi w14:val="0"/>
  <w15:docId w15:val="{21851B2F-D567-4A08-8942-BE4C1121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464" w:lineRule="exact"/>
      <w:jc w:val="both"/>
    </w:pPr>
  </w:style>
  <w:style w:type="paragraph" w:customStyle="1" w:styleId="Style2">
    <w:name w:val="Style2"/>
    <w:basedOn w:val="Normalny"/>
    <w:uiPriority w:val="99"/>
    <w:pPr>
      <w:spacing w:line="465" w:lineRule="exact"/>
      <w:jc w:val="both"/>
    </w:pPr>
  </w:style>
  <w:style w:type="paragraph" w:customStyle="1" w:styleId="Style3">
    <w:name w:val="Style3"/>
    <w:basedOn w:val="Normalny"/>
    <w:uiPriority w:val="99"/>
    <w:pPr>
      <w:spacing w:line="465" w:lineRule="exact"/>
      <w:ind w:hanging="336"/>
      <w:jc w:val="both"/>
    </w:pPr>
  </w:style>
  <w:style w:type="character" w:customStyle="1" w:styleId="FontStyle11">
    <w:name w:val="Font Style11"/>
    <w:basedOn w:val="Domylnaczcionkaakapitu"/>
    <w:uiPriority w:val="99"/>
    <w:rPr>
      <w:rFonts w:ascii="Georgia" w:hAnsi="Georgia" w:cs="Georgia"/>
      <w:sz w:val="22"/>
      <w:szCs w:val="22"/>
    </w:rPr>
  </w:style>
  <w:style w:type="character" w:customStyle="1" w:styleId="FontStyle12">
    <w:name w:val="Font Style12"/>
    <w:basedOn w:val="Domylnaczcionkaakapitu"/>
    <w:uiPriority w:val="99"/>
    <w:rPr>
      <w:rFonts w:ascii="Times New Roman" w:hAnsi="Times New Roman" w:cs="Times New Roman"/>
      <w:sz w:val="24"/>
      <w:szCs w:val="24"/>
    </w:rPr>
  </w:style>
  <w:style w:type="character" w:customStyle="1" w:styleId="FontStyle13">
    <w:name w:val="Font Style13"/>
    <w:basedOn w:val="Domylnaczcionkaakapitu"/>
    <w:uiPriority w:val="99"/>
    <w:rPr>
      <w:rFonts w:ascii="Times New Roman" w:hAnsi="Times New Roman" w:cs="Times New Roman"/>
      <w:b/>
      <w:bCs/>
      <w:sz w:val="24"/>
      <w:szCs w:val="24"/>
    </w:rPr>
  </w:style>
  <w:style w:type="character" w:customStyle="1" w:styleId="FontStyle14">
    <w:name w:val="Font Style14"/>
    <w:basedOn w:val="Domylnaczcionkaakapitu"/>
    <w:uiPriority w:val="99"/>
    <w:rPr>
      <w:rFonts w:ascii="Times New Roman" w:hAnsi="Times New Roman" w:cs="Times New Roman"/>
      <w:b/>
      <w:bCs/>
      <w:sz w:val="20"/>
      <w:szCs w:val="20"/>
    </w:rPr>
  </w:style>
  <w:style w:type="character" w:styleId="Hipercze">
    <w:name w:val="Hyperlink"/>
    <w:basedOn w:val="Domylnaczcionkaakapitu"/>
    <w:uiPriority w:val="99"/>
    <w:rPr>
      <w:color w:val="0066CC"/>
      <w:u w:val="single"/>
    </w:rPr>
  </w:style>
  <w:style w:type="paragraph" w:customStyle="1" w:styleId="Style4">
    <w:name w:val="Style4"/>
    <w:basedOn w:val="Normalny"/>
    <w:uiPriority w:val="99"/>
    <w:rsid w:val="0035619A"/>
    <w:pPr>
      <w:spacing w:line="362" w:lineRule="exact"/>
    </w:pPr>
    <w:rPr>
      <w:rFonts w:ascii="Microsoft Sans Serif" w:hAnsi="Microsoft Sans Serif" w:cs="Microsoft Sans Serif"/>
    </w:rPr>
  </w:style>
  <w:style w:type="paragraph" w:customStyle="1" w:styleId="Style5">
    <w:name w:val="Style5"/>
    <w:basedOn w:val="Normalny"/>
    <w:uiPriority w:val="99"/>
    <w:rsid w:val="0035619A"/>
    <w:rPr>
      <w:rFonts w:ascii="Microsoft Sans Serif" w:hAnsi="Microsoft Sans Serif" w:cs="Microsoft Sans Serif"/>
    </w:rPr>
  </w:style>
  <w:style w:type="character" w:customStyle="1" w:styleId="FontStyle15">
    <w:name w:val="Font Style15"/>
    <w:basedOn w:val="Domylnaczcionkaakapitu"/>
    <w:uiPriority w:val="99"/>
    <w:rsid w:val="00563972"/>
    <w:rPr>
      <w:rFonts w:ascii="Consolas" w:hAnsi="Consolas" w:cs="Consolas" w:hint="default"/>
      <w:b/>
      <w:bCs/>
      <w:sz w:val="8"/>
      <w:szCs w:val="8"/>
    </w:rPr>
  </w:style>
  <w:style w:type="character" w:customStyle="1" w:styleId="FontStyle16">
    <w:name w:val="Font Style16"/>
    <w:basedOn w:val="Domylnaczcionkaakapitu"/>
    <w:uiPriority w:val="99"/>
    <w:rsid w:val="00563972"/>
    <w:rPr>
      <w:rFonts w:ascii="Franklin Gothic Demi Cond" w:hAnsi="Franklin Gothic Demi Cond" w:cs="Franklin Gothic Demi Cond" w:hint="default"/>
      <w:b/>
      <w:bCs/>
      <w:smallCaps/>
      <w:spacing w:val="20"/>
      <w:sz w:val="10"/>
      <w:szCs w:val="10"/>
    </w:rPr>
  </w:style>
  <w:style w:type="character" w:customStyle="1" w:styleId="FontStyle17">
    <w:name w:val="Font Style17"/>
    <w:basedOn w:val="Domylnaczcionkaakapitu"/>
    <w:uiPriority w:val="99"/>
    <w:rsid w:val="00563972"/>
    <w:rPr>
      <w:rFonts w:ascii="Times New Roman" w:hAnsi="Times New Roman" w:cs="Times New Roman" w:hint="default"/>
      <w:b/>
      <w:bCs/>
      <w:sz w:val="12"/>
      <w:szCs w:val="12"/>
    </w:rPr>
  </w:style>
  <w:style w:type="character" w:customStyle="1" w:styleId="FontStyle18">
    <w:name w:val="Font Style18"/>
    <w:basedOn w:val="Domylnaczcionkaakapitu"/>
    <w:uiPriority w:val="99"/>
    <w:rsid w:val="00563972"/>
    <w:rPr>
      <w:rFonts w:ascii="Courier New" w:hAnsi="Courier New" w:cs="Courier New" w:hint="default"/>
      <w:sz w:val="10"/>
      <w:szCs w:val="10"/>
    </w:rPr>
  </w:style>
  <w:style w:type="character" w:customStyle="1" w:styleId="FontStyle19">
    <w:name w:val="Font Style19"/>
    <w:basedOn w:val="Domylnaczcionkaakapitu"/>
    <w:uiPriority w:val="99"/>
    <w:rsid w:val="00563972"/>
    <w:rPr>
      <w:rFonts w:ascii="Times New Roman" w:hAnsi="Times New Roman" w:cs="Times New Roman" w:hint="default"/>
      <w:b/>
      <w:bCs/>
      <w:w w:val="250"/>
      <w:sz w:val="8"/>
      <w:szCs w:val="8"/>
    </w:rPr>
  </w:style>
  <w:style w:type="character" w:customStyle="1" w:styleId="FontStyle20">
    <w:name w:val="Font Style20"/>
    <w:basedOn w:val="Domylnaczcionkaakapitu"/>
    <w:uiPriority w:val="99"/>
    <w:rsid w:val="00563972"/>
    <w:rPr>
      <w:rFonts w:ascii="Times New Roman" w:hAnsi="Times New Roman" w:cs="Times New Roman" w:hint="default"/>
      <w:b/>
      <w:bCs/>
      <w:w w:val="200"/>
      <w:sz w:val="8"/>
      <w:szCs w:val="8"/>
    </w:rPr>
  </w:style>
  <w:style w:type="paragraph" w:customStyle="1" w:styleId="Style7">
    <w:name w:val="Style7"/>
    <w:basedOn w:val="Normalny"/>
    <w:uiPriority w:val="99"/>
    <w:rsid w:val="00263D0D"/>
    <w:pPr>
      <w:spacing w:line="4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7719">
      <w:bodyDiv w:val="1"/>
      <w:marLeft w:val="0"/>
      <w:marRight w:val="0"/>
      <w:marTop w:val="0"/>
      <w:marBottom w:val="0"/>
      <w:divBdr>
        <w:top w:val="none" w:sz="0" w:space="0" w:color="auto"/>
        <w:left w:val="none" w:sz="0" w:space="0" w:color="auto"/>
        <w:bottom w:val="none" w:sz="0" w:space="0" w:color="auto"/>
        <w:right w:val="none" w:sz="0" w:space="0" w:color="auto"/>
      </w:divBdr>
    </w:div>
    <w:div w:id="61997200">
      <w:bodyDiv w:val="1"/>
      <w:marLeft w:val="0"/>
      <w:marRight w:val="0"/>
      <w:marTop w:val="0"/>
      <w:marBottom w:val="0"/>
      <w:divBdr>
        <w:top w:val="none" w:sz="0" w:space="0" w:color="auto"/>
        <w:left w:val="none" w:sz="0" w:space="0" w:color="auto"/>
        <w:bottom w:val="none" w:sz="0" w:space="0" w:color="auto"/>
        <w:right w:val="none" w:sz="0" w:space="0" w:color="auto"/>
      </w:divBdr>
    </w:div>
    <w:div w:id="166141430">
      <w:bodyDiv w:val="1"/>
      <w:marLeft w:val="0"/>
      <w:marRight w:val="0"/>
      <w:marTop w:val="0"/>
      <w:marBottom w:val="0"/>
      <w:divBdr>
        <w:top w:val="none" w:sz="0" w:space="0" w:color="auto"/>
        <w:left w:val="none" w:sz="0" w:space="0" w:color="auto"/>
        <w:bottom w:val="none" w:sz="0" w:space="0" w:color="auto"/>
        <w:right w:val="none" w:sz="0" w:space="0" w:color="auto"/>
      </w:divBdr>
    </w:div>
    <w:div w:id="768434295">
      <w:bodyDiv w:val="1"/>
      <w:marLeft w:val="0"/>
      <w:marRight w:val="0"/>
      <w:marTop w:val="0"/>
      <w:marBottom w:val="0"/>
      <w:divBdr>
        <w:top w:val="none" w:sz="0" w:space="0" w:color="auto"/>
        <w:left w:val="none" w:sz="0" w:space="0" w:color="auto"/>
        <w:bottom w:val="none" w:sz="0" w:space="0" w:color="auto"/>
        <w:right w:val="none" w:sz="0" w:space="0" w:color="auto"/>
      </w:divBdr>
    </w:div>
    <w:div w:id="989017575">
      <w:bodyDiv w:val="1"/>
      <w:marLeft w:val="0"/>
      <w:marRight w:val="0"/>
      <w:marTop w:val="0"/>
      <w:marBottom w:val="0"/>
      <w:divBdr>
        <w:top w:val="none" w:sz="0" w:space="0" w:color="auto"/>
        <w:left w:val="none" w:sz="0" w:space="0" w:color="auto"/>
        <w:bottom w:val="none" w:sz="0" w:space="0" w:color="auto"/>
        <w:right w:val="none" w:sz="0" w:space="0" w:color="auto"/>
      </w:divBdr>
    </w:div>
    <w:div w:id="1144855997">
      <w:bodyDiv w:val="1"/>
      <w:marLeft w:val="0"/>
      <w:marRight w:val="0"/>
      <w:marTop w:val="0"/>
      <w:marBottom w:val="0"/>
      <w:divBdr>
        <w:top w:val="none" w:sz="0" w:space="0" w:color="auto"/>
        <w:left w:val="none" w:sz="0" w:space="0" w:color="auto"/>
        <w:bottom w:val="none" w:sz="0" w:space="0" w:color="auto"/>
        <w:right w:val="none" w:sz="0" w:space="0" w:color="auto"/>
      </w:divBdr>
    </w:div>
    <w:div w:id="203314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559</Words>
  <Characters>3358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Scanned Document</vt:lpstr>
    </vt:vector>
  </TitlesOfParts>
  <Company>MS</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Sienkiewicz Andrzej  (DWOiP)</dc:creator>
  <cp:lastModifiedBy>Sienkiewicz Andrzej  (DSF)</cp:lastModifiedBy>
  <cp:revision>22</cp:revision>
  <cp:lastPrinted>2019-01-15T07:13:00Z</cp:lastPrinted>
  <dcterms:created xsi:type="dcterms:W3CDTF">2018-04-23T07:24:00Z</dcterms:created>
  <dcterms:modified xsi:type="dcterms:W3CDTF">2020-07-10T07:39:00Z</dcterms:modified>
</cp:coreProperties>
</file>