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6B2D" w:rsidRPr="00702425" w:rsidRDefault="00DE6B2D" w:rsidP="00DE6B2D">
      <w:pPr>
        <w:spacing w:line="264" w:lineRule="auto"/>
        <w:jc w:val="center"/>
        <w:rPr>
          <w:rFonts w:asciiTheme="minorHAnsi" w:eastAsia="Times New Roman" w:hAnsiTheme="minorHAnsi" w:cstheme="minorHAnsi"/>
          <w:b/>
          <w:u w:val="single"/>
          <w:lang w:eastAsia="pl-PL"/>
        </w:rPr>
      </w:pPr>
      <w:bookmarkStart w:id="0" w:name="_GoBack"/>
      <w:bookmarkEnd w:id="0"/>
      <w:r w:rsidRPr="00702425">
        <w:rPr>
          <w:rFonts w:asciiTheme="minorHAnsi" w:hAnsiTheme="minorHAnsi" w:cstheme="minorHAnsi"/>
          <w:b/>
          <w:u w:val="single"/>
        </w:rPr>
        <w:t>TRANSFERY FINANSOWE POMIĘDZY POLSKĄ A BUDŻETEM UE WEDŁUG STANU NA DZIEŃ</w:t>
      </w:r>
    </w:p>
    <w:p w:rsidR="00DE6B2D" w:rsidRPr="00702425" w:rsidRDefault="00DE6B2D" w:rsidP="00DE6B2D">
      <w:pPr>
        <w:pStyle w:val="Tekstpodstawowy"/>
        <w:tabs>
          <w:tab w:val="left" w:pos="357"/>
        </w:tabs>
        <w:spacing w:line="264" w:lineRule="auto"/>
        <w:jc w:val="center"/>
        <w:rPr>
          <w:rFonts w:asciiTheme="minorHAnsi" w:hAnsiTheme="minorHAnsi" w:cstheme="minorHAnsi"/>
          <w:b/>
          <w:szCs w:val="24"/>
          <w:u w:val="single"/>
        </w:rPr>
      </w:pPr>
      <w:r w:rsidRPr="00702425">
        <w:rPr>
          <w:rFonts w:asciiTheme="minorHAnsi" w:hAnsiTheme="minorHAnsi" w:cstheme="minorHAnsi"/>
          <w:b/>
          <w:szCs w:val="24"/>
          <w:u w:val="single"/>
        </w:rPr>
        <w:t xml:space="preserve">31 </w:t>
      </w:r>
      <w:r>
        <w:rPr>
          <w:rFonts w:asciiTheme="minorHAnsi" w:hAnsiTheme="minorHAnsi" w:cstheme="minorHAnsi"/>
          <w:b/>
          <w:szCs w:val="24"/>
          <w:u w:val="single"/>
        </w:rPr>
        <w:t xml:space="preserve">MARCA </w:t>
      </w:r>
      <w:r w:rsidRPr="00702425">
        <w:rPr>
          <w:rFonts w:asciiTheme="minorHAnsi" w:hAnsiTheme="minorHAnsi" w:cstheme="minorHAnsi"/>
          <w:b/>
          <w:szCs w:val="24"/>
          <w:u w:val="single"/>
        </w:rPr>
        <w:t>2021 R.</w:t>
      </w:r>
    </w:p>
    <w:p w:rsidR="00DE6B2D" w:rsidRPr="00702425" w:rsidRDefault="00DE6B2D" w:rsidP="00DE6B2D">
      <w:pPr>
        <w:spacing w:line="264" w:lineRule="auto"/>
        <w:jc w:val="both"/>
        <w:rPr>
          <w:rFonts w:asciiTheme="minorHAnsi" w:hAnsiTheme="minorHAnsi" w:cstheme="minorHAnsi"/>
        </w:rPr>
      </w:pPr>
    </w:p>
    <w:p w:rsidR="00DE6B2D" w:rsidRPr="00702425" w:rsidRDefault="00DE6B2D" w:rsidP="00DE6B2D">
      <w:pPr>
        <w:pStyle w:val="Tekstpodstawowy"/>
        <w:spacing w:line="264" w:lineRule="auto"/>
        <w:rPr>
          <w:rFonts w:asciiTheme="minorHAnsi" w:hAnsiTheme="minorHAnsi" w:cstheme="minorHAnsi"/>
          <w:b/>
          <w:szCs w:val="24"/>
          <w:u w:val="single"/>
        </w:rPr>
      </w:pPr>
    </w:p>
    <w:p w:rsidR="00DE6B2D" w:rsidRPr="00702425" w:rsidRDefault="00DE6B2D" w:rsidP="00DE6B2D">
      <w:pPr>
        <w:pStyle w:val="Tekstpodstawowy"/>
        <w:spacing w:line="264" w:lineRule="auto"/>
        <w:rPr>
          <w:rFonts w:asciiTheme="minorHAnsi" w:hAnsiTheme="minorHAnsi" w:cstheme="minorHAnsi"/>
          <w:b/>
          <w:szCs w:val="24"/>
          <w:u w:val="single"/>
        </w:rPr>
      </w:pPr>
      <w:r w:rsidRPr="00702425">
        <w:rPr>
          <w:rFonts w:asciiTheme="minorHAnsi" w:hAnsiTheme="minorHAnsi" w:cstheme="minorHAnsi"/>
          <w:b/>
          <w:szCs w:val="24"/>
          <w:u w:val="single"/>
        </w:rPr>
        <w:t>I.</w:t>
      </w:r>
      <w:r w:rsidRPr="00702425">
        <w:rPr>
          <w:rFonts w:asciiTheme="minorHAnsi" w:hAnsiTheme="minorHAnsi" w:cstheme="minorHAnsi"/>
          <w:b/>
          <w:szCs w:val="24"/>
          <w:u w:val="single"/>
        </w:rPr>
        <w:tab/>
        <w:t>ROZLICZENIA POLSKI Z UE</w:t>
      </w:r>
    </w:p>
    <w:p w:rsidR="00DE6B2D" w:rsidRPr="00702425" w:rsidRDefault="00DE6B2D" w:rsidP="00DE6B2D">
      <w:pPr>
        <w:spacing w:line="264" w:lineRule="auto"/>
        <w:jc w:val="both"/>
        <w:rPr>
          <w:rFonts w:asciiTheme="minorHAnsi" w:hAnsiTheme="minorHAnsi" w:cstheme="minorHAnsi"/>
          <w:b/>
        </w:rPr>
      </w:pPr>
    </w:p>
    <w:p w:rsidR="00DE6B2D" w:rsidRPr="00702425" w:rsidRDefault="00DE6B2D" w:rsidP="00DE6B2D">
      <w:pPr>
        <w:spacing w:line="264" w:lineRule="auto"/>
        <w:jc w:val="both"/>
        <w:rPr>
          <w:rFonts w:asciiTheme="minorHAnsi" w:hAnsiTheme="minorHAnsi" w:cstheme="minorHAnsi"/>
          <w:b/>
        </w:rPr>
      </w:pPr>
    </w:p>
    <w:p w:rsidR="00DE6B2D" w:rsidRPr="00702425" w:rsidRDefault="00DE6B2D" w:rsidP="00DE6B2D">
      <w:pPr>
        <w:tabs>
          <w:tab w:val="left" w:pos="709"/>
        </w:tabs>
        <w:spacing w:line="264" w:lineRule="auto"/>
        <w:jc w:val="both"/>
        <w:rPr>
          <w:rFonts w:asciiTheme="minorHAnsi" w:hAnsiTheme="minorHAnsi" w:cstheme="minorHAnsi"/>
          <w:b/>
          <w:u w:val="single"/>
        </w:rPr>
      </w:pPr>
      <w:r w:rsidRPr="00702425">
        <w:rPr>
          <w:rFonts w:asciiTheme="minorHAnsi" w:hAnsiTheme="minorHAnsi" w:cstheme="minorHAnsi"/>
          <w:b/>
          <w:u w:val="single"/>
        </w:rPr>
        <w:t>I.1</w:t>
      </w:r>
      <w:r w:rsidRPr="00702425">
        <w:rPr>
          <w:rFonts w:asciiTheme="minorHAnsi" w:hAnsiTheme="minorHAnsi" w:cstheme="minorHAnsi"/>
          <w:b/>
          <w:u w:val="single"/>
        </w:rPr>
        <w:tab/>
        <w:t xml:space="preserve">Rozliczenia Polski z budżetem UE w </w:t>
      </w:r>
      <w:r>
        <w:rPr>
          <w:rFonts w:asciiTheme="minorHAnsi" w:hAnsiTheme="minorHAnsi" w:cstheme="minorHAnsi"/>
          <w:b/>
          <w:u w:val="single"/>
        </w:rPr>
        <w:t>marcu</w:t>
      </w:r>
      <w:r w:rsidRPr="00702425">
        <w:rPr>
          <w:rFonts w:asciiTheme="minorHAnsi" w:hAnsiTheme="minorHAnsi" w:cstheme="minorHAnsi"/>
          <w:b/>
          <w:u w:val="single"/>
        </w:rPr>
        <w:t xml:space="preserve"> 2021 r.</w:t>
      </w:r>
    </w:p>
    <w:p w:rsidR="00DE6B2D" w:rsidRPr="00702425" w:rsidRDefault="00DE6B2D" w:rsidP="00DE6B2D">
      <w:pPr>
        <w:spacing w:line="264" w:lineRule="auto"/>
        <w:jc w:val="both"/>
        <w:rPr>
          <w:rFonts w:asciiTheme="minorHAnsi" w:hAnsiTheme="minorHAnsi" w:cstheme="minorHAnsi"/>
        </w:rPr>
      </w:pPr>
      <w:r w:rsidRPr="00702425">
        <w:rPr>
          <w:rFonts w:asciiTheme="minorHAnsi" w:hAnsiTheme="minorHAnsi" w:cstheme="minorHAnsi"/>
        </w:rPr>
        <w:t xml:space="preserve">W </w:t>
      </w:r>
      <w:r>
        <w:rPr>
          <w:rFonts w:asciiTheme="minorHAnsi" w:hAnsiTheme="minorHAnsi" w:cstheme="minorHAnsi"/>
        </w:rPr>
        <w:t>marcu</w:t>
      </w:r>
      <w:r w:rsidRPr="00702425">
        <w:rPr>
          <w:rFonts w:asciiTheme="minorHAnsi" w:hAnsiTheme="minorHAnsi" w:cstheme="minorHAnsi"/>
        </w:rPr>
        <w:t xml:space="preserve"> z budżetu UE do Polski w formie </w:t>
      </w:r>
      <w:r w:rsidR="00022078">
        <w:rPr>
          <w:rFonts w:asciiTheme="minorHAnsi" w:hAnsiTheme="minorHAnsi" w:cstheme="minorHAnsi"/>
        </w:rPr>
        <w:t>transferów finansowych wpłynęło</w:t>
      </w:r>
      <w:r w:rsidRPr="00702425">
        <w:rPr>
          <w:rFonts w:asciiTheme="minorHAnsi" w:hAnsiTheme="minorHAnsi" w:cstheme="minorHAnsi"/>
        </w:rPr>
        <w:t> </w:t>
      </w:r>
      <w:r w:rsidR="006E04FB" w:rsidRPr="006E04FB">
        <w:rPr>
          <w:rFonts w:asciiTheme="minorHAnsi" w:hAnsiTheme="minorHAnsi" w:cstheme="minorHAnsi"/>
          <w:b/>
        </w:rPr>
        <w:t xml:space="preserve">880 </w:t>
      </w:r>
      <w:r w:rsidR="006E04FB">
        <w:rPr>
          <w:rFonts w:asciiTheme="minorHAnsi" w:hAnsiTheme="minorHAnsi" w:cstheme="minorHAnsi"/>
          <w:b/>
        </w:rPr>
        <w:t xml:space="preserve">mln </w:t>
      </w:r>
      <w:r w:rsidRPr="00702425">
        <w:rPr>
          <w:rFonts w:asciiTheme="minorHAnsi" w:hAnsiTheme="minorHAnsi" w:cstheme="minorHAnsi"/>
          <w:b/>
        </w:rPr>
        <w:t>EUR</w:t>
      </w:r>
      <w:r w:rsidRPr="00702425">
        <w:rPr>
          <w:rFonts w:asciiTheme="minorHAnsi" w:hAnsiTheme="minorHAnsi" w:cstheme="minorHAnsi"/>
        </w:rPr>
        <w:t>.</w:t>
      </w:r>
    </w:p>
    <w:p w:rsidR="00DE6B2D" w:rsidRPr="00702425" w:rsidRDefault="00DE6B2D" w:rsidP="00DE6B2D">
      <w:pPr>
        <w:spacing w:line="264" w:lineRule="auto"/>
        <w:jc w:val="both"/>
        <w:rPr>
          <w:rFonts w:asciiTheme="minorHAnsi" w:hAnsiTheme="minorHAnsi" w:cstheme="minorHAnsi"/>
          <w:u w:val="single"/>
        </w:rPr>
      </w:pPr>
    </w:p>
    <w:p w:rsidR="00DE6B2D" w:rsidRPr="00702425" w:rsidRDefault="00DE6B2D" w:rsidP="00DE6B2D">
      <w:pPr>
        <w:spacing w:line="264" w:lineRule="auto"/>
        <w:jc w:val="both"/>
        <w:rPr>
          <w:rFonts w:asciiTheme="minorHAnsi" w:hAnsiTheme="minorHAnsi" w:cstheme="minorHAnsi"/>
          <w:u w:val="single"/>
        </w:rPr>
      </w:pPr>
      <w:r w:rsidRPr="00702425">
        <w:rPr>
          <w:rFonts w:asciiTheme="minorHAnsi" w:hAnsiTheme="minorHAnsi" w:cstheme="minorHAnsi"/>
          <w:u w:val="single"/>
        </w:rPr>
        <w:t xml:space="preserve">Polityka spójności </w:t>
      </w:r>
    </w:p>
    <w:p w:rsidR="00DE6B2D" w:rsidRPr="00702425" w:rsidRDefault="00DE6B2D" w:rsidP="00DE6B2D">
      <w:pPr>
        <w:spacing w:line="264" w:lineRule="auto"/>
        <w:jc w:val="both"/>
        <w:rPr>
          <w:rFonts w:asciiTheme="minorHAnsi" w:hAnsiTheme="minorHAnsi" w:cstheme="minorHAnsi"/>
        </w:rPr>
      </w:pPr>
      <w:r w:rsidRPr="00702425">
        <w:rPr>
          <w:rFonts w:asciiTheme="minorHAnsi" w:hAnsiTheme="minorHAnsi" w:cstheme="minorHAnsi"/>
        </w:rPr>
        <w:t xml:space="preserve">W ramach polityki spójności Polska otrzymała </w:t>
      </w:r>
      <w:r w:rsidRPr="00702425">
        <w:rPr>
          <w:rFonts w:asciiTheme="minorHAnsi" w:hAnsiTheme="minorHAnsi" w:cstheme="minorHAnsi"/>
          <w:b/>
        </w:rPr>
        <w:t xml:space="preserve"> </w:t>
      </w:r>
      <w:r w:rsidR="000F7022">
        <w:rPr>
          <w:rFonts w:asciiTheme="minorHAnsi" w:hAnsiTheme="minorHAnsi" w:cstheme="minorHAnsi"/>
          <w:b/>
        </w:rPr>
        <w:t xml:space="preserve">555 </w:t>
      </w:r>
      <w:r w:rsidRPr="00702425">
        <w:rPr>
          <w:rFonts w:asciiTheme="minorHAnsi" w:hAnsiTheme="minorHAnsi" w:cstheme="minorHAnsi"/>
          <w:b/>
        </w:rPr>
        <w:t>ml</w:t>
      </w:r>
      <w:r w:rsidR="000F7022">
        <w:rPr>
          <w:rFonts w:asciiTheme="minorHAnsi" w:hAnsiTheme="minorHAnsi" w:cstheme="minorHAnsi"/>
          <w:b/>
        </w:rPr>
        <w:t>n</w:t>
      </w:r>
      <w:r w:rsidRPr="00702425">
        <w:rPr>
          <w:rFonts w:asciiTheme="minorHAnsi" w:hAnsiTheme="minorHAnsi" w:cstheme="minorHAnsi"/>
          <w:b/>
        </w:rPr>
        <w:t xml:space="preserve"> EUR</w:t>
      </w:r>
      <w:r w:rsidRPr="00702425">
        <w:rPr>
          <w:rFonts w:asciiTheme="minorHAnsi" w:hAnsiTheme="minorHAnsi" w:cstheme="minorHAnsi"/>
        </w:rPr>
        <w:t>, w tym:</w:t>
      </w:r>
    </w:p>
    <w:p w:rsidR="00DE6B2D" w:rsidRPr="00702425" w:rsidRDefault="000F7022" w:rsidP="00DE6B2D">
      <w:pPr>
        <w:numPr>
          <w:ilvl w:val="0"/>
          <w:numId w:val="1"/>
        </w:numPr>
        <w:tabs>
          <w:tab w:val="left" w:pos="709"/>
        </w:tabs>
        <w:spacing w:line="264" w:lineRule="auto"/>
        <w:jc w:val="both"/>
        <w:rPr>
          <w:rFonts w:asciiTheme="minorHAnsi" w:hAnsiTheme="minorHAnsi" w:cstheme="minorHAnsi"/>
        </w:rPr>
      </w:pPr>
      <w:r>
        <w:rPr>
          <w:rFonts w:asciiTheme="minorHAnsi" w:hAnsiTheme="minorHAnsi" w:cstheme="minorHAnsi"/>
          <w:b/>
        </w:rPr>
        <w:t xml:space="preserve">458 </w:t>
      </w:r>
      <w:r w:rsidR="00DE6B2D" w:rsidRPr="00702425">
        <w:rPr>
          <w:rFonts w:asciiTheme="minorHAnsi" w:hAnsiTheme="minorHAnsi" w:cstheme="minorHAnsi"/>
          <w:b/>
        </w:rPr>
        <w:t xml:space="preserve">mln EUR </w:t>
      </w:r>
      <w:r w:rsidR="00DE6B2D" w:rsidRPr="00702425">
        <w:rPr>
          <w:rFonts w:asciiTheme="minorHAnsi" w:hAnsiTheme="minorHAnsi" w:cstheme="minorHAnsi"/>
        </w:rPr>
        <w:t>z Europejskiego Funduszu Rozwoju Regionalnego,</w:t>
      </w:r>
    </w:p>
    <w:p w:rsidR="00DE6B2D" w:rsidRPr="00702425" w:rsidRDefault="000F7022" w:rsidP="00DE6B2D">
      <w:pPr>
        <w:numPr>
          <w:ilvl w:val="0"/>
          <w:numId w:val="1"/>
        </w:numPr>
        <w:tabs>
          <w:tab w:val="left" w:pos="709"/>
        </w:tabs>
        <w:spacing w:line="264" w:lineRule="auto"/>
        <w:jc w:val="both"/>
        <w:rPr>
          <w:rFonts w:asciiTheme="minorHAnsi" w:hAnsiTheme="minorHAnsi" w:cstheme="minorHAnsi"/>
        </w:rPr>
      </w:pPr>
      <w:r>
        <w:rPr>
          <w:rFonts w:asciiTheme="minorHAnsi" w:hAnsiTheme="minorHAnsi" w:cstheme="minorHAnsi"/>
          <w:b/>
        </w:rPr>
        <w:t>97 mln</w:t>
      </w:r>
      <w:r w:rsidR="00DE6B2D" w:rsidRPr="00702425">
        <w:rPr>
          <w:rFonts w:asciiTheme="minorHAnsi" w:hAnsiTheme="minorHAnsi" w:cstheme="minorHAnsi"/>
          <w:b/>
        </w:rPr>
        <w:t xml:space="preserve"> EUR </w:t>
      </w:r>
      <w:r w:rsidR="00DE6B2D" w:rsidRPr="00702425">
        <w:rPr>
          <w:rFonts w:asciiTheme="minorHAnsi" w:hAnsiTheme="minorHAnsi" w:cstheme="minorHAnsi"/>
        </w:rPr>
        <w:t>z Europejskiego Funduszu Społecznego.</w:t>
      </w:r>
    </w:p>
    <w:p w:rsidR="00DE6B2D" w:rsidRPr="00702425" w:rsidRDefault="00DE6B2D" w:rsidP="00DE6B2D">
      <w:pPr>
        <w:tabs>
          <w:tab w:val="left" w:pos="709"/>
        </w:tabs>
        <w:spacing w:line="264" w:lineRule="auto"/>
        <w:ind w:left="340"/>
        <w:jc w:val="both"/>
        <w:rPr>
          <w:rFonts w:asciiTheme="minorHAnsi" w:hAnsiTheme="minorHAnsi" w:cstheme="minorHAnsi"/>
        </w:rPr>
      </w:pPr>
    </w:p>
    <w:p w:rsidR="00DE6B2D" w:rsidRPr="00702425" w:rsidRDefault="00DE6B2D" w:rsidP="00DE6B2D">
      <w:pPr>
        <w:spacing w:line="264" w:lineRule="auto"/>
        <w:jc w:val="both"/>
        <w:rPr>
          <w:rFonts w:asciiTheme="minorHAnsi" w:hAnsiTheme="minorHAnsi" w:cstheme="minorHAnsi"/>
          <w:u w:val="single"/>
        </w:rPr>
      </w:pPr>
      <w:r w:rsidRPr="00702425">
        <w:rPr>
          <w:rFonts w:asciiTheme="minorHAnsi" w:hAnsiTheme="minorHAnsi" w:cstheme="minorHAnsi"/>
          <w:u w:val="single"/>
        </w:rPr>
        <w:t>Wspólna polityka rolna</w:t>
      </w:r>
    </w:p>
    <w:p w:rsidR="00DE6B2D" w:rsidRPr="00702425" w:rsidRDefault="00DE6B2D" w:rsidP="00DE6B2D">
      <w:pPr>
        <w:spacing w:line="264" w:lineRule="auto"/>
        <w:jc w:val="both"/>
        <w:rPr>
          <w:rFonts w:asciiTheme="minorHAnsi" w:hAnsiTheme="minorHAnsi" w:cstheme="minorHAnsi"/>
        </w:rPr>
      </w:pPr>
      <w:r w:rsidRPr="00702425">
        <w:rPr>
          <w:rFonts w:asciiTheme="minorHAnsi" w:hAnsiTheme="minorHAnsi" w:cstheme="minorHAnsi"/>
        </w:rPr>
        <w:t>W ramach wspólnej polityki rolnej do Polski wpłynęło</w:t>
      </w:r>
      <w:r w:rsidRPr="00702425">
        <w:rPr>
          <w:rFonts w:asciiTheme="minorHAnsi" w:hAnsiTheme="minorHAnsi" w:cstheme="minorHAnsi"/>
          <w:b/>
        </w:rPr>
        <w:t xml:space="preserve"> </w:t>
      </w:r>
      <w:r w:rsidR="000F7022">
        <w:rPr>
          <w:rFonts w:asciiTheme="minorHAnsi" w:hAnsiTheme="minorHAnsi" w:cstheme="minorHAnsi"/>
          <w:b/>
        </w:rPr>
        <w:t>325 mln</w:t>
      </w:r>
      <w:r w:rsidRPr="00702425">
        <w:rPr>
          <w:rFonts w:asciiTheme="minorHAnsi" w:hAnsiTheme="minorHAnsi" w:cstheme="minorHAnsi"/>
          <w:b/>
        </w:rPr>
        <w:t xml:space="preserve"> EUR</w:t>
      </w:r>
      <w:r w:rsidRPr="00702425">
        <w:rPr>
          <w:rFonts w:asciiTheme="minorHAnsi" w:hAnsiTheme="minorHAnsi" w:cstheme="minorHAnsi"/>
        </w:rPr>
        <w:t xml:space="preserve"> z tytułu działań realizowanych przez ARiMR (płatności bezpośrednie).</w:t>
      </w:r>
    </w:p>
    <w:p w:rsidR="00DE6B2D" w:rsidRPr="00702425" w:rsidRDefault="00DE6B2D" w:rsidP="00DE6B2D">
      <w:pPr>
        <w:spacing w:line="264" w:lineRule="auto"/>
        <w:jc w:val="both"/>
        <w:rPr>
          <w:rFonts w:asciiTheme="minorHAnsi" w:hAnsiTheme="minorHAnsi" w:cstheme="minorHAnsi"/>
          <w:sz w:val="20"/>
          <w:szCs w:val="20"/>
        </w:rPr>
      </w:pPr>
    </w:p>
    <w:p w:rsidR="00DE6B2D" w:rsidRPr="00702425" w:rsidRDefault="00DE6B2D" w:rsidP="00DE6B2D">
      <w:pPr>
        <w:spacing w:line="264" w:lineRule="auto"/>
        <w:jc w:val="both"/>
        <w:rPr>
          <w:rFonts w:asciiTheme="minorHAnsi" w:hAnsiTheme="minorHAnsi" w:cstheme="minorHAnsi"/>
          <w:u w:val="single"/>
        </w:rPr>
      </w:pPr>
      <w:r w:rsidRPr="00702425">
        <w:rPr>
          <w:rFonts w:asciiTheme="minorHAnsi" w:hAnsiTheme="minorHAnsi" w:cstheme="minorHAnsi"/>
          <w:u w:val="single"/>
        </w:rPr>
        <w:t>Wpłaty do budżetu ogólnego UE</w:t>
      </w:r>
    </w:p>
    <w:p w:rsidR="00DE6B2D" w:rsidRPr="00A353FC" w:rsidRDefault="00DE6B2D" w:rsidP="00A353FC">
      <w:pPr>
        <w:spacing w:line="264" w:lineRule="auto"/>
        <w:jc w:val="both"/>
        <w:rPr>
          <w:rFonts w:asciiTheme="minorHAnsi" w:hAnsiTheme="minorHAnsi" w:cstheme="minorHAnsi"/>
        </w:rPr>
      </w:pPr>
      <w:r w:rsidRPr="00A353FC">
        <w:rPr>
          <w:rFonts w:asciiTheme="minorHAnsi" w:hAnsiTheme="minorHAnsi" w:cstheme="minorHAnsi"/>
        </w:rPr>
        <w:t>Składka przekazana przez Polskę do budżetu ogólnego UE wyniosła</w:t>
      </w:r>
      <w:r w:rsidRPr="00A353FC">
        <w:rPr>
          <w:rFonts w:asciiTheme="minorHAnsi" w:hAnsiTheme="minorHAnsi" w:cstheme="minorHAnsi"/>
          <w:b/>
        </w:rPr>
        <w:t xml:space="preserve"> </w:t>
      </w:r>
      <w:r w:rsidR="000F7022" w:rsidRPr="00A353FC">
        <w:rPr>
          <w:rFonts w:asciiTheme="minorHAnsi" w:hAnsiTheme="minorHAnsi" w:cstheme="minorHAnsi"/>
          <w:b/>
        </w:rPr>
        <w:t xml:space="preserve">364 </w:t>
      </w:r>
      <w:r w:rsidRPr="00A353FC">
        <w:rPr>
          <w:rFonts w:asciiTheme="minorHAnsi" w:hAnsiTheme="minorHAnsi" w:cstheme="minorHAnsi"/>
          <w:b/>
        </w:rPr>
        <w:t>mln EUR</w:t>
      </w:r>
      <w:r w:rsidRPr="00A353FC">
        <w:rPr>
          <w:rFonts w:asciiTheme="minorHAnsi" w:hAnsiTheme="minorHAnsi" w:cstheme="minorHAnsi"/>
        </w:rPr>
        <w:t>.</w:t>
      </w:r>
      <w:r w:rsidR="00A353FC" w:rsidRPr="00A353FC">
        <w:rPr>
          <w:rFonts w:asciiTheme="minorHAnsi" w:hAnsiTheme="minorHAnsi"/>
        </w:rPr>
        <w:t xml:space="preserve"> W marcu</w:t>
      </w:r>
      <w:r w:rsidR="00A353FC">
        <w:rPr>
          <w:rFonts w:asciiTheme="minorHAnsi" w:hAnsiTheme="minorHAnsi"/>
        </w:rPr>
        <w:t xml:space="preserve"> składka wyniosła</w:t>
      </w:r>
      <w:r w:rsidR="00A353FC" w:rsidRPr="00A353FC">
        <w:rPr>
          <w:rFonts w:asciiTheme="minorHAnsi" w:hAnsiTheme="minorHAnsi" w:cstheme="minorHAnsi"/>
        </w:rPr>
        <w:t xml:space="preserve"> 0,7/12</w:t>
      </w:r>
      <w:r w:rsidR="00A353FC">
        <w:rPr>
          <w:rFonts w:asciiTheme="minorHAnsi" w:hAnsiTheme="minorHAnsi" w:cstheme="minorHAnsi"/>
        </w:rPr>
        <w:t xml:space="preserve">. </w:t>
      </w:r>
      <w:r w:rsidR="00A353FC" w:rsidRPr="00A353FC">
        <w:rPr>
          <w:rFonts w:asciiTheme="minorHAnsi" w:hAnsiTheme="minorHAnsi" w:cstheme="minorHAnsi"/>
        </w:rPr>
        <w:t>K</w:t>
      </w:r>
      <w:r w:rsidR="00A353FC">
        <w:rPr>
          <w:rFonts w:asciiTheme="minorHAnsi" w:hAnsiTheme="minorHAnsi" w:cstheme="minorHAnsi"/>
        </w:rPr>
        <w:t xml:space="preserve">omisja </w:t>
      </w:r>
      <w:r w:rsidR="00A353FC" w:rsidRPr="00A353FC">
        <w:rPr>
          <w:rFonts w:asciiTheme="minorHAnsi" w:hAnsiTheme="minorHAnsi" w:cstheme="minorHAnsi"/>
        </w:rPr>
        <w:t>E</w:t>
      </w:r>
      <w:r w:rsidR="00A353FC">
        <w:rPr>
          <w:rFonts w:asciiTheme="minorHAnsi" w:hAnsiTheme="minorHAnsi" w:cstheme="minorHAnsi"/>
        </w:rPr>
        <w:t>uropejska</w:t>
      </w:r>
      <w:r w:rsidR="00A353FC" w:rsidRPr="00A353FC">
        <w:rPr>
          <w:rFonts w:asciiTheme="minorHAnsi" w:hAnsiTheme="minorHAnsi" w:cstheme="minorHAnsi"/>
        </w:rPr>
        <w:t xml:space="preserve"> prosiła o dodatkowe płatności w styczniu i lutym, więc stan za </w:t>
      </w:r>
      <w:r w:rsidR="00A353FC">
        <w:rPr>
          <w:rFonts w:asciiTheme="minorHAnsi" w:hAnsiTheme="minorHAnsi" w:cstheme="minorHAnsi"/>
        </w:rPr>
        <w:t>I kwartał</w:t>
      </w:r>
      <w:r w:rsidR="00A353FC" w:rsidRPr="00A353FC">
        <w:rPr>
          <w:rFonts w:asciiTheme="minorHAnsi" w:hAnsiTheme="minorHAnsi" w:cstheme="minorHAnsi"/>
        </w:rPr>
        <w:t xml:space="preserve"> to 4,1/12, czyli było 1,1 miesiąca nadpłaty</w:t>
      </w:r>
      <w:r w:rsidR="00A353FC">
        <w:rPr>
          <w:rFonts w:asciiTheme="minorHAnsi" w:hAnsiTheme="minorHAnsi" w:cstheme="minorHAnsi"/>
        </w:rPr>
        <w:t>, do rozliczenia w składkach do końca roku.</w:t>
      </w:r>
    </w:p>
    <w:p w:rsidR="00DE6B2D" w:rsidRPr="00702425" w:rsidRDefault="00DE6B2D" w:rsidP="00DE6B2D">
      <w:pPr>
        <w:spacing w:line="264" w:lineRule="auto"/>
        <w:jc w:val="both"/>
        <w:rPr>
          <w:rFonts w:asciiTheme="minorHAnsi" w:hAnsiTheme="minorHAnsi" w:cstheme="minorHAnsi"/>
          <w:u w:val="single"/>
        </w:rPr>
      </w:pPr>
    </w:p>
    <w:p w:rsidR="00DE6B2D" w:rsidRPr="00702425" w:rsidRDefault="00DE6B2D" w:rsidP="00DE6B2D">
      <w:pPr>
        <w:spacing w:line="264" w:lineRule="auto"/>
        <w:jc w:val="both"/>
        <w:rPr>
          <w:rFonts w:asciiTheme="minorHAnsi" w:hAnsiTheme="minorHAnsi" w:cstheme="minorHAnsi"/>
          <w:b/>
          <w:u w:val="single"/>
        </w:rPr>
      </w:pPr>
      <w:r w:rsidRPr="00702425">
        <w:rPr>
          <w:rFonts w:asciiTheme="minorHAnsi" w:hAnsiTheme="minorHAnsi" w:cstheme="minorHAnsi"/>
          <w:b/>
          <w:u w:val="single"/>
        </w:rPr>
        <w:t>Podsumowanie</w:t>
      </w:r>
    </w:p>
    <w:p w:rsidR="00DE6B2D" w:rsidRPr="00702425" w:rsidRDefault="00DE6B2D" w:rsidP="00DE6B2D">
      <w:pPr>
        <w:pStyle w:val="Tekstpodstawowy"/>
        <w:tabs>
          <w:tab w:val="left" w:pos="284"/>
        </w:tabs>
        <w:spacing w:line="264" w:lineRule="auto"/>
        <w:rPr>
          <w:rFonts w:asciiTheme="minorHAnsi" w:hAnsiTheme="minorHAnsi" w:cstheme="minorHAnsi"/>
          <w:szCs w:val="24"/>
        </w:rPr>
      </w:pPr>
      <w:r w:rsidRPr="00702425">
        <w:rPr>
          <w:rFonts w:asciiTheme="minorHAnsi" w:hAnsiTheme="minorHAnsi" w:cstheme="minorHAnsi"/>
          <w:szCs w:val="24"/>
        </w:rPr>
        <w:t xml:space="preserve">W </w:t>
      </w:r>
      <w:r>
        <w:rPr>
          <w:rFonts w:asciiTheme="minorHAnsi" w:hAnsiTheme="minorHAnsi" w:cstheme="minorHAnsi"/>
        </w:rPr>
        <w:t>marcu</w:t>
      </w:r>
      <w:r w:rsidRPr="00702425">
        <w:rPr>
          <w:rFonts w:asciiTheme="minorHAnsi" w:hAnsiTheme="minorHAnsi" w:cstheme="minorHAnsi"/>
          <w:szCs w:val="24"/>
        </w:rPr>
        <w:t xml:space="preserve"> saldo rozliczeń pomiędzy Polską a budżetem UE było dodatnie i wyniosło: </w:t>
      </w:r>
    </w:p>
    <w:p w:rsidR="00DE6B2D" w:rsidRPr="00702425" w:rsidRDefault="00DE6B2D" w:rsidP="00DE6B2D">
      <w:pPr>
        <w:pStyle w:val="Tekstpodstawowy"/>
        <w:tabs>
          <w:tab w:val="left" w:pos="284"/>
        </w:tabs>
        <w:spacing w:line="264" w:lineRule="auto"/>
        <w:rPr>
          <w:rFonts w:asciiTheme="minorHAnsi" w:hAnsiTheme="minorHAnsi" w:cstheme="minorHAnsi"/>
          <w:szCs w:val="24"/>
        </w:rPr>
      </w:pPr>
      <w:r>
        <w:rPr>
          <w:rFonts w:asciiTheme="minorHAnsi" w:hAnsiTheme="minorHAnsi" w:cstheme="minorHAnsi"/>
          <w:b/>
          <w:szCs w:val="24"/>
        </w:rPr>
        <w:t xml:space="preserve">+ </w:t>
      </w:r>
      <w:r w:rsidRPr="00702425">
        <w:rPr>
          <w:rFonts w:asciiTheme="minorHAnsi" w:hAnsiTheme="minorHAnsi" w:cstheme="minorHAnsi"/>
          <w:b/>
          <w:szCs w:val="24"/>
        </w:rPr>
        <w:t> </w:t>
      </w:r>
      <w:r w:rsidR="000F7022">
        <w:rPr>
          <w:rFonts w:asciiTheme="minorHAnsi" w:hAnsiTheme="minorHAnsi" w:cstheme="minorHAnsi"/>
          <w:b/>
          <w:szCs w:val="24"/>
        </w:rPr>
        <w:t xml:space="preserve">516 </w:t>
      </w:r>
      <w:r w:rsidRPr="00702425">
        <w:rPr>
          <w:rFonts w:asciiTheme="minorHAnsi" w:hAnsiTheme="minorHAnsi" w:cstheme="minorHAnsi"/>
          <w:b/>
          <w:szCs w:val="24"/>
        </w:rPr>
        <w:t>ml</w:t>
      </w:r>
      <w:r w:rsidR="000F7022">
        <w:rPr>
          <w:rFonts w:asciiTheme="minorHAnsi" w:hAnsiTheme="minorHAnsi" w:cstheme="minorHAnsi"/>
          <w:b/>
          <w:szCs w:val="24"/>
        </w:rPr>
        <w:t>n</w:t>
      </w:r>
      <w:r w:rsidRPr="00702425">
        <w:rPr>
          <w:rFonts w:asciiTheme="minorHAnsi" w:hAnsiTheme="minorHAnsi" w:cstheme="minorHAnsi"/>
          <w:b/>
          <w:szCs w:val="24"/>
        </w:rPr>
        <w:t> EUR</w:t>
      </w:r>
      <w:r w:rsidRPr="00702425">
        <w:rPr>
          <w:rFonts w:asciiTheme="minorHAnsi" w:hAnsiTheme="minorHAnsi" w:cstheme="minorHAnsi"/>
          <w:szCs w:val="24"/>
        </w:rPr>
        <w:t>.</w:t>
      </w:r>
    </w:p>
    <w:p w:rsidR="00DE6B2D" w:rsidRPr="00702425" w:rsidRDefault="00DE6B2D" w:rsidP="00DE6B2D">
      <w:pPr>
        <w:pStyle w:val="Tekstpodstawowy"/>
        <w:tabs>
          <w:tab w:val="left" w:pos="709"/>
        </w:tabs>
        <w:spacing w:line="264" w:lineRule="auto"/>
        <w:rPr>
          <w:rFonts w:asciiTheme="minorHAnsi" w:hAnsiTheme="minorHAnsi" w:cstheme="minorHAnsi"/>
          <w:b/>
          <w:u w:val="single"/>
        </w:rPr>
      </w:pPr>
    </w:p>
    <w:p w:rsidR="00DE6B2D" w:rsidRPr="00702425" w:rsidRDefault="00DE6B2D" w:rsidP="00DE6B2D">
      <w:pPr>
        <w:spacing w:line="264" w:lineRule="auto"/>
        <w:jc w:val="both"/>
        <w:rPr>
          <w:rFonts w:asciiTheme="minorHAnsi" w:hAnsiTheme="minorHAnsi" w:cstheme="minorHAnsi"/>
          <w:b/>
          <w:u w:val="single"/>
        </w:rPr>
      </w:pPr>
      <w:r w:rsidRPr="00702425">
        <w:rPr>
          <w:rFonts w:asciiTheme="minorHAnsi" w:hAnsiTheme="minorHAnsi" w:cstheme="minorHAnsi"/>
          <w:b/>
          <w:u w:val="single"/>
        </w:rPr>
        <w:t>I.2</w:t>
      </w:r>
      <w:r w:rsidRPr="00702425">
        <w:rPr>
          <w:rFonts w:asciiTheme="minorHAnsi" w:hAnsiTheme="minorHAnsi" w:cstheme="minorHAnsi"/>
          <w:b/>
          <w:u w:val="single"/>
        </w:rPr>
        <w:tab/>
        <w:t>Rozliczenia Polski z budżetem UE od początku członkostwa Polski w UE</w:t>
      </w:r>
    </w:p>
    <w:p w:rsidR="00DE6B2D" w:rsidRPr="00702425" w:rsidRDefault="00DE6B2D" w:rsidP="00DE6B2D">
      <w:pPr>
        <w:pStyle w:val="Tekstpodstawowy"/>
        <w:tabs>
          <w:tab w:val="left" w:pos="567"/>
        </w:tabs>
        <w:spacing w:line="288" w:lineRule="auto"/>
        <w:rPr>
          <w:rFonts w:asciiTheme="minorHAnsi" w:hAnsiTheme="minorHAnsi" w:cstheme="minorHAnsi"/>
        </w:rPr>
      </w:pPr>
      <w:r w:rsidRPr="00702425">
        <w:rPr>
          <w:rFonts w:asciiTheme="minorHAnsi" w:hAnsiTheme="minorHAnsi" w:cstheme="minorHAnsi"/>
        </w:rPr>
        <w:t xml:space="preserve">W </w:t>
      </w:r>
      <w:r>
        <w:rPr>
          <w:rFonts w:asciiTheme="minorHAnsi" w:hAnsiTheme="minorHAnsi" w:cstheme="minorHAnsi"/>
        </w:rPr>
        <w:t>marcu</w:t>
      </w:r>
      <w:r w:rsidRPr="00702425">
        <w:rPr>
          <w:rFonts w:asciiTheme="minorHAnsi" w:hAnsiTheme="minorHAnsi" w:cstheme="minorHAnsi"/>
        </w:rPr>
        <w:t xml:space="preserve"> saldo rozliczeń pomiędzy Polską a budżetem UE osiągnęło </w:t>
      </w:r>
      <w:r>
        <w:rPr>
          <w:rFonts w:asciiTheme="minorHAnsi" w:hAnsiTheme="minorHAnsi" w:cstheme="minorHAnsi"/>
          <w:b/>
        </w:rPr>
        <w:t>+</w:t>
      </w:r>
      <w:r w:rsidRPr="00702425">
        <w:rPr>
          <w:rFonts w:asciiTheme="minorHAnsi" w:hAnsiTheme="minorHAnsi" w:cstheme="minorHAnsi"/>
          <w:b/>
        </w:rPr>
        <w:t xml:space="preserve"> </w:t>
      </w:r>
      <w:r w:rsidR="000F7022">
        <w:rPr>
          <w:rFonts w:asciiTheme="minorHAnsi" w:hAnsiTheme="minorHAnsi" w:cstheme="minorHAnsi"/>
          <w:b/>
        </w:rPr>
        <w:t xml:space="preserve">135,7 </w:t>
      </w:r>
      <w:r w:rsidRPr="00702425">
        <w:rPr>
          <w:rFonts w:asciiTheme="minorHAnsi" w:hAnsiTheme="minorHAnsi" w:cstheme="minorHAnsi"/>
          <w:b/>
        </w:rPr>
        <w:t>mld EUR</w:t>
      </w:r>
      <w:r w:rsidRPr="00702425">
        <w:rPr>
          <w:rFonts w:asciiTheme="minorHAnsi" w:hAnsiTheme="minorHAnsi" w:cstheme="minorHAnsi"/>
        </w:rPr>
        <w:t xml:space="preserve">. Całkowita wartość transferów z budżetu UE do Polski wyniosła </w:t>
      </w:r>
      <w:r w:rsidR="000F7022">
        <w:rPr>
          <w:rFonts w:asciiTheme="minorHAnsi" w:hAnsiTheme="minorHAnsi" w:cstheme="minorHAnsi"/>
          <w:b/>
        </w:rPr>
        <w:t>200,6</w:t>
      </w:r>
      <w:r w:rsidR="000F7022" w:rsidRPr="000F7022">
        <w:rPr>
          <w:rFonts w:asciiTheme="minorHAnsi" w:hAnsiTheme="minorHAnsi" w:cstheme="minorHAnsi"/>
          <w:b/>
        </w:rPr>
        <w:t xml:space="preserve"> </w:t>
      </w:r>
      <w:r w:rsidRPr="000F7022">
        <w:rPr>
          <w:rFonts w:asciiTheme="minorHAnsi" w:hAnsiTheme="minorHAnsi" w:cstheme="minorHAnsi"/>
          <w:b/>
        </w:rPr>
        <w:t>mld</w:t>
      </w:r>
      <w:r w:rsidRPr="00702425">
        <w:rPr>
          <w:rFonts w:asciiTheme="minorHAnsi" w:hAnsiTheme="minorHAnsi" w:cstheme="minorHAnsi"/>
          <w:b/>
        </w:rPr>
        <w:t> EUR</w:t>
      </w:r>
      <w:r w:rsidRPr="00702425">
        <w:rPr>
          <w:rFonts w:asciiTheme="minorHAnsi" w:hAnsiTheme="minorHAnsi" w:cstheme="minorHAnsi"/>
        </w:rPr>
        <w:t>. Składka odprowadzona do budżetu UE osiągnęła</w:t>
      </w:r>
      <w:r w:rsidR="000F7022">
        <w:rPr>
          <w:rFonts w:asciiTheme="minorHAnsi" w:hAnsiTheme="minorHAnsi" w:cstheme="minorHAnsi"/>
          <w:b/>
        </w:rPr>
        <w:t xml:space="preserve"> 64,7 mld </w:t>
      </w:r>
      <w:r w:rsidRPr="00702425">
        <w:rPr>
          <w:rFonts w:asciiTheme="minorHAnsi" w:hAnsiTheme="minorHAnsi" w:cstheme="minorHAnsi"/>
          <w:b/>
        </w:rPr>
        <w:t>EUR</w:t>
      </w:r>
      <w:r w:rsidR="000F7022">
        <w:rPr>
          <w:rFonts w:asciiTheme="minorHAnsi" w:hAnsiTheme="minorHAnsi" w:cstheme="minorHAnsi"/>
        </w:rPr>
        <w:t xml:space="preserve">, </w:t>
      </w:r>
      <w:r w:rsidRPr="00702425">
        <w:rPr>
          <w:rFonts w:asciiTheme="minorHAnsi" w:hAnsiTheme="minorHAnsi" w:cstheme="minorHAnsi"/>
        </w:rPr>
        <w:t>natomiast kwota zwrócona do budżetu UE wyniosła</w:t>
      </w:r>
      <w:r w:rsidRPr="00702425">
        <w:rPr>
          <w:rFonts w:asciiTheme="minorHAnsi" w:hAnsiTheme="minorHAnsi" w:cstheme="minorHAnsi"/>
          <w:b/>
        </w:rPr>
        <w:t> </w:t>
      </w:r>
      <w:r w:rsidR="00E74E12">
        <w:rPr>
          <w:rFonts w:asciiTheme="minorHAnsi" w:hAnsiTheme="minorHAnsi" w:cstheme="minorHAnsi"/>
          <w:b/>
        </w:rPr>
        <w:t>171 </w:t>
      </w:r>
      <w:r w:rsidRPr="00702425">
        <w:rPr>
          <w:rFonts w:asciiTheme="minorHAnsi" w:hAnsiTheme="minorHAnsi" w:cstheme="minorHAnsi"/>
          <w:b/>
        </w:rPr>
        <w:t>mln EUR</w:t>
      </w:r>
      <w:r w:rsidRPr="00702425">
        <w:rPr>
          <w:rFonts w:asciiTheme="minorHAnsi" w:hAnsiTheme="minorHAnsi" w:cstheme="minorHAnsi"/>
        </w:rPr>
        <w:t>.</w:t>
      </w:r>
    </w:p>
    <w:p w:rsidR="00DE6B2D" w:rsidRPr="00702425" w:rsidRDefault="00DE6B2D" w:rsidP="00DE6B2D">
      <w:pPr>
        <w:rPr>
          <w:rFonts w:asciiTheme="minorHAnsi" w:eastAsia="Times New Roman" w:hAnsiTheme="minorHAnsi" w:cstheme="minorHAnsi"/>
          <w:szCs w:val="20"/>
          <w:lang w:eastAsia="pl-PL"/>
        </w:rPr>
      </w:pPr>
      <w:r w:rsidRPr="00702425">
        <w:rPr>
          <w:rFonts w:asciiTheme="minorHAnsi" w:hAnsiTheme="minorHAnsi" w:cstheme="minorHAnsi"/>
        </w:rPr>
        <w:br w:type="page"/>
      </w:r>
    </w:p>
    <w:p w:rsidR="00DE6B2D" w:rsidRPr="00702425" w:rsidRDefault="00DE6B2D" w:rsidP="00DE6B2D">
      <w:pPr>
        <w:pStyle w:val="Tekstpodstawowy"/>
        <w:spacing w:line="264" w:lineRule="auto"/>
        <w:ind w:left="567" w:hanging="567"/>
        <w:rPr>
          <w:rFonts w:asciiTheme="minorHAnsi" w:hAnsiTheme="minorHAnsi" w:cstheme="minorHAnsi"/>
          <w:b/>
          <w:szCs w:val="24"/>
          <w:u w:val="single"/>
        </w:rPr>
      </w:pPr>
      <w:r w:rsidRPr="00702425">
        <w:rPr>
          <w:rFonts w:asciiTheme="minorHAnsi" w:hAnsiTheme="minorHAnsi" w:cstheme="minorHAnsi"/>
          <w:b/>
          <w:szCs w:val="24"/>
          <w:u w:val="single"/>
        </w:rPr>
        <w:lastRenderedPageBreak/>
        <w:t>II.</w:t>
      </w:r>
      <w:r w:rsidRPr="00702425">
        <w:rPr>
          <w:rFonts w:asciiTheme="minorHAnsi" w:hAnsiTheme="minorHAnsi" w:cstheme="minorHAnsi"/>
          <w:b/>
          <w:szCs w:val="24"/>
          <w:u w:val="single"/>
        </w:rPr>
        <w:tab/>
        <w:t>ZAGADNIENIA ZWIĄZANE Z BUDŻETEM UNII EUROPEJSKIEJ, TRANSFERY FINANSOWE BUDŻET UE – PAŃSTWA CZŁONKOWSKIE</w:t>
      </w:r>
    </w:p>
    <w:p w:rsidR="00DE6B2D" w:rsidRPr="00523E38" w:rsidRDefault="00DE6B2D" w:rsidP="00DE6B2D">
      <w:pPr>
        <w:pStyle w:val="Tekstpodstawowy"/>
        <w:spacing w:line="264" w:lineRule="auto"/>
        <w:rPr>
          <w:rFonts w:asciiTheme="minorHAnsi" w:hAnsiTheme="minorHAnsi" w:cstheme="minorHAnsi"/>
          <w:b/>
          <w:sz w:val="20"/>
          <w:u w:val="single"/>
        </w:rPr>
      </w:pPr>
    </w:p>
    <w:p w:rsidR="00FA5157" w:rsidRPr="00523E38" w:rsidRDefault="00FA5157" w:rsidP="00DE6B2D">
      <w:pPr>
        <w:tabs>
          <w:tab w:val="left" w:pos="567"/>
        </w:tabs>
        <w:ind w:left="567" w:hanging="567"/>
        <w:jc w:val="both"/>
        <w:rPr>
          <w:rFonts w:asciiTheme="minorHAnsi" w:hAnsiTheme="minorHAnsi" w:cstheme="minorHAnsi"/>
          <w:b/>
          <w:bCs/>
          <w:sz w:val="20"/>
          <w:szCs w:val="20"/>
          <w:u w:val="single"/>
        </w:rPr>
      </w:pPr>
    </w:p>
    <w:p w:rsidR="00FA5157" w:rsidRPr="00F9764D" w:rsidRDefault="00FA5157" w:rsidP="00FA5157">
      <w:pPr>
        <w:tabs>
          <w:tab w:val="left" w:pos="709"/>
        </w:tabs>
        <w:spacing w:line="252" w:lineRule="auto"/>
        <w:ind w:left="567" w:hanging="567"/>
        <w:jc w:val="both"/>
        <w:rPr>
          <w:rFonts w:asciiTheme="minorHAnsi" w:eastAsia="Calibri" w:hAnsiTheme="minorHAnsi"/>
          <w:b/>
          <w:u w:val="single"/>
          <w:lang w:eastAsia="pl-PL"/>
        </w:rPr>
      </w:pPr>
      <w:r>
        <w:rPr>
          <w:rFonts w:asciiTheme="minorHAnsi" w:eastAsia="Calibri" w:hAnsiTheme="minorHAnsi"/>
          <w:b/>
          <w:u w:val="single"/>
          <w:lang w:eastAsia="pl-PL"/>
        </w:rPr>
        <w:t>II.1</w:t>
      </w:r>
      <w:r>
        <w:rPr>
          <w:rFonts w:asciiTheme="minorHAnsi" w:eastAsia="Calibri" w:hAnsiTheme="minorHAnsi"/>
          <w:b/>
          <w:u w:val="single"/>
          <w:lang w:eastAsia="pl-PL"/>
        </w:rPr>
        <w:tab/>
        <w:t>Projekt budżetu korygującego</w:t>
      </w:r>
      <w:r w:rsidRPr="00F9764D">
        <w:rPr>
          <w:rFonts w:asciiTheme="minorHAnsi" w:eastAsia="Calibri" w:hAnsiTheme="minorHAnsi"/>
          <w:b/>
          <w:u w:val="single"/>
          <w:lang w:eastAsia="pl-PL"/>
        </w:rPr>
        <w:t xml:space="preserve"> </w:t>
      </w:r>
      <w:r>
        <w:rPr>
          <w:rFonts w:asciiTheme="minorHAnsi" w:eastAsia="Calibri" w:hAnsiTheme="minorHAnsi"/>
          <w:b/>
          <w:u w:val="single"/>
          <w:lang w:eastAsia="pl-PL"/>
        </w:rPr>
        <w:t>nr 3 do budżetu UE na rok 2021</w:t>
      </w:r>
    </w:p>
    <w:p w:rsidR="00FA5157" w:rsidRPr="00E74E12" w:rsidRDefault="00FA5157" w:rsidP="00CA4613">
      <w:pPr>
        <w:tabs>
          <w:tab w:val="left" w:pos="567"/>
        </w:tabs>
        <w:jc w:val="both"/>
        <w:rPr>
          <w:rFonts w:asciiTheme="minorHAnsi" w:hAnsiTheme="minorHAnsi" w:cstheme="minorHAnsi"/>
          <w:b/>
          <w:bCs/>
          <w:sz w:val="10"/>
          <w:szCs w:val="10"/>
          <w:u w:val="single"/>
        </w:rPr>
      </w:pPr>
    </w:p>
    <w:p w:rsidR="00FF75D0" w:rsidRPr="00F8758C" w:rsidRDefault="00FF75D0" w:rsidP="00FF75D0">
      <w:pPr>
        <w:pStyle w:val="Akapitzlist"/>
        <w:tabs>
          <w:tab w:val="left" w:pos="567"/>
        </w:tabs>
        <w:spacing w:line="276" w:lineRule="auto"/>
        <w:ind w:left="0"/>
        <w:jc w:val="both"/>
        <w:rPr>
          <w:rFonts w:asciiTheme="minorHAnsi" w:hAnsiTheme="minorHAnsi" w:cstheme="minorHAnsi"/>
        </w:rPr>
      </w:pPr>
      <w:r w:rsidRPr="00F8758C">
        <w:rPr>
          <w:rFonts w:asciiTheme="minorHAnsi" w:hAnsiTheme="minorHAnsi" w:cstheme="minorHAnsi"/>
        </w:rPr>
        <w:t xml:space="preserve">Dokumentem COM(2021)270 z 15 kwietnia KE przestawiła </w:t>
      </w:r>
      <w:r w:rsidRPr="00F8758C">
        <w:rPr>
          <w:rFonts w:asciiTheme="minorHAnsi" w:hAnsiTheme="minorHAnsi" w:cstheme="minorHAnsi"/>
          <w:b/>
        </w:rPr>
        <w:t>projekt budżetu korygującego nr 3</w:t>
      </w:r>
      <w:r w:rsidRPr="00F8758C">
        <w:rPr>
          <w:rFonts w:asciiTheme="minorHAnsi" w:hAnsiTheme="minorHAnsi" w:cstheme="minorHAnsi"/>
        </w:rPr>
        <w:t xml:space="preserve"> do budżetu ogólnego UE na rok 2021 (DAB3/2021). Jego celem jest rozliczenie nadwyżki w wysokości </w:t>
      </w:r>
      <w:r w:rsidRPr="00F8758C">
        <w:rPr>
          <w:rFonts w:asciiTheme="minorHAnsi" w:hAnsiTheme="minorHAnsi" w:cstheme="minorHAnsi"/>
          <w:b/>
        </w:rPr>
        <w:t>1 mld 768 mln EUR</w:t>
      </w:r>
      <w:r>
        <w:rPr>
          <w:rFonts w:asciiTheme="minorHAnsi" w:hAnsiTheme="minorHAnsi" w:cstheme="minorHAnsi"/>
        </w:rPr>
        <w:t xml:space="preserve">, pozostałej </w:t>
      </w:r>
      <w:r w:rsidRPr="00F8758C">
        <w:rPr>
          <w:rFonts w:asciiTheme="minorHAnsi" w:hAnsiTheme="minorHAnsi" w:cstheme="minorHAnsi"/>
        </w:rPr>
        <w:t>w budżecie UE po zakończeniu roku 2020. Powstała ona w wyniku osiągnięcia wyższych od planowanych dochodów (o 1 mld 647 mln EUR) oraz niższych wydatków (o 121 mln EUR) w budżecie roku 2020.</w:t>
      </w:r>
    </w:p>
    <w:p w:rsidR="00A353FC" w:rsidRDefault="00FF75D0" w:rsidP="00FF75D0">
      <w:pPr>
        <w:pStyle w:val="Akapitzlist"/>
        <w:tabs>
          <w:tab w:val="left" w:pos="567"/>
        </w:tabs>
        <w:spacing w:line="276" w:lineRule="auto"/>
        <w:ind w:left="0"/>
        <w:jc w:val="both"/>
        <w:rPr>
          <w:rFonts w:asciiTheme="minorHAnsi" w:hAnsiTheme="minorHAnsi" w:cstheme="minorHAnsi"/>
        </w:rPr>
      </w:pPr>
      <w:r w:rsidRPr="00F8758C">
        <w:rPr>
          <w:rFonts w:asciiTheme="minorHAnsi" w:hAnsiTheme="minorHAnsi" w:cstheme="minorHAnsi"/>
        </w:rPr>
        <w:t xml:space="preserve">Nadwyżka po stronie dochodowej wynika przede wszystkim z wyższych niż zaplanowano wpływów </w:t>
      </w:r>
      <w:r>
        <w:rPr>
          <w:rFonts w:asciiTheme="minorHAnsi" w:hAnsiTheme="minorHAnsi" w:cstheme="minorHAnsi"/>
        </w:rPr>
        <w:t xml:space="preserve">z </w:t>
      </w:r>
      <w:r>
        <w:rPr>
          <w:rFonts w:asciiTheme="minorHAnsi" w:hAnsiTheme="minorHAnsi" w:cstheme="minorHAnsi"/>
          <w:lang w:eastAsia="pl-PL"/>
        </w:rPr>
        <w:t xml:space="preserve">tytułu różnic kursowych, </w:t>
      </w:r>
      <w:r>
        <w:rPr>
          <w:rFonts w:asciiTheme="minorHAnsi" w:hAnsiTheme="minorHAnsi" w:cstheme="minorHAnsi"/>
        </w:rPr>
        <w:t>wpływów z</w:t>
      </w:r>
      <w:r w:rsidRPr="00F8758C">
        <w:rPr>
          <w:rFonts w:asciiTheme="minorHAnsi" w:hAnsiTheme="minorHAnsi" w:cstheme="minorHAnsi"/>
        </w:rPr>
        <w:t xml:space="preserve"> tradycyjnych zasobów własnych</w:t>
      </w:r>
      <w:r>
        <w:rPr>
          <w:rFonts w:asciiTheme="minorHAnsi" w:hAnsiTheme="minorHAnsi" w:cstheme="minorHAnsi"/>
        </w:rPr>
        <w:t xml:space="preserve"> oraz</w:t>
      </w:r>
      <w:r w:rsidRPr="00F8758C">
        <w:rPr>
          <w:rFonts w:asciiTheme="minorHAnsi" w:hAnsiTheme="minorHAnsi" w:cstheme="minorHAnsi"/>
        </w:rPr>
        <w:t xml:space="preserve"> </w:t>
      </w:r>
      <w:r>
        <w:rPr>
          <w:rFonts w:asciiTheme="minorHAnsi" w:hAnsiTheme="minorHAnsi" w:cstheme="minorHAnsi"/>
        </w:rPr>
        <w:t xml:space="preserve">z </w:t>
      </w:r>
      <w:r w:rsidRPr="00F8758C">
        <w:rPr>
          <w:rFonts w:asciiTheme="minorHAnsi" w:hAnsiTheme="minorHAnsi" w:cstheme="minorHAnsi"/>
          <w:lang w:eastAsia="pl-PL"/>
        </w:rPr>
        <w:t xml:space="preserve">kar </w:t>
      </w:r>
      <w:r>
        <w:rPr>
          <w:rFonts w:asciiTheme="minorHAnsi" w:hAnsiTheme="minorHAnsi" w:cstheme="minorHAnsi"/>
          <w:lang w:eastAsia="pl-PL"/>
        </w:rPr>
        <w:t xml:space="preserve">m.in. </w:t>
      </w:r>
      <w:r w:rsidRPr="00F8758C">
        <w:rPr>
          <w:rFonts w:asciiTheme="minorHAnsi" w:hAnsiTheme="minorHAnsi" w:cstheme="minorHAnsi"/>
          <w:lang w:eastAsia="pl-PL"/>
        </w:rPr>
        <w:t>z</w:t>
      </w:r>
      <w:r>
        <w:rPr>
          <w:rFonts w:asciiTheme="minorHAnsi" w:hAnsiTheme="minorHAnsi" w:cstheme="minorHAnsi"/>
          <w:lang w:eastAsia="pl-PL"/>
        </w:rPr>
        <w:t>a naruszenie zasad konkurencji.</w:t>
      </w:r>
      <w:r>
        <w:rPr>
          <w:rFonts w:asciiTheme="minorHAnsi" w:hAnsiTheme="minorHAnsi" w:cstheme="minorHAnsi"/>
        </w:rPr>
        <w:t xml:space="preserve"> </w:t>
      </w:r>
    </w:p>
    <w:p w:rsidR="00FF75D0" w:rsidRPr="00613E17" w:rsidRDefault="00FF75D0" w:rsidP="00FF75D0">
      <w:pPr>
        <w:pStyle w:val="Akapitzlist"/>
        <w:tabs>
          <w:tab w:val="left" w:pos="567"/>
        </w:tabs>
        <w:spacing w:line="276" w:lineRule="auto"/>
        <w:ind w:left="0"/>
        <w:jc w:val="both"/>
        <w:rPr>
          <w:rFonts w:asciiTheme="minorHAnsi" w:hAnsiTheme="minorHAnsi" w:cstheme="minorHAnsi"/>
        </w:rPr>
      </w:pPr>
      <w:r w:rsidRPr="00F9764D">
        <w:rPr>
          <w:rFonts w:asciiTheme="minorHAnsi" w:hAnsiTheme="minorHAnsi"/>
        </w:rPr>
        <w:t>Nadwyżka w za</w:t>
      </w:r>
      <w:r>
        <w:rPr>
          <w:rFonts w:asciiTheme="minorHAnsi" w:hAnsiTheme="minorHAnsi"/>
        </w:rPr>
        <w:t>kresie wy</w:t>
      </w:r>
      <w:r w:rsidR="00A353FC">
        <w:rPr>
          <w:rFonts w:asciiTheme="minorHAnsi" w:hAnsiTheme="minorHAnsi"/>
        </w:rPr>
        <w:t xml:space="preserve">datków wynika w szczególności z </w:t>
      </w:r>
      <w:r w:rsidRPr="00CA4613">
        <w:rPr>
          <w:rFonts w:asciiTheme="minorHAnsi" w:hAnsiTheme="minorHAnsi"/>
        </w:rPr>
        <w:t>niewykonani</w:t>
      </w:r>
      <w:r>
        <w:rPr>
          <w:rFonts w:asciiTheme="minorHAnsi" w:hAnsiTheme="minorHAnsi"/>
        </w:rPr>
        <w:t xml:space="preserve">a </w:t>
      </w:r>
      <w:r w:rsidRPr="00CA4613">
        <w:rPr>
          <w:rFonts w:asciiTheme="minorHAnsi" w:hAnsiTheme="minorHAnsi"/>
        </w:rPr>
        <w:t>części zaplanowanych wydatków administracyjnych w związku z sytuacją wynikającą z</w:t>
      </w:r>
      <w:r>
        <w:rPr>
          <w:rFonts w:asciiTheme="minorHAnsi" w:hAnsiTheme="minorHAnsi"/>
        </w:rPr>
        <w:t xml:space="preserve"> </w:t>
      </w:r>
      <w:r w:rsidRPr="00CA4613">
        <w:rPr>
          <w:rFonts w:asciiTheme="minorHAnsi" w:hAnsiTheme="minorHAnsi"/>
        </w:rPr>
        <w:t xml:space="preserve">pandemii </w:t>
      </w:r>
      <w:r>
        <w:rPr>
          <w:rFonts w:asciiTheme="minorHAnsi" w:hAnsiTheme="minorHAnsi"/>
        </w:rPr>
        <w:t xml:space="preserve">COVID-19 </w:t>
      </w:r>
      <w:r w:rsidRPr="00CA4613">
        <w:rPr>
          <w:rFonts w:asciiTheme="minorHAnsi" w:hAnsiTheme="minorHAnsi"/>
        </w:rPr>
        <w:t>(zmniejszenie liczby spotkań, misji, staży i rekrutacji), zmniejszeni</w:t>
      </w:r>
      <w:r>
        <w:rPr>
          <w:rFonts w:asciiTheme="minorHAnsi" w:hAnsiTheme="minorHAnsi"/>
        </w:rPr>
        <w:t>a</w:t>
      </w:r>
      <w:r w:rsidRPr="00CA4613">
        <w:rPr>
          <w:rFonts w:asciiTheme="minorHAnsi" w:hAnsiTheme="minorHAnsi"/>
        </w:rPr>
        <w:t xml:space="preserve"> wydatków innych</w:t>
      </w:r>
      <w:r>
        <w:rPr>
          <w:rFonts w:asciiTheme="minorHAnsi" w:hAnsiTheme="minorHAnsi"/>
        </w:rPr>
        <w:t xml:space="preserve"> instytucji </w:t>
      </w:r>
      <w:r w:rsidRPr="00CA4613">
        <w:rPr>
          <w:rFonts w:asciiTheme="minorHAnsi" w:hAnsiTheme="minorHAnsi"/>
        </w:rPr>
        <w:t>oraz anulowani</w:t>
      </w:r>
      <w:r>
        <w:rPr>
          <w:rFonts w:asciiTheme="minorHAnsi" w:hAnsiTheme="minorHAnsi"/>
        </w:rPr>
        <w:t>a</w:t>
      </w:r>
      <w:r w:rsidRPr="00CA4613">
        <w:rPr>
          <w:rFonts w:asciiTheme="minorHAnsi" w:hAnsiTheme="minorHAnsi"/>
        </w:rPr>
        <w:t xml:space="preserve"> części wydatków</w:t>
      </w:r>
      <w:r>
        <w:rPr>
          <w:rFonts w:asciiTheme="minorHAnsi" w:hAnsiTheme="minorHAnsi"/>
        </w:rPr>
        <w:t xml:space="preserve"> </w:t>
      </w:r>
      <w:r w:rsidRPr="00CA4613">
        <w:rPr>
          <w:rFonts w:asciiTheme="minorHAnsi" w:hAnsiTheme="minorHAnsi"/>
        </w:rPr>
        <w:t>prz</w:t>
      </w:r>
      <w:r>
        <w:rPr>
          <w:rFonts w:asciiTheme="minorHAnsi" w:hAnsiTheme="minorHAnsi"/>
        </w:rPr>
        <w:t xml:space="preserve">eniesionych z poprzednich lat. </w:t>
      </w:r>
    </w:p>
    <w:p w:rsidR="00FF75D0" w:rsidRDefault="00FF75D0" w:rsidP="00FF75D0">
      <w:pPr>
        <w:pStyle w:val="Akapitzlist"/>
        <w:tabs>
          <w:tab w:val="left" w:pos="567"/>
        </w:tabs>
        <w:spacing w:line="276" w:lineRule="auto"/>
        <w:ind w:left="0"/>
        <w:jc w:val="both"/>
        <w:rPr>
          <w:rFonts w:asciiTheme="minorHAnsi" w:hAnsiTheme="minorHAnsi"/>
        </w:rPr>
      </w:pPr>
      <w:r w:rsidRPr="00F9764D">
        <w:rPr>
          <w:rFonts w:asciiTheme="minorHAnsi" w:hAnsiTheme="minorHAnsi"/>
        </w:rPr>
        <w:t>Ze względu na zasady budżetowe n</w:t>
      </w:r>
      <w:r>
        <w:rPr>
          <w:rFonts w:asciiTheme="minorHAnsi" w:hAnsiTheme="minorHAnsi"/>
        </w:rPr>
        <w:t xml:space="preserve">adwyżka na koniec roku nie może zostać przeznaczona </w:t>
      </w:r>
      <w:r w:rsidRPr="00CA4613">
        <w:rPr>
          <w:rFonts w:asciiTheme="minorHAnsi" w:hAnsiTheme="minorHAnsi"/>
        </w:rPr>
        <w:t>na</w:t>
      </w:r>
      <w:r>
        <w:rPr>
          <w:rFonts w:asciiTheme="minorHAnsi" w:hAnsiTheme="minorHAnsi"/>
        </w:rPr>
        <w:t xml:space="preserve"> zwiększenie nowych wydatków</w:t>
      </w:r>
      <w:r w:rsidRPr="00CA4613">
        <w:rPr>
          <w:rFonts w:asciiTheme="minorHAnsi" w:hAnsiTheme="minorHAnsi"/>
        </w:rPr>
        <w:t xml:space="preserve"> budżetu UE.</w:t>
      </w:r>
      <w:r>
        <w:rPr>
          <w:rFonts w:asciiTheme="minorHAnsi" w:hAnsiTheme="minorHAnsi"/>
        </w:rPr>
        <w:t xml:space="preserve"> Zamiast tego (podobnie jak w </w:t>
      </w:r>
      <w:r w:rsidRPr="00F9764D">
        <w:rPr>
          <w:rFonts w:asciiTheme="minorHAnsi" w:hAnsiTheme="minorHAnsi"/>
        </w:rPr>
        <w:t>latach po</w:t>
      </w:r>
      <w:r w:rsidR="00523E38">
        <w:rPr>
          <w:rFonts w:asciiTheme="minorHAnsi" w:hAnsiTheme="minorHAnsi"/>
        </w:rPr>
        <w:t>przednich) o </w:t>
      </w:r>
      <w:r w:rsidRPr="00F9764D">
        <w:rPr>
          <w:rFonts w:asciiTheme="minorHAnsi" w:hAnsiTheme="minorHAnsi"/>
        </w:rPr>
        <w:t xml:space="preserve">kwotę nadwyżki zostaną zredukowane składki </w:t>
      </w:r>
      <w:r>
        <w:rPr>
          <w:rFonts w:asciiTheme="minorHAnsi" w:hAnsiTheme="minorHAnsi"/>
        </w:rPr>
        <w:t>państw członkowskich do budżetu UE na </w:t>
      </w:r>
      <w:r w:rsidRPr="00F9764D">
        <w:rPr>
          <w:rFonts w:asciiTheme="minorHAnsi" w:hAnsiTheme="minorHAnsi"/>
        </w:rPr>
        <w:t>rok 202</w:t>
      </w:r>
      <w:r>
        <w:rPr>
          <w:rFonts w:asciiTheme="minorHAnsi" w:hAnsiTheme="minorHAnsi"/>
        </w:rPr>
        <w:t>1</w:t>
      </w:r>
      <w:r w:rsidRPr="00F9764D">
        <w:rPr>
          <w:rFonts w:asciiTheme="minorHAnsi" w:hAnsiTheme="minorHAnsi"/>
        </w:rPr>
        <w:t>, p</w:t>
      </w:r>
      <w:r>
        <w:rPr>
          <w:rFonts w:asciiTheme="minorHAnsi" w:hAnsiTheme="minorHAnsi"/>
        </w:rPr>
        <w:t>roporcjonalnie do ich udziału w </w:t>
      </w:r>
      <w:r w:rsidRPr="00F9764D">
        <w:rPr>
          <w:rFonts w:asciiTheme="minorHAnsi" w:hAnsiTheme="minorHAnsi"/>
        </w:rPr>
        <w:t xml:space="preserve">płatności składki z tytułu środka własnego </w:t>
      </w:r>
      <w:r>
        <w:rPr>
          <w:rFonts w:asciiTheme="minorHAnsi" w:hAnsiTheme="minorHAnsi"/>
        </w:rPr>
        <w:t xml:space="preserve">opartego o Dochód Narodowy Brutto. </w:t>
      </w:r>
    </w:p>
    <w:p w:rsidR="00FF75D0" w:rsidRPr="009C6D56" w:rsidRDefault="00FF75D0" w:rsidP="00FF75D0">
      <w:pPr>
        <w:pStyle w:val="Akapitzlist"/>
        <w:tabs>
          <w:tab w:val="left" w:pos="567"/>
        </w:tabs>
        <w:spacing w:line="276" w:lineRule="auto"/>
        <w:ind w:left="0"/>
        <w:jc w:val="both"/>
        <w:rPr>
          <w:rFonts w:asciiTheme="minorHAnsi" w:hAnsiTheme="minorHAnsi" w:cstheme="minorHAnsi"/>
        </w:rPr>
      </w:pPr>
      <w:r w:rsidRPr="00F9764D">
        <w:rPr>
          <w:rFonts w:asciiTheme="minorHAnsi" w:hAnsiTheme="minorHAnsi"/>
        </w:rPr>
        <w:t>Rezultatem przyjęcia DAB3/202</w:t>
      </w:r>
      <w:r>
        <w:rPr>
          <w:rFonts w:asciiTheme="minorHAnsi" w:hAnsiTheme="minorHAnsi"/>
        </w:rPr>
        <w:t>1</w:t>
      </w:r>
      <w:r w:rsidRPr="00F9764D">
        <w:rPr>
          <w:rFonts w:asciiTheme="minorHAnsi" w:hAnsiTheme="minorHAnsi"/>
        </w:rPr>
        <w:t xml:space="preserve"> będzie więc redukcja składki Polski o </w:t>
      </w:r>
      <w:r w:rsidRPr="009C6D56">
        <w:rPr>
          <w:rFonts w:asciiTheme="minorHAnsi" w:hAnsiTheme="minorHAnsi"/>
          <w:b/>
        </w:rPr>
        <w:t>62,6 mln EUR.</w:t>
      </w:r>
      <w:r w:rsidRPr="00F9764D">
        <w:rPr>
          <w:rFonts w:asciiTheme="minorHAnsi" w:hAnsiTheme="minorHAnsi"/>
        </w:rPr>
        <w:t xml:space="preserve"> </w:t>
      </w:r>
    </w:p>
    <w:p w:rsidR="00257AA4" w:rsidRDefault="00257AA4" w:rsidP="00523E38">
      <w:pPr>
        <w:tabs>
          <w:tab w:val="left" w:pos="567"/>
        </w:tabs>
        <w:jc w:val="both"/>
        <w:rPr>
          <w:rFonts w:asciiTheme="minorHAnsi" w:hAnsiTheme="minorHAnsi" w:cstheme="minorHAnsi"/>
          <w:b/>
          <w:bCs/>
          <w:u w:val="single"/>
        </w:rPr>
      </w:pPr>
    </w:p>
    <w:p w:rsidR="007810B2" w:rsidRDefault="007810B2" w:rsidP="00B3635C">
      <w:pPr>
        <w:tabs>
          <w:tab w:val="left" w:pos="567"/>
        </w:tabs>
        <w:ind w:left="567" w:hanging="567"/>
        <w:jc w:val="both"/>
        <w:rPr>
          <w:rFonts w:asciiTheme="minorHAnsi" w:eastAsia="Times New Roman" w:hAnsiTheme="minorHAnsi"/>
          <w:b/>
          <w:szCs w:val="20"/>
          <w:u w:val="single"/>
          <w:lang w:eastAsia="pl-PL"/>
        </w:rPr>
      </w:pPr>
      <w:r>
        <w:rPr>
          <w:rFonts w:asciiTheme="minorHAnsi" w:hAnsiTheme="minorHAnsi"/>
          <w:b/>
          <w:u w:val="single"/>
        </w:rPr>
        <w:t>II.2</w:t>
      </w:r>
      <w:r w:rsidRPr="000A2E14">
        <w:rPr>
          <w:rFonts w:asciiTheme="minorHAnsi" w:hAnsiTheme="minorHAnsi"/>
          <w:b/>
          <w:u w:val="single"/>
        </w:rPr>
        <w:t xml:space="preserve"> </w:t>
      </w:r>
      <w:r>
        <w:rPr>
          <w:rFonts w:asciiTheme="minorHAnsi" w:hAnsiTheme="minorHAnsi"/>
          <w:b/>
          <w:u w:val="single"/>
        </w:rPr>
        <w:tab/>
      </w:r>
      <w:r w:rsidRPr="00691912">
        <w:rPr>
          <w:rFonts w:asciiTheme="minorHAnsi" w:eastAsia="Times New Roman" w:hAnsiTheme="minorHAnsi"/>
          <w:b/>
          <w:szCs w:val="20"/>
          <w:u w:val="single"/>
          <w:lang w:eastAsia="pl-PL"/>
        </w:rPr>
        <w:t xml:space="preserve">Komisja Europejska nakłada </w:t>
      </w:r>
      <w:r>
        <w:rPr>
          <w:rFonts w:asciiTheme="minorHAnsi" w:eastAsia="Times New Roman" w:hAnsiTheme="minorHAnsi"/>
          <w:b/>
          <w:szCs w:val="20"/>
          <w:u w:val="single"/>
          <w:lang w:eastAsia="pl-PL"/>
        </w:rPr>
        <w:t>48</w:t>
      </w:r>
      <w:r w:rsidR="00EF545A">
        <w:rPr>
          <w:rFonts w:asciiTheme="minorHAnsi" w:eastAsia="Times New Roman" w:hAnsiTheme="minorHAnsi"/>
          <w:b/>
          <w:szCs w:val="20"/>
          <w:u w:val="single"/>
          <w:lang w:eastAsia="pl-PL"/>
        </w:rPr>
        <w:t>,6</w:t>
      </w:r>
      <w:r>
        <w:rPr>
          <w:rFonts w:asciiTheme="minorHAnsi" w:eastAsia="Times New Roman" w:hAnsiTheme="minorHAnsi"/>
          <w:b/>
          <w:szCs w:val="20"/>
          <w:u w:val="single"/>
          <w:lang w:eastAsia="pl-PL"/>
        </w:rPr>
        <w:t xml:space="preserve"> mln EUR grzywny na przedsiębiorstwa </w:t>
      </w:r>
      <w:r w:rsidR="00E74E12">
        <w:rPr>
          <w:rFonts w:asciiTheme="minorHAnsi" w:eastAsia="Times New Roman" w:hAnsiTheme="minorHAnsi"/>
          <w:b/>
          <w:szCs w:val="20"/>
          <w:u w:val="single"/>
          <w:lang w:eastAsia="pl-PL"/>
        </w:rPr>
        <w:t>kolejowe z </w:t>
      </w:r>
      <w:r w:rsidR="00510537">
        <w:rPr>
          <w:rFonts w:asciiTheme="minorHAnsi" w:eastAsia="Times New Roman" w:hAnsiTheme="minorHAnsi"/>
          <w:b/>
          <w:szCs w:val="20"/>
          <w:u w:val="single"/>
          <w:lang w:eastAsia="pl-PL"/>
        </w:rPr>
        <w:t>Austrii, Niemiec i Belgii</w:t>
      </w:r>
      <w:r w:rsidR="00B3635C">
        <w:rPr>
          <w:rFonts w:asciiTheme="minorHAnsi" w:eastAsia="Times New Roman" w:hAnsiTheme="minorHAnsi"/>
          <w:b/>
          <w:szCs w:val="20"/>
          <w:u w:val="single"/>
          <w:lang w:eastAsia="pl-PL"/>
        </w:rPr>
        <w:t xml:space="preserve"> w związku z </w:t>
      </w:r>
      <w:r w:rsidR="00E74E12">
        <w:rPr>
          <w:rFonts w:asciiTheme="minorHAnsi" w:eastAsia="Times New Roman" w:hAnsiTheme="minorHAnsi"/>
          <w:b/>
          <w:szCs w:val="20"/>
          <w:u w:val="single"/>
          <w:lang w:eastAsia="pl-PL"/>
        </w:rPr>
        <w:t>naruszeniem zasad konkurencji</w:t>
      </w:r>
    </w:p>
    <w:p w:rsidR="007810B2" w:rsidRPr="00F87F40" w:rsidRDefault="007810B2" w:rsidP="007810B2">
      <w:pPr>
        <w:tabs>
          <w:tab w:val="left" w:pos="709"/>
        </w:tabs>
        <w:jc w:val="both"/>
        <w:rPr>
          <w:rFonts w:asciiTheme="minorHAnsi" w:eastAsia="Times New Roman" w:hAnsiTheme="minorHAnsi"/>
          <w:b/>
          <w:sz w:val="10"/>
          <w:szCs w:val="10"/>
          <w:u w:val="single"/>
          <w:lang w:eastAsia="pl-PL"/>
        </w:rPr>
      </w:pPr>
    </w:p>
    <w:p w:rsidR="00333EBE" w:rsidRDefault="00333EBE" w:rsidP="00333EBE">
      <w:pPr>
        <w:tabs>
          <w:tab w:val="left" w:pos="709"/>
        </w:tabs>
        <w:spacing w:line="264" w:lineRule="auto"/>
        <w:jc w:val="both"/>
        <w:rPr>
          <w:rFonts w:asciiTheme="minorHAnsi" w:hAnsiTheme="minorHAnsi"/>
        </w:rPr>
      </w:pPr>
      <w:r w:rsidRPr="00691912">
        <w:rPr>
          <w:rFonts w:asciiTheme="minorHAnsi" w:hAnsiTheme="minorHAnsi"/>
        </w:rPr>
        <w:t xml:space="preserve">Komunikatem z </w:t>
      </w:r>
      <w:r>
        <w:rPr>
          <w:rFonts w:asciiTheme="minorHAnsi" w:hAnsiTheme="minorHAnsi"/>
        </w:rPr>
        <w:t xml:space="preserve">20 kwietnia Komisja Europejska (KE) </w:t>
      </w:r>
      <w:r w:rsidRPr="00691912">
        <w:rPr>
          <w:rFonts w:asciiTheme="minorHAnsi" w:hAnsiTheme="minorHAnsi"/>
        </w:rPr>
        <w:t>poinformowała o nałożeniu grzywny na</w:t>
      </w:r>
      <w:r>
        <w:rPr>
          <w:rFonts w:asciiTheme="minorHAnsi" w:hAnsiTheme="minorHAnsi"/>
        </w:rPr>
        <w:t xml:space="preserve"> </w:t>
      </w:r>
      <w:r w:rsidRPr="00B3635C">
        <w:rPr>
          <w:rFonts w:asciiTheme="minorHAnsi" w:hAnsiTheme="minorHAnsi"/>
        </w:rPr>
        <w:t>przedsiębiorstwa kolejowe</w:t>
      </w:r>
      <w:r>
        <w:rPr>
          <w:rFonts w:asciiTheme="minorHAnsi" w:hAnsiTheme="minorHAnsi"/>
        </w:rPr>
        <w:t xml:space="preserve">: </w:t>
      </w:r>
      <w:r w:rsidRPr="00B3635C">
        <w:rPr>
          <w:rFonts w:asciiTheme="minorHAnsi" w:hAnsiTheme="minorHAnsi"/>
        </w:rPr>
        <w:t>Österreichische Bundesbahnen (ÖBB)</w:t>
      </w:r>
      <w:r>
        <w:rPr>
          <w:rFonts w:asciiTheme="minorHAnsi" w:hAnsiTheme="minorHAnsi"/>
        </w:rPr>
        <w:t xml:space="preserve"> z Austrii</w:t>
      </w:r>
      <w:r w:rsidRPr="00B3635C">
        <w:rPr>
          <w:rFonts w:asciiTheme="minorHAnsi" w:hAnsiTheme="minorHAnsi"/>
        </w:rPr>
        <w:t xml:space="preserve">, Deutsche Bahn (DB) </w:t>
      </w:r>
      <w:r>
        <w:rPr>
          <w:rFonts w:asciiTheme="minorHAnsi" w:hAnsiTheme="minorHAnsi"/>
        </w:rPr>
        <w:t xml:space="preserve">z Niemiec oraz </w:t>
      </w:r>
      <w:r w:rsidRPr="00B3635C">
        <w:rPr>
          <w:rFonts w:asciiTheme="minorHAnsi" w:hAnsiTheme="minorHAnsi"/>
        </w:rPr>
        <w:t>Société Nation</w:t>
      </w:r>
      <w:r>
        <w:rPr>
          <w:rFonts w:asciiTheme="minorHAnsi" w:hAnsiTheme="minorHAnsi"/>
        </w:rPr>
        <w:t xml:space="preserve">ale des Chemins de Fer Belges </w:t>
      </w:r>
      <w:r w:rsidRPr="00B3635C">
        <w:rPr>
          <w:rFonts w:asciiTheme="minorHAnsi" w:hAnsiTheme="minorHAnsi"/>
        </w:rPr>
        <w:t>(SNCB)</w:t>
      </w:r>
      <w:r>
        <w:rPr>
          <w:rFonts w:asciiTheme="minorHAnsi" w:hAnsiTheme="minorHAnsi"/>
        </w:rPr>
        <w:t xml:space="preserve"> z Belgii w związku z naruszeniem przepisów antymonopolowych. Ww. firmy utworzyły kartel mający na celu podział klientów na rynku przewozów towarowych na głównych korytarzach kolejowych UE. Wymieniały się one poufnymi informacjami nt. klientów oraz ustalały ceny w celu ochrony swych interesów, co zapobiegało konkurencji cenowej między nimi. </w:t>
      </w:r>
    </w:p>
    <w:p w:rsidR="00333EBE" w:rsidRDefault="00333EBE" w:rsidP="00333EBE">
      <w:pPr>
        <w:tabs>
          <w:tab w:val="left" w:pos="709"/>
        </w:tabs>
        <w:spacing w:line="264" w:lineRule="auto"/>
        <w:jc w:val="both"/>
        <w:rPr>
          <w:rFonts w:asciiTheme="minorHAnsi" w:hAnsiTheme="minorHAnsi"/>
        </w:rPr>
      </w:pPr>
      <w:r>
        <w:rPr>
          <w:rFonts w:asciiTheme="minorHAnsi" w:hAnsiTheme="minorHAnsi"/>
        </w:rPr>
        <w:t xml:space="preserve">Przedsiębiorstwo </w:t>
      </w:r>
      <w:r w:rsidRPr="00B3635C">
        <w:rPr>
          <w:rFonts w:asciiTheme="minorHAnsi" w:hAnsiTheme="minorHAnsi"/>
        </w:rPr>
        <w:t>ÖBB</w:t>
      </w:r>
      <w:r>
        <w:rPr>
          <w:rFonts w:asciiTheme="minorHAnsi" w:hAnsiTheme="minorHAnsi"/>
        </w:rPr>
        <w:t xml:space="preserve"> zostało zwolnione z kary (szacowanej na ok. 37 mln EUR) ze względu na podjęcie współpracy z KE. Kara dla </w:t>
      </w:r>
      <w:r w:rsidRPr="00B3635C">
        <w:rPr>
          <w:rFonts w:asciiTheme="minorHAnsi" w:hAnsiTheme="minorHAnsi"/>
        </w:rPr>
        <w:t>SNCB</w:t>
      </w:r>
      <w:r>
        <w:rPr>
          <w:rFonts w:asciiTheme="minorHAnsi" w:hAnsiTheme="minorHAnsi"/>
        </w:rPr>
        <w:t xml:space="preserve"> została zredukowana do 0,27 mln EUR (także dzięki współpracy z KE), natomiast kara dla DB wyniosła aż 48,3 mln EUR, gdyż przedsiębiorstwo to już wcześniej uczestniczyło w podobnym kartelu. </w:t>
      </w:r>
    </w:p>
    <w:p w:rsidR="00333EBE" w:rsidRPr="00414AD0" w:rsidRDefault="00333EBE" w:rsidP="00333EBE">
      <w:pPr>
        <w:tabs>
          <w:tab w:val="left" w:pos="709"/>
        </w:tabs>
        <w:spacing w:line="264" w:lineRule="auto"/>
        <w:jc w:val="both"/>
        <w:rPr>
          <w:rFonts w:asciiTheme="minorHAnsi" w:hAnsiTheme="minorHAnsi"/>
        </w:rPr>
      </w:pPr>
      <w:r>
        <w:rPr>
          <w:rFonts w:asciiTheme="minorHAnsi" w:hAnsiTheme="minorHAnsi"/>
        </w:rPr>
        <w:t>Kary nałożone z </w:t>
      </w:r>
      <w:r w:rsidRPr="00414AD0">
        <w:rPr>
          <w:rFonts w:asciiTheme="minorHAnsi" w:hAnsiTheme="minorHAnsi"/>
        </w:rPr>
        <w:t>tytułu naruszenia zasad konkurencji, po wyczerpaniu długotrwałej procedury</w:t>
      </w:r>
      <w:r>
        <w:rPr>
          <w:rFonts w:asciiTheme="minorHAnsi" w:hAnsiTheme="minorHAnsi"/>
        </w:rPr>
        <w:t>,</w:t>
      </w:r>
      <w:r w:rsidRPr="00414AD0">
        <w:rPr>
          <w:rFonts w:asciiTheme="minorHAnsi" w:hAnsiTheme="minorHAnsi"/>
        </w:rPr>
        <w:t xml:space="preserve"> zasilają budżet UE. </w:t>
      </w:r>
      <w:r>
        <w:rPr>
          <w:rFonts w:asciiTheme="minorHAnsi" w:hAnsiTheme="minorHAnsi"/>
        </w:rPr>
        <w:t xml:space="preserve"> </w:t>
      </w:r>
    </w:p>
    <w:p w:rsidR="00257AA4" w:rsidRDefault="00257AA4" w:rsidP="00BA08A6">
      <w:pPr>
        <w:tabs>
          <w:tab w:val="left" w:pos="567"/>
        </w:tabs>
        <w:jc w:val="both"/>
        <w:rPr>
          <w:rFonts w:asciiTheme="minorHAnsi" w:hAnsiTheme="minorHAnsi" w:cstheme="minorHAnsi"/>
          <w:b/>
          <w:bCs/>
          <w:u w:val="single"/>
        </w:rPr>
      </w:pPr>
    </w:p>
    <w:p w:rsidR="00257AA4" w:rsidRPr="00702425" w:rsidRDefault="00257AA4" w:rsidP="00257AA4">
      <w:pPr>
        <w:tabs>
          <w:tab w:val="left" w:pos="567"/>
        </w:tabs>
        <w:spacing w:line="264" w:lineRule="auto"/>
        <w:ind w:left="567" w:hanging="567"/>
        <w:jc w:val="both"/>
        <w:rPr>
          <w:rFonts w:asciiTheme="minorHAnsi" w:hAnsiTheme="minorHAnsi" w:cstheme="minorHAnsi"/>
          <w:b/>
          <w:u w:val="single"/>
        </w:rPr>
      </w:pPr>
      <w:r>
        <w:rPr>
          <w:rFonts w:asciiTheme="minorHAnsi" w:hAnsiTheme="minorHAnsi" w:cstheme="minorHAnsi"/>
          <w:b/>
          <w:u w:val="single"/>
        </w:rPr>
        <w:lastRenderedPageBreak/>
        <w:t>II.3</w:t>
      </w:r>
      <w:r w:rsidRPr="00702425">
        <w:rPr>
          <w:rFonts w:asciiTheme="minorHAnsi" w:hAnsiTheme="minorHAnsi" w:cstheme="minorHAnsi"/>
          <w:b/>
          <w:u w:val="single"/>
        </w:rPr>
        <w:tab/>
        <w:t>Informacja KE nt. płatności pośrednich dla Europejskich Funduszy Strukturalnych</w:t>
      </w:r>
      <w:r w:rsidRPr="00702425">
        <w:rPr>
          <w:rFonts w:asciiTheme="minorHAnsi" w:hAnsiTheme="minorHAnsi" w:cstheme="minorHAnsi"/>
          <w:b/>
        </w:rPr>
        <w:t xml:space="preserve"> </w:t>
      </w:r>
      <w:r w:rsidRPr="00702425">
        <w:rPr>
          <w:rFonts w:asciiTheme="minorHAnsi" w:hAnsiTheme="minorHAnsi" w:cstheme="minorHAnsi"/>
          <w:b/>
          <w:u w:val="single"/>
        </w:rPr>
        <w:t>i Inwestycyjnych</w:t>
      </w:r>
      <w:r w:rsidRPr="00702425">
        <w:rPr>
          <w:rStyle w:val="Odwoanieprzypisudolnego"/>
          <w:rFonts w:asciiTheme="minorHAnsi" w:hAnsiTheme="minorHAnsi" w:cstheme="minorHAnsi"/>
          <w:b/>
          <w:u w:val="single"/>
        </w:rPr>
        <w:footnoteReference w:id="1"/>
      </w:r>
      <w:r w:rsidRPr="00702425">
        <w:rPr>
          <w:rFonts w:asciiTheme="minorHAnsi" w:hAnsiTheme="minorHAnsi" w:cstheme="minorHAnsi"/>
          <w:b/>
          <w:u w:val="single"/>
        </w:rPr>
        <w:t xml:space="preserve"> (EFSI), w ramach alokacji 20</w:t>
      </w:r>
      <w:r>
        <w:rPr>
          <w:rFonts w:asciiTheme="minorHAnsi" w:hAnsiTheme="minorHAnsi" w:cstheme="minorHAnsi"/>
          <w:b/>
          <w:u w:val="single"/>
        </w:rPr>
        <w:t>14 – 2020 na koniec marca</w:t>
      </w:r>
      <w:r w:rsidRPr="00702425">
        <w:rPr>
          <w:rFonts w:asciiTheme="minorHAnsi" w:hAnsiTheme="minorHAnsi" w:cstheme="minorHAnsi"/>
          <w:b/>
          <w:u w:val="single"/>
        </w:rPr>
        <w:t xml:space="preserve"> 202</w:t>
      </w:r>
      <w:r>
        <w:rPr>
          <w:rFonts w:asciiTheme="minorHAnsi" w:hAnsiTheme="minorHAnsi" w:cstheme="minorHAnsi"/>
          <w:b/>
          <w:u w:val="single"/>
        </w:rPr>
        <w:t>1</w:t>
      </w:r>
      <w:r w:rsidRPr="00702425">
        <w:rPr>
          <w:rFonts w:asciiTheme="minorHAnsi" w:hAnsiTheme="minorHAnsi" w:cstheme="minorHAnsi"/>
          <w:b/>
          <w:u w:val="single"/>
        </w:rPr>
        <w:t xml:space="preserve"> r.</w:t>
      </w:r>
    </w:p>
    <w:p w:rsidR="00257AA4" w:rsidRPr="00702425" w:rsidRDefault="00257AA4" w:rsidP="00257AA4">
      <w:pPr>
        <w:tabs>
          <w:tab w:val="left" w:pos="567"/>
        </w:tabs>
        <w:spacing w:line="264" w:lineRule="auto"/>
        <w:ind w:left="567" w:hanging="567"/>
        <w:jc w:val="both"/>
        <w:rPr>
          <w:rFonts w:asciiTheme="minorHAnsi" w:hAnsiTheme="minorHAnsi" w:cstheme="minorHAnsi"/>
          <w:b/>
        </w:rPr>
      </w:pPr>
    </w:p>
    <w:p w:rsidR="00257AA4" w:rsidRPr="00702425" w:rsidRDefault="00257AA4" w:rsidP="00257AA4">
      <w:pPr>
        <w:spacing w:line="264" w:lineRule="auto"/>
        <w:jc w:val="both"/>
        <w:rPr>
          <w:rFonts w:asciiTheme="minorHAnsi" w:hAnsiTheme="minorHAnsi" w:cstheme="minorHAnsi"/>
        </w:rPr>
      </w:pPr>
      <w:r w:rsidRPr="00702425">
        <w:rPr>
          <w:rFonts w:asciiTheme="minorHAnsi" w:hAnsiTheme="minorHAnsi" w:cstheme="minorHAnsi"/>
        </w:rPr>
        <w:t>Poniższa tabela zawiera informacje nt. płatności pośrednich dla programów EFSI w podziale na państwa członkowskie (P.Cz.). Od roku 2014 w formie płatności pośrednich za zobowiązania z okresu programowan</w:t>
      </w:r>
      <w:r w:rsidR="00F540A3">
        <w:rPr>
          <w:rFonts w:asciiTheme="minorHAnsi" w:hAnsiTheme="minorHAnsi" w:cstheme="minorHAnsi"/>
        </w:rPr>
        <w:t>ia 2014-2020 do P.Cz. napłynęło</w:t>
      </w:r>
      <w:r w:rsidRPr="00702425">
        <w:rPr>
          <w:rFonts w:asciiTheme="minorHAnsi" w:hAnsiTheme="minorHAnsi" w:cstheme="minorHAnsi"/>
        </w:rPr>
        <w:t xml:space="preserve"> </w:t>
      </w:r>
      <w:r w:rsidR="00EA794E" w:rsidRPr="00EA794E">
        <w:rPr>
          <w:rFonts w:asciiTheme="minorHAnsi" w:hAnsiTheme="minorHAnsi" w:cstheme="minorHAnsi"/>
          <w:b/>
        </w:rPr>
        <w:t>241</w:t>
      </w:r>
      <w:r w:rsidR="00EA794E">
        <w:rPr>
          <w:rFonts w:asciiTheme="minorHAnsi" w:hAnsiTheme="minorHAnsi" w:cstheme="minorHAnsi"/>
        </w:rPr>
        <w:t xml:space="preserve"> </w:t>
      </w:r>
      <w:r w:rsidRPr="00702425">
        <w:rPr>
          <w:rFonts w:asciiTheme="minorHAnsi" w:hAnsiTheme="minorHAnsi" w:cstheme="minorHAnsi"/>
          <w:b/>
        </w:rPr>
        <w:t>mld EUR</w:t>
      </w:r>
      <w:r w:rsidRPr="00702425">
        <w:rPr>
          <w:rFonts w:asciiTheme="minorHAnsi" w:hAnsiTheme="minorHAnsi" w:cstheme="minorHAnsi"/>
        </w:rPr>
        <w:t>. W samym roku 202</w:t>
      </w:r>
      <w:r>
        <w:rPr>
          <w:rFonts w:asciiTheme="minorHAnsi" w:hAnsiTheme="minorHAnsi" w:cstheme="minorHAnsi"/>
        </w:rPr>
        <w:t>1</w:t>
      </w:r>
      <w:r w:rsidRPr="00702425">
        <w:rPr>
          <w:rFonts w:asciiTheme="minorHAnsi" w:hAnsiTheme="minorHAnsi" w:cstheme="minorHAnsi"/>
        </w:rPr>
        <w:t xml:space="preserve"> płatności te wyniosły</w:t>
      </w:r>
      <w:r>
        <w:rPr>
          <w:rFonts w:asciiTheme="minorHAnsi" w:hAnsiTheme="minorHAnsi" w:cstheme="minorHAnsi"/>
          <w:b/>
        </w:rPr>
        <w:t xml:space="preserve"> </w:t>
      </w:r>
      <w:r w:rsidRPr="00702425">
        <w:rPr>
          <w:rFonts w:asciiTheme="minorHAnsi" w:hAnsiTheme="minorHAnsi" w:cstheme="minorHAnsi"/>
          <w:b/>
        </w:rPr>
        <w:t xml:space="preserve"> </w:t>
      </w:r>
      <w:r w:rsidR="00EA794E">
        <w:rPr>
          <w:rFonts w:asciiTheme="minorHAnsi" w:hAnsiTheme="minorHAnsi" w:cstheme="minorHAnsi"/>
          <w:b/>
        </w:rPr>
        <w:t xml:space="preserve">17,6 </w:t>
      </w:r>
      <w:r w:rsidRPr="00702425">
        <w:rPr>
          <w:rFonts w:asciiTheme="minorHAnsi" w:hAnsiTheme="minorHAnsi" w:cstheme="minorHAnsi"/>
          <w:b/>
        </w:rPr>
        <w:t>mld EUR.</w:t>
      </w:r>
      <w:r>
        <w:rPr>
          <w:rFonts w:asciiTheme="minorHAnsi" w:hAnsiTheme="minorHAnsi" w:cstheme="minorHAnsi"/>
        </w:rPr>
        <w:t xml:space="preserve"> D</w:t>
      </w:r>
      <w:r w:rsidRPr="00702425">
        <w:rPr>
          <w:rFonts w:asciiTheme="minorHAnsi" w:hAnsiTheme="minorHAnsi" w:cstheme="minorHAnsi"/>
        </w:rPr>
        <w:t>o Polski napłynęło najwięcej środków:</w:t>
      </w:r>
      <w:r w:rsidRPr="00702425">
        <w:rPr>
          <w:rFonts w:asciiTheme="minorHAnsi" w:hAnsiTheme="minorHAnsi" w:cstheme="minorHAnsi"/>
          <w:b/>
        </w:rPr>
        <w:t> </w:t>
      </w:r>
      <w:r w:rsidR="00EA794E">
        <w:rPr>
          <w:rFonts w:asciiTheme="minorHAnsi" w:hAnsiTheme="minorHAnsi" w:cstheme="minorHAnsi"/>
          <w:b/>
        </w:rPr>
        <w:t xml:space="preserve">3,1 </w:t>
      </w:r>
      <w:r w:rsidRPr="00702425">
        <w:rPr>
          <w:rFonts w:asciiTheme="minorHAnsi" w:hAnsiTheme="minorHAnsi" w:cstheme="minorHAnsi"/>
          <w:b/>
        </w:rPr>
        <w:t>mld EUR</w:t>
      </w:r>
      <w:r w:rsidRPr="00702425">
        <w:rPr>
          <w:rFonts w:asciiTheme="minorHAnsi" w:hAnsiTheme="minorHAnsi" w:cstheme="minorHAnsi"/>
        </w:rPr>
        <w:t xml:space="preserve">, co stanowi </w:t>
      </w:r>
      <w:r w:rsidR="00782FAF">
        <w:rPr>
          <w:rFonts w:asciiTheme="minorHAnsi" w:hAnsiTheme="minorHAnsi" w:cstheme="minorHAnsi"/>
        </w:rPr>
        <w:t xml:space="preserve">20 </w:t>
      </w:r>
      <w:r w:rsidRPr="00702425">
        <w:rPr>
          <w:rFonts w:asciiTheme="minorHAnsi" w:hAnsiTheme="minorHAnsi" w:cstheme="minorHAnsi"/>
          <w:b/>
        </w:rPr>
        <w:t>%</w:t>
      </w:r>
      <w:r w:rsidRPr="00702425">
        <w:rPr>
          <w:rFonts w:asciiTheme="minorHAnsi" w:hAnsiTheme="minorHAnsi" w:cstheme="minorHAnsi"/>
        </w:rPr>
        <w:t xml:space="preserve"> kwoty płatności pośrednich dotychczas przekazanych P.Cz.</w:t>
      </w:r>
    </w:p>
    <w:p w:rsidR="00257AA4" w:rsidRPr="00702425" w:rsidRDefault="00257AA4" w:rsidP="00257AA4">
      <w:pPr>
        <w:spacing w:line="264" w:lineRule="auto"/>
        <w:jc w:val="both"/>
        <w:rPr>
          <w:rFonts w:asciiTheme="minorHAnsi" w:hAnsiTheme="minorHAnsi" w:cstheme="minorHAnsi"/>
          <w:sz w:val="10"/>
          <w:szCs w:val="10"/>
        </w:rPr>
      </w:pPr>
    </w:p>
    <w:p w:rsidR="00257AA4" w:rsidRPr="00702425" w:rsidRDefault="00257AA4" w:rsidP="00257AA4">
      <w:pPr>
        <w:spacing w:line="264" w:lineRule="auto"/>
        <w:jc w:val="both"/>
        <w:rPr>
          <w:rFonts w:asciiTheme="minorHAnsi" w:hAnsiTheme="minorHAnsi" w:cstheme="minorHAnsi"/>
          <w:sz w:val="2"/>
          <w:szCs w:val="2"/>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23"/>
        <w:gridCol w:w="1341"/>
        <w:gridCol w:w="1701"/>
        <w:gridCol w:w="1706"/>
        <w:gridCol w:w="1984"/>
      </w:tblGrid>
      <w:tr w:rsidR="00257AA4" w:rsidRPr="00702425" w:rsidTr="00B51E03">
        <w:trPr>
          <w:trHeight w:hRule="exact" w:val="579"/>
          <w:jc w:val="center"/>
        </w:trPr>
        <w:tc>
          <w:tcPr>
            <w:tcW w:w="2623" w:type="dxa"/>
            <w:vMerge w:val="restart"/>
            <w:shd w:val="clear" w:color="auto" w:fill="auto"/>
            <w:hideMark/>
          </w:tcPr>
          <w:p w:rsidR="00257AA4" w:rsidRPr="00702425" w:rsidRDefault="00257AA4" w:rsidP="00B51E03">
            <w:pPr>
              <w:spacing w:line="264" w:lineRule="auto"/>
              <w:rPr>
                <w:rFonts w:asciiTheme="minorHAnsi" w:eastAsia="Times New Roman" w:hAnsiTheme="minorHAnsi" w:cstheme="minorHAnsi"/>
                <w:i/>
                <w:sz w:val="22"/>
                <w:szCs w:val="22"/>
                <w:lang w:eastAsia="pl-PL"/>
              </w:rPr>
            </w:pPr>
            <w:r w:rsidRPr="00702425">
              <w:rPr>
                <w:rFonts w:asciiTheme="minorHAnsi" w:eastAsia="Times New Roman" w:hAnsiTheme="minorHAnsi" w:cstheme="minorHAnsi"/>
                <w:i/>
                <w:sz w:val="22"/>
                <w:szCs w:val="22"/>
                <w:lang w:eastAsia="pl-PL"/>
              </w:rPr>
              <w:t>(W mln EUR)</w:t>
            </w:r>
          </w:p>
        </w:tc>
        <w:tc>
          <w:tcPr>
            <w:tcW w:w="1341" w:type="dxa"/>
            <w:vMerge w:val="restart"/>
            <w:shd w:val="clear" w:color="auto" w:fill="auto"/>
            <w:vAlign w:val="center"/>
            <w:hideMark/>
          </w:tcPr>
          <w:p w:rsidR="00257AA4" w:rsidRPr="00702425" w:rsidRDefault="00257AA4" w:rsidP="00B51E03">
            <w:pPr>
              <w:spacing w:line="264" w:lineRule="auto"/>
              <w:jc w:val="center"/>
              <w:rPr>
                <w:rFonts w:asciiTheme="minorHAnsi" w:eastAsia="Times New Roman" w:hAnsiTheme="minorHAnsi" w:cstheme="minorHAnsi"/>
                <w:lang w:eastAsia="pl-PL"/>
              </w:rPr>
            </w:pPr>
            <w:r w:rsidRPr="00702425">
              <w:rPr>
                <w:rFonts w:asciiTheme="minorHAnsi" w:eastAsia="Times New Roman" w:hAnsiTheme="minorHAnsi" w:cstheme="minorHAnsi"/>
                <w:lang w:eastAsia="pl-PL"/>
              </w:rPr>
              <w:t>Całkowita alokacja</w:t>
            </w:r>
          </w:p>
        </w:tc>
        <w:tc>
          <w:tcPr>
            <w:tcW w:w="3407" w:type="dxa"/>
            <w:gridSpan w:val="2"/>
            <w:shd w:val="clear" w:color="auto" w:fill="auto"/>
            <w:vAlign w:val="center"/>
            <w:hideMark/>
          </w:tcPr>
          <w:p w:rsidR="00257AA4" w:rsidRPr="00702425" w:rsidRDefault="00257AA4" w:rsidP="00B51E03">
            <w:pPr>
              <w:spacing w:line="264" w:lineRule="auto"/>
              <w:jc w:val="center"/>
              <w:rPr>
                <w:rFonts w:asciiTheme="minorHAnsi" w:eastAsia="Times New Roman" w:hAnsiTheme="minorHAnsi" w:cstheme="minorHAnsi"/>
                <w:sz w:val="22"/>
                <w:szCs w:val="22"/>
                <w:lang w:eastAsia="pl-PL"/>
              </w:rPr>
            </w:pPr>
            <w:r w:rsidRPr="00702425">
              <w:rPr>
                <w:rFonts w:asciiTheme="minorHAnsi" w:eastAsia="Times New Roman" w:hAnsiTheme="minorHAnsi" w:cstheme="minorHAnsi"/>
                <w:sz w:val="22"/>
                <w:szCs w:val="22"/>
                <w:lang w:eastAsia="pl-PL"/>
              </w:rPr>
              <w:t>Płatności pośrednie w latach</w:t>
            </w:r>
          </w:p>
          <w:p w:rsidR="00257AA4" w:rsidRPr="00702425" w:rsidRDefault="00257AA4" w:rsidP="00B51E03">
            <w:pPr>
              <w:spacing w:line="264" w:lineRule="auto"/>
              <w:jc w:val="center"/>
              <w:rPr>
                <w:rFonts w:asciiTheme="minorHAnsi" w:eastAsia="Times New Roman" w:hAnsiTheme="minorHAnsi" w:cstheme="minorHAnsi"/>
                <w:lang w:eastAsia="pl-PL"/>
              </w:rPr>
            </w:pPr>
            <w:r w:rsidRPr="00702425">
              <w:rPr>
                <w:rFonts w:asciiTheme="minorHAnsi" w:eastAsia="Times New Roman" w:hAnsiTheme="minorHAnsi" w:cstheme="minorHAnsi"/>
                <w:sz w:val="22"/>
                <w:szCs w:val="22"/>
                <w:lang w:eastAsia="pl-PL"/>
              </w:rPr>
              <w:t>2014 - 202</w:t>
            </w:r>
            <w:r>
              <w:rPr>
                <w:rFonts w:asciiTheme="minorHAnsi" w:eastAsia="Times New Roman" w:hAnsiTheme="minorHAnsi" w:cstheme="minorHAnsi"/>
                <w:sz w:val="22"/>
                <w:szCs w:val="22"/>
                <w:lang w:eastAsia="pl-PL"/>
              </w:rPr>
              <w:t>1</w:t>
            </w:r>
          </w:p>
        </w:tc>
        <w:tc>
          <w:tcPr>
            <w:tcW w:w="1984" w:type="dxa"/>
            <w:vMerge w:val="restart"/>
            <w:shd w:val="clear" w:color="auto" w:fill="auto"/>
            <w:vAlign w:val="center"/>
            <w:hideMark/>
          </w:tcPr>
          <w:p w:rsidR="00257AA4" w:rsidRPr="00702425" w:rsidRDefault="00257AA4" w:rsidP="00B51E03">
            <w:pPr>
              <w:spacing w:line="264" w:lineRule="auto"/>
              <w:jc w:val="center"/>
              <w:rPr>
                <w:rFonts w:asciiTheme="minorHAnsi" w:eastAsia="Times New Roman" w:hAnsiTheme="minorHAnsi" w:cstheme="minorHAnsi"/>
                <w:lang w:eastAsia="pl-PL"/>
              </w:rPr>
            </w:pPr>
            <w:r w:rsidRPr="00702425">
              <w:rPr>
                <w:rFonts w:asciiTheme="minorHAnsi" w:eastAsia="Times New Roman" w:hAnsiTheme="minorHAnsi" w:cstheme="minorHAnsi"/>
                <w:lang w:eastAsia="pl-PL"/>
              </w:rPr>
              <w:t>W tym płatności pośrednie w roku 202</w:t>
            </w:r>
            <w:r>
              <w:rPr>
                <w:rFonts w:asciiTheme="minorHAnsi" w:eastAsia="Times New Roman" w:hAnsiTheme="minorHAnsi" w:cstheme="minorHAnsi"/>
                <w:lang w:eastAsia="pl-PL"/>
              </w:rPr>
              <w:t>1</w:t>
            </w:r>
          </w:p>
        </w:tc>
      </w:tr>
      <w:tr w:rsidR="00257AA4" w:rsidRPr="00702425" w:rsidTr="00B51E03">
        <w:trPr>
          <w:trHeight w:hRule="exact" w:val="561"/>
          <w:jc w:val="center"/>
        </w:trPr>
        <w:tc>
          <w:tcPr>
            <w:tcW w:w="2623" w:type="dxa"/>
            <w:vMerge/>
            <w:shd w:val="clear" w:color="auto" w:fill="auto"/>
            <w:vAlign w:val="center"/>
            <w:hideMark/>
          </w:tcPr>
          <w:p w:rsidR="00257AA4" w:rsidRPr="00702425" w:rsidRDefault="00257AA4" w:rsidP="00B51E03">
            <w:pPr>
              <w:spacing w:line="264" w:lineRule="auto"/>
              <w:rPr>
                <w:rFonts w:asciiTheme="minorHAnsi" w:eastAsia="Times New Roman" w:hAnsiTheme="minorHAnsi" w:cstheme="minorHAnsi"/>
                <w:lang w:eastAsia="pl-PL"/>
              </w:rPr>
            </w:pPr>
          </w:p>
        </w:tc>
        <w:tc>
          <w:tcPr>
            <w:tcW w:w="1341" w:type="dxa"/>
            <w:vMerge/>
            <w:shd w:val="clear" w:color="auto" w:fill="auto"/>
            <w:vAlign w:val="center"/>
            <w:hideMark/>
          </w:tcPr>
          <w:p w:rsidR="00257AA4" w:rsidRPr="00702425" w:rsidRDefault="00257AA4" w:rsidP="00B51E03">
            <w:pPr>
              <w:spacing w:line="264" w:lineRule="auto"/>
              <w:rPr>
                <w:rFonts w:asciiTheme="minorHAnsi" w:eastAsia="Times New Roman" w:hAnsiTheme="minorHAnsi" w:cstheme="minorHAnsi"/>
                <w:lang w:eastAsia="pl-PL"/>
              </w:rPr>
            </w:pPr>
          </w:p>
        </w:tc>
        <w:tc>
          <w:tcPr>
            <w:tcW w:w="1701" w:type="dxa"/>
            <w:shd w:val="clear" w:color="auto" w:fill="auto"/>
            <w:vAlign w:val="center"/>
            <w:hideMark/>
          </w:tcPr>
          <w:p w:rsidR="00257AA4" w:rsidRPr="00702425" w:rsidRDefault="00257AA4" w:rsidP="00B51E03">
            <w:pPr>
              <w:spacing w:line="264" w:lineRule="auto"/>
              <w:jc w:val="center"/>
              <w:rPr>
                <w:rFonts w:asciiTheme="minorHAnsi" w:eastAsia="Times New Roman" w:hAnsiTheme="minorHAnsi" w:cstheme="minorHAnsi"/>
                <w:sz w:val="22"/>
                <w:szCs w:val="22"/>
                <w:lang w:eastAsia="pl-PL"/>
              </w:rPr>
            </w:pPr>
            <w:r w:rsidRPr="00702425">
              <w:rPr>
                <w:rFonts w:asciiTheme="minorHAnsi" w:eastAsia="Times New Roman" w:hAnsiTheme="minorHAnsi" w:cstheme="minorHAnsi"/>
                <w:sz w:val="22"/>
                <w:szCs w:val="22"/>
                <w:lang w:eastAsia="pl-PL"/>
              </w:rPr>
              <w:t>Kwota</w:t>
            </w:r>
          </w:p>
        </w:tc>
        <w:tc>
          <w:tcPr>
            <w:tcW w:w="1706" w:type="dxa"/>
            <w:shd w:val="clear" w:color="auto" w:fill="auto"/>
            <w:vAlign w:val="center"/>
            <w:hideMark/>
          </w:tcPr>
          <w:p w:rsidR="00257AA4" w:rsidRPr="00702425" w:rsidRDefault="00257AA4" w:rsidP="00B51E03">
            <w:pPr>
              <w:spacing w:line="264" w:lineRule="auto"/>
              <w:jc w:val="center"/>
              <w:rPr>
                <w:rFonts w:asciiTheme="minorHAnsi" w:eastAsia="Times New Roman" w:hAnsiTheme="minorHAnsi" w:cstheme="minorHAnsi"/>
                <w:sz w:val="22"/>
                <w:szCs w:val="22"/>
                <w:lang w:eastAsia="pl-PL"/>
              </w:rPr>
            </w:pPr>
            <w:r w:rsidRPr="00702425">
              <w:rPr>
                <w:rFonts w:asciiTheme="minorHAnsi" w:eastAsia="Times New Roman" w:hAnsiTheme="minorHAnsi" w:cstheme="minorHAnsi"/>
                <w:sz w:val="22"/>
                <w:szCs w:val="22"/>
                <w:lang w:eastAsia="pl-PL"/>
              </w:rPr>
              <w:t xml:space="preserve">Jako % płatności </w:t>
            </w:r>
          </w:p>
          <w:p w:rsidR="00257AA4" w:rsidRPr="00702425" w:rsidRDefault="00257AA4" w:rsidP="00B51E03">
            <w:pPr>
              <w:spacing w:line="264" w:lineRule="auto"/>
              <w:jc w:val="center"/>
              <w:rPr>
                <w:rFonts w:asciiTheme="minorHAnsi" w:eastAsia="Times New Roman" w:hAnsiTheme="minorHAnsi" w:cstheme="minorHAnsi"/>
                <w:sz w:val="22"/>
                <w:szCs w:val="22"/>
                <w:lang w:eastAsia="pl-PL"/>
              </w:rPr>
            </w:pPr>
            <w:r w:rsidRPr="00702425">
              <w:rPr>
                <w:rFonts w:asciiTheme="minorHAnsi" w:eastAsia="Times New Roman" w:hAnsiTheme="minorHAnsi" w:cstheme="minorHAnsi"/>
                <w:sz w:val="22"/>
                <w:szCs w:val="22"/>
                <w:lang w:eastAsia="pl-PL"/>
              </w:rPr>
              <w:t>dla P.Cz.</w:t>
            </w:r>
          </w:p>
        </w:tc>
        <w:tc>
          <w:tcPr>
            <w:tcW w:w="1984" w:type="dxa"/>
            <w:vMerge/>
            <w:shd w:val="clear" w:color="auto" w:fill="auto"/>
            <w:vAlign w:val="center"/>
            <w:hideMark/>
          </w:tcPr>
          <w:p w:rsidR="00257AA4" w:rsidRPr="00702425" w:rsidRDefault="00257AA4" w:rsidP="00B51E03">
            <w:pPr>
              <w:spacing w:line="264" w:lineRule="auto"/>
              <w:rPr>
                <w:rFonts w:asciiTheme="minorHAnsi" w:eastAsia="Times New Roman" w:hAnsiTheme="minorHAnsi" w:cstheme="minorHAnsi"/>
                <w:lang w:eastAsia="pl-PL"/>
              </w:rPr>
            </w:pP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b/>
                <w:bCs/>
              </w:rPr>
            </w:pPr>
            <w:r w:rsidRPr="00FE15CC">
              <w:rPr>
                <w:rFonts w:asciiTheme="minorHAnsi" w:hAnsiTheme="minorHAnsi" w:cstheme="minorHAnsi"/>
                <w:b/>
                <w:bCs/>
              </w:rPr>
              <w:t>Polska</w:t>
            </w:r>
          </w:p>
        </w:tc>
        <w:tc>
          <w:tcPr>
            <w:tcW w:w="1341" w:type="dxa"/>
            <w:shd w:val="clear" w:color="auto" w:fill="auto"/>
            <w:vAlign w:val="center"/>
          </w:tcPr>
          <w:p w:rsidR="00BA08A6" w:rsidRPr="00BA08A6" w:rsidRDefault="00BA08A6" w:rsidP="00BA08A6">
            <w:pPr>
              <w:jc w:val="center"/>
              <w:rPr>
                <w:rFonts w:asciiTheme="minorHAnsi" w:hAnsiTheme="minorHAnsi" w:cstheme="minorHAnsi"/>
                <w:b/>
                <w:bCs/>
                <w:lang w:eastAsia="pl-PL"/>
              </w:rPr>
            </w:pPr>
            <w:r w:rsidRPr="00BA08A6">
              <w:rPr>
                <w:rFonts w:asciiTheme="minorHAnsi" w:hAnsiTheme="minorHAnsi" w:cstheme="minorHAnsi"/>
                <w:b/>
                <w:bCs/>
              </w:rPr>
              <w:t>86 587</w:t>
            </w:r>
          </w:p>
        </w:tc>
        <w:tc>
          <w:tcPr>
            <w:tcW w:w="1701" w:type="dxa"/>
            <w:shd w:val="clear" w:color="auto" w:fill="auto"/>
            <w:vAlign w:val="center"/>
          </w:tcPr>
          <w:p w:rsidR="00BA08A6" w:rsidRPr="00BA08A6" w:rsidRDefault="00BA08A6" w:rsidP="00BA08A6">
            <w:pPr>
              <w:jc w:val="center"/>
              <w:rPr>
                <w:rFonts w:asciiTheme="minorHAnsi" w:hAnsiTheme="minorHAnsi" w:cstheme="minorHAnsi"/>
                <w:b/>
                <w:bCs/>
              </w:rPr>
            </w:pPr>
            <w:r w:rsidRPr="00BA08A6">
              <w:rPr>
                <w:rFonts w:asciiTheme="minorHAnsi" w:hAnsiTheme="minorHAnsi" w:cstheme="minorHAnsi"/>
                <w:b/>
                <w:bCs/>
              </w:rPr>
              <w:t>48 148</w:t>
            </w:r>
          </w:p>
        </w:tc>
        <w:tc>
          <w:tcPr>
            <w:tcW w:w="1706" w:type="dxa"/>
            <w:shd w:val="clear" w:color="auto" w:fill="auto"/>
            <w:vAlign w:val="center"/>
          </w:tcPr>
          <w:p w:rsidR="00BA08A6" w:rsidRPr="00EA794E" w:rsidRDefault="00BA08A6" w:rsidP="00BA08A6">
            <w:pPr>
              <w:jc w:val="center"/>
              <w:rPr>
                <w:rFonts w:asciiTheme="minorHAnsi" w:hAnsiTheme="minorHAnsi" w:cstheme="minorHAnsi"/>
                <w:b/>
                <w:color w:val="000000"/>
              </w:rPr>
            </w:pPr>
            <w:r w:rsidRPr="00EA794E">
              <w:rPr>
                <w:rFonts w:asciiTheme="minorHAnsi" w:hAnsiTheme="minorHAnsi" w:cstheme="minorHAnsi"/>
                <w:b/>
                <w:color w:val="000000"/>
              </w:rPr>
              <w:t>20%</w:t>
            </w:r>
          </w:p>
        </w:tc>
        <w:tc>
          <w:tcPr>
            <w:tcW w:w="1984" w:type="dxa"/>
            <w:shd w:val="clear" w:color="auto" w:fill="auto"/>
            <w:vAlign w:val="center"/>
          </w:tcPr>
          <w:p w:rsidR="00BA08A6" w:rsidRPr="00BA08A6" w:rsidRDefault="00BA08A6" w:rsidP="00BA08A6">
            <w:pPr>
              <w:jc w:val="center"/>
              <w:rPr>
                <w:rFonts w:asciiTheme="minorHAnsi" w:hAnsiTheme="minorHAnsi" w:cstheme="minorHAnsi"/>
                <w:b/>
                <w:bCs/>
              </w:rPr>
            </w:pPr>
            <w:r w:rsidRPr="00BA08A6">
              <w:rPr>
                <w:rFonts w:asciiTheme="minorHAnsi" w:hAnsiTheme="minorHAnsi" w:cstheme="minorHAnsi"/>
                <w:b/>
                <w:bCs/>
              </w:rPr>
              <w:t>3 093</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Włochy</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45 340</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20 730</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9%</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3 714</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Hiszpania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40 491</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17 535</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7%</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1 999</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Rumunia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31 324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14 133</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6%</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768</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Niemcy</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28 014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14 458</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6%</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779</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Francja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28 002</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16 126</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7%</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828</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Portugalia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26 037</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14 766</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6%</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521</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Węgry</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25 107</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13 663</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6%</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292</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Czechy</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23 888</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13 144</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5%</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835</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Grecja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21 662</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12 296</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5%</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1 092</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Wlk. Brytania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16 349</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8 544</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4%</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663</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Słowacja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15 193</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6 179</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3%</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307</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bCs/>
              </w:rPr>
            </w:pPr>
            <w:r w:rsidRPr="00FE15CC">
              <w:rPr>
                <w:rFonts w:asciiTheme="minorHAnsi" w:hAnsiTheme="minorHAnsi" w:cstheme="minorHAnsi"/>
                <w:bCs/>
              </w:rPr>
              <w:t>Chorwacja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10 768</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4 262</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187</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Bułgaria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9 974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4 718</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411</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Współpraca terytorialna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9 409</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3 955</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357</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Litwa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8 514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4 770</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48</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Łotwa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5 675</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3 264</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284</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Austria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4 941</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3 696</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424</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Estonia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4 432</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2 583</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17</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Słowenia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3 949</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2 216</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222</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Finlandia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3 788</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2 987</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164</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Szwecja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3 634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2 298</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231</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Irlandia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3 384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2 599</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159</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Belgia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2 819</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1 334</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0,6%</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83</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Holandia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1 951</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967</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0,4%</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33</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Dania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1 551</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765</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0,3%</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32</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Cypr</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921</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489</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0,2%</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33</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Malta</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832</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343</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0,1%</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9</w:t>
            </w:r>
          </w:p>
        </w:tc>
      </w:tr>
      <w:tr w:rsidR="00BA08A6" w:rsidRPr="00FE15CC" w:rsidTr="00B51E03">
        <w:trPr>
          <w:trHeight w:hRule="exact" w:val="284"/>
          <w:jc w:val="center"/>
        </w:trPr>
        <w:tc>
          <w:tcPr>
            <w:tcW w:w="2623" w:type="dxa"/>
            <w:shd w:val="clear" w:color="auto" w:fill="auto"/>
            <w:noWrap/>
            <w:vAlign w:val="center"/>
            <w:hideMark/>
          </w:tcPr>
          <w:p w:rsidR="00BA08A6" w:rsidRPr="00FE15CC" w:rsidRDefault="00BA08A6" w:rsidP="00BA08A6">
            <w:pPr>
              <w:spacing w:line="264" w:lineRule="auto"/>
              <w:rPr>
                <w:rFonts w:asciiTheme="minorHAnsi" w:hAnsiTheme="minorHAnsi" w:cstheme="minorHAnsi"/>
              </w:rPr>
            </w:pPr>
            <w:r w:rsidRPr="00FE15CC">
              <w:rPr>
                <w:rFonts w:asciiTheme="minorHAnsi" w:hAnsiTheme="minorHAnsi" w:cstheme="minorHAnsi"/>
              </w:rPr>
              <w:t>Luksemburg</w:t>
            </w:r>
          </w:p>
        </w:tc>
        <w:tc>
          <w:tcPr>
            <w:tcW w:w="134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144</w:t>
            </w:r>
          </w:p>
        </w:tc>
        <w:tc>
          <w:tcPr>
            <w:tcW w:w="1701"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102</w:t>
            </w:r>
          </w:p>
        </w:tc>
        <w:tc>
          <w:tcPr>
            <w:tcW w:w="1706" w:type="dxa"/>
            <w:shd w:val="clear" w:color="auto" w:fill="auto"/>
            <w:vAlign w:val="center"/>
          </w:tcPr>
          <w:p w:rsidR="00BA08A6" w:rsidRPr="00BA08A6" w:rsidRDefault="00BA08A6" w:rsidP="00BA08A6">
            <w:pPr>
              <w:jc w:val="center"/>
              <w:rPr>
                <w:rFonts w:asciiTheme="minorHAnsi" w:hAnsiTheme="minorHAnsi" w:cstheme="minorHAnsi"/>
                <w:color w:val="000000"/>
              </w:rPr>
            </w:pPr>
            <w:r w:rsidRPr="00BA08A6">
              <w:rPr>
                <w:rFonts w:asciiTheme="minorHAnsi" w:hAnsiTheme="minorHAnsi" w:cstheme="minorHAnsi"/>
                <w:color w:val="000000"/>
              </w:rPr>
              <w:t>0,0%</w:t>
            </w:r>
          </w:p>
        </w:tc>
        <w:tc>
          <w:tcPr>
            <w:tcW w:w="1984" w:type="dxa"/>
            <w:shd w:val="clear" w:color="auto" w:fill="auto"/>
            <w:vAlign w:val="center"/>
          </w:tcPr>
          <w:p w:rsidR="00BA08A6" w:rsidRPr="00BA08A6" w:rsidRDefault="00BA08A6" w:rsidP="00BA08A6">
            <w:pPr>
              <w:jc w:val="center"/>
              <w:rPr>
                <w:rFonts w:asciiTheme="minorHAnsi" w:hAnsiTheme="minorHAnsi" w:cstheme="minorHAnsi"/>
              </w:rPr>
            </w:pPr>
            <w:r w:rsidRPr="00BA08A6">
              <w:rPr>
                <w:rFonts w:asciiTheme="minorHAnsi" w:hAnsiTheme="minorHAnsi" w:cstheme="minorHAnsi"/>
              </w:rPr>
              <w:t>5</w:t>
            </w:r>
          </w:p>
        </w:tc>
      </w:tr>
      <w:tr w:rsidR="00BA08A6" w:rsidRPr="00FE15CC" w:rsidTr="00B51E03">
        <w:trPr>
          <w:trHeight w:hRule="exact" w:val="284"/>
          <w:jc w:val="center"/>
        </w:trPr>
        <w:tc>
          <w:tcPr>
            <w:tcW w:w="2623" w:type="dxa"/>
            <w:shd w:val="clear" w:color="auto" w:fill="auto"/>
            <w:vAlign w:val="center"/>
            <w:hideMark/>
          </w:tcPr>
          <w:p w:rsidR="00BA08A6" w:rsidRPr="00FE15CC" w:rsidRDefault="00BA08A6" w:rsidP="00BA08A6">
            <w:pPr>
              <w:spacing w:line="264" w:lineRule="auto"/>
              <w:rPr>
                <w:rFonts w:asciiTheme="minorHAnsi" w:hAnsiTheme="minorHAnsi" w:cstheme="minorHAnsi"/>
                <w:b/>
                <w:bCs/>
              </w:rPr>
            </w:pPr>
            <w:r w:rsidRPr="00FE15CC">
              <w:rPr>
                <w:rFonts w:asciiTheme="minorHAnsi" w:hAnsiTheme="minorHAnsi" w:cstheme="minorHAnsi"/>
                <w:b/>
                <w:bCs/>
              </w:rPr>
              <w:t>RAZEM</w:t>
            </w:r>
          </w:p>
        </w:tc>
        <w:tc>
          <w:tcPr>
            <w:tcW w:w="1341" w:type="dxa"/>
            <w:shd w:val="clear" w:color="auto" w:fill="auto"/>
            <w:vAlign w:val="center"/>
          </w:tcPr>
          <w:p w:rsidR="00BA08A6" w:rsidRPr="00BA08A6" w:rsidRDefault="00BA08A6" w:rsidP="00BA08A6">
            <w:pPr>
              <w:jc w:val="center"/>
              <w:rPr>
                <w:rFonts w:asciiTheme="minorHAnsi" w:hAnsiTheme="minorHAnsi" w:cstheme="minorHAnsi"/>
                <w:b/>
                <w:bCs/>
              </w:rPr>
            </w:pPr>
            <w:r w:rsidRPr="00BA08A6">
              <w:rPr>
                <w:rFonts w:asciiTheme="minorHAnsi" w:hAnsiTheme="minorHAnsi" w:cstheme="minorHAnsi"/>
                <w:b/>
                <w:bCs/>
              </w:rPr>
              <w:t>464 680</w:t>
            </w:r>
          </w:p>
        </w:tc>
        <w:tc>
          <w:tcPr>
            <w:tcW w:w="1701" w:type="dxa"/>
            <w:shd w:val="clear" w:color="auto" w:fill="auto"/>
            <w:vAlign w:val="center"/>
          </w:tcPr>
          <w:p w:rsidR="00BA08A6" w:rsidRPr="00BA08A6" w:rsidRDefault="00BA08A6" w:rsidP="00BA08A6">
            <w:pPr>
              <w:jc w:val="center"/>
              <w:rPr>
                <w:rFonts w:asciiTheme="minorHAnsi" w:hAnsiTheme="minorHAnsi" w:cstheme="minorHAnsi"/>
                <w:b/>
                <w:bCs/>
              </w:rPr>
            </w:pPr>
            <w:r w:rsidRPr="00BA08A6">
              <w:rPr>
                <w:rFonts w:asciiTheme="minorHAnsi" w:hAnsiTheme="minorHAnsi" w:cstheme="minorHAnsi"/>
                <w:b/>
                <w:bCs/>
              </w:rPr>
              <w:t>241 070</w:t>
            </w:r>
          </w:p>
        </w:tc>
        <w:tc>
          <w:tcPr>
            <w:tcW w:w="1706" w:type="dxa"/>
            <w:shd w:val="clear" w:color="auto" w:fill="auto"/>
            <w:vAlign w:val="center"/>
          </w:tcPr>
          <w:p w:rsidR="00BA08A6" w:rsidRPr="00EA794E" w:rsidRDefault="00BA08A6" w:rsidP="00BA08A6">
            <w:pPr>
              <w:jc w:val="center"/>
              <w:rPr>
                <w:rFonts w:asciiTheme="minorHAnsi" w:hAnsiTheme="minorHAnsi" w:cstheme="minorHAnsi"/>
                <w:b/>
                <w:color w:val="000000"/>
              </w:rPr>
            </w:pPr>
            <w:r w:rsidRPr="00EA794E">
              <w:rPr>
                <w:rFonts w:asciiTheme="minorHAnsi" w:hAnsiTheme="minorHAnsi" w:cstheme="minorHAnsi"/>
                <w:b/>
                <w:color w:val="000000"/>
              </w:rPr>
              <w:t>100%</w:t>
            </w:r>
          </w:p>
        </w:tc>
        <w:tc>
          <w:tcPr>
            <w:tcW w:w="1984" w:type="dxa"/>
            <w:shd w:val="clear" w:color="auto" w:fill="auto"/>
            <w:vAlign w:val="center"/>
          </w:tcPr>
          <w:p w:rsidR="00BA08A6" w:rsidRPr="00BA08A6" w:rsidRDefault="00BA08A6" w:rsidP="00BA08A6">
            <w:pPr>
              <w:jc w:val="center"/>
              <w:rPr>
                <w:rFonts w:asciiTheme="minorHAnsi" w:hAnsiTheme="minorHAnsi" w:cstheme="minorHAnsi"/>
                <w:b/>
                <w:bCs/>
              </w:rPr>
            </w:pPr>
            <w:r w:rsidRPr="00BA08A6">
              <w:rPr>
                <w:rFonts w:asciiTheme="minorHAnsi" w:hAnsiTheme="minorHAnsi" w:cstheme="minorHAnsi"/>
                <w:b/>
                <w:bCs/>
              </w:rPr>
              <w:t>17 590</w:t>
            </w:r>
          </w:p>
        </w:tc>
      </w:tr>
    </w:tbl>
    <w:p w:rsidR="002A653F" w:rsidRPr="002A653F" w:rsidRDefault="003A2A1D" w:rsidP="002A653F">
      <w:pPr>
        <w:jc w:val="both"/>
        <w:rPr>
          <w:rFonts w:ascii="Times New Roman" w:hAnsi="Times New Roman"/>
        </w:rPr>
      </w:pPr>
    </w:p>
    <w:sectPr w:rsidR="002A653F" w:rsidRPr="002A653F" w:rsidSect="000A78C7">
      <w:footerReference w:type="default" r:id="rId8"/>
      <w:footerReference w:type="first" r:id="rId9"/>
      <w:pgSz w:w="11900" w:h="16840"/>
      <w:pgMar w:top="1701" w:right="1134" w:bottom="1701" w:left="1418" w:header="709" w:footer="709"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2A1D" w:rsidRDefault="003A2A1D">
      <w:r>
        <w:separator/>
      </w:r>
    </w:p>
  </w:endnote>
  <w:endnote w:type="continuationSeparator" w:id="0">
    <w:p w:rsidR="003A2A1D" w:rsidRDefault="003A2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D4D" w:rsidRDefault="00460EFA" w:rsidP="006F6D4D">
    <w:pPr>
      <w:pStyle w:val="Stopka"/>
      <w:jc w:val="right"/>
      <w:rPr>
        <w:rFonts w:ascii="Arial" w:hAnsi="Arial" w:cs="Arial"/>
        <w:color w:val="7F7F7F"/>
        <w:sz w:val="16"/>
        <w:szCs w:val="16"/>
      </w:rPr>
    </w:pPr>
    <w:r>
      <w:rPr>
        <w:rFonts w:ascii="Arial" w:hAnsi="Arial" w:cs="Arial"/>
        <w:color w:val="7F7F7F"/>
        <w:sz w:val="16"/>
        <w:szCs w:val="16"/>
      </w:rPr>
      <w:fldChar w:fldCharType="begin"/>
    </w:r>
    <w:r>
      <w:rPr>
        <w:rFonts w:ascii="Arial" w:hAnsi="Arial" w:cs="Arial"/>
        <w:color w:val="7F7F7F"/>
        <w:sz w:val="16"/>
        <w:szCs w:val="16"/>
      </w:rPr>
      <w:instrText xml:space="preserve"> PAGE   \* MERGEFORMAT </w:instrText>
    </w:r>
    <w:r>
      <w:rPr>
        <w:rFonts w:ascii="Arial" w:hAnsi="Arial" w:cs="Arial"/>
        <w:color w:val="7F7F7F"/>
        <w:sz w:val="16"/>
        <w:szCs w:val="16"/>
      </w:rPr>
      <w:fldChar w:fldCharType="separate"/>
    </w:r>
    <w:r w:rsidR="00297FBE">
      <w:rPr>
        <w:rFonts w:ascii="Arial" w:hAnsi="Arial" w:cs="Arial"/>
        <w:noProof/>
        <w:color w:val="7F7F7F"/>
        <w:sz w:val="16"/>
        <w:szCs w:val="16"/>
      </w:rPr>
      <w:t>3</w:t>
    </w:r>
    <w:r>
      <w:rPr>
        <w:rFonts w:ascii="Arial" w:hAnsi="Arial" w:cs="Arial"/>
        <w:color w:val="7F7F7F"/>
        <w:sz w:val="16"/>
        <w:szCs w:val="16"/>
      </w:rPr>
      <w:fldChar w:fldCharType="end"/>
    </w:r>
  </w:p>
  <w:p w:rsidR="00C94A80" w:rsidRDefault="003A2A1D">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94D" w:rsidRDefault="00460EFA">
    <w:pPr>
      <w:pStyle w:val="Stopka"/>
    </w:pPr>
    <w:r>
      <w:rPr>
        <w:noProof/>
        <w:lang w:eastAsia="pl-PL"/>
      </w:rPr>
      <w:drawing>
        <wp:anchor distT="0" distB="0" distL="114300" distR="114300" simplePos="0" relativeHeight="251662336" behindDoc="1" locked="0" layoutInCell="1" allowOverlap="1">
          <wp:simplePos x="0" y="0"/>
          <wp:positionH relativeFrom="column">
            <wp:posOffset>8890</wp:posOffset>
          </wp:positionH>
          <wp:positionV relativeFrom="paragraph">
            <wp:posOffset>-385494</wp:posOffset>
          </wp:positionV>
          <wp:extent cx="457200" cy="438150"/>
          <wp:effectExtent l="0" t="0" r="0" b="0"/>
          <wp:wrapNone/>
          <wp:docPr id="36" name="Picture 8" descr="mf logo dla pis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f logo dla pisma.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457200" cy="4381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pl-PL"/>
      </w:rPr>
      <mc:AlternateContent>
        <mc:Choice Requires="wps">
          <w:drawing>
            <wp:anchor distT="0" distB="0" distL="114300" distR="114300" simplePos="0" relativeHeight="251665408" behindDoc="0" locked="0" layoutInCell="1" allowOverlap="1">
              <wp:simplePos x="0" y="0"/>
              <wp:positionH relativeFrom="column">
                <wp:posOffset>-6985</wp:posOffset>
              </wp:positionH>
              <wp:positionV relativeFrom="paragraph">
                <wp:posOffset>175895</wp:posOffset>
              </wp:positionV>
              <wp:extent cx="5907405" cy="291465"/>
              <wp:effectExtent l="2540" t="4445" r="0" b="0"/>
              <wp:wrapNone/>
              <wp:docPr id="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7405" cy="291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3BAE" w:rsidRPr="002E228C" w:rsidRDefault="003A2A1D" w:rsidP="006E128C">
                          <w:pPr>
                            <w:rPr>
                              <w:rFonts w:ascii="Arial" w:hAnsi="Arial" w:cs="Arial"/>
                              <w:color w:val="919195"/>
                              <w:sz w:val="16"/>
                              <w:szCs w:val="12"/>
                            </w:rPr>
                          </w:pPr>
                        </w:p>
                      </w:txbxContent>
                    </wps:txbx>
                    <wps:bodyPr rot="0" vert="horz" wrap="square" lIns="0" tIns="0" rIns="0" bIns="0" anchor="t" anchorCtr="0" upright="1"/>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55pt;margin-top:13.85pt;width:465.15pt;height:22.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" filled="f" stroked="f">
              <v:textbox inset="0,0,0,0">
                <w:txbxContent>
                  <w:p w:rsidR="00EF3BAE" w:rsidRPr="002E228C" w:rsidRDefault="00615AC3" w:rsidP="006E128C">
                    <w:pPr>
                      <w:rPr>
                        <w:rFonts w:ascii="Arial" w:hAnsi="Arial" w:cs="Arial"/>
                        <w:color w:val="919195"/>
                        <w:sz w:val="16"/>
                        <w:szCs w:val="12"/>
                      </w:rPr>
                    </w:pPr>
                  </w:p>
                </w:txbxContent>
              </v:textbox>
            </v:shape>
          </w:pict>
        </mc:Fallback>
      </mc:AlternateContent>
    </w:r>
    <w:r>
      <w:rPr>
        <w:noProof/>
        <w:lang w:eastAsia="pl-PL"/>
      </w:rPr>
      <mc:AlternateContent>
        <mc:Choice Requires="wps">
          <w:drawing>
            <wp:anchor distT="0" distB="0" distL="114300" distR="114300" simplePos="0" relativeHeight="251669504" behindDoc="0" locked="0" layoutInCell="1" allowOverlap="1">
              <wp:simplePos x="0" y="0"/>
              <wp:positionH relativeFrom="column">
                <wp:posOffset>-6350</wp:posOffset>
              </wp:positionH>
              <wp:positionV relativeFrom="paragraph">
                <wp:posOffset>113665</wp:posOffset>
              </wp:positionV>
              <wp:extent cx="5906770" cy="0"/>
              <wp:effectExtent l="12700" t="18415" r="14605" b="10160"/>
              <wp:wrapNone/>
              <wp:docPr id="1"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6770" cy="0"/>
                      </a:xfrm>
                      <a:prstGeom prst="straightConnector1">
                        <a:avLst/>
                      </a:prstGeom>
                      <a:noFill/>
                      <a:ln w="19050">
                        <a:solidFill>
                          <a:srgbClr val="C9CAC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E3D6767" id="_x0000_t32" coordsize="21600,21600" o:spt="32" o:oned="t" path="m,l21600,21600e" filled="f">
              <v:path arrowok="t" fillok="f" o:connecttype="none"/>
              <o:lock v:ext="edit" shapetype="t"/>
            </v:shapetype>
            <v:shape id="AutoShape 19" o:spid="_x0000_s1026" type="#_x0000_t32" style="position:absolute;margin-left:-.5pt;margin-top:8.95pt;width:465.1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" strokecolor="#c9cacc" strokeweight="1.5p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2A1D" w:rsidRDefault="003A2A1D">
      <w:r>
        <w:separator/>
      </w:r>
    </w:p>
  </w:footnote>
  <w:footnote w:type="continuationSeparator" w:id="0">
    <w:p w:rsidR="003A2A1D" w:rsidRDefault="003A2A1D">
      <w:r>
        <w:continuationSeparator/>
      </w:r>
    </w:p>
  </w:footnote>
  <w:footnote w:id="1">
    <w:p w:rsidR="00257AA4" w:rsidRPr="00747856" w:rsidRDefault="00257AA4" w:rsidP="00257AA4">
      <w:pPr>
        <w:jc w:val="both"/>
        <w:rPr>
          <w:rFonts w:asciiTheme="minorHAnsi" w:hAnsiTheme="minorHAnsi"/>
          <w:sz w:val="16"/>
          <w:szCs w:val="16"/>
        </w:rPr>
      </w:pPr>
      <w:r w:rsidRPr="00C14E9C">
        <w:rPr>
          <w:rStyle w:val="Odwoanieprzypisudolnego"/>
          <w:rFonts w:asciiTheme="minorHAnsi" w:hAnsiTheme="minorHAnsi"/>
          <w:sz w:val="16"/>
          <w:szCs w:val="16"/>
        </w:rPr>
        <w:footnoteRef/>
      </w:r>
      <w:r w:rsidRPr="00C14E9C">
        <w:rPr>
          <w:rFonts w:asciiTheme="minorHAnsi" w:hAnsiTheme="minorHAnsi"/>
          <w:sz w:val="16"/>
          <w:szCs w:val="16"/>
        </w:rPr>
        <w:t xml:space="preserve"> Europejski Fundusz Rozwoju Regionalnego, Europejski Fundusz Społeczny, Fundusz Spójności, Europejski Fundusz Rolny na rzecz Rozwoju Obszarów Wiejskich oraz Europejski Fundusz Morski i Rybacki.</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3F12F8"/>
    <w:multiLevelType w:val="hybridMultilevel"/>
    <w:tmpl w:val="EEFCD328"/>
    <w:name w:val="List Dash__1"/>
    <w:lvl w:ilvl="0" w:tplc="FFFFFFFF">
      <w:start w:val="4"/>
      <w:numFmt w:val="bullet"/>
      <w:lvlText w:val=""/>
      <w:lvlJc w:val="left"/>
      <w:pPr>
        <w:tabs>
          <w:tab w:val="num" w:pos="360"/>
        </w:tabs>
        <w:ind w:left="340" w:hanging="340"/>
      </w:pPr>
      <w:rPr>
        <w:rFonts w:ascii="Symbol" w:hAnsi="Symbol" w:cs="Times New Roman" w:hint="default"/>
        <w:b/>
        <w:i w:val="0"/>
        <w:color w:val="auto"/>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rawingGridHorizontalSpacing w:val="119"/>
  <w:drawingGridVerticalSpacing w:val="357"/>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6B2D"/>
    <w:rsid w:val="00022078"/>
    <w:rsid w:val="00067361"/>
    <w:rsid w:val="00075BCD"/>
    <w:rsid w:val="000F7022"/>
    <w:rsid w:val="001C6C6F"/>
    <w:rsid w:val="002424EA"/>
    <w:rsid w:val="00257AA4"/>
    <w:rsid w:val="00297FBE"/>
    <w:rsid w:val="00333EBE"/>
    <w:rsid w:val="003A2A1D"/>
    <w:rsid w:val="00460EFA"/>
    <w:rsid w:val="00510537"/>
    <w:rsid w:val="00523E38"/>
    <w:rsid w:val="00545AA4"/>
    <w:rsid w:val="005C2198"/>
    <w:rsid w:val="00613E17"/>
    <w:rsid w:val="00615AC3"/>
    <w:rsid w:val="00670FD1"/>
    <w:rsid w:val="006E04FB"/>
    <w:rsid w:val="007810B2"/>
    <w:rsid w:val="00782FAF"/>
    <w:rsid w:val="007B09C2"/>
    <w:rsid w:val="00827C0C"/>
    <w:rsid w:val="009C6D56"/>
    <w:rsid w:val="009D669B"/>
    <w:rsid w:val="009E46AB"/>
    <w:rsid w:val="00A353FC"/>
    <w:rsid w:val="00A72427"/>
    <w:rsid w:val="00B25D1E"/>
    <w:rsid w:val="00B3635C"/>
    <w:rsid w:val="00B94053"/>
    <w:rsid w:val="00BA08A6"/>
    <w:rsid w:val="00BE38DC"/>
    <w:rsid w:val="00C51C22"/>
    <w:rsid w:val="00C87DF2"/>
    <w:rsid w:val="00CA4613"/>
    <w:rsid w:val="00CF2FD2"/>
    <w:rsid w:val="00DE6B2D"/>
    <w:rsid w:val="00E53AD1"/>
    <w:rsid w:val="00E74E12"/>
    <w:rsid w:val="00EA794E"/>
    <w:rsid w:val="00EF545A"/>
    <w:rsid w:val="00F45FAF"/>
    <w:rsid w:val="00F540A3"/>
    <w:rsid w:val="00F8758C"/>
    <w:rsid w:val="00FA5157"/>
    <w:rsid w:val="00FF75D0"/>
  </w:rsids>
  <m:mathPr>
    <m:mathFont m:val="Cambria Math"/>
    <m:brkBin m:val="before"/>
    <m:brkBinSub m:val="--"/>
    <m:smallFrac m:val="0"/>
    <m:dispDef m:val="0"/>
    <m:lMargin m:val="0"/>
    <m:rMargin m:val="0"/>
    <m:defJc m:val="centerGroup"/>
    <m:wrapRight/>
    <m:intLim m:val="subSup"/>
    <m:naryLim m:val="subSup"/>
  </m:mathPr>
  <w:themeFontLang w:val="pl-PL"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6BE83A9-F1FA-40AF-9E13-D14691282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7296E"/>
    <w:rPr>
      <w:sz w:val="24"/>
      <w:szCs w:val="24"/>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203EC"/>
    <w:pPr>
      <w:tabs>
        <w:tab w:val="center" w:pos="4320"/>
        <w:tab w:val="right" w:pos="8640"/>
      </w:tabs>
    </w:pPr>
  </w:style>
  <w:style w:type="character" w:customStyle="1" w:styleId="NagwekZnak">
    <w:name w:val="Nagłówek Znak"/>
    <w:basedOn w:val="Domylnaczcionkaakapitu"/>
    <w:link w:val="Nagwek"/>
    <w:uiPriority w:val="99"/>
    <w:rsid w:val="00E203EC"/>
  </w:style>
  <w:style w:type="paragraph" w:styleId="Stopka">
    <w:name w:val="footer"/>
    <w:basedOn w:val="Normalny"/>
    <w:link w:val="StopkaZnak"/>
    <w:uiPriority w:val="99"/>
    <w:unhideWhenUsed/>
    <w:rsid w:val="00E203EC"/>
    <w:pPr>
      <w:tabs>
        <w:tab w:val="center" w:pos="4320"/>
        <w:tab w:val="right" w:pos="8640"/>
      </w:tabs>
    </w:pPr>
  </w:style>
  <w:style w:type="character" w:customStyle="1" w:styleId="StopkaZnak">
    <w:name w:val="Stopka Znak"/>
    <w:basedOn w:val="Domylnaczcionkaakapitu"/>
    <w:link w:val="Stopka"/>
    <w:uiPriority w:val="99"/>
    <w:rsid w:val="00E203EC"/>
  </w:style>
  <w:style w:type="paragraph" w:styleId="Tekstdymka">
    <w:name w:val="Balloon Text"/>
    <w:basedOn w:val="Normalny"/>
    <w:link w:val="TekstdymkaZnak"/>
    <w:uiPriority w:val="99"/>
    <w:semiHidden/>
    <w:unhideWhenUsed/>
    <w:rsid w:val="00FF097E"/>
    <w:rPr>
      <w:rFonts w:ascii="Tahoma" w:hAnsi="Tahoma" w:cs="Tahoma"/>
      <w:sz w:val="16"/>
      <w:szCs w:val="16"/>
    </w:rPr>
  </w:style>
  <w:style w:type="character" w:customStyle="1" w:styleId="TekstdymkaZnak">
    <w:name w:val="Tekst dymka Znak"/>
    <w:basedOn w:val="Domylnaczcionkaakapitu"/>
    <w:link w:val="Tekstdymka"/>
    <w:uiPriority w:val="99"/>
    <w:semiHidden/>
    <w:rsid w:val="00FF097E"/>
    <w:rPr>
      <w:rFonts w:ascii="Tahoma" w:hAnsi="Tahoma" w:cs="Tahoma"/>
      <w:sz w:val="16"/>
      <w:szCs w:val="16"/>
    </w:rPr>
  </w:style>
  <w:style w:type="character" w:styleId="Hipercze">
    <w:name w:val="Hyperlink"/>
    <w:basedOn w:val="Domylnaczcionkaakapitu"/>
    <w:uiPriority w:val="99"/>
    <w:unhideWhenUsed/>
    <w:rsid w:val="00EF3BAE"/>
    <w:rPr>
      <w:color w:val="0000FF"/>
      <w:u w:val="single"/>
    </w:rPr>
  </w:style>
  <w:style w:type="table" w:customStyle="1" w:styleId="Zwykatabela41">
    <w:name w:val="Zwykła tabela 41"/>
    <w:basedOn w:val="Standardowy"/>
    <w:uiPriority w:val="44"/>
    <w:rsid w:val="00DE6B2D"/>
    <w:rPr>
      <w:rFonts w:asciiTheme="minorHAnsi" w:eastAsiaTheme="minorHAnsi" w:hAnsiTheme="minorHAnsi" w:cstheme="minorBidi"/>
      <w:sz w:val="22"/>
      <w:szCs w:val="22"/>
      <w:lang w:eastAsia="en-US"/>
    </w:r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ekstpodstawowyZnak">
    <w:name w:val="Tekst podstawowy Znak"/>
    <w:aliases w:val="bt Znak,b Znak,block style Znak,szaro Znak,Tekst podstawowy Znak Znak Znak Znak Znak Znak Znak Znak Znak,wypunktowanie Znak,b1 Znak,aga Znak,Tekst podstawowyG Znak,Body Text Char Znak,Telo besedila Znak1 Char Znak"/>
    <w:basedOn w:val="Domylnaczcionkaakapitu"/>
    <w:link w:val="Tekstpodstawowy"/>
    <w:locked/>
    <w:rsid w:val="00DE6B2D"/>
    <w:rPr>
      <w:rFonts w:ascii="Times New Roman" w:eastAsia="Times New Roman" w:hAnsi="Times New Roman"/>
      <w:sz w:val="24"/>
    </w:rPr>
  </w:style>
  <w:style w:type="paragraph" w:styleId="Tekstpodstawowy">
    <w:name w:val="Body Text"/>
    <w:aliases w:val="bt,b,block style,szaro,Tekst podstawowy Znak Znak Znak Znak Znak Znak Znak Znak,wypunktowanie,b1,aga,Tekst podstawowyG,Body Text Char,Telo besedila Znak1 Char,Telo besedila Znak Znak Char"/>
    <w:basedOn w:val="Normalny"/>
    <w:link w:val="TekstpodstawowyZnak"/>
    <w:unhideWhenUsed/>
    <w:rsid w:val="00DE6B2D"/>
    <w:pPr>
      <w:jc w:val="both"/>
    </w:pPr>
    <w:rPr>
      <w:rFonts w:ascii="Times New Roman" w:eastAsia="Times New Roman" w:hAnsi="Times New Roman"/>
      <w:szCs w:val="20"/>
      <w:lang w:eastAsia="pl-PL"/>
    </w:rPr>
  </w:style>
  <w:style w:type="character" w:customStyle="1" w:styleId="TekstpodstawowyZnak1">
    <w:name w:val="Tekst podstawowy Znak1"/>
    <w:basedOn w:val="Domylnaczcionkaakapitu"/>
    <w:uiPriority w:val="99"/>
    <w:semiHidden/>
    <w:rsid w:val="00DE6B2D"/>
    <w:rPr>
      <w:sz w:val="24"/>
      <w:szCs w:val="24"/>
      <w:lang w:eastAsia="en-US"/>
    </w:rPr>
  </w:style>
  <w:style w:type="character" w:styleId="Odwoanieprzypisudolnego">
    <w:name w:val="footnote reference"/>
    <w:aliases w:val="Footnote Reference Number,Footnote reference number,Footnote symbol,note TESI,SUPERS,EN Footnote Reference,Footnote number,Times 10 Point,Exposant 3 Point,EN Footnote Refer,BVI fnr,(Footnote Reference),Voetnootverwijzing"/>
    <w:basedOn w:val="Domylnaczcionkaakapitu"/>
    <w:uiPriority w:val="99"/>
    <w:unhideWhenUsed/>
    <w:rsid w:val="00257AA4"/>
    <w:rPr>
      <w:vertAlign w:val="superscript"/>
    </w:rPr>
  </w:style>
  <w:style w:type="paragraph" w:styleId="Akapitzlist">
    <w:name w:val="List Paragraph"/>
    <w:aliases w:val="Listaszerű bekezdés1,List Paragraph à moi,Recommendation,List Paragraph11,Kolorowa lista — akcent 11,Numerowanie,Dot pt,F5 List Paragraph,Numbered Para 1,No Spacing1,Indicator Text,Bullet 1,List Paragraph Char Char Char,2,Akapit z list?"/>
    <w:basedOn w:val="Normalny"/>
    <w:link w:val="AkapitzlistZnak"/>
    <w:uiPriority w:val="34"/>
    <w:qFormat/>
    <w:rsid w:val="00FA5157"/>
    <w:pPr>
      <w:ind w:left="720"/>
      <w:contextualSpacing/>
    </w:pPr>
  </w:style>
  <w:style w:type="character" w:customStyle="1" w:styleId="AkapitzlistZnak">
    <w:name w:val="Akapit z listą Znak"/>
    <w:aliases w:val="Listaszerű bekezdés1 Znak,List Paragraph à moi Znak,Recommendation Znak,List Paragraph11 Znak,Kolorowa lista — akcent 11 Znak,Numerowanie Znak,Dot pt Znak,F5 List Paragraph Znak,Numbered Para 1 Znak,No Spacing1 Znak,Bullet 1 Znak"/>
    <w:basedOn w:val="Domylnaczcionkaakapitu"/>
    <w:link w:val="Akapitzlist"/>
    <w:uiPriority w:val="34"/>
    <w:locked/>
    <w:rsid w:val="00FA515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RN\AppData\Local\Temp\mf_p1-1.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10AADD-64A1-487A-A2BF-A18623090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mf_p1-1</Template>
  <TotalTime>2</TotalTime>
  <Pages>3</Pages>
  <Words>827</Words>
  <Characters>4962</Characters>
  <Application>Microsoft Office Word</Application>
  <DocSecurity>0</DocSecurity>
  <Lines>41</Lines>
  <Paragraphs>11</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Plan B</Company>
  <LinksUpToDate>false</LinksUpToDate>
  <CharactersWithSpaces>5778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Rumowski Bernard</cp:lastModifiedBy>
  <cp:revision>6</cp:revision>
  <dcterms:created xsi:type="dcterms:W3CDTF">2021-04-29T06:42:00Z</dcterms:created>
  <dcterms:modified xsi:type="dcterms:W3CDTF">2021-04-29T06:52:00Z</dcterms:modified>
</cp:coreProperties>
</file>