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011BCF0" w14:textId="5CD183AE" w:rsidR="00826EFE" w:rsidRPr="00B41205" w:rsidRDefault="00000000" w:rsidP="00245380">
      <w:pPr>
        <w:pStyle w:val="Nagwek2"/>
        <w:pBdr>
          <w:top w:val="nil"/>
          <w:left w:val="nil"/>
          <w:bottom w:val="nil"/>
          <w:right w:val="nil"/>
          <w:between w:val="nil"/>
        </w:pBdr>
        <w:spacing w:before="0" w:line="288" w:lineRule="auto"/>
        <w:jc w:val="center"/>
        <w:rPr>
          <w:rFonts w:ascii="Lato" w:eastAsia="Lato" w:hAnsi="Lato" w:cs="Lato"/>
          <w:color w:val="695D46"/>
          <w:sz w:val="24"/>
          <w:szCs w:val="24"/>
        </w:rPr>
      </w:pPr>
      <w:bookmarkStart w:id="0" w:name="_hq5hbfu2szzs" w:colFirst="0" w:colLast="0"/>
      <w:bookmarkEnd w:id="0"/>
      <w:r>
        <w:rPr>
          <w:rFonts w:ascii="Lato" w:hAnsi="Lato"/>
        </w:rPr>
        <w:pict w14:anchorId="211DF2F3">
          <v:rect id="_x0000_i1025" style="width:468pt;height:4pt" o:hralign="center" o:hrstd="t" o:hrnoshade="t" o:hr="t" fillcolor="#012f66" stroked="f"/>
        </w:pict>
      </w:r>
      <w:bookmarkStart w:id="1" w:name="_z6ne0og04bp5"/>
      <w:bookmarkEnd w:id="1"/>
      <w:r w:rsidR="00D632DF" w:rsidRPr="00B41205">
        <w:rPr>
          <w:rFonts w:ascii="Lato" w:eastAsia="Lato" w:hAnsi="Lato" w:cs="Lato"/>
          <w:noProof/>
          <w:color w:val="695D46"/>
          <w:sz w:val="24"/>
          <w:szCs w:val="24"/>
          <w:lang w:val="pl-PL"/>
        </w:rPr>
        <w:drawing>
          <wp:inline distT="114300" distB="114300" distL="114300" distR="114300" wp14:anchorId="009E929E" wp14:editId="5E6B6447">
            <wp:extent cx="3962400" cy="153119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1196" cy="15423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8A366E" w14:textId="77777777" w:rsidR="00826EFE" w:rsidRPr="00B41205" w:rsidRDefault="00D632DF" w:rsidP="0076350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ato" w:eastAsia="Lato" w:hAnsi="Lato" w:cs="Lato"/>
        </w:rPr>
      </w:pPr>
      <w:r w:rsidRPr="00B41205">
        <w:rPr>
          <w:rFonts w:ascii="Lato" w:eastAsia="Lato" w:hAnsi="Lato" w:cs="Lato"/>
          <w:noProof/>
          <w:lang w:val="pl-PL"/>
        </w:rPr>
        <w:drawing>
          <wp:inline distT="114300" distB="114300" distL="114300" distR="114300" wp14:anchorId="18541845" wp14:editId="6D33D6EC">
            <wp:extent cx="4999103" cy="3333750"/>
            <wp:effectExtent l="0" t="0" r="0" b="0"/>
            <wp:docPr id="2" name="image2.png" descr="Obraz zastępc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Obraz zastępczy"/>
                    <pic:cNvPicPr preferRelativeResize="0"/>
                  </pic:nvPicPr>
                  <pic:blipFill>
                    <a:blip r:embed="rId9"/>
                    <a:srcRect r="34468"/>
                    <a:stretch>
                      <a:fillRect/>
                    </a:stretch>
                  </pic:blipFill>
                  <pic:spPr>
                    <a:xfrm>
                      <a:off x="0" y="0"/>
                      <a:ext cx="5008120" cy="3339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56F261" w14:textId="6DD213D1" w:rsidR="00763502" w:rsidRPr="00B41205" w:rsidRDefault="00763502" w:rsidP="00950E2E">
      <w:pPr>
        <w:pStyle w:val="Tytu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Lato" w:eastAsia="Lato" w:hAnsi="Lato" w:cs="Lato"/>
          <w:color w:val="012F66"/>
          <w:sz w:val="52"/>
          <w:u w:val="single"/>
        </w:rPr>
      </w:pPr>
      <w:bookmarkStart w:id="2" w:name="_2gazcsgmxkub" w:colFirst="0" w:colLast="0"/>
      <w:bookmarkEnd w:id="2"/>
      <w:r w:rsidRPr="00B41205">
        <w:rPr>
          <w:rFonts w:ascii="Lato" w:eastAsia="Lato" w:hAnsi="Lato" w:cs="Lato"/>
          <w:color w:val="012F66"/>
          <w:sz w:val="52"/>
          <w:u w:val="single"/>
        </w:rPr>
        <w:t xml:space="preserve">Przegląd Prawa </w:t>
      </w:r>
      <w:r w:rsidR="000647C1">
        <w:rPr>
          <w:rFonts w:ascii="Lato" w:eastAsia="Lato" w:hAnsi="Lato" w:cs="Lato"/>
          <w:color w:val="012F66"/>
          <w:sz w:val="52"/>
          <w:u w:val="single"/>
        </w:rPr>
        <w:t>z</w:t>
      </w:r>
      <w:r w:rsidRPr="00B41205">
        <w:rPr>
          <w:rFonts w:ascii="Lato" w:eastAsia="Lato" w:hAnsi="Lato" w:cs="Lato"/>
          <w:color w:val="012F66"/>
          <w:sz w:val="52"/>
          <w:u w:val="single"/>
        </w:rPr>
        <w:t>amówień publicznych</w:t>
      </w:r>
    </w:p>
    <w:p w14:paraId="0A9D339B" w14:textId="77777777" w:rsidR="00950E2E" w:rsidRPr="00B41205" w:rsidRDefault="00763502" w:rsidP="00950E2E">
      <w:pPr>
        <w:pStyle w:val="Tytu"/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Lato" w:eastAsia="Lato" w:hAnsi="Lato" w:cs="Lato"/>
          <w:color w:val="012F66"/>
          <w:sz w:val="52"/>
        </w:rPr>
      </w:pPr>
      <w:r w:rsidRPr="00B41205">
        <w:rPr>
          <w:rFonts w:ascii="Lato" w:eastAsia="Lato" w:hAnsi="Lato" w:cs="Lato"/>
          <w:color w:val="012F66"/>
          <w:sz w:val="52"/>
        </w:rPr>
        <w:t>Wyniki ankiety</w:t>
      </w:r>
      <w:r w:rsidR="00D632DF" w:rsidRPr="00B41205">
        <w:rPr>
          <w:rFonts w:ascii="Lato" w:eastAsia="Lato" w:hAnsi="Lato" w:cs="Lato"/>
          <w:color w:val="012F66"/>
          <w:sz w:val="52"/>
        </w:rPr>
        <w:t xml:space="preserve"> </w:t>
      </w:r>
    </w:p>
    <w:p w14:paraId="4BD175E8" w14:textId="0395A602" w:rsidR="00826EFE" w:rsidRPr="00B41205" w:rsidRDefault="00B33ABD" w:rsidP="00950E2E">
      <w:pPr>
        <w:pStyle w:val="Tytu"/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Lato" w:eastAsia="Lato" w:hAnsi="Lato" w:cs="Lato"/>
          <w:color w:val="012F66"/>
          <w:sz w:val="52"/>
        </w:rPr>
      </w:pPr>
      <w:r>
        <w:rPr>
          <w:rFonts w:ascii="Lato" w:eastAsia="Lato" w:hAnsi="Lato" w:cs="Lato"/>
          <w:color w:val="012F66"/>
          <w:sz w:val="52"/>
        </w:rPr>
        <w:t>dla Z</w:t>
      </w:r>
      <w:r w:rsidR="00D632DF" w:rsidRPr="00B41205">
        <w:rPr>
          <w:rFonts w:ascii="Lato" w:eastAsia="Lato" w:hAnsi="Lato" w:cs="Lato"/>
          <w:color w:val="012F66"/>
          <w:sz w:val="52"/>
        </w:rPr>
        <w:t>amawiających i</w:t>
      </w:r>
      <w:r w:rsidR="00763502" w:rsidRPr="00B41205">
        <w:rPr>
          <w:rFonts w:ascii="Lato" w:eastAsia="Lato" w:hAnsi="Lato" w:cs="Lato"/>
          <w:color w:val="012F66"/>
          <w:sz w:val="52"/>
        </w:rPr>
        <w:t> </w:t>
      </w:r>
      <w:r>
        <w:rPr>
          <w:rFonts w:ascii="Lato" w:eastAsia="Lato" w:hAnsi="Lato" w:cs="Lato"/>
          <w:color w:val="012F66"/>
          <w:sz w:val="52"/>
        </w:rPr>
        <w:t>W</w:t>
      </w:r>
      <w:r w:rsidR="00D632DF" w:rsidRPr="00B41205">
        <w:rPr>
          <w:rFonts w:ascii="Lato" w:eastAsia="Lato" w:hAnsi="Lato" w:cs="Lato"/>
          <w:color w:val="012F66"/>
          <w:sz w:val="52"/>
        </w:rPr>
        <w:t>ykonawców</w:t>
      </w:r>
    </w:p>
    <w:p w14:paraId="79999D3F" w14:textId="77777777" w:rsidR="005C4F5D" w:rsidRPr="00B41205" w:rsidRDefault="005C4F5D" w:rsidP="005C4F5D">
      <w:pPr>
        <w:pStyle w:val="Podtytu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Lato" w:eastAsia="Lato" w:hAnsi="Lato" w:cs="Lato"/>
        </w:rPr>
      </w:pPr>
      <w:bookmarkStart w:id="3" w:name="_ng30guuqqp2v" w:colFirst="0" w:colLast="0"/>
      <w:bookmarkEnd w:id="3"/>
    </w:p>
    <w:p w14:paraId="7AB5A58F" w14:textId="77777777" w:rsidR="005C4F5D" w:rsidRPr="00B41205" w:rsidRDefault="005C4F5D" w:rsidP="005C4F5D">
      <w:pPr>
        <w:pStyle w:val="Podtytu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Lato" w:eastAsia="Lato" w:hAnsi="Lato" w:cs="Lato"/>
        </w:rPr>
      </w:pPr>
    </w:p>
    <w:p w14:paraId="70F46056" w14:textId="77777777" w:rsidR="005C4F5D" w:rsidRPr="00B41205" w:rsidRDefault="005C4F5D" w:rsidP="005C4F5D">
      <w:pPr>
        <w:pStyle w:val="Podtytu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Lato" w:eastAsia="Lato" w:hAnsi="Lato" w:cs="Lato"/>
        </w:rPr>
      </w:pPr>
    </w:p>
    <w:p w14:paraId="3DA532C0" w14:textId="012229D4" w:rsidR="00826EFE" w:rsidRPr="00B41205" w:rsidRDefault="005C4CDC" w:rsidP="005C4F5D">
      <w:pPr>
        <w:pStyle w:val="Podtytu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27 lutego</w:t>
      </w:r>
      <w:r w:rsidR="00D632DF" w:rsidRPr="00B41205">
        <w:rPr>
          <w:rFonts w:ascii="Lato" w:eastAsia="Lato" w:hAnsi="Lato" w:cs="Lato"/>
        </w:rPr>
        <w:t xml:space="preserve"> 2024 r.</w:t>
      </w:r>
    </w:p>
    <w:p w14:paraId="0598D80E" w14:textId="77777777" w:rsidR="00826EFE" w:rsidRPr="00B41205" w:rsidRDefault="00826EFE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Lato" w:eastAsia="Lato" w:hAnsi="Lato" w:cs="Lato"/>
          <w:sz w:val="28"/>
          <w:szCs w:val="28"/>
        </w:rPr>
      </w:pPr>
    </w:p>
    <w:p w14:paraId="53A53E91" w14:textId="20285B5C" w:rsidR="00826EFE" w:rsidRPr="00623755" w:rsidRDefault="00B33ABD">
      <w:pPr>
        <w:pStyle w:val="Nagwek1"/>
        <w:pBdr>
          <w:top w:val="nil"/>
          <w:left w:val="nil"/>
          <w:bottom w:val="nil"/>
          <w:right w:val="nil"/>
          <w:between w:val="nil"/>
        </w:pBdr>
        <w:rPr>
          <w:rStyle w:val="Pogrubienie"/>
          <w:b/>
        </w:rPr>
      </w:pPr>
      <w:bookmarkStart w:id="4" w:name="_au51mny0sx6" w:colFirst="0" w:colLast="0"/>
      <w:bookmarkEnd w:id="4"/>
      <w:r w:rsidRPr="00623755">
        <w:rPr>
          <w:rStyle w:val="Pogrubienie"/>
          <w:b/>
        </w:rPr>
        <w:br w:type="column"/>
      </w:r>
      <w:r w:rsidR="00763502" w:rsidRPr="00623755">
        <w:rPr>
          <w:rStyle w:val="Pogrubienie"/>
          <w:b/>
        </w:rPr>
        <w:lastRenderedPageBreak/>
        <w:t>Wprowadzenie</w:t>
      </w:r>
    </w:p>
    <w:p w14:paraId="7EE9009A" w14:textId="22D6B359" w:rsidR="006B7B3D" w:rsidRPr="006B7B3D" w:rsidRDefault="006B7B3D" w:rsidP="00763502">
      <w:pPr>
        <w:pStyle w:val="Bezodstpw"/>
        <w:rPr>
          <w:i/>
          <w:iCs/>
        </w:rPr>
      </w:pPr>
      <w:r w:rsidRPr="006B7B3D">
        <w:rPr>
          <w:i/>
          <w:iCs/>
        </w:rPr>
        <w:t>Szanowni Państwo,</w:t>
      </w:r>
    </w:p>
    <w:p w14:paraId="055E2456" w14:textId="6D555D4B" w:rsidR="00763502" w:rsidRPr="006B7B3D" w:rsidRDefault="00763502" w:rsidP="00763502">
      <w:pPr>
        <w:pStyle w:val="Bezodstpw"/>
        <w:rPr>
          <w:i/>
          <w:iCs/>
        </w:rPr>
      </w:pPr>
      <w:r w:rsidRPr="006B7B3D">
        <w:rPr>
          <w:i/>
          <w:iCs/>
        </w:rPr>
        <w:t>Przegląd Prawa Zamówień Publicznych zapowiadany był od początku tworzenia obowiązującej ustawy regulującej funkcjonowanie ryn</w:t>
      </w:r>
      <w:r w:rsidR="00AD52BA" w:rsidRPr="006B7B3D">
        <w:rPr>
          <w:i/>
          <w:iCs/>
        </w:rPr>
        <w:t>k</w:t>
      </w:r>
      <w:r w:rsidRPr="006B7B3D">
        <w:rPr>
          <w:i/>
          <w:iCs/>
        </w:rPr>
        <w:t xml:space="preserve">u zamówień publicznych. Stanowi naturalne domknięcie procesu zainaugurowanego w roku 2016. </w:t>
      </w:r>
    </w:p>
    <w:p w14:paraId="50CF0231" w14:textId="44B565CB" w:rsidR="00763502" w:rsidRPr="006B7B3D" w:rsidRDefault="00763502" w:rsidP="006B7B3D">
      <w:pPr>
        <w:pStyle w:val="Bezodstpw"/>
        <w:rPr>
          <w:i/>
          <w:iCs/>
        </w:rPr>
      </w:pPr>
      <w:r w:rsidRPr="006B7B3D">
        <w:rPr>
          <w:i/>
          <w:iCs/>
        </w:rPr>
        <w:t>Z punktu widzenia aktywności wszystkich interesariuszy rynku zamówień publicznych, stabilność oraz przewidywalność norm prawnych jest kluczowa dla bez</w:t>
      </w:r>
      <w:r w:rsidR="00AD52BA" w:rsidRPr="006B7B3D">
        <w:rPr>
          <w:i/>
          <w:iCs/>
        </w:rPr>
        <w:t>p</w:t>
      </w:r>
      <w:r w:rsidRPr="006B7B3D">
        <w:rPr>
          <w:i/>
          <w:iCs/>
        </w:rPr>
        <w:t>iecznego planowania, efektywnej realizacji i wszechstronnej analizy prowadzonych i wykonanych zamówień.</w:t>
      </w:r>
      <w:r w:rsidR="006B7B3D" w:rsidRPr="006B7B3D">
        <w:rPr>
          <w:i/>
          <w:iCs/>
        </w:rPr>
        <w:t xml:space="preserve"> Dlatego też ewentualna konieczność zmian w obowiązującym </w:t>
      </w:r>
      <w:proofErr w:type="spellStart"/>
      <w:r w:rsidR="006B7B3D" w:rsidRPr="006B7B3D">
        <w:rPr>
          <w:i/>
          <w:iCs/>
        </w:rPr>
        <w:t>Pzp</w:t>
      </w:r>
      <w:proofErr w:type="spellEnd"/>
      <w:r w:rsidR="006B7B3D" w:rsidRPr="006B7B3D">
        <w:rPr>
          <w:i/>
          <w:iCs/>
        </w:rPr>
        <w:t xml:space="preserve"> nie mogła nie zostać poprzedzona dyskusjami i</w:t>
      </w:r>
      <w:r w:rsidR="00630CCB">
        <w:rPr>
          <w:i/>
          <w:iCs/>
        </w:rPr>
        <w:t> </w:t>
      </w:r>
      <w:r w:rsidR="006B7B3D" w:rsidRPr="006B7B3D">
        <w:rPr>
          <w:i/>
          <w:iCs/>
        </w:rPr>
        <w:t xml:space="preserve">debatami ze środowiskiem. Taką właśnie rolę spełnia szereg aktywności pod wspólnym hasłem przeglądu </w:t>
      </w:r>
      <w:proofErr w:type="spellStart"/>
      <w:r w:rsidR="006B7B3D" w:rsidRPr="006B7B3D">
        <w:rPr>
          <w:i/>
          <w:iCs/>
        </w:rPr>
        <w:t>Pzp</w:t>
      </w:r>
      <w:proofErr w:type="spellEnd"/>
      <w:r w:rsidR="006B7B3D" w:rsidRPr="006B7B3D">
        <w:rPr>
          <w:i/>
          <w:iCs/>
        </w:rPr>
        <w:t xml:space="preserve">. </w:t>
      </w:r>
    </w:p>
    <w:p w14:paraId="3093EABE" w14:textId="6C61E470" w:rsidR="00AD52BA" w:rsidRPr="006B7B3D" w:rsidRDefault="00AD52BA" w:rsidP="00763502">
      <w:pPr>
        <w:pStyle w:val="Bezodstpw"/>
        <w:rPr>
          <w:i/>
          <w:iCs/>
        </w:rPr>
      </w:pPr>
      <w:r w:rsidRPr="006B7B3D">
        <w:rPr>
          <w:i/>
          <w:iCs/>
        </w:rPr>
        <w:t xml:space="preserve">Idea przeglądu </w:t>
      </w:r>
      <w:proofErr w:type="spellStart"/>
      <w:r w:rsidRPr="006B7B3D">
        <w:rPr>
          <w:i/>
          <w:iCs/>
        </w:rPr>
        <w:t>Pzp</w:t>
      </w:r>
      <w:proofErr w:type="spellEnd"/>
      <w:r w:rsidRPr="006B7B3D">
        <w:rPr>
          <w:i/>
          <w:iCs/>
        </w:rPr>
        <w:t xml:space="preserve"> zakłada szerokie konsultacje oraz wsłuchanie się w głosy praktyków, którzy każdego dnia pracują na „żywym, zamówieniowym organizmie”. </w:t>
      </w:r>
      <w:r w:rsidR="00ED06BD" w:rsidRPr="006B7B3D">
        <w:rPr>
          <w:i/>
          <w:iCs/>
        </w:rPr>
        <w:t>D</w:t>
      </w:r>
      <w:r w:rsidRPr="006B7B3D">
        <w:rPr>
          <w:i/>
          <w:iCs/>
        </w:rPr>
        <w:t xml:space="preserve">yskusje na temat obowiązujących rozwiązań prawnych pokazują, że niezmiennie budzą one zainteresowanie i stanowią inspirację do poszukiwań usprawnień, czy systemowych innowacji. </w:t>
      </w:r>
    </w:p>
    <w:p w14:paraId="4155E99A" w14:textId="77777777" w:rsidR="006B7B3D" w:rsidRPr="006B7B3D" w:rsidRDefault="00AD52BA" w:rsidP="00763502">
      <w:pPr>
        <w:pStyle w:val="Bezodstpw"/>
        <w:rPr>
          <w:i/>
          <w:iCs/>
        </w:rPr>
      </w:pPr>
      <w:r w:rsidRPr="006B7B3D">
        <w:rPr>
          <w:i/>
          <w:iCs/>
        </w:rPr>
        <w:t xml:space="preserve">Dlatego też </w:t>
      </w:r>
      <w:r w:rsidR="006B7B3D" w:rsidRPr="006B7B3D">
        <w:rPr>
          <w:i/>
          <w:iCs/>
        </w:rPr>
        <w:t>zdecydowaliśmy</w:t>
      </w:r>
      <w:r w:rsidRPr="006B7B3D">
        <w:rPr>
          <w:i/>
          <w:iCs/>
        </w:rPr>
        <w:t xml:space="preserve"> się przeprowadzić ankietę, w której zapytaliśmy o szereg postulatów, które najczęściej wybrzmiewają w toku dyskusji. Oczywiście jest to tylko wybór i cały czas otrzymujemy od Państwa propozycje zmian. Za każdy taki głos w dyskusji bardzo </w:t>
      </w:r>
      <w:r w:rsidR="006B7B3D" w:rsidRPr="006B7B3D">
        <w:rPr>
          <w:i/>
          <w:iCs/>
        </w:rPr>
        <w:t>dziękujemy</w:t>
      </w:r>
      <w:r w:rsidRPr="006B7B3D">
        <w:rPr>
          <w:i/>
          <w:iCs/>
        </w:rPr>
        <w:t xml:space="preserve"> i nad każdym pochylamy się z</w:t>
      </w:r>
      <w:r w:rsidR="006B7B3D" w:rsidRPr="006B7B3D">
        <w:rPr>
          <w:i/>
          <w:iCs/>
        </w:rPr>
        <w:t xml:space="preserve"> należytą uwagą. </w:t>
      </w:r>
    </w:p>
    <w:p w14:paraId="565D1C90" w14:textId="692D254B" w:rsidR="006B7B3D" w:rsidRPr="006B7B3D" w:rsidRDefault="006B7B3D" w:rsidP="00763502">
      <w:pPr>
        <w:pStyle w:val="Bezodstpw"/>
        <w:rPr>
          <w:i/>
          <w:iCs/>
        </w:rPr>
      </w:pPr>
      <w:r w:rsidRPr="006B7B3D">
        <w:rPr>
          <w:i/>
          <w:iCs/>
        </w:rPr>
        <w:t xml:space="preserve">Dziękuję również, że tak licznie zdecydowali się Państwo wziąć udział w naszym badaniu. Zdajemy sobie sprawę, że poruszyliśmy w nim tylko część zagadnień istotnych z punktu widzenia funkcjonowania rynku zamówień publicznych. Stąd cieszy nas duża liczba odpowiedzi w pytaniu otwartym, które posłużą jako punkt wyjścia do dalszej analizy. </w:t>
      </w:r>
    </w:p>
    <w:p w14:paraId="0B4DD689" w14:textId="74EBE495" w:rsidR="006B7B3D" w:rsidRPr="006B7B3D" w:rsidRDefault="006B7B3D" w:rsidP="006B7B3D">
      <w:pPr>
        <w:pStyle w:val="Bezodstpw"/>
        <w:ind w:firstLine="4536"/>
        <w:rPr>
          <w:i/>
          <w:iCs/>
        </w:rPr>
      </w:pPr>
      <w:r w:rsidRPr="006B7B3D">
        <w:rPr>
          <w:i/>
          <w:iCs/>
        </w:rPr>
        <w:t>Z poważaniem,</w:t>
      </w:r>
    </w:p>
    <w:p w14:paraId="46D9EC13" w14:textId="450E07D3" w:rsidR="006B7B3D" w:rsidRPr="006B7B3D" w:rsidRDefault="006B7B3D" w:rsidP="006B7B3D">
      <w:pPr>
        <w:pStyle w:val="Bezodstpw"/>
        <w:ind w:firstLine="4536"/>
        <w:rPr>
          <w:b/>
          <w:bCs/>
          <w:i/>
          <w:iCs/>
        </w:rPr>
      </w:pPr>
      <w:r w:rsidRPr="006B7B3D">
        <w:rPr>
          <w:b/>
          <w:bCs/>
          <w:i/>
          <w:iCs/>
        </w:rPr>
        <w:t>Hubert Nowak,</w:t>
      </w:r>
    </w:p>
    <w:p w14:paraId="600C4D08" w14:textId="70A10BFA" w:rsidR="006B7B3D" w:rsidRDefault="006B7B3D" w:rsidP="006B7B3D">
      <w:pPr>
        <w:pStyle w:val="Bezodstpw"/>
        <w:ind w:firstLine="4536"/>
      </w:pPr>
      <w:r w:rsidRPr="006B7B3D">
        <w:rPr>
          <w:i/>
          <w:iCs/>
        </w:rPr>
        <w:t>Prezes Urzędu Zamówień Publicznych</w:t>
      </w:r>
    </w:p>
    <w:p w14:paraId="35A145CE" w14:textId="156206E2" w:rsidR="00AD52BA" w:rsidRPr="00B41205" w:rsidRDefault="00AD52BA" w:rsidP="00763502">
      <w:pPr>
        <w:pStyle w:val="Bezodstpw"/>
      </w:pPr>
      <w:r w:rsidRPr="00B41205">
        <w:t xml:space="preserve"> </w:t>
      </w:r>
    </w:p>
    <w:p w14:paraId="06FFADF5" w14:textId="77777777" w:rsidR="00AD52BA" w:rsidRPr="00B41205" w:rsidRDefault="00AD52BA" w:rsidP="00763502">
      <w:pPr>
        <w:pStyle w:val="Bezodstpw"/>
      </w:pPr>
    </w:p>
    <w:p w14:paraId="0846E102" w14:textId="77777777" w:rsidR="00B33ABD" w:rsidRPr="00623755" w:rsidRDefault="00B33ABD">
      <w:pPr>
        <w:pStyle w:val="Nagwek1"/>
        <w:pBdr>
          <w:top w:val="nil"/>
          <w:left w:val="nil"/>
          <w:bottom w:val="nil"/>
          <w:right w:val="nil"/>
          <w:between w:val="nil"/>
        </w:pBdr>
        <w:rPr>
          <w:rStyle w:val="Pogrubienie"/>
          <w:b/>
        </w:rPr>
      </w:pPr>
      <w:bookmarkStart w:id="5" w:name="_3at9u9s4e0vp" w:colFirst="0" w:colLast="0"/>
      <w:bookmarkEnd w:id="5"/>
      <w:r w:rsidRPr="00623755">
        <w:rPr>
          <w:rStyle w:val="Pogrubienie"/>
          <w:b/>
        </w:rPr>
        <w:br w:type="column"/>
      </w:r>
      <w:r w:rsidR="00AD52BA" w:rsidRPr="00623755">
        <w:rPr>
          <w:rStyle w:val="Pogrubienie"/>
          <w:b/>
        </w:rPr>
        <w:lastRenderedPageBreak/>
        <w:t>Podstawowe informacje o badaniu</w:t>
      </w:r>
      <w:bookmarkStart w:id="6" w:name="_4p7xi5bvhxdr" w:colFirst="0" w:colLast="0"/>
      <w:bookmarkStart w:id="7" w:name="_yyrhu7ml5bea" w:colFirst="0" w:colLast="0"/>
      <w:bookmarkEnd w:id="6"/>
      <w:bookmarkEnd w:id="7"/>
    </w:p>
    <w:p w14:paraId="01F226AF" w14:textId="77777777" w:rsidR="00623755" w:rsidRPr="00C6020D" w:rsidRDefault="00623755" w:rsidP="00623755">
      <w:pPr>
        <w:pStyle w:val="Akapitzlist"/>
        <w:ind w:left="1069"/>
        <w:rPr>
          <w:b/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1C2C816" wp14:editId="6882DCE4">
            <wp:simplePos x="0" y="0"/>
            <wp:positionH relativeFrom="margin">
              <wp:align>left</wp:align>
            </wp:positionH>
            <wp:positionV relativeFrom="paragraph">
              <wp:posOffset>115570</wp:posOffset>
            </wp:positionV>
            <wp:extent cx="711200" cy="685800"/>
            <wp:effectExtent l="0" t="0" r="0" b="0"/>
            <wp:wrapTight wrapText="bothSides">
              <wp:wrapPolygon edited="0">
                <wp:start x="9257" y="0"/>
                <wp:lineTo x="0" y="600"/>
                <wp:lineTo x="0" y="21000"/>
                <wp:lineTo x="20829" y="21000"/>
                <wp:lineTo x="20829" y="600"/>
                <wp:lineTo x="12729" y="0"/>
                <wp:lineTo x="9257" y="0"/>
              </wp:wrapPolygon>
            </wp:wrapTight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con-1549619_128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1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88C341" w14:textId="77A9CEF1" w:rsidR="00623755" w:rsidRDefault="00623755" w:rsidP="00623755">
      <w:pPr>
        <w:pStyle w:val="Bezodstpw"/>
        <w:ind w:firstLine="0"/>
      </w:pPr>
      <w:r w:rsidRPr="00C6020D">
        <w:rPr>
          <w:b/>
        </w:rPr>
        <w:t>Termin ankiety:</w:t>
      </w:r>
      <w:r>
        <w:t xml:space="preserve"> 19.12.2023 – 15.02.2024 r.</w:t>
      </w:r>
    </w:p>
    <w:p w14:paraId="22DC6C21" w14:textId="12F544F6" w:rsidR="00623755" w:rsidRDefault="00623755" w:rsidP="00623755">
      <w:pPr>
        <w:pStyle w:val="Bezodstpw"/>
        <w:ind w:firstLine="0"/>
      </w:pPr>
    </w:p>
    <w:p w14:paraId="5C94E7BB" w14:textId="002DD80A" w:rsidR="00623755" w:rsidRDefault="00623755" w:rsidP="00623755">
      <w:pPr>
        <w:pStyle w:val="Bezodstpw"/>
        <w:ind w:firstLine="0"/>
      </w:pPr>
    </w:p>
    <w:p w14:paraId="5896587B" w14:textId="052E2D7C" w:rsidR="00623755" w:rsidRDefault="00623755" w:rsidP="00623755">
      <w:pPr>
        <w:pStyle w:val="Bezodstpw"/>
        <w:ind w:firstLine="0"/>
      </w:pPr>
      <w:r w:rsidRPr="00623755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0E784B3E" wp14:editId="17EE8DAE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685800" cy="685800"/>
            <wp:effectExtent l="0" t="0" r="0" b="0"/>
            <wp:wrapSquare wrapText="bothSides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3755">
        <w:rPr>
          <w:b/>
        </w:rPr>
        <w:t>Cel:</w:t>
      </w:r>
      <w:r w:rsidRPr="006E67B1">
        <w:t xml:space="preserve"> </w:t>
      </w:r>
      <w:r>
        <w:t>U</w:t>
      </w:r>
      <w:r w:rsidRPr="006E67B1">
        <w:t xml:space="preserve">zyskanie opinii </w:t>
      </w:r>
      <w:r>
        <w:t xml:space="preserve">uczestników rynku zamówień publicznych dotyczących </w:t>
      </w:r>
      <w:r w:rsidR="009E5683">
        <w:t>niektórych kierunków ewentualnych zmian Prawa zamówień publicznych</w:t>
      </w:r>
      <w:r>
        <w:t>.</w:t>
      </w:r>
    </w:p>
    <w:p w14:paraId="1ACD574E" w14:textId="29ECD5CB" w:rsidR="00623755" w:rsidRPr="00C6020D" w:rsidRDefault="00623755" w:rsidP="00623755">
      <w:pPr>
        <w:pStyle w:val="Akapitzlist"/>
        <w:ind w:left="1069"/>
        <w:rPr>
          <w:rFonts w:eastAsiaTheme="minorEastAsia"/>
          <w:noProof/>
          <w:szCs w:val="24"/>
        </w:rPr>
      </w:pPr>
    </w:p>
    <w:p w14:paraId="529AFF09" w14:textId="066F2504" w:rsidR="00623755" w:rsidRDefault="00623755" w:rsidP="00623755">
      <w:pPr>
        <w:pStyle w:val="Bezodstpw"/>
        <w:ind w:firstLine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59BA5AA" wp14:editId="23057044">
            <wp:simplePos x="0" y="0"/>
            <wp:positionH relativeFrom="margin">
              <wp:posOffset>19050</wp:posOffset>
            </wp:positionH>
            <wp:positionV relativeFrom="paragraph">
              <wp:posOffset>183515</wp:posOffset>
            </wp:positionV>
            <wp:extent cx="657225" cy="571500"/>
            <wp:effectExtent l="0" t="0" r="9525" b="0"/>
            <wp:wrapSquare wrapText="bothSides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572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020D">
        <w:t>Li</w:t>
      </w:r>
      <w:r>
        <w:t>c</w:t>
      </w:r>
      <w:r w:rsidRPr="00C6020D">
        <w:t xml:space="preserve">zba </w:t>
      </w:r>
      <w:r>
        <w:t xml:space="preserve">odpowiedzi: </w:t>
      </w:r>
      <w:r w:rsidRPr="00623755">
        <w:rPr>
          <w:b/>
        </w:rPr>
        <w:t>1236</w:t>
      </w:r>
      <w:r>
        <w:t>, w tym:</w:t>
      </w:r>
    </w:p>
    <w:p w14:paraId="553C4C34" w14:textId="305608D9" w:rsidR="00623755" w:rsidRDefault="00623755" w:rsidP="00623755">
      <w:pPr>
        <w:pStyle w:val="Bezodstpw"/>
        <w:numPr>
          <w:ilvl w:val="0"/>
          <w:numId w:val="6"/>
        </w:numPr>
        <w:spacing w:after="0"/>
      </w:pPr>
      <w:r w:rsidRPr="00623755">
        <w:rPr>
          <w:b/>
        </w:rPr>
        <w:t>1038</w:t>
      </w:r>
      <w:r>
        <w:t xml:space="preserve"> odpowiedzi osób deklarujących się jako Zamawiający</w:t>
      </w:r>
    </w:p>
    <w:p w14:paraId="2D7FADB0" w14:textId="11AAA270" w:rsidR="00623755" w:rsidRDefault="009323DC" w:rsidP="00623755">
      <w:pPr>
        <w:pStyle w:val="Bezodstpw"/>
        <w:numPr>
          <w:ilvl w:val="0"/>
          <w:numId w:val="6"/>
        </w:numPr>
        <w:spacing w:after="0"/>
      </w:pPr>
      <w:r w:rsidRPr="009323DC">
        <w:rPr>
          <w:b/>
          <w:bCs/>
        </w:rPr>
        <w:t>198</w:t>
      </w:r>
      <w:r>
        <w:t xml:space="preserve"> </w:t>
      </w:r>
      <w:r w:rsidR="00623755">
        <w:t>odpowiedzi osób deklarujących się jako Wykonawcy</w:t>
      </w:r>
    </w:p>
    <w:p w14:paraId="1F36E2D9" w14:textId="77777777" w:rsidR="00623755" w:rsidRDefault="00623755" w:rsidP="00623755"/>
    <w:p w14:paraId="17A96BDC" w14:textId="77777777" w:rsidR="00623755" w:rsidRPr="00C6020D" w:rsidRDefault="00623755" w:rsidP="00623755">
      <w:pPr>
        <w:rPr>
          <w:b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416CB5D" wp14:editId="59849955">
            <wp:simplePos x="0" y="0"/>
            <wp:positionH relativeFrom="column">
              <wp:posOffset>65405</wp:posOffset>
            </wp:positionH>
            <wp:positionV relativeFrom="paragraph">
              <wp:posOffset>8890</wp:posOffset>
            </wp:positionV>
            <wp:extent cx="558800" cy="774700"/>
            <wp:effectExtent l="0" t="0" r="0" b="6350"/>
            <wp:wrapSquare wrapText="bothSides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77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BA645" w14:textId="52A43B5D" w:rsidR="00623755" w:rsidRPr="00C6020D" w:rsidRDefault="00623755" w:rsidP="00623755">
      <w:pPr>
        <w:pStyle w:val="Bezodstpw"/>
      </w:pPr>
      <w:r w:rsidRPr="00C6020D">
        <w:t>Liczba pytań:</w:t>
      </w:r>
      <w:r>
        <w:t xml:space="preserve"> 14</w:t>
      </w:r>
    </w:p>
    <w:p w14:paraId="43468C9E" w14:textId="77777777" w:rsidR="00623755" w:rsidRPr="00C6020D" w:rsidRDefault="00623755" w:rsidP="00623755">
      <w:pPr>
        <w:pStyle w:val="Bezodstpw"/>
      </w:pPr>
    </w:p>
    <w:p w14:paraId="3F4D2B06" w14:textId="1434081B" w:rsidR="00623755" w:rsidRDefault="00623755" w:rsidP="00623755">
      <w:pPr>
        <w:pStyle w:val="Bezodstpw"/>
      </w:pPr>
      <w:r>
        <w:t xml:space="preserve">Ankieta </w:t>
      </w:r>
      <w:r w:rsidR="009323DC">
        <w:t xml:space="preserve">w ramach przeglądu </w:t>
      </w:r>
      <w:proofErr w:type="spellStart"/>
      <w:r w:rsidR="009323DC">
        <w:t>Pzp</w:t>
      </w:r>
      <w:proofErr w:type="spellEnd"/>
      <w:r>
        <w:t xml:space="preserve"> opublikowana została na stronie internetowej Urzędu Zamówień Publicznych </w:t>
      </w:r>
      <w:r w:rsidR="009323DC">
        <w:t xml:space="preserve">19 grudnia 2023 roku. </w:t>
      </w:r>
      <w:r>
        <w:t>Publikacji na stronie internetowej towarzyszyły wzmianki w mediach społecznościowych Urzędu – na platformie Twitter oraz LinkedIn. W badaniu udział wzięli zarówno wykonawcy, jak i zamawiający, przy zastosowaniu identycznego zestawu pytań dla obu kategorii interesariuszy.</w:t>
      </w:r>
    </w:p>
    <w:p w14:paraId="70F54968" w14:textId="3735C30D" w:rsidR="00826EFE" w:rsidRDefault="00B33ABD" w:rsidP="00B33ABD">
      <w:pPr>
        <w:pStyle w:val="Bezodstpw"/>
        <w:rPr>
          <w:rStyle w:val="Pogrubienie"/>
        </w:rPr>
      </w:pPr>
      <w:r>
        <w:rPr>
          <w:rStyle w:val="Pogrubienie"/>
        </w:rPr>
        <w:br w:type="column"/>
      </w:r>
      <w:r w:rsidR="00623755">
        <w:rPr>
          <w:rStyle w:val="Pogrubienie"/>
        </w:rPr>
        <w:lastRenderedPageBreak/>
        <w:t>Wyniki ankiety</w:t>
      </w:r>
    </w:p>
    <w:p w14:paraId="5CF63004" w14:textId="267C52F2" w:rsidR="00623755" w:rsidRPr="00623755" w:rsidRDefault="00623755" w:rsidP="00623755">
      <w:pPr>
        <w:pStyle w:val="Bezodstpw"/>
        <w:rPr>
          <w:rStyle w:val="Pogrubienie"/>
          <w:b w:val="0"/>
          <w:bCs w:val="0"/>
          <w:sz w:val="22"/>
        </w:rPr>
      </w:pPr>
      <w:r w:rsidRPr="00623755">
        <w:rPr>
          <w:rStyle w:val="Pogrubienie"/>
          <w:b w:val="0"/>
          <w:bCs w:val="0"/>
          <w:sz w:val="22"/>
        </w:rPr>
        <w:t>W niniejszym rozdziale przedstawione zostały wyniki ankiety z podziałem na poszczególne pytania. Ankieta składała się z 1</w:t>
      </w:r>
      <w:r>
        <w:rPr>
          <w:rStyle w:val="Pogrubienie"/>
          <w:b w:val="0"/>
          <w:bCs w:val="0"/>
          <w:sz w:val="22"/>
        </w:rPr>
        <w:t>4</w:t>
      </w:r>
      <w:r w:rsidRPr="00623755">
        <w:rPr>
          <w:rStyle w:val="Pogrubienie"/>
          <w:b w:val="0"/>
          <w:bCs w:val="0"/>
          <w:sz w:val="22"/>
        </w:rPr>
        <w:t xml:space="preserve"> pytań</w:t>
      </w:r>
      <w:r>
        <w:rPr>
          <w:rStyle w:val="Pogrubienie"/>
          <w:b w:val="0"/>
          <w:bCs w:val="0"/>
          <w:sz w:val="22"/>
        </w:rPr>
        <w:t xml:space="preserve"> merytorycznych</w:t>
      </w:r>
      <w:r w:rsidRPr="00623755">
        <w:rPr>
          <w:rStyle w:val="Pogrubienie"/>
          <w:b w:val="0"/>
          <w:bCs w:val="0"/>
          <w:sz w:val="22"/>
        </w:rPr>
        <w:t>.</w:t>
      </w:r>
    </w:p>
    <w:p w14:paraId="6B9CF3D9" w14:textId="62EC6032" w:rsidR="00623755" w:rsidRPr="00623755" w:rsidRDefault="00623755" w:rsidP="00623755">
      <w:pPr>
        <w:pStyle w:val="Bezodstpw"/>
        <w:rPr>
          <w:rStyle w:val="Pogrubienie"/>
          <w:b w:val="0"/>
          <w:bCs w:val="0"/>
          <w:sz w:val="22"/>
        </w:rPr>
      </w:pPr>
      <w:r w:rsidRPr="00623755">
        <w:rPr>
          <w:rStyle w:val="Pogrubienie"/>
          <w:b w:val="0"/>
          <w:bCs w:val="0"/>
          <w:sz w:val="22"/>
        </w:rPr>
        <w:t xml:space="preserve">Wyniki ujęto w podrozdziałach dedykowanych </w:t>
      </w:r>
      <w:r>
        <w:rPr>
          <w:rStyle w:val="Pogrubienie"/>
          <w:b w:val="0"/>
          <w:bCs w:val="0"/>
          <w:sz w:val="22"/>
        </w:rPr>
        <w:t xml:space="preserve">konkretnym </w:t>
      </w:r>
      <w:r w:rsidRPr="00623755">
        <w:rPr>
          <w:rStyle w:val="Pogrubienie"/>
          <w:b w:val="0"/>
          <w:bCs w:val="0"/>
          <w:sz w:val="22"/>
        </w:rPr>
        <w:t>pytaniom</w:t>
      </w:r>
      <w:r>
        <w:rPr>
          <w:rStyle w:val="Pogrubienie"/>
          <w:b w:val="0"/>
          <w:bCs w:val="0"/>
          <w:sz w:val="22"/>
        </w:rPr>
        <w:t xml:space="preserve">. </w:t>
      </w:r>
      <w:r w:rsidRPr="00623755">
        <w:rPr>
          <w:rStyle w:val="Pogrubienie"/>
          <w:b w:val="0"/>
          <w:bCs w:val="0"/>
          <w:sz w:val="22"/>
        </w:rPr>
        <w:t>Każdy podrozdział został zaprezentowany w następującym sekwencyjnym układzie:</w:t>
      </w:r>
    </w:p>
    <w:p w14:paraId="7F43C955" w14:textId="77777777" w:rsidR="00623755" w:rsidRPr="00623755" w:rsidRDefault="00623755" w:rsidP="00623755">
      <w:pPr>
        <w:pStyle w:val="Bezodstpw"/>
        <w:rPr>
          <w:rStyle w:val="Pogrubienie"/>
          <w:b w:val="0"/>
          <w:bCs w:val="0"/>
          <w:sz w:val="22"/>
        </w:rPr>
      </w:pPr>
      <w:r w:rsidRPr="00623755">
        <w:rPr>
          <w:rStyle w:val="Pogrubienie"/>
          <w:b w:val="0"/>
          <w:bCs w:val="0"/>
          <w:sz w:val="22"/>
        </w:rPr>
        <w:t>1)</w:t>
      </w:r>
      <w:r w:rsidRPr="00623755">
        <w:rPr>
          <w:rStyle w:val="Pogrubienie"/>
          <w:b w:val="0"/>
          <w:bCs w:val="0"/>
          <w:sz w:val="22"/>
        </w:rPr>
        <w:tab/>
        <w:t>treść pytania;</w:t>
      </w:r>
    </w:p>
    <w:p w14:paraId="668FCBAC" w14:textId="77777777" w:rsidR="00623755" w:rsidRPr="00623755" w:rsidRDefault="00623755" w:rsidP="00623755">
      <w:pPr>
        <w:pStyle w:val="Bezodstpw"/>
        <w:rPr>
          <w:rStyle w:val="Pogrubienie"/>
          <w:b w:val="0"/>
          <w:bCs w:val="0"/>
          <w:sz w:val="22"/>
        </w:rPr>
      </w:pPr>
      <w:r w:rsidRPr="00623755">
        <w:rPr>
          <w:rStyle w:val="Pogrubienie"/>
          <w:b w:val="0"/>
          <w:bCs w:val="0"/>
          <w:sz w:val="22"/>
        </w:rPr>
        <w:t>2)</w:t>
      </w:r>
      <w:r w:rsidRPr="00623755">
        <w:rPr>
          <w:rStyle w:val="Pogrubienie"/>
          <w:b w:val="0"/>
          <w:bCs w:val="0"/>
          <w:sz w:val="22"/>
        </w:rPr>
        <w:tab/>
        <w:t>esencjonalne wyjaśnienie genezy pytania;</w:t>
      </w:r>
    </w:p>
    <w:p w14:paraId="358560D3" w14:textId="3748B7AF" w:rsidR="00623755" w:rsidRPr="00623755" w:rsidRDefault="00623755" w:rsidP="00623755">
      <w:pPr>
        <w:pStyle w:val="Bezodstpw"/>
        <w:rPr>
          <w:rStyle w:val="Pogrubienie"/>
          <w:b w:val="0"/>
          <w:bCs w:val="0"/>
          <w:sz w:val="22"/>
        </w:rPr>
      </w:pPr>
      <w:r w:rsidRPr="00623755">
        <w:rPr>
          <w:rStyle w:val="Pogrubienie"/>
          <w:b w:val="0"/>
          <w:bCs w:val="0"/>
          <w:sz w:val="22"/>
        </w:rPr>
        <w:t>3)</w:t>
      </w:r>
      <w:r w:rsidRPr="00623755">
        <w:rPr>
          <w:rStyle w:val="Pogrubienie"/>
          <w:b w:val="0"/>
          <w:bCs w:val="0"/>
          <w:sz w:val="22"/>
        </w:rPr>
        <w:tab/>
        <w:t>graficzna prezentacja wyników ankiety</w:t>
      </w:r>
      <w:r>
        <w:rPr>
          <w:rStyle w:val="Pogrubienie"/>
          <w:b w:val="0"/>
          <w:bCs w:val="0"/>
          <w:sz w:val="22"/>
        </w:rPr>
        <w:t xml:space="preserve"> w ujęciu wspólnym oraz z podziałem na badane grupy interesariuszy</w:t>
      </w:r>
      <w:r w:rsidRPr="00623755">
        <w:rPr>
          <w:rStyle w:val="Pogrubienie"/>
          <w:b w:val="0"/>
          <w:bCs w:val="0"/>
          <w:sz w:val="22"/>
        </w:rPr>
        <w:t>;</w:t>
      </w:r>
    </w:p>
    <w:p w14:paraId="2488928E" w14:textId="435620FA" w:rsidR="00623755" w:rsidRPr="00623755" w:rsidRDefault="00623755" w:rsidP="009323DC">
      <w:pPr>
        <w:pStyle w:val="Bezodstpw"/>
        <w:ind w:firstLine="0"/>
        <w:rPr>
          <w:rStyle w:val="Pogrubienie"/>
          <w:b w:val="0"/>
          <w:bCs w:val="0"/>
          <w:sz w:val="22"/>
        </w:rPr>
      </w:pPr>
      <w:r w:rsidRPr="00623755">
        <w:rPr>
          <w:rStyle w:val="Pogrubienie"/>
          <w:b w:val="0"/>
          <w:bCs w:val="0"/>
          <w:sz w:val="22"/>
        </w:rPr>
        <w:t xml:space="preserve"> </w:t>
      </w:r>
    </w:p>
    <w:p w14:paraId="721EA353" w14:textId="77777777" w:rsidR="009323DC" w:rsidRDefault="009323DC" w:rsidP="009323DC">
      <w:pPr>
        <w:pStyle w:val="Akapitzlist"/>
        <w:pBdr>
          <w:top w:val="nil"/>
          <w:left w:val="nil"/>
          <w:bottom w:val="nil"/>
          <w:right w:val="nil"/>
          <w:between w:val="nil"/>
        </w:pBdr>
        <w:ind w:left="567"/>
        <w:rPr>
          <w:rStyle w:val="Odwoanieintensywne"/>
        </w:rPr>
      </w:pPr>
    </w:p>
    <w:p w14:paraId="354C4644" w14:textId="77777777" w:rsidR="00A175A2" w:rsidRDefault="00A175A2" w:rsidP="00AD52BA">
      <w:pPr>
        <w:pStyle w:val="Akapitzlist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rStyle w:val="Odwoanieintensywne"/>
        </w:rPr>
        <w:sectPr w:rsidR="00A175A2" w:rsidSect="006B7FD5">
          <w:headerReference w:type="default" r:id="rId14"/>
          <w:headerReference w:type="first" r:id="rId15"/>
          <w:footerReference w:type="first" r:id="rId16"/>
          <w:pgSz w:w="12240" w:h="15840"/>
          <w:pgMar w:top="1080" w:right="1440" w:bottom="1080" w:left="1440" w:header="0" w:footer="720" w:gutter="0"/>
          <w:pgNumType w:start="1"/>
          <w:cols w:space="708"/>
          <w:titlePg/>
        </w:sectPr>
      </w:pPr>
    </w:p>
    <w:p w14:paraId="0D0E02C9" w14:textId="0AEE46CB" w:rsidR="00763502" w:rsidRDefault="00763502" w:rsidP="00AD52BA">
      <w:pPr>
        <w:pStyle w:val="Akapitzlist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rStyle w:val="Odwoanieintensywne"/>
        </w:rPr>
      </w:pPr>
      <w:r w:rsidRPr="00B41205">
        <w:rPr>
          <w:rStyle w:val="Odwoanieintensywne"/>
        </w:rPr>
        <w:lastRenderedPageBreak/>
        <w:t xml:space="preserve">Czy jesteś za zwiększeniem wysokości progu stosowania </w:t>
      </w:r>
      <w:proofErr w:type="spellStart"/>
      <w:r w:rsidRPr="00B41205">
        <w:rPr>
          <w:rStyle w:val="Odwoanieintensywne"/>
        </w:rPr>
        <w:t>Pzp</w:t>
      </w:r>
      <w:proofErr w:type="spellEnd"/>
      <w:r w:rsidRPr="00B41205">
        <w:rPr>
          <w:rStyle w:val="Odwoanieintensywne"/>
        </w:rPr>
        <w:t xml:space="preserve"> (aktua</w:t>
      </w:r>
      <w:r w:rsidR="00AD52BA" w:rsidRPr="00B41205">
        <w:rPr>
          <w:rStyle w:val="Odwoanieintensywne"/>
        </w:rPr>
        <w:t>lnie wynoszącego 130.000,00 zł)</w:t>
      </w:r>
    </w:p>
    <w:p w14:paraId="1999F3C1" w14:textId="088CFF72" w:rsidR="00B33ABD" w:rsidRPr="00B33ABD" w:rsidRDefault="00B33ABD" w:rsidP="00B33ABD">
      <w:pPr>
        <w:pStyle w:val="Bezodstpw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Zagadnienie wysokości progu stosowania Prawa zamówień publicznych </w:t>
      </w:r>
      <w:r w:rsidR="00623755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jest </w:t>
      </w: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często podnoszon</w:t>
      </w:r>
      <w:r w:rsidR="00D34A22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e</w:t>
      </w: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 przez uczestników rynku zamówień publicznych. </w:t>
      </w:r>
      <w:r w:rsidR="00D34A22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Mając ten fakt na względzie w ankiecie nie mogło zabraknąć kwestii, która </w:t>
      </w:r>
      <w:r w:rsidR="00623755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stanowi istotny element, szczególnie w momencie przygotowywania planów postępowań na kolejne lata.</w:t>
      </w:r>
    </w:p>
    <w:p w14:paraId="6D8D90FD" w14:textId="77777777" w:rsidR="00AD52BA" w:rsidRPr="00B41205" w:rsidRDefault="00950E2E" w:rsidP="00950E2E">
      <w:pPr>
        <w:pBdr>
          <w:top w:val="nil"/>
          <w:left w:val="nil"/>
          <w:bottom w:val="nil"/>
          <w:right w:val="nil"/>
          <w:between w:val="nil"/>
        </w:pBdr>
        <w:jc w:val="center"/>
        <w:rPr>
          <w:rStyle w:val="Odwoanieintensywne"/>
        </w:rPr>
      </w:pPr>
      <w:r w:rsidRPr="00B41205">
        <w:rPr>
          <w:rFonts w:ascii="Lato" w:hAnsi="Lato"/>
          <w:noProof/>
          <w:lang w:val="pl-PL"/>
        </w:rPr>
        <w:drawing>
          <wp:inline distT="0" distB="0" distL="0" distR="0" wp14:anchorId="78C8FCFD" wp14:editId="75893CD5">
            <wp:extent cx="5928360" cy="2438400"/>
            <wp:effectExtent l="0" t="0" r="15240" b="0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B002E0C" w14:textId="32F1D414" w:rsidR="00826EFE" w:rsidRPr="00B41205" w:rsidRDefault="00950E2E" w:rsidP="00950E2E">
      <w:pPr>
        <w:pStyle w:val="Bezodstpw"/>
      </w:pPr>
      <w:r w:rsidRPr="00B41205">
        <w:t xml:space="preserve">79% respondentów opowiada się za zwiększeniem wysokości progu stosowania </w:t>
      </w:r>
      <w:proofErr w:type="spellStart"/>
      <w:r w:rsidRPr="00B41205">
        <w:t>Pzp</w:t>
      </w:r>
      <w:proofErr w:type="spellEnd"/>
      <w:r w:rsidRPr="00B41205">
        <w:t xml:space="preserve">. </w:t>
      </w:r>
      <w:r w:rsidR="00623755">
        <w:t xml:space="preserve">Poniżej </w:t>
      </w:r>
      <w:r w:rsidR="000C569C">
        <w:t>zestawione zostały odpowiedzi na pytanie z uwzględnieniem kategorii odpowiadającego.</w:t>
      </w:r>
    </w:p>
    <w:p w14:paraId="3E63AE48" w14:textId="71E7D25F" w:rsidR="006C2351" w:rsidRPr="00B41205" w:rsidRDefault="006C2351" w:rsidP="006C2351">
      <w:pPr>
        <w:pStyle w:val="Bezodstpw"/>
        <w:ind w:firstLine="0"/>
      </w:pPr>
      <w:r w:rsidRPr="00B41205">
        <w:t xml:space="preserve"> </w:t>
      </w:r>
      <w:r w:rsidRPr="00B41205">
        <w:rPr>
          <w:noProof/>
          <w:lang w:val="pl-PL"/>
        </w:rPr>
        <w:drawing>
          <wp:inline distT="0" distB="0" distL="0" distR="0" wp14:anchorId="57EAE157" wp14:editId="68F0828C">
            <wp:extent cx="3038475" cy="2743200"/>
            <wp:effectExtent l="0" t="0" r="9525" b="0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Pr="00B41205">
        <w:t xml:space="preserve">    </w:t>
      </w:r>
      <w:r w:rsidRPr="00B41205">
        <w:rPr>
          <w:noProof/>
          <w:lang w:val="pl-PL"/>
        </w:rPr>
        <w:drawing>
          <wp:inline distT="0" distB="0" distL="0" distR="0" wp14:anchorId="64B4E9D0" wp14:editId="572BFA99">
            <wp:extent cx="2695575" cy="2743200"/>
            <wp:effectExtent l="0" t="0" r="9525" b="0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B41205">
        <w:t xml:space="preserve">  </w:t>
      </w:r>
    </w:p>
    <w:p w14:paraId="49B467BF" w14:textId="129AA1FC" w:rsidR="00C96798" w:rsidRDefault="00D34A22" w:rsidP="005C4F5D">
      <w:pPr>
        <w:pStyle w:val="Bezodstpw"/>
      </w:pPr>
      <w:r>
        <w:t>Zestawienie odpowiedzi dwóch grup interesariuszy wskazuje, że wśród zamawiających panuje większa zgoda co do kierunku ewentualnych zmian. 85% zamawiających wskazało na konieczność zwiększenia progu stosowania ustawy. Dużo większe zróżnicowanie widać w grupie wykonawców, gdzie głosy rozłożyły się prawie po połowie.</w:t>
      </w:r>
    </w:p>
    <w:p w14:paraId="00F3712F" w14:textId="77777777" w:rsidR="00826EFE" w:rsidRPr="00B41205" w:rsidRDefault="00AD52BA" w:rsidP="00AD52BA">
      <w:pPr>
        <w:pStyle w:val="Akapitzlist"/>
        <w:numPr>
          <w:ilvl w:val="0"/>
          <w:numId w:val="4"/>
        </w:numPr>
        <w:ind w:left="567" w:hanging="567"/>
        <w:rPr>
          <w:rStyle w:val="Odwoanieintensywne"/>
        </w:rPr>
      </w:pPr>
      <w:r w:rsidRPr="00B41205">
        <w:rPr>
          <w:rStyle w:val="Odwoanieintensywne"/>
        </w:rPr>
        <w:lastRenderedPageBreak/>
        <w:t xml:space="preserve">Czy uważasz za słuszne rozróżnienie progu stosowania </w:t>
      </w:r>
      <w:proofErr w:type="spellStart"/>
      <w:r w:rsidRPr="00B41205">
        <w:rPr>
          <w:rStyle w:val="Odwoanieintensywne"/>
        </w:rPr>
        <w:t>Pzp</w:t>
      </w:r>
      <w:proofErr w:type="spellEnd"/>
      <w:r w:rsidRPr="00B41205">
        <w:rPr>
          <w:rStyle w:val="Odwoanieintensywne"/>
        </w:rPr>
        <w:t xml:space="preserve"> dla robót budowlanych oraz usług i dostaw  (aktualnie wynoszącego 130.000,00 zł dla wszystkich rodzajów zamówień)</w:t>
      </w:r>
    </w:p>
    <w:p w14:paraId="1B837DE3" w14:textId="51EFDAD3" w:rsidR="00D34A22" w:rsidRPr="000C569C" w:rsidRDefault="00D34A22" w:rsidP="000C569C">
      <w:pPr>
        <w:pStyle w:val="Bezodstpw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 w:rsidRPr="000C569C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Kolejne pytanie </w:t>
      </w:r>
      <w:r w:rsidR="000C569C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pozostaje w temacie progu stosowania ustawy. Celem jego zadania było zbadanie nastrojów uczestników rynku względem pojawiającego się pomysłu rozróżnienia progu stosowania ustawy dla różnych kategorii zamówień. Rozwiązanie takie stosowane jest np. </w:t>
      </w:r>
      <w:r w:rsidR="00C96798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na Łotwie, czy w Chorwacji</w:t>
      </w:r>
      <w:r w:rsidR="000C569C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.</w:t>
      </w:r>
    </w:p>
    <w:p w14:paraId="1649BE11" w14:textId="6609A81E" w:rsidR="00950E2E" w:rsidRPr="00B41205" w:rsidRDefault="00950E2E" w:rsidP="00950E2E">
      <w:pPr>
        <w:jc w:val="center"/>
        <w:rPr>
          <w:rStyle w:val="Odwoanieintensywne"/>
        </w:rPr>
      </w:pPr>
      <w:r w:rsidRPr="00B41205">
        <w:rPr>
          <w:rFonts w:ascii="Lato" w:hAnsi="Lato"/>
          <w:noProof/>
          <w:lang w:val="pl-PL"/>
        </w:rPr>
        <w:drawing>
          <wp:inline distT="0" distB="0" distL="0" distR="0" wp14:anchorId="45D89749" wp14:editId="106758C6">
            <wp:extent cx="5867400" cy="3299460"/>
            <wp:effectExtent l="0" t="0" r="0" b="15240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5D6DBD2" w14:textId="3E2CA228" w:rsidR="006C2351" w:rsidRPr="00B41205" w:rsidRDefault="000C569C" w:rsidP="006C2351">
      <w:pPr>
        <w:pStyle w:val="Bezodstpw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2/3 ankietowanych dostrzega potrzebę rozróżnienia progów od których stosowana jest ustawa </w:t>
      </w:r>
      <w:proofErr w:type="spellStart"/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Pzp</w:t>
      </w:r>
      <w:proofErr w:type="spellEnd"/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 w zależności od rodzaju zamówienia. Tym razem wyniki w podziale na poszczególne grupy ankietowanych są bardzo zbliżone. </w:t>
      </w:r>
    </w:p>
    <w:p w14:paraId="3972BDF9" w14:textId="75772555" w:rsidR="005C4F5D" w:rsidRPr="00B41205" w:rsidRDefault="005C4F5D" w:rsidP="00C96798">
      <w:pPr>
        <w:pStyle w:val="Bezodstpw"/>
        <w:ind w:firstLine="0"/>
        <w:jc w:val="center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 w:rsidRPr="00B41205">
        <w:rPr>
          <w:noProof/>
          <w:lang w:val="pl-PL"/>
        </w:rPr>
        <w:lastRenderedPageBreak/>
        <w:drawing>
          <wp:inline distT="0" distB="0" distL="0" distR="0" wp14:anchorId="082B601A" wp14:editId="7FCE88EF">
            <wp:extent cx="2788920" cy="2308860"/>
            <wp:effectExtent l="0" t="0" r="11430" b="15240"/>
            <wp:docPr id="9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C96798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    </w:t>
      </w:r>
      <w:r w:rsidRPr="00B41205">
        <w:rPr>
          <w:noProof/>
          <w:lang w:val="pl-PL"/>
        </w:rPr>
        <w:drawing>
          <wp:inline distT="0" distB="0" distL="0" distR="0" wp14:anchorId="71342190" wp14:editId="29DE6F51">
            <wp:extent cx="2606040" cy="2308860"/>
            <wp:effectExtent l="0" t="0" r="3810" b="15240"/>
            <wp:docPr id="10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BA1F543" w14:textId="77777777" w:rsidR="00C96798" w:rsidRDefault="000C569C" w:rsidP="005C4F5D">
      <w:pPr>
        <w:pStyle w:val="Bezodstpw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Powyższe dane wskazują, że wśród zamawiających oraz wykonawców jest podobny odsetek poparcia dla zróżnicowania progów stosowania ustawy w zależności od rodzaju zamówienia. Minimalnie większy odsetek jest w tym aspekcie udziałem Zamawiających, co z racji na większą reprezentację Zamawiających w badaniu wpływa na ostateczny wynik.</w:t>
      </w:r>
    </w:p>
    <w:p w14:paraId="179763C4" w14:textId="77777777" w:rsidR="00C96798" w:rsidRDefault="00C96798">
      <w:pP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br w:type="page"/>
      </w:r>
    </w:p>
    <w:p w14:paraId="260D492D" w14:textId="573351EF" w:rsidR="00AD52BA" w:rsidRPr="00B41205" w:rsidRDefault="005C4F5D" w:rsidP="005C4F5D">
      <w:pPr>
        <w:pStyle w:val="Akapitzlist"/>
        <w:numPr>
          <w:ilvl w:val="0"/>
          <w:numId w:val="4"/>
        </w:numPr>
        <w:ind w:left="567" w:hanging="567"/>
        <w:rPr>
          <w:rStyle w:val="Odwoanieintensywne"/>
        </w:rPr>
      </w:pPr>
      <w:r w:rsidRPr="00B41205">
        <w:rPr>
          <w:rStyle w:val="Odwoanieintensywne"/>
        </w:rPr>
        <w:lastRenderedPageBreak/>
        <w:t>Czy Twoim zdaniem konieczne jest wprowadzenie automatycznej (np. corocznej) indeksacji progów stosowania Ustawy?</w:t>
      </w:r>
    </w:p>
    <w:p w14:paraId="7A19DAC1" w14:textId="6AAF2146" w:rsidR="000C569C" w:rsidRPr="000C569C" w:rsidRDefault="000C569C" w:rsidP="000C569C">
      <w:pPr>
        <w:pStyle w:val="Bezodstpw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Obecny kształt regulacji w zakresie określania progów stosowania ustawy zakłada sztywne ich określenie na mocy Prawa zamówień publicznych</w:t>
      </w:r>
      <w:r w:rsidR="00B41AC1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 (art. 2)</w:t>
      </w: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. Pytanie w zakresie automatycznej indeksacji </w:t>
      </w:r>
      <w:r w:rsidR="00B41AC1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dotyczy więc zmiany obecnego mechanizmu na bardziej elastyczny. </w:t>
      </w:r>
    </w:p>
    <w:p w14:paraId="3E589F3D" w14:textId="00AFFA16" w:rsidR="005C4F5D" w:rsidRPr="00B41205" w:rsidRDefault="005C4F5D" w:rsidP="005C4F5D">
      <w:pPr>
        <w:jc w:val="center"/>
        <w:rPr>
          <w:rStyle w:val="Odwoanieintensywne"/>
        </w:rPr>
      </w:pPr>
      <w:r w:rsidRPr="00B41205">
        <w:rPr>
          <w:rFonts w:ascii="Lato" w:hAnsi="Lato"/>
          <w:noProof/>
          <w:lang w:val="pl-PL"/>
        </w:rPr>
        <w:drawing>
          <wp:inline distT="0" distB="0" distL="0" distR="0" wp14:anchorId="7AA9EC2B" wp14:editId="311679FF">
            <wp:extent cx="5448300" cy="2727960"/>
            <wp:effectExtent l="0" t="0" r="0" b="15240"/>
            <wp:docPr id="11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C3780E7" w14:textId="7C4BE9AE" w:rsidR="005C4F5D" w:rsidRPr="00B41205" w:rsidRDefault="00B41AC1" w:rsidP="005C4F5D">
      <w:pPr>
        <w:pStyle w:val="Bezodstpw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Blisko 2/3 ankietowanych zgadza się na uelastycznienie mechanizmu i wprowadzenie automatycznej indeksacji progów stosowania ustawy. Podobnie głosy rozkładają się w podziale na Zamawiających i Wykonawców</w:t>
      </w:r>
    </w:p>
    <w:p w14:paraId="6C375031" w14:textId="69A5F0E8" w:rsidR="005C4F5D" w:rsidRPr="00B41205" w:rsidRDefault="005C4F5D" w:rsidP="00C96798">
      <w:pPr>
        <w:pStyle w:val="Bezodstpw"/>
        <w:ind w:firstLine="0"/>
        <w:jc w:val="center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 w:rsidRPr="00B41205">
        <w:rPr>
          <w:noProof/>
          <w:lang w:val="pl-PL"/>
        </w:rPr>
        <w:drawing>
          <wp:inline distT="0" distB="0" distL="0" distR="0" wp14:anchorId="6DB4DB64" wp14:editId="4F8B8424">
            <wp:extent cx="2293620" cy="2172850"/>
            <wp:effectExtent l="0" t="0" r="11430" b="18415"/>
            <wp:docPr id="12" name="Wykre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C96798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    </w:t>
      </w:r>
      <w:r w:rsidRPr="00B41205">
        <w:rPr>
          <w:noProof/>
          <w:lang w:val="pl-PL"/>
        </w:rPr>
        <w:drawing>
          <wp:inline distT="0" distB="0" distL="0" distR="0" wp14:anchorId="0F20F814" wp14:editId="20DF792A">
            <wp:extent cx="2308860" cy="2193061"/>
            <wp:effectExtent l="0" t="0" r="15240" b="17145"/>
            <wp:docPr id="13" name="Wykre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1D4DE4D" w14:textId="77458A80" w:rsidR="00C96798" w:rsidRDefault="00B41AC1" w:rsidP="005C4F5D">
      <w:pPr>
        <w:pStyle w:val="Bezodstpw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Powyższe dane wskazują, że zarówno Zamawiający, jak i Wykonawcy w podobnym wymiarze popierają wprowadzenie automatycznej indeksacji progów stosowania </w:t>
      </w:r>
      <w:proofErr w:type="spellStart"/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Pzp</w:t>
      </w:r>
      <w:proofErr w:type="spellEnd"/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. </w:t>
      </w:r>
    </w:p>
    <w:p w14:paraId="66BD0EC3" w14:textId="18026A53" w:rsidR="00AD52BA" w:rsidRPr="00B41205" w:rsidRDefault="005C4F5D" w:rsidP="005C4F5D">
      <w:pPr>
        <w:pStyle w:val="Akapitzlist"/>
        <w:numPr>
          <w:ilvl w:val="0"/>
          <w:numId w:val="4"/>
        </w:numPr>
        <w:ind w:left="567" w:hanging="567"/>
        <w:rPr>
          <w:rStyle w:val="Odwoanieintensywne"/>
        </w:rPr>
      </w:pPr>
      <w:r w:rsidRPr="00B41205">
        <w:rPr>
          <w:rStyle w:val="Odwoanieintensywne"/>
        </w:rPr>
        <w:lastRenderedPageBreak/>
        <w:t>Czy jesteś za wprowadzeniem procedury odwróconej poniżej progów unijnych?</w:t>
      </w:r>
    </w:p>
    <w:p w14:paraId="117CB111" w14:textId="3669AEC2" w:rsidR="00B41AC1" w:rsidRPr="00B41AC1" w:rsidRDefault="00B41AC1" w:rsidP="00B41AC1">
      <w:pPr>
        <w:pStyle w:val="Bezodstpw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Prawo zamówień publicznych, obowiązujące od 1 stycznia 2021 r., zawęziło stosowanie procedury odwróconej tylko do zamówień o wartości powyżej progów unijnych. Pytanie, które zostało zadane w ankiecie miało za zadanie weryfikację, czy takie rozwiązanie należy uwzględnić w postępowaniach, których wartość nie przekracza progów unijnych. </w:t>
      </w:r>
    </w:p>
    <w:p w14:paraId="52A11DA4" w14:textId="3F5A97C2" w:rsidR="005C4F5D" w:rsidRPr="00B41205" w:rsidRDefault="005C4F5D" w:rsidP="00C96798">
      <w:pPr>
        <w:pStyle w:val="Bezodstpw"/>
        <w:ind w:firstLine="0"/>
        <w:jc w:val="center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 w:rsidRPr="00B41205">
        <w:rPr>
          <w:noProof/>
          <w:lang w:val="pl-PL"/>
        </w:rPr>
        <w:drawing>
          <wp:inline distT="0" distB="0" distL="0" distR="0" wp14:anchorId="2341B171" wp14:editId="16ED9421">
            <wp:extent cx="5935980" cy="2484120"/>
            <wp:effectExtent l="0" t="0" r="7620" b="11430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FB5A135" w14:textId="1E97B65E" w:rsidR="005C4F5D" w:rsidRPr="00B41205" w:rsidRDefault="00B41AC1" w:rsidP="005C4F5D">
      <w:pPr>
        <w:pStyle w:val="Bezodstpw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80% badanych stoi na stanowisku, że należy wprowadzić procedurę odwróconą poniżej progów unijnych. </w:t>
      </w:r>
      <w:r w:rsidR="00177B1E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Podobny odsetek aprobaty dla takiego rozwiązania widać zarówno wśród Zamawiających, jak i Wykonawców.</w:t>
      </w:r>
    </w:p>
    <w:p w14:paraId="4ED1BB56" w14:textId="469219E4" w:rsidR="005C4F5D" w:rsidRPr="00B41205" w:rsidRDefault="005C4F5D" w:rsidP="00C96798">
      <w:pPr>
        <w:pStyle w:val="Bezodstpw"/>
        <w:ind w:firstLine="0"/>
        <w:jc w:val="center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 w:rsidRPr="00B41205">
        <w:rPr>
          <w:noProof/>
          <w:lang w:val="pl-PL"/>
        </w:rPr>
        <w:drawing>
          <wp:inline distT="0" distB="0" distL="0" distR="0" wp14:anchorId="46F6FB86" wp14:editId="4E43EDDF">
            <wp:extent cx="2049780" cy="1952150"/>
            <wp:effectExtent l="0" t="0" r="7620" b="10160"/>
            <wp:docPr id="15" name="Wykre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="00C96798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    </w:t>
      </w:r>
      <w:r w:rsidRPr="00B41205">
        <w:rPr>
          <w:noProof/>
          <w:lang w:val="pl-PL"/>
        </w:rPr>
        <w:drawing>
          <wp:inline distT="0" distB="0" distL="0" distR="0" wp14:anchorId="0D07E1CF" wp14:editId="400BE94A">
            <wp:extent cx="2057434" cy="1949450"/>
            <wp:effectExtent l="0" t="0" r="0" b="12700"/>
            <wp:docPr id="16" name="Wykre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5B7FFE91" w14:textId="316A3DA9" w:rsidR="00C96798" w:rsidRDefault="00177B1E" w:rsidP="00BB757E">
      <w:pPr>
        <w:pStyle w:val="Bezodstpw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Odpowiedzi uzyskane w ankiecie wskazują, że zarówno wśród Zamawiających, jak i Wykonawców wprowadzenie procedury odwróconej poniżej progów unijnych spotyka się w zdecydowanej większości z aprobatą. </w:t>
      </w:r>
    </w:p>
    <w:p w14:paraId="69BA4792" w14:textId="4786DB3F" w:rsidR="00AD52BA" w:rsidRPr="00B41205" w:rsidRDefault="00ED65ED" w:rsidP="00ED65ED">
      <w:pPr>
        <w:pStyle w:val="Akapitzlist"/>
        <w:numPr>
          <w:ilvl w:val="0"/>
          <w:numId w:val="4"/>
        </w:numPr>
        <w:ind w:left="567" w:hanging="567"/>
        <w:rPr>
          <w:rStyle w:val="Odwoanieintensywne"/>
        </w:rPr>
      </w:pPr>
      <w:r w:rsidRPr="00B41205">
        <w:rPr>
          <w:rStyle w:val="Odwoanieintensywne"/>
        </w:rPr>
        <w:lastRenderedPageBreak/>
        <w:t>Czy w uzasadnionych przypadkach dopuszczona powinna być możliwość rezygnacji z waloryzacji wynagrodzenia?</w:t>
      </w:r>
    </w:p>
    <w:p w14:paraId="6420B101" w14:textId="77777777" w:rsidR="007C7318" w:rsidRDefault="00177B1E" w:rsidP="00177B1E">
      <w:pPr>
        <w:pStyle w:val="Bezodstpw"/>
      </w:pPr>
      <w:r w:rsidRPr="00177B1E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Temat</w:t>
      </w: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 waloryzacji wynagrodzenia budzi wiele emocji i dyskusji. Jako Urząd włączaliśmy się aktywnie w dyskusję publikując m.in. opinię w zakresie </w:t>
      </w:r>
      <w:r w:rsidRPr="007C7318">
        <w:rPr>
          <w:rStyle w:val="Odwoanieintensywne"/>
          <w:b w:val="0"/>
          <w:bCs w:val="0"/>
          <w:i/>
          <w:iCs/>
          <w:smallCaps w:val="0"/>
          <w:color w:val="012F66"/>
          <w:spacing w:val="0"/>
          <w:sz w:val="22"/>
        </w:rPr>
        <w:t xml:space="preserve">dopuszczalności zmiany umowy w sprawie zamówienia publicznego na podstawie art. 455 ust. 1 pkt 1 i 4 oraz art. 455 ust. 2 ustawy </w:t>
      </w:r>
      <w:proofErr w:type="spellStart"/>
      <w:r w:rsidRPr="007C7318">
        <w:rPr>
          <w:rStyle w:val="Odwoanieintensywne"/>
          <w:b w:val="0"/>
          <w:bCs w:val="0"/>
          <w:i/>
          <w:iCs/>
          <w:smallCaps w:val="0"/>
          <w:color w:val="012F66"/>
          <w:spacing w:val="0"/>
          <w:sz w:val="22"/>
        </w:rPr>
        <w:t>Pzp</w:t>
      </w:r>
      <w:proofErr w:type="spellEnd"/>
      <w:r w:rsidR="007C7318">
        <w:rPr>
          <w:rStyle w:val="Odwoanieprzypisudolnego"/>
        </w:rPr>
        <w:footnoteReference w:id="1"/>
      </w: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, czy publikując </w:t>
      </w:r>
      <w:r w:rsidRPr="007C7318">
        <w:rPr>
          <w:rStyle w:val="Odwoanieintensywne"/>
          <w:b w:val="0"/>
          <w:bCs w:val="0"/>
          <w:i/>
          <w:iCs/>
          <w:smallCaps w:val="0"/>
          <w:color w:val="012F66"/>
          <w:spacing w:val="0"/>
          <w:sz w:val="22"/>
        </w:rPr>
        <w:t>przykładowe klauzule waloryzacyjne</w:t>
      </w:r>
      <w:r w:rsidR="007C7318" w:rsidRPr="007C7318">
        <w:rPr>
          <w:rStyle w:val="Odwoanieintensywne"/>
          <w:b w:val="0"/>
          <w:bCs w:val="0"/>
          <w:i/>
          <w:iCs/>
          <w:smallCaps w:val="0"/>
          <w:color w:val="012F66"/>
          <w:spacing w:val="0"/>
          <w:sz w:val="22"/>
        </w:rPr>
        <w:t xml:space="preserve"> dla sektora budownictwa</w:t>
      </w:r>
      <w:r w:rsidR="007C7318">
        <w:rPr>
          <w:rStyle w:val="Odwoanieprzypisudolnego"/>
        </w:rPr>
        <w:footnoteReference w:id="2"/>
      </w:r>
      <w:r w:rsidR="007C7318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, które powstały w ramach grupy roboczej, </w:t>
      </w:r>
      <w:r w:rsidR="007C7318">
        <w:t>w której obok przedstawicieli UZP i Prokuratorii Generalnej Rzeczypospolitej Polskiej znaleźli się reprezentanci branżowych zrzeszeń sektora budownictwa, a także zamawiający zarówno szczebla rządowego, jak i samorządowego.</w:t>
      </w:r>
    </w:p>
    <w:p w14:paraId="0151DBE3" w14:textId="5522B9AA" w:rsidR="00177B1E" w:rsidRPr="00177B1E" w:rsidRDefault="00177B1E" w:rsidP="00177B1E">
      <w:pPr>
        <w:pStyle w:val="Bezodstpw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Mając świadomość toczącej się wymiany poglądów w tym zakresie, </w:t>
      </w:r>
      <w:r w:rsidR="007C7318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w ankiecie postanowiliśmy zawrzeć 3 pytania odnoszące się bezpośrednio do kwestii waloryzacji wynagrodzenia. Pierwsze z nich dotyczy dopuszczenia możliwości rezygnacji z waloryzacji wynagrodzenia. </w:t>
      </w:r>
    </w:p>
    <w:p w14:paraId="1B95D96E" w14:textId="7C9528F9" w:rsidR="00ED65ED" w:rsidRPr="00B41205" w:rsidRDefault="00ED65ED" w:rsidP="00ED65ED">
      <w:pPr>
        <w:jc w:val="center"/>
        <w:rPr>
          <w:rStyle w:val="Odwoanieintensywne"/>
        </w:rPr>
      </w:pPr>
      <w:r w:rsidRPr="00B41205">
        <w:rPr>
          <w:rFonts w:ascii="Lato" w:hAnsi="Lato"/>
          <w:noProof/>
          <w:lang w:val="pl-PL"/>
        </w:rPr>
        <w:drawing>
          <wp:inline distT="0" distB="0" distL="0" distR="0" wp14:anchorId="7441D054" wp14:editId="50C81BFC">
            <wp:extent cx="5905500" cy="2743200"/>
            <wp:effectExtent l="0" t="0" r="0" b="0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1417865E" w14:textId="67C56D35" w:rsidR="00ED65ED" w:rsidRPr="00B41205" w:rsidRDefault="002312A8" w:rsidP="00ED65ED">
      <w:pPr>
        <w:pStyle w:val="Bezodstpw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Zbiorcze dane wskazują jednoznacznie na przewagę opcji „Tak” w odpowiedziach ankietowanych. Sprawa komplikuje się</w:t>
      </w:r>
      <w:r w:rsidR="00C96798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,</w:t>
      </w: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 gdy przyjrzymy się dany</w:t>
      </w:r>
      <w:r w:rsidR="00A175A2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m</w:t>
      </w: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 oddzielnie dla Zamawiających oraz Wykonawców. </w:t>
      </w:r>
    </w:p>
    <w:p w14:paraId="5454685B" w14:textId="751275B2" w:rsidR="00ED65ED" w:rsidRDefault="008D39CA" w:rsidP="008D39CA">
      <w:pPr>
        <w:pStyle w:val="Bezodstpw"/>
        <w:ind w:firstLine="0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noProof/>
          <w:lang w:val="pl-PL"/>
        </w:rPr>
        <w:lastRenderedPageBreak/>
        <w:drawing>
          <wp:inline distT="0" distB="0" distL="0" distR="0" wp14:anchorId="6909FFA2" wp14:editId="5531E575">
            <wp:extent cx="2895600" cy="2743200"/>
            <wp:effectExtent l="0" t="0" r="0" b="0"/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    </w:t>
      </w:r>
      <w:r>
        <w:rPr>
          <w:noProof/>
          <w:lang w:val="pl-PL"/>
        </w:rPr>
        <w:drawing>
          <wp:inline distT="0" distB="0" distL="0" distR="0" wp14:anchorId="5902D829" wp14:editId="5FCFFA10">
            <wp:extent cx="2800350" cy="2743200"/>
            <wp:effectExtent l="0" t="0" r="0" b="0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295BFD96" w14:textId="287052FC" w:rsidR="00C96798" w:rsidRDefault="002312A8" w:rsidP="008D39CA">
      <w:pPr>
        <w:pStyle w:val="Bezodstpw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91% Zamawiających opowiada się za dopuszczeniem możliwości rezygnacji z możliwości waloryzacji wynagrodzenia. Podobnego zdania jest 22% wykonawców. Tutaj odsetek przeciwników tego pomysłu wynosi 78%.</w:t>
      </w:r>
    </w:p>
    <w:p w14:paraId="782C4E0F" w14:textId="77777777" w:rsidR="00C96798" w:rsidRDefault="00C96798">
      <w:pP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br w:type="page"/>
      </w:r>
    </w:p>
    <w:p w14:paraId="22624B69" w14:textId="6118BF36" w:rsidR="00AD52BA" w:rsidRDefault="008D39CA" w:rsidP="008D39CA">
      <w:pPr>
        <w:pStyle w:val="Akapitzlist"/>
        <w:numPr>
          <w:ilvl w:val="0"/>
          <w:numId w:val="4"/>
        </w:numPr>
        <w:ind w:left="567" w:hanging="567"/>
        <w:rPr>
          <w:rStyle w:val="Odwoanieintensywne"/>
        </w:rPr>
      </w:pPr>
      <w:r w:rsidRPr="008D39CA">
        <w:rPr>
          <w:rStyle w:val="Odwoanieintensywne"/>
        </w:rPr>
        <w:lastRenderedPageBreak/>
        <w:t>Czy powinien być wprowadzony obowiązek automatycznej waloryzacji w umowach o zamówienia publiczne?</w:t>
      </w:r>
    </w:p>
    <w:p w14:paraId="12C9B01A" w14:textId="63626CF6" w:rsidR="002312A8" w:rsidRPr="002312A8" w:rsidRDefault="002312A8" w:rsidP="002312A8">
      <w:pPr>
        <w:pStyle w:val="Bezodstpw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W kolejnym pytaniu dotyczącym kwestii waloryzacyjnych zapytaliśmy o wprowadzenie obowiązku automatycznej waloryzacji w umowach o zamówienia publiczne. </w:t>
      </w:r>
    </w:p>
    <w:p w14:paraId="4EB7C4E3" w14:textId="78348B1C" w:rsidR="008D39CA" w:rsidRDefault="00B21DC6" w:rsidP="009323DC">
      <w:pPr>
        <w:pStyle w:val="Bezodstpw"/>
        <w:ind w:firstLine="0"/>
        <w:jc w:val="center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noProof/>
          <w:lang w:val="pl-PL"/>
        </w:rPr>
        <w:drawing>
          <wp:inline distT="0" distB="0" distL="0" distR="0" wp14:anchorId="046122A1" wp14:editId="12034429">
            <wp:extent cx="5859780" cy="2644140"/>
            <wp:effectExtent l="0" t="0" r="7620" b="3810"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D6C7534" w14:textId="2BC527DD" w:rsidR="008D39CA" w:rsidRDefault="002312A8" w:rsidP="008D39CA">
      <w:pPr>
        <w:pStyle w:val="Bezodstpw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Większość ankietowanych opowiedziała się przeciw temu pomysłowi, jednak podobnie jak to miało miejsce w poprzednim pytaniu, odpowiedzi te istotnie różnią się gdy spojrzymy na ich podział uwzględniający różne grupy interesariuszy</w:t>
      </w:r>
    </w:p>
    <w:p w14:paraId="43D19AEE" w14:textId="62C188E8" w:rsidR="00B21DC6" w:rsidRDefault="00B21DC6" w:rsidP="00C96798">
      <w:pPr>
        <w:pStyle w:val="Bezodstpw"/>
        <w:ind w:firstLine="0"/>
        <w:jc w:val="center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noProof/>
          <w:lang w:val="pl-PL"/>
        </w:rPr>
        <w:drawing>
          <wp:inline distT="0" distB="0" distL="0" distR="0" wp14:anchorId="17B65587" wp14:editId="1FD57D54">
            <wp:extent cx="1886204" cy="1805940"/>
            <wp:effectExtent l="0" t="0" r="0" b="3810"/>
            <wp:docPr id="19" name="Wykre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="00C96798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    </w:t>
      </w:r>
      <w:r>
        <w:rPr>
          <w:noProof/>
          <w:lang w:val="pl-PL"/>
        </w:rPr>
        <w:drawing>
          <wp:inline distT="0" distB="0" distL="0" distR="0" wp14:anchorId="102DCDA8" wp14:editId="1A2B8FD7">
            <wp:extent cx="1836420" cy="1805551"/>
            <wp:effectExtent l="0" t="0" r="11430" b="4445"/>
            <wp:docPr id="20" name="Wykre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29BD9650" w14:textId="43FE9FE6" w:rsidR="00C96798" w:rsidRDefault="002312A8" w:rsidP="00B21DC6">
      <w:pPr>
        <w:pStyle w:val="Bezodstpw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74% Zamawiających oraz 15% wykonawców opowiada się przeciw wprowadzeniu automatycznej waloryzacji. Odsetek Wykonawców popierających wprowadzenie automatycznej waloryzacji </w:t>
      </w:r>
      <w:r w:rsidR="0089022C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wynosi 85%. Pokazuje to, że Wykonawcy w swoich odpowiedziach na to pytanie są bardziej zdecydowani od Zamawiających. </w:t>
      </w:r>
    </w:p>
    <w:p w14:paraId="1A492089" w14:textId="77777777" w:rsidR="00C96798" w:rsidRDefault="00C96798">
      <w:pP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br w:type="page"/>
      </w:r>
    </w:p>
    <w:p w14:paraId="2FF3C2DA" w14:textId="1530C5EC" w:rsidR="00AD52BA" w:rsidRDefault="00B21DC6" w:rsidP="00B21DC6">
      <w:pPr>
        <w:pStyle w:val="Akapitzlist"/>
        <w:numPr>
          <w:ilvl w:val="0"/>
          <w:numId w:val="4"/>
        </w:numPr>
        <w:ind w:left="567" w:hanging="567"/>
        <w:rPr>
          <w:rStyle w:val="Odwoanieintensywne"/>
        </w:rPr>
      </w:pPr>
      <w:r w:rsidRPr="00B21DC6">
        <w:rPr>
          <w:rStyle w:val="Odwoanieintensywne"/>
        </w:rPr>
        <w:lastRenderedPageBreak/>
        <w:t>Czy długość okresu podleg</w:t>
      </w:r>
      <w:r>
        <w:rPr>
          <w:rStyle w:val="Odwoanieintensywne"/>
        </w:rPr>
        <w:t>ającego waloryzacji powinna być:</w:t>
      </w:r>
    </w:p>
    <w:p w14:paraId="41868D2A" w14:textId="7D5C748C" w:rsidR="0089022C" w:rsidRPr="0089022C" w:rsidRDefault="0089022C" w:rsidP="0089022C">
      <w:pPr>
        <w:pStyle w:val="Bezodstpw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Ostatnie pytanie dotyczące kwestii waloryzacyjnych poświęcone zostało okresowi podlegającemu waloryzacji. </w:t>
      </w:r>
    </w:p>
    <w:p w14:paraId="27690D3D" w14:textId="140FE9BC" w:rsidR="00B21DC6" w:rsidRDefault="00B21DC6" w:rsidP="00C96798">
      <w:pPr>
        <w:pStyle w:val="Bezodstpw"/>
        <w:ind w:firstLine="0"/>
        <w:jc w:val="center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noProof/>
          <w:lang w:val="pl-PL"/>
        </w:rPr>
        <w:drawing>
          <wp:inline distT="0" distB="0" distL="0" distR="0" wp14:anchorId="6645C610" wp14:editId="52DA9E58">
            <wp:extent cx="5783580" cy="2743200"/>
            <wp:effectExtent l="0" t="0" r="7620" b="0"/>
            <wp:docPr id="21" name="Wykres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0B25AB5B" w14:textId="637C27CC" w:rsidR="00B21DC6" w:rsidRDefault="0089022C" w:rsidP="00B21DC6">
      <w:pPr>
        <w:pStyle w:val="Bezodstpw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Zdaniem 76% ankietowanych okres podlegający waloryzacji powinien zostać wydłużony. Przeciwnego zdania jest 24% respondentów. </w:t>
      </w:r>
    </w:p>
    <w:p w14:paraId="7185C196" w14:textId="33584544" w:rsidR="00B21DC6" w:rsidRDefault="00B21DC6" w:rsidP="0089022C">
      <w:pPr>
        <w:pStyle w:val="Bezodstpw"/>
        <w:ind w:firstLine="0"/>
        <w:jc w:val="center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noProof/>
          <w:lang w:val="pl-PL"/>
        </w:rPr>
        <w:drawing>
          <wp:inline distT="0" distB="0" distL="0" distR="0" wp14:anchorId="4DFAB890" wp14:editId="261A72E9">
            <wp:extent cx="3040380" cy="2522220"/>
            <wp:effectExtent l="0" t="0" r="7620" b="11430"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 w:rsidR="0089022C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    </w:t>
      </w:r>
      <w:r>
        <w:rPr>
          <w:noProof/>
          <w:lang w:val="pl-PL"/>
        </w:rPr>
        <w:drawing>
          <wp:inline distT="0" distB="0" distL="0" distR="0" wp14:anchorId="6DCEF118" wp14:editId="0EE6EE31">
            <wp:extent cx="2743200" cy="2522220"/>
            <wp:effectExtent l="0" t="0" r="0" b="11430"/>
            <wp:docPr id="23" name="Wykres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603DAA9E" w14:textId="2CA8853E" w:rsidR="00C96798" w:rsidRDefault="0089022C" w:rsidP="00B21DC6">
      <w:pPr>
        <w:pStyle w:val="Bezodstpw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W przeciwieństwie do dwóch poprzednich pytań, w zakresie okresu podlegającemu waloryzacji, w obu grupach badanych widzimy większość popierającą jego wydłużenie. Bardziej zdecydowani w tym względzie są Zamawiający (78%), jednak nawet wśród Wyk</w:t>
      </w:r>
      <w:r w:rsidR="003B351C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o</w:t>
      </w: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nawców odsetek ten wyraźnie przekracza połowę (61%).</w:t>
      </w:r>
    </w:p>
    <w:p w14:paraId="3586F884" w14:textId="2799073E" w:rsidR="00AD52BA" w:rsidRDefault="009441C3" w:rsidP="009441C3">
      <w:pPr>
        <w:pStyle w:val="Akapitzlist"/>
        <w:numPr>
          <w:ilvl w:val="0"/>
          <w:numId w:val="4"/>
        </w:numPr>
        <w:ind w:left="567" w:hanging="567"/>
        <w:rPr>
          <w:rStyle w:val="Odwoanieintensywne"/>
        </w:rPr>
      </w:pPr>
      <w:r w:rsidRPr="009441C3">
        <w:rPr>
          <w:rStyle w:val="Odwoanieintensywne"/>
        </w:rPr>
        <w:lastRenderedPageBreak/>
        <w:t xml:space="preserve">Czy </w:t>
      </w:r>
      <w:proofErr w:type="spellStart"/>
      <w:r w:rsidRPr="009441C3">
        <w:rPr>
          <w:rStyle w:val="Odwoanieintensywne"/>
        </w:rPr>
        <w:t>Pzp</w:t>
      </w:r>
      <w:proofErr w:type="spellEnd"/>
      <w:r w:rsidRPr="009441C3">
        <w:rPr>
          <w:rStyle w:val="Odwoanieintensywne"/>
        </w:rPr>
        <w:t xml:space="preserve"> powinno przewidzieć fakultatywność rozpraw elektronicznych przed Krajową Izbą Odwoławczą / możliwość prowadzenia hybrydowych rozpraw?</w:t>
      </w:r>
    </w:p>
    <w:p w14:paraId="0724FC0B" w14:textId="5A2B803B" w:rsidR="0081129F" w:rsidRDefault="0089022C" w:rsidP="0089022C">
      <w:pPr>
        <w:pStyle w:val="Bezodstpw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Kolejna grupa trzech pytań dotyczy kwestii funkcjonowania Krajowej Izby Odwoławczej. </w:t>
      </w:r>
      <w:r w:rsidR="0081129F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Pierwsze z nich </w:t>
      </w:r>
      <w:r w:rsidR="003B351C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dotyczy dopuszczenia możliwości prowadzenia hybrydowych albo elektronicznych rozpraw, a więc stricte procesu elektronizacji KIO.  </w:t>
      </w:r>
    </w:p>
    <w:p w14:paraId="5CBDC6A1" w14:textId="79937CD5" w:rsidR="0089022C" w:rsidRPr="0089022C" w:rsidRDefault="0081129F" w:rsidP="0089022C">
      <w:pPr>
        <w:pStyle w:val="Bezodstpw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Przypomnijmy, że od stycznia 2024 roku </w:t>
      </w:r>
      <w:r w:rsidR="003B351C" w:rsidRPr="003B351C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w sprawach, które wpłynęły </w:t>
      </w:r>
      <w:r w:rsidR="003B351C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do KIO, na wszystkich rozprawach prowadzony jest</w:t>
      </w:r>
      <w:r w:rsidR="003B351C" w:rsidRPr="003B351C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 protokół elektroniczny</w:t>
      </w:r>
      <w:r w:rsidR="00630CCB">
        <w:rPr>
          <w:rStyle w:val="Odwoanieprzypisudolnego"/>
        </w:rPr>
        <w:footnoteReference w:id="3"/>
      </w:r>
      <w:r w:rsidR="003B351C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. To istotny krok, który został poczyniony na drodze do pełnej elektronizacji Izby, a który umożliwia w przyszłości prowadzenie hybrydowych lub w pełni elektronicznych rozpraw. </w:t>
      </w:r>
    </w:p>
    <w:p w14:paraId="3448E4DB" w14:textId="38CE4870" w:rsidR="009441C3" w:rsidRDefault="009441C3" w:rsidP="009441C3">
      <w:pPr>
        <w:pStyle w:val="Bezodstpw"/>
        <w:ind w:firstLine="0"/>
        <w:jc w:val="center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noProof/>
          <w:lang w:val="pl-PL"/>
        </w:rPr>
        <w:drawing>
          <wp:inline distT="0" distB="0" distL="0" distR="0" wp14:anchorId="0DFCD6FB" wp14:editId="042DF65F">
            <wp:extent cx="5836920" cy="2743200"/>
            <wp:effectExtent l="0" t="0" r="11430" b="0"/>
            <wp:docPr id="24" name="Wykres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34B7A985" w14:textId="65E87F45" w:rsidR="009441C3" w:rsidRDefault="003B351C" w:rsidP="009441C3">
      <w:pPr>
        <w:pStyle w:val="Bezodstpw"/>
        <w:tabs>
          <w:tab w:val="left" w:pos="993"/>
        </w:tabs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88% ankietowanych popiera wprowadzenie hybrydowych albo w pełni elektronicznych rozpraw przed KIO. </w:t>
      </w:r>
    </w:p>
    <w:p w14:paraId="52BD78AB" w14:textId="188034CC" w:rsidR="009441C3" w:rsidRDefault="009441C3" w:rsidP="009441C3">
      <w:pPr>
        <w:pStyle w:val="Bezodstpw"/>
        <w:tabs>
          <w:tab w:val="left" w:pos="993"/>
        </w:tabs>
        <w:ind w:firstLine="0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noProof/>
          <w:lang w:val="pl-PL"/>
        </w:rPr>
        <w:lastRenderedPageBreak/>
        <w:drawing>
          <wp:inline distT="0" distB="0" distL="0" distR="0" wp14:anchorId="6C64C672" wp14:editId="209665BA">
            <wp:extent cx="2827020" cy="2743200"/>
            <wp:effectExtent l="0" t="0" r="11430" b="0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    </w:t>
      </w:r>
      <w:r>
        <w:rPr>
          <w:noProof/>
          <w:lang w:val="pl-PL"/>
        </w:rPr>
        <w:drawing>
          <wp:inline distT="0" distB="0" distL="0" distR="0" wp14:anchorId="37CB56FF" wp14:editId="66777940">
            <wp:extent cx="2842260" cy="2743200"/>
            <wp:effectExtent l="0" t="0" r="15240" b="0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65D5C5AD" w14:textId="0C8A945A" w:rsidR="00630CCB" w:rsidRDefault="002A00D2" w:rsidP="00C65432">
      <w:pPr>
        <w:pStyle w:val="Bezodstpw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Co ciekawe, wśród obu grup badanych odsetek pozytywnych odpowiedzi jest identyczny, co jednoznacznie wskazuje na aprobatę idei </w:t>
      </w:r>
      <w:r w:rsidR="0038415C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hybrydowych oraz w pełni elektronicznych postępowań</w:t>
      </w: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 ze strony interesariuszy rynku</w:t>
      </w:r>
      <w:r w:rsidR="0038415C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.</w:t>
      </w:r>
    </w:p>
    <w:p w14:paraId="3B69EA95" w14:textId="77777777" w:rsidR="00630CCB" w:rsidRDefault="00630CCB">
      <w:pP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br w:type="page"/>
      </w:r>
    </w:p>
    <w:p w14:paraId="15F8B932" w14:textId="6C575B6B" w:rsidR="00AD52BA" w:rsidRDefault="00C65432" w:rsidP="00C65432">
      <w:pPr>
        <w:pStyle w:val="Akapitzlist"/>
        <w:numPr>
          <w:ilvl w:val="0"/>
          <w:numId w:val="4"/>
        </w:numPr>
        <w:ind w:left="567" w:hanging="567"/>
        <w:rPr>
          <w:rStyle w:val="Odwoanieintensywne"/>
        </w:rPr>
      </w:pPr>
      <w:r w:rsidRPr="00C65432">
        <w:rPr>
          <w:rStyle w:val="Odwoanieintensywne"/>
        </w:rPr>
        <w:lastRenderedPageBreak/>
        <w:t>Czy opłata za złożenie odwołania powinna być zwiększona?</w:t>
      </w:r>
    </w:p>
    <w:p w14:paraId="639A938C" w14:textId="3754C645" w:rsidR="0038415C" w:rsidRPr="0038415C" w:rsidRDefault="0038415C" w:rsidP="0038415C">
      <w:pPr>
        <w:pStyle w:val="Bezodstpw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W kolejnym pytaniu zawarta została kwestia opłaty za złożenie odwołania. Przypomnijmy, że w obecnym stanie prawnym, sprawa ta jest uregulowana w art. 574 ust. 2 </w:t>
      </w:r>
      <w:proofErr w:type="spellStart"/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Pzp</w:t>
      </w:r>
      <w:proofErr w:type="spellEnd"/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, który precyzuje wysokości wpisów od różnych rodzajów postępowań.  </w:t>
      </w:r>
    </w:p>
    <w:p w14:paraId="1B1C1AD0" w14:textId="665B9CC8" w:rsidR="00C65432" w:rsidRDefault="00C65432" w:rsidP="00C65432">
      <w:pPr>
        <w:pStyle w:val="Bezodstpw"/>
        <w:ind w:firstLine="0"/>
        <w:jc w:val="center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noProof/>
          <w:lang w:val="pl-PL"/>
        </w:rPr>
        <w:drawing>
          <wp:inline distT="0" distB="0" distL="0" distR="0" wp14:anchorId="7AFBCD6E" wp14:editId="538D4AB1">
            <wp:extent cx="5974080" cy="2743200"/>
            <wp:effectExtent l="0" t="0" r="7620" b="0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6E5B129A" w14:textId="56A6CBD0" w:rsidR="00C65432" w:rsidRDefault="0038415C" w:rsidP="00C65432">
      <w:pPr>
        <w:pStyle w:val="Bezodstpw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55% badanych opowiada się za pozostawieniem wysokości wpisów na obecnym poziomie. Zbiorczy wynik odpowiedzi jest pochodną jednoznacznego zdania w tej kwestii Wykonawców. </w:t>
      </w:r>
    </w:p>
    <w:p w14:paraId="5ACED54E" w14:textId="25BA37D4" w:rsidR="00C65432" w:rsidRDefault="00C65432" w:rsidP="00630CCB">
      <w:pPr>
        <w:pStyle w:val="Bezodstpw"/>
        <w:ind w:firstLine="0"/>
        <w:jc w:val="center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noProof/>
          <w:lang w:val="pl-PL"/>
        </w:rPr>
        <w:drawing>
          <wp:inline distT="0" distB="0" distL="0" distR="0" wp14:anchorId="58EAAFA0" wp14:editId="3B8982FA">
            <wp:extent cx="2240280" cy="2088094"/>
            <wp:effectExtent l="0" t="0" r="7620" b="7620"/>
            <wp:docPr id="29" name="Wykres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 w:rsidR="00630CCB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    </w:t>
      </w:r>
      <w:r>
        <w:rPr>
          <w:noProof/>
          <w:lang w:val="pl-PL"/>
        </w:rPr>
        <w:drawing>
          <wp:inline distT="0" distB="0" distL="0" distR="0" wp14:anchorId="52B400E8" wp14:editId="3B11C4D0">
            <wp:extent cx="2118360" cy="2091690"/>
            <wp:effectExtent l="0" t="0" r="15240" b="3810"/>
            <wp:docPr id="30" name="Wykres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557B21A7" w14:textId="1161FB56" w:rsidR="00630CCB" w:rsidRDefault="0038415C" w:rsidP="00C65432">
      <w:pPr>
        <w:pStyle w:val="Bezodstpw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O ile po stronie Zamawiających szala delikatnie przechyla się na stronę zwiększenia opłaty za wniesienie odwołania, o tyle w wypadku Wykonawców widzimy jednoznaczny sprzeciw względem ewentualnego podniesienia wysokości wpisów od odwołania.</w:t>
      </w:r>
    </w:p>
    <w:p w14:paraId="76F3DF1E" w14:textId="77777777" w:rsidR="00630CCB" w:rsidRDefault="00630CCB">
      <w:pP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br w:type="page"/>
      </w:r>
    </w:p>
    <w:p w14:paraId="0FC64754" w14:textId="3648637F" w:rsidR="00C65432" w:rsidRDefault="00C65432" w:rsidP="00C65432">
      <w:pPr>
        <w:pStyle w:val="Akapitzlist"/>
        <w:numPr>
          <w:ilvl w:val="0"/>
          <w:numId w:val="4"/>
        </w:numPr>
        <w:ind w:left="567" w:hanging="567"/>
        <w:rPr>
          <w:rStyle w:val="Odwoanieintensywne"/>
        </w:rPr>
      </w:pPr>
      <w:r w:rsidRPr="00C65432">
        <w:rPr>
          <w:rStyle w:val="Odwoanieintensywne"/>
        </w:rPr>
        <w:lastRenderedPageBreak/>
        <w:t xml:space="preserve">Czy </w:t>
      </w:r>
      <w:proofErr w:type="spellStart"/>
      <w:r w:rsidRPr="00C65432">
        <w:rPr>
          <w:rStyle w:val="Odwoanieintensywne"/>
        </w:rPr>
        <w:t>Pzp</w:t>
      </w:r>
      <w:proofErr w:type="spellEnd"/>
      <w:r w:rsidRPr="00C65432">
        <w:rPr>
          <w:rStyle w:val="Odwoanieintensywne"/>
        </w:rPr>
        <w:t xml:space="preserve"> powinno przewidywać obowiązek odpowiedzi na odwołanie?</w:t>
      </w:r>
    </w:p>
    <w:p w14:paraId="134CED74" w14:textId="2B6665A1" w:rsidR="0038415C" w:rsidRPr="0038415C" w:rsidRDefault="0038415C" w:rsidP="0038415C">
      <w:pPr>
        <w:pStyle w:val="Bezodstpw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Ostatnia kwestia związana z procesem odwoławczym, jaka została podniesiona w badaniu dotyczy wprowadzenia obowiązku odpowiedzi na odwołanie. Pojawienie się takiego pytania wynika wprost z głosów, jakie docierają do UZP w tej sprawie. Ideą tego pytania jest więc weryfikacja, czy wprowadzenie obowiązku udzielenia odpowiedzi na wniesione odwołanie znajduje zrozumienie i uzasadnienie wśród </w:t>
      </w:r>
      <w:r w:rsidR="00D54DC2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szerszego grona odbiorców. </w:t>
      </w:r>
    </w:p>
    <w:p w14:paraId="7BBABBF3" w14:textId="458B7D26" w:rsidR="00C65432" w:rsidRDefault="00C65432" w:rsidP="00C65432">
      <w:pPr>
        <w:pStyle w:val="Bezodstpw"/>
        <w:ind w:firstLine="0"/>
        <w:jc w:val="center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noProof/>
          <w:lang w:val="pl-PL"/>
        </w:rPr>
        <w:drawing>
          <wp:inline distT="0" distB="0" distL="0" distR="0" wp14:anchorId="79F062B2" wp14:editId="2E181DF0">
            <wp:extent cx="5935980" cy="2270760"/>
            <wp:effectExtent l="0" t="0" r="7620" b="15240"/>
            <wp:docPr id="31" name="Wykres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121DC067" w14:textId="35831250" w:rsidR="00C65432" w:rsidRDefault="006F4740" w:rsidP="00C65432">
      <w:pPr>
        <w:pStyle w:val="Bezodstpw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56% badanych opowiada się za wprowadzeniem obowiązku udzielenia odpowiedzi na odwołanie. Odsetek</w:t>
      </w:r>
      <w:r w:rsidR="009D3AB0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 badanych</w:t>
      </w: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 popierających takie rozwiązanie </w:t>
      </w:r>
      <w:r w:rsidR="009D3AB0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jest zróżnicowany kiedy spojrzymy na wyniki dla Zamawiających i Wykonawców</w:t>
      </w:r>
    </w:p>
    <w:p w14:paraId="7C397CB8" w14:textId="47550D8C" w:rsidR="00C65432" w:rsidRDefault="00C65432" w:rsidP="00630CCB">
      <w:pPr>
        <w:pStyle w:val="Bezodstpw"/>
        <w:ind w:firstLine="0"/>
        <w:jc w:val="center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noProof/>
          <w:lang w:val="pl-PL"/>
        </w:rPr>
        <w:drawing>
          <wp:inline distT="0" distB="0" distL="0" distR="0" wp14:anchorId="4BD1127E" wp14:editId="68409C83">
            <wp:extent cx="1920240" cy="1813528"/>
            <wp:effectExtent l="0" t="0" r="3810" b="15875"/>
            <wp:docPr id="32" name="Wykres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  <w:r w:rsidR="00630CCB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    </w:t>
      </w:r>
      <w:r>
        <w:rPr>
          <w:noProof/>
          <w:lang w:val="pl-PL"/>
        </w:rPr>
        <w:drawing>
          <wp:inline distT="0" distB="0" distL="0" distR="0" wp14:anchorId="7A6DFA46" wp14:editId="5CADB411">
            <wp:extent cx="1890054" cy="1820545"/>
            <wp:effectExtent l="0" t="0" r="15240" b="8255"/>
            <wp:docPr id="33" name="Wykres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4DE2347F" w14:textId="7A4855DE" w:rsidR="00630CCB" w:rsidRDefault="009D3AB0" w:rsidP="00C65432">
      <w:pPr>
        <w:pStyle w:val="Bezodstpw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Wykonawcy są bardziej zdecydowani w swoich odpowiedziach. 79% ankietowanych, którzy zadeklarowali się jako Wykonawcy opowiada się za wprowadzeniem obowiązku udzielenia odpowiedzi na odwołanie. Głosy Zamawiających rozłożyły się nieomal pół na pół z minimalną przewagą tych, którzy również popierają takie rozwiązanie.</w:t>
      </w:r>
    </w:p>
    <w:p w14:paraId="5A8AFD22" w14:textId="25F4ED16" w:rsidR="00AD52BA" w:rsidRDefault="00C65432" w:rsidP="00ED06BD">
      <w:pPr>
        <w:pStyle w:val="Akapitzlist"/>
        <w:numPr>
          <w:ilvl w:val="0"/>
          <w:numId w:val="4"/>
        </w:numPr>
        <w:ind w:left="567" w:hanging="567"/>
        <w:rPr>
          <w:rStyle w:val="Odwoanieintensywne"/>
        </w:rPr>
      </w:pPr>
      <w:r w:rsidRPr="00C65432">
        <w:rPr>
          <w:rStyle w:val="Odwoanieintensywne"/>
        </w:rPr>
        <w:lastRenderedPageBreak/>
        <w:t>Czy powinien być otwarty katalog klauzul abuzywnych?</w:t>
      </w:r>
    </w:p>
    <w:p w14:paraId="02CAA6FE" w14:textId="78C215AB" w:rsidR="009D3AB0" w:rsidRPr="009D3AB0" w:rsidRDefault="009D3AB0" w:rsidP="009D3AB0">
      <w:pPr>
        <w:pStyle w:val="Bezodstpw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t xml:space="preserve">Klauzule abuzywne w umowach o zamówienie publiczne to postanowienia umowne kształtujące obowiązki wykonawcy w sposób rażąco nieproporcjonalny do rodzaju zamówienia oraz </w:t>
      </w:r>
      <w:proofErr w:type="spellStart"/>
      <w:r>
        <w:t>ryzyk</w:t>
      </w:r>
      <w:proofErr w:type="spellEnd"/>
      <w:r>
        <w:t xml:space="preserve"> związanych z jego realizacją i z tego tytułu niedopuszczalne. Katalog niedozwolonych postanowień umownych sformułowany został w art. 433 nowej ustawy </w:t>
      </w:r>
      <w:proofErr w:type="spellStart"/>
      <w:r>
        <w:t>Pzp</w:t>
      </w:r>
      <w:proofErr w:type="spellEnd"/>
      <w:r>
        <w:t xml:space="preserve"> i ma on charakter zamknięty. Z uwagi na docierające do Urzędu postulaty zmiany takiego charakteru katalogu klauzul abuzywnych, postanowiliśmy w naszej ankiecie zapytać o stosunek do ewentualnego otwarcia katalogu. </w:t>
      </w:r>
    </w:p>
    <w:p w14:paraId="5C463A6E" w14:textId="4CB97BAE" w:rsidR="00C65432" w:rsidRDefault="00C65432" w:rsidP="00C65432">
      <w:pPr>
        <w:pStyle w:val="Bezodstpw"/>
        <w:ind w:firstLine="0"/>
        <w:jc w:val="center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noProof/>
          <w:lang w:val="pl-PL"/>
        </w:rPr>
        <w:drawing>
          <wp:inline distT="0" distB="0" distL="0" distR="0" wp14:anchorId="495535D3" wp14:editId="0761FD54">
            <wp:extent cx="5913120" cy="2255520"/>
            <wp:effectExtent l="0" t="0" r="11430" b="11430"/>
            <wp:docPr id="34" name="Wykres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40382D60" w14:textId="4AB5F5E4" w:rsidR="00C65432" w:rsidRDefault="009D3AB0" w:rsidP="00C65432">
      <w:pPr>
        <w:pStyle w:val="Bezodstpw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55% respondentów opowiada się za pozostawieniem katalogu klauzul abuzywnych w obecnym, zamkniętym, kształcie. O takim zbiorczym wyniku zadecydowała zdecydowana postawa Zamawiających, o czym świadczą poniższe zestawienia. </w:t>
      </w:r>
    </w:p>
    <w:p w14:paraId="2787AE6E" w14:textId="5C0A6362" w:rsidR="00C65432" w:rsidRDefault="00C65432" w:rsidP="00B66AA0">
      <w:pPr>
        <w:pStyle w:val="Bezodstpw"/>
        <w:ind w:firstLine="0"/>
        <w:jc w:val="center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noProof/>
          <w:lang w:val="pl-PL"/>
        </w:rPr>
        <w:lastRenderedPageBreak/>
        <w:drawing>
          <wp:inline distT="0" distB="0" distL="0" distR="0" wp14:anchorId="1D3C2724" wp14:editId="2A00C3D0">
            <wp:extent cx="2592000" cy="2559600"/>
            <wp:effectExtent l="0" t="0" r="18415" b="12700"/>
            <wp:docPr id="35" name="Wykres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  <w:r w:rsidR="00B66AA0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    </w:t>
      </w:r>
      <w:r>
        <w:rPr>
          <w:noProof/>
          <w:lang w:val="pl-PL"/>
        </w:rPr>
        <w:drawing>
          <wp:inline distT="0" distB="0" distL="0" distR="0" wp14:anchorId="2A3169D3" wp14:editId="554043C6">
            <wp:extent cx="2682000" cy="2584800"/>
            <wp:effectExtent l="0" t="0" r="1270" b="2540"/>
            <wp:docPr id="36" name="Wykres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3CB62E3E" w14:textId="40A76585" w:rsidR="00630CCB" w:rsidRDefault="009D3AB0" w:rsidP="00C65432">
      <w:pPr>
        <w:pStyle w:val="Bezodstpw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Wśród Zamawiających 60% respondentów nie popiera otwarcia katalogu klauzul abuzywnych. Z kolei 70% Wykonawców opowiada się za takim rozwiązaniem. Z racji na dużo większą liczbę odpowiedzi w ankiecie jakie sformułowane zostały przez Zamawiających, zbiorczy wynik </w:t>
      </w:r>
      <w:r w:rsidR="00B66AA0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przechylił się w stronie odpowiedzi „NIE”</w:t>
      </w:r>
    </w:p>
    <w:p w14:paraId="70EE770E" w14:textId="77777777" w:rsidR="00630CCB" w:rsidRDefault="00630CCB">
      <w:pP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br w:type="page"/>
      </w:r>
    </w:p>
    <w:p w14:paraId="046537CE" w14:textId="29AD83AF" w:rsidR="00C65432" w:rsidRDefault="00C65432" w:rsidP="00ED06BD">
      <w:pPr>
        <w:pStyle w:val="Akapitzlist"/>
        <w:numPr>
          <w:ilvl w:val="0"/>
          <w:numId w:val="4"/>
        </w:numPr>
        <w:ind w:left="567" w:hanging="567"/>
        <w:rPr>
          <w:rStyle w:val="Odwoanieintensywne"/>
        </w:rPr>
      </w:pPr>
      <w:r w:rsidRPr="00C65432">
        <w:rPr>
          <w:rStyle w:val="Odwoanieintensywne"/>
        </w:rPr>
        <w:lastRenderedPageBreak/>
        <w:t>Czy powinien być wskazany ustawowy maksymalny limit kar umownych?</w:t>
      </w:r>
    </w:p>
    <w:p w14:paraId="119E07E5" w14:textId="60032FA4" w:rsidR="00B66AA0" w:rsidRPr="00B66AA0" w:rsidRDefault="00B66AA0" w:rsidP="00B66AA0">
      <w:pPr>
        <w:pStyle w:val="Bezodstpw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Wprowadzenie maksymalnego limitu kar umownych to postulat pojawiający się w toku dyskusji, w szczególności ze strony Wykonawców, którzy upatrują w takim mechanizmie szansy na lepsze zaplanowanie budżetu przeznaczonego na daną dostawę, usługę, czy inwestycję. </w:t>
      </w:r>
    </w:p>
    <w:p w14:paraId="3EE4B7AF" w14:textId="0D36FD3F" w:rsidR="00ED06BD" w:rsidRDefault="00ED06BD" w:rsidP="00ED06BD">
      <w:pPr>
        <w:pStyle w:val="Bezodstpw"/>
        <w:ind w:firstLine="0"/>
        <w:jc w:val="center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noProof/>
          <w:lang w:val="pl-PL"/>
        </w:rPr>
        <w:drawing>
          <wp:inline distT="0" distB="0" distL="0" distR="0" wp14:anchorId="4C2747BE" wp14:editId="19AC2983">
            <wp:extent cx="5905500" cy="2743200"/>
            <wp:effectExtent l="0" t="0" r="0" b="0"/>
            <wp:docPr id="37" name="Wykres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00A1AAB8" w14:textId="726614CA" w:rsidR="00ED06BD" w:rsidRDefault="00B66AA0" w:rsidP="00ED06BD">
      <w:pPr>
        <w:pStyle w:val="Bezodstpw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Łącznie 73% respondentów w naszej ankiecie popiera postulat wprowadzenia maksymalnego limitu kar umownych.</w:t>
      </w:r>
    </w:p>
    <w:p w14:paraId="5129170D" w14:textId="6AF5A538" w:rsidR="00ED06BD" w:rsidRDefault="00ED06BD" w:rsidP="00630CCB">
      <w:pPr>
        <w:pStyle w:val="Bezodstpw"/>
        <w:ind w:firstLine="0"/>
        <w:jc w:val="center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noProof/>
          <w:lang w:val="pl-PL"/>
        </w:rPr>
        <w:drawing>
          <wp:inline distT="0" distB="0" distL="0" distR="0" wp14:anchorId="6A3AC212" wp14:editId="687B29CF">
            <wp:extent cx="2318890" cy="2202180"/>
            <wp:effectExtent l="0" t="0" r="5715" b="7620"/>
            <wp:docPr id="38" name="Wykres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  <w:r w:rsidR="00630CCB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    </w:t>
      </w:r>
      <w:r>
        <w:rPr>
          <w:noProof/>
          <w:lang w:val="pl-PL"/>
        </w:rPr>
        <w:drawing>
          <wp:inline distT="0" distB="0" distL="0" distR="0" wp14:anchorId="4F24FA38" wp14:editId="4828FCCA">
            <wp:extent cx="2340240" cy="2209800"/>
            <wp:effectExtent l="0" t="0" r="3175" b="0"/>
            <wp:docPr id="39" name="Wykres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6C4BE04B" w14:textId="616922C5" w:rsidR="00630CCB" w:rsidRDefault="00B66AA0" w:rsidP="00ED06BD">
      <w:pPr>
        <w:pStyle w:val="Bezodstpw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Zarówno Zamawiający, jak i Wykonawcy w większości opowiadają się za wprowadzenie</w:t>
      </w:r>
      <w:r w:rsidR="0030314C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m</w:t>
      </w: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 limitu. Bardziej jednoznaczni w swoich sądach są Wykonawcy, wśród których tylko 9% nie popiera limitu. Wśród Zamawiających odsetek niepopierających wynosi 30%, co powoduje, że także wśród Zamawiających jest szeroki konsensus co do maksymalnego limitu kar umownych. </w:t>
      </w:r>
    </w:p>
    <w:p w14:paraId="5FC773F4" w14:textId="6CFA0D4A" w:rsidR="00C65432" w:rsidRDefault="00C65432" w:rsidP="00ED06BD">
      <w:pPr>
        <w:pStyle w:val="Akapitzlist"/>
        <w:numPr>
          <w:ilvl w:val="0"/>
          <w:numId w:val="4"/>
        </w:numPr>
        <w:ind w:left="567" w:hanging="567"/>
        <w:rPr>
          <w:rStyle w:val="Odwoanieintensywne"/>
        </w:rPr>
      </w:pPr>
      <w:r w:rsidRPr="00C65432">
        <w:rPr>
          <w:rStyle w:val="Odwoanieintensywne"/>
        </w:rPr>
        <w:lastRenderedPageBreak/>
        <w:t>Czy powinien być wskazany ustawowy maksymalny limit odpowiedzialności odszkodowawczej?</w:t>
      </w:r>
    </w:p>
    <w:p w14:paraId="1216B037" w14:textId="46DA315D" w:rsidR="00B66AA0" w:rsidRPr="00B66AA0" w:rsidRDefault="00B66AA0" w:rsidP="00B66AA0">
      <w:pPr>
        <w:pStyle w:val="Bezodstpw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Ostatnie zamknięte pytanie w ankiecie dotyczyło wprowadzenia maksymalnego limitu odpowiedzialności odszkodowawczej. </w:t>
      </w:r>
    </w:p>
    <w:p w14:paraId="455C74C0" w14:textId="7F4195A4" w:rsidR="00ED06BD" w:rsidRDefault="00ED06BD" w:rsidP="00ED06BD">
      <w:pPr>
        <w:pStyle w:val="Bezodstpw"/>
        <w:ind w:firstLine="0"/>
        <w:jc w:val="center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noProof/>
          <w:lang w:val="pl-PL"/>
        </w:rPr>
        <w:drawing>
          <wp:inline distT="0" distB="0" distL="0" distR="0" wp14:anchorId="46294490" wp14:editId="5DCD8254">
            <wp:extent cx="5958840" cy="2377440"/>
            <wp:effectExtent l="0" t="0" r="3810" b="3810"/>
            <wp:docPr id="40" name="Wykres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4FDCBC3A" w14:textId="0BA1A973" w:rsidR="00ED06BD" w:rsidRDefault="00B66AA0" w:rsidP="00ED06BD">
      <w:pPr>
        <w:pStyle w:val="Bezodstpw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Podobnie jak w wypadku limitu kar umownych, </w:t>
      </w:r>
      <w:r w:rsidR="001908AB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większość</w:t>
      </w: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 ankietowanych popiera postulat wprowadzenia limitu. Skala poparcia dla wprowadzenia maksymalnego limitu odpowiedzialności odszkodowawczej różni się, gdy spojrzymy na </w:t>
      </w:r>
      <w:r w:rsidR="001908AB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oddzielone wyniki wśród Zamawiających oraz Wykonawców. </w:t>
      </w:r>
    </w:p>
    <w:p w14:paraId="7FE20217" w14:textId="1F81CBE3" w:rsidR="00ED06BD" w:rsidRDefault="00ED06BD" w:rsidP="00630CCB">
      <w:pPr>
        <w:pStyle w:val="Bezodstpw"/>
        <w:ind w:firstLine="0"/>
        <w:jc w:val="center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noProof/>
          <w:lang w:val="pl-PL"/>
        </w:rPr>
        <w:drawing>
          <wp:inline distT="0" distB="0" distL="0" distR="0" wp14:anchorId="07405EFA" wp14:editId="1E238F6C">
            <wp:extent cx="2125980" cy="2051445"/>
            <wp:effectExtent l="0" t="0" r="7620" b="6350"/>
            <wp:docPr id="41" name="Wykres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  <w:r w:rsidR="00630CCB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    </w:t>
      </w:r>
      <w:r>
        <w:rPr>
          <w:noProof/>
          <w:lang w:val="pl-PL"/>
        </w:rPr>
        <w:drawing>
          <wp:inline distT="0" distB="0" distL="0" distR="0" wp14:anchorId="4339B315" wp14:editId="32211BBB">
            <wp:extent cx="2198913" cy="2072005"/>
            <wp:effectExtent l="0" t="0" r="11430" b="4445"/>
            <wp:docPr id="42" name="Wykres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4BB3F3E8" w14:textId="24ABEF9D" w:rsidR="00630CCB" w:rsidRDefault="001908AB" w:rsidP="00ED06BD">
      <w:pPr>
        <w:pStyle w:val="Bezodstpw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85% Wykonawców oraz 57% Zamawiających popiera wprowadzenie maksymalnego limitu odpowiedzialności odszkodowawczej. Tak jak w wypadku limitu kar umownych większą jednolitoś</w:t>
      </w:r>
      <w:r w:rsidR="0030314C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ć</w:t>
      </w: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 poglądów w niniejszej sprawie wykazują Wykonawcy. </w:t>
      </w:r>
    </w:p>
    <w:p w14:paraId="73142ABB" w14:textId="77777777" w:rsidR="00630CCB" w:rsidRDefault="00630CCB">
      <w:pP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br w:type="page"/>
      </w:r>
    </w:p>
    <w:p w14:paraId="21787CC7" w14:textId="4C0C8DDB" w:rsidR="00C65432" w:rsidRDefault="00D827F7" w:rsidP="00D827F7">
      <w:pPr>
        <w:pStyle w:val="Akapitzlist"/>
        <w:numPr>
          <w:ilvl w:val="0"/>
          <w:numId w:val="4"/>
        </w:numPr>
        <w:ind w:left="567" w:hanging="567"/>
        <w:rPr>
          <w:rStyle w:val="Odwoanieintensywne"/>
        </w:rPr>
      </w:pPr>
      <w:r>
        <w:rPr>
          <w:rStyle w:val="Odwoanieintensywne"/>
        </w:rPr>
        <w:lastRenderedPageBreak/>
        <w:t xml:space="preserve"> </w:t>
      </w:r>
      <w:r w:rsidR="00C65432" w:rsidRPr="00C65432">
        <w:rPr>
          <w:rStyle w:val="Odwoanieintensywne"/>
        </w:rPr>
        <w:t xml:space="preserve">Inne propozycje zmian w </w:t>
      </w:r>
      <w:proofErr w:type="spellStart"/>
      <w:r w:rsidR="00C65432" w:rsidRPr="00C65432">
        <w:rPr>
          <w:rStyle w:val="Odwoanieintensywne"/>
        </w:rPr>
        <w:t>Pzp</w:t>
      </w:r>
      <w:proofErr w:type="spellEnd"/>
    </w:p>
    <w:p w14:paraId="7363E115" w14:textId="719E5D77" w:rsidR="00B33ABD" w:rsidRDefault="00B33ABD" w:rsidP="00B33ABD">
      <w:pPr>
        <w:pStyle w:val="Bezodstpw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Ostatnie pytanie jakie zostało zadane w ankiecie realizowanej w ramach przeglądu </w:t>
      </w:r>
      <w:proofErr w:type="spellStart"/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Pzp</w:t>
      </w:r>
      <w:proofErr w:type="spellEnd"/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, pozwoliło respondentom na sformułowanie własnych, niezależnych od powyższych pytań postulatów ewentualnych zmian w </w:t>
      </w:r>
      <w:proofErr w:type="spellStart"/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Pzp</w:t>
      </w:r>
      <w:proofErr w:type="spellEnd"/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. </w:t>
      </w:r>
    </w:p>
    <w:p w14:paraId="63749AC2" w14:textId="679EE795" w:rsidR="00B33ABD" w:rsidRDefault="00B33ABD" w:rsidP="00B33ABD">
      <w:pPr>
        <w:pStyle w:val="Bezodstpw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Ideą tego pytania było </w:t>
      </w:r>
      <w:r w:rsidR="00D34A22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poznanie możliwie jak najszerszego punktu widzenia interesariuszy rynku i poszukanie innowacyjnych pomysłów, które mogłyby wpłynąć pozytywnie na obszar zamówień publicznych. </w:t>
      </w:r>
    </w:p>
    <w:p w14:paraId="56273571" w14:textId="497C803B" w:rsidR="00D34A22" w:rsidRDefault="00D34A22" w:rsidP="00B33ABD">
      <w:pPr>
        <w:pStyle w:val="Bezodstpw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W ramach tego pytania udzielonych zostało łącznie 34</w:t>
      </w:r>
      <w:r w:rsidR="006B7B3D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5</w:t>
      </w: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 odpowiedzi.</w:t>
      </w:r>
      <w:r w:rsidR="006165A8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 Poniżej prezentujemy zestawienie obszarów, w ramach których zgłaszane były </w:t>
      </w:r>
      <w:r w:rsidR="0030314C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powtarzające się </w:t>
      </w:r>
      <w:r w:rsidR="006165A8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postulaty z przykładowymi propozycjami zmian:</w:t>
      </w:r>
    </w:p>
    <w:p w14:paraId="09D7FD5F" w14:textId="64D91178" w:rsidR="00D34A22" w:rsidRPr="006B7B3D" w:rsidRDefault="006165A8" w:rsidP="00D34A22">
      <w:pPr>
        <w:pStyle w:val="Bezodstpw"/>
        <w:numPr>
          <w:ilvl w:val="0"/>
          <w:numId w:val="5"/>
        </w:numPr>
        <w:rPr>
          <w:rStyle w:val="Odwoanieintensywne"/>
          <w:smallCaps w:val="0"/>
          <w:color w:val="012F66"/>
          <w:spacing w:val="0"/>
          <w:sz w:val="22"/>
        </w:rPr>
      </w:pPr>
      <w:r w:rsidRPr="006B7B3D">
        <w:rPr>
          <w:rStyle w:val="Odwoanieintensywne"/>
          <w:smallCaps w:val="0"/>
          <w:color w:val="012F66"/>
          <w:spacing w:val="0"/>
          <w:sz w:val="22"/>
        </w:rPr>
        <w:t>Optymalizacja</w:t>
      </w:r>
      <w:r w:rsidR="00990138" w:rsidRPr="006B7B3D">
        <w:rPr>
          <w:rStyle w:val="Odwoanieintensywne"/>
          <w:smallCaps w:val="0"/>
          <w:color w:val="012F66"/>
          <w:spacing w:val="0"/>
          <w:sz w:val="22"/>
        </w:rPr>
        <w:t xml:space="preserve">, </w:t>
      </w:r>
      <w:r w:rsidRPr="006B7B3D">
        <w:rPr>
          <w:rStyle w:val="Odwoanieintensywne"/>
          <w:smallCaps w:val="0"/>
          <w:color w:val="012F66"/>
          <w:spacing w:val="0"/>
          <w:sz w:val="22"/>
        </w:rPr>
        <w:t>dalsze uproszczenia przepisó</w:t>
      </w:r>
      <w:r w:rsidR="00990138" w:rsidRPr="006B7B3D">
        <w:rPr>
          <w:rStyle w:val="Odwoanieintensywne"/>
          <w:smallCaps w:val="0"/>
          <w:color w:val="012F66"/>
          <w:spacing w:val="0"/>
          <w:sz w:val="22"/>
        </w:rPr>
        <w:t>w, lub doprecyzowanie treści</w:t>
      </w:r>
      <w:r w:rsidRPr="006B7B3D">
        <w:rPr>
          <w:rStyle w:val="Odwoanieintensywne"/>
          <w:smallCaps w:val="0"/>
          <w:color w:val="012F66"/>
          <w:spacing w:val="0"/>
          <w:sz w:val="22"/>
        </w:rPr>
        <w:t>:</w:t>
      </w:r>
    </w:p>
    <w:p w14:paraId="35E1FDC7" w14:textId="67B839D3" w:rsidR="006165A8" w:rsidRDefault="006165A8" w:rsidP="006165A8">
      <w:pPr>
        <w:pStyle w:val="Bezodstpw"/>
        <w:numPr>
          <w:ilvl w:val="1"/>
          <w:numId w:val="5"/>
        </w:numP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Brak obowiązku badania rażąco niskiej ceny</w:t>
      </w:r>
      <w:r w:rsidR="00630CCB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;</w:t>
      </w:r>
    </w:p>
    <w:p w14:paraId="343B02CC" w14:textId="218F3117" w:rsidR="006165A8" w:rsidRDefault="006165A8" w:rsidP="006165A8">
      <w:pPr>
        <w:pStyle w:val="Bezodstpw"/>
        <w:numPr>
          <w:ilvl w:val="1"/>
          <w:numId w:val="5"/>
        </w:numP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Uproszczenie i optymalizacja sposobu podpisywania dokumentów</w:t>
      </w:r>
      <w:r w:rsidR="00630CCB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;</w:t>
      </w:r>
    </w:p>
    <w:p w14:paraId="76C9CE1F" w14:textId="0D5B063E" w:rsidR="006165A8" w:rsidRDefault="006165A8" w:rsidP="006165A8">
      <w:pPr>
        <w:pStyle w:val="Bezodstpw"/>
        <w:numPr>
          <w:ilvl w:val="1"/>
          <w:numId w:val="5"/>
        </w:numP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Uproszczenie protokołów z postępowania oraz ogłoszenia o zamówieniu, by nie dublować informacji z dokumentów zamówienia</w:t>
      </w:r>
      <w:r w:rsidR="00630CCB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;</w:t>
      </w:r>
    </w:p>
    <w:p w14:paraId="08CD98D1" w14:textId="780B258D" w:rsidR="00990138" w:rsidRDefault="00990138" w:rsidP="006165A8">
      <w:pPr>
        <w:pStyle w:val="Bezodstpw"/>
        <w:numPr>
          <w:ilvl w:val="1"/>
          <w:numId w:val="5"/>
        </w:numP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 w:rsidRPr="00990138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Rezygnacja z art.</w:t>
      </w:r>
      <w:r w:rsidR="0030314C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 </w:t>
      </w:r>
      <w:r w:rsidRPr="00990138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95 ustawy </w:t>
      </w:r>
      <w:proofErr w:type="spellStart"/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Pzp</w:t>
      </w:r>
      <w:proofErr w:type="spellEnd"/>
      <w:r w:rsidRPr="00990138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 lub wprowadzenia sztywnych jednoznacznych zapisów</w:t>
      </w:r>
      <w:r w:rsidR="00630CCB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;</w:t>
      </w:r>
    </w:p>
    <w:p w14:paraId="21AE7536" w14:textId="5EAC98CB" w:rsidR="005F0468" w:rsidRPr="005F0468" w:rsidRDefault="005F0468" w:rsidP="005F0468">
      <w:pPr>
        <w:pStyle w:val="Bezodstpw"/>
        <w:numPr>
          <w:ilvl w:val="1"/>
          <w:numId w:val="5"/>
        </w:numP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U</w:t>
      </w:r>
      <w:r w:rsidRPr="005F0468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elastycznienie wariantu nr 2 trybu podstawowego </w:t>
      </w: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– np. poprzez </w:t>
      </w:r>
      <w:r w:rsidRPr="005F0468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większe możliwości zmian warunków zamówienia</w:t>
      </w:r>
      <w:r w:rsidR="00630CCB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;</w:t>
      </w:r>
    </w:p>
    <w:p w14:paraId="043DB0B7" w14:textId="1122262A" w:rsidR="005F0468" w:rsidRDefault="005F0468" w:rsidP="005F0468">
      <w:pPr>
        <w:pStyle w:val="Bezodstpw"/>
        <w:numPr>
          <w:ilvl w:val="1"/>
          <w:numId w:val="5"/>
        </w:numP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U</w:t>
      </w:r>
      <w:r w:rsidRPr="005F0468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elastycznienie zamówień na usługi społeczne</w:t>
      </w: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, np. </w:t>
      </w:r>
      <w:r w:rsidRPr="005F0468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w zakresie możliwości wyłączenia stosowania art. 241 ust. 3</w:t>
      </w:r>
      <w:r w:rsidR="00630CCB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.</w:t>
      </w:r>
    </w:p>
    <w:p w14:paraId="2DECD23D" w14:textId="33557BFE" w:rsidR="006165A8" w:rsidRPr="006B7B3D" w:rsidRDefault="006165A8" w:rsidP="006165A8">
      <w:pPr>
        <w:pStyle w:val="Bezodstpw"/>
        <w:numPr>
          <w:ilvl w:val="0"/>
          <w:numId w:val="5"/>
        </w:numPr>
        <w:rPr>
          <w:rStyle w:val="Odwoanieintensywne"/>
          <w:smallCaps w:val="0"/>
          <w:color w:val="012F66"/>
          <w:spacing w:val="0"/>
          <w:sz w:val="22"/>
        </w:rPr>
      </w:pPr>
      <w:r w:rsidRPr="006B7B3D">
        <w:rPr>
          <w:rStyle w:val="Odwoanieintensywne"/>
          <w:smallCaps w:val="0"/>
          <w:color w:val="012F66"/>
          <w:spacing w:val="0"/>
          <w:sz w:val="22"/>
        </w:rPr>
        <w:t xml:space="preserve">Regulacje dotyczące </w:t>
      </w:r>
      <w:r w:rsidR="0047414F">
        <w:rPr>
          <w:rStyle w:val="Odwoanieintensywne"/>
          <w:smallCaps w:val="0"/>
          <w:color w:val="012F66"/>
          <w:spacing w:val="0"/>
          <w:sz w:val="22"/>
        </w:rPr>
        <w:t xml:space="preserve">prowadzenia </w:t>
      </w:r>
      <w:r w:rsidRPr="006B7B3D">
        <w:rPr>
          <w:rStyle w:val="Odwoanieintensywne"/>
          <w:smallCaps w:val="0"/>
          <w:color w:val="012F66"/>
          <w:spacing w:val="0"/>
          <w:sz w:val="22"/>
        </w:rPr>
        <w:t>postępowań</w:t>
      </w:r>
    </w:p>
    <w:p w14:paraId="629C0FAF" w14:textId="661EE0F6" w:rsidR="006165A8" w:rsidRDefault="006165A8" w:rsidP="006165A8">
      <w:pPr>
        <w:pStyle w:val="Bezodstpw"/>
        <w:numPr>
          <w:ilvl w:val="1"/>
          <w:numId w:val="5"/>
        </w:numP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Ujednolicenie wadium w p</w:t>
      </w:r>
      <w:r w:rsidR="00990138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rocedurze krajowej do wysokości wadium w postępowaniach o wartości powyżej progów unijnych (3%)</w:t>
      </w:r>
      <w:r w:rsidR="00630CCB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;</w:t>
      </w:r>
    </w:p>
    <w:p w14:paraId="699198E5" w14:textId="49A9370D" w:rsidR="00990138" w:rsidRDefault="00990138" w:rsidP="006165A8">
      <w:pPr>
        <w:pStyle w:val="Bezodstpw"/>
        <w:numPr>
          <w:ilvl w:val="1"/>
          <w:numId w:val="5"/>
        </w:numP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Wprowadzenie w błąd Zamawiającego jako obligatoryjna przesłanka wykluczenia Wykonawcy</w:t>
      </w:r>
      <w:r w:rsidR="00630CCB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;</w:t>
      </w:r>
    </w:p>
    <w:p w14:paraId="369863B5" w14:textId="7BB1C6F5" w:rsidR="00520528" w:rsidRDefault="00520528" w:rsidP="006165A8">
      <w:pPr>
        <w:pStyle w:val="Bezodstpw"/>
        <w:numPr>
          <w:ilvl w:val="1"/>
          <w:numId w:val="5"/>
        </w:numP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 w:rsidRPr="00520528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lastRenderedPageBreak/>
        <w:t>Przewidzenie nowej podstawy wykluczenia dopuszczającej możliwość wykluczenia Wykonawców, którzy swoim zachowaniem utrudniają Zamawiającemu prowadzenie postępowania</w:t>
      </w:r>
      <w:r w:rsidR="00630CCB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;</w:t>
      </w:r>
    </w:p>
    <w:p w14:paraId="7B6DE4CE" w14:textId="76FC3DF5" w:rsidR="00990138" w:rsidRDefault="00990138" w:rsidP="006165A8">
      <w:pPr>
        <w:pStyle w:val="Bezodstpw"/>
        <w:numPr>
          <w:ilvl w:val="1"/>
          <w:numId w:val="5"/>
        </w:numP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 w:rsidRPr="00990138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Wprowadzenie możliwości poinformowania o odrzuceniu oferty już w chwili uznania jej za odrzuconą a nie dopiero przy zawiadomieniu o wyborze najk</w:t>
      </w: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orzystniejszej </w:t>
      </w:r>
      <w:r w:rsidRPr="00990138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oferty</w:t>
      </w:r>
      <w:r w:rsidR="00630CCB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;</w:t>
      </w:r>
    </w:p>
    <w:p w14:paraId="4274CBF5" w14:textId="45E1DF9B" w:rsidR="00990138" w:rsidRDefault="00990138" w:rsidP="006165A8">
      <w:pPr>
        <w:pStyle w:val="Bezodstpw"/>
        <w:numPr>
          <w:ilvl w:val="1"/>
          <w:numId w:val="5"/>
        </w:numP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Wprowadzenie katalogu podmiotów wykluczonych</w:t>
      </w:r>
      <w:r w:rsidR="00630CCB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;</w:t>
      </w:r>
    </w:p>
    <w:p w14:paraId="00B41130" w14:textId="550F483B" w:rsidR="00B44451" w:rsidRDefault="00B44451" w:rsidP="006165A8">
      <w:pPr>
        <w:pStyle w:val="Bezodstpw"/>
        <w:numPr>
          <w:ilvl w:val="1"/>
          <w:numId w:val="5"/>
        </w:numP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 w:rsidRPr="00B44451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Wprowadzenie obowiązku uzasadnienia przez Zamawiającego dlaczego odstąpił od negocjacji w trybie </w:t>
      </w: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z art. </w:t>
      </w:r>
      <w:r w:rsidRPr="00B44451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275 pkt 2</w:t>
      </w: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 </w:t>
      </w:r>
      <w:proofErr w:type="spellStart"/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Pzp</w:t>
      </w:r>
      <w:proofErr w:type="spellEnd"/>
      <w:r w:rsidR="00630CCB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;</w:t>
      </w:r>
    </w:p>
    <w:p w14:paraId="494B410A" w14:textId="4652ECE7" w:rsidR="00943811" w:rsidRDefault="00943811" w:rsidP="006165A8">
      <w:pPr>
        <w:pStyle w:val="Bezodstpw"/>
        <w:numPr>
          <w:ilvl w:val="1"/>
          <w:numId w:val="5"/>
        </w:numP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 w:rsidRPr="00943811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Zniesienie konieczności przeprowadzania negocjacji przed złożeniem oferty dodatkowej. Jeżeli Zamawiający przewidział tryb z art. 275 pkt 2, to wystarczy zaproszenie do złożenia oferty dodatkowej</w:t>
      </w:r>
      <w:r w:rsidR="00630CCB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;</w:t>
      </w:r>
    </w:p>
    <w:p w14:paraId="350A3EF8" w14:textId="76574237" w:rsidR="00B655B8" w:rsidRDefault="00B655B8" w:rsidP="006165A8">
      <w:pPr>
        <w:pStyle w:val="Bezodstpw"/>
        <w:numPr>
          <w:ilvl w:val="1"/>
          <w:numId w:val="5"/>
        </w:numP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Likwidacja informacji do Prezesa o złożonych ofertach</w:t>
      </w:r>
      <w:r w:rsidR="00630CCB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;</w:t>
      </w:r>
    </w:p>
    <w:p w14:paraId="23758BFC" w14:textId="0C943231" w:rsidR="00943811" w:rsidRDefault="00943811" w:rsidP="006165A8">
      <w:pPr>
        <w:pStyle w:val="Bezodstpw"/>
        <w:numPr>
          <w:ilvl w:val="1"/>
          <w:numId w:val="5"/>
        </w:numP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Brak wzywania do przedłużenia terminu związania ofertą względem wykonawców, których oferty podlegają odrzuceniu</w:t>
      </w:r>
      <w:r w:rsidR="00630CCB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;</w:t>
      </w:r>
    </w:p>
    <w:p w14:paraId="197D8A56" w14:textId="4A216630" w:rsidR="006B7B3D" w:rsidRDefault="006B7B3D" w:rsidP="006165A8">
      <w:pPr>
        <w:pStyle w:val="Bezodstpw"/>
        <w:numPr>
          <w:ilvl w:val="1"/>
          <w:numId w:val="5"/>
        </w:numP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 w:rsidRPr="006B7B3D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Wprowadzenie testu konkurencyjności do art. 214 </w:t>
      </w:r>
      <w:proofErr w:type="spellStart"/>
      <w:r w:rsidRPr="006B7B3D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Pzp</w:t>
      </w:r>
      <w:proofErr w:type="spellEnd"/>
      <w:r w:rsidRPr="006B7B3D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 w zakresie udzielania zamówień in-</w:t>
      </w:r>
      <w:proofErr w:type="spellStart"/>
      <w:r w:rsidRPr="006B7B3D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house</w:t>
      </w:r>
      <w:proofErr w:type="spellEnd"/>
      <w:r w:rsidR="00630CCB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.</w:t>
      </w:r>
    </w:p>
    <w:p w14:paraId="2CA54153" w14:textId="729A283F" w:rsidR="006165A8" w:rsidRPr="006B7B3D" w:rsidRDefault="006165A8" w:rsidP="006165A8">
      <w:pPr>
        <w:pStyle w:val="Bezodstpw"/>
        <w:numPr>
          <w:ilvl w:val="0"/>
          <w:numId w:val="5"/>
        </w:numPr>
        <w:rPr>
          <w:rStyle w:val="Odwoanieintensywne"/>
          <w:smallCaps w:val="0"/>
          <w:color w:val="012F66"/>
          <w:spacing w:val="0"/>
          <w:sz w:val="22"/>
        </w:rPr>
      </w:pPr>
      <w:r w:rsidRPr="006B7B3D">
        <w:rPr>
          <w:rStyle w:val="Odwoanieintensywne"/>
          <w:smallCaps w:val="0"/>
          <w:color w:val="012F66"/>
          <w:spacing w:val="0"/>
          <w:sz w:val="22"/>
        </w:rPr>
        <w:t>Środk</w:t>
      </w:r>
      <w:r w:rsidR="00990138" w:rsidRPr="006B7B3D">
        <w:rPr>
          <w:rStyle w:val="Odwoanieintensywne"/>
          <w:smallCaps w:val="0"/>
          <w:color w:val="012F66"/>
          <w:spacing w:val="0"/>
          <w:sz w:val="22"/>
        </w:rPr>
        <w:t>i</w:t>
      </w:r>
      <w:r w:rsidRPr="006B7B3D">
        <w:rPr>
          <w:rStyle w:val="Odwoanieintensywne"/>
          <w:smallCaps w:val="0"/>
          <w:color w:val="012F66"/>
          <w:spacing w:val="0"/>
          <w:sz w:val="22"/>
        </w:rPr>
        <w:t xml:space="preserve"> ochrony prawnej, ze szczególnym uwzględnieniem procedury odwoławczej:</w:t>
      </w:r>
    </w:p>
    <w:p w14:paraId="5C042BEC" w14:textId="7E5A18C0" w:rsidR="006165A8" w:rsidRDefault="006165A8" w:rsidP="006165A8">
      <w:pPr>
        <w:pStyle w:val="Bezodstpw"/>
        <w:numPr>
          <w:ilvl w:val="1"/>
          <w:numId w:val="5"/>
        </w:numP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T</w:t>
      </w:r>
      <w:r w:rsidRPr="006165A8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aka sama opłata od skargi na orzeczenie KIO jak do wpisu od odwołania</w:t>
      </w:r>
      <w:r w:rsidR="00630CCB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;</w:t>
      </w:r>
    </w:p>
    <w:p w14:paraId="70745C72" w14:textId="61746B5E" w:rsidR="00B44451" w:rsidRDefault="00B44451" w:rsidP="006165A8">
      <w:pPr>
        <w:pStyle w:val="Bezodstpw"/>
        <w:numPr>
          <w:ilvl w:val="1"/>
          <w:numId w:val="5"/>
        </w:numP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Uzależnienie opłaty za wpis od odwołania od wartości zamówienia</w:t>
      </w:r>
      <w:r w:rsidR="00630CCB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;</w:t>
      </w:r>
    </w:p>
    <w:p w14:paraId="6D8F1A4C" w14:textId="4420E070" w:rsidR="00990138" w:rsidRDefault="0047414F" w:rsidP="006165A8">
      <w:pPr>
        <w:pStyle w:val="Bezodstpw"/>
        <w:numPr>
          <w:ilvl w:val="1"/>
          <w:numId w:val="5"/>
        </w:numP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W</w:t>
      </w:r>
      <w:r w:rsidR="00990138" w:rsidRPr="00990138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skazanie terminu przed rozprawą, w którym odwołujący może złożyć</w:t>
      </w:r>
      <w:r w:rsidR="00990138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 </w:t>
      </w:r>
      <w:r w:rsidR="00990138" w:rsidRPr="00990138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dodatkowe wyjaśnienia (za wyjątkiem wycofania odwołania)</w:t>
      </w:r>
      <w:r w:rsidR="00630CCB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;</w:t>
      </w:r>
    </w:p>
    <w:p w14:paraId="78B4F33C" w14:textId="5B948AEF" w:rsidR="005F0468" w:rsidRDefault="005F0468" w:rsidP="006165A8">
      <w:pPr>
        <w:pStyle w:val="Bezodstpw"/>
        <w:numPr>
          <w:ilvl w:val="1"/>
          <w:numId w:val="5"/>
        </w:numP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 w:rsidRPr="005F0468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Rozpatrywanie odwołania przez KIO </w:t>
      </w: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tylko w oparciu o przesłane dokumenty, bez udziału stron, na wzór sposobu podejmowania decyzji przez Zamawiającego, która to decyzja jest potem oceniania przez Izbę</w:t>
      </w:r>
      <w:r w:rsidR="00630CCB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.</w:t>
      </w:r>
    </w:p>
    <w:p w14:paraId="3C252C58" w14:textId="77777777" w:rsidR="00630CCB" w:rsidRDefault="00630CCB" w:rsidP="00630CCB">
      <w:pPr>
        <w:pStyle w:val="Bezodstpw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</w:p>
    <w:p w14:paraId="500A2337" w14:textId="77777777" w:rsidR="00630CCB" w:rsidRPr="006165A8" w:rsidRDefault="00630CCB" w:rsidP="00630CCB">
      <w:pPr>
        <w:pStyle w:val="Bezodstpw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</w:p>
    <w:p w14:paraId="1A42C2B1" w14:textId="41481E0F" w:rsidR="006165A8" w:rsidRPr="006B7B3D" w:rsidRDefault="006165A8" w:rsidP="006165A8">
      <w:pPr>
        <w:pStyle w:val="Bezodstpw"/>
        <w:numPr>
          <w:ilvl w:val="0"/>
          <w:numId w:val="5"/>
        </w:numPr>
        <w:rPr>
          <w:rStyle w:val="Odwoanieintensywne"/>
          <w:smallCaps w:val="0"/>
          <w:color w:val="012F66"/>
          <w:spacing w:val="0"/>
          <w:sz w:val="22"/>
        </w:rPr>
      </w:pPr>
      <w:r w:rsidRPr="006B7B3D">
        <w:rPr>
          <w:rStyle w:val="Odwoanieintensywne"/>
          <w:smallCaps w:val="0"/>
          <w:color w:val="012F66"/>
          <w:spacing w:val="0"/>
          <w:sz w:val="22"/>
        </w:rPr>
        <w:lastRenderedPageBreak/>
        <w:t>Umowy o zamówienie publiczne</w:t>
      </w:r>
    </w:p>
    <w:p w14:paraId="2B57505A" w14:textId="2FF5D39E" w:rsidR="006165A8" w:rsidRDefault="006165A8" w:rsidP="006165A8">
      <w:pPr>
        <w:pStyle w:val="Bezodstpw"/>
        <w:numPr>
          <w:ilvl w:val="1"/>
          <w:numId w:val="5"/>
        </w:numP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 w:rsidRPr="006165A8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Zwiększenie z 5% do 10% wartości zabezpieczenia należytego wykonania umowy</w:t>
      </w:r>
      <w:r w:rsidR="00630CCB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;</w:t>
      </w:r>
    </w:p>
    <w:p w14:paraId="055BD269" w14:textId="04C417B0" w:rsidR="005F0468" w:rsidRDefault="005F0468" w:rsidP="006165A8">
      <w:pPr>
        <w:pStyle w:val="Bezodstpw"/>
        <w:numPr>
          <w:ilvl w:val="1"/>
          <w:numId w:val="5"/>
        </w:numP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D</w:t>
      </w:r>
      <w:r w:rsidRPr="005F0468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oprecyzowan</w:t>
      </w: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ie</w:t>
      </w:r>
      <w:r w:rsidRPr="005F0468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 kwesti</w:t>
      </w: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i</w:t>
      </w:r>
      <w:r w:rsidRPr="005F0468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 umów o podwykonawstwo w zakresie zakazanych postanowień</w:t>
      </w:r>
      <w:r w:rsidR="00630CCB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;</w:t>
      </w:r>
    </w:p>
    <w:p w14:paraId="28CD1EDB" w14:textId="71CD72C2" w:rsidR="005F0468" w:rsidRDefault="005F0468" w:rsidP="005F0468">
      <w:pPr>
        <w:pStyle w:val="Bezodstpw"/>
        <w:numPr>
          <w:ilvl w:val="1"/>
          <w:numId w:val="5"/>
        </w:numP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 w:rsidRPr="005F0468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Zniesienie </w:t>
      </w: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lub wydłużenie </w:t>
      </w:r>
      <w:r w:rsidRPr="005F0468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terminu 30 dni na </w:t>
      </w: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opublikowanie</w:t>
      </w:r>
      <w:r w:rsidRPr="005F0468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 ogłoszenia o wykonaniu umowy</w:t>
      </w:r>
      <w:r w:rsidR="00630CCB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.</w:t>
      </w:r>
    </w:p>
    <w:p w14:paraId="183F898E" w14:textId="540E168F" w:rsidR="006165A8" w:rsidRPr="006B7B3D" w:rsidRDefault="00990138" w:rsidP="00990138">
      <w:pPr>
        <w:pStyle w:val="Bezodstpw"/>
        <w:numPr>
          <w:ilvl w:val="0"/>
          <w:numId w:val="5"/>
        </w:numPr>
        <w:rPr>
          <w:rStyle w:val="Odwoanieintensywne"/>
          <w:smallCaps w:val="0"/>
          <w:color w:val="012F66"/>
          <w:spacing w:val="0"/>
          <w:sz w:val="22"/>
        </w:rPr>
      </w:pPr>
      <w:r w:rsidRPr="006B7B3D">
        <w:rPr>
          <w:rStyle w:val="Odwoanieintensywne"/>
          <w:smallCaps w:val="0"/>
          <w:color w:val="012F66"/>
          <w:spacing w:val="0"/>
          <w:sz w:val="22"/>
        </w:rPr>
        <w:t xml:space="preserve">Postulaty w zakresie innych elementów </w:t>
      </w:r>
      <w:proofErr w:type="spellStart"/>
      <w:r w:rsidR="005F0468" w:rsidRPr="006B7B3D">
        <w:rPr>
          <w:rStyle w:val="Odwoanieintensywne"/>
          <w:smallCaps w:val="0"/>
          <w:color w:val="012F66"/>
          <w:spacing w:val="0"/>
          <w:sz w:val="22"/>
        </w:rPr>
        <w:t>Pzp</w:t>
      </w:r>
      <w:proofErr w:type="spellEnd"/>
      <w:r w:rsidR="005F0468" w:rsidRPr="006B7B3D">
        <w:rPr>
          <w:rStyle w:val="Odwoanieintensywne"/>
          <w:smallCaps w:val="0"/>
          <w:color w:val="012F66"/>
          <w:spacing w:val="0"/>
          <w:sz w:val="22"/>
        </w:rPr>
        <w:t xml:space="preserve"> lub szerzej </w:t>
      </w:r>
      <w:r w:rsidRPr="006B7B3D">
        <w:rPr>
          <w:rStyle w:val="Odwoanieintensywne"/>
          <w:smallCaps w:val="0"/>
          <w:color w:val="012F66"/>
          <w:spacing w:val="0"/>
          <w:sz w:val="22"/>
        </w:rPr>
        <w:t>rynku zamówień publicznych</w:t>
      </w:r>
    </w:p>
    <w:p w14:paraId="460AD34F" w14:textId="71B862AD" w:rsidR="00990138" w:rsidRDefault="00990138" w:rsidP="00990138">
      <w:pPr>
        <w:pStyle w:val="Bezodstpw"/>
        <w:numPr>
          <w:ilvl w:val="1"/>
          <w:numId w:val="5"/>
        </w:numP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Rezygnacja z pomysłu certyfikacji wykonawców z uwagi na trudność egzekwowania i stworzenie przestrzeni do nadużyć</w:t>
      </w:r>
      <w:r w:rsidR="00630CCB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;</w:t>
      </w:r>
    </w:p>
    <w:p w14:paraId="6013BE69" w14:textId="2574E638" w:rsidR="005F0468" w:rsidRDefault="005F0468" w:rsidP="00990138">
      <w:pPr>
        <w:pStyle w:val="Bezodstpw"/>
        <w:numPr>
          <w:ilvl w:val="1"/>
          <w:numId w:val="5"/>
        </w:numP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Zwiększenie przejrzystości zamówień </w:t>
      </w:r>
      <w:r w:rsidR="005C4CDC" w:rsidRPr="005C4CDC">
        <w:t>o wartości poniżej 130.000 zł</w:t>
      </w: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, np. poprzez obowiązek publikacji zapytań ofertowych od pewnego pułapu wartości (np. w BIP), przy jednoczesnym zwiększeniu progu stosowania ustawy</w:t>
      </w:r>
      <w:r w:rsidR="00630CCB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;</w:t>
      </w:r>
    </w:p>
    <w:p w14:paraId="02C5213F" w14:textId="461B5F81" w:rsidR="00943811" w:rsidRDefault="00943811" w:rsidP="00990138">
      <w:pPr>
        <w:pStyle w:val="Bezodstpw"/>
        <w:numPr>
          <w:ilvl w:val="1"/>
          <w:numId w:val="5"/>
        </w:numP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Obowiązek publikacji informacji o zamówieniach poniżej progów ustawowych, np. w BIP</w:t>
      </w:r>
      <w:r w:rsidR="00630CCB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;</w:t>
      </w:r>
    </w:p>
    <w:p w14:paraId="5720CEAE" w14:textId="5BB2F858" w:rsidR="00520528" w:rsidRDefault="00520528" w:rsidP="00990138">
      <w:pPr>
        <w:pStyle w:val="Bezodstpw"/>
        <w:numPr>
          <w:ilvl w:val="1"/>
          <w:numId w:val="5"/>
        </w:numP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 w:rsidRPr="00520528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wyłączenie podporządkowania KIO i UZP spod nadzoru ministra</w:t>
      </w: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 właściwego</w:t>
      </w:r>
      <w:r w:rsidRPr="00520528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 </w:t>
      </w: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ds. </w:t>
      </w:r>
      <w:r w:rsidR="00630CCB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g</w:t>
      </w:r>
      <w:r w:rsidRPr="00520528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ospodarki</w:t>
      </w:r>
      <w:r w:rsidR="00630CCB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;</w:t>
      </w:r>
    </w:p>
    <w:p w14:paraId="13E20842" w14:textId="7BEE2207" w:rsidR="00520528" w:rsidRDefault="00B44451" w:rsidP="00990138">
      <w:pPr>
        <w:pStyle w:val="Bezodstpw"/>
        <w:numPr>
          <w:ilvl w:val="1"/>
          <w:numId w:val="5"/>
        </w:numP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U</w:t>
      </w:r>
      <w:r w:rsidR="00520528" w:rsidRPr="00520528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sunięcie Komitetu Kontroli</w:t>
      </w:r>
      <w:r w:rsidR="00630CCB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;</w:t>
      </w:r>
    </w:p>
    <w:p w14:paraId="4D26E3E7" w14:textId="02072927" w:rsidR="00B44451" w:rsidRDefault="00B44451" w:rsidP="00B44451">
      <w:pPr>
        <w:pStyle w:val="Bezodstpw"/>
        <w:numPr>
          <w:ilvl w:val="1"/>
          <w:numId w:val="5"/>
        </w:numP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 w:rsidRPr="00B44451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Bardziej precyzyjne zapisy dotyczące stosowania technologii BIM (</w:t>
      </w:r>
      <w:proofErr w:type="spellStart"/>
      <w:r w:rsidRPr="00B44451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Building</w:t>
      </w:r>
      <w:proofErr w:type="spellEnd"/>
      <w:r w:rsidRPr="00B44451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 Information Modeling)</w:t>
      </w:r>
      <w:r w:rsidR="00630CCB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;</w:t>
      </w:r>
    </w:p>
    <w:p w14:paraId="1D0DB1E5" w14:textId="67C26D32" w:rsidR="00B44451" w:rsidRDefault="00B44451" w:rsidP="00B44451">
      <w:pPr>
        <w:pStyle w:val="Bezodstpw"/>
        <w:numPr>
          <w:ilvl w:val="1"/>
          <w:numId w:val="5"/>
        </w:numP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U</w:t>
      </w:r>
      <w:r w:rsidRPr="00520528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sunięcie </w:t>
      </w:r>
      <w:r w:rsidR="00943811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P</w:t>
      </w:r>
      <w:r w:rsidRPr="00520528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olityki </w:t>
      </w:r>
      <w:r w:rsidR="00943811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Z</w:t>
      </w:r>
      <w:r w:rsidRPr="00520528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 xml:space="preserve">akupowej z </w:t>
      </w:r>
      <w:proofErr w:type="spellStart"/>
      <w:r w:rsidRPr="00520528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P</w:t>
      </w:r>
      <w:r w:rsidR="00943811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zp</w:t>
      </w:r>
      <w:proofErr w:type="spellEnd"/>
      <w:r w:rsidR="00630CCB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;</w:t>
      </w:r>
    </w:p>
    <w:p w14:paraId="01C06832" w14:textId="28E40191" w:rsidR="00B44451" w:rsidRPr="006165A8" w:rsidRDefault="00B44451" w:rsidP="00990138">
      <w:pPr>
        <w:pStyle w:val="Bezodstpw"/>
        <w:numPr>
          <w:ilvl w:val="1"/>
          <w:numId w:val="5"/>
        </w:numPr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  <w:r w:rsidRPr="00B44451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Platformy Zakupowe powinny mieć możliwość blokowania ofert niepodpisanych lub źle podpisanych przez wykonawców</w:t>
      </w:r>
      <w:r w:rsidR="00630CCB">
        <w:rPr>
          <w:rStyle w:val="Odwoanieintensywne"/>
          <w:b w:val="0"/>
          <w:bCs w:val="0"/>
          <w:smallCaps w:val="0"/>
          <w:color w:val="012F66"/>
          <w:spacing w:val="0"/>
          <w:sz w:val="22"/>
        </w:rPr>
        <w:t>.</w:t>
      </w:r>
    </w:p>
    <w:p w14:paraId="24B491C3" w14:textId="12FFE420" w:rsidR="00D34A22" w:rsidRPr="00B33ABD" w:rsidRDefault="00D34A22" w:rsidP="00D34A22">
      <w:pPr>
        <w:pStyle w:val="Bezodstpw"/>
        <w:ind w:firstLine="0"/>
        <w:rPr>
          <w:rStyle w:val="Odwoanieintensywne"/>
          <w:b w:val="0"/>
          <w:bCs w:val="0"/>
          <w:smallCaps w:val="0"/>
          <w:color w:val="012F66"/>
          <w:spacing w:val="0"/>
          <w:sz w:val="22"/>
        </w:rPr>
      </w:pPr>
    </w:p>
    <w:sectPr w:rsidR="00D34A22" w:rsidRPr="00B33ABD" w:rsidSect="006B7FD5">
      <w:pgSz w:w="12240" w:h="15840"/>
      <w:pgMar w:top="1080" w:right="1440" w:bottom="1080" w:left="1440" w:header="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0A6FD" w14:textId="77777777" w:rsidR="006B7FD5" w:rsidRDefault="006B7FD5">
      <w:pPr>
        <w:spacing w:before="0" w:line="240" w:lineRule="auto"/>
      </w:pPr>
      <w:r>
        <w:separator/>
      </w:r>
    </w:p>
  </w:endnote>
  <w:endnote w:type="continuationSeparator" w:id="0">
    <w:p w14:paraId="09328A51" w14:textId="77777777" w:rsidR="006B7FD5" w:rsidRDefault="006B7FD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ans Narrow">
    <w:altName w:val="Times New Roman"/>
    <w:charset w:val="EE"/>
    <w:family w:val="swiss"/>
    <w:pitch w:val="variable"/>
    <w:sig w:usb0="A00002EF" w:usb1="5000204B" w:usb2="00000000" w:usb3="00000000" w:csb0="00000097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ato">
    <w:altName w:val="Times New Roman"/>
    <w:charset w:val="00"/>
    <w:family w:val="swiss"/>
    <w:pitch w:val="variable"/>
    <w:sig w:usb0="E10002FF" w:usb1="5000ECFF" w:usb2="0000002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A141A" w14:textId="77777777" w:rsidR="00826EFE" w:rsidRDefault="00826EFE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57C27" w14:textId="77777777" w:rsidR="006B7FD5" w:rsidRDefault="006B7FD5">
      <w:pPr>
        <w:spacing w:before="0" w:line="240" w:lineRule="auto"/>
      </w:pPr>
      <w:r>
        <w:separator/>
      </w:r>
    </w:p>
  </w:footnote>
  <w:footnote w:type="continuationSeparator" w:id="0">
    <w:p w14:paraId="6BE8E109" w14:textId="77777777" w:rsidR="006B7FD5" w:rsidRDefault="006B7FD5">
      <w:pPr>
        <w:spacing w:before="0" w:line="240" w:lineRule="auto"/>
      </w:pPr>
      <w:r>
        <w:continuationSeparator/>
      </w:r>
    </w:p>
  </w:footnote>
  <w:footnote w:id="1">
    <w:p w14:paraId="1126501F" w14:textId="0E250378" w:rsidR="007C7318" w:rsidRDefault="007C731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1" w:history="1">
        <w:r w:rsidRPr="001121F1">
          <w:rPr>
            <w:rStyle w:val="Hipercze"/>
          </w:rPr>
          <w:t>https://www.gov.pl/web/uzp/dopuszczalnosc-zmiany-umowy-w-sprawie-zamowienia-publicznego-na-podstawie-art-455-ust-1-pkt-1-i-4-oraz-art-455-ust-2-ustawy-pzp</w:t>
        </w:r>
      </w:hyperlink>
      <w:r>
        <w:t xml:space="preserve"> </w:t>
      </w:r>
    </w:p>
  </w:footnote>
  <w:footnote w:id="2">
    <w:p w14:paraId="69931847" w14:textId="53BD7EB3" w:rsidR="007C7318" w:rsidRDefault="007C7318">
      <w:pPr>
        <w:pStyle w:val="Tekstprzypisudolnego"/>
      </w:pPr>
      <w:r>
        <w:rPr>
          <w:rStyle w:val="Odwoanieprzypisudolnego"/>
        </w:rPr>
        <w:footnoteRef/>
      </w:r>
      <w:r w:rsidR="00630CCB">
        <w:t xml:space="preserve">       </w:t>
      </w:r>
      <w:hyperlink r:id="rId2" w:history="1">
        <w:r w:rsidR="00630CCB" w:rsidRPr="00530C4C">
          <w:rPr>
            <w:rStyle w:val="Hipercze"/>
          </w:rPr>
          <w:t>https://www.gov.pl/web/uzp/przykladowe-klauzule-waloryzacyjne-dla-sektora-budownictwa2</w:t>
        </w:r>
      </w:hyperlink>
      <w:r>
        <w:t xml:space="preserve"> </w:t>
      </w:r>
    </w:p>
  </w:footnote>
  <w:footnote w:id="3">
    <w:p w14:paraId="2A28FE1A" w14:textId="3C8DE79A" w:rsidR="00630CCB" w:rsidRDefault="00630CC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3" w:history="1">
        <w:r w:rsidRPr="00530C4C">
          <w:rPr>
            <w:rStyle w:val="Hipercze"/>
          </w:rPr>
          <w:t>https://www.gov.pl/web/uzp/elektroniczny-protokol-na-wszystkich-rozprawach-przed-krajowa-izba-odwolawcza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17667" w14:textId="1C6F550D" w:rsidR="00826EFE" w:rsidRDefault="00D632DF">
    <w:pPr>
      <w:pStyle w:val="Podtytu"/>
      <w:pBdr>
        <w:top w:val="nil"/>
        <w:left w:val="nil"/>
        <w:bottom w:val="nil"/>
        <w:right w:val="nil"/>
        <w:between w:val="nil"/>
      </w:pBdr>
      <w:spacing w:before="600"/>
      <w:jc w:val="right"/>
    </w:pPr>
    <w:r>
      <w:rPr>
        <w:color w:val="000000"/>
      </w:rPr>
      <w:t xml:space="preserve">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E5683">
      <w:rPr>
        <w:noProof/>
        <w:color w:val="000000"/>
      </w:rPr>
      <w:t>4</w:t>
    </w:r>
    <w:r>
      <w:rPr>
        <w:color w:val="000000"/>
      </w:rPr>
      <w:fldChar w:fldCharType="end"/>
    </w:r>
  </w:p>
  <w:p w14:paraId="5ED81A71" w14:textId="77777777" w:rsidR="00826EFE" w:rsidRDefault="00000000">
    <w:pPr>
      <w:pBdr>
        <w:top w:val="nil"/>
        <w:left w:val="nil"/>
        <w:bottom w:val="nil"/>
        <w:right w:val="nil"/>
        <w:between w:val="nil"/>
      </w:pBdr>
      <w:spacing w:after="200"/>
    </w:pPr>
    <w:r>
      <w:pict w14:anchorId="5305653E">
        <v:rect id="_x0000_i1026" style="width:468pt;height:4pt" o:hralign="center" o:hrstd="t" o:hrnoshade="t" o:hr="t" fillcolor="#012f66" stroked="f"/>
      </w:pict>
    </w:r>
  </w:p>
  <w:p w14:paraId="237B56C4" w14:textId="77777777" w:rsidR="00826EFE" w:rsidRDefault="00826EFE">
    <w:pPr>
      <w:pBdr>
        <w:top w:val="nil"/>
        <w:left w:val="nil"/>
        <w:bottom w:val="nil"/>
        <w:right w:val="nil"/>
        <w:between w:val="nil"/>
      </w:pBdr>
      <w:spacing w:after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DFD37" w14:textId="77777777" w:rsidR="00826EFE" w:rsidRDefault="00826EFE">
    <w:pPr>
      <w:pBdr>
        <w:top w:val="nil"/>
        <w:left w:val="nil"/>
        <w:bottom w:val="nil"/>
        <w:right w:val="nil"/>
        <w:between w:val="nil"/>
      </w:pBdr>
      <w:spacing w:before="60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B4339"/>
    <w:multiLevelType w:val="multilevel"/>
    <w:tmpl w:val="23F4B0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5F35F6B"/>
    <w:multiLevelType w:val="hybridMultilevel"/>
    <w:tmpl w:val="98B85E4C"/>
    <w:lvl w:ilvl="0" w:tplc="41B4E6B6">
      <w:start w:val="11"/>
      <w:numFmt w:val="bullet"/>
      <w:lvlText w:val=""/>
      <w:lvlJc w:val="left"/>
      <w:pPr>
        <w:ind w:left="927" w:hanging="360"/>
      </w:pPr>
      <w:rPr>
        <w:rFonts w:ascii="Symbol" w:eastAsia="Open Sans" w:hAnsi="Symbol" w:cs="Open Sans" w:hint="default"/>
      </w:rPr>
    </w:lvl>
    <w:lvl w:ilvl="1" w:tplc="0415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F403602"/>
    <w:multiLevelType w:val="multilevel"/>
    <w:tmpl w:val="38D2332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3" w15:restartNumberingAfterBreak="0">
    <w:nsid w:val="16FC7585"/>
    <w:multiLevelType w:val="hybridMultilevel"/>
    <w:tmpl w:val="0A362174"/>
    <w:lvl w:ilvl="0" w:tplc="5C0EFB36">
      <w:start w:val="11"/>
      <w:numFmt w:val="bullet"/>
      <w:lvlText w:val=""/>
      <w:lvlJc w:val="left"/>
      <w:pPr>
        <w:ind w:left="720" w:hanging="360"/>
      </w:pPr>
      <w:rPr>
        <w:rFonts w:ascii="Symbol" w:eastAsia="Open Sans" w:hAnsi="Symbol" w:cs="Open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6349B"/>
    <w:multiLevelType w:val="multilevel"/>
    <w:tmpl w:val="31D4F9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3B15B66"/>
    <w:multiLevelType w:val="multilevel"/>
    <w:tmpl w:val="31D4F9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2016028062">
    <w:abstractNumId w:val="0"/>
  </w:num>
  <w:num w:numId="2" w16cid:durableId="203056112">
    <w:abstractNumId w:val="5"/>
  </w:num>
  <w:num w:numId="3" w16cid:durableId="2124686911">
    <w:abstractNumId w:val="4"/>
  </w:num>
  <w:num w:numId="4" w16cid:durableId="1177770050">
    <w:abstractNumId w:val="2"/>
  </w:num>
  <w:num w:numId="5" w16cid:durableId="1229532177">
    <w:abstractNumId w:val="1"/>
  </w:num>
  <w:num w:numId="6" w16cid:durableId="7791807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EFE"/>
    <w:rsid w:val="000647C1"/>
    <w:rsid w:val="000C569C"/>
    <w:rsid w:val="00177B1E"/>
    <w:rsid w:val="001908AB"/>
    <w:rsid w:val="001E6AE3"/>
    <w:rsid w:val="002312A8"/>
    <w:rsid w:val="00245380"/>
    <w:rsid w:val="0027448C"/>
    <w:rsid w:val="002A00D2"/>
    <w:rsid w:val="002F0384"/>
    <w:rsid w:val="0030314C"/>
    <w:rsid w:val="0038415C"/>
    <w:rsid w:val="003B351C"/>
    <w:rsid w:val="004257F3"/>
    <w:rsid w:val="0047414F"/>
    <w:rsid w:val="00520528"/>
    <w:rsid w:val="005C4CDC"/>
    <w:rsid w:val="005C4F5D"/>
    <w:rsid w:val="005F0468"/>
    <w:rsid w:val="006165A8"/>
    <w:rsid w:val="00623755"/>
    <w:rsid w:val="00630CCB"/>
    <w:rsid w:val="006A433D"/>
    <w:rsid w:val="006B7B3D"/>
    <w:rsid w:val="006B7FD5"/>
    <w:rsid w:val="006C2351"/>
    <w:rsid w:val="006F4740"/>
    <w:rsid w:val="00763502"/>
    <w:rsid w:val="007C7318"/>
    <w:rsid w:val="0081129F"/>
    <w:rsid w:val="00826EFE"/>
    <w:rsid w:val="00830505"/>
    <w:rsid w:val="0089022C"/>
    <w:rsid w:val="008C4650"/>
    <w:rsid w:val="008D39CA"/>
    <w:rsid w:val="009323DC"/>
    <w:rsid w:val="00943811"/>
    <w:rsid w:val="009441C3"/>
    <w:rsid w:val="00950E2E"/>
    <w:rsid w:val="00990138"/>
    <w:rsid w:val="009D3AB0"/>
    <w:rsid w:val="009E5683"/>
    <w:rsid w:val="00A175A2"/>
    <w:rsid w:val="00A9132E"/>
    <w:rsid w:val="00AD52BA"/>
    <w:rsid w:val="00B21DC6"/>
    <w:rsid w:val="00B33ABD"/>
    <w:rsid w:val="00B41205"/>
    <w:rsid w:val="00B41AC1"/>
    <w:rsid w:val="00B44451"/>
    <w:rsid w:val="00B655B8"/>
    <w:rsid w:val="00B66AA0"/>
    <w:rsid w:val="00BB757E"/>
    <w:rsid w:val="00C10158"/>
    <w:rsid w:val="00C4567C"/>
    <w:rsid w:val="00C65432"/>
    <w:rsid w:val="00C96798"/>
    <w:rsid w:val="00CA6E76"/>
    <w:rsid w:val="00D34A22"/>
    <w:rsid w:val="00D54DC2"/>
    <w:rsid w:val="00D632DF"/>
    <w:rsid w:val="00D827F7"/>
    <w:rsid w:val="00ED06BD"/>
    <w:rsid w:val="00ED65ED"/>
    <w:rsid w:val="00F62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C4C5E4"/>
  <w15:docId w15:val="{E2906A3F-079D-4451-9A2D-2F2BFD441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Open Sans" w:hAnsi="Open Sans" w:cs="Open Sans"/>
        <w:color w:val="695D46"/>
        <w:sz w:val="22"/>
        <w:szCs w:val="22"/>
        <w:lang w:val="pl" w:eastAsia="pl-PL" w:bidi="ar-SA"/>
      </w:rPr>
    </w:rPrDefault>
    <w:pPrDefault>
      <w:pPr>
        <w:spacing w:before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widowControl w:val="0"/>
      <w:spacing w:before="480" w:line="312" w:lineRule="auto"/>
      <w:outlineLvl w:val="0"/>
    </w:pPr>
    <w:rPr>
      <w:rFonts w:ascii="PT Sans Narrow" w:eastAsia="PT Sans Narrow" w:hAnsi="PT Sans Narrow" w:cs="PT Sans Narrow"/>
      <w:b/>
      <w:color w:val="FF5E0E"/>
      <w:sz w:val="36"/>
      <w:szCs w:val="36"/>
    </w:rPr>
  </w:style>
  <w:style w:type="paragraph" w:styleId="Nagwek2">
    <w:name w:val="heading 2"/>
    <w:basedOn w:val="Normalny"/>
    <w:next w:val="Normalny"/>
    <w:pPr>
      <w:spacing w:before="320" w:line="240" w:lineRule="auto"/>
      <w:outlineLvl w:val="1"/>
    </w:pPr>
    <w:rPr>
      <w:rFonts w:ascii="PT Sans Narrow" w:eastAsia="PT Sans Narrow" w:hAnsi="PT Sans Narrow" w:cs="PT Sans Narrow"/>
      <w:color w:val="008575"/>
      <w:sz w:val="32"/>
      <w:szCs w:val="32"/>
    </w:rPr>
  </w:style>
  <w:style w:type="paragraph" w:styleId="Nagwek3">
    <w:name w:val="heading 3"/>
    <w:basedOn w:val="Normalny"/>
    <w:next w:val="Normalny"/>
    <w:pPr>
      <w:spacing w:before="200" w:line="240" w:lineRule="auto"/>
      <w:outlineLvl w:val="2"/>
    </w:pPr>
    <w:rPr>
      <w:rFonts w:ascii="PT Sans Narrow" w:eastAsia="PT Sans Narrow" w:hAnsi="PT Sans Narrow" w:cs="PT Sans Narrow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Nagwek5">
    <w:name w:val="heading 5"/>
    <w:basedOn w:val="Normalny"/>
    <w:next w:val="Normalny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spacing w:before="320" w:line="240" w:lineRule="auto"/>
    </w:pPr>
    <w:rPr>
      <w:rFonts w:ascii="PT Sans Narrow" w:eastAsia="PT Sans Narrow" w:hAnsi="PT Sans Narrow" w:cs="PT Sans Narrow"/>
      <w:b/>
      <w:sz w:val="84"/>
      <w:szCs w:val="84"/>
    </w:rPr>
  </w:style>
  <w:style w:type="paragraph" w:styleId="Podtytu">
    <w:name w:val="Subtitle"/>
    <w:basedOn w:val="Normalny"/>
    <w:next w:val="Normalny"/>
    <w:pPr>
      <w:spacing w:before="200" w:line="240" w:lineRule="auto"/>
    </w:pPr>
    <w:rPr>
      <w:rFonts w:ascii="PT Sans Narrow" w:eastAsia="PT Sans Narrow" w:hAnsi="PT Sans Narrow" w:cs="PT Sans Narrow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763502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3502"/>
  </w:style>
  <w:style w:type="paragraph" w:styleId="Stopka">
    <w:name w:val="footer"/>
    <w:basedOn w:val="Normalny"/>
    <w:link w:val="StopkaZnak"/>
    <w:uiPriority w:val="99"/>
    <w:unhideWhenUsed/>
    <w:rsid w:val="00763502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3502"/>
  </w:style>
  <w:style w:type="character" w:styleId="Pogrubienie">
    <w:name w:val="Strong"/>
    <w:basedOn w:val="Domylnaczcionkaakapitu"/>
    <w:uiPriority w:val="22"/>
    <w:qFormat/>
    <w:rsid w:val="00763502"/>
    <w:rPr>
      <w:rFonts w:ascii="Lato" w:hAnsi="Lato"/>
      <w:b/>
      <w:bCs/>
      <w:color w:val="012F66"/>
      <w:sz w:val="32"/>
    </w:rPr>
  </w:style>
  <w:style w:type="paragraph" w:styleId="Bezodstpw">
    <w:name w:val="No Spacing"/>
    <w:uiPriority w:val="1"/>
    <w:qFormat/>
    <w:rsid w:val="00763502"/>
    <w:pPr>
      <w:spacing w:after="120" w:line="360" w:lineRule="auto"/>
      <w:ind w:firstLine="567"/>
    </w:pPr>
    <w:rPr>
      <w:rFonts w:ascii="Lato" w:hAnsi="Lato"/>
      <w:color w:val="012F66"/>
    </w:rPr>
  </w:style>
  <w:style w:type="paragraph" w:styleId="Akapitzlist">
    <w:name w:val="List Paragraph"/>
    <w:basedOn w:val="Normalny"/>
    <w:uiPriority w:val="34"/>
    <w:qFormat/>
    <w:rsid w:val="0076350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D52BA"/>
    <w:rPr>
      <w:i/>
      <w:iCs/>
      <w:color w:val="4F81BD" w:themeColor="accent1"/>
    </w:rPr>
  </w:style>
  <w:style w:type="character" w:styleId="Odwoanieintensywne">
    <w:name w:val="Intense Reference"/>
    <w:basedOn w:val="Domylnaczcionkaakapitu"/>
    <w:uiPriority w:val="32"/>
    <w:qFormat/>
    <w:rsid w:val="00AD52BA"/>
    <w:rPr>
      <w:rFonts w:ascii="Lato" w:hAnsi="Lato"/>
      <w:b/>
      <w:bCs/>
      <w:smallCaps/>
      <w:color w:val="C00000"/>
      <w:spacing w:val="5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52BA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52BA"/>
    <w:rPr>
      <w:rFonts w:ascii="Segoe UI" w:hAnsi="Segoe UI" w:cs="Segoe UI"/>
      <w:sz w:val="18"/>
      <w:szCs w:val="1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33ABD"/>
    <w:pPr>
      <w:widowControl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B33ABD"/>
    <w:pPr>
      <w:spacing w:after="100"/>
      <w:ind w:left="220"/>
    </w:pPr>
  </w:style>
  <w:style w:type="paragraph" w:styleId="Spistreci1">
    <w:name w:val="toc 1"/>
    <w:basedOn w:val="Normalny"/>
    <w:next w:val="Normalny"/>
    <w:autoRedefine/>
    <w:uiPriority w:val="39"/>
    <w:unhideWhenUsed/>
    <w:rsid w:val="00B33ABD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B33ABD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23755"/>
    <w:pPr>
      <w:spacing w:before="0" w:line="240" w:lineRule="auto"/>
      <w:ind w:firstLine="709"/>
      <w:jc w:val="both"/>
    </w:pPr>
    <w:rPr>
      <w:rFonts w:ascii="Times New Roman" w:eastAsiaTheme="minorHAnsi" w:hAnsi="Times New Roman" w:cstheme="minorBidi"/>
      <w:color w:val="auto"/>
      <w:sz w:val="20"/>
      <w:szCs w:val="20"/>
      <w:lang w:val="pl-PL"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23755"/>
    <w:rPr>
      <w:rFonts w:ascii="Times New Roman" w:eastAsiaTheme="minorHAnsi" w:hAnsi="Times New Roman" w:cstheme="minorBidi"/>
      <w:color w:val="auto"/>
      <w:sz w:val="20"/>
      <w:szCs w:val="20"/>
      <w:lang w:val="pl-PL"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23755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C73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chart" Target="charts/chart2.xml"/><Relationship Id="rId26" Type="http://schemas.openxmlformats.org/officeDocument/2006/relationships/chart" Target="charts/chart10.xml"/><Relationship Id="rId39" Type="http://schemas.openxmlformats.org/officeDocument/2006/relationships/chart" Target="charts/chart23.xml"/><Relationship Id="rId21" Type="http://schemas.openxmlformats.org/officeDocument/2006/relationships/chart" Target="charts/chart5.xml"/><Relationship Id="rId34" Type="http://schemas.openxmlformats.org/officeDocument/2006/relationships/chart" Target="charts/chart18.xml"/><Relationship Id="rId42" Type="http://schemas.openxmlformats.org/officeDocument/2006/relationships/chart" Target="charts/chart26.xml"/><Relationship Id="rId47" Type="http://schemas.openxmlformats.org/officeDocument/2006/relationships/chart" Target="charts/chart31.xml"/><Relationship Id="rId50" Type="http://schemas.openxmlformats.org/officeDocument/2006/relationships/chart" Target="charts/chart34.xml"/><Relationship Id="rId55" Type="http://schemas.openxmlformats.org/officeDocument/2006/relationships/chart" Target="charts/chart39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chart" Target="charts/chart13.xml"/><Relationship Id="rId11" Type="http://schemas.openxmlformats.org/officeDocument/2006/relationships/image" Target="media/image4.png"/><Relationship Id="rId24" Type="http://schemas.openxmlformats.org/officeDocument/2006/relationships/chart" Target="charts/chart8.xml"/><Relationship Id="rId32" Type="http://schemas.openxmlformats.org/officeDocument/2006/relationships/chart" Target="charts/chart16.xml"/><Relationship Id="rId37" Type="http://schemas.openxmlformats.org/officeDocument/2006/relationships/chart" Target="charts/chart21.xml"/><Relationship Id="rId40" Type="http://schemas.openxmlformats.org/officeDocument/2006/relationships/chart" Target="charts/chart24.xml"/><Relationship Id="rId45" Type="http://schemas.openxmlformats.org/officeDocument/2006/relationships/chart" Target="charts/chart29.xml"/><Relationship Id="rId53" Type="http://schemas.openxmlformats.org/officeDocument/2006/relationships/chart" Target="charts/chart37.xml"/><Relationship Id="rId5" Type="http://schemas.openxmlformats.org/officeDocument/2006/relationships/webSettings" Target="webSettings.xml"/><Relationship Id="rId19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chart" Target="charts/chart14.xml"/><Relationship Id="rId35" Type="http://schemas.openxmlformats.org/officeDocument/2006/relationships/chart" Target="charts/chart19.xml"/><Relationship Id="rId43" Type="http://schemas.openxmlformats.org/officeDocument/2006/relationships/chart" Target="charts/chart27.xml"/><Relationship Id="rId48" Type="http://schemas.openxmlformats.org/officeDocument/2006/relationships/chart" Target="charts/chart32.xml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chart" Target="charts/chart35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chart" Target="charts/chart1.xml"/><Relationship Id="rId25" Type="http://schemas.openxmlformats.org/officeDocument/2006/relationships/chart" Target="charts/chart9.xml"/><Relationship Id="rId33" Type="http://schemas.openxmlformats.org/officeDocument/2006/relationships/chart" Target="charts/chart17.xml"/><Relationship Id="rId38" Type="http://schemas.openxmlformats.org/officeDocument/2006/relationships/chart" Target="charts/chart22.xml"/><Relationship Id="rId46" Type="http://schemas.openxmlformats.org/officeDocument/2006/relationships/chart" Target="charts/chart30.xml"/><Relationship Id="rId20" Type="http://schemas.openxmlformats.org/officeDocument/2006/relationships/chart" Target="charts/chart4.xml"/><Relationship Id="rId41" Type="http://schemas.openxmlformats.org/officeDocument/2006/relationships/chart" Target="charts/chart25.xml"/><Relationship Id="rId54" Type="http://schemas.openxmlformats.org/officeDocument/2006/relationships/chart" Target="charts/chart3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chart" Target="charts/chart7.xml"/><Relationship Id="rId28" Type="http://schemas.openxmlformats.org/officeDocument/2006/relationships/chart" Target="charts/chart12.xml"/><Relationship Id="rId36" Type="http://schemas.openxmlformats.org/officeDocument/2006/relationships/chart" Target="charts/chart20.xml"/><Relationship Id="rId49" Type="http://schemas.openxmlformats.org/officeDocument/2006/relationships/chart" Target="charts/chart33.xml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chart" Target="charts/chart15.xml"/><Relationship Id="rId44" Type="http://schemas.openxmlformats.org/officeDocument/2006/relationships/chart" Target="charts/chart28.xml"/><Relationship Id="rId52" Type="http://schemas.openxmlformats.org/officeDocument/2006/relationships/chart" Target="charts/chart36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ov.pl/web/uzp/elektroniczny-protokol-na-wszystkich-rozprawach-przed-krajowa-izba-odwolawcza" TargetMode="External"/><Relationship Id="rId2" Type="http://schemas.openxmlformats.org/officeDocument/2006/relationships/hyperlink" Target="https://www.gov.pl/web/uzp/przykladowe-klauzule-waloryzacyjne-dla-sektora-budownictwa2" TargetMode="External"/><Relationship Id="rId1" Type="http://schemas.openxmlformats.org/officeDocument/2006/relationships/hyperlink" Target="https://www.gov.pl/web/uzp/dopuszczalnosc-zmiany-umowy-w-sprawie-zamowienia-publicznego-na-podstawie-art-455-ust-1-pkt-1-i-4-oraz-art-455-ust-2-ustawy-pzp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uzpgovpl0-my.sharepoint.com/personal/mtrybusz_uzp_gov_pl/Documents/Dokumenty/Przegl&#261;d%20Pzp%20(Odpowiedzi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https://uzpgovpl0-my.sharepoint.com/personal/mtrybusz_uzp_gov_pl/Documents/Dokumenty/Przegl&#261;d%20Pzp%20(Odpowiedzi)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https://uzpgovpl0-my.sharepoint.com/personal/mtrybusz_uzp_gov_pl/Documents/Dokumenty/Odpowiedzi%20-%20Zamawiaj&#261;cy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https://uzpgovpl0-my.sharepoint.com/personal/mtrybusz_uzp_gov_pl/Documents/Dokumenty/Odpowiedzi%20-%20wykonawcy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https://uzpgovpl0-my.sharepoint.com/personal/mtrybusz_uzp_gov_pl/Documents/Dokumenty/Przegl&#261;d%20Pzp%20(Odpowiedzi)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https://uzpgovpl0-my.sharepoint.com/personal/mtrybusz_uzp_gov_pl/Documents/Dokumenty/Odpowiedzi%20-%20Zamawiaj&#261;cy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https://uzpgovpl0-my.sharepoint.com/personal/mtrybusz_uzp_gov_pl/Documents/Dokumenty/Odpowiedzi%20-%20wykonawcy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https://uzpgovpl0-my.sharepoint.com/personal/mtrybusz_uzp_gov_pl/Documents/Dokumenty/Przegl&#261;d%20Pzp%20(Odpowiedzi)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https://uzpgovpl0-my.sharepoint.com/personal/mtrybusz_uzp_gov_pl/Documents/Dokumenty/Odpowiedzi%20-%20Zamawiaj&#261;cy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https://uzpgovpl0-my.sharepoint.com/personal/mtrybusz_uzp_gov_pl/Documents/Dokumenty/Odpowiedzi%20-%20wykonawcy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https://uzpgovpl0-my.sharepoint.com/personal/mtrybusz_uzp_gov_pl/Documents/Dokumenty/Przegl&#261;d%20Pzp%20(Odpowiedzi)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uzpgovpl0-my.sharepoint.com/personal/mtrybusz_uzp_gov_pl/Documents/Dokumenty/Odpowiedzi%20-%20Zamawiaj&#261;cy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https://uzpgovpl0-my.sharepoint.com/personal/mtrybusz_uzp_gov_pl/Documents/Dokumenty/Odpowiedzi%20-%20Zamawiaj&#261;cy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https://uzpgovpl0-my.sharepoint.com/personal/mtrybusz_uzp_gov_pl/Documents/Dokumenty/Odpowiedzi%20-%20wykonawcy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https://uzpgovpl0-my.sharepoint.com/personal/mtrybusz_uzp_gov_pl/Documents/Dokumenty/Przegl&#261;d%20Pzp%20(Odpowiedzi)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https://uzpgovpl0-my.sharepoint.com/personal/mtrybusz_uzp_gov_pl/Documents/Dokumenty/Odpowiedzi%20-%20Zamawiaj&#261;cy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https://uzpgovpl0-my.sharepoint.com/personal/mtrybusz_uzp_gov_pl/Documents/Dokumenty/Odpowiedzi%20-%20wykonawcy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https://uzpgovpl0-my.sharepoint.com/personal/mtrybusz_uzp_gov_pl/Documents/Dokumenty/Przegl&#261;d%20Pzp%20(Odpowiedzi)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https://uzpgovpl0-my.sharepoint.com/personal/mtrybusz_uzp_gov_pl/Documents/Dokumenty/Odpowiedzi%20-%20Zamawiaj&#261;cy.xlsx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https://uzpgovpl0-my.sharepoint.com/personal/mtrybusz_uzp_gov_pl/Documents/Dokumenty/Odpowiedzi%20-%20wykonawcy.xlsx" TargetMode="External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https://uzpgovpl0-my.sharepoint.com/personal/mtrybusz_uzp_gov_pl/Documents/Dokumenty/Przegl&#261;d%20Pzp%20(Odpowiedzi).xlsx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https://uzpgovpl0-my.sharepoint.com/personal/mtrybusz_uzp_gov_pl/Documents/Dokumenty/Odpowiedzi%20-%20Zamawiaj&#261;cy.xlsx" TargetMode="External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uzpgovpl0-my.sharepoint.com/personal/mtrybusz_uzp_gov_pl/Documents/Dokumenty/Odpowiedzi%20-%20wykonawcy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https://uzpgovpl0-my.sharepoint.com/personal/mtrybusz_uzp_gov_pl/Documents/Dokumenty/Odpowiedzi%20-%20wykonawcy.xlsx" TargetMode="External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https://uzpgovpl0-my.sharepoint.com/personal/mtrybusz_uzp_gov_pl/Documents/Dokumenty/Przegl&#261;d%20Pzp%20(Odpowiedzi).xlsx" TargetMode="External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https://uzpgovpl0-my.sharepoint.com/personal/mtrybusz_uzp_gov_pl/Documents/Dokumenty/Odpowiedzi%20-%20Zamawiaj&#261;cy.xlsx" TargetMode="External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https://uzpgovpl0-my.sharepoint.com/personal/mtrybusz_uzp_gov_pl/Documents/Dokumenty/Odpowiedzi%20-%20wykonawcy.xlsx" TargetMode="External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oleObject" Target="https://uzpgovpl0-my.sharepoint.com/personal/mtrybusz_uzp_gov_pl/Documents/Dokumenty/Przegl&#261;d%20Pzp%20(Odpowiedzi).xlsx" TargetMode="External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oleObject" Target="https://uzpgovpl0-my.sharepoint.com/personal/mtrybusz_uzp_gov_pl/Documents/Dokumenty/Odpowiedzi%20-%20Zamawiaj&#261;cy.xlsx" TargetMode="External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oleObject" Target="https://uzpgovpl0-my.sharepoint.com/personal/mtrybusz_uzp_gov_pl/Documents/Dokumenty/Odpowiedzi%20-%20wykonawcy.xlsx" TargetMode="External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oleObject" Target="https://uzpgovpl0-my.sharepoint.com/personal/mtrybusz_uzp_gov_pl/Documents/Dokumenty/Przegl&#261;d%20Pzp%20(Odpowiedzi).xlsx" TargetMode="External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oleObject" Target="https://uzpgovpl0-my.sharepoint.com/personal/mtrybusz_uzp_gov_pl/Documents/Dokumenty/Odpowiedzi%20-%20Zamawiaj&#261;cy.xlsx" TargetMode="External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oleObject" Target="https://uzpgovpl0-my.sharepoint.com/personal/mtrybusz_uzp_gov_pl/Documents/Dokumenty/Odpowiedzi%20-%20wykonawcy.xlsx" TargetMode="External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https://uzpgovpl0-my.sharepoint.com/personal/mtrybusz_uzp_gov_pl/Documents/Dokumenty/Przegl&#261;d%20Pzp%20(Odpowiedzi)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https://uzpgovpl0-my.sharepoint.com/personal/mtrybusz_uzp_gov_pl/Documents/Dokumenty/Odpowiedzi%20-%20Zamawiaj&#261;cy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https://uzpgovpl0-my.sharepoint.com/personal/mtrybusz_uzp_gov_pl/Documents/Dokumenty/Odpowiedzi%20-%20wykonawcy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https://uzpgovpl0-my.sharepoint.com/personal/mtrybusz_uzp_gov_pl/Documents/Dokumenty/Przegl&#261;d%20Pzp%20(Odpowiedzi)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https://uzpgovpl0-my.sharepoint.com/personal/mtrybusz_uzp_gov_pl/Documents/Dokumenty/Odpowiedzi%20-%20Zamawiaj&#261;cy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https://uzpgovpl0-my.sharepoint.com/personal/mtrybusz_uzp_gov_pl/Documents/Dokumenty/Odpowiedzi%20-%20wykonawcy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Lato" panose="020B0604020202020204" pitchFamily="34" charset="-18"/>
                <a:ea typeface="+mn-ea"/>
                <a:cs typeface="+mn-cs"/>
              </a:defRPr>
            </a:pPr>
            <a:r>
              <a:rPr lang="pl-PL" sz="1400" b="1" i="0" u="none" strike="noStrike" cap="small" baseline="0">
                <a:effectLst/>
              </a:rPr>
              <a:t>Czy jesteś za zwiększeniem wysokości progu stosowania Pzp (aktualnie wynoszącego 130.000,00 zł)</a:t>
            </a:r>
            <a:endParaRPr lang="pl-PL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Lato" panose="020B0604020202020204" pitchFamily="34" charset="-18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76-469A-9621-8B91CFD4D41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76-469A-9621-8B91CFD4D410}"/>
              </c:ext>
            </c:extLst>
          </c:dPt>
          <c:dLbls>
            <c:spPr>
              <a:solidFill>
                <a:srgbClr val="FFFFFF"/>
              </a:solidFill>
              <a:ln>
                <a:solidFill>
                  <a:srgbClr val="000000">
                    <a:lumMod val="25000"/>
                    <a:lumOff val="75000"/>
                  </a:srgb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Lato" panose="020B0604020202020204" pitchFamily="34" charset="-18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'Liczba odpowiedzi 1'!$B$1239:$B$1240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'Liczba odpowiedzi 1'!$C$1239:$C$1240</c:f>
              <c:numCache>
                <c:formatCode>General</c:formatCode>
                <c:ptCount val="2"/>
                <c:pt idx="0">
                  <c:v>982</c:v>
                </c:pt>
                <c:pt idx="1">
                  <c:v>254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176-469A-9621-8B91CFD4D4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Lato" panose="020B0604020202020204" pitchFamily="34" charset="-18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400" b="1" u="none" strike="noStrike" cap="small">
                <a:effectLst/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rPr>
              <a:t>Czy jesteś za wprowadzeniem procedury odwróconej poniżej progów unijnych?</a:t>
            </a:r>
            <a:endParaRPr lang="pl-PL" sz="1400" u="none" strike="noStrike">
              <a:effectLst/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5E3-4482-9CEE-94D8C477D89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5E3-4482-9CEE-94D8C477D89A}"/>
              </c:ext>
            </c:extLst>
          </c:dPt>
          <c:dLbls>
            <c:spPr>
              <a:solidFill>
                <a:srgbClr val="FFFFFF"/>
              </a:solidFill>
              <a:ln>
                <a:solidFill>
                  <a:srgbClr val="000000">
                    <a:lumMod val="25000"/>
                    <a:lumOff val="75000"/>
                  </a:srgb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Lato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'Liczba odpowiedzi 1'!$B$1239:$B$1240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'Liczba odpowiedzi 1'!$F$1239:$F$1240</c:f>
              <c:numCache>
                <c:formatCode>General</c:formatCode>
                <c:ptCount val="2"/>
                <c:pt idx="0">
                  <c:v>988</c:v>
                </c:pt>
                <c:pt idx="1">
                  <c:v>248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5E3-4482-9CEE-94D8C477D8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Lato"/>
                <a:ea typeface="+mn-ea"/>
                <a:cs typeface="+mn-cs"/>
              </a:defRPr>
            </a:pPr>
            <a:r>
              <a:rPr lang="pl-PL"/>
              <a:t>Zamawiający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Lato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CB3-4F59-BE1C-58C386F4C93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CB3-4F59-BE1C-58C386F4C937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Lato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Arkusz1!$B$1041:$B$1042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Arkusz1!$F$1041:$F$1042</c:f>
              <c:numCache>
                <c:formatCode>General</c:formatCode>
                <c:ptCount val="2"/>
                <c:pt idx="0">
                  <c:v>840</c:v>
                </c:pt>
                <c:pt idx="1">
                  <c:v>198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CB3-4F59-BE1C-58C386F4C9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Lato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Lato"/>
                <a:ea typeface="+mn-ea"/>
                <a:cs typeface="+mn-cs"/>
              </a:defRPr>
            </a:pPr>
            <a:r>
              <a:rPr lang="pl-PL"/>
              <a:t>Wykonawcy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Lato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EFE-41B9-822C-3787B801939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EFE-41B9-822C-3787B801939D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Lato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'[Odpowiedzi - wykonawcy.xlsx]Arkusz1'!$B$201:$B$202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'[Odpowiedzi - wykonawcy.xlsx]Arkusz1'!$F$201:$F$202</c:f>
              <c:numCache>
                <c:formatCode>General</c:formatCode>
                <c:ptCount val="2"/>
                <c:pt idx="0">
                  <c:v>148</c:v>
                </c:pt>
                <c:pt idx="1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EFE-41B9-822C-3787B80193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Lato"/>
        </a:defRPr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Lato"/>
                <a:ea typeface="+mn-ea"/>
                <a:cs typeface="+mn-cs"/>
              </a:defRPr>
            </a:pPr>
            <a:r>
              <a:rPr lang="pl-PL" sz="1400" b="1" i="0" u="none" strike="noStrike" cap="small" baseline="0">
                <a:effectLst/>
              </a:rPr>
              <a:t>Czy w uzasadnionych przypadkach dopuszczona powinna być możliwość rezygnacji z waloryzacji wynagrodzenia?</a:t>
            </a:r>
            <a:endParaRPr lang="pl-PL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Lato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A59-4889-A08C-A3057B8FE9F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A59-4889-A08C-A3057B8FE9FF}"/>
              </c:ext>
            </c:extLst>
          </c:dPt>
          <c:dLbls>
            <c:spPr>
              <a:solidFill>
                <a:srgbClr val="FFFFFF"/>
              </a:solidFill>
              <a:ln>
                <a:solidFill>
                  <a:srgbClr val="000000">
                    <a:lumMod val="25000"/>
                    <a:lumOff val="75000"/>
                  </a:srgb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Lato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'Liczba odpowiedzi 1'!$B$1239:$B$1240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'Liczba odpowiedzi 1'!$G$1239:$G$1240</c:f>
              <c:numCache>
                <c:formatCode>General</c:formatCode>
                <c:ptCount val="2"/>
                <c:pt idx="0">
                  <c:v>986</c:v>
                </c:pt>
                <c:pt idx="1">
                  <c:v>250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A59-4889-A08C-A3057B8FE9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Lato"/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Lato" panose="020B0604020202020204" pitchFamily="34" charset="-18"/>
                <a:ea typeface="+mn-ea"/>
                <a:cs typeface="+mn-cs"/>
              </a:defRPr>
            </a:pPr>
            <a:r>
              <a:rPr lang="pl-PL" b="0"/>
              <a:t>Zamawiający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Lato" panose="020B0604020202020204" pitchFamily="34" charset="-18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E24-4A5D-A82B-CD483FB2E2B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E24-4A5D-A82B-CD483FB2E2B0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Lato" panose="020B0604020202020204" pitchFamily="34" charset="-18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Arkusz1!$B$1041:$B$1042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Arkusz1!$G$1041:$G$1042</c:f>
              <c:numCache>
                <c:formatCode>General</c:formatCode>
                <c:ptCount val="2"/>
                <c:pt idx="0">
                  <c:v>942</c:v>
                </c:pt>
                <c:pt idx="1">
                  <c:v>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E24-4A5D-A82B-CD483FB2E2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>
          <a:latin typeface="Lato" panose="020B0604020202020204" pitchFamily="34" charset="-18"/>
        </a:defRPr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Lato" panose="020B0604020202020204" pitchFamily="34" charset="-18"/>
                <a:ea typeface="+mn-ea"/>
                <a:cs typeface="+mn-cs"/>
              </a:defRPr>
            </a:pPr>
            <a:r>
              <a:rPr lang="pl-PL" b="0"/>
              <a:t>Wykonawcy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Lato" panose="020B0604020202020204" pitchFamily="34" charset="-18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01F-4AD2-8533-B1E474D613C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01F-4AD2-8533-B1E474D613CE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Lato" panose="020B0604020202020204" pitchFamily="34" charset="-18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Arkusz1!$B$201:$B$202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Arkusz1!$G$201:$G$202</c:f>
              <c:numCache>
                <c:formatCode>General</c:formatCode>
                <c:ptCount val="2"/>
                <c:pt idx="0">
                  <c:v>44</c:v>
                </c:pt>
                <c:pt idx="1">
                  <c:v>154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01F-4AD2-8533-B1E474D613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>
          <a:latin typeface="Lato" panose="020B0604020202020204" pitchFamily="34" charset="-18"/>
        </a:defRPr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400" b="1" u="none" strike="noStrike" cap="small">
                <a:effectLst/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rPr>
              <a:t>Czy powinien być wprowadzony obowiązek automatycznej waloryzacji w umowach o zamówienia publiczne?</a:t>
            </a:r>
            <a:endParaRPr lang="pl-PL" sz="1400" u="none" strike="noStrike">
              <a:effectLst/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B25-4C5C-A71E-302D9EB6ECB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B25-4C5C-A71E-302D9EB6ECB8}"/>
              </c:ext>
            </c:extLst>
          </c:dPt>
          <c:dLbls>
            <c:spPr>
              <a:solidFill>
                <a:srgbClr val="FFFFFF"/>
              </a:solidFill>
              <a:ln>
                <a:solidFill>
                  <a:srgbClr val="000000">
                    <a:lumMod val="25000"/>
                    <a:lumOff val="75000"/>
                  </a:srgb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Lato" panose="020F0502020204030203" pitchFamily="34" charset="0"/>
                    <a:ea typeface="Lato" panose="020F0502020204030203" pitchFamily="34" charset="0"/>
                    <a:cs typeface="Lato" panose="020F0502020204030203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'Liczba odpowiedzi 1'!$B$1239:$B$1240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'Liczba odpowiedzi 1'!$H$1239:$H$1240</c:f>
              <c:numCache>
                <c:formatCode>General</c:formatCode>
                <c:ptCount val="2"/>
                <c:pt idx="0">
                  <c:v>440</c:v>
                </c:pt>
                <c:pt idx="1">
                  <c:v>796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B25-4C5C-A71E-302D9EB6EC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Lato" panose="020B0604020202020204" pitchFamily="34" charset="-18"/>
                <a:ea typeface="+mn-ea"/>
                <a:cs typeface="+mn-cs"/>
              </a:defRPr>
            </a:pPr>
            <a:r>
              <a:rPr lang="pl-PL" b="0"/>
              <a:t>Zamawiający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Lato" panose="020B0604020202020204" pitchFamily="34" charset="-18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6EF-4A4A-B3F4-5C292E454F4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6EF-4A4A-B3F4-5C292E454F42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Lato" panose="020B0604020202020204" pitchFamily="34" charset="-18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Arkusz1!$B$1041:$B$1042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Arkusz1!$H$1041:$H$1042</c:f>
              <c:numCache>
                <c:formatCode>General</c:formatCode>
                <c:ptCount val="2"/>
                <c:pt idx="0">
                  <c:v>271</c:v>
                </c:pt>
                <c:pt idx="1">
                  <c:v>767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6EF-4A4A-B3F4-5C292E454F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>
          <a:latin typeface="Lato" panose="020B0604020202020204" pitchFamily="34" charset="-18"/>
        </a:defRPr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Lato" panose="020B0604020202020204" pitchFamily="34" charset="-18"/>
                <a:ea typeface="+mn-ea"/>
                <a:cs typeface="+mn-cs"/>
              </a:defRPr>
            </a:pPr>
            <a:r>
              <a:rPr lang="pl-PL"/>
              <a:t>Wykonawcy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Lato" panose="020B0604020202020204" pitchFamily="34" charset="-18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966-46D1-B84E-CBA259A5689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966-46D1-B84E-CBA259A56895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Lato" panose="020B0604020202020204" pitchFamily="34" charset="-18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Arkusz1!$B$201:$B$202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Arkusz1!$H$201:$H$202</c:f>
              <c:numCache>
                <c:formatCode>General</c:formatCode>
                <c:ptCount val="2"/>
                <c:pt idx="0">
                  <c:v>169</c:v>
                </c:pt>
                <c:pt idx="1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966-46D1-B84E-CBA259A568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Lato" panose="020B0604020202020204" pitchFamily="34" charset="-18"/>
        </a:defRPr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Lato" panose="020B0604020202020204" pitchFamily="34" charset="-18"/>
                <a:ea typeface="+mn-ea"/>
                <a:cs typeface="+mn-cs"/>
              </a:defRPr>
            </a:pPr>
            <a:r>
              <a:rPr lang="pl-PL" sz="1400" b="1" u="none" strike="noStrike" cap="small">
                <a:effectLst/>
              </a:rPr>
              <a:t>Czy długość okresu podlegającego waloryzacji powinna być:</a:t>
            </a:r>
            <a:endParaRPr lang="pl-PL" sz="1400" u="none" strike="noStrike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Lato" panose="020B0604020202020204" pitchFamily="34" charset="-18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60B-420B-AE6E-07D12540DF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60B-420B-AE6E-07D12540DF1D}"/>
              </c:ext>
            </c:extLst>
          </c:dPt>
          <c:dLbls>
            <c:spPr>
              <a:solidFill>
                <a:srgbClr val="FFFFFF"/>
              </a:solidFill>
              <a:ln>
                <a:solidFill>
                  <a:srgbClr val="000000">
                    <a:lumMod val="25000"/>
                    <a:lumOff val="75000"/>
                  </a:srgb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0">
                <a:spAutoFit/>
              </a:bodyPr>
              <a:lstStyle/>
              <a:p>
                <a:pPr algn="ctr"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Lato" panose="020B0604020202020204" pitchFamily="34" charset="-18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'Liczba odpowiedzi 1'!$I$1236:$I$1237</c:f>
              <c:strCache>
                <c:ptCount val="2"/>
                <c:pt idx="0">
                  <c:v>Wydłużona</c:v>
                </c:pt>
                <c:pt idx="1">
                  <c:v>Skrócona</c:v>
                </c:pt>
              </c:strCache>
            </c:strRef>
          </c:cat>
          <c:val>
            <c:numRef>
              <c:f>'Liczba odpowiedzi 1'!$I$1239:$I$1240</c:f>
              <c:numCache>
                <c:formatCode>General</c:formatCode>
                <c:ptCount val="2"/>
                <c:pt idx="0">
                  <c:v>935</c:v>
                </c:pt>
                <c:pt idx="1">
                  <c:v>301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60B-420B-AE6E-07D12540DF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Lato" panose="020B0604020202020204" pitchFamily="34" charset="-18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Lato"/>
                <a:ea typeface="+mn-ea"/>
                <a:cs typeface="+mn-cs"/>
              </a:defRPr>
            </a:pPr>
            <a:r>
              <a:rPr lang="pl-PL"/>
              <a:t>Zamawiający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Lato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09B-4633-8111-6C024C32E0B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09B-4633-8111-6C024C32E0BF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Lato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Arkusz1!$B$1041:$B$1042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Arkusz1!$C$1041:$C$1042</c:f>
              <c:numCache>
                <c:formatCode>General</c:formatCode>
                <c:ptCount val="2"/>
                <c:pt idx="0">
                  <c:v>878</c:v>
                </c:pt>
                <c:pt idx="1">
                  <c:v>160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09B-4633-8111-6C024C32E0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Lato"/>
        </a:defRPr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Lato" panose="020B0604020202020204" pitchFamily="34" charset="-18"/>
                <a:ea typeface="+mn-ea"/>
                <a:cs typeface="+mn-cs"/>
              </a:defRPr>
            </a:pPr>
            <a:r>
              <a:rPr lang="pl-PL"/>
              <a:t>Zamawiający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Lato" panose="020B0604020202020204" pitchFamily="34" charset="-18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AC3-43BB-9882-3C6CB364949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AC3-43BB-9882-3C6CB3649495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Lato" panose="020B0604020202020204" pitchFamily="34" charset="-18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Arkusz1!$I$1034:$I$1035</c:f>
              <c:strCache>
                <c:ptCount val="2"/>
                <c:pt idx="0">
                  <c:v>Wydłużona</c:v>
                </c:pt>
                <c:pt idx="1">
                  <c:v>Skrócona</c:v>
                </c:pt>
              </c:strCache>
            </c:strRef>
          </c:cat>
          <c:val>
            <c:numRef>
              <c:f>Arkusz1!$I$1041:$I$1042</c:f>
              <c:numCache>
                <c:formatCode>General</c:formatCode>
                <c:ptCount val="2"/>
                <c:pt idx="0">
                  <c:v>814</c:v>
                </c:pt>
                <c:pt idx="1">
                  <c:v>224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AC3-43BB-9882-3C6CB36494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Lato" panose="020B0604020202020204" pitchFamily="34" charset="-18"/>
        </a:defRPr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Lato" panose="020B0604020202020204" pitchFamily="34" charset="-18"/>
                <a:ea typeface="+mn-ea"/>
                <a:cs typeface="+mn-cs"/>
              </a:defRPr>
            </a:pPr>
            <a:r>
              <a:rPr lang="pl-PL">
                <a:latin typeface="Lato" panose="020B0604020202020204" pitchFamily="34" charset="-18"/>
              </a:rPr>
              <a:t>Wykonawcy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Lato" panose="020B0604020202020204" pitchFamily="34" charset="-18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87B-4D4A-8463-C6A2EE56383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87B-4D4A-8463-C6A2EE563832}"/>
              </c:ext>
            </c:extLst>
          </c:dPt>
          <c:dLbls>
            <c:dLbl>
              <c:idx val="0"/>
              <c:layout>
                <c:manualLayout>
                  <c:x val="-6.8259385665530754E-3"/>
                  <c:y val="0.16666666666666663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Lato" panose="020B0604020202020204" pitchFamily="34" charset="-18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2059641862173371"/>
                      <c:h val="0.1455045202682997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887B-4D4A-8463-C6A2EE563832}"/>
                </c:ext>
              </c:extLst>
            </c:dLbl>
            <c:dLbl>
              <c:idx val="1"/>
              <c:layout>
                <c:manualLayout>
                  <c:x val="4.5506257110352671E-3"/>
                  <c:y val="-1.3888888888888888E-2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Lato" panose="020B0604020202020204" pitchFamily="34" charset="-18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3-887B-4D4A-8463-C6A2EE563832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Lato" panose="020B0604020202020204" pitchFamily="34" charset="-18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Arkusz1!$I$198:$I$199</c:f>
              <c:strCache>
                <c:ptCount val="2"/>
                <c:pt idx="0">
                  <c:v>Wydłużona</c:v>
                </c:pt>
                <c:pt idx="1">
                  <c:v>Skrócona</c:v>
                </c:pt>
              </c:strCache>
            </c:strRef>
          </c:cat>
          <c:val>
            <c:numRef>
              <c:f>Arkusz1!$I$201:$I$202</c:f>
              <c:numCache>
                <c:formatCode>General</c:formatCode>
                <c:ptCount val="2"/>
                <c:pt idx="0">
                  <c:v>121</c:v>
                </c:pt>
                <c:pt idx="1">
                  <c:v>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87B-4D4A-8463-C6A2EE5638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Lato" panose="020B0604020202020204" pitchFamily="34" charset="-18"/>
                <a:ea typeface="+mn-ea"/>
                <a:cs typeface="+mn-cs"/>
              </a:defRPr>
            </a:pPr>
            <a:r>
              <a:rPr lang="pl-PL" sz="1200" b="1" u="none" strike="noStrike" cap="small">
                <a:effectLst/>
              </a:rPr>
              <a:t>Czy Pzp powinno przewidzieć fakultatywność rozpraw elektronicznych przed Krajową Izbą Odwoławczą / możliwość prowadzenia hybrydowych rozpraw?</a:t>
            </a:r>
            <a:endParaRPr lang="pl-PL" sz="1200" u="none" strike="noStrike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Lato" panose="020B0604020202020204" pitchFamily="34" charset="-18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384-468E-B139-F8336990037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384-468E-B139-F8336990037D}"/>
              </c:ext>
            </c:extLst>
          </c:dPt>
          <c:dLbls>
            <c:spPr>
              <a:solidFill>
                <a:srgbClr val="FFFFFF"/>
              </a:solidFill>
              <a:ln>
                <a:solidFill>
                  <a:srgbClr val="000000">
                    <a:lumMod val="25000"/>
                    <a:lumOff val="75000"/>
                  </a:srgb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0">
                <a:spAutoFit/>
              </a:bodyPr>
              <a:lstStyle/>
              <a:p>
                <a:pPr algn="ctr"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Lato" panose="020B0604020202020204" pitchFamily="34" charset="-18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'Liczba odpowiedzi 1'!$B$1239:$B$1240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'Liczba odpowiedzi 1'!$J$1239:$J$1240</c:f>
              <c:numCache>
                <c:formatCode>General</c:formatCode>
                <c:ptCount val="2"/>
                <c:pt idx="0">
                  <c:v>1088</c:v>
                </c:pt>
                <c:pt idx="1">
                  <c:v>148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384-468E-B139-F833699003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Lato" panose="020B0604020202020204" pitchFamily="34" charset="-18"/>
        </a:defRPr>
      </a:pPr>
      <a:endParaRPr lang="pl-PL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Lato" panose="020B0604020202020204" pitchFamily="34" charset="-18"/>
                <a:ea typeface="+mn-ea"/>
                <a:cs typeface="+mn-cs"/>
              </a:defRPr>
            </a:pPr>
            <a:r>
              <a:rPr lang="pl-PL"/>
              <a:t>Zamawiający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Lato" panose="020B0604020202020204" pitchFamily="34" charset="-18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933-40C9-8EDA-4B24895DB5A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933-40C9-8EDA-4B24895DB5A3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Lato" panose="020B0604020202020204" pitchFamily="34" charset="-18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Arkusz1!$B$1041:$B$1042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Arkusz1!$J$1041:$J$1042</c:f>
              <c:numCache>
                <c:formatCode>General</c:formatCode>
                <c:ptCount val="2"/>
                <c:pt idx="0">
                  <c:v>914</c:v>
                </c:pt>
                <c:pt idx="1">
                  <c:v>124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933-40C9-8EDA-4B24895DB5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Lato" panose="020B0604020202020204" pitchFamily="34" charset="-18"/>
        </a:defRPr>
      </a:pPr>
      <a:endParaRPr lang="pl-PL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defRPr>
            </a:pPr>
            <a:r>
              <a:rPr lang="pl-PL"/>
              <a:t>Wykonawcy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8CA-47FD-8CD5-7D26A155712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8CA-47FD-8CD5-7D26A155712F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Lato" panose="020F0502020204030203" pitchFamily="34" charset="0"/>
                    <a:ea typeface="Lato" panose="020F0502020204030203" pitchFamily="34" charset="0"/>
                    <a:cs typeface="Lato" panose="020F0502020204030203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Arkusz1!$B$201:$B$202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Arkusz1!$J$201:$J$202</c:f>
              <c:numCache>
                <c:formatCode>General</c:formatCode>
                <c:ptCount val="2"/>
                <c:pt idx="0">
                  <c:v>174</c:v>
                </c:pt>
                <c:pt idx="1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8CA-47FD-8CD5-7D26A15571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Lato" panose="020F0502020204030203" pitchFamily="34" charset="0"/>
          <a:ea typeface="Lato" panose="020F0502020204030203" pitchFamily="34" charset="0"/>
          <a:cs typeface="Lato" panose="020F0502020204030203" pitchFamily="34" charset="0"/>
        </a:defRPr>
      </a:pPr>
      <a:endParaRPr lang="pl-PL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Lato" panose="020B0604020202020204" pitchFamily="34" charset="-18"/>
                <a:ea typeface="+mn-ea"/>
                <a:cs typeface="+mn-cs"/>
              </a:defRPr>
            </a:pPr>
            <a:r>
              <a:rPr lang="pl-PL" sz="1400" b="1" i="0" u="none" strike="noStrike" cap="small" baseline="0">
                <a:effectLst/>
              </a:rPr>
              <a:t>Czy opłata za złożenie odwołania powinna być zwiększona?</a:t>
            </a:r>
            <a:endParaRPr lang="pl-PL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Lato" panose="020B0604020202020204" pitchFamily="34" charset="-18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F47-4348-9521-B7B8E3468C3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F47-4348-9521-B7B8E3468C3C}"/>
              </c:ext>
            </c:extLst>
          </c:dPt>
          <c:dLbls>
            <c:spPr>
              <a:solidFill>
                <a:srgbClr val="FFFFFF"/>
              </a:solidFill>
              <a:ln>
                <a:solidFill>
                  <a:srgbClr val="000000">
                    <a:lumMod val="25000"/>
                    <a:lumOff val="75000"/>
                  </a:srgb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0">
                <a:spAutoFit/>
              </a:bodyPr>
              <a:lstStyle/>
              <a:p>
                <a:pPr algn="ctr"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Lato" panose="020B0604020202020204" pitchFamily="34" charset="-18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'Liczba odpowiedzi 1'!$B$1239:$B$1240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'Liczba odpowiedzi 1'!$K$1239:$K$1240</c:f>
              <c:numCache>
                <c:formatCode>General</c:formatCode>
                <c:ptCount val="2"/>
                <c:pt idx="0">
                  <c:v>555</c:v>
                </c:pt>
                <c:pt idx="1">
                  <c:v>681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F47-4348-9521-B7B8E3468C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Lato" panose="020B0604020202020204" pitchFamily="34" charset="-18"/>
        </a:defRPr>
      </a:pPr>
      <a:endParaRPr lang="pl-PL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Lato" panose="020B0604020202020204" pitchFamily="34" charset="-18"/>
                <a:ea typeface="+mn-ea"/>
                <a:cs typeface="+mn-cs"/>
              </a:defRPr>
            </a:pPr>
            <a:r>
              <a:rPr lang="pl-PL"/>
              <a:t>Zamawiający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Lato" panose="020B0604020202020204" pitchFamily="34" charset="-18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5DA-4C11-B0F6-AFB6C7959B0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5DA-4C11-B0F6-AFB6C7959B0F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Lato" panose="020B0604020202020204" pitchFamily="34" charset="-18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Arkusz1!$B$1041:$B$1042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Arkusz1!$K$1041:$K$1042</c:f>
              <c:numCache>
                <c:formatCode>General</c:formatCode>
                <c:ptCount val="2"/>
                <c:pt idx="0">
                  <c:v>538</c:v>
                </c:pt>
                <c:pt idx="1">
                  <c:v>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5DA-4C11-B0F6-AFB6C7959B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Lato" panose="020B0604020202020204" pitchFamily="34" charset="-18"/>
        </a:defRPr>
      </a:pPr>
      <a:endParaRPr lang="pl-PL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defRPr>
            </a:pPr>
            <a:r>
              <a:rPr lang="pl-PL"/>
              <a:t>Wykonawcy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CFA-4733-963D-2422356FD25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CFA-4733-963D-2422356FD259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Lato" panose="020F0502020204030203" pitchFamily="34" charset="0"/>
                    <a:ea typeface="Lato" panose="020F0502020204030203" pitchFamily="34" charset="0"/>
                    <a:cs typeface="Lato" panose="020F0502020204030203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Arkusz1!$B$201:$B$202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Arkusz1!$K$201:$K$202</c:f>
              <c:numCache>
                <c:formatCode>General</c:formatCode>
                <c:ptCount val="2"/>
                <c:pt idx="0">
                  <c:v>17</c:v>
                </c:pt>
                <c:pt idx="1">
                  <c:v>181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CFA-4733-963D-2422356FD2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Lato" panose="020F0502020204030203" pitchFamily="34" charset="0"/>
          <a:ea typeface="Lato" panose="020F0502020204030203" pitchFamily="34" charset="0"/>
          <a:cs typeface="Lato" panose="020F0502020204030203" pitchFamily="34" charset="0"/>
        </a:defRPr>
      </a:pPr>
      <a:endParaRPr lang="pl-PL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Lato" panose="020B0604020202020204" pitchFamily="34" charset="-18"/>
                <a:ea typeface="+mn-ea"/>
                <a:cs typeface="+mn-cs"/>
              </a:defRPr>
            </a:pPr>
            <a:r>
              <a:rPr lang="pl-PL" sz="1400" b="1" u="none" strike="noStrike" cap="small">
                <a:effectLst/>
              </a:rPr>
              <a:t>Czy Pzp powinno przewidywać obowiązek odpowiedzi na odwołanie?</a:t>
            </a:r>
            <a:endParaRPr lang="pl-PL" sz="1400" u="none" strike="noStrike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Lato" panose="020B0604020202020204" pitchFamily="34" charset="-18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095-4D14-BFBB-4C00D0543A6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095-4D14-BFBB-4C00D0543A6C}"/>
              </c:ext>
            </c:extLst>
          </c:dPt>
          <c:dLbls>
            <c:spPr>
              <a:solidFill>
                <a:srgbClr val="FFFFFF"/>
              </a:solidFill>
              <a:ln>
                <a:solidFill>
                  <a:srgbClr val="000000">
                    <a:lumMod val="25000"/>
                    <a:lumOff val="75000"/>
                  </a:srgb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Lato" panose="020B0604020202020204" pitchFamily="34" charset="-18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'Liczba odpowiedzi 1'!$B$1239:$B$1240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'Liczba odpowiedzi 1'!$L$1239:$L$1240</c:f>
              <c:numCache>
                <c:formatCode>General</c:formatCode>
                <c:ptCount val="2"/>
                <c:pt idx="0">
                  <c:v>689</c:v>
                </c:pt>
                <c:pt idx="1">
                  <c:v>547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095-4D14-BFBB-4C00D0543A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Lato" panose="020B0604020202020204" pitchFamily="34" charset="-18"/>
        </a:defRPr>
      </a:pPr>
      <a:endParaRPr lang="pl-PL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Lato" panose="020B0604020202020204" pitchFamily="34" charset="-18"/>
                <a:ea typeface="+mn-ea"/>
                <a:cs typeface="+mn-cs"/>
              </a:defRPr>
            </a:pPr>
            <a:r>
              <a:rPr lang="pl-PL"/>
              <a:t>Zamawiający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Lato" panose="020B0604020202020204" pitchFamily="34" charset="-18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ADC-4156-A19E-BD0E500EF5B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ADC-4156-A19E-BD0E500EF5B6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Lato" panose="020B0604020202020204" pitchFamily="34" charset="-18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Arkusz1!$B$1041:$B$1042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Arkusz1!$L$1041:$L$1042</c:f>
              <c:numCache>
                <c:formatCode>General</c:formatCode>
                <c:ptCount val="2"/>
                <c:pt idx="0">
                  <c:v>533</c:v>
                </c:pt>
                <c:pt idx="1">
                  <c:v>505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ADC-4156-A19E-BD0E500EF5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Lato" panose="020B0604020202020204" pitchFamily="34" charset="-18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Lato"/>
                <a:ea typeface="+mn-ea"/>
                <a:cs typeface="+mn-cs"/>
              </a:defRPr>
            </a:pPr>
            <a:r>
              <a:rPr lang="pl-PL"/>
              <a:t>Wykonawcy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Lato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A3D-4741-84D1-EC836E9116A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A3D-4741-84D1-EC836E9116A3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Lato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'[Odpowiedzi - wykonawcy.xlsx]Arkusz1'!$B$201:$B$202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'[Odpowiedzi - wykonawcy.xlsx]Arkusz1'!$C$201:$C$202</c:f>
              <c:numCache>
                <c:formatCode>General</c:formatCode>
                <c:ptCount val="2"/>
                <c:pt idx="0">
                  <c:v>104</c:v>
                </c:pt>
                <c:pt idx="1">
                  <c:v>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A3D-4741-84D1-EC836E9116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Lato"/>
        </a:defRPr>
      </a:pPr>
      <a:endParaRPr lang="pl-PL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defRPr>
            </a:pPr>
            <a:r>
              <a:rPr lang="pl-PL"/>
              <a:t>Wykonawcy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1C2-464F-B6E2-30CD1576D7B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1C2-464F-B6E2-30CD1576D7B7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Lato" panose="020F0502020204030203" pitchFamily="34" charset="0"/>
                    <a:ea typeface="Lato" panose="020F0502020204030203" pitchFamily="34" charset="0"/>
                    <a:cs typeface="Lato" panose="020F0502020204030203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Arkusz1!$B$201:$B$202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Arkusz1!$L$201:$L$202</c:f>
              <c:numCache>
                <c:formatCode>General</c:formatCode>
                <c:ptCount val="2"/>
                <c:pt idx="0">
                  <c:v>156</c:v>
                </c:pt>
                <c:pt idx="1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1C2-464F-B6E2-30CD1576D7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Lato" panose="020F0502020204030203" pitchFamily="34" charset="0"/>
          <a:ea typeface="Lato" panose="020F0502020204030203" pitchFamily="34" charset="0"/>
          <a:cs typeface="Lato" panose="020F0502020204030203" pitchFamily="34" charset="0"/>
        </a:defRPr>
      </a:pPr>
      <a:endParaRPr lang="pl-PL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Lato" panose="020B0604020202020204" pitchFamily="34" charset="-18"/>
                <a:ea typeface="+mn-ea"/>
                <a:cs typeface="+mn-cs"/>
              </a:defRPr>
            </a:pPr>
            <a:r>
              <a:rPr lang="pl-PL" sz="1400" b="1" u="none" strike="noStrike" cap="small">
                <a:effectLst/>
              </a:rPr>
              <a:t>Czy powinien być otwarty katalog klauzul abuzywnych?</a:t>
            </a:r>
            <a:endParaRPr lang="pl-PL" sz="1400" u="none" strike="noStrike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Lato" panose="020B0604020202020204" pitchFamily="34" charset="-18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424-4A91-80BB-6510BEB1AA0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424-4A91-80BB-6510BEB1AA00}"/>
              </c:ext>
            </c:extLst>
          </c:dPt>
          <c:dLbls>
            <c:spPr>
              <a:solidFill>
                <a:srgbClr val="FFFFFF"/>
              </a:solidFill>
              <a:ln>
                <a:solidFill>
                  <a:srgbClr val="000000">
                    <a:lumMod val="25000"/>
                    <a:lumOff val="75000"/>
                  </a:srgb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Lato" panose="020B0604020202020204" pitchFamily="34" charset="-18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'Liczba odpowiedzi 1'!$B$1239:$B$1240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'Liczba odpowiedzi 1'!$M$1239:$M$1240</c:f>
              <c:numCache>
                <c:formatCode>General</c:formatCode>
                <c:ptCount val="2"/>
                <c:pt idx="0">
                  <c:v>553</c:v>
                </c:pt>
                <c:pt idx="1">
                  <c:v>683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424-4A91-80BB-6510BEB1AA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Lato" panose="020B0604020202020204" pitchFamily="34" charset="-18"/>
        </a:defRPr>
      </a:pPr>
      <a:endParaRPr lang="pl-PL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Lato" panose="020B0604020202020204" pitchFamily="34" charset="-18"/>
                <a:ea typeface="+mn-ea"/>
                <a:cs typeface="+mn-cs"/>
              </a:defRPr>
            </a:pPr>
            <a:r>
              <a:rPr lang="pl-PL"/>
              <a:t>Zamawiający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Lato" panose="020B0604020202020204" pitchFamily="34" charset="-18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461-4AFB-A0B8-4C38B773CCB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461-4AFB-A0B8-4C38B773CCB0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Lato" panose="020B0604020202020204" pitchFamily="34" charset="-18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Arkusz1!$B$1041:$B$1042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Arkusz1!$M$1041:$M$1042</c:f>
              <c:numCache>
                <c:formatCode>General</c:formatCode>
                <c:ptCount val="2"/>
                <c:pt idx="0">
                  <c:v>415</c:v>
                </c:pt>
                <c:pt idx="1">
                  <c:v>623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461-4AFB-A0B8-4C38B773CC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Lato" panose="020B0604020202020204" pitchFamily="34" charset="-18"/>
        </a:defRPr>
      </a:pPr>
      <a:endParaRPr lang="pl-PL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Lato" panose="020B0604020202020204" pitchFamily="34" charset="-18"/>
                <a:ea typeface="+mn-ea"/>
                <a:cs typeface="+mn-cs"/>
              </a:defRPr>
            </a:pPr>
            <a:r>
              <a:rPr lang="pl-PL"/>
              <a:t>Wykonawcy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Lato" panose="020B0604020202020204" pitchFamily="34" charset="-18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C7D-421F-A0A2-03E3C78CFAB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C7D-421F-A0A2-03E3C78CFABA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Lato" panose="020B0604020202020204" pitchFamily="34" charset="-18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Arkusz1!$B$201:$B$202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Arkusz1!$M$201:$M$202</c:f>
              <c:numCache>
                <c:formatCode>General</c:formatCode>
                <c:ptCount val="2"/>
                <c:pt idx="0">
                  <c:v>138</c:v>
                </c:pt>
                <c:pt idx="1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C7D-421F-A0A2-03E3C78CFA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Lato" panose="020B0604020202020204" pitchFamily="34" charset="-18"/>
        </a:defRPr>
      </a:pPr>
      <a:endParaRPr lang="pl-PL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Lato" panose="020B0604020202020204" pitchFamily="34" charset="-18"/>
                <a:ea typeface="+mn-ea"/>
                <a:cs typeface="+mn-cs"/>
              </a:defRPr>
            </a:pPr>
            <a:r>
              <a:rPr lang="pl-PL" sz="1400" b="1" u="none" strike="noStrike" cap="small">
                <a:effectLst/>
              </a:rPr>
              <a:t>Czy powinien być wskazany ustawowy maksymalny limit kar umownych?</a:t>
            </a:r>
            <a:endParaRPr lang="pl-PL" sz="1400" u="none" strike="noStrike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Lato" panose="020B0604020202020204" pitchFamily="34" charset="-18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212-498B-AB17-89AD52CD139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212-498B-AB17-89AD52CD1390}"/>
              </c:ext>
            </c:extLst>
          </c:dPt>
          <c:dLbls>
            <c:spPr>
              <a:solidFill>
                <a:srgbClr val="FFFFFF"/>
              </a:solidFill>
              <a:ln>
                <a:solidFill>
                  <a:srgbClr val="000000">
                    <a:lumMod val="25000"/>
                    <a:lumOff val="75000"/>
                  </a:srgb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Lato" panose="020B0604020202020204" pitchFamily="34" charset="-18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'Liczba odpowiedzi 1'!$B$1239:$B$1240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'Liczba odpowiedzi 1'!$N$1239:$N$1240</c:f>
              <c:numCache>
                <c:formatCode>General</c:formatCode>
                <c:ptCount val="2"/>
                <c:pt idx="0">
                  <c:v>902</c:v>
                </c:pt>
                <c:pt idx="1">
                  <c:v>334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212-498B-AB17-89AD52CD13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Lato" panose="020B0604020202020204" pitchFamily="34" charset="-18"/>
        </a:defRPr>
      </a:pPr>
      <a:endParaRPr lang="pl-PL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Lato" panose="020B0604020202020204" pitchFamily="34" charset="-18"/>
                <a:ea typeface="+mn-ea"/>
                <a:cs typeface="+mn-cs"/>
              </a:defRPr>
            </a:pPr>
            <a:r>
              <a:rPr lang="pl-PL"/>
              <a:t>Zamawiający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Lato" panose="020B0604020202020204" pitchFamily="34" charset="-18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7C6-4FA8-9191-C7DC3E57C1A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7C6-4FA8-9191-C7DC3E57C1AE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Lato" panose="020B0604020202020204" pitchFamily="34" charset="-18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Arkusz1!$B$1041:$B$1042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Arkusz1!$N$1041:$N$1042</c:f>
              <c:numCache>
                <c:formatCode>General</c:formatCode>
                <c:ptCount val="2"/>
                <c:pt idx="0">
                  <c:v>722</c:v>
                </c:pt>
                <c:pt idx="1">
                  <c:v>316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7C6-4FA8-9191-C7DC3E57C1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Lato" panose="020B0604020202020204" pitchFamily="34" charset="-18"/>
        </a:defRPr>
      </a:pPr>
      <a:endParaRPr lang="pl-PL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defRPr>
            </a:pPr>
            <a:r>
              <a:rPr lang="pl-PL"/>
              <a:t>Wykonawcy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3DC-43C8-9CFD-537EC75BFF9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3DC-43C8-9CFD-537EC75BFF99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Lato" panose="020F0502020204030203" pitchFamily="34" charset="0"/>
                    <a:ea typeface="Lato" panose="020F0502020204030203" pitchFamily="34" charset="0"/>
                    <a:cs typeface="Lato" panose="020F0502020204030203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Arkusz1!$B$201:$B$202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Arkusz1!$N$201:$N$202</c:f>
              <c:numCache>
                <c:formatCode>General</c:formatCode>
                <c:ptCount val="2"/>
                <c:pt idx="0">
                  <c:v>180</c:v>
                </c:pt>
                <c:pt idx="1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3DC-43C8-9CFD-537EC75BFF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Lato" panose="020F0502020204030203" pitchFamily="34" charset="0"/>
          <a:ea typeface="Lato" panose="020F0502020204030203" pitchFamily="34" charset="0"/>
          <a:cs typeface="Lato" panose="020F0502020204030203" pitchFamily="34" charset="0"/>
        </a:defRPr>
      </a:pPr>
      <a:endParaRPr lang="pl-PL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Lato" panose="020B0604020202020204" pitchFamily="34" charset="-18"/>
                <a:ea typeface="+mn-ea"/>
                <a:cs typeface="+mn-cs"/>
              </a:defRPr>
            </a:pPr>
            <a:r>
              <a:rPr lang="pl-PL" sz="1400" b="1" u="none" strike="noStrike" cap="small">
                <a:effectLst/>
              </a:rPr>
              <a:t>Czy powinien być wskazany ustawowy maksymalny limit odpowiedzialności odszkodowawczej?</a:t>
            </a:r>
            <a:endParaRPr lang="pl-PL" sz="1400" u="none" strike="noStrike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Lato" panose="020B0604020202020204" pitchFamily="34" charset="-18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CC9-4601-A4E3-16B6BAF5F6D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CC9-4601-A4E3-16B6BAF5F6D5}"/>
              </c:ext>
            </c:extLst>
          </c:dPt>
          <c:dLbls>
            <c:spPr>
              <a:solidFill>
                <a:srgbClr val="FFFFFF"/>
              </a:solidFill>
              <a:ln>
                <a:solidFill>
                  <a:srgbClr val="000000">
                    <a:lumMod val="25000"/>
                    <a:lumOff val="75000"/>
                  </a:srgb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Lato" panose="020B0604020202020204" pitchFamily="34" charset="-18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'Liczba odpowiedzi 1'!$B$1239:$B$1240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'Liczba odpowiedzi 1'!$O$1239:$O$1240</c:f>
              <c:numCache>
                <c:formatCode>General</c:formatCode>
                <c:ptCount val="2"/>
                <c:pt idx="0">
                  <c:v>762</c:v>
                </c:pt>
                <c:pt idx="1">
                  <c:v>474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CC9-4601-A4E3-16B6BAF5F6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Lato" panose="020B0604020202020204" pitchFamily="34" charset="-18"/>
        </a:defRPr>
      </a:pPr>
      <a:endParaRPr lang="pl-PL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Lato" panose="020B0604020202020204" pitchFamily="34" charset="-18"/>
                <a:ea typeface="+mn-ea"/>
                <a:cs typeface="+mn-cs"/>
              </a:defRPr>
            </a:pPr>
            <a:r>
              <a:rPr lang="pl-PL" b="0"/>
              <a:t>Zamawiający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Lato" panose="020B0604020202020204" pitchFamily="34" charset="-18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F2D-4966-93C1-3BA503DE0AB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F2D-4966-93C1-3BA503DE0ABE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Lato" panose="020B0604020202020204" pitchFamily="34" charset="-18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Arkusz1!$B$1041:$B$1042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Arkusz1!$O$1041:$O$1042</c:f>
              <c:numCache>
                <c:formatCode>General</c:formatCode>
                <c:ptCount val="2"/>
                <c:pt idx="0">
                  <c:v>593</c:v>
                </c:pt>
                <c:pt idx="1">
                  <c:v>445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F2D-4966-93C1-3BA503DE0A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Lato" panose="020B0604020202020204" pitchFamily="34" charset="-18"/>
        </a:defRPr>
      </a:pPr>
      <a:endParaRPr lang="pl-PL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defRPr>
            </a:pPr>
            <a:r>
              <a:rPr lang="pl-PL"/>
              <a:t>Wykonawcy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C59-4410-885C-AA44256B0DC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C59-4410-885C-AA44256B0DCD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Lato" panose="020F0502020204030203" pitchFamily="34" charset="0"/>
                    <a:ea typeface="Lato" panose="020F0502020204030203" pitchFamily="34" charset="0"/>
                    <a:cs typeface="Lato" panose="020F0502020204030203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Arkusz1!$B$201:$B$202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Arkusz1!$O$201:$O$202</c:f>
              <c:numCache>
                <c:formatCode>General</c:formatCode>
                <c:ptCount val="2"/>
                <c:pt idx="0">
                  <c:v>169</c:v>
                </c:pt>
                <c:pt idx="1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C59-4410-885C-AA44256B0D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Lato" panose="020F0502020204030203" pitchFamily="34" charset="0"/>
          <a:ea typeface="Lato" panose="020F0502020204030203" pitchFamily="34" charset="0"/>
          <a:cs typeface="Lato" panose="020F0502020204030203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200" b="1" u="none" strike="noStrike" cap="small">
                <a:effectLst/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rPr>
              <a:t>Czy uważasz za słuszne rozróżnienie progu stosowania Pzp dla robót budowlanych oraz usług i dostaw  (aktualnie wynoszącego 130.000,00 zł dla wszystkich rodzajów zamówień)</a:t>
            </a:r>
            <a:endParaRPr lang="pl-PL" sz="1200" u="none" strike="noStrike">
              <a:effectLst/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165-4980-834F-3BA9FA983CF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165-4980-834F-3BA9FA983CFF}"/>
              </c:ext>
            </c:extLst>
          </c:dPt>
          <c:dLbls>
            <c:spPr>
              <a:solidFill>
                <a:srgbClr val="FFFFFF"/>
              </a:solidFill>
              <a:ln>
                <a:solidFill>
                  <a:srgbClr val="000000">
                    <a:lumMod val="25000"/>
                    <a:lumOff val="75000"/>
                  </a:srgb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Lato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'Liczba odpowiedzi 1'!$B$1239:$B$1240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'Liczba odpowiedzi 1'!$D$1239:$D$1240</c:f>
              <c:numCache>
                <c:formatCode>General</c:formatCode>
                <c:ptCount val="2"/>
                <c:pt idx="0">
                  <c:v>834</c:v>
                </c:pt>
                <c:pt idx="1">
                  <c:v>402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165-4980-834F-3BA9FA983C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Lato"/>
                <a:ea typeface="+mn-ea"/>
                <a:cs typeface="+mn-cs"/>
              </a:defRPr>
            </a:pPr>
            <a:r>
              <a:rPr lang="pl-PL" b="0"/>
              <a:t>Zamawiający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Lato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C1C-4B72-A5A7-E79CE457DC2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C1C-4B72-A5A7-E79CE457DC29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Lato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Arkusz1!$B$1041:$B$1042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Arkusz1!$D$1041:$D$1042</c:f>
              <c:numCache>
                <c:formatCode>General</c:formatCode>
                <c:ptCount val="2"/>
                <c:pt idx="0">
                  <c:v>707</c:v>
                </c:pt>
                <c:pt idx="1">
                  <c:v>331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C1C-4B72-A5A7-E79CE457DC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>
          <a:latin typeface="Lato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Lato"/>
                <a:ea typeface="+mn-ea"/>
                <a:cs typeface="+mn-cs"/>
              </a:defRPr>
            </a:pPr>
            <a:r>
              <a:rPr lang="pl-PL"/>
              <a:t>Wykonawcy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Lato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BCF-445B-A455-2BB52A17F96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BCF-445B-A455-2BB52A17F963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Lato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'[Odpowiedzi - wykonawcy.xlsx]Arkusz1'!$B$201:$B$202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'[Odpowiedzi - wykonawcy.xlsx]Arkusz1'!$D$201:$D$202</c:f>
              <c:numCache>
                <c:formatCode>General</c:formatCode>
                <c:ptCount val="2"/>
                <c:pt idx="0">
                  <c:v>127</c:v>
                </c:pt>
                <c:pt idx="1">
                  <c:v>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BCF-445B-A455-2BB52A17F9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Lato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Lato"/>
                <a:ea typeface="+mn-ea"/>
                <a:cs typeface="+mn-cs"/>
              </a:defRPr>
            </a:pPr>
            <a:r>
              <a:rPr lang="pl-PL" sz="1400" b="1" u="none" strike="noStrike" cap="small">
                <a:effectLst/>
              </a:rPr>
              <a:t>Czy Twoim zdaniem konieczne jest wprowadzenie automatycznej (np. corocznej) indeksacji progów stosowania Ustawy?</a:t>
            </a:r>
            <a:endParaRPr lang="pl-PL" sz="1400" u="none" strike="noStrike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Lato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72E-4104-B512-A782D788124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72E-4104-B512-A782D7881247}"/>
              </c:ext>
            </c:extLst>
          </c:dPt>
          <c:dLbls>
            <c:spPr>
              <a:solidFill>
                <a:srgbClr val="FFFFFF"/>
              </a:solidFill>
              <a:ln>
                <a:solidFill>
                  <a:srgbClr val="000000">
                    <a:lumMod val="25000"/>
                    <a:lumOff val="75000"/>
                  </a:srgb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Lato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'Liczba odpowiedzi 1'!$B$1239:$B$1240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'Liczba odpowiedzi 1'!$E$1239:$E$1240</c:f>
              <c:numCache>
                <c:formatCode>General</c:formatCode>
                <c:ptCount val="2"/>
                <c:pt idx="0">
                  <c:v>813</c:v>
                </c:pt>
                <c:pt idx="1">
                  <c:v>423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72E-4104-B512-A782D78812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>
          <a:latin typeface="Lato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Lato"/>
                <a:ea typeface="+mn-ea"/>
                <a:cs typeface="+mn-cs"/>
              </a:defRPr>
            </a:pPr>
            <a:r>
              <a:rPr lang="pl-PL"/>
              <a:t>Zamawiający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Lato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10F-4AA2-A04D-AA8DD60CFDF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10F-4AA2-A04D-AA8DD60CFDFD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Lato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Arkusz1!$B$1041:$B$1042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Arkusz1!$E$1041:$E$1042</c:f>
              <c:numCache>
                <c:formatCode>General</c:formatCode>
                <c:ptCount val="2"/>
                <c:pt idx="0">
                  <c:v>690</c:v>
                </c:pt>
                <c:pt idx="1">
                  <c:v>348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10F-4AA2-A04D-AA8DD60CFD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Lato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Lato"/>
                <a:ea typeface="+mn-ea"/>
                <a:cs typeface="+mn-cs"/>
              </a:defRPr>
            </a:pPr>
            <a:r>
              <a:rPr lang="pl-PL"/>
              <a:t>Wykonawcy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Lato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825-4A27-945D-3A6C7ED3CCF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825-4A27-945D-3A6C7ED3CCFF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Lato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'[Odpowiedzi - wykonawcy.xlsx]Arkusz1'!$B$201:$B$202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'[Odpowiedzi - wykonawcy.xlsx]Arkusz1'!$E$201:$E$202</c:f>
              <c:numCache>
                <c:formatCode>General</c:formatCode>
                <c:ptCount val="2"/>
                <c:pt idx="0">
                  <c:v>123</c:v>
                </c:pt>
                <c:pt idx="1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825-4A27-945D-3A6C7ED3CC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Lato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EDCDAC-7D10-45A4-9260-3CC1B3EB4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2697</Words>
  <Characters>16187</Characters>
  <Application>Microsoft Office Word</Application>
  <DocSecurity>0</DocSecurity>
  <Lines>134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UZP</Company>
  <LinksUpToDate>false</LinksUpToDate>
  <CharactersWithSpaces>18847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Trybusz Michał</dc:creator>
  <cp:lastModifiedBy>Trybusz Michał</cp:lastModifiedBy>
  <cp:revision>2</cp:revision>
  <dcterms:created xsi:type="dcterms:W3CDTF">2024-02-27T13:45:00Z</dcterms:created>
  <dcterms:modified xsi:type="dcterms:W3CDTF">2024-02-27T13:45:00Z</dcterms:modified>
</cp:coreProperties>
</file>