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921F9" w14:textId="204CD423" w:rsidR="00527043" w:rsidRPr="00D437FC" w:rsidRDefault="001356B6" w:rsidP="001356B6">
      <w:pPr>
        <w:pStyle w:val="Pagedecouverture"/>
        <w:rPr>
          <w:noProof/>
        </w:rPr>
      </w:pPr>
      <w:r>
        <w:rPr>
          <w:noProof/>
        </w:rPr>
        <w:pict w14:anchorId="049EF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0AB7F44-1F9C-492C-BD87-611D0962C974" style="width:455.25pt;height:414pt">
            <v:imagedata r:id="rId11" o:title=""/>
          </v:shape>
        </w:pict>
      </w:r>
    </w:p>
    <w:p w14:paraId="4D9903A1" w14:textId="77777777" w:rsidR="00527043" w:rsidRPr="00D437FC" w:rsidRDefault="00527043" w:rsidP="00527043">
      <w:pPr>
        <w:rPr>
          <w:noProof/>
        </w:rPr>
        <w:sectPr w:rsidR="00527043" w:rsidRPr="00D437FC" w:rsidSect="001356B6">
          <w:footerReference w:type="default" r:id="rId12"/>
          <w:pgSz w:w="11907" w:h="16839"/>
          <w:pgMar w:top="1134" w:right="1417" w:bottom="1134" w:left="1417" w:header="709" w:footer="709" w:gutter="0"/>
          <w:pgNumType w:start="0"/>
          <w:cols w:space="720"/>
          <w:docGrid w:linePitch="360"/>
        </w:sectPr>
      </w:pPr>
    </w:p>
    <w:p w14:paraId="022D1DD9" w14:textId="77777777" w:rsidR="00527043" w:rsidRPr="00D437FC" w:rsidRDefault="00527043" w:rsidP="00474CBD">
      <w:pPr>
        <w:pStyle w:val="Exposdesmotifstitre"/>
        <w:rPr>
          <w:noProof/>
        </w:rPr>
      </w:pPr>
      <w:bookmarkStart w:id="0" w:name="_GoBack"/>
      <w:bookmarkEnd w:id="0"/>
      <w:r w:rsidRPr="00D437FC">
        <w:rPr>
          <w:noProof/>
        </w:rPr>
        <w:lastRenderedPageBreak/>
        <w:t>UZASADNIENIE</w:t>
      </w:r>
    </w:p>
    <w:p w14:paraId="17DEB699" w14:textId="77777777" w:rsidR="00527043" w:rsidRPr="00D437FC" w:rsidRDefault="00527043" w:rsidP="00474CBD">
      <w:pPr>
        <w:pStyle w:val="ManualHeading1"/>
        <w:rPr>
          <w:noProof/>
        </w:rPr>
      </w:pPr>
      <w:r w:rsidRPr="00D437FC">
        <w:rPr>
          <w:noProof/>
        </w:rPr>
        <w:t>1.</w:t>
      </w:r>
      <w:r w:rsidRPr="00D437FC">
        <w:rPr>
          <w:noProof/>
        </w:rPr>
        <w:tab/>
        <w:t>KONTEKST WNIOSKU</w:t>
      </w:r>
    </w:p>
    <w:p w14:paraId="560FB7DE" w14:textId="12AF7B24" w:rsidR="00527043" w:rsidRPr="00D437FC" w:rsidRDefault="00527043" w:rsidP="00474CBD">
      <w:pPr>
        <w:pStyle w:val="ManualHeading2"/>
        <w:rPr>
          <w:rFonts w:eastAsia="Arial Unicode MS"/>
          <w:noProof/>
        </w:rPr>
      </w:pPr>
      <w:r w:rsidRPr="00D437FC">
        <w:rPr>
          <w:noProof/>
          <w:color w:val="000000"/>
          <w:u w:color="000000"/>
          <w:bdr w:val="nil"/>
        </w:rPr>
        <w:t>•</w:t>
      </w:r>
      <w:r w:rsidRPr="00D437FC">
        <w:rPr>
          <w:noProof/>
        </w:rPr>
        <w:tab/>
        <w:t>Przyczyny</w:t>
      </w:r>
      <w:r w:rsidR="00051931" w:rsidRPr="00D437FC">
        <w:rPr>
          <w:noProof/>
        </w:rPr>
        <w:t xml:space="preserve"> i</w:t>
      </w:r>
      <w:r w:rsidR="00051931">
        <w:rPr>
          <w:noProof/>
        </w:rPr>
        <w:t> </w:t>
      </w:r>
      <w:r w:rsidR="00051931" w:rsidRPr="00D437FC">
        <w:rPr>
          <w:noProof/>
        </w:rPr>
        <w:t>cel</w:t>
      </w:r>
      <w:r w:rsidRPr="00D437FC">
        <w:rPr>
          <w:noProof/>
        </w:rPr>
        <w:t>e wniosku</w:t>
      </w:r>
    </w:p>
    <w:p w14:paraId="340D978A" w14:textId="6217AAC0" w:rsidR="00485B87" w:rsidRPr="00D437FC" w:rsidRDefault="00485B87" w:rsidP="00485B87">
      <w:pPr>
        <w:pBdr>
          <w:top w:val="nil"/>
          <w:left w:val="nil"/>
          <w:bottom w:val="nil"/>
          <w:right w:val="nil"/>
          <w:between w:val="nil"/>
          <w:bar w:val="nil"/>
        </w:pBdr>
        <w:rPr>
          <w:rFonts w:eastAsia="Calibri"/>
          <w:noProof/>
          <w:szCs w:val="24"/>
        </w:rPr>
      </w:pPr>
      <w:r w:rsidRPr="00D437FC">
        <w:rPr>
          <w:noProof/>
        </w:rPr>
        <w:t xml:space="preserve">W komunikacie pt. „Długoterminowa konkurencyjność UE: perspektywa na przyszłość </w:t>
      </w:r>
      <w:r w:rsidRPr="00051931">
        <w:rPr>
          <w:noProof/>
        </w:rPr>
        <w:t>po</w:t>
      </w:r>
      <w:r w:rsidR="00051931" w:rsidRPr="00051931">
        <w:rPr>
          <w:noProof/>
        </w:rPr>
        <w:t> </w:t>
      </w:r>
      <w:r w:rsidRPr="00051931">
        <w:rPr>
          <w:noProof/>
        </w:rPr>
        <w:t>2</w:t>
      </w:r>
      <w:r w:rsidRPr="00D437FC">
        <w:rPr>
          <w:noProof/>
        </w:rPr>
        <w:t>0</w:t>
      </w:r>
      <w:r w:rsidRPr="00051931">
        <w:rPr>
          <w:noProof/>
        </w:rPr>
        <w:t>30</w:t>
      </w:r>
      <w:r w:rsidR="00051931" w:rsidRPr="00051931">
        <w:rPr>
          <w:noProof/>
        </w:rPr>
        <w:t> </w:t>
      </w:r>
      <w:r w:rsidRPr="00051931">
        <w:rPr>
          <w:noProof/>
        </w:rPr>
        <w:t>r.</w:t>
      </w:r>
      <w:r w:rsidRPr="00D437FC">
        <w:rPr>
          <w:noProof/>
        </w:rPr>
        <w:t>”(</w:t>
      </w:r>
      <w:r w:rsidRPr="00D437FC">
        <w:rPr>
          <w:rStyle w:val="FootnoteReference"/>
          <w:rFonts w:eastAsia="Calibri"/>
          <w:noProof/>
        </w:rPr>
        <w:footnoteReference w:id="2"/>
      </w:r>
      <w:r w:rsidRPr="00D437FC">
        <w:rPr>
          <w:noProof/>
        </w:rPr>
        <w:t>) Komisja podkreśliła znaczenie systemu regulacyjnego zapewniającego osiągnięcie celów przy minimalnych kosztach</w:t>
      </w:r>
      <w:r w:rsidR="00051931" w:rsidRPr="00D437FC">
        <w:rPr>
          <w:noProof/>
        </w:rPr>
        <w:t>. W</w:t>
      </w:r>
      <w:r w:rsidR="00051931">
        <w:rPr>
          <w:noProof/>
        </w:rPr>
        <w:t> </w:t>
      </w:r>
      <w:r w:rsidR="00051931" w:rsidRPr="00D437FC">
        <w:rPr>
          <w:noProof/>
        </w:rPr>
        <w:t>zwi</w:t>
      </w:r>
      <w:r w:rsidRPr="00D437FC">
        <w:rPr>
          <w:noProof/>
        </w:rPr>
        <w:t>ązku</w:t>
      </w:r>
      <w:r w:rsidR="00051931" w:rsidRPr="00D437FC">
        <w:rPr>
          <w:noProof/>
        </w:rPr>
        <w:t xml:space="preserve"> z</w:t>
      </w:r>
      <w:r w:rsidR="00051931">
        <w:rPr>
          <w:noProof/>
        </w:rPr>
        <w:t> </w:t>
      </w:r>
      <w:r w:rsidR="00051931" w:rsidRPr="00D437FC">
        <w:rPr>
          <w:noProof/>
        </w:rPr>
        <w:t>tym</w:t>
      </w:r>
      <w:r w:rsidRPr="00D437FC">
        <w:rPr>
          <w:noProof/>
        </w:rPr>
        <w:t xml:space="preserve"> zobowiązała się do podjęcia nowych kroków, aby zracjonalizować</w:t>
      </w:r>
      <w:r w:rsidR="00051931" w:rsidRPr="00D437FC">
        <w:rPr>
          <w:noProof/>
        </w:rPr>
        <w:t xml:space="preserve"> i</w:t>
      </w:r>
      <w:r w:rsidR="00051931">
        <w:rPr>
          <w:noProof/>
        </w:rPr>
        <w:t> </w:t>
      </w:r>
      <w:r w:rsidR="00051931" w:rsidRPr="00D437FC">
        <w:rPr>
          <w:noProof/>
        </w:rPr>
        <w:t>upr</w:t>
      </w:r>
      <w:r w:rsidRPr="00D437FC">
        <w:rPr>
          <w:noProof/>
        </w:rPr>
        <w:t>ościć wymogi sprawozdawcze,</w:t>
      </w:r>
      <w:r w:rsidR="00051931" w:rsidRPr="00D437FC">
        <w:rPr>
          <w:noProof/>
        </w:rPr>
        <w:t xml:space="preserve"> a</w:t>
      </w:r>
      <w:r w:rsidR="00051931">
        <w:rPr>
          <w:noProof/>
        </w:rPr>
        <w:t> </w:t>
      </w:r>
      <w:r w:rsidR="00051931" w:rsidRPr="00D437FC">
        <w:rPr>
          <w:noProof/>
        </w:rPr>
        <w:t>ost</w:t>
      </w:r>
      <w:r w:rsidRPr="00D437FC">
        <w:rPr>
          <w:noProof/>
        </w:rPr>
        <w:t>atecznym celem jest zmniejszenie takich obciążeń</w:t>
      </w:r>
      <w:r w:rsidR="00051931" w:rsidRPr="00D437FC">
        <w:rPr>
          <w:noProof/>
        </w:rPr>
        <w:t xml:space="preserve"> o</w:t>
      </w:r>
      <w:r w:rsidR="00051931">
        <w:rPr>
          <w:noProof/>
        </w:rPr>
        <w:t> </w:t>
      </w:r>
      <w:r w:rsidR="00051931" w:rsidRPr="00D437FC">
        <w:rPr>
          <w:noProof/>
        </w:rPr>
        <w:t>2</w:t>
      </w:r>
      <w:r w:rsidRPr="00D437FC">
        <w:rPr>
          <w:noProof/>
        </w:rPr>
        <w:t xml:space="preserve">5 % bez podważania powiązanych celów polityki. </w:t>
      </w:r>
    </w:p>
    <w:p w14:paraId="087B6573" w14:textId="0D38F346" w:rsidR="00485B87" w:rsidRPr="00D437FC" w:rsidRDefault="00485B87" w:rsidP="00485B87">
      <w:pPr>
        <w:pBdr>
          <w:top w:val="nil"/>
          <w:left w:val="nil"/>
          <w:bottom w:val="nil"/>
          <w:right w:val="nil"/>
          <w:between w:val="nil"/>
          <w:bar w:val="nil"/>
        </w:pBdr>
        <w:rPr>
          <w:rFonts w:eastAsia="Calibri"/>
          <w:noProof/>
          <w:szCs w:val="24"/>
        </w:rPr>
      </w:pPr>
      <w:r w:rsidRPr="00D437FC">
        <w:rPr>
          <w:noProof/>
        </w:rPr>
        <w:t>Wymogi sprawozdawcze odgrywają kluczową rolę</w:t>
      </w:r>
      <w:r w:rsidR="00051931" w:rsidRPr="00D437FC">
        <w:rPr>
          <w:noProof/>
        </w:rPr>
        <w:t xml:space="preserve"> w</w:t>
      </w:r>
      <w:r w:rsidR="00051931">
        <w:rPr>
          <w:noProof/>
        </w:rPr>
        <w:t> </w:t>
      </w:r>
      <w:r w:rsidR="00051931" w:rsidRPr="00D437FC">
        <w:rPr>
          <w:noProof/>
        </w:rPr>
        <w:t>zap</w:t>
      </w:r>
      <w:r w:rsidRPr="00D437FC">
        <w:rPr>
          <w:noProof/>
        </w:rPr>
        <w:t>ewnieniu prawidłowego egzekwowania przepisów</w:t>
      </w:r>
      <w:r w:rsidR="00051931" w:rsidRPr="00D437FC">
        <w:rPr>
          <w:noProof/>
        </w:rPr>
        <w:t xml:space="preserve"> i</w:t>
      </w:r>
      <w:r w:rsidR="00051931">
        <w:rPr>
          <w:noProof/>
        </w:rPr>
        <w:t> </w:t>
      </w:r>
      <w:r w:rsidR="00051931" w:rsidRPr="00D437FC">
        <w:rPr>
          <w:noProof/>
        </w:rPr>
        <w:t>ich</w:t>
      </w:r>
      <w:r w:rsidRPr="00D437FC">
        <w:rPr>
          <w:noProof/>
        </w:rPr>
        <w:t xml:space="preserve"> właściwego monitorowania. Koszty związane</w:t>
      </w:r>
      <w:r w:rsidR="00051931" w:rsidRPr="00D437FC">
        <w:rPr>
          <w:noProof/>
        </w:rPr>
        <w:t xml:space="preserve"> z</w:t>
      </w:r>
      <w:r w:rsidR="00051931">
        <w:rPr>
          <w:noProof/>
        </w:rPr>
        <w:t> </w:t>
      </w:r>
      <w:r w:rsidR="00051931" w:rsidRPr="00D437FC">
        <w:rPr>
          <w:noProof/>
        </w:rPr>
        <w:t>tym</w:t>
      </w:r>
      <w:r w:rsidRPr="00D437FC">
        <w:rPr>
          <w:noProof/>
        </w:rPr>
        <w:t>i wymogami są</w:t>
      </w:r>
      <w:r w:rsidR="00051931" w:rsidRPr="00D437FC">
        <w:rPr>
          <w:noProof/>
        </w:rPr>
        <w:t xml:space="preserve"> w</w:t>
      </w:r>
      <w:r w:rsidR="00051931">
        <w:rPr>
          <w:noProof/>
        </w:rPr>
        <w:t> </w:t>
      </w:r>
      <w:r w:rsidR="00051931" w:rsidRPr="00D437FC">
        <w:rPr>
          <w:noProof/>
        </w:rPr>
        <w:t>duż</w:t>
      </w:r>
      <w:r w:rsidRPr="00D437FC">
        <w:rPr>
          <w:noProof/>
        </w:rPr>
        <w:t>ej mierze kompensowane korzyściami, jakie</w:t>
      </w:r>
      <w:r w:rsidR="00051931" w:rsidRPr="00D437FC">
        <w:rPr>
          <w:noProof/>
        </w:rPr>
        <w:t xml:space="preserve"> z</w:t>
      </w:r>
      <w:r w:rsidR="00051931">
        <w:rPr>
          <w:noProof/>
        </w:rPr>
        <w:t> </w:t>
      </w:r>
      <w:r w:rsidR="00051931" w:rsidRPr="00D437FC">
        <w:rPr>
          <w:noProof/>
        </w:rPr>
        <w:t>nic</w:t>
      </w:r>
      <w:r w:rsidRPr="00D437FC">
        <w:rPr>
          <w:noProof/>
        </w:rPr>
        <w:t>h wynikają,</w:t>
      </w:r>
      <w:r w:rsidR="00051931" w:rsidRPr="00D437FC">
        <w:rPr>
          <w:noProof/>
        </w:rPr>
        <w:t xml:space="preserve"> w</w:t>
      </w:r>
      <w:r w:rsidR="00051931">
        <w:rPr>
          <w:noProof/>
        </w:rPr>
        <w:t> </w:t>
      </w:r>
      <w:r w:rsidR="00051931" w:rsidRPr="00D437FC">
        <w:rPr>
          <w:noProof/>
        </w:rPr>
        <w:t>szc</w:t>
      </w:r>
      <w:r w:rsidRPr="00D437FC">
        <w:rPr>
          <w:noProof/>
        </w:rPr>
        <w:t>zególności</w:t>
      </w:r>
      <w:r w:rsidR="00051931" w:rsidRPr="00D437FC">
        <w:rPr>
          <w:noProof/>
        </w:rPr>
        <w:t xml:space="preserve"> w</w:t>
      </w:r>
      <w:r w:rsidR="00051931">
        <w:rPr>
          <w:noProof/>
        </w:rPr>
        <w:t> </w:t>
      </w:r>
      <w:r w:rsidR="00051931" w:rsidRPr="00D437FC">
        <w:rPr>
          <w:noProof/>
        </w:rPr>
        <w:t>zak</w:t>
      </w:r>
      <w:r w:rsidRPr="00D437FC">
        <w:rPr>
          <w:noProof/>
        </w:rPr>
        <w:t>resie monitorowania</w:t>
      </w:r>
      <w:r w:rsidR="00051931" w:rsidRPr="00D437FC">
        <w:rPr>
          <w:noProof/>
        </w:rPr>
        <w:t xml:space="preserve"> i</w:t>
      </w:r>
      <w:r w:rsidR="00051931">
        <w:rPr>
          <w:noProof/>
        </w:rPr>
        <w:t> </w:t>
      </w:r>
      <w:r w:rsidR="00051931" w:rsidRPr="00D437FC">
        <w:rPr>
          <w:noProof/>
        </w:rPr>
        <w:t>zap</w:t>
      </w:r>
      <w:r w:rsidRPr="00D437FC">
        <w:rPr>
          <w:noProof/>
        </w:rPr>
        <w:t>ewniania zgodności</w:t>
      </w:r>
      <w:r w:rsidR="00051931" w:rsidRPr="00D437FC">
        <w:rPr>
          <w:noProof/>
        </w:rPr>
        <w:t xml:space="preserve"> z</w:t>
      </w:r>
      <w:r w:rsidR="00051931">
        <w:rPr>
          <w:noProof/>
        </w:rPr>
        <w:t> </w:t>
      </w:r>
      <w:r w:rsidR="00051931" w:rsidRPr="00D437FC">
        <w:rPr>
          <w:noProof/>
        </w:rPr>
        <w:t>klu</w:t>
      </w:r>
      <w:r w:rsidRPr="00D437FC">
        <w:rPr>
          <w:noProof/>
        </w:rPr>
        <w:t>czowymi środkami</w:t>
      </w:r>
      <w:r w:rsidR="00051931" w:rsidRPr="00D437FC">
        <w:rPr>
          <w:noProof/>
        </w:rPr>
        <w:t xml:space="preserve"> z</w:t>
      </w:r>
      <w:r w:rsidR="00051931">
        <w:rPr>
          <w:noProof/>
        </w:rPr>
        <w:t> </w:t>
      </w:r>
      <w:r w:rsidR="00051931" w:rsidRPr="00D437FC">
        <w:rPr>
          <w:noProof/>
        </w:rPr>
        <w:t>zak</w:t>
      </w:r>
      <w:r w:rsidRPr="00D437FC">
        <w:rPr>
          <w:noProof/>
        </w:rPr>
        <w:t>resu polityki. Wymogi sprawozdawcze mogą jednak również nakładać nieproporcjonalne obciążenia na zainteresowane strony, szczególnie na MŚP</w:t>
      </w:r>
      <w:r w:rsidR="00051931" w:rsidRPr="00D437FC">
        <w:rPr>
          <w:noProof/>
        </w:rPr>
        <w:t xml:space="preserve"> i</w:t>
      </w:r>
      <w:r w:rsidR="00051931">
        <w:rPr>
          <w:noProof/>
        </w:rPr>
        <w:t> </w:t>
      </w:r>
      <w:r w:rsidR="00051931" w:rsidRPr="00D437FC">
        <w:rPr>
          <w:noProof/>
        </w:rPr>
        <w:t>mik</w:t>
      </w:r>
      <w:r w:rsidRPr="00D437FC">
        <w:rPr>
          <w:noProof/>
        </w:rPr>
        <w:t>roprzedsiębiorstwa, również biorąc pod uwagę zmiany organizacyjne</w:t>
      </w:r>
      <w:r w:rsidR="00051931" w:rsidRPr="00D437FC">
        <w:rPr>
          <w:noProof/>
        </w:rPr>
        <w:t xml:space="preserve"> i</w:t>
      </w:r>
      <w:r w:rsidR="00051931">
        <w:rPr>
          <w:noProof/>
        </w:rPr>
        <w:t> </w:t>
      </w:r>
      <w:r w:rsidR="00051931" w:rsidRPr="00D437FC">
        <w:rPr>
          <w:noProof/>
        </w:rPr>
        <w:t>tec</w:t>
      </w:r>
      <w:r w:rsidRPr="00D437FC">
        <w:rPr>
          <w:noProof/>
        </w:rPr>
        <w:t>hnologiczne, które wymagają korekty pierwotnych wymogów sprawozdawczych. Ich kumulacja</w:t>
      </w:r>
      <w:r w:rsidR="00051931" w:rsidRPr="00D437FC">
        <w:rPr>
          <w:noProof/>
        </w:rPr>
        <w:t xml:space="preserve"> w</w:t>
      </w:r>
      <w:r w:rsidR="00051931">
        <w:rPr>
          <w:noProof/>
        </w:rPr>
        <w:t> </w:t>
      </w:r>
      <w:r w:rsidR="00051931" w:rsidRPr="00D437FC">
        <w:rPr>
          <w:noProof/>
        </w:rPr>
        <w:t>cza</w:t>
      </w:r>
      <w:r w:rsidRPr="00D437FC">
        <w:rPr>
          <w:noProof/>
        </w:rPr>
        <w:t>sie może prowadzić do zbędnych, nakładających się lub przestarzałych obowiązków, nieefektywnej częstotliwości</w:t>
      </w:r>
      <w:r w:rsidR="00051931" w:rsidRPr="00D437FC">
        <w:rPr>
          <w:noProof/>
        </w:rPr>
        <w:t xml:space="preserve"> i</w:t>
      </w:r>
      <w:r w:rsidR="00051931">
        <w:rPr>
          <w:noProof/>
        </w:rPr>
        <w:t> </w:t>
      </w:r>
      <w:r w:rsidR="00051931" w:rsidRPr="00D437FC">
        <w:rPr>
          <w:noProof/>
        </w:rPr>
        <w:t>ter</w:t>
      </w:r>
      <w:r w:rsidRPr="00D437FC">
        <w:rPr>
          <w:noProof/>
        </w:rPr>
        <w:t xml:space="preserve">minów lub nieodpowiednich metod zbierania danych. </w:t>
      </w:r>
    </w:p>
    <w:p w14:paraId="00EF97DE" w14:textId="454305AD" w:rsidR="000829D0" w:rsidRPr="00D437FC" w:rsidRDefault="000829D0" w:rsidP="000829D0">
      <w:pPr>
        <w:pBdr>
          <w:top w:val="nil"/>
          <w:left w:val="nil"/>
          <w:bottom w:val="nil"/>
          <w:right w:val="nil"/>
          <w:between w:val="nil"/>
          <w:bar w:val="nil"/>
        </w:pBdr>
        <w:rPr>
          <w:rFonts w:eastAsia="Calibri"/>
          <w:noProof/>
          <w:szCs w:val="24"/>
        </w:rPr>
      </w:pPr>
      <w:r w:rsidRPr="00D437FC">
        <w:rPr>
          <w:noProof/>
        </w:rPr>
        <w:t>Priorytetem Komisji jest więc upraszczanie obowiązków sprawozdawczych</w:t>
      </w:r>
      <w:r w:rsidR="00051931" w:rsidRPr="00D437FC">
        <w:rPr>
          <w:noProof/>
        </w:rPr>
        <w:t xml:space="preserve"> i</w:t>
      </w:r>
      <w:r w:rsidR="00051931">
        <w:rPr>
          <w:noProof/>
        </w:rPr>
        <w:t> </w:t>
      </w:r>
      <w:r w:rsidR="00051931" w:rsidRPr="00D437FC">
        <w:rPr>
          <w:noProof/>
        </w:rPr>
        <w:t>zmn</w:t>
      </w:r>
      <w:r w:rsidRPr="00D437FC">
        <w:rPr>
          <w:noProof/>
        </w:rPr>
        <w:t>iejszanie obciążenia administracyjnego</w:t>
      </w:r>
      <w:r w:rsidR="00051931" w:rsidRPr="00D437FC">
        <w:rPr>
          <w:noProof/>
        </w:rPr>
        <w:t>. W</w:t>
      </w:r>
      <w:r w:rsidR="00051931">
        <w:rPr>
          <w:noProof/>
        </w:rPr>
        <w:t> </w:t>
      </w:r>
      <w:r w:rsidR="00051931" w:rsidRPr="00D437FC">
        <w:rPr>
          <w:noProof/>
        </w:rPr>
        <w:t>tym</w:t>
      </w:r>
      <w:r w:rsidRPr="00D437FC">
        <w:rPr>
          <w:noProof/>
        </w:rPr>
        <w:t xml:space="preserve"> kontekście niniejszy wniosek ma na celu uproszczenie inicjatyw</w:t>
      </w:r>
      <w:r w:rsidR="00051931" w:rsidRPr="00D437FC">
        <w:rPr>
          <w:noProof/>
        </w:rPr>
        <w:t xml:space="preserve"> w</w:t>
      </w:r>
      <w:r w:rsidR="00051931">
        <w:rPr>
          <w:noProof/>
        </w:rPr>
        <w:t> </w:t>
      </w:r>
      <w:r w:rsidR="00051931" w:rsidRPr="00D437FC">
        <w:rPr>
          <w:noProof/>
        </w:rPr>
        <w:t>obs</w:t>
      </w:r>
      <w:r w:rsidRPr="00D437FC">
        <w:rPr>
          <w:noProof/>
        </w:rPr>
        <w:t>zarze polityki transportowej dotyczących</w:t>
      </w:r>
      <w:r w:rsidR="00051931" w:rsidRPr="00D437FC">
        <w:rPr>
          <w:noProof/>
        </w:rPr>
        <w:t xml:space="preserve"> w</w:t>
      </w:r>
      <w:r w:rsidR="00051931">
        <w:rPr>
          <w:noProof/>
        </w:rPr>
        <w:t> </w:t>
      </w:r>
      <w:r w:rsidR="00051931" w:rsidRPr="00D437FC">
        <w:rPr>
          <w:noProof/>
        </w:rPr>
        <w:t>szc</w:t>
      </w:r>
      <w:r w:rsidRPr="00D437FC">
        <w:rPr>
          <w:noProof/>
        </w:rPr>
        <w:t>zególności transportu drogowego</w:t>
      </w:r>
      <w:r w:rsidR="00051931" w:rsidRPr="00D437FC">
        <w:rPr>
          <w:noProof/>
        </w:rPr>
        <w:t xml:space="preserve"> i</w:t>
      </w:r>
      <w:r w:rsidR="00051931">
        <w:rPr>
          <w:noProof/>
        </w:rPr>
        <w:t> </w:t>
      </w:r>
      <w:r w:rsidR="00051931" w:rsidRPr="00D437FC">
        <w:rPr>
          <w:noProof/>
        </w:rPr>
        <w:t>lot</w:t>
      </w:r>
      <w:r w:rsidRPr="00D437FC">
        <w:rPr>
          <w:noProof/>
        </w:rPr>
        <w:t>niczego.</w:t>
      </w:r>
    </w:p>
    <w:p w14:paraId="02A1BDC6" w14:textId="008205A7" w:rsidR="00134993" w:rsidRPr="00D437FC" w:rsidRDefault="285373C7" w:rsidP="0F6B49D2">
      <w:pPr>
        <w:pBdr>
          <w:top w:val="nil"/>
          <w:left w:val="nil"/>
          <w:bottom w:val="nil"/>
          <w:right w:val="nil"/>
          <w:between w:val="nil"/>
          <w:bar w:val="nil"/>
        </w:pBdr>
        <w:rPr>
          <w:rFonts w:eastAsia="Calibri"/>
          <w:noProof/>
        </w:rPr>
      </w:pPr>
      <w:r w:rsidRPr="00D437FC">
        <w:rPr>
          <w:noProof/>
        </w:rPr>
        <w:t>We wniosku znosi się lub upraszcza szczególne obowiązki sprawozdawcze organów publicznych</w:t>
      </w:r>
      <w:r w:rsidR="00051931" w:rsidRPr="00D437FC">
        <w:rPr>
          <w:noProof/>
        </w:rPr>
        <w:t xml:space="preserve"> w</w:t>
      </w:r>
      <w:r w:rsidR="00051931">
        <w:rPr>
          <w:noProof/>
        </w:rPr>
        <w:t> </w:t>
      </w:r>
      <w:r w:rsidR="00051931" w:rsidRPr="00D437FC">
        <w:rPr>
          <w:noProof/>
        </w:rPr>
        <w:t>nas</w:t>
      </w:r>
      <w:r w:rsidRPr="00D437FC">
        <w:rPr>
          <w:noProof/>
        </w:rPr>
        <w:t xml:space="preserve">tępujący sposób: </w:t>
      </w:r>
    </w:p>
    <w:p w14:paraId="11FA0929" w14:textId="0F3096E3" w:rsidR="00915894" w:rsidRPr="00D437FC" w:rsidRDefault="00915894" w:rsidP="0071430C">
      <w:pPr>
        <w:pStyle w:val="Bullet0"/>
        <w:numPr>
          <w:ilvl w:val="0"/>
          <w:numId w:val="6"/>
        </w:numPr>
        <w:pBdr>
          <w:top w:val="nil"/>
          <w:left w:val="nil"/>
          <w:bottom w:val="nil"/>
          <w:right w:val="nil"/>
          <w:between w:val="nil"/>
          <w:bar w:val="nil"/>
        </w:pBdr>
        <w:rPr>
          <w:rFonts w:eastAsia="Calibri"/>
          <w:noProof/>
        </w:rPr>
      </w:pPr>
      <w:r w:rsidRPr="00D437FC">
        <w:rPr>
          <w:noProof/>
        </w:rPr>
        <w:t>wniosek spowoduje zniesienie wynikającego</w:t>
      </w:r>
      <w:r w:rsidR="00051931" w:rsidRPr="00D437FC">
        <w:rPr>
          <w:noProof/>
        </w:rPr>
        <w:t xml:space="preserve"> z</w:t>
      </w:r>
      <w:r w:rsidR="00051931">
        <w:rPr>
          <w:noProof/>
        </w:rPr>
        <w:t> </w:t>
      </w:r>
      <w:r w:rsidR="00051931" w:rsidRPr="00D437FC">
        <w:rPr>
          <w:noProof/>
        </w:rPr>
        <w:t>roz</w:t>
      </w:r>
      <w:r w:rsidRPr="00D437FC">
        <w:rPr>
          <w:noProof/>
        </w:rPr>
        <w:t>porządzenia Parlamentu Europejskiego</w:t>
      </w:r>
      <w:r w:rsidR="00051931" w:rsidRPr="00D437FC">
        <w:rPr>
          <w:noProof/>
        </w:rPr>
        <w:t xml:space="preserve"> i</w:t>
      </w:r>
      <w:r w:rsidR="00051931">
        <w:rPr>
          <w:noProof/>
        </w:rPr>
        <w:t> </w:t>
      </w:r>
      <w:r w:rsidR="00051931" w:rsidRPr="00D437FC">
        <w:rPr>
          <w:noProof/>
        </w:rPr>
        <w:t>Rad</w:t>
      </w:r>
      <w:r w:rsidRPr="00D437FC">
        <w:rPr>
          <w:noProof/>
        </w:rPr>
        <w:t xml:space="preserve">y (WE) </w:t>
      </w:r>
      <w:r w:rsidRPr="00051931">
        <w:rPr>
          <w:noProof/>
        </w:rPr>
        <w:t>nr</w:t>
      </w:r>
      <w:r w:rsidR="00051931" w:rsidRPr="00051931">
        <w:rPr>
          <w:noProof/>
        </w:rPr>
        <w:t> </w:t>
      </w:r>
      <w:r w:rsidRPr="00051931">
        <w:rPr>
          <w:noProof/>
        </w:rPr>
        <w:t>8</w:t>
      </w:r>
      <w:r w:rsidRPr="00D437FC">
        <w:rPr>
          <w:noProof/>
        </w:rPr>
        <w:t>0/2009</w:t>
      </w:r>
      <w:r w:rsidRPr="00D437FC">
        <w:rPr>
          <w:rStyle w:val="FootnoteReference"/>
          <w:noProof/>
        </w:rPr>
        <w:footnoteReference w:id="3"/>
      </w:r>
      <w:r w:rsidRPr="00D437FC">
        <w:rPr>
          <w:noProof/>
        </w:rPr>
        <w:t xml:space="preserve"> obowiązku składania przez sprzedawców komputerowych systemów rezerwacji (KSR) co cztery lata i na wniosek Komisji sprawozdań zawierających szczegółowe informacje na temat struktury własności</w:t>
      </w:r>
      <w:r w:rsidR="00051931" w:rsidRPr="00D437FC">
        <w:rPr>
          <w:noProof/>
        </w:rPr>
        <w:t xml:space="preserve"> i</w:t>
      </w:r>
      <w:r w:rsidR="00051931">
        <w:rPr>
          <w:noProof/>
        </w:rPr>
        <w:t> </w:t>
      </w:r>
      <w:r w:rsidR="00051931" w:rsidRPr="00D437FC">
        <w:rPr>
          <w:noProof/>
        </w:rPr>
        <w:t>mod</w:t>
      </w:r>
      <w:r w:rsidRPr="00D437FC">
        <w:rPr>
          <w:noProof/>
        </w:rPr>
        <w:t xml:space="preserve">eli zarządzania. Przedmiotowy obowiązek sprawozdawczy ma na celu monitorowanie stosowania </w:t>
      </w:r>
      <w:r w:rsidRPr="00051931">
        <w:rPr>
          <w:noProof/>
        </w:rPr>
        <w:t>art.</w:t>
      </w:r>
      <w:r w:rsidR="00051931" w:rsidRPr="00051931">
        <w:rPr>
          <w:noProof/>
        </w:rPr>
        <w:t> </w:t>
      </w:r>
      <w:r w:rsidRPr="00051931">
        <w:rPr>
          <w:noProof/>
        </w:rPr>
        <w:t>1</w:t>
      </w:r>
      <w:r w:rsidRPr="00D437FC">
        <w:rPr>
          <w:noProof/>
        </w:rPr>
        <w:t>0 tego rozporządzenia, ustanawiającego szczegółowe zasady dla przewoźników macierzystych, które mają</w:t>
      </w:r>
      <w:r w:rsidR="00051931" w:rsidRPr="00D437FC">
        <w:rPr>
          <w:noProof/>
        </w:rPr>
        <w:t xml:space="preserve"> w</w:t>
      </w:r>
      <w:r w:rsidR="00051931">
        <w:rPr>
          <w:noProof/>
        </w:rPr>
        <w:t> </w:t>
      </w:r>
      <w:r w:rsidR="00051931" w:rsidRPr="00D437FC">
        <w:rPr>
          <w:noProof/>
        </w:rPr>
        <w:t>szc</w:t>
      </w:r>
      <w:r w:rsidRPr="00D437FC">
        <w:rPr>
          <w:noProof/>
        </w:rPr>
        <w:t>zególności uniemożliwiać tym przewoźnikom dyskryminowanie konkurencyjnych KSR oraz uniemożliwić, aby KSR będące własnością tych przewoźników dyskryminowały przewoźników macierzystych innych KSR</w:t>
      </w:r>
      <w:r w:rsidR="00051931" w:rsidRPr="00D437FC">
        <w:rPr>
          <w:noProof/>
        </w:rPr>
        <w:t>. W</w:t>
      </w:r>
      <w:r w:rsidR="00051931">
        <w:rPr>
          <w:noProof/>
        </w:rPr>
        <w:t> </w:t>
      </w:r>
      <w:r w:rsidR="00051931" w:rsidRPr="00D437FC">
        <w:rPr>
          <w:noProof/>
        </w:rPr>
        <w:t>oce</w:t>
      </w:r>
      <w:r w:rsidRPr="00D437FC">
        <w:rPr>
          <w:noProof/>
        </w:rPr>
        <w:t>nie tego rozporządzenia</w:t>
      </w:r>
      <w:r w:rsidRPr="00D437FC">
        <w:rPr>
          <w:rStyle w:val="FootnoteReference"/>
          <w:noProof/>
        </w:rPr>
        <w:footnoteReference w:id="4"/>
      </w:r>
      <w:r w:rsidR="00051931" w:rsidRPr="00D437FC">
        <w:rPr>
          <w:noProof/>
        </w:rPr>
        <w:t xml:space="preserve"> z</w:t>
      </w:r>
      <w:r w:rsidR="00051931">
        <w:rPr>
          <w:noProof/>
        </w:rPr>
        <w:t> </w:t>
      </w:r>
      <w:r w:rsidR="00051931" w:rsidRPr="00D437FC">
        <w:rPr>
          <w:noProof/>
        </w:rPr>
        <w:t>2</w:t>
      </w:r>
      <w:r w:rsidRPr="00D437FC">
        <w:rPr>
          <w:noProof/>
        </w:rPr>
        <w:t>0</w:t>
      </w:r>
      <w:r w:rsidRPr="00051931">
        <w:rPr>
          <w:noProof/>
        </w:rPr>
        <w:t>20</w:t>
      </w:r>
      <w:r w:rsidR="00051931" w:rsidRPr="00051931">
        <w:rPr>
          <w:noProof/>
        </w:rPr>
        <w:t> </w:t>
      </w:r>
      <w:r w:rsidRPr="00051931">
        <w:rPr>
          <w:noProof/>
        </w:rPr>
        <w:t>r.</w:t>
      </w:r>
      <w:r w:rsidRPr="00D437FC">
        <w:rPr>
          <w:noProof/>
        </w:rPr>
        <w:t xml:space="preserve"> zasugerowano, że przepis ten wydaje się zbędny, ponieważ linie lotnicze nie są już właścicielami KSR,</w:t>
      </w:r>
      <w:r w:rsidR="00051931" w:rsidRPr="00D437FC">
        <w:rPr>
          <w:noProof/>
        </w:rPr>
        <w:t xml:space="preserve"> w</w:t>
      </w:r>
      <w:r w:rsidR="00051931">
        <w:rPr>
          <w:noProof/>
        </w:rPr>
        <w:t> </w:t>
      </w:r>
      <w:r w:rsidR="00051931" w:rsidRPr="00D437FC">
        <w:rPr>
          <w:noProof/>
        </w:rPr>
        <w:t>zwi</w:t>
      </w:r>
      <w:r w:rsidRPr="00D437FC">
        <w:rPr>
          <w:noProof/>
        </w:rPr>
        <w:t>ązku</w:t>
      </w:r>
      <w:r w:rsidR="00051931" w:rsidRPr="00D437FC">
        <w:rPr>
          <w:noProof/>
        </w:rPr>
        <w:t xml:space="preserve"> z</w:t>
      </w:r>
      <w:r w:rsidR="00051931">
        <w:rPr>
          <w:noProof/>
        </w:rPr>
        <w:t> </w:t>
      </w:r>
      <w:r w:rsidR="00051931" w:rsidRPr="00D437FC">
        <w:rPr>
          <w:noProof/>
        </w:rPr>
        <w:t>czy</w:t>
      </w:r>
      <w:r w:rsidRPr="00D437FC">
        <w:rPr>
          <w:noProof/>
        </w:rPr>
        <w:t>m przedkładanie sprawozdania poddanego audytowi nie jest już uzasadnione. Komisja powinna jednak zachować dotychczasowe uprawnienia do wnioskowania</w:t>
      </w:r>
      <w:r w:rsidR="00051931" w:rsidRPr="00D437FC">
        <w:rPr>
          <w:noProof/>
        </w:rPr>
        <w:t xml:space="preserve"> o</w:t>
      </w:r>
      <w:r w:rsidR="00051931">
        <w:rPr>
          <w:noProof/>
        </w:rPr>
        <w:t> </w:t>
      </w:r>
      <w:r w:rsidR="00051931" w:rsidRPr="00D437FC">
        <w:rPr>
          <w:noProof/>
        </w:rPr>
        <w:t>prz</w:t>
      </w:r>
      <w:r w:rsidRPr="00D437FC">
        <w:rPr>
          <w:noProof/>
        </w:rPr>
        <w:t xml:space="preserve">edmiotowe sprawozdania, aby móc skutecznie egzekwować </w:t>
      </w:r>
      <w:r w:rsidRPr="00051931">
        <w:rPr>
          <w:noProof/>
        </w:rPr>
        <w:t>art.</w:t>
      </w:r>
      <w:r w:rsidR="00051931" w:rsidRPr="00051931">
        <w:rPr>
          <w:noProof/>
        </w:rPr>
        <w:t> </w:t>
      </w:r>
      <w:r w:rsidRPr="00051931">
        <w:rPr>
          <w:noProof/>
        </w:rPr>
        <w:t>1</w:t>
      </w:r>
      <w:r w:rsidRPr="00D437FC">
        <w:rPr>
          <w:noProof/>
        </w:rPr>
        <w:t>0, jeżeli przedsiębiorstwo lotnicze obejmie udziały w KSR</w:t>
      </w:r>
      <w:r w:rsidR="00051931" w:rsidRPr="00D437FC">
        <w:rPr>
          <w:noProof/>
        </w:rPr>
        <w:t xml:space="preserve"> w</w:t>
      </w:r>
      <w:r w:rsidR="00051931">
        <w:rPr>
          <w:noProof/>
        </w:rPr>
        <w:t> </w:t>
      </w:r>
      <w:r w:rsidR="00051931" w:rsidRPr="00D437FC">
        <w:rPr>
          <w:noProof/>
        </w:rPr>
        <w:t>prz</w:t>
      </w:r>
      <w:r w:rsidRPr="00D437FC">
        <w:rPr>
          <w:noProof/>
        </w:rPr>
        <w:t>yszłości. Usuwa się również przepis zobowiązujący sprzedawców do informowania Komisji</w:t>
      </w:r>
      <w:r w:rsidR="00051931" w:rsidRPr="00D437FC">
        <w:rPr>
          <w:noProof/>
        </w:rPr>
        <w:t xml:space="preserve"> o</w:t>
      </w:r>
      <w:r w:rsidR="00051931">
        <w:rPr>
          <w:noProof/>
        </w:rPr>
        <w:t> </w:t>
      </w:r>
      <w:r w:rsidR="00051931" w:rsidRPr="00D437FC">
        <w:rPr>
          <w:noProof/>
        </w:rPr>
        <w:t>toż</w:t>
      </w:r>
      <w:r w:rsidRPr="00D437FC">
        <w:rPr>
          <w:noProof/>
        </w:rPr>
        <w:t>samości audytora przed potwierdzeniem jego powołania</w:t>
      </w:r>
      <w:r w:rsidR="00051931" w:rsidRPr="00D437FC">
        <w:rPr>
          <w:noProof/>
        </w:rPr>
        <w:t xml:space="preserve"> i</w:t>
      </w:r>
      <w:r w:rsidR="00051931">
        <w:rPr>
          <w:noProof/>
        </w:rPr>
        <w:t> </w:t>
      </w:r>
      <w:r w:rsidR="00051931" w:rsidRPr="00D437FC">
        <w:rPr>
          <w:noProof/>
        </w:rPr>
        <w:t>umo</w:t>
      </w:r>
      <w:r w:rsidRPr="00D437FC">
        <w:rPr>
          <w:noProof/>
        </w:rPr>
        <w:t>żliwiający Komisji zwrócenie się</w:t>
      </w:r>
      <w:r w:rsidR="00051931" w:rsidRPr="00D437FC">
        <w:rPr>
          <w:noProof/>
        </w:rPr>
        <w:t xml:space="preserve"> o</w:t>
      </w:r>
      <w:r w:rsidR="00051931">
        <w:rPr>
          <w:noProof/>
        </w:rPr>
        <w:t> </w:t>
      </w:r>
      <w:r w:rsidR="00051931" w:rsidRPr="00D437FC">
        <w:rPr>
          <w:noProof/>
        </w:rPr>
        <w:t>jeg</w:t>
      </w:r>
      <w:r w:rsidRPr="00D437FC">
        <w:rPr>
          <w:noProof/>
        </w:rPr>
        <w:t>o zastąpienie;</w:t>
      </w:r>
    </w:p>
    <w:p w14:paraId="5D6269DB" w14:textId="289C0290" w:rsidR="00CA09C1" w:rsidRPr="00D437FC" w:rsidRDefault="00915894" w:rsidP="00915894">
      <w:pPr>
        <w:pStyle w:val="Bullet0"/>
        <w:pBdr>
          <w:top w:val="nil"/>
          <w:left w:val="nil"/>
          <w:bottom w:val="nil"/>
          <w:right w:val="nil"/>
          <w:between w:val="nil"/>
          <w:bar w:val="nil"/>
        </w:pBdr>
        <w:rPr>
          <w:rFonts w:eastAsia="Calibri"/>
          <w:noProof/>
        </w:rPr>
      </w:pPr>
      <w:r w:rsidRPr="00D437FC">
        <w:rPr>
          <w:noProof/>
        </w:rPr>
        <w:t>usuwa się określony</w:t>
      </w:r>
      <w:r w:rsidR="00051931" w:rsidRPr="00D437FC">
        <w:rPr>
          <w:noProof/>
        </w:rPr>
        <w:t xml:space="preserve"> </w:t>
      </w:r>
      <w:r w:rsidR="00051931" w:rsidRPr="00051931">
        <w:rPr>
          <w:noProof/>
        </w:rPr>
        <w:t>w</w:t>
      </w:r>
      <w:r w:rsidR="00051931">
        <w:rPr>
          <w:noProof/>
        </w:rPr>
        <w:t> </w:t>
      </w:r>
      <w:r w:rsidR="00051931" w:rsidRPr="00051931">
        <w:rPr>
          <w:noProof/>
        </w:rPr>
        <w:t>r</w:t>
      </w:r>
      <w:r w:rsidR="00051931" w:rsidRPr="00D437FC">
        <w:rPr>
          <w:noProof/>
        </w:rPr>
        <w:t>oz</w:t>
      </w:r>
      <w:r w:rsidRPr="00D437FC">
        <w:rPr>
          <w:noProof/>
        </w:rPr>
        <w:t>porządzeniu Parlamentu Europejskiego</w:t>
      </w:r>
      <w:r w:rsidR="00051931" w:rsidRPr="00D437FC">
        <w:rPr>
          <w:noProof/>
        </w:rPr>
        <w:t xml:space="preserve"> i</w:t>
      </w:r>
      <w:r w:rsidR="00051931">
        <w:rPr>
          <w:noProof/>
        </w:rPr>
        <w:t> </w:t>
      </w:r>
      <w:r w:rsidR="00051931" w:rsidRPr="00D437FC">
        <w:rPr>
          <w:noProof/>
        </w:rPr>
        <w:t>Rad</w:t>
      </w:r>
      <w:r w:rsidRPr="00D437FC">
        <w:rPr>
          <w:noProof/>
        </w:rPr>
        <w:t xml:space="preserve">y (UE) </w:t>
      </w:r>
      <w:r w:rsidRPr="00051931">
        <w:rPr>
          <w:noProof/>
        </w:rPr>
        <w:t>nr</w:t>
      </w:r>
      <w:r w:rsidR="00051931" w:rsidRPr="00051931">
        <w:rPr>
          <w:noProof/>
        </w:rPr>
        <w:t> </w:t>
      </w:r>
      <w:r w:rsidRPr="00051931">
        <w:rPr>
          <w:noProof/>
        </w:rPr>
        <w:t>9</w:t>
      </w:r>
      <w:r w:rsidRPr="00D437FC">
        <w:rPr>
          <w:noProof/>
        </w:rPr>
        <w:t>96/2010</w:t>
      </w:r>
      <w:r w:rsidRPr="00D437FC">
        <w:rPr>
          <w:rStyle w:val="FootnoteReference"/>
          <w:noProof/>
        </w:rPr>
        <w:footnoteReference w:id="5"/>
      </w:r>
      <w:r w:rsidRPr="00D437FC">
        <w:rPr>
          <w:noProof/>
        </w:rPr>
        <w:t xml:space="preserve"> obowiązek publikowania sprawozdania ze stanu bezpieczeństwa na szczeblu krajowym. Obowiązek ten jest obecnie zbędny ze względu na coroczne sprawozdanie ze stanu bezpieczeństwa publikowane przez Agencję Unii Europejskiej ds. Bezpieczeństwa Lotniczego (EASA). </w:t>
      </w:r>
    </w:p>
    <w:p w14:paraId="296B3695" w14:textId="20059D01" w:rsidR="00915894" w:rsidRPr="00D437FC" w:rsidRDefault="00915894" w:rsidP="00915894">
      <w:pPr>
        <w:pStyle w:val="Bullet0"/>
        <w:pBdr>
          <w:top w:val="nil"/>
          <w:left w:val="nil"/>
          <w:bottom w:val="nil"/>
          <w:right w:val="nil"/>
          <w:between w:val="nil"/>
          <w:bar w:val="nil"/>
        </w:pBdr>
        <w:rPr>
          <w:rFonts w:eastAsia="Calibri"/>
          <w:noProof/>
        </w:rPr>
      </w:pPr>
      <w:r w:rsidRPr="00D437FC">
        <w:rPr>
          <w:noProof/>
        </w:rPr>
        <w:t>Znosi się również określony</w:t>
      </w:r>
      <w:r w:rsidR="00051931" w:rsidRPr="00D437FC">
        <w:rPr>
          <w:noProof/>
        </w:rPr>
        <w:t xml:space="preserve"> w</w:t>
      </w:r>
      <w:r w:rsidR="00051931">
        <w:rPr>
          <w:noProof/>
        </w:rPr>
        <w:t> </w:t>
      </w:r>
      <w:r w:rsidR="00051931" w:rsidRPr="00D437FC">
        <w:rPr>
          <w:noProof/>
        </w:rPr>
        <w:t>roz</w:t>
      </w:r>
      <w:r w:rsidRPr="00D437FC">
        <w:rPr>
          <w:noProof/>
        </w:rPr>
        <w:t>porządzeniu Parlamentu Europejskiego</w:t>
      </w:r>
      <w:r w:rsidR="00051931" w:rsidRPr="00D437FC">
        <w:rPr>
          <w:noProof/>
        </w:rPr>
        <w:t xml:space="preserve"> i</w:t>
      </w:r>
      <w:r w:rsidR="00051931">
        <w:rPr>
          <w:noProof/>
        </w:rPr>
        <w:t> </w:t>
      </w:r>
      <w:r w:rsidR="00051931" w:rsidRPr="00D437FC">
        <w:rPr>
          <w:noProof/>
        </w:rPr>
        <w:t>Rad</w:t>
      </w:r>
      <w:r w:rsidRPr="00D437FC">
        <w:rPr>
          <w:noProof/>
        </w:rPr>
        <w:t xml:space="preserve">y (UE) </w:t>
      </w:r>
      <w:r w:rsidRPr="00051931">
        <w:rPr>
          <w:noProof/>
        </w:rPr>
        <w:t>nr</w:t>
      </w:r>
      <w:r w:rsidR="00051931" w:rsidRPr="00051931">
        <w:rPr>
          <w:noProof/>
        </w:rPr>
        <w:t> </w:t>
      </w:r>
      <w:r w:rsidRPr="00051931">
        <w:rPr>
          <w:noProof/>
        </w:rPr>
        <w:t>1</w:t>
      </w:r>
      <w:r w:rsidRPr="00D437FC">
        <w:rPr>
          <w:noProof/>
        </w:rPr>
        <w:t>65/2014</w:t>
      </w:r>
      <w:r w:rsidRPr="00D437FC">
        <w:rPr>
          <w:rStyle w:val="FootnoteReference"/>
          <w:noProof/>
        </w:rPr>
        <w:footnoteReference w:id="6"/>
      </w:r>
      <w:r w:rsidRPr="00D437FC">
        <w:rPr>
          <w:noProof/>
        </w:rPr>
        <w:t xml:space="preserve"> obowiązek państw członkowskich dotyczący przedkładania Komisji wykazu warsztatów, które mogą przeprowadzać instalacje, kontrole</w:t>
      </w:r>
      <w:r w:rsidR="00051931" w:rsidRPr="00D437FC">
        <w:rPr>
          <w:noProof/>
        </w:rPr>
        <w:t xml:space="preserve"> i</w:t>
      </w:r>
      <w:r w:rsidR="00051931">
        <w:rPr>
          <w:noProof/>
        </w:rPr>
        <w:t> </w:t>
      </w:r>
      <w:r w:rsidR="00051931" w:rsidRPr="00D437FC">
        <w:rPr>
          <w:noProof/>
        </w:rPr>
        <w:t>nap</w:t>
      </w:r>
      <w:r w:rsidRPr="00D437FC">
        <w:rPr>
          <w:noProof/>
        </w:rPr>
        <w:t>rawy tachografów, oraz obowiązek publikowania tych wykazów przez Komisję. Wadą tych wykazów to, że przestawiały jedynie zdawkowe informacje na temat zatwierdzonych warsztatów. Zastępuje się go zobowiązaniem państw członkowskich do publikowania tych informacji na publicznie dostępnej stronie internetowej</w:t>
      </w:r>
      <w:r w:rsidR="00051931" w:rsidRPr="00D437FC">
        <w:rPr>
          <w:noProof/>
        </w:rPr>
        <w:t xml:space="preserve"> i</w:t>
      </w:r>
      <w:r w:rsidR="00051931">
        <w:rPr>
          <w:noProof/>
        </w:rPr>
        <w:t> </w:t>
      </w:r>
      <w:r w:rsidR="00051931" w:rsidRPr="00D437FC">
        <w:rPr>
          <w:noProof/>
        </w:rPr>
        <w:t>ich</w:t>
      </w:r>
      <w:r w:rsidRPr="00D437FC">
        <w:rPr>
          <w:noProof/>
        </w:rPr>
        <w:t xml:space="preserve"> ciągłego aktualizowania,</w:t>
      </w:r>
      <w:r w:rsidR="00051931" w:rsidRPr="00D437FC">
        <w:rPr>
          <w:noProof/>
        </w:rPr>
        <w:t xml:space="preserve"> a</w:t>
      </w:r>
      <w:r w:rsidR="00051931">
        <w:rPr>
          <w:noProof/>
        </w:rPr>
        <w:t> </w:t>
      </w:r>
      <w:r w:rsidR="00051931" w:rsidRPr="00D437FC">
        <w:rPr>
          <w:noProof/>
        </w:rPr>
        <w:t>tak</w:t>
      </w:r>
      <w:r w:rsidRPr="00D437FC">
        <w:rPr>
          <w:noProof/>
        </w:rPr>
        <w:t>że do publikowania przez Komisję wykazu tych stron internetowych.</w:t>
      </w:r>
    </w:p>
    <w:p w14:paraId="1119CD8B" w14:textId="77777777" w:rsidR="00E479D8" w:rsidRPr="00D437FC" w:rsidRDefault="285373C7" w:rsidP="0F6B49D2">
      <w:pPr>
        <w:pBdr>
          <w:top w:val="nil"/>
          <w:left w:val="nil"/>
          <w:bottom w:val="nil"/>
          <w:right w:val="nil"/>
          <w:between w:val="nil"/>
          <w:bar w:val="nil"/>
        </w:pBdr>
        <w:rPr>
          <w:rFonts w:eastAsia="Calibri"/>
          <w:noProof/>
        </w:rPr>
      </w:pPr>
      <w:r w:rsidRPr="00D437FC">
        <w:rPr>
          <w:noProof/>
        </w:rPr>
        <w:t xml:space="preserve"> </w:t>
      </w:r>
    </w:p>
    <w:p w14:paraId="25EF180D" w14:textId="7CB14BC0" w:rsidR="00527043" w:rsidRPr="00D437FC" w:rsidRDefault="00527043" w:rsidP="00474CBD">
      <w:pPr>
        <w:pStyle w:val="ManualHeading2"/>
        <w:rPr>
          <w:rFonts w:eastAsia="Arial Unicode MS"/>
          <w:noProof/>
          <w:color w:val="000000"/>
          <w:u w:color="000000"/>
          <w:bdr w:val="nil"/>
        </w:rPr>
      </w:pPr>
      <w:r w:rsidRPr="00D437FC">
        <w:rPr>
          <w:noProof/>
          <w:color w:val="000000"/>
          <w:u w:color="000000"/>
          <w:bdr w:val="nil"/>
        </w:rPr>
        <w:t>•</w:t>
      </w:r>
      <w:r w:rsidRPr="00D437FC">
        <w:rPr>
          <w:noProof/>
        </w:rPr>
        <w:tab/>
        <w:t>Spójność</w:t>
      </w:r>
      <w:r w:rsidR="00051931" w:rsidRPr="00D437FC">
        <w:rPr>
          <w:noProof/>
        </w:rPr>
        <w:t xml:space="preserve"> z</w:t>
      </w:r>
      <w:r w:rsidR="00051931">
        <w:rPr>
          <w:noProof/>
        </w:rPr>
        <w:t> </w:t>
      </w:r>
      <w:r w:rsidR="00051931" w:rsidRPr="00D437FC">
        <w:rPr>
          <w:noProof/>
        </w:rPr>
        <w:t>prz</w:t>
      </w:r>
      <w:r w:rsidRPr="00D437FC">
        <w:rPr>
          <w:noProof/>
        </w:rPr>
        <w:t>episami obowiązującymi</w:t>
      </w:r>
      <w:r w:rsidR="00051931" w:rsidRPr="00D437FC">
        <w:rPr>
          <w:noProof/>
        </w:rPr>
        <w:t xml:space="preserve"> w</w:t>
      </w:r>
      <w:r w:rsidR="00051931">
        <w:rPr>
          <w:noProof/>
        </w:rPr>
        <w:t> </w:t>
      </w:r>
      <w:r w:rsidR="00051931" w:rsidRPr="00D437FC">
        <w:rPr>
          <w:noProof/>
        </w:rPr>
        <w:t>tej</w:t>
      </w:r>
      <w:r w:rsidRPr="00D437FC">
        <w:rPr>
          <w:noProof/>
        </w:rPr>
        <w:t xml:space="preserve"> dziedzinie polityki</w:t>
      </w:r>
    </w:p>
    <w:p w14:paraId="607A7A4B" w14:textId="280ED217" w:rsidR="00485B87" w:rsidRPr="00D437FC" w:rsidRDefault="00485B87" w:rsidP="004E672F">
      <w:pPr>
        <w:pBdr>
          <w:top w:val="nil"/>
          <w:left w:val="nil"/>
          <w:bottom w:val="nil"/>
          <w:right w:val="nil"/>
          <w:between w:val="nil"/>
          <w:bar w:val="nil"/>
        </w:pBdr>
        <w:rPr>
          <w:rFonts w:eastAsia="Calibri"/>
          <w:noProof/>
          <w:szCs w:val="24"/>
        </w:rPr>
      </w:pPr>
      <w:r w:rsidRPr="00D437FC">
        <w:rPr>
          <w:noProof/>
        </w:rPr>
        <w:t>Wniosek jest częścią pierwszego pakietu środków mających na celu racjonalizację wymogów sprawozdawczych</w:t>
      </w:r>
      <w:r w:rsidRPr="00051931">
        <w:rPr>
          <w:noProof/>
        </w:rPr>
        <w:t>.</w:t>
      </w:r>
      <w:r w:rsidR="00051931" w:rsidRPr="00051931">
        <w:rPr>
          <w:noProof/>
        </w:rPr>
        <w:t xml:space="preserve"> </w:t>
      </w:r>
      <w:r w:rsidRPr="00051931">
        <w:rPr>
          <w:noProof/>
        </w:rPr>
        <w:t>J</w:t>
      </w:r>
      <w:r w:rsidRPr="00D437FC">
        <w:rPr>
          <w:noProof/>
        </w:rPr>
        <w:t>est to etap</w:t>
      </w:r>
      <w:r w:rsidR="00051931" w:rsidRPr="00D437FC">
        <w:rPr>
          <w:noProof/>
        </w:rPr>
        <w:t xml:space="preserve"> w</w:t>
      </w:r>
      <w:r w:rsidR="00051931">
        <w:rPr>
          <w:noProof/>
        </w:rPr>
        <w:t> </w:t>
      </w:r>
      <w:r w:rsidR="00051931" w:rsidRPr="00D437FC">
        <w:rPr>
          <w:noProof/>
        </w:rPr>
        <w:t>ram</w:t>
      </w:r>
      <w:r w:rsidRPr="00D437FC">
        <w:rPr>
          <w:noProof/>
        </w:rPr>
        <w:t>ach ciągłego procesu,</w:t>
      </w:r>
      <w:r w:rsidR="00051931" w:rsidRPr="00D437FC">
        <w:rPr>
          <w:noProof/>
        </w:rPr>
        <w:t xml:space="preserve"> w</w:t>
      </w:r>
      <w:r w:rsidR="00051931">
        <w:rPr>
          <w:noProof/>
        </w:rPr>
        <w:t> </w:t>
      </w:r>
      <w:r w:rsidR="00051931" w:rsidRPr="00D437FC">
        <w:rPr>
          <w:noProof/>
        </w:rPr>
        <w:t>któ</w:t>
      </w:r>
      <w:r w:rsidRPr="00D437FC">
        <w:rPr>
          <w:noProof/>
        </w:rPr>
        <w:t>rym kompleksowo analizuje się istniejące wymogi sprawozdawcze</w:t>
      </w:r>
      <w:r w:rsidR="00051931" w:rsidRPr="00D437FC">
        <w:rPr>
          <w:noProof/>
        </w:rPr>
        <w:t xml:space="preserve"> w</w:t>
      </w:r>
      <w:r w:rsidR="00051931">
        <w:rPr>
          <w:noProof/>
        </w:rPr>
        <w:t> </w:t>
      </w:r>
      <w:r w:rsidR="00051931" w:rsidRPr="00D437FC">
        <w:rPr>
          <w:noProof/>
        </w:rPr>
        <w:t>cel</w:t>
      </w:r>
      <w:r w:rsidRPr="00D437FC">
        <w:rPr>
          <w:noProof/>
        </w:rPr>
        <w:t>u oceny ich dalszej przydatności</w:t>
      </w:r>
      <w:r w:rsidR="00051931" w:rsidRPr="00D437FC">
        <w:rPr>
          <w:noProof/>
        </w:rPr>
        <w:t xml:space="preserve"> i</w:t>
      </w:r>
      <w:r w:rsidR="00051931">
        <w:rPr>
          <w:noProof/>
        </w:rPr>
        <w:t> </w:t>
      </w:r>
      <w:r w:rsidR="00051931" w:rsidRPr="00D437FC">
        <w:rPr>
          <w:noProof/>
        </w:rPr>
        <w:t>zwi</w:t>
      </w:r>
      <w:r w:rsidRPr="00D437FC">
        <w:rPr>
          <w:noProof/>
        </w:rPr>
        <w:t xml:space="preserve">ększenia ich skuteczności. </w:t>
      </w:r>
    </w:p>
    <w:p w14:paraId="55B28BB3" w14:textId="2AFAB4DC" w:rsidR="00485B87" w:rsidRPr="00D437FC" w:rsidRDefault="00485B87" w:rsidP="004E672F">
      <w:pPr>
        <w:pBdr>
          <w:top w:val="nil"/>
          <w:left w:val="nil"/>
          <w:bottom w:val="nil"/>
          <w:right w:val="nil"/>
          <w:between w:val="nil"/>
          <w:bar w:val="nil"/>
        </w:pBdr>
        <w:rPr>
          <w:rFonts w:eastAsia="Calibri"/>
          <w:noProof/>
          <w:szCs w:val="24"/>
        </w:rPr>
      </w:pPr>
      <w:r w:rsidRPr="00D437FC">
        <w:rPr>
          <w:noProof/>
        </w:rPr>
        <w:t>Racjonalizacja wprowadzona za pomocą tych środków nie będzie miała wpływu na osiągnięcie celów</w:t>
      </w:r>
      <w:r w:rsidR="00051931" w:rsidRPr="00D437FC">
        <w:rPr>
          <w:noProof/>
        </w:rPr>
        <w:t xml:space="preserve"> w</w:t>
      </w:r>
      <w:r w:rsidR="00051931">
        <w:rPr>
          <w:noProof/>
        </w:rPr>
        <w:t> </w:t>
      </w:r>
      <w:r w:rsidR="00051931" w:rsidRPr="00D437FC">
        <w:rPr>
          <w:noProof/>
        </w:rPr>
        <w:t>tym</w:t>
      </w:r>
      <w:r w:rsidRPr="00D437FC">
        <w:rPr>
          <w:noProof/>
        </w:rPr>
        <w:t xml:space="preserve"> obszarze polityki, ponieważ nie zakłócają one wypełniania przez państwa członkowskie podstawowych zobowiązań.</w:t>
      </w:r>
    </w:p>
    <w:p w14:paraId="3DA646EA" w14:textId="509DC890" w:rsidR="00527043" w:rsidRPr="00D437FC" w:rsidRDefault="00527043" w:rsidP="00474CBD">
      <w:pPr>
        <w:pStyle w:val="ManualHeading2"/>
        <w:rPr>
          <w:rFonts w:eastAsia="Arial Unicode MS"/>
          <w:noProof/>
        </w:rPr>
      </w:pPr>
      <w:r w:rsidRPr="00D437FC">
        <w:rPr>
          <w:noProof/>
          <w:color w:val="000000"/>
          <w:u w:color="000000"/>
          <w:bdr w:val="nil"/>
        </w:rPr>
        <w:t>•</w:t>
      </w:r>
      <w:r w:rsidRPr="00D437FC">
        <w:rPr>
          <w:noProof/>
        </w:rPr>
        <w:tab/>
        <w:t>Spójność</w:t>
      </w:r>
      <w:r w:rsidR="00051931" w:rsidRPr="00D437FC">
        <w:rPr>
          <w:noProof/>
        </w:rPr>
        <w:t xml:space="preserve"> z</w:t>
      </w:r>
      <w:r w:rsidR="00051931">
        <w:rPr>
          <w:noProof/>
        </w:rPr>
        <w:t> </w:t>
      </w:r>
      <w:r w:rsidR="00051931" w:rsidRPr="00D437FC">
        <w:rPr>
          <w:noProof/>
        </w:rPr>
        <w:t>inn</w:t>
      </w:r>
      <w:r w:rsidRPr="00D437FC">
        <w:rPr>
          <w:noProof/>
        </w:rPr>
        <w:t>ymi politykami Unii</w:t>
      </w:r>
    </w:p>
    <w:p w14:paraId="2EFB66A3" w14:textId="3EF9326E" w:rsidR="00485B87" w:rsidRPr="00D437FC" w:rsidRDefault="00485B87" w:rsidP="00485B87">
      <w:pPr>
        <w:pBdr>
          <w:top w:val="nil"/>
          <w:left w:val="nil"/>
          <w:bottom w:val="nil"/>
          <w:right w:val="nil"/>
          <w:between w:val="nil"/>
          <w:bar w:val="nil"/>
        </w:pBdr>
        <w:rPr>
          <w:rFonts w:eastAsia="Calibri"/>
          <w:noProof/>
        </w:rPr>
      </w:pPr>
      <w:r w:rsidRPr="00D437FC">
        <w:rPr>
          <w:noProof/>
        </w:rPr>
        <w:t>W ramach programu sprawności</w:t>
      </w:r>
      <w:r w:rsidR="00051931" w:rsidRPr="00D437FC">
        <w:rPr>
          <w:noProof/>
        </w:rPr>
        <w:t xml:space="preserve"> i</w:t>
      </w:r>
      <w:r w:rsidR="00051931">
        <w:rPr>
          <w:noProof/>
        </w:rPr>
        <w:t> </w:t>
      </w:r>
      <w:r w:rsidR="00051931" w:rsidRPr="00D437FC">
        <w:rPr>
          <w:noProof/>
        </w:rPr>
        <w:t>wyd</w:t>
      </w:r>
      <w:r w:rsidRPr="00D437FC">
        <w:rPr>
          <w:noProof/>
        </w:rPr>
        <w:t>ajności regulacyjnej (REFIT) Komisja zapewnia, aby jej przepisy były adekwatne do zakładanych celów, ukierunkowane na potrzeby zainteresowanych stron oraz minimalizowały obciążenia,</w:t>
      </w:r>
      <w:r w:rsidR="00051931" w:rsidRPr="00D437FC">
        <w:rPr>
          <w:noProof/>
        </w:rPr>
        <w:t xml:space="preserve"> a</w:t>
      </w:r>
      <w:r w:rsidR="00051931">
        <w:rPr>
          <w:noProof/>
        </w:rPr>
        <w:t> </w:t>
      </w:r>
      <w:r w:rsidR="00051931" w:rsidRPr="00D437FC">
        <w:rPr>
          <w:noProof/>
        </w:rPr>
        <w:t>jed</w:t>
      </w:r>
      <w:r w:rsidRPr="00D437FC">
        <w:rPr>
          <w:noProof/>
        </w:rPr>
        <w:t>nocześnie osiągały swoje cele. Niniejsze wnioski są zatem częścią programu REFIT</w:t>
      </w:r>
      <w:r w:rsidR="00051931" w:rsidRPr="00D437FC">
        <w:rPr>
          <w:noProof/>
        </w:rPr>
        <w:t xml:space="preserve"> i</w:t>
      </w:r>
      <w:r w:rsidR="00051931">
        <w:rPr>
          <w:noProof/>
        </w:rPr>
        <w:t> </w:t>
      </w:r>
      <w:r w:rsidR="00051931" w:rsidRPr="00D437FC">
        <w:rPr>
          <w:noProof/>
        </w:rPr>
        <w:t>prz</w:t>
      </w:r>
      <w:r w:rsidRPr="00D437FC">
        <w:rPr>
          <w:noProof/>
        </w:rPr>
        <w:t>yczyniają się do zmniejszenia złożoności obciążeń sprawozdawczych wynikających</w:t>
      </w:r>
      <w:r w:rsidR="00051931" w:rsidRPr="00D437FC">
        <w:rPr>
          <w:noProof/>
        </w:rPr>
        <w:t xml:space="preserve"> z</w:t>
      </w:r>
      <w:r w:rsidR="00051931">
        <w:rPr>
          <w:noProof/>
        </w:rPr>
        <w:t> </w:t>
      </w:r>
      <w:r w:rsidR="00051931" w:rsidRPr="00D437FC">
        <w:rPr>
          <w:noProof/>
        </w:rPr>
        <w:t>oto</w:t>
      </w:r>
      <w:r w:rsidRPr="00D437FC">
        <w:rPr>
          <w:noProof/>
        </w:rPr>
        <w:t>czenia prawnego UE.</w:t>
      </w:r>
    </w:p>
    <w:p w14:paraId="7D9D36B4" w14:textId="317AB260" w:rsidR="00485B87" w:rsidRPr="00D437FC" w:rsidRDefault="00485B87" w:rsidP="00485B87">
      <w:pPr>
        <w:pBdr>
          <w:top w:val="nil"/>
          <w:left w:val="nil"/>
          <w:bottom w:val="nil"/>
          <w:right w:val="nil"/>
          <w:between w:val="nil"/>
          <w:bar w:val="nil"/>
        </w:pBdr>
        <w:rPr>
          <w:rFonts w:eastAsia="Calibri"/>
          <w:noProof/>
          <w:szCs w:val="24"/>
        </w:rPr>
      </w:pPr>
      <w:r w:rsidRPr="00D437FC">
        <w:rPr>
          <w:noProof/>
        </w:rPr>
        <w:t>Chociaż niektóre wymogi sprawozdawcze są konieczne, powinny być one jak najbardziej skuteczne, nie powinny się nakładać ani powodować zbędnych obciążeń,</w:t>
      </w:r>
      <w:r w:rsidR="00051931" w:rsidRPr="00D437FC">
        <w:rPr>
          <w:noProof/>
        </w:rPr>
        <w:t xml:space="preserve"> a</w:t>
      </w:r>
      <w:r w:rsidR="00051931">
        <w:rPr>
          <w:noProof/>
        </w:rPr>
        <w:t> </w:t>
      </w:r>
      <w:r w:rsidR="00051931" w:rsidRPr="00D437FC">
        <w:rPr>
          <w:noProof/>
        </w:rPr>
        <w:t>ich</w:t>
      </w:r>
      <w:r w:rsidRPr="00D437FC">
        <w:rPr>
          <w:noProof/>
        </w:rPr>
        <w:t xml:space="preserve"> wypełnianie powinno się odbywać przy jak największym wykorzystaniu rozwiązań cyfrowych</w:t>
      </w:r>
      <w:r w:rsidR="00051931" w:rsidRPr="00D437FC">
        <w:rPr>
          <w:noProof/>
        </w:rPr>
        <w:t xml:space="preserve"> i</w:t>
      </w:r>
      <w:r w:rsidR="00051931">
        <w:rPr>
          <w:noProof/>
        </w:rPr>
        <w:t> </w:t>
      </w:r>
      <w:r w:rsidR="00051931" w:rsidRPr="00D437FC">
        <w:rPr>
          <w:noProof/>
        </w:rPr>
        <w:t>int</w:t>
      </w:r>
      <w:r w:rsidRPr="00D437FC">
        <w:rPr>
          <w:noProof/>
        </w:rPr>
        <w:t xml:space="preserve">eroperacyjnych. </w:t>
      </w:r>
    </w:p>
    <w:p w14:paraId="1348A023" w14:textId="180D368C" w:rsidR="00485B87" w:rsidRPr="00D437FC" w:rsidRDefault="00485B87" w:rsidP="00485B87">
      <w:pPr>
        <w:pBdr>
          <w:top w:val="nil"/>
          <w:left w:val="nil"/>
          <w:bottom w:val="nil"/>
          <w:right w:val="nil"/>
          <w:between w:val="nil"/>
          <w:bar w:val="nil"/>
        </w:pBdr>
        <w:rPr>
          <w:rFonts w:eastAsia="Calibri"/>
          <w:noProof/>
          <w:szCs w:val="24"/>
        </w:rPr>
      </w:pPr>
      <w:r w:rsidRPr="00D437FC">
        <w:rPr>
          <w:noProof/>
        </w:rPr>
        <w:t>Obecne wnioski przyczyniają się do racjonalizacji wymogów sprawozdawczych, dzięki czemu realizacja celów prawodawstwa staje się bardziej skuteczna</w:t>
      </w:r>
      <w:r w:rsidR="00051931" w:rsidRPr="00D437FC">
        <w:rPr>
          <w:noProof/>
        </w:rPr>
        <w:t xml:space="preserve"> i</w:t>
      </w:r>
      <w:r w:rsidR="00051931">
        <w:rPr>
          <w:noProof/>
        </w:rPr>
        <w:t> </w:t>
      </w:r>
      <w:r w:rsidR="00051931" w:rsidRPr="00D437FC">
        <w:rPr>
          <w:noProof/>
        </w:rPr>
        <w:t>mni</w:t>
      </w:r>
      <w:r w:rsidRPr="00D437FC">
        <w:rPr>
          <w:noProof/>
        </w:rPr>
        <w:t>ej uciążliwa dla organów publicznych oraz przedsiębiorstw.</w:t>
      </w:r>
    </w:p>
    <w:p w14:paraId="64342538" w14:textId="77777777" w:rsidR="00527043" w:rsidRPr="00D437FC" w:rsidRDefault="00527043" w:rsidP="00474CBD">
      <w:pPr>
        <w:pStyle w:val="ManualHeading1"/>
        <w:rPr>
          <w:noProof/>
        </w:rPr>
      </w:pPr>
      <w:r w:rsidRPr="00D437FC">
        <w:rPr>
          <w:noProof/>
        </w:rPr>
        <w:t>2.</w:t>
      </w:r>
      <w:r w:rsidRPr="00D437FC">
        <w:rPr>
          <w:noProof/>
        </w:rPr>
        <w:tab/>
        <w:t>PODSTAWA PRAWNA, POMOCNICZOŚĆ I PROPORCJONALNOŚĆ</w:t>
      </w:r>
    </w:p>
    <w:p w14:paraId="3F84D2A0" w14:textId="77777777" w:rsidR="00527043" w:rsidRPr="00D437FC" w:rsidRDefault="00527043" w:rsidP="00474CBD">
      <w:pPr>
        <w:pStyle w:val="ManualHeading2"/>
        <w:rPr>
          <w:rFonts w:eastAsia="Arial Unicode MS"/>
          <w:noProof/>
          <w:u w:color="000000"/>
          <w:bdr w:val="nil"/>
        </w:rPr>
      </w:pPr>
      <w:r w:rsidRPr="00D437FC">
        <w:rPr>
          <w:noProof/>
          <w:u w:color="000000"/>
          <w:bdr w:val="nil"/>
        </w:rPr>
        <w:t>•</w:t>
      </w:r>
      <w:r w:rsidRPr="00D437FC">
        <w:rPr>
          <w:noProof/>
        </w:rPr>
        <w:tab/>
      </w:r>
      <w:r w:rsidRPr="00D437FC">
        <w:rPr>
          <w:noProof/>
          <w:u w:color="000000"/>
          <w:bdr w:val="nil"/>
        </w:rPr>
        <w:t>Podstawa prawna</w:t>
      </w:r>
    </w:p>
    <w:p w14:paraId="65911293" w14:textId="60515B61" w:rsidR="0097146F" w:rsidRPr="00D437FC" w:rsidRDefault="082930B7" w:rsidP="0027270E">
      <w:pPr>
        <w:pBdr>
          <w:top w:val="nil"/>
          <w:left w:val="nil"/>
          <w:bottom w:val="nil"/>
          <w:right w:val="nil"/>
          <w:between w:val="nil"/>
          <w:bar w:val="nil"/>
        </w:pBdr>
        <w:rPr>
          <w:rFonts w:eastAsia="Calibri"/>
          <w:noProof/>
        </w:rPr>
      </w:pPr>
      <w:r w:rsidRPr="00D437FC">
        <w:rPr>
          <w:noProof/>
        </w:rPr>
        <w:t xml:space="preserve">Podstawą prawną rozporządzenia (WE) </w:t>
      </w:r>
      <w:r w:rsidRPr="00051931">
        <w:rPr>
          <w:noProof/>
        </w:rPr>
        <w:t>nr</w:t>
      </w:r>
      <w:r w:rsidR="00051931" w:rsidRPr="00051931">
        <w:rPr>
          <w:noProof/>
        </w:rPr>
        <w:t> </w:t>
      </w:r>
      <w:r w:rsidRPr="00051931">
        <w:rPr>
          <w:noProof/>
        </w:rPr>
        <w:t>8</w:t>
      </w:r>
      <w:r w:rsidRPr="00D437FC">
        <w:rPr>
          <w:noProof/>
        </w:rPr>
        <w:t xml:space="preserve">0/2009 są </w:t>
      </w:r>
      <w:r w:rsidRPr="00051931">
        <w:rPr>
          <w:noProof/>
        </w:rPr>
        <w:t>art.</w:t>
      </w:r>
      <w:r w:rsidR="00051931" w:rsidRPr="00051931">
        <w:rPr>
          <w:noProof/>
        </w:rPr>
        <w:t> </w:t>
      </w:r>
      <w:r w:rsidRPr="00051931">
        <w:rPr>
          <w:noProof/>
        </w:rPr>
        <w:t>7</w:t>
      </w:r>
      <w:r w:rsidRPr="00D437FC">
        <w:rPr>
          <w:noProof/>
        </w:rPr>
        <w:t>1</w:t>
      </w:r>
      <w:r w:rsidR="00051931" w:rsidRPr="00D437FC">
        <w:rPr>
          <w:noProof/>
        </w:rPr>
        <w:t xml:space="preserve"> i</w:t>
      </w:r>
      <w:r w:rsidR="00051931">
        <w:rPr>
          <w:noProof/>
        </w:rPr>
        <w:t> </w:t>
      </w:r>
      <w:r w:rsidR="00051931" w:rsidRPr="00051931">
        <w:rPr>
          <w:noProof/>
        </w:rPr>
        <w:t>art</w:t>
      </w:r>
      <w:r w:rsidRPr="00051931">
        <w:rPr>
          <w:noProof/>
        </w:rPr>
        <w:t>.</w:t>
      </w:r>
      <w:r w:rsidR="00051931" w:rsidRPr="00051931">
        <w:rPr>
          <w:noProof/>
        </w:rPr>
        <w:t> </w:t>
      </w:r>
      <w:r w:rsidRPr="00051931">
        <w:rPr>
          <w:noProof/>
        </w:rPr>
        <w:t>8</w:t>
      </w:r>
      <w:r w:rsidRPr="00D437FC">
        <w:rPr>
          <w:noProof/>
        </w:rPr>
        <w:t xml:space="preserve">0 </w:t>
      </w:r>
      <w:r w:rsidRPr="00051931">
        <w:rPr>
          <w:noProof/>
        </w:rPr>
        <w:t>ust.</w:t>
      </w:r>
      <w:r w:rsidR="00051931" w:rsidRPr="00051931">
        <w:rPr>
          <w:noProof/>
        </w:rPr>
        <w:t> </w:t>
      </w:r>
      <w:r w:rsidRPr="00051931">
        <w:rPr>
          <w:noProof/>
        </w:rPr>
        <w:t>2</w:t>
      </w:r>
      <w:r w:rsidRPr="00D437FC">
        <w:rPr>
          <w:noProof/>
        </w:rPr>
        <w:t xml:space="preserve"> Traktatu ustanawiającego Wspólnotę Europejską, obecnie odpowiednio </w:t>
      </w:r>
      <w:r w:rsidRPr="00051931">
        <w:rPr>
          <w:noProof/>
        </w:rPr>
        <w:t>art.</w:t>
      </w:r>
      <w:r w:rsidR="00051931" w:rsidRPr="00051931">
        <w:rPr>
          <w:noProof/>
        </w:rPr>
        <w:t> </w:t>
      </w:r>
      <w:r w:rsidRPr="00051931">
        <w:rPr>
          <w:noProof/>
        </w:rPr>
        <w:t>9</w:t>
      </w:r>
      <w:r w:rsidRPr="00D437FC">
        <w:rPr>
          <w:noProof/>
        </w:rPr>
        <w:t>1</w:t>
      </w:r>
      <w:r w:rsidR="00051931" w:rsidRPr="00D437FC">
        <w:rPr>
          <w:noProof/>
        </w:rPr>
        <w:t xml:space="preserve"> i</w:t>
      </w:r>
      <w:r w:rsidR="00051931">
        <w:rPr>
          <w:noProof/>
        </w:rPr>
        <w:t> </w:t>
      </w:r>
      <w:r w:rsidR="00051931" w:rsidRPr="00051931">
        <w:rPr>
          <w:noProof/>
        </w:rPr>
        <w:t>art</w:t>
      </w:r>
      <w:r w:rsidRPr="00051931">
        <w:rPr>
          <w:noProof/>
        </w:rPr>
        <w:t>.</w:t>
      </w:r>
      <w:r w:rsidR="00051931" w:rsidRPr="00051931">
        <w:rPr>
          <w:noProof/>
        </w:rPr>
        <w:t> </w:t>
      </w:r>
      <w:r w:rsidRPr="00051931">
        <w:rPr>
          <w:noProof/>
        </w:rPr>
        <w:t>1</w:t>
      </w:r>
      <w:r w:rsidRPr="00D437FC">
        <w:rPr>
          <w:noProof/>
        </w:rPr>
        <w:t xml:space="preserve">00 </w:t>
      </w:r>
      <w:r w:rsidRPr="00051931">
        <w:rPr>
          <w:noProof/>
        </w:rPr>
        <w:t>ust.</w:t>
      </w:r>
      <w:r w:rsidR="00051931" w:rsidRPr="00051931">
        <w:rPr>
          <w:noProof/>
        </w:rPr>
        <w:t> </w:t>
      </w:r>
      <w:r w:rsidRPr="00051931">
        <w:rPr>
          <w:noProof/>
        </w:rPr>
        <w:t>2</w:t>
      </w:r>
      <w:r w:rsidRPr="00D437FC">
        <w:rPr>
          <w:noProof/>
        </w:rPr>
        <w:t xml:space="preserve"> Traktatu</w:t>
      </w:r>
      <w:r w:rsidR="00051931" w:rsidRPr="00D437FC">
        <w:rPr>
          <w:noProof/>
        </w:rPr>
        <w:t xml:space="preserve"> o</w:t>
      </w:r>
      <w:r w:rsidR="00051931">
        <w:rPr>
          <w:noProof/>
        </w:rPr>
        <w:t> </w:t>
      </w:r>
      <w:r w:rsidR="00051931" w:rsidRPr="00D437FC">
        <w:rPr>
          <w:noProof/>
        </w:rPr>
        <w:t>fun</w:t>
      </w:r>
      <w:r w:rsidRPr="00D437FC">
        <w:rPr>
          <w:noProof/>
        </w:rPr>
        <w:t xml:space="preserve">kcjonowaniu Unii Europejskiej (TFUE), podstawą prawną rozporządzenia (UE) </w:t>
      </w:r>
      <w:r w:rsidRPr="00051931">
        <w:rPr>
          <w:noProof/>
        </w:rPr>
        <w:t>nr</w:t>
      </w:r>
      <w:r w:rsidR="00051931" w:rsidRPr="00051931">
        <w:rPr>
          <w:noProof/>
        </w:rPr>
        <w:t> </w:t>
      </w:r>
      <w:r w:rsidRPr="00051931">
        <w:rPr>
          <w:noProof/>
        </w:rPr>
        <w:t>1</w:t>
      </w:r>
      <w:r w:rsidRPr="00D437FC">
        <w:rPr>
          <w:noProof/>
        </w:rPr>
        <w:t xml:space="preserve">65/2014 jest </w:t>
      </w:r>
      <w:r w:rsidRPr="00051931">
        <w:rPr>
          <w:noProof/>
        </w:rPr>
        <w:t>art.</w:t>
      </w:r>
      <w:r w:rsidR="00051931" w:rsidRPr="00051931">
        <w:rPr>
          <w:noProof/>
        </w:rPr>
        <w:t> </w:t>
      </w:r>
      <w:r w:rsidRPr="00051931">
        <w:rPr>
          <w:noProof/>
        </w:rPr>
        <w:t>9</w:t>
      </w:r>
      <w:r w:rsidRPr="00D437FC">
        <w:rPr>
          <w:noProof/>
        </w:rPr>
        <w:t>1 TFUE,</w:t>
      </w:r>
      <w:r w:rsidR="00051931" w:rsidRPr="00D437FC">
        <w:rPr>
          <w:noProof/>
        </w:rPr>
        <w:t xml:space="preserve"> a</w:t>
      </w:r>
      <w:r w:rsidR="00051931">
        <w:rPr>
          <w:noProof/>
        </w:rPr>
        <w:t> </w:t>
      </w:r>
      <w:r w:rsidR="00051931" w:rsidRPr="00D437FC">
        <w:rPr>
          <w:noProof/>
        </w:rPr>
        <w:t>roz</w:t>
      </w:r>
      <w:r w:rsidRPr="00D437FC">
        <w:rPr>
          <w:noProof/>
        </w:rPr>
        <w:t xml:space="preserve">porządzenia (UE) </w:t>
      </w:r>
      <w:r w:rsidRPr="00051931">
        <w:rPr>
          <w:noProof/>
        </w:rPr>
        <w:t>nr</w:t>
      </w:r>
      <w:r w:rsidR="00051931" w:rsidRPr="00051931">
        <w:rPr>
          <w:noProof/>
        </w:rPr>
        <w:t> </w:t>
      </w:r>
      <w:r w:rsidRPr="00051931">
        <w:rPr>
          <w:noProof/>
        </w:rPr>
        <w:t>9</w:t>
      </w:r>
      <w:r w:rsidRPr="00D437FC">
        <w:rPr>
          <w:noProof/>
        </w:rPr>
        <w:t xml:space="preserve">96/2010 – </w:t>
      </w:r>
      <w:r w:rsidRPr="00051931">
        <w:rPr>
          <w:noProof/>
        </w:rPr>
        <w:t>art.</w:t>
      </w:r>
      <w:r w:rsidR="00051931" w:rsidRPr="00051931">
        <w:rPr>
          <w:noProof/>
        </w:rPr>
        <w:t> </w:t>
      </w:r>
      <w:r w:rsidRPr="00051931">
        <w:rPr>
          <w:noProof/>
        </w:rPr>
        <w:t>1</w:t>
      </w:r>
      <w:r w:rsidRPr="00D437FC">
        <w:rPr>
          <w:noProof/>
        </w:rPr>
        <w:t xml:space="preserve">00 </w:t>
      </w:r>
      <w:r w:rsidRPr="00051931">
        <w:rPr>
          <w:noProof/>
        </w:rPr>
        <w:t>ust.</w:t>
      </w:r>
      <w:r w:rsidR="00051931" w:rsidRPr="00051931">
        <w:rPr>
          <w:noProof/>
        </w:rPr>
        <w:t> </w:t>
      </w:r>
      <w:r w:rsidRPr="00051931">
        <w:rPr>
          <w:noProof/>
        </w:rPr>
        <w:t>2</w:t>
      </w:r>
      <w:r w:rsidRPr="00D437FC">
        <w:rPr>
          <w:noProof/>
        </w:rPr>
        <w:t xml:space="preserve"> TFUE</w:t>
      </w:r>
      <w:r w:rsidR="00051931" w:rsidRPr="00D437FC">
        <w:rPr>
          <w:noProof/>
        </w:rPr>
        <w:t>. W</w:t>
      </w:r>
      <w:r w:rsidR="00051931">
        <w:rPr>
          <w:noProof/>
        </w:rPr>
        <w:t> </w:t>
      </w:r>
      <w:r w:rsidR="00051931" w:rsidRPr="00D437FC">
        <w:rPr>
          <w:noProof/>
        </w:rPr>
        <w:t>zwi</w:t>
      </w:r>
      <w:r w:rsidRPr="00D437FC">
        <w:rPr>
          <w:noProof/>
        </w:rPr>
        <w:t>ązku</w:t>
      </w:r>
      <w:r w:rsidR="00051931" w:rsidRPr="00D437FC">
        <w:rPr>
          <w:noProof/>
        </w:rPr>
        <w:t xml:space="preserve"> z</w:t>
      </w:r>
      <w:r w:rsidR="00051931">
        <w:rPr>
          <w:noProof/>
        </w:rPr>
        <w:t> </w:t>
      </w:r>
      <w:r w:rsidR="00051931" w:rsidRPr="00D437FC">
        <w:rPr>
          <w:noProof/>
        </w:rPr>
        <w:t>tym</w:t>
      </w:r>
      <w:r w:rsidRPr="00D437FC">
        <w:rPr>
          <w:noProof/>
        </w:rPr>
        <w:t xml:space="preserve"> podstawą prawną rozporządzenia, którego dotyczy wniosek, powinny być </w:t>
      </w:r>
      <w:r w:rsidRPr="00051931">
        <w:rPr>
          <w:noProof/>
        </w:rPr>
        <w:t>art.</w:t>
      </w:r>
      <w:r w:rsidR="00051931" w:rsidRPr="00051931">
        <w:rPr>
          <w:noProof/>
        </w:rPr>
        <w:t> </w:t>
      </w:r>
      <w:r w:rsidRPr="00051931">
        <w:rPr>
          <w:noProof/>
        </w:rPr>
        <w:t>9</w:t>
      </w:r>
      <w:r w:rsidRPr="00D437FC">
        <w:rPr>
          <w:noProof/>
        </w:rPr>
        <w:t>1</w:t>
      </w:r>
      <w:r w:rsidR="00051931" w:rsidRPr="00D437FC">
        <w:rPr>
          <w:noProof/>
        </w:rPr>
        <w:t xml:space="preserve"> i</w:t>
      </w:r>
      <w:r w:rsidR="00051931">
        <w:rPr>
          <w:noProof/>
        </w:rPr>
        <w:t> </w:t>
      </w:r>
      <w:r w:rsidR="00051931" w:rsidRPr="00051931">
        <w:rPr>
          <w:noProof/>
        </w:rPr>
        <w:t>art</w:t>
      </w:r>
      <w:r w:rsidRPr="00051931">
        <w:rPr>
          <w:noProof/>
        </w:rPr>
        <w:t>.</w:t>
      </w:r>
      <w:r w:rsidR="00051931" w:rsidRPr="00051931">
        <w:rPr>
          <w:noProof/>
        </w:rPr>
        <w:t> </w:t>
      </w:r>
      <w:r w:rsidRPr="00051931">
        <w:rPr>
          <w:noProof/>
        </w:rPr>
        <w:t>1</w:t>
      </w:r>
      <w:r w:rsidRPr="00D437FC">
        <w:rPr>
          <w:noProof/>
        </w:rPr>
        <w:t xml:space="preserve">00 </w:t>
      </w:r>
      <w:r w:rsidRPr="00051931">
        <w:rPr>
          <w:noProof/>
        </w:rPr>
        <w:t>ust.</w:t>
      </w:r>
      <w:r w:rsidR="00051931" w:rsidRPr="00051931">
        <w:rPr>
          <w:noProof/>
        </w:rPr>
        <w:t> </w:t>
      </w:r>
      <w:r w:rsidRPr="00051931">
        <w:rPr>
          <w:noProof/>
        </w:rPr>
        <w:t>2</w:t>
      </w:r>
      <w:r w:rsidRPr="00D437FC">
        <w:rPr>
          <w:noProof/>
        </w:rPr>
        <w:t xml:space="preserve"> TFUE.</w:t>
      </w:r>
    </w:p>
    <w:p w14:paraId="09827210" w14:textId="77777777" w:rsidR="00527043" w:rsidRPr="00D437FC" w:rsidRDefault="00527043" w:rsidP="00474CBD">
      <w:pPr>
        <w:pStyle w:val="ManualHeading2"/>
        <w:rPr>
          <w:rFonts w:eastAsia="Arial Unicode MS"/>
          <w:noProof/>
          <w:u w:color="000000"/>
          <w:bdr w:val="nil"/>
        </w:rPr>
      </w:pPr>
      <w:r w:rsidRPr="00D437FC">
        <w:rPr>
          <w:noProof/>
          <w:u w:color="000000"/>
          <w:bdr w:val="nil"/>
        </w:rPr>
        <w:t>•</w:t>
      </w:r>
      <w:r w:rsidRPr="00D437FC">
        <w:rPr>
          <w:noProof/>
        </w:rPr>
        <w:tab/>
      </w:r>
      <w:r w:rsidRPr="00D437FC">
        <w:rPr>
          <w:noProof/>
          <w:u w:color="000000"/>
          <w:bdr w:val="nil"/>
        </w:rPr>
        <w:t xml:space="preserve">Pomocniczość </w:t>
      </w:r>
    </w:p>
    <w:p w14:paraId="6C5E8F6D" w14:textId="65A07E9E" w:rsidR="00485B87" w:rsidRPr="00D437FC" w:rsidRDefault="72C36A0F" w:rsidP="2A92943C">
      <w:pPr>
        <w:pBdr>
          <w:top w:val="nil"/>
          <w:left w:val="nil"/>
          <w:bottom w:val="nil"/>
          <w:right w:val="nil"/>
          <w:between w:val="nil"/>
          <w:bar w:val="nil"/>
        </w:pBdr>
        <w:rPr>
          <w:rFonts w:eastAsia="Calibri"/>
          <w:noProof/>
        </w:rPr>
      </w:pPr>
      <w:r w:rsidRPr="00D437FC">
        <w:rPr>
          <w:noProof/>
        </w:rPr>
        <w:t>Odnośne wymogi</w:t>
      </w:r>
      <w:r w:rsidR="00051931" w:rsidRPr="00D437FC">
        <w:rPr>
          <w:noProof/>
        </w:rPr>
        <w:t xml:space="preserve"> w</w:t>
      </w:r>
      <w:r w:rsidR="00051931">
        <w:rPr>
          <w:noProof/>
        </w:rPr>
        <w:t> </w:t>
      </w:r>
      <w:r w:rsidR="00051931" w:rsidRPr="00D437FC">
        <w:rPr>
          <w:noProof/>
        </w:rPr>
        <w:t>zak</w:t>
      </w:r>
      <w:r w:rsidRPr="00D437FC">
        <w:rPr>
          <w:noProof/>
        </w:rPr>
        <w:t>resie sprawozdawczości wynikają</w:t>
      </w:r>
      <w:r w:rsidR="00051931" w:rsidRPr="00D437FC">
        <w:rPr>
          <w:noProof/>
        </w:rPr>
        <w:t xml:space="preserve"> z</w:t>
      </w:r>
      <w:r w:rsidR="00051931">
        <w:rPr>
          <w:noProof/>
        </w:rPr>
        <w:t> </w:t>
      </w:r>
      <w:r w:rsidR="00051931" w:rsidRPr="00D437FC">
        <w:rPr>
          <w:noProof/>
        </w:rPr>
        <w:t>pra</w:t>
      </w:r>
      <w:r w:rsidRPr="00D437FC">
        <w:rPr>
          <w:noProof/>
        </w:rPr>
        <w:t>wa UE. Ich racjonalizację jest zatem najlepiej przeprowadzić na szczeblu UE, aby zapewnić pewność prawa</w:t>
      </w:r>
      <w:r w:rsidR="00051931" w:rsidRPr="00D437FC">
        <w:rPr>
          <w:noProof/>
        </w:rPr>
        <w:t xml:space="preserve"> i</w:t>
      </w:r>
      <w:r w:rsidR="00051931">
        <w:rPr>
          <w:noProof/>
        </w:rPr>
        <w:t> </w:t>
      </w:r>
      <w:r w:rsidR="00051931" w:rsidRPr="00D437FC">
        <w:rPr>
          <w:noProof/>
        </w:rPr>
        <w:t>spó</w:t>
      </w:r>
      <w:r w:rsidRPr="00D437FC">
        <w:rPr>
          <w:noProof/>
        </w:rPr>
        <w:t>jność sprawozdawczości. Zapewni to równe warunki działania przedsiębiorstwom</w:t>
      </w:r>
      <w:r w:rsidR="00051931" w:rsidRPr="00D437FC">
        <w:rPr>
          <w:noProof/>
        </w:rPr>
        <w:t xml:space="preserve"> i</w:t>
      </w:r>
      <w:r w:rsidR="00051931">
        <w:rPr>
          <w:noProof/>
        </w:rPr>
        <w:t> </w:t>
      </w:r>
      <w:r w:rsidR="00051931" w:rsidRPr="00D437FC">
        <w:rPr>
          <w:noProof/>
        </w:rPr>
        <w:t>org</w:t>
      </w:r>
      <w:r w:rsidRPr="00D437FC">
        <w:rPr>
          <w:noProof/>
        </w:rPr>
        <w:t>anom administracji publicznej</w:t>
      </w:r>
      <w:r w:rsidR="00051931" w:rsidRPr="00D437FC">
        <w:rPr>
          <w:noProof/>
        </w:rPr>
        <w:t xml:space="preserve"> w</w:t>
      </w:r>
      <w:r w:rsidR="00051931">
        <w:rPr>
          <w:noProof/>
        </w:rPr>
        <w:t> </w:t>
      </w:r>
      <w:r w:rsidR="00051931" w:rsidRPr="00D437FC">
        <w:rPr>
          <w:noProof/>
        </w:rPr>
        <w:t>cał</w:t>
      </w:r>
      <w:r w:rsidRPr="00D437FC">
        <w:rPr>
          <w:noProof/>
        </w:rPr>
        <w:t>ej UE, które skorzystają</w:t>
      </w:r>
      <w:r w:rsidR="00051931" w:rsidRPr="00D437FC">
        <w:rPr>
          <w:noProof/>
        </w:rPr>
        <w:t xml:space="preserve"> z</w:t>
      </w:r>
      <w:r w:rsidR="00051931">
        <w:rPr>
          <w:noProof/>
        </w:rPr>
        <w:t> </w:t>
      </w:r>
      <w:r w:rsidR="00051931" w:rsidRPr="00D437FC">
        <w:rPr>
          <w:noProof/>
        </w:rPr>
        <w:t>rac</w:t>
      </w:r>
      <w:r w:rsidRPr="00D437FC">
        <w:rPr>
          <w:noProof/>
        </w:rPr>
        <w:t>jonalizacji wymogów sprawozdawczych wynikających</w:t>
      </w:r>
      <w:r w:rsidR="00051931" w:rsidRPr="00D437FC">
        <w:rPr>
          <w:noProof/>
        </w:rPr>
        <w:t xml:space="preserve"> z</w:t>
      </w:r>
      <w:r w:rsidR="00051931">
        <w:rPr>
          <w:noProof/>
        </w:rPr>
        <w:t> </w:t>
      </w:r>
      <w:r w:rsidR="00051931" w:rsidRPr="00D437FC">
        <w:rPr>
          <w:noProof/>
        </w:rPr>
        <w:t>tyc</w:t>
      </w:r>
      <w:r w:rsidRPr="00D437FC">
        <w:rPr>
          <w:noProof/>
        </w:rPr>
        <w:t>h wniosków.</w:t>
      </w:r>
    </w:p>
    <w:p w14:paraId="02B12A9C" w14:textId="77777777" w:rsidR="00527043" w:rsidRPr="00D437FC" w:rsidRDefault="00527043" w:rsidP="00474CBD">
      <w:pPr>
        <w:pStyle w:val="ManualHeading2"/>
        <w:rPr>
          <w:rFonts w:eastAsia="Arial Unicode MS"/>
          <w:noProof/>
          <w:u w:color="000000"/>
          <w:bdr w:val="nil"/>
        </w:rPr>
      </w:pPr>
      <w:r w:rsidRPr="00D437FC">
        <w:rPr>
          <w:noProof/>
          <w:u w:color="000000"/>
          <w:bdr w:val="nil"/>
        </w:rPr>
        <w:t>•</w:t>
      </w:r>
      <w:r w:rsidRPr="00D437FC">
        <w:rPr>
          <w:noProof/>
        </w:rPr>
        <w:tab/>
      </w:r>
      <w:r w:rsidRPr="00D437FC">
        <w:rPr>
          <w:noProof/>
          <w:u w:color="000000"/>
          <w:bdr w:val="nil"/>
        </w:rPr>
        <w:t>Proporcjonalność</w:t>
      </w:r>
    </w:p>
    <w:p w14:paraId="61BC4643" w14:textId="0C53CD51" w:rsidR="00485B87" w:rsidRPr="00D437FC" w:rsidRDefault="00485B87" w:rsidP="00485B87">
      <w:pPr>
        <w:pBdr>
          <w:top w:val="nil"/>
          <w:left w:val="nil"/>
          <w:bottom w:val="nil"/>
          <w:right w:val="nil"/>
          <w:between w:val="nil"/>
          <w:bar w:val="nil"/>
        </w:pBdr>
        <w:rPr>
          <w:rFonts w:eastAsia="Calibri"/>
          <w:noProof/>
        </w:rPr>
      </w:pPr>
      <w:r w:rsidRPr="00D437FC">
        <w:rPr>
          <w:noProof/>
        </w:rPr>
        <w:t>Dzięki racjonalizacji wymogów sprawozdawczych uproszczone zostaną ramy prawne poprzez wprowadzenie minimalnych zmian</w:t>
      </w:r>
      <w:r w:rsidR="00051931" w:rsidRPr="00D437FC">
        <w:rPr>
          <w:noProof/>
        </w:rPr>
        <w:t xml:space="preserve"> w</w:t>
      </w:r>
      <w:r w:rsidR="00051931">
        <w:rPr>
          <w:noProof/>
        </w:rPr>
        <w:t> </w:t>
      </w:r>
      <w:r w:rsidR="00051931" w:rsidRPr="00D437FC">
        <w:rPr>
          <w:noProof/>
        </w:rPr>
        <w:t>ist</w:t>
      </w:r>
      <w:r w:rsidRPr="00D437FC">
        <w:rPr>
          <w:noProof/>
        </w:rPr>
        <w:t>niejących wymogach, które nie mają wpływu na istotę szerszego celu polityki. Wniosek ogranicza się zatem do tych zmian, które są niezbędne do zapewnienia skutecznej sprawozdawczości bez zmiany któregokolwiek</w:t>
      </w:r>
      <w:r w:rsidR="00051931" w:rsidRPr="00D437FC">
        <w:rPr>
          <w:noProof/>
        </w:rPr>
        <w:t xml:space="preserve"> z</w:t>
      </w:r>
      <w:r w:rsidR="00051931">
        <w:rPr>
          <w:noProof/>
        </w:rPr>
        <w:t> </w:t>
      </w:r>
      <w:r w:rsidR="00051931" w:rsidRPr="00D437FC">
        <w:rPr>
          <w:noProof/>
        </w:rPr>
        <w:t>ist</w:t>
      </w:r>
      <w:r w:rsidRPr="00D437FC">
        <w:rPr>
          <w:noProof/>
        </w:rPr>
        <w:t xml:space="preserve">otnych elementów odnośnego prawodawstwa. </w:t>
      </w:r>
    </w:p>
    <w:p w14:paraId="0EE05CE6" w14:textId="77777777" w:rsidR="00527043" w:rsidRPr="00D437FC" w:rsidRDefault="00527043" w:rsidP="00474CBD">
      <w:pPr>
        <w:pStyle w:val="ManualHeading2"/>
        <w:rPr>
          <w:rFonts w:eastAsia="Arial Unicode MS"/>
          <w:noProof/>
          <w:u w:color="000000"/>
          <w:bdr w:val="nil"/>
        </w:rPr>
      </w:pPr>
      <w:r w:rsidRPr="00D437FC">
        <w:rPr>
          <w:noProof/>
          <w:u w:color="000000"/>
          <w:bdr w:val="nil"/>
        </w:rPr>
        <w:t>•</w:t>
      </w:r>
      <w:r w:rsidRPr="00D437FC">
        <w:rPr>
          <w:noProof/>
        </w:rPr>
        <w:tab/>
      </w:r>
      <w:r w:rsidRPr="00D437FC">
        <w:rPr>
          <w:noProof/>
          <w:u w:color="000000"/>
          <w:bdr w:val="nil"/>
        </w:rPr>
        <w:t>Wybór instrumentu</w:t>
      </w:r>
    </w:p>
    <w:p w14:paraId="5058A4E4" w14:textId="08881A18" w:rsidR="000E2E51" w:rsidRPr="00051931" w:rsidRDefault="000E2E51" w:rsidP="00403928">
      <w:pPr>
        <w:pStyle w:val="pf0"/>
        <w:jc w:val="both"/>
        <w:rPr>
          <w:rFonts w:ascii="Arial" w:hAnsi="Arial" w:cs="Arial"/>
          <w:noProof/>
          <w:sz w:val="20"/>
          <w:szCs w:val="20"/>
        </w:rPr>
      </w:pPr>
      <w:r w:rsidRPr="00D437FC">
        <w:rPr>
          <w:rStyle w:val="cf01"/>
          <w:noProof/>
        </w:rPr>
        <w:t>Proponowane rozporządzenie zmienia trzy rozporządzenia, które mają spójną podstawę prawną,</w:t>
      </w:r>
      <w:r w:rsidR="00051931" w:rsidRPr="00D437FC">
        <w:rPr>
          <w:rStyle w:val="cf01"/>
          <w:noProof/>
        </w:rPr>
        <w:t xml:space="preserve"> a</w:t>
      </w:r>
      <w:r w:rsidR="00051931">
        <w:rPr>
          <w:rStyle w:val="cf01"/>
          <w:noProof/>
        </w:rPr>
        <w:t> </w:t>
      </w:r>
      <w:r w:rsidR="00051931" w:rsidRPr="00D437FC">
        <w:rPr>
          <w:rStyle w:val="cf01"/>
          <w:noProof/>
        </w:rPr>
        <w:t>zmi</w:t>
      </w:r>
      <w:r w:rsidRPr="00D437FC">
        <w:rPr>
          <w:rStyle w:val="cf01"/>
          <w:noProof/>
        </w:rPr>
        <w:t>any dotyczą wyłącznie wymogów</w:t>
      </w:r>
      <w:r w:rsidR="00051931" w:rsidRPr="00D437FC">
        <w:rPr>
          <w:rStyle w:val="cf01"/>
          <w:noProof/>
        </w:rPr>
        <w:t xml:space="preserve"> w</w:t>
      </w:r>
      <w:r w:rsidR="00051931">
        <w:rPr>
          <w:rStyle w:val="cf01"/>
          <w:noProof/>
        </w:rPr>
        <w:t> </w:t>
      </w:r>
      <w:r w:rsidR="00051931" w:rsidRPr="00D437FC">
        <w:rPr>
          <w:rStyle w:val="cf01"/>
          <w:noProof/>
        </w:rPr>
        <w:t>zak</w:t>
      </w:r>
      <w:r w:rsidRPr="00D437FC">
        <w:rPr>
          <w:rStyle w:val="cf01"/>
          <w:noProof/>
        </w:rPr>
        <w:t>resie sprawozdawczości. Poprawki te należy zatem uwzględnić</w:t>
      </w:r>
      <w:r w:rsidR="00051931" w:rsidRPr="00D437FC">
        <w:rPr>
          <w:rStyle w:val="cf01"/>
          <w:noProof/>
        </w:rPr>
        <w:t xml:space="preserve"> w</w:t>
      </w:r>
      <w:r w:rsidR="00051931">
        <w:rPr>
          <w:rStyle w:val="cf01"/>
          <w:noProof/>
        </w:rPr>
        <w:t> </w:t>
      </w:r>
      <w:r w:rsidR="00051931" w:rsidRPr="00D437FC">
        <w:rPr>
          <w:rStyle w:val="cf01"/>
          <w:noProof/>
        </w:rPr>
        <w:t>jed</w:t>
      </w:r>
      <w:r w:rsidRPr="00D437FC">
        <w:rPr>
          <w:rStyle w:val="cf01"/>
          <w:noProof/>
        </w:rPr>
        <w:t>nym wniosku ustawodawczym</w:t>
      </w:r>
      <w:r w:rsidRPr="00051931">
        <w:rPr>
          <w:rStyle w:val="cf01"/>
          <w:noProof/>
        </w:rPr>
        <w:t>.</w:t>
      </w:r>
      <w:r w:rsidR="00051931" w:rsidRPr="00051931">
        <w:rPr>
          <w:rStyle w:val="cf01"/>
          <w:noProof/>
        </w:rPr>
        <w:t xml:space="preserve"> </w:t>
      </w:r>
    </w:p>
    <w:p w14:paraId="73BAA7A6" w14:textId="77777777" w:rsidR="00527043" w:rsidRPr="00D437FC" w:rsidRDefault="00527043" w:rsidP="00474CBD">
      <w:pPr>
        <w:pStyle w:val="ManualHeading1"/>
        <w:rPr>
          <w:noProof/>
        </w:rPr>
      </w:pPr>
      <w:r w:rsidRPr="00D437FC">
        <w:rPr>
          <w:noProof/>
        </w:rPr>
        <w:t>3.</w:t>
      </w:r>
      <w:r w:rsidRPr="00D437FC">
        <w:rPr>
          <w:noProof/>
        </w:rPr>
        <w:tab/>
        <w:t>WYNIKI OCEN EX POST, KONSULTACJI Z ZAINTERESOWANYMI STRONAMI I OCEN SKUTKÓW</w:t>
      </w:r>
    </w:p>
    <w:p w14:paraId="5ABE8FED" w14:textId="77777777" w:rsidR="00527043" w:rsidRPr="00D437FC" w:rsidRDefault="00527043" w:rsidP="00474CBD">
      <w:pPr>
        <w:pStyle w:val="ManualHeading2"/>
        <w:rPr>
          <w:rFonts w:eastAsia="Arial Unicode MS"/>
          <w:noProof/>
          <w:u w:color="000000"/>
          <w:bdr w:val="nil"/>
        </w:rPr>
      </w:pPr>
      <w:r w:rsidRPr="00D437FC">
        <w:rPr>
          <w:noProof/>
          <w:u w:color="000000"/>
          <w:bdr w:val="nil"/>
        </w:rPr>
        <w:t>•</w:t>
      </w:r>
      <w:r w:rsidRPr="00D437FC">
        <w:rPr>
          <w:noProof/>
        </w:rPr>
        <w:tab/>
      </w:r>
      <w:r w:rsidRPr="00D437FC">
        <w:rPr>
          <w:noProof/>
          <w:u w:color="000000"/>
          <w:bdr w:val="nil"/>
        </w:rPr>
        <w:t>Oceny ex post/oceny adekwatności obowiązującego prawodawstwa</w:t>
      </w:r>
    </w:p>
    <w:p w14:paraId="5BA4646B" w14:textId="77777777" w:rsidR="00527043" w:rsidRPr="00D437FC" w:rsidRDefault="004B684C" w:rsidP="00474CBD">
      <w:pPr>
        <w:pBdr>
          <w:top w:val="nil"/>
          <w:left w:val="nil"/>
          <w:bottom w:val="nil"/>
          <w:right w:val="nil"/>
          <w:between w:val="nil"/>
          <w:bar w:val="nil"/>
        </w:pBdr>
        <w:spacing w:before="0" w:after="240"/>
        <w:rPr>
          <w:rFonts w:eastAsia="Arial Unicode MS"/>
          <w:noProof/>
        </w:rPr>
      </w:pPr>
      <w:r w:rsidRPr="00D437FC">
        <w:rPr>
          <w:noProof/>
        </w:rPr>
        <w:t>Nie dotyczy</w:t>
      </w:r>
    </w:p>
    <w:p w14:paraId="4CAD373C" w14:textId="39584899" w:rsidR="00527043" w:rsidRPr="00D437FC" w:rsidRDefault="00527043" w:rsidP="00474CBD">
      <w:pPr>
        <w:pStyle w:val="ManualHeading2"/>
        <w:rPr>
          <w:rFonts w:eastAsia="Arial Unicode MS"/>
          <w:noProof/>
          <w:u w:color="000000"/>
          <w:bdr w:val="nil"/>
        </w:rPr>
      </w:pPr>
      <w:r w:rsidRPr="00D437FC">
        <w:rPr>
          <w:noProof/>
          <w:u w:color="000000"/>
          <w:bdr w:val="nil"/>
        </w:rPr>
        <w:t>•</w:t>
      </w:r>
      <w:r w:rsidRPr="00D437FC">
        <w:rPr>
          <w:noProof/>
        </w:rPr>
        <w:tab/>
      </w:r>
      <w:r w:rsidRPr="00D437FC">
        <w:rPr>
          <w:noProof/>
          <w:u w:color="000000"/>
          <w:bdr w:val="nil"/>
        </w:rPr>
        <w:t>Konsultacje</w:t>
      </w:r>
      <w:r w:rsidR="00051931" w:rsidRPr="00D437FC">
        <w:rPr>
          <w:noProof/>
          <w:u w:color="000000"/>
          <w:bdr w:val="nil"/>
        </w:rPr>
        <w:t xml:space="preserve"> z</w:t>
      </w:r>
      <w:r w:rsidR="00051931">
        <w:rPr>
          <w:noProof/>
          <w:u w:color="000000"/>
          <w:bdr w:val="nil"/>
        </w:rPr>
        <w:t> </w:t>
      </w:r>
      <w:r w:rsidR="00051931" w:rsidRPr="00D437FC">
        <w:rPr>
          <w:noProof/>
          <w:u w:color="000000"/>
          <w:bdr w:val="nil"/>
        </w:rPr>
        <w:t>zai</w:t>
      </w:r>
      <w:r w:rsidRPr="00D437FC">
        <w:rPr>
          <w:noProof/>
          <w:u w:color="000000"/>
          <w:bdr w:val="nil"/>
        </w:rPr>
        <w:t>nteresowanymi stronami</w:t>
      </w:r>
    </w:p>
    <w:p w14:paraId="2C2CD4E3" w14:textId="77777777" w:rsidR="00527043" w:rsidRPr="00D437FC" w:rsidRDefault="004B684C" w:rsidP="00474CBD">
      <w:pPr>
        <w:pBdr>
          <w:top w:val="nil"/>
          <w:left w:val="nil"/>
          <w:bottom w:val="nil"/>
          <w:right w:val="nil"/>
          <w:between w:val="nil"/>
          <w:bar w:val="nil"/>
        </w:pBdr>
        <w:spacing w:before="0" w:after="240"/>
        <w:rPr>
          <w:rFonts w:eastAsia="Arial Unicode MS"/>
          <w:noProof/>
        </w:rPr>
      </w:pPr>
      <w:r w:rsidRPr="00D437FC">
        <w:rPr>
          <w:noProof/>
        </w:rPr>
        <w:t>Nie dotyczy</w:t>
      </w:r>
    </w:p>
    <w:p w14:paraId="4EEFC502" w14:textId="78378E50" w:rsidR="00527043" w:rsidRPr="00D437FC" w:rsidRDefault="00527043" w:rsidP="00474CBD">
      <w:pPr>
        <w:pStyle w:val="ManualHeading2"/>
        <w:rPr>
          <w:rFonts w:eastAsia="Arial Unicode MS"/>
          <w:noProof/>
          <w:u w:color="000000"/>
          <w:bdr w:val="nil"/>
        </w:rPr>
      </w:pPr>
      <w:r w:rsidRPr="00D437FC">
        <w:rPr>
          <w:noProof/>
          <w:u w:color="000000"/>
          <w:bdr w:val="nil"/>
        </w:rPr>
        <w:t>•</w:t>
      </w:r>
      <w:r w:rsidRPr="00D437FC">
        <w:rPr>
          <w:noProof/>
        </w:rPr>
        <w:tab/>
      </w:r>
      <w:r w:rsidRPr="00D437FC">
        <w:rPr>
          <w:noProof/>
          <w:u w:color="000000"/>
          <w:bdr w:val="nil"/>
        </w:rPr>
        <w:t>Gromadzenie</w:t>
      </w:r>
      <w:r w:rsidR="00051931" w:rsidRPr="00D437FC">
        <w:rPr>
          <w:noProof/>
          <w:u w:color="000000"/>
          <w:bdr w:val="nil"/>
        </w:rPr>
        <w:t xml:space="preserve"> i</w:t>
      </w:r>
      <w:r w:rsidR="00051931">
        <w:rPr>
          <w:noProof/>
          <w:u w:color="000000"/>
          <w:bdr w:val="nil"/>
        </w:rPr>
        <w:t> </w:t>
      </w:r>
      <w:r w:rsidR="00051931" w:rsidRPr="00D437FC">
        <w:rPr>
          <w:noProof/>
          <w:u w:color="000000"/>
          <w:bdr w:val="nil"/>
        </w:rPr>
        <w:t>wyk</w:t>
      </w:r>
      <w:r w:rsidRPr="00D437FC">
        <w:rPr>
          <w:noProof/>
          <w:u w:color="000000"/>
          <w:bdr w:val="nil"/>
        </w:rPr>
        <w:t>orzystanie wiedzy eksperckiej</w:t>
      </w:r>
    </w:p>
    <w:p w14:paraId="5F65AE93" w14:textId="471062A8" w:rsidR="004B684C" w:rsidRPr="00D437FC" w:rsidRDefault="004B684C" w:rsidP="004B684C">
      <w:pPr>
        <w:pBdr>
          <w:top w:val="nil"/>
          <w:left w:val="nil"/>
          <w:bottom w:val="nil"/>
          <w:right w:val="nil"/>
          <w:between w:val="nil"/>
          <w:bar w:val="nil"/>
        </w:pBdr>
        <w:rPr>
          <w:rFonts w:eastAsia="Calibri"/>
          <w:noProof/>
          <w:szCs w:val="24"/>
        </w:rPr>
      </w:pPr>
      <w:r w:rsidRPr="00D437FC">
        <w:rPr>
          <w:noProof/>
        </w:rPr>
        <w:t>Niniejsze wnioski zostały opracowane na podstawie procesu wewnętrznej kontroli istniejących obowiązków sprawozdawczych</w:t>
      </w:r>
      <w:r w:rsidR="00051931" w:rsidRPr="00D437FC">
        <w:rPr>
          <w:noProof/>
        </w:rPr>
        <w:t xml:space="preserve"> i</w:t>
      </w:r>
      <w:r w:rsidR="00051931">
        <w:rPr>
          <w:noProof/>
        </w:rPr>
        <w:t> </w:t>
      </w:r>
      <w:r w:rsidR="00051931" w:rsidRPr="00D437FC">
        <w:rPr>
          <w:noProof/>
        </w:rPr>
        <w:t>w</w:t>
      </w:r>
      <w:r w:rsidR="00051931">
        <w:rPr>
          <w:noProof/>
        </w:rPr>
        <w:t> </w:t>
      </w:r>
      <w:r w:rsidR="00051931" w:rsidRPr="00D437FC">
        <w:rPr>
          <w:noProof/>
        </w:rPr>
        <w:t>opa</w:t>
      </w:r>
      <w:r w:rsidRPr="00D437FC">
        <w:rPr>
          <w:noProof/>
        </w:rPr>
        <w:t>rciu</w:t>
      </w:r>
      <w:r w:rsidR="00051931" w:rsidRPr="00D437FC">
        <w:rPr>
          <w:noProof/>
        </w:rPr>
        <w:t xml:space="preserve"> o</w:t>
      </w:r>
      <w:r w:rsidR="00051931">
        <w:rPr>
          <w:noProof/>
        </w:rPr>
        <w:t> </w:t>
      </w:r>
      <w:r w:rsidR="00051931" w:rsidRPr="00D437FC">
        <w:rPr>
          <w:noProof/>
        </w:rPr>
        <w:t>doś</w:t>
      </w:r>
      <w:r w:rsidRPr="00D437FC">
        <w:rPr>
          <w:noProof/>
        </w:rPr>
        <w:t>wiadczenia</w:t>
      </w:r>
      <w:r w:rsidR="00051931" w:rsidRPr="00D437FC">
        <w:rPr>
          <w:noProof/>
        </w:rPr>
        <w:t xml:space="preserve"> z</w:t>
      </w:r>
      <w:r w:rsidR="00051931">
        <w:rPr>
          <w:noProof/>
        </w:rPr>
        <w:t> </w:t>
      </w:r>
      <w:r w:rsidR="00051931" w:rsidRPr="00D437FC">
        <w:rPr>
          <w:noProof/>
        </w:rPr>
        <w:t>wdr</w:t>
      </w:r>
      <w:r w:rsidRPr="00D437FC">
        <w:rPr>
          <w:noProof/>
        </w:rPr>
        <w:t>ażania odnośnych przepisów. Ponieważ jest to etap</w:t>
      </w:r>
      <w:r w:rsidR="00051931" w:rsidRPr="00D437FC">
        <w:rPr>
          <w:noProof/>
        </w:rPr>
        <w:t xml:space="preserve"> w</w:t>
      </w:r>
      <w:r w:rsidR="00051931">
        <w:rPr>
          <w:noProof/>
        </w:rPr>
        <w:t> </w:t>
      </w:r>
      <w:r w:rsidR="00051931" w:rsidRPr="00D437FC">
        <w:rPr>
          <w:noProof/>
        </w:rPr>
        <w:t>pro</w:t>
      </w:r>
      <w:r w:rsidRPr="00D437FC">
        <w:rPr>
          <w:noProof/>
        </w:rPr>
        <w:t>cesie ciągłej oceny wymogów sprawozdawczych wynikających</w:t>
      </w:r>
      <w:r w:rsidR="00051931" w:rsidRPr="00D437FC">
        <w:rPr>
          <w:noProof/>
        </w:rPr>
        <w:t xml:space="preserve"> z</w:t>
      </w:r>
      <w:r w:rsidR="00051931">
        <w:rPr>
          <w:noProof/>
        </w:rPr>
        <w:t> </w:t>
      </w:r>
      <w:r w:rsidR="00051931" w:rsidRPr="00D437FC">
        <w:rPr>
          <w:noProof/>
        </w:rPr>
        <w:t>uni</w:t>
      </w:r>
      <w:r w:rsidRPr="00D437FC">
        <w:rPr>
          <w:noProof/>
        </w:rPr>
        <w:t>jnych przepisów, kontynuowana będzie kontrola takich obciążeń</w:t>
      </w:r>
      <w:r w:rsidR="00051931" w:rsidRPr="00D437FC">
        <w:rPr>
          <w:noProof/>
        </w:rPr>
        <w:t xml:space="preserve"> i</w:t>
      </w:r>
      <w:r w:rsidR="00051931">
        <w:rPr>
          <w:noProof/>
        </w:rPr>
        <w:t> </w:t>
      </w:r>
      <w:r w:rsidR="00051931" w:rsidRPr="00D437FC">
        <w:rPr>
          <w:noProof/>
        </w:rPr>
        <w:t>ich</w:t>
      </w:r>
      <w:r w:rsidRPr="00D437FC">
        <w:rPr>
          <w:noProof/>
        </w:rPr>
        <w:t xml:space="preserve"> wpływu na zainteresowane strony.</w:t>
      </w:r>
    </w:p>
    <w:p w14:paraId="5AE716DE" w14:textId="77777777" w:rsidR="00527043" w:rsidRPr="00D437FC" w:rsidRDefault="00527043" w:rsidP="00474CBD">
      <w:pPr>
        <w:pStyle w:val="ManualHeading2"/>
        <w:rPr>
          <w:rFonts w:eastAsia="Arial Unicode MS"/>
          <w:noProof/>
          <w:u w:color="000000"/>
          <w:bdr w:val="nil"/>
        </w:rPr>
      </w:pPr>
      <w:r w:rsidRPr="00D437FC">
        <w:rPr>
          <w:noProof/>
          <w:u w:color="000000"/>
          <w:bdr w:val="nil"/>
        </w:rPr>
        <w:t>•</w:t>
      </w:r>
      <w:r w:rsidRPr="00D437FC">
        <w:rPr>
          <w:noProof/>
        </w:rPr>
        <w:tab/>
      </w:r>
      <w:r w:rsidRPr="00D437FC">
        <w:rPr>
          <w:noProof/>
          <w:u w:color="000000"/>
          <w:bdr w:val="nil"/>
        </w:rPr>
        <w:t>Ocena skutków</w:t>
      </w:r>
    </w:p>
    <w:p w14:paraId="6E6517D7" w14:textId="48BC1BAB" w:rsidR="004B684C" w:rsidRPr="00D437FC" w:rsidRDefault="004B684C" w:rsidP="004B684C">
      <w:pPr>
        <w:pBdr>
          <w:top w:val="nil"/>
          <w:left w:val="nil"/>
          <w:bottom w:val="nil"/>
          <w:right w:val="nil"/>
          <w:between w:val="nil"/>
          <w:bar w:val="nil"/>
        </w:pBdr>
        <w:rPr>
          <w:rFonts w:eastAsia="Calibri"/>
          <w:noProof/>
          <w:szCs w:val="24"/>
        </w:rPr>
      </w:pPr>
      <w:r w:rsidRPr="00D437FC">
        <w:rPr>
          <w:noProof/>
        </w:rPr>
        <w:t>Wniosek dotyczy ograniczonych</w:t>
      </w:r>
      <w:r w:rsidR="00051931" w:rsidRPr="00D437FC">
        <w:rPr>
          <w:noProof/>
        </w:rPr>
        <w:t xml:space="preserve"> i</w:t>
      </w:r>
      <w:r w:rsidR="00051931">
        <w:rPr>
          <w:noProof/>
        </w:rPr>
        <w:t> </w:t>
      </w:r>
      <w:r w:rsidR="00051931" w:rsidRPr="00D437FC">
        <w:rPr>
          <w:noProof/>
        </w:rPr>
        <w:t>uki</w:t>
      </w:r>
      <w:r w:rsidRPr="00D437FC">
        <w:rPr>
          <w:noProof/>
        </w:rPr>
        <w:t>erunkowanych zmian</w:t>
      </w:r>
      <w:r w:rsidR="00051931" w:rsidRPr="00D437FC">
        <w:rPr>
          <w:noProof/>
        </w:rPr>
        <w:t xml:space="preserve"> w</w:t>
      </w:r>
      <w:r w:rsidR="00051931">
        <w:rPr>
          <w:noProof/>
        </w:rPr>
        <w:t> </w:t>
      </w:r>
      <w:r w:rsidR="00051931" w:rsidRPr="00D437FC">
        <w:rPr>
          <w:noProof/>
        </w:rPr>
        <w:t>pra</w:t>
      </w:r>
      <w:r w:rsidRPr="00D437FC">
        <w:rPr>
          <w:noProof/>
        </w:rPr>
        <w:t>wodawstwie</w:t>
      </w:r>
      <w:r w:rsidR="00051931" w:rsidRPr="00D437FC">
        <w:rPr>
          <w:noProof/>
        </w:rPr>
        <w:t xml:space="preserve"> w</w:t>
      </w:r>
      <w:r w:rsidR="00051931">
        <w:rPr>
          <w:noProof/>
        </w:rPr>
        <w:t> </w:t>
      </w:r>
      <w:r w:rsidR="00051931" w:rsidRPr="00D437FC">
        <w:rPr>
          <w:noProof/>
        </w:rPr>
        <w:t>cel</w:t>
      </w:r>
      <w:r w:rsidRPr="00D437FC">
        <w:rPr>
          <w:noProof/>
        </w:rPr>
        <w:t>u racjonalizacji wymogów sprawozdawczych. Wynikają one</w:t>
      </w:r>
      <w:r w:rsidR="00051931" w:rsidRPr="00D437FC">
        <w:rPr>
          <w:noProof/>
        </w:rPr>
        <w:t xml:space="preserve"> z</w:t>
      </w:r>
      <w:r w:rsidR="00051931">
        <w:rPr>
          <w:noProof/>
        </w:rPr>
        <w:t> </w:t>
      </w:r>
      <w:r w:rsidR="00051931" w:rsidRPr="00D437FC">
        <w:rPr>
          <w:noProof/>
        </w:rPr>
        <w:t>doś</w:t>
      </w:r>
      <w:r w:rsidRPr="00D437FC">
        <w:rPr>
          <w:noProof/>
        </w:rPr>
        <w:t>wiadczeń zgromadzonych przy wdrażania przepisów. Zmiany te nie mają znaczącego wpływu na politykę,</w:t>
      </w:r>
      <w:r w:rsidR="00051931" w:rsidRPr="00D437FC">
        <w:rPr>
          <w:noProof/>
        </w:rPr>
        <w:t xml:space="preserve"> a</w:t>
      </w:r>
      <w:r w:rsidR="00051931">
        <w:rPr>
          <w:noProof/>
        </w:rPr>
        <w:t> </w:t>
      </w:r>
      <w:r w:rsidR="00051931" w:rsidRPr="00D437FC">
        <w:rPr>
          <w:noProof/>
        </w:rPr>
        <w:t>jed</w:t>
      </w:r>
      <w:r w:rsidRPr="00D437FC">
        <w:rPr>
          <w:noProof/>
        </w:rPr>
        <w:t>ynie zapewniają bardziej efektywne</w:t>
      </w:r>
      <w:r w:rsidR="00051931" w:rsidRPr="00D437FC">
        <w:rPr>
          <w:noProof/>
        </w:rPr>
        <w:t xml:space="preserve"> i</w:t>
      </w:r>
      <w:r w:rsidR="00051931">
        <w:rPr>
          <w:noProof/>
        </w:rPr>
        <w:t> </w:t>
      </w:r>
      <w:r w:rsidR="00051931" w:rsidRPr="00D437FC">
        <w:rPr>
          <w:noProof/>
        </w:rPr>
        <w:t>sku</w:t>
      </w:r>
      <w:r w:rsidRPr="00D437FC">
        <w:rPr>
          <w:noProof/>
        </w:rPr>
        <w:t>teczne jej wdrażanie. Ich ukierunkowany charakter</w:t>
      </w:r>
      <w:r w:rsidR="00051931" w:rsidRPr="00D437FC">
        <w:rPr>
          <w:noProof/>
        </w:rPr>
        <w:t xml:space="preserve"> i</w:t>
      </w:r>
      <w:r w:rsidR="00051931">
        <w:rPr>
          <w:noProof/>
        </w:rPr>
        <w:t> </w:t>
      </w:r>
      <w:r w:rsidR="00051931" w:rsidRPr="00D437FC">
        <w:rPr>
          <w:noProof/>
        </w:rPr>
        <w:t>bra</w:t>
      </w:r>
      <w:r w:rsidRPr="00D437FC">
        <w:rPr>
          <w:noProof/>
        </w:rPr>
        <w:t xml:space="preserve">k ewentualnych wariantów strategicznych sprawiają, że ocena skutków nie jest konieczna. </w:t>
      </w:r>
    </w:p>
    <w:p w14:paraId="3750811A" w14:textId="30EF3CF2" w:rsidR="00527043" w:rsidRPr="00D437FC" w:rsidRDefault="00527043" w:rsidP="00474CBD">
      <w:pPr>
        <w:pStyle w:val="ManualHeading2"/>
        <w:rPr>
          <w:rFonts w:eastAsia="Arial Unicode MS"/>
          <w:noProof/>
          <w:u w:color="000000"/>
          <w:bdr w:val="nil"/>
        </w:rPr>
      </w:pPr>
      <w:r w:rsidRPr="00D437FC">
        <w:rPr>
          <w:noProof/>
          <w:u w:color="000000"/>
          <w:bdr w:val="nil"/>
        </w:rPr>
        <w:t>•</w:t>
      </w:r>
      <w:r w:rsidRPr="00D437FC">
        <w:rPr>
          <w:noProof/>
        </w:rPr>
        <w:tab/>
      </w:r>
      <w:r w:rsidRPr="00D437FC">
        <w:rPr>
          <w:noProof/>
          <w:u w:color="000000"/>
          <w:bdr w:val="nil"/>
        </w:rPr>
        <w:t>Sprawność regulacyjna</w:t>
      </w:r>
      <w:r w:rsidR="00051931" w:rsidRPr="00D437FC">
        <w:rPr>
          <w:noProof/>
          <w:u w:color="000000"/>
          <w:bdr w:val="nil"/>
        </w:rPr>
        <w:t xml:space="preserve"> i</w:t>
      </w:r>
      <w:r w:rsidR="00051931">
        <w:rPr>
          <w:noProof/>
          <w:u w:color="000000"/>
          <w:bdr w:val="nil"/>
        </w:rPr>
        <w:t> </w:t>
      </w:r>
      <w:r w:rsidR="00051931" w:rsidRPr="00D437FC">
        <w:rPr>
          <w:noProof/>
          <w:u w:color="000000"/>
          <w:bdr w:val="nil"/>
        </w:rPr>
        <w:t>upr</w:t>
      </w:r>
      <w:r w:rsidRPr="00D437FC">
        <w:rPr>
          <w:noProof/>
          <w:u w:color="000000"/>
          <w:bdr w:val="nil"/>
        </w:rPr>
        <w:t>oszczenie</w:t>
      </w:r>
    </w:p>
    <w:p w14:paraId="26758ECD" w14:textId="522B97AE" w:rsidR="00442B3A" w:rsidRPr="00D437FC" w:rsidRDefault="004B684C" w:rsidP="00442B3A">
      <w:pPr>
        <w:pBdr>
          <w:top w:val="nil"/>
          <w:left w:val="nil"/>
          <w:bottom w:val="nil"/>
          <w:right w:val="nil"/>
          <w:between w:val="nil"/>
          <w:bar w:val="nil"/>
        </w:pBdr>
        <w:rPr>
          <w:rFonts w:eastAsia="Calibri"/>
          <w:noProof/>
          <w:szCs w:val="24"/>
        </w:rPr>
      </w:pPr>
      <w:r w:rsidRPr="00D437FC">
        <w:rPr>
          <w:noProof/>
        </w:rPr>
        <w:t>Jest to wniosek REFIT, którego celem jest uproszczenie prawodawstwa</w:t>
      </w:r>
      <w:r w:rsidR="00051931" w:rsidRPr="00D437FC">
        <w:rPr>
          <w:noProof/>
        </w:rPr>
        <w:t xml:space="preserve"> i</w:t>
      </w:r>
      <w:r w:rsidR="00051931">
        <w:rPr>
          <w:noProof/>
        </w:rPr>
        <w:t> </w:t>
      </w:r>
      <w:r w:rsidR="00051931" w:rsidRPr="00D437FC">
        <w:rPr>
          <w:noProof/>
        </w:rPr>
        <w:t>zmn</w:t>
      </w:r>
      <w:r w:rsidRPr="00D437FC">
        <w:rPr>
          <w:noProof/>
        </w:rPr>
        <w:t>iejszenie obciążeń dla zainteresowanych stron,</w:t>
      </w:r>
      <w:r w:rsidR="00051931" w:rsidRPr="00D437FC">
        <w:rPr>
          <w:noProof/>
        </w:rPr>
        <w:t xml:space="preserve"> w</w:t>
      </w:r>
      <w:r w:rsidR="00051931">
        <w:rPr>
          <w:noProof/>
        </w:rPr>
        <w:t> </w:t>
      </w:r>
      <w:r w:rsidR="00051931" w:rsidRPr="00D437FC">
        <w:rPr>
          <w:noProof/>
        </w:rPr>
        <w:t>szc</w:t>
      </w:r>
      <w:r w:rsidRPr="00D437FC">
        <w:rPr>
          <w:noProof/>
        </w:rPr>
        <w:t xml:space="preserve">zególności organów publicznych. </w:t>
      </w:r>
    </w:p>
    <w:p w14:paraId="06F40579" w14:textId="7B7741BE" w:rsidR="00521AE6" w:rsidRPr="00D437FC" w:rsidRDefault="00521AE6" w:rsidP="00521AE6">
      <w:pPr>
        <w:pBdr>
          <w:top w:val="nil"/>
          <w:left w:val="nil"/>
          <w:bottom w:val="nil"/>
          <w:right w:val="nil"/>
          <w:between w:val="nil"/>
          <w:bar w:val="nil"/>
        </w:pBdr>
        <w:rPr>
          <w:rFonts w:eastAsia="Calibri"/>
          <w:noProof/>
          <w:szCs w:val="24"/>
        </w:rPr>
      </w:pPr>
      <w:r w:rsidRPr="00D437FC">
        <w:rPr>
          <w:noProof/>
        </w:rPr>
        <w:t xml:space="preserve">Dzięki wnioskowi dotyczącemu zmiany rozporządzenia (WE) </w:t>
      </w:r>
      <w:r w:rsidRPr="00051931">
        <w:rPr>
          <w:noProof/>
        </w:rPr>
        <w:t>nr</w:t>
      </w:r>
      <w:r w:rsidR="00051931" w:rsidRPr="00051931">
        <w:rPr>
          <w:noProof/>
        </w:rPr>
        <w:t> </w:t>
      </w:r>
      <w:r w:rsidRPr="00051931">
        <w:rPr>
          <w:noProof/>
        </w:rPr>
        <w:t>8</w:t>
      </w:r>
      <w:r w:rsidRPr="00D437FC">
        <w:rPr>
          <w:noProof/>
        </w:rPr>
        <w:t>0/2009 sprzedawcy KSR zostaną zwolnieni</w:t>
      </w:r>
      <w:r w:rsidR="00051931" w:rsidRPr="00D437FC">
        <w:rPr>
          <w:noProof/>
        </w:rPr>
        <w:t xml:space="preserve"> z</w:t>
      </w:r>
      <w:r w:rsidR="00051931">
        <w:rPr>
          <w:noProof/>
        </w:rPr>
        <w:t> </w:t>
      </w:r>
      <w:r w:rsidR="00051931" w:rsidRPr="00D437FC">
        <w:rPr>
          <w:noProof/>
        </w:rPr>
        <w:t>obo</w:t>
      </w:r>
      <w:r w:rsidRPr="00D437FC">
        <w:rPr>
          <w:noProof/>
        </w:rPr>
        <w:t>wiązku przedkładania Komisji co cztery lata sprawozdań poddanych audytowi,</w:t>
      </w:r>
      <w:r w:rsidR="00051931" w:rsidRPr="00D437FC">
        <w:rPr>
          <w:noProof/>
        </w:rPr>
        <w:t xml:space="preserve"> a</w:t>
      </w:r>
      <w:r w:rsidR="00051931">
        <w:rPr>
          <w:noProof/>
        </w:rPr>
        <w:t> </w:t>
      </w:r>
      <w:r w:rsidR="00051931" w:rsidRPr="00D437FC">
        <w:rPr>
          <w:noProof/>
        </w:rPr>
        <w:t>tym</w:t>
      </w:r>
      <w:r w:rsidRPr="00D437FC">
        <w:rPr>
          <w:noProof/>
        </w:rPr>
        <w:t xml:space="preserve"> samym</w:t>
      </w:r>
      <w:r w:rsidR="00051931" w:rsidRPr="00D437FC">
        <w:rPr>
          <w:noProof/>
        </w:rPr>
        <w:t xml:space="preserve"> z</w:t>
      </w:r>
      <w:r w:rsidR="00051931">
        <w:rPr>
          <w:noProof/>
        </w:rPr>
        <w:t> </w:t>
      </w:r>
      <w:r w:rsidR="00051931" w:rsidRPr="00D437FC">
        <w:rPr>
          <w:noProof/>
        </w:rPr>
        <w:t>zwi</w:t>
      </w:r>
      <w:r w:rsidRPr="00D437FC">
        <w:rPr>
          <w:noProof/>
        </w:rPr>
        <w:t>ązanych</w:t>
      </w:r>
      <w:r w:rsidR="00051931" w:rsidRPr="00D437FC">
        <w:rPr>
          <w:noProof/>
        </w:rPr>
        <w:t xml:space="preserve"> z</w:t>
      </w:r>
      <w:r w:rsidR="00051931">
        <w:rPr>
          <w:noProof/>
        </w:rPr>
        <w:t> </w:t>
      </w:r>
      <w:r w:rsidR="00051931" w:rsidRPr="00D437FC">
        <w:rPr>
          <w:noProof/>
        </w:rPr>
        <w:t>tym</w:t>
      </w:r>
      <w:r w:rsidRPr="00D437FC">
        <w:rPr>
          <w:noProof/>
        </w:rPr>
        <w:t xml:space="preserve"> kosztów. Obowiązek przedkładania takich sprawozdań na wniosek Komisji ma nadal zastosowanie, ale przedsiębiorstwa te nie są już zobowiązane do wcześniejszego powiadomienia Komisji</w:t>
      </w:r>
      <w:r w:rsidR="00051931" w:rsidRPr="00D437FC">
        <w:rPr>
          <w:noProof/>
        </w:rPr>
        <w:t xml:space="preserve"> o</w:t>
      </w:r>
      <w:r w:rsidR="00051931">
        <w:rPr>
          <w:noProof/>
        </w:rPr>
        <w:t> </w:t>
      </w:r>
      <w:r w:rsidR="00051931" w:rsidRPr="00D437FC">
        <w:rPr>
          <w:noProof/>
        </w:rPr>
        <w:t>toż</w:t>
      </w:r>
      <w:r w:rsidRPr="00D437FC">
        <w:rPr>
          <w:noProof/>
        </w:rPr>
        <w:t>samości audytora przed powołaniem,</w:t>
      </w:r>
      <w:r w:rsidR="00051931" w:rsidRPr="00D437FC">
        <w:rPr>
          <w:noProof/>
        </w:rPr>
        <w:t xml:space="preserve"> a</w:t>
      </w:r>
      <w:r w:rsidR="00051931">
        <w:rPr>
          <w:noProof/>
        </w:rPr>
        <w:t> </w:t>
      </w:r>
      <w:r w:rsidR="00051931" w:rsidRPr="00D437FC">
        <w:rPr>
          <w:noProof/>
        </w:rPr>
        <w:t>Kom</w:t>
      </w:r>
      <w:r w:rsidRPr="00D437FC">
        <w:rPr>
          <w:noProof/>
        </w:rPr>
        <w:t>isja nie ma już możliwości zwrócenia się</w:t>
      </w:r>
      <w:r w:rsidR="00051931" w:rsidRPr="00D437FC">
        <w:rPr>
          <w:noProof/>
        </w:rPr>
        <w:t xml:space="preserve"> o</w:t>
      </w:r>
      <w:r w:rsidR="00051931">
        <w:rPr>
          <w:noProof/>
        </w:rPr>
        <w:t> </w:t>
      </w:r>
      <w:r w:rsidR="00051931" w:rsidRPr="00D437FC">
        <w:rPr>
          <w:noProof/>
        </w:rPr>
        <w:t>zmi</w:t>
      </w:r>
      <w:r w:rsidRPr="00D437FC">
        <w:rPr>
          <w:noProof/>
        </w:rPr>
        <w:t>anę audytora, co było zarówno uciążliwe, jak</w:t>
      </w:r>
      <w:r w:rsidR="00051931" w:rsidRPr="00D437FC">
        <w:rPr>
          <w:noProof/>
        </w:rPr>
        <w:t xml:space="preserve"> i</w:t>
      </w:r>
      <w:r w:rsidR="00051931">
        <w:rPr>
          <w:noProof/>
        </w:rPr>
        <w:t> </w:t>
      </w:r>
      <w:r w:rsidR="00051931" w:rsidRPr="00D437FC">
        <w:rPr>
          <w:noProof/>
        </w:rPr>
        <w:t>pot</w:t>
      </w:r>
      <w:r w:rsidRPr="00D437FC">
        <w:rPr>
          <w:noProof/>
        </w:rPr>
        <w:t xml:space="preserve">encjalnie kosztowne. </w:t>
      </w:r>
    </w:p>
    <w:p w14:paraId="5A82B2DF" w14:textId="1C64E1AA" w:rsidR="00521AE6" w:rsidRPr="00D437FC" w:rsidRDefault="00521AE6" w:rsidP="7CCC4265">
      <w:pPr>
        <w:pBdr>
          <w:top w:val="nil"/>
          <w:left w:val="nil"/>
          <w:bottom w:val="nil"/>
          <w:right w:val="nil"/>
          <w:between w:val="nil"/>
          <w:bar w:val="nil"/>
        </w:pBdr>
        <w:rPr>
          <w:rFonts w:eastAsia="Calibri"/>
          <w:noProof/>
        </w:rPr>
      </w:pPr>
      <w:r w:rsidRPr="00D437FC">
        <w:rPr>
          <w:noProof/>
        </w:rPr>
        <w:t>Propozycja zniesienia spoczywającego na administracjach krajowych obowiązku sporządzania corocznego sprawozdania ze stanu bezpieczeństwa</w:t>
      </w:r>
      <w:r w:rsidR="00051931" w:rsidRPr="00D437FC">
        <w:rPr>
          <w:noProof/>
        </w:rPr>
        <w:t xml:space="preserve"> w</w:t>
      </w:r>
      <w:r w:rsidR="00051931">
        <w:rPr>
          <w:noProof/>
        </w:rPr>
        <w:t> </w:t>
      </w:r>
      <w:r w:rsidR="00051931" w:rsidRPr="00D437FC">
        <w:rPr>
          <w:noProof/>
        </w:rPr>
        <w:t>dzi</w:t>
      </w:r>
      <w:r w:rsidRPr="00D437FC">
        <w:rPr>
          <w:noProof/>
        </w:rPr>
        <w:t>edzinie lotnictwa zmniejsza ich obciążenia administracyjne.</w:t>
      </w:r>
    </w:p>
    <w:p w14:paraId="6314EC87" w14:textId="434376FB" w:rsidR="00521AE6" w:rsidRPr="00051931" w:rsidRDefault="00521AE6" w:rsidP="00521AE6">
      <w:pPr>
        <w:pBdr>
          <w:top w:val="nil"/>
          <w:left w:val="nil"/>
          <w:bottom w:val="nil"/>
          <w:right w:val="nil"/>
          <w:between w:val="nil"/>
          <w:bar w:val="nil"/>
        </w:pBdr>
        <w:rPr>
          <w:rFonts w:eastAsia="Calibri"/>
          <w:noProof/>
          <w:szCs w:val="24"/>
        </w:rPr>
      </w:pPr>
      <w:r w:rsidRPr="00D437FC">
        <w:rPr>
          <w:noProof/>
        </w:rPr>
        <w:t>Jeśli chodzi</w:t>
      </w:r>
      <w:r w:rsidR="00051931" w:rsidRPr="00D437FC">
        <w:rPr>
          <w:noProof/>
        </w:rPr>
        <w:t xml:space="preserve"> o</w:t>
      </w:r>
      <w:r w:rsidR="00051931">
        <w:rPr>
          <w:noProof/>
        </w:rPr>
        <w:t> </w:t>
      </w:r>
      <w:r w:rsidR="00051931" w:rsidRPr="00D437FC">
        <w:rPr>
          <w:noProof/>
        </w:rPr>
        <w:t>obo</w:t>
      </w:r>
      <w:r w:rsidRPr="00D437FC">
        <w:rPr>
          <w:noProof/>
        </w:rPr>
        <w:t>wiązek sprawozdawczy przewidziany</w:t>
      </w:r>
      <w:r w:rsidR="00051931" w:rsidRPr="00D437FC">
        <w:rPr>
          <w:noProof/>
        </w:rPr>
        <w:t xml:space="preserve"> w</w:t>
      </w:r>
      <w:r w:rsidR="00051931">
        <w:rPr>
          <w:noProof/>
        </w:rPr>
        <w:t> </w:t>
      </w:r>
      <w:r w:rsidR="00051931" w:rsidRPr="00D437FC">
        <w:rPr>
          <w:noProof/>
        </w:rPr>
        <w:t>roz</w:t>
      </w:r>
      <w:r w:rsidRPr="00D437FC">
        <w:rPr>
          <w:noProof/>
        </w:rPr>
        <w:t xml:space="preserve">porządzeniu (UE) </w:t>
      </w:r>
      <w:r w:rsidRPr="00051931">
        <w:rPr>
          <w:noProof/>
        </w:rPr>
        <w:t>nr</w:t>
      </w:r>
      <w:r w:rsidR="00051931" w:rsidRPr="00051931">
        <w:rPr>
          <w:noProof/>
        </w:rPr>
        <w:t> </w:t>
      </w:r>
      <w:r w:rsidRPr="00051931">
        <w:rPr>
          <w:noProof/>
        </w:rPr>
        <w:t>1</w:t>
      </w:r>
      <w:r w:rsidRPr="00D437FC">
        <w:rPr>
          <w:noProof/>
        </w:rPr>
        <w:t>65/2014 nakładający na państwa członkowskie wymóg składania sprawozdań na temat zatwierdzonych warsztatów, które mogą instalować, sprawdzać lub naprawiać tachografy – oraz kart wydawanych tym warsztatom – proponowany system jest bardziej racjonalny</w:t>
      </w:r>
      <w:r w:rsidR="00051931" w:rsidRPr="00D437FC">
        <w:rPr>
          <w:noProof/>
        </w:rPr>
        <w:t xml:space="preserve"> i</w:t>
      </w:r>
      <w:r w:rsidR="00051931">
        <w:rPr>
          <w:noProof/>
        </w:rPr>
        <w:t> </w:t>
      </w:r>
      <w:r w:rsidR="00051931" w:rsidRPr="00D437FC">
        <w:rPr>
          <w:noProof/>
        </w:rPr>
        <w:t>sku</w:t>
      </w:r>
      <w:r w:rsidRPr="00D437FC">
        <w:rPr>
          <w:noProof/>
        </w:rPr>
        <w:t>teczny, ponieważ wykaz takich warsztatów będzie stale aktualizowany</w:t>
      </w:r>
      <w:r w:rsidR="00051931" w:rsidRPr="00D437FC">
        <w:rPr>
          <w:noProof/>
        </w:rPr>
        <w:t xml:space="preserve"> z</w:t>
      </w:r>
      <w:r w:rsidR="00051931">
        <w:rPr>
          <w:noProof/>
        </w:rPr>
        <w:t> </w:t>
      </w:r>
      <w:r w:rsidR="00051931" w:rsidRPr="00D437FC">
        <w:rPr>
          <w:noProof/>
        </w:rPr>
        <w:t>kor</w:t>
      </w:r>
      <w:r w:rsidRPr="00D437FC">
        <w:rPr>
          <w:noProof/>
        </w:rPr>
        <w:t>zyścią dla organów egzekwowania prawa</w:t>
      </w:r>
      <w:r w:rsidR="00051931" w:rsidRPr="00D437FC">
        <w:rPr>
          <w:noProof/>
        </w:rPr>
        <w:t xml:space="preserve"> i</w:t>
      </w:r>
      <w:r w:rsidR="00051931">
        <w:rPr>
          <w:noProof/>
        </w:rPr>
        <w:t> </w:t>
      </w:r>
      <w:r w:rsidR="00051931" w:rsidRPr="00D437FC">
        <w:rPr>
          <w:noProof/>
        </w:rPr>
        <w:t>ope</w:t>
      </w:r>
      <w:r w:rsidRPr="00D437FC">
        <w:rPr>
          <w:noProof/>
        </w:rPr>
        <w:t>ratorów. Obecny system sprawozdawczości zawiera jedynie pobieżne informacje</w:t>
      </w:r>
      <w:r w:rsidR="00051931" w:rsidRPr="00D437FC">
        <w:rPr>
          <w:noProof/>
        </w:rPr>
        <w:t xml:space="preserve"> o</w:t>
      </w:r>
      <w:r w:rsidR="00051931">
        <w:rPr>
          <w:noProof/>
        </w:rPr>
        <w:t> </w:t>
      </w:r>
      <w:r w:rsidR="00051931" w:rsidRPr="00D437FC">
        <w:rPr>
          <w:noProof/>
        </w:rPr>
        <w:t>zat</w:t>
      </w:r>
      <w:r w:rsidRPr="00D437FC">
        <w:rPr>
          <w:noProof/>
        </w:rPr>
        <w:t>wierdzonych warsztatach,</w:t>
      </w:r>
      <w:r w:rsidR="00051931" w:rsidRPr="00D437FC">
        <w:rPr>
          <w:noProof/>
        </w:rPr>
        <w:t xml:space="preserve"> a</w:t>
      </w:r>
      <w:r w:rsidR="00051931">
        <w:rPr>
          <w:noProof/>
        </w:rPr>
        <w:t> </w:t>
      </w:r>
      <w:r w:rsidR="00051931" w:rsidRPr="00D437FC">
        <w:rPr>
          <w:noProof/>
        </w:rPr>
        <w:t>w</w:t>
      </w:r>
      <w:r w:rsidR="00051931">
        <w:rPr>
          <w:noProof/>
        </w:rPr>
        <w:t> </w:t>
      </w:r>
      <w:r w:rsidR="00051931" w:rsidRPr="00D437FC">
        <w:rPr>
          <w:noProof/>
        </w:rPr>
        <w:t>szc</w:t>
      </w:r>
      <w:r w:rsidRPr="00D437FC">
        <w:rPr>
          <w:noProof/>
        </w:rPr>
        <w:t>zególności</w:t>
      </w:r>
      <w:r w:rsidR="00051931" w:rsidRPr="00D437FC">
        <w:rPr>
          <w:noProof/>
        </w:rPr>
        <w:t xml:space="preserve"> o</w:t>
      </w:r>
      <w:r w:rsidR="00051931">
        <w:rPr>
          <w:noProof/>
        </w:rPr>
        <w:t> </w:t>
      </w:r>
      <w:r w:rsidR="00051931" w:rsidRPr="00D437FC">
        <w:rPr>
          <w:noProof/>
        </w:rPr>
        <w:t>wyd</w:t>
      </w:r>
      <w:r w:rsidRPr="00D437FC">
        <w:rPr>
          <w:noProof/>
        </w:rPr>
        <w:t>anych im kartach. Ponieważ karty wydawane warsztatom są ważne tylko przez jeden rok, wykazy przesyłane Komisji przez państwa członkowskie stopniowo stają się nieaktualne</w:t>
      </w:r>
      <w:r w:rsidR="00051931" w:rsidRPr="00D437FC">
        <w:rPr>
          <w:noProof/>
        </w:rPr>
        <w:t xml:space="preserve"> w</w:t>
      </w:r>
      <w:r w:rsidR="00051931">
        <w:rPr>
          <w:noProof/>
        </w:rPr>
        <w:t> </w:t>
      </w:r>
      <w:r w:rsidR="00051931" w:rsidRPr="00D437FC">
        <w:rPr>
          <w:noProof/>
        </w:rPr>
        <w:t>kol</w:t>
      </w:r>
      <w:r w:rsidRPr="00D437FC">
        <w:rPr>
          <w:noProof/>
        </w:rPr>
        <w:t>ejnym roku,</w:t>
      </w:r>
      <w:r w:rsidR="00051931" w:rsidRPr="00D437FC">
        <w:rPr>
          <w:noProof/>
        </w:rPr>
        <w:t xml:space="preserve"> a</w:t>
      </w:r>
      <w:r w:rsidR="00051931">
        <w:rPr>
          <w:noProof/>
        </w:rPr>
        <w:t> </w:t>
      </w:r>
      <w:r w:rsidR="00051931" w:rsidRPr="00D437FC">
        <w:rPr>
          <w:noProof/>
        </w:rPr>
        <w:t>nas</w:t>
      </w:r>
      <w:r w:rsidRPr="00D437FC">
        <w:rPr>
          <w:noProof/>
        </w:rPr>
        <w:t>tępnie prawie całkowicie przestarzałe blisko rok później. Publiczne udostępnianie zaktualizowanych wykazów zmniejsza koszty wdrażania</w:t>
      </w:r>
      <w:r w:rsidR="00051931" w:rsidRPr="00D437FC">
        <w:rPr>
          <w:noProof/>
        </w:rPr>
        <w:t xml:space="preserve"> i</w:t>
      </w:r>
      <w:r w:rsidR="00051931">
        <w:rPr>
          <w:noProof/>
        </w:rPr>
        <w:t> </w:t>
      </w:r>
      <w:r w:rsidR="00051931" w:rsidRPr="00D437FC">
        <w:rPr>
          <w:noProof/>
        </w:rPr>
        <w:t>egz</w:t>
      </w:r>
      <w:r w:rsidRPr="00D437FC">
        <w:rPr>
          <w:noProof/>
        </w:rPr>
        <w:t>ekwowania przepisów dla kierowców</w:t>
      </w:r>
      <w:r w:rsidR="00051931" w:rsidRPr="00D437FC">
        <w:rPr>
          <w:noProof/>
        </w:rPr>
        <w:t xml:space="preserve"> i</w:t>
      </w:r>
      <w:r w:rsidR="00051931">
        <w:rPr>
          <w:noProof/>
        </w:rPr>
        <w:t> </w:t>
      </w:r>
      <w:r w:rsidR="00051931" w:rsidRPr="00D437FC">
        <w:rPr>
          <w:noProof/>
        </w:rPr>
        <w:t>prz</w:t>
      </w:r>
      <w:r w:rsidRPr="00D437FC">
        <w:rPr>
          <w:noProof/>
        </w:rPr>
        <w:t>ewoźników poprzez zapewnienie im dostępu do zatwierdzonych warsztatów</w:t>
      </w:r>
      <w:r w:rsidR="00051931" w:rsidRPr="00D437FC">
        <w:rPr>
          <w:noProof/>
        </w:rPr>
        <w:t xml:space="preserve"> i</w:t>
      </w:r>
      <w:r w:rsidR="00051931">
        <w:rPr>
          <w:noProof/>
        </w:rPr>
        <w:t> </w:t>
      </w:r>
      <w:r w:rsidR="00051931" w:rsidRPr="00D437FC">
        <w:rPr>
          <w:noProof/>
        </w:rPr>
        <w:t>ins</w:t>
      </w:r>
      <w:r w:rsidRPr="00D437FC">
        <w:rPr>
          <w:noProof/>
        </w:rPr>
        <w:t>talatorów,</w:t>
      </w:r>
      <w:r w:rsidR="00051931" w:rsidRPr="00D437FC">
        <w:rPr>
          <w:noProof/>
        </w:rPr>
        <w:t xml:space="preserve"> w</w:t>
      </w:r>
      <w:r w:rsidR="00051931">
        <w:rPr>
          <w:noProof/>
        </w:rPr>
        <w:t> </w:t>
      </w:r>
      <w:r w:rsidR="00051931" w:rsidRPr="00D437FC">
        <w:rPr>
          <w:noProof/>
        </w:rPr>
        <w:t>szc</w:t>
      </w:r>
      <w:r w:rsidRPr="00D437FC">
        <w:rPr>
          <w:noProof/>
        </w:rPr>
        <w:t>zególności</w:t>
      </w:r>
      <w:r w:rsidR="00051931" w:rsidRPr="00D437FC">
        <w:rPr>
          <w:noProof/>
        </w:rPr>
        <w:t xml:space="preserve"> w</w:t>
      </w:r>
      <w:r w:rsidR="00051931">
        <w:rPr>
          <w:noProof/>
        </w:rPr>
        <w:t> </w:t>
      </w:r>
      <w:r w:rsidR="00051931" w:rsidRPr="00D437FC">
        <w:rPr>
          <w:noProof/>
        </w:rPr>
        <w:t>inn</w:t>
      </w:r>
      <w:r w:rsidRPr="00D437FC">
        <w:rPr>
          <w:noProof/>
        </w:rPr>
        <w:t>ych państwach członkowskich,</w:t>
      </w:r>
      <w:r w:rsidR="00051931" w:rsidRPr="00D437FC">
        <w:rPr>
          <w:noProof/>
        </w:rPr>
        <w:t xml:space="preserve"> a</w:t>
      </w:r>
      <w:r w:rsidR="00051931">
        <w:rPr>
          <w:noProof/>
        </w:rPr>
        <w:t> </w:t>
      </w:r>
      <w:r w:rsidR="00051931" w:rsidRPr="00D437FC">
        <w:rPr>
          <w:noProof/>
        </w:rPr>
        <w:t>tak</w:t>
      </w:r>
      <w:r w:rsidRPr="00D437FC">
        <w:rPr>
          <w:noProof/>
        </w:rPr>
        <w:t>że organów egzekwowania prawa, które musiałyby sprawdzać te wykazy do celów egzekwowania prawa. Państwa członkowskie, które posiadają już taką stronę internetową, nie odczują żadnych zmian</w:t>
      </w:r>
      <w:r w:rsidR="00051931" w:rsidRPr="00D437FC">
        <w:rPr>
          <w:noProof/>
        </w:rPr>
        <w:t xml:space="preserve"> w</w:t>
      </w:r>
      <w:r w:rsidR="00051931">
        <w:rPr>
          <w:noProof/>
        </w:rPr>
        <w:t> </w:t>
      </w:r>
      <w:r w:rsidR="00051931" w:rsidRPr="00D437FC">
        <w:rPr>
          <w:noProof/>
        </w:rPr>
        <w:t>obc</w:t>
      </w:r>
      <w:r w:rsidRPr="00D437FC">
        <w:rPr>
          <w:noProof/>
        </w:rPr>
        <w:t>iążeniach administracyjnych wynikających</w:t>
      </w:r>
      <w:r w:rsidR="00051931" w:rsidRPr="00D437FC">
        <w:rPr>
          <w:noProof/>
        </w:rPr>
        <w:t xml:space="preserve"> z</w:t>
      </w:r>
      <w:r w:rsidR="00051931">
        <w:rPr>
          <w:noProof/>
        </w:rPr>
        <w:t> </w:t>
      </w:r>
      <w:r w:rsidR="00051931" w:rsidRPr="00D437FC">
        <w:rPr>
          <w:noProof/>
        </w:rPr>
        <w:t>nin</w:t>
      </w:r>
      <w:r w:rsidRPr="00D437FC">
        <w:rPr>
          <w:noProof/>
        </w:rPr>
        <w:t>iejszego wniosku</w:t>
      </w:r>
      <w:r w:rsidRPr="00051931">
        <w:rPr>
          <w:noProof/>
        </w:rPr>
        <w:t>.</w:t>
      </w:r>
      <w:r w:rsidR="00051931" w:rsidRPr="00051931">
        <w:rPr>
          <w:noProof/>
        </w:rPr>
        <w:t xml:space="preserve"> </w:t>
      </w:r>
    </w:p>
    <w:p w14:paraId="34C2D6E1" w14:textId="77777777" w:rsidR="00527043" w:rsidRPr="00D437FC" w:rsidRDefault="00527043" w:rsidP="00442B3A">
      <w:pPr>
        <w:pBdr>
          <w:top w:val="nil"/>
          <w:left w:val="nil"/>
          <w:bottom w:val="nil"/>
          <w:right w:val="nil"/>
          <w:between w:val="nil"/>
          <w:bar w:val="nil"/>
        </w:pBdr>
        <w:rPr>
          <w:rFonts w:eastAsia="Arial Unicode MS"/>
          <w:noProof/>
          <w:u w:color="000000"/>
          <w:bdr w:val="nil"/>
        </w:rPr>
      </w:pPr>
      <w:r w:rsidRPr="00D437FC">
        <w:rPr>
          <w:noProof/>
          <w:u w:color="000000"/>
          <w:bdr w:val="nil"/>
        </w:rPr>
        <w:t>•</w:t>
      </w:r>
      <w:r w:rsidRPr="00D437FC">
        <w:rPr>
          <w:noProof/>
        </w:rPr>
        <w:tab/>
      </w:r>
      <w:r w:rsidRPr="00D437FC">
        <w:rPr>
          <w:noProof/>
          <w:u w:color="000000"/>
          <w:bdr w:val="nil"/>
        </w:rPr>
        <w:t>Prawa podstawowe</w:t>
      </w:r>
    </w:p>
    <w:p w14:paraId="31BA356E" w14:textId="77777777" w:rsidR="00527043" w:rsidRPr="00D437FC" w:rsidRDefault="004B684C" w:rsidP="00474CBD">
      <w:pPr>
        <w:pBdr>
          <w:top w:val="nil"/>
          <w:left w:val="nil"/>
          <w:bottom w:val="nil"/>
          <w:right w:val="nil"/>
          <w:between w:val="nil"/>
          <w:bar w:val="nil"/>
        </w:pBdr>
        <w:spacing w:before="0" w:after="240"/>
        <w:rPr>
          <w:rFonts w:eastAsia="Arial Unicode MS"/>
          <w:noProof/>
        </w:rPr>
      </w:pPr>
      <w:r w:rsidRPr="00D437FC">
        <w:rPr>
          <w:noProof/>
        </w:rPr>
        <w:t>Nie dotyczy</w:t>
      </w:r>
    </w:p>
    <w:p w14:paraId="4FA07F92" w14:textId="77777777" w:rsidR="00527043" w:rsidRPr="00D437FC" w:rsidRDefault="00527043" w:rsidP="00474CBD">
      <w:pPr>
        <w:pStyle w:val="ManualHeading1"/>
        <w:rPr>
          <w:noProof/>
        </w:rPr>
      </w:pPr>
      <w:r w:rsidRPr="00D437FC">
        <w:rPr>
          <w:noProof/>
        </w:rPr>
        <w:t>4.</w:t>
      </w:r>
      <w:r w:rsidRPr="00D437FC">
        <w:rPr>
          <w:noProof/>
        </w:rPr>
        <w:tab/>
        <w:t>WPŁYW NA BUDŻET</w:t>
      </w:r>
    </w:p>
    <w:p w14:paraId="5B4AF03C" w14:textId="77777777" w:rsidR="00527043" w:rsidRPr="00D437FC" w:rsidRDefault="004B684C" w:rsidP="00474CBD">
      <w:pPr>
        <w:pBdr>
          <w:top w:val="nil"/>
          <w:left w:val="nil"/>
          <w:bottom w:val="nil"/>
          <w:right w:val="nil"/>
          <w:between w:val="nil"/>
          <w:bar w:val="nil"/>
        </w:pBdr>
        <w:spacing w:before="0" w:after="240"/>
        <w:rPr>
          <w:rFonts w:eastAsia="Arial Unicode MS"/>
          <w:noProof/>
        </w:rPr>
      </w:pPr>
      <w:r w:rsidRPr="00D437FC">
        <w:rPr>
          <w:noProof/>
        </w:rPr>
        <w:t>Nie dotyczy</w:t>
      </w:r>
    </w:p>
    <w:p w14:paraId="64EF12B9" w14:textId="77777777" w:rsidR="00527043" w:rsidRPr="00D437FC" w:rsidRDefault="00527043" w:rsidP="00474CBD">
      <w:pPr>
        <w:pStyle w:val="ManualHeading1"/>
        <w:rPr>
          <w:noProof/>
        </w:rPr>
      </w:pPr>
      <w:r w:rsidRPr="00D437FC">
        <w:rPr>
          <w:noProof/>
        </w:rPr>
        <w:t>5.</w:t>
      </w:r>
      <w:r w:rsidRPr="00D437FC">
        <w:rPr>
          <w:noProof/>
        </w:rPr>
        <w:tab/>
        <w:t>ELEMENTY FAKULTATYWNE</w:t>
      </w:r>
    </w:p>
    <w:p w14:paraId="42AE36BF" w14:textId="2763150B" w:rsidR="00527043" w:rsidRPr="00D437FC" w:rsidRDefault="00527043" w:rsidP="00474CBD">
      <w:pPr>
        <w:pStyle w:val="ManualHeading2"/>
        <w:rPr>
          <w:rFonts w:eastAsia="Arial Unicode MS"/>
          <w:noProof/>
          <w:u w:color="000000"/>
          <w:bdr w:val="nil"/>
        </w:rPr>
      </w:pPr>
      <w:r w:rsidRPr="00D437FC">
        <w:rPr>
          <w:noProof/>
          <w:u w:color="000000"/>
          <w:bdr w:val="nil"/>
        </w:rPr>
        <w:t>•</w:t>
      </w:r>
      <w:r w:rsidRPr="00D437FC">
        <w:rPr>
          <w:noProof/>
        </w:rPr>
        <w:tab/>
      </w:r>
      <w:r w:rsidRPr="00D437FC">
        <w:rPr>
          <w:noProof/>
          <w:u w:color="000000"/>
          <w:bdr w:val="nil"/>
        </w:rPr>
        <w:t>Plany wdrożenia</w:t>
      </w:r>
      <w:r w:rsidR="00051931" w:rsidRPr="00D437FC">
        <w:rPr>
          <w:noProof/>
          <w:u w:color="000000"/>
          <w:bdr w:val="nil"/>
        </w:rPr>
        <w:t xml:space="preserve"> i</w:t>
      </w:r>
      <w:r w:rsidR="00051931">
        <w:rPr>
          <w:noProof/>
          <w:u w:color="000000"/>
          <w:bdr w:val="nil"/>
        </w:rPr>
        <w:t> </w:t>
      </w:r>
      <w:r w:rsidR="00051931" w:rsidRPr="00D437FC">
        <w:rPr>
          <w:noProof/>
          <w:u w:color="000000"/>
          <w:bdr w:val="nil"/>
        </w:rPr>
        <w:t>mon</w:t>
      </w:r>
      <w:r w:rsidRPr="00D437FC">
        <w:rPr>
          <w:noProof/>
          <w:u w:color="000000"/>
          <w:bdr w:val="nil"/>
        </w:rPr>
        <w:t>itorowanie, ocena</w:t>
      </w:r>
      <w:r w:rsidR="00051931" w:rsidRPr="00D437FC">
        <w:rPr>
          <w:noProof/>
          <w:u w:color="000000"/>
          <w:bdr w:val="nil"/>
        </w:rPr>
        <w:t xml:space="preserve"> i</w:t>
      </w:r>
      <w:r w:rsidR="00051931">
        <w:rPr>
          <w:noProof/>
          <w:u w:color="000000"/>
          <w:bdr w:val="nil"/>
        </w:rPr>
        <w:t> </w:t>
      </w:r>
      <w:r w:rsidR="00051931" w:rsidRPr="00D437FC">
        <w:rPr>
          <w:noProof/>
          <w:u w:color="000000"/>
          <w:bdr w:val="nil"/>
        </w:rPr>
        <w:t>spr</w:t>
      </w:r>
      <w:r w:rsidRPr="00D437FC">
        <w:rPr>
          <w:noProof/>
          <w:u w:color="000000"/>
          <w:bdr w:val="nil"/>
        </w:rPr>
        <w:t>awozdania</w:t>
      </w:r>
    </w:p>
    <w:p w14:paraId="30771AAC" w14:textId="77777777" w:rsidR="00527043" w:rsidRPr="00D437FC" w:rsidRDefault="004B684C" w:rsidP="00474CBD">
      <w:pPr>
        <w:pBdr>
          <w:top w:val="nil"/>
          <w:left w:val="nil"/>
          <w:bottom w:val="nil"/>
          <w:right w:val="nil"/>
          <w:between w:val="nil"/>
          <w:bar w:val="nil"/>
        </w:pBdr>
        <w:spacing w:before="0" w:after="240"/>
        <w:rPr>
          <w:rFonts w:eastAsia="Arial Unicode MS"/>
          <w:noProof/>
        </w:rPr>
      </w:pPr>
      <w:r w:rsidRPr="00D437FC">
        <w:rPr>
          <w:noProof/>
        </w:rPr>
        <w:t>Nie dotyczy</w:t>
      </w:r>
    </w:p>
    <w:p w14:paraId="644717CB" w14:textId="77777777" w:rsidR="00527043" w:rsidRPr="00D437FC" w:rsidRDefault="00527043" w:rsidP="00474CBD">
      <w:pPr>
        <w:rPr>
          <w:noProof/>
        </w:rPr>
      </w:pPr>
    </w:p>
    <w:p w14:paraId="1668A263" w14:textId="77777777" w:rsidR="006379DA" w:rsidRPr="00D437FC" w:rsidRDefault="006379DA" w:rsidP="006379DA">
      <w:pPr>
        <w:rPr>
          <w:b/>
          <w:bCs/>
          <w:noProof/>
        </w:rPr>
      </w:pPr>
      <w:r w:rsidRPr="00D437FC">
        <w:rPr>
          <w:b/>
          <w:noProof/>
        </w:rPr>
        <w:t xml:space="preserve">Szczegółowe objaśnienia poszczególnych przepisów wniosku </w:t>
      </w:r>
    </w:p>
    <w:p w14:paraId="472A690F" w14:textId="77777777" w:rsidR="006379DA" w:rsidRPr="00D437FC" w:rsidRDefault="006379DA" w:rsidP="006379DA">
      <w:pPr>
        <w:rPr>
          <w:noProof/>
        </w:rPr>
      </w:pPr>
    </w:p>
    <w:p w14:paraId="410D4E06" w14:textId="79399E69" w:rsidR="006379DA" w:rsidRPr="00D437FC" w:rsidRDefault="006379DA" w:rsidP="006379DA">
      <w:pPr>
        <w:rPr>
          <w:i/>
          <w:iCs/>
          <w:noProof/>
        </w:rPr>
      </w:pPr>
      <w:r w:rsidRPr="00D437FC">
        <w:rPr>
          <w:i/>
          <w:noProof/>
        </w:rPr>
        <w:t xml:space="preserve">Art. 1 zmieniający rozporządzenie (WE) </w:t>
      </w:r>
      <w:r w:rsidRPr="00051931">
        <w:rPr>
          <w:i/>
          <w:noProof/>
        </w:rPr>
        <w:t>nr</w:t>
      </w:r>
      <w:r w:rsidR="00051931" w:rsidRPr="00051931">
        <w:rPr>
          <w:i/>
          <w:noProof/>
        </w:rPr>
        <w:t> </w:t>
      </w:r>
      <w:r w:rsidRPr="00051931">
        <w:rPr>
          <w:i/>
          <w:noProof/>
        </w:rPr>
        <w:t>8</w:t>
      </w:r>
      <w:r w:rsidRPr="00D437FC">
        <w:rPr>
          <w:i/>
          <w:noProof/>
        </w:rPr>
        <w:t>0/2009</w:t>
      </w:r>
    </w:p>
    <w:p w14:paraId="36771366" w14:textId="00AA17C5" w:rsidR="006379DA" w:rsidRPr="00D437FC" w:rsidRDefault="006379DA" w:rsidP="006379DA">
      <w:pPr>
        <w:rPr>
          <w:noProof/>
        </w:rPr>
      </w:pPr>
      <w:r w:rsidRPr="00D437FC">
        <w:rPr>
          <w:noProof/>
        </w:rPr>
        <w:t xml:space="preserve">Art. 12 rozporządzenia (WE) </w:t>
      </w:r>
      <w:r w:rsidRPr="00051931">
        <w:rPr>
          <w:noProof/>
        </w:rPr>
        <w:t>nr</w:t>
      </w:r>
      <w:r w:rsidR="00051931" w:rsidRPr="00051931">
        <w:rPr>
          <w:noProof/>
        </w:rPr>
        <w:t> </w:t>
      </w:r>
      <w:r w:rsidRPr="00051931">
        <w:rPr>
          <w:noProof/>
        </w:rPr>
        <w:t>8</w:t>
      </w:r>
      <w:r w:rsidRPr="00D437FC">
        <w:rPr>
          <w:noProof/>
        </w:rPr>
        <w:t>0/2009 stanowi obecnie, że co cztery lata lub na wniosek Komisji sprzedawcy KSR muszą przedkładać niezależnie poddane audytowi sprawozdanie zawierające szczegółowe informacje na temat struktury własności</w:t>
      </w:r>
      <w:r w:rsidR="00051931" w:rsidRPr="00D437FC">
        <w:rPr>
          <w:noProof/>
        </w:rPr>
        <w:t xml:space="preserve"> i</w:t>
      </w:r>
      <w:r w:rsidR="00051931">
        <w:rPr>
          <w:noProof/>
        </w:rPr>
        <w:t> </w:t>
      </w:r>
      <w:r w:rsidR="00051931" w:rsidRPr="00D437FC">
        <w:rPr>
          <w:noProof/>
        </w:rPr>
        <w:t>mod</w:t>
      </w:r>
      <w:r w:rsidRPr="00D437FC">
        <w:rPr>
          <w:noProof/>
        </w:rPr>
        <w:t>elu zarządzania. Ponadto muszą oni poinformować Komisję</w:t>
      </w:r>
      <w:r w:rsidR="00051931" w:rsidRPr="00D437FC">
        <w:rPr>
          <w:noProof/>
        </w:rPr>
        <w:t xml:space="preserve"> o</w:t>
      </w:r>
      <w:r w:rsidR="00051931">
        <w:rPr>
          <w:noProof/>
        </w:rPr>
        <w:t> </w:t>
      </w:r>
      <w:r w:rsidR="00051931" w:rsidRPr="00D437FC">
        <w:rPr>
          <w:noProof/>
        </w:rPr>
        <w:t>toż</w:t>
      </w:r>
      <w:r w:rsidRPr="00D437FC">
        <w:rPr>
          <w:noProof/>
        </w:rPr>
        <w:t>samości audytora,</w:t>
      </w:r>
      <w:r w:rsidR="00051931" w:rsidRPr="00D437FC">
        <w:rPr>
          <w:noProof/>
        </w:rPr>
        <w:t xml:space="preserve"> a</w:t>
      </w:r>
      <w:r w:rsidR="00051931">
        <w:rPr>
          <w:noProof/>
        </w:rPr>
        <w:t> </w:t>
      </w:r>
      <w:r w:rsidR="00051931" w:rsidRPr="00D437FC">
        <w:rPr>
          <w:noProof/>
        </w:rPr>
        <w:t>Kom</w:t>
      </w:r>
      <w:r w:rsidRPr="00D437FC">
        <w:rPr>
          <w:noProof/>
        </w:rPr>
        <w:t>isja może zażądać jego zastąpienia. Zgodnie ze zmienionym wnioskiem sprzedawcy będą zobowiązani do przedłożenia sprawozdania poddanego niezależnemu audytowi jedynie na wniosek Komisji.</w:t>
      </w:r>
    </w:p>
    <w:p w14:paraId="112FF405" w14:textId="712BAB8A" w:rsidR="006379DA" w:rsidRPr="00D437FC" w:rsidRDefault="006379DA" w:rsidP="006379DA">
      <w:pPr>
        <w:rPr>
          <w:i/>
          <w:iCs/>
          <w:noProof/>
        </w:rPr>
      </w:pPr>
      <w:r w:rsidRPr="00D437FC">
        <w:rPr>
          <w:i/>
          <w:noProof/>
        </w:rPr>
        <w:t xml:space="preserve">Art. 2 zmieniający rozporządzenie (UE) </w:t>
      </w:r>
      <w:r w:rsidRPr="00051931">
        <w:rPr>
          <w:i/>
          <w:noProof/>
        </w:rPr>
        <w:t>nr</w:t>
      </w:r>
      <w:r w:rsidR="00051931" w:rsidRPr="00051931">
        <w:rPr>
          <w:i/>
          <w:noProof/>
        </w:rPr>
        <w:t> </w:t>
      </w:r>
      <w:r w:rsidRPr="00051931">
        <w:rPr>
          <w:i/>
          <w:noProof/>
        </w:rPr>
        <w:t>9</w:t>
      </w:r>
      <w:r w:rsidRPr="00D437FC">
        <w:rPr>
          <w:i/>
          <w:noProof/>
        </w:rPr>
        <w:t>96/2010</w:t>
      </w:r>
    </w:p>
    <w:p w14:paraId="77B10DA0" w14:textId="05AD0FB5" w:rsidR="006379DA" w:rsidRPr="00D437FC" w:rsidRDefault="006379DA" w:rsidP="006379DA">
      <w:pPr>
        <w:rPr>
          <w:noProof/>
        </w:rPr>
      </w:pPr>
      <w:r w:rsidRPr="00D437FC">
        <w:rPr>
          <w:noProof/>
        </w:rPr>
        <w:t xml:space="preserve">Art. 4 </w:t>
      </w:r>
      <w:r w:rsidRPr="00051931">
        <w:rPr>
          <w:noProof/>
        </w:rPr>
        <w:t>ust.</w:t>
      </w:r>
      <w:r w:rsidR="00051931" w:rsidRPr="00051931">
        <w:rPr>
          <w:noProof/>
        </w:rPr>
        <w:t> </w:t>
      </w:r>
      <w:r w:rsidRPr="00051931">
        <w:rPr>
          <w:noProof/>
        </w:rPr>
        <w:t>5</w:t>
      </w:r>
      <w:r w:rsidRPr="00D437FC">
        <w:rPr>
          <w:noProof/>
        </w:rPr>
        <w:t xml:space="preserve"> rozporządzenia (UE) </w:t>
      </w:r>
      <w:r w:rsidRPr="00051931">
        <w:rPr>
          <w:noProof/>
        </w:rPr>
        <w:t>nr</w:t>
      </w:r>
      <w:r w:rsidR="00051931" w:rsidRPr="00051931">
        <w:rPr>
          <w:noProof/>
        </w:rPr>
        <w:t> </w:t>
      </w:r>
      <w:r w:rsidRPr="00051931">
        <w:rPr>
          <w:noProof/>
        </w:rPr>
        <w:t>9</w:t>
      </w:r>
      <w:r w:rsidRPr="00D437FC">
        <w:rPr>
          <w:noProof/>
        </w:rPr>
        <w:t>96/2010 zobowiązuje obecnie państwa członkowskie do publikowania corocznego sprawozdania ze stanu bezpieczeństwa</w:t>
      </w:r>
      <w:r w:rsidR="00051931" w:rsidRPr="00D437FC">
        <w:rPr>
          <w:noProof/>
        </w:rPr>
        <w:t>. W</w:t>
      </w:r>
      <w:r w:rsidR="00051931">
        <w:rPr>
          <w:noProof/>
        </w:rPr>
        <w:t> </w:t>
      </w:r>
      <w:r w:rsidR="00051931" w:rsidRPr="00051931">
        <w:rPr>
          <w:noProof/>
        </w:rPr>
        <w:t>art</w:t>
      </w:r>
      <w:r w:rsidRPr="00051931">
        <w:rPr>
          <w:noProof/>
        </w:rPr>
        <w:t>.</w:t>
      </w:r>
      <w:r w:rsidR="00051931" w:rsidRPr="00051931">
        <w:rPr>
          <w:noProof/>
        </w:rPr>
        <w:t> </w:t>
      </w:r>
      <w:r w:rsidRPr="00051931">
        <w:rPr>
          <w:noProof/>
        </w:rPr>
        <w:t>2</w:t>
      </w:r>
      <w:r w:rsidRPr="00D437FC">
        <w:rPr>
          <w:noProof/>
        </w:rPr>
        <w:t xml:space="preserve"> wniosku usunięto ten przepis, ponieważ coroczne sprawozdanie ze stanu bezpieczeństwa jest obecnie publikowane przez Agencję Unii Europejskiej ds. Bezpieczeństwa Lotniczego (EASA).</w:t>
      </w:r>
    </w:p>
    <w:p w14:paraId="5E649A99" w14:textId="6205263B" w:rsidR="006379DA" w:rsidRPr="00D437FC" w:rsidRDefault="006379DA" w:rsidP="006379DA">
      <w:pPr>
        <w:rPr>
          <w:i/>
          <w:iCs/>
          <w:noProof/>
        </w:rPr>
      </w:pPr>
      <w:r w:rsidRPr="00D437FC">
        <w:rPr>
          <w:i/>
          <w:noProof/>
        </w:rPr>
        <w:t xml:space="preserve">Art. 3 zmieniający rozporządzenie (UE) </w:t>
      </w:r>
      <w:r w:rsidRPr="00051931">
        <w:rPr>
          <w:i/>
          <w:noProof/>
        </w:rPr>
        <w:t>nr</w:t>
      </w:r>
      <w:r w:rsidR="00051931" w:rsidRPr="00051931">
        <w:rPr>
          <w:i/>
          <w:noProof/>
        </w:rPr>
        <w:t> </w:t>
      </w:r>
      <w:r w:rsidRPr="00051931">
        <w:rPr>
          <w:i/>
          <w:noProof/>
        </w:rPr>
        <w:t>1</w:t>
      </w:r>
      <w:r w:rsidRPr="00D437FC">
        <w:rPr>
          <w:i/>
          <w:noProof/>
        </w:rPr>
        <w:t>65/2014</w:t>
      </w:r>
    </w:p>
    <w:p w14:paraId="4B6F1A2C" w14:textId="60963093" w:rsidR="00FC476B" w:rsidRPr="00D437FC" w:rsidRDefault="006379DA" w:rsidP="006379DA">
      <w:pPr>
        <w:rPr>
          <w:noProof/>
        </w:rPr>
      </w:pPr>
      <w:r w:rsidRPr="00D437FC">
        <w:rPr>
          <w:noProof/>
        </w:rPr>
        <w:t xml:space="preserve">Art. 24 </w:t>
      </w:r>
      <w:r w:rsidRPr="00051931">
        <w:rPr>
          <w:noProof/>
        </w:rPr>
        <w:t>ust.</w:t>
      </w:r>
      <w:r w:rsidR="00051931" w:rsidRPr="00051931">
        <w:rPr>
          <w:noProof/>
        </w:rPr>
        <w:t> </w:t>
      </w:r>
      <w:r w:rsidRPr="00051931">
        <w:rPr>
          <w:noProof/>
        </w:rPr>
        <w:t>5</w:t>
      </w:r>
      <w:r w:rsidRPr="00D437FC">
        <w:rPr>
          <w:noProof/>
        </w:rPr>
        <w:t xml:space="preserve"> rozporządzenia (UE) </w:t>
      </w:r>
      <w:r w:rsidRPr="00051931">
        <w:rPr>
          <w:noProof/>
        </w:rPr>
        <w:t>nr</w:t>
      </w:r>
      <w:r w:rsidR="00051931" w:rsidRPr="00051931">
        <w:rPr>
          <w:noProof/>
        </w:rPr>
        <w:t> </w:t>
      </w:r>
      <w:r w:rsidRPr="00051931">
        <w:rPr>
          <w:noProof/>
        </w:rPr>
        <w:t>1</w:t>
      </w:r>
      <w:r w:rsidRPr="00D437FC">
        <w:rPr>
          <w:noProof/>
        </w:rPr>
        <w:t>65/2014 nakłada na państwa członkowskie wymóg corocznego przekazywania Komisji wykazu zatwierdzonych warsztatów</w:t>
      </w:r>
      <w:r w:rsidR="00051931" w:rsidRPr="00D437FC">
        <w:rPr>
          <w:noProof/>
        </w:rPr>
        <w:t xml:space="preserve"> i</w:t>
      </w:r>
      <w:r w:rsidR="00051931">
        <w:rPr>
          <w:noProof/>
        </w:rPr>
        <w:t> </w:t>
      </w:r>
      <w:r w:rsidR="00051931" w:rsidRPr="00D437FC">
        <w:rPr>
          <w:noProof/>
        </w:rPr>
        <w:t>wyd</w:t>
      </w:r>
      <w:r w:rsidRPr="00D437FC">
        <w:rPr>
          <w:noProof/>
        </w:rPr>
        <w:t>anych im kart,</w:t>
      </w:r>
      <w:r w:rsidR="00051931" w:rsidRPr="00D437FC">
        <w:rPr>
          <w:noProof/>
        </w:rPr>
        <w:t xml:space="preserve"> a</w:t>
      </w:r>
      <w:r w:rsidR="00051931">
        <w:rPr>
          <w:noProof/>
        </w:rPr>
        <w:t> </w:t>
      </w:r>
      <w:r w:rsidR="00051931" w:rsidRPr="00D437FC">
        <w:rPr>
          <w:noProof/>
        </w:rPr>
        <w:t>tak</w:t>
      </w:r>
      <w:r w:rsidRPr="00D437FC">
        <w:rPr>
          <w:noProof/>
        </w:rPr>
        <w:t>że zobowiązuje Komisję do publikowania tych wykazów</w:t>
      </w:r>
      <w:r w:rsidR="00051931" w:rsidRPr="00D437FC">
        <w:rPr>
          <w:noProof/>
        </w:rPr>
        <w:t>. W</w:t>
      </w:r>
      <w:r w:rsidR="00051931">
        <w:rPr>
          <w:noProof/>
        </w:rPr>
        <w:t> </w:t>
      </w:r>
      <w:r w:rsidR="00051931" w:rsidRPr="00051931">
        <w:rPr>
          <w:noProof/>
        </w:rPr>
        <w:t>art</w:t>
      </w:r>
      <w:r w:rsidRPr="00051931">
        <w:rPr>
          <w:noProof/>
        </w:rPr>
        <w:t>.</w:t>
      </w:r>
      <w:r w:rsidR="00051931" w:rsidRPr="00051931">
        <w:rPr>
          <w:noProof/>
        </w:rPr>
        <w:t> </w:t>
      </w:r>
      <w:r w:rsidRPr="00051931">
        <w:rPr>
          <w:noProof/>
        </w:rPr>
        <w:t>3</w:t>
      </w:r>
      <w:r w:rsidRPr="00D437FC">
        <w:rPr>
          <w:noProof/>
        </w:rPr>
        <w:t xml:space="preserve"> wniosku zastępuje się ten ustęp ustępem nakładającym na państwa członkowskie obowiązek zamieszczania na publicznie dostępnej stronie internetowej</w:t>
      </w:r>
      <w:r w:rsidR="00051931" w:rsidRPr="00D437FC">
        <w:rPr>
          <w:noProof/>
        </w:rPr>
        <w:t xml:space="preserve"> i</w:t>
      </w:r>
      <w:r w:rsidR="00051931">
        <w:rPr>
          <w:noProof/>
        </w:rPr>
        <w:t> </w:t>
      </w:r>
      <w:r w:rsidR="00051931" w:rsidRPr="00D437FC">
        <w:rPr>
          <w:noProof/>
        </w:rPr>
        <w:t>cią</w:t>
      </w:r>
      <w:r w:rsidRPr="00D437FC">
        <w:rPr>
          <w:noProof/>
        </w:rPr>
        <w:t>głego aktualizowania wykazów zatwierdzonych warsztatów</w:t>
      </w:r>
      <w:r w:rsidR="00051931" w:rsidRPr="00D437FC">
        <w:rPr>
          <w:noProof/>
        </w:rPr>
        <w:t xml:space="preserve"> i</w:t>
      </w:r>
      <w:r w:rsidR="00051931">
        <w:rPr>
          <w:noProof/>
        </w:rPr>
        <w:t> </w:t>
      </w:r>
      <w:r w:rsidR="00051931" w:rsidRPr="00D437FC">
        <w:rPr>
          <w:noProof/>
        </w:rPr>
        <w:t>wyd</w:t>
      </w:r>
      <w:r w:rsidRPr="00D437FC">
        <w:rPr>
          <w:noProof/>
        </w:rPr>
        <w:t>anych im kart. Zobowiązuje się</w:t>
      </w:r>
      <w:r w:rsidR="00051931" w:rsidRPr="00D437FC">
        <w:rPr>
          <w:noProof/>
        </w:rPr>
        <w:t xml:space="preserve"> w</w:t>
      </w:r>
      <w:r w:rsidR="00051931">
        <w:rPr>
          <w:noProof/>
        </w:rPr>
        <w:t> </w:t>
      </w:r>
      <w:r w:rsidR="00051931" w:rsidRPr="00D437FC">
        <w:rPr>
          <w:noProof/>
        </w:rPr>
        <w:t>nim</w:t>
      </w:r>
      <w:r w:rsidRPr="00D437FC">
        <w:rPr>
          <w:noProof/>
        </w:rPr>
        <w:t xml:space="preserve"> również Komisję do opublikowania na swojej stronie internetowej wykazu takich krajowych stron internetowych. </w:t>
      </w:r>
    </w:p>
    <w:p w14:paraId="2FFAE565" w14:textId="77777777" w:rsidR="00FC476B" w:rsidRPr="00D437FC" w:rsidRDefault="00FC476B">
      <w:pPr>
        <w:spacing w:before="0" w:after="200" w:line="276" w:lineRule="auto"/>
        <w:jc w:val="left"/>
        <w:rPr>
          <w:noProof/>
        </w:rPr>
      </w:pPr>
      <w:r w:rsidRPr="00D437FC">
        <w:rPr>
          <w:noProof/>
        </w:rPr>
        <w:br w:type="page"/>
      </w:r>
    </w:p>
    <w:p w14:paraId="548BD9F0" w14:textId="251337DC" w:rsidR="00FC476B" w:rsidRPr="00D437FC" w:rsidRDefault="00FC476B" w:rsidP="006379DA">
      <w:pPr>
        <w:rPr>
          <w:noProof/>
        </w:rPr>
        <w:sectPr w:rsidR="00FC476B" w:rsidRPr="00D437FC" w:rsidSect="001356B6">
          <w:footerReference w:type="default" r:id="rId13"/>
          <w:footerReference w:type="first" r:id="rId14"/>
          <w:pgSz w:w="11907" w:h="16839"/>
          <w:pgMar w:top="1134" w:right="1417" w:bottom="1134" w:left="1417" w:header="709" w:footer="709" w:gutter="0"/>
          <w:cols w:space="708"/>
          <w:docGrid w:linePitch="360"/>
        </w:sectPr>
      </w:pPr>
    </w:p>
    <w:p w14:paraId="21D2B91C" w14:textId="47E485FD" w:rsidR="004658E9" w:rsidRDefault="004658E9" w:rsidP="004658E9">
      <w:pPr>
        <w:pStyle w:val="Rfrenceinterinstitutionnelle"/>
        <w:rPr>
          <w:noProof/>
        </w:rPr>
      </w:pPr>
      <w:r w:rsidRPr="004658E9">
        <w:t>2023/0361 (COD)</w:t>
      </w:r>
    </w:p>
    <w:p w14:paraId="1434BDC8" w14:textId="25C56C26" w:rsidR="00527043" w:rsidRPr="00D437FC" w:rsidRDefault="00051931" w:rsidP="00051931">
      <w:pPr>
        <w:pStyle w:val="Statut"/>
        <w:rPr>
          <w:noProof/>
        </w:rPr>
      </w:pPr>
      <w:r w:rsidRPr="00051931">
        <w:rPr>
          <w:noProof/>
        </w:rPr>
        <w:t>Wniosek</w:t>
      </w:r>
    </w:p>
    <w:p w14:paraId="46616338" w14:textId="0A198ABE" w:rsidR="00527043" w:rsidRPr="00D437FC" w:rsidRDefault="00051931" w:rsidP="00051931">
      <w:pPr>
        <w:pStyle w:val="Typedudocument"/>
        <w:rPr>
          <w:noProof/>
        </w:rPr>
      </w:pPr>
      <w:r w:rsidRPr="00051931">
        <w:rPr>
          <w:noProof/>
        </w:rPr>
        <w:t>ROZPORZĄDZENIE PARLAMENTU EUROPEJSKIEGO I RADY</w:t>
      </w:r>
    </w:p>
    <w:p w14:paraId="212832B6" w14:textId="522531D9" w:rsidR="00527043" w:rsidRPr="00D437FC" w:rsidRDefault="00051931" w:rsidP="00051931">
      <w:pPr>
        <w:pStyle w:val="Titreobjet"/>
        <w:rPr>
          <w:noProof/>
        </w:rPr>
      </w:pPr>
      <w:r w:rsidRPr="00051931">
        <w:rPr>
          <w:noProof/>
        </w:rPr>
        <w:t>zmieniające rozporządzenia (WE) nr 80/2009, (UE) nr 996/2010 i (UE) nr 165/2014 w odniesieniu do niektórych wymogów sprawozdawczych w dziedzinie transportu drogowego i lotnictwa</w:t>
      </w:r>
    </w:p>
    <w:p w14:paraId="351901F8" w14:textId="39D3B8B5" w:rsidR="009E3F6E" w:rsidRPr="00D437FC" w:rsidRDefault="00051931" w:rsidP="00051931">
      <w:pPr>
        <w:pStyle w:val="IntrtEEE"/>
        <w:rPr>
          <w:noProof/>
        </w:rPr>
      </w:pPr>
      <w:r w:rsidRPr="00051931">
        <w:rPr>
          <w:noProof/>
        </w:rPr>
        <w:t>(Tekst mający znaczenie dla EOG)</w:t>
      </w:r>
    </w:p>
    <w:p w14:paraId="1E2E4204" w14:textId="21076E23" w:rsidR="00527043" w:rsidRPr="00D437FC" w:rsidRDefault="7FF4B198" w:rsidP="00E929B7">
      <w:pPr>
        <w:pStyle w:val="Institutionquiagit"/>
        <w:rPr>
          <w:noProof/>
        </w:rPr>
      </w:pPr>
      <w:r w:rsidRPr="00D437FC">
        <w:rPr>
          <w:noProof/>
        </w:rPr>
        <w:t>PARLAMENT EUROPEJSKI I RADA UNII EUROPEJSKIEJ,</w:t>
      </w:r>
    </w:p>
    <w:p w14:paraId="6FA75B62" w14:textId="347B04AE" w:rsidR="00527043" w:rsidRPr="00D437FC" w:rsidRDefault="00527043" w:rsidP="00474CBD">
      <w:pPr>
        <w:rPr>
          <w:noProof/>
        </w:rPr>
      </w:pPr>
      <w:r w:rsidRPr="00D437FC">
        <w:rPr>
          <w:noProof/>
        </w:rPr>
        <w:t>uwzględniając Traktat</w:t>
      </w:r>
      <w:r w:rsidR="00051931" w:rsidRPr="00D437FC">
        <w:rPr>
          <w:noProof/>
        </w:rPr>
        <w:t xml:space="preserve"> o</w:t>
      </w:r>
      <w:r w:rsidR="00051931">
        <w:rPr>
          <w:noProof/>
        </w:rPr>
        <w:t> </w:t>
      </w:r>
      <w:r w:rsidR="00051931" w:rsidRPr="00D437FC">
        <w:rPr>
          <w:noProof/>
        </w:rPr>
        <w:t>fun</w:t>
      </w:r>
      <w:r w:rsidRPr="00D437FC">
        <w:rPr>
          <w:noProof/>
        </w:rPr>
        <w:t>kcjonowaniu Unii Europejskiej,</w:t>
      </w:r>
      <w:r w:rsidR="00051931" w:rsidRPr="00D437FC">
        <w:rPr>
          <w:noProof/>
        </w:rPr>
        <w:t xml:space="preserve"> w</w:t>
      </w:r>
      <w:r w:rsidR="00051931">
        <w:rPr>
          <w:noProof/>
        </w:rPr>
        <w:t> </w:t>
      </w:r>
      <w:r w:rsidR="00051931" w:rsidRPr="00D437FC">
        <w:rPr>
          <w:noProof/>
        </w:rPr>
        <w:t>szc</w:t>
      </w:r>
      <w:r w:rsidRPr="00D437FC">
        <w:rPr>
          <w:noProof/>
        </w:rPr>
        <w:t xml:space="preserve">zególności jego </w:t>
      </w:r>
      <w:r w:rsidRPr="00051931">
        <w:rPr>
          <w:noProof/>
        </w:rPr>
        <w:t>art.</w:t>
      </w:r>
      <w:r w:rsidR="00051931" w:rsidRPr="00051931">
        <w:rPr>
          <w:noProof/>
        </w:rPr>
        <w:t> </w:t>
      </w:r>
      <w:r w:rsidRPr="00051931">
        <w:rPr>
          <w:noProof/>
        </w:rPr>
        <w:t>9</w:t>
      </w:r>
      <w:r w:rsidRPr="00D437FC">
        <w:rPr>
          <w:noProof/>
        </w:rPr>
        <w:t>1</w:t>
      </w:r>
      <w:r w:rsidR="00051931" w:rsidRPr="00D437FC">
        <w:rPr>
          <w:noProof/>
        </w:rPr>
        <w:t xml:space="preserve"> i</w:t>
      </w:r>
      <w:r w:rsidR="00051931">
        <w:rPr>
          <w:noProof/>
        </w:rPr>
        <w:t> </w:t>
      </w:r>
      <w:r w:rsidR="00051931" w:rsidRPr="00051931">
        <w:rPr>
          <w:noProof/>
        </w:rPr>
        <w:t>art</w:t>
      </w:r>
      <w:r w:rsidRPr="00051931">
        <w:rPr>
          <w:noProof/>
        </w:rPr>
        <w:t>.</w:t>
      </w:r>
      <w:r w:rsidR="00051931" w:rsidRPr="00051931">
        <w:rPr>
          <w:noProof/>
        </w:rPr>
        <w:t> </w:t>
      </w:r>
      <w:r w:rsidRPr="00051931">
        <w:rPr>
          <w:noProof/>
        </w:rPr>
        <w:t>1</w:t>
      </w:r>
      <w:r w:rsidRPr="00D437FC">
        <w:rPr>
          <w:noProof/>
        </w:rPr>
        <w:t xml:space="preserve">00 </w:t>
      </w:r>
      <w:r w:rsidRPr="00051931">
        <w:rPr>
          <w:noProof/>
        </w:rPr>
        <w:t>ust.</w:t>
      </w:r>
      <w:r w:rsidR="00051931" w:rsidRPr="00051931">
        <w:rPr>
          <w:noProof/>
        </w:rPr>
        <w:t> </w:t>
      </w:r>
      <w:r w:rsidRPr="00051931">
        <w:rPr>
          <w:noProof/>
        </w:rPr>
        <w:t>2</w:t>
      </w:r>
      <w:r w:rsidRPr="00D437FC">
        <w:rPr>
          <w:noProof/>
        </w:rPr>
        <w:t>,</w:t>
      </w:r>
    </w:p>
    <w:p w14:paraId="0269A6D5" w14:textId="77777777" w:rsidR="00527043" w:rsidRPr="00D437FC" w:rsidRDefault="00527043" w:rsidP="00474CBD">
      <w:pPr>
        <w:rPr>
          <w:noProof/>
        </w:rPr>
      </w:pPr>
      <w:r w:rsidRPr="00D437FC">
        <w:rPr>
          <w:noProof/>
        </w:rPr>
        <w:t>uwzględniając wniosek Komisji Europejskiej,</w:t>
      </w:r>
    </w:p>
    <w:p w14:paraId="2A31DFF8" w14:textId="77777777" w:rsidR="00527043" w:rsidRPr="00D437FC" w:rsidRDefault="00527043" w:rsidP="00474CBD">
      <w:pPr>
        <w:rPr>
          <w:noProof/>
        </w:rPr>
      </w:pPr>
      <w:r w:rsidRPr="00D437FC">
        <w:rPr>
          <w:noProof/>
        </w:rPr>
        <w:t>po przekazaniu projektu aktu ustawodawczego parlamentom narodowym,</w:t>
      </w:r>
    </w:p>
    <w:p w14:paraId="5669F57A" w14:textId="77777777" w:rsidR="00527043" w:rsidRPr="00D437FC" w:rsidRDefault="7FF4B198" w:rsidP="00474CBD">
      <w:pPr>
        <w:rPr>
          <w:noProof/>
        </w:rPr>
      </w:pPr>
      <w:r w:rsidRPr="00D437FC">
        <w:rPr>
          <w:noProof/>
        </w:rPr>
        <w:t>uwzględniając opinię Europejskiego Komitetu Ekonomiczno-Społecznego</w:t>
      </w:r>
      <w:r w:rsidRPr="00D437FC">
        <w:rPr>
          <w:rStyle w:val="FootnoteReference"/>
          <w:noProof/>
        </w:rPr>
        <w:footnoteReference w:id="7"/>
      </w:r>
      <w:r w:rsidRPr="00D437FC">
        <w:rPr>
          <w:noProof/>
        </w:rPr>
        <w:t xml:space="preserve">, </w:t>
      </w:r>
    </w:p>
    <w:p w14:paraId="39FB25A2" w14:textId="77777777" w:rsidR="00527043" w:rsidRPr="00D437FC" w:rsidRDefault="7FF4B198" w:rsidP="00474CBD">
      <w:pPr>
        <w:rPr>
          <w:noProof/>
        </w:rPr>
      </w:pPr>
      <w:r w:rsidRPr="00D437FC">
        <w:rPr>
          <w:noProof/>
        </w:rPr>
        <w:t>uwzględniając opinię Komitetu Regionów</w:t>
      </w:r>
      <w:r w:rsidRPr="00D437FC">
        <w:rPr>
          <w:rStyle w:val="FootnoteReference"/>
          <w:noProof/>
        </w:rPr>
        <w:footnoteReference w:id="8"/>
      </w:r>
      <w:r w:rsidRPr="00D437FC">
        <w:rPr>
          <w:noProof/>
        </w:rPr>
        <w:t xml:space="preserve">, </w:t>
      </w:r>
    </w:p>
    <w:p w14:paraId="72DF894C" w14:textId="77777777" w:rsidR="00527043" w:rsidRPr="00D437FC" w:rsidRDefault="00527043" w:rsidP="00474CBD">
      <w:pPr>
        <w:rPr>
          <w:noProof/>
        </w:rPr>
      </w:pPr>
      <w:r w:rsidRPr="00D437FC">
        <w:rPr>
          <w:noProof/>
        </w:rPr>
        <w:t>stanowiąc zgodnie ze zwykłą procedurą ustawodawczą,</w:t>
      </w:r>
    </w:p>
    <w:p w14:paraId="04A31376" w14:textId="77777777" w:rsidR="00310BDF" w:rsidRPr="00D437FC" w:rsidRDefault="00527043" w:rsidP="00310BDF">
      <w:pPr>
        <w:rPr>
          <w:noProof/>
        </w:rPr>
      </w:pPr>
      <w:r w:rsidRPr="00D437FC">
        <w:rPr>
          <w:noProof/>
        </w:rPr>
        <w:t xml:space="preserve">a także mając na uwadze, co następuje: </w:t>
      </w:r>
      <w:r w:rsidRPr="00D437FC">
        <w:rPr>
          <w:noProof/>
        </w:rPr>
        <w:br/>
      </w:r>
    </w:p>
    <w:p w14:paraId="7F2E4A3D" w14:textId="417E7C71" w:rsidR="0F7E90FA" w:rsidRPr="00D437FC" w:rsidRDefault="0F7E90FA" w:rsidP="00A246E6">
      <w:pPr>
        <w:rPr>
          <w:noProof/>
        </w:rPr>
      </w:pPr>
    </w:p>
    <w:p w14:paraId="2DE30517" w14:textId="62CA9A0E" w:rsidR="00E61215" w:rsidRPr="00D437FC" w:rsidRDefault="000A23BD" w:rsidP="000A23BD">
      <w:pPr>
        <w:pStyle w:val="ManualConsidrant"/>
        <w:rPr>
          <w:noProof/>
          <w:sz w:val="22"/>
        </w:rPr>
      </w:pPr>
      <w:r w:rsidRPr="000A23BD">
        <w:t>(1)</w:t>
      </w:r>
      <w:r w:rsidRPr="000A23BD">
        <w:tab/>
      </w:r>
      <w:r w:rsidR="00E61215" w:rsidRPr="00D437FC">
        <w:rPr>
          <w:noProof/>
        </w:rPr>
        <w:t>Wymogi sprawozdawcze odgrywają kluczową rolę</w:t>
      </w:r>
      <w:r w:rsidR="00051931" w:rsidRPr="00D437FC">
        <w:rPr>
          <w:noProof/>
        </w:rPr>
        <w:t xml:space="preserve"> w</w:t>
      </w:r>
      <w:r w:rsidR="00051931">
        <w:rPr>
          <w:noProof/>
        </w:rPr>
        <w:t> </w:t>
      </w:r>
      <w:r w:rsidR="00051931" w:rsidRPr="00D437FC">
        <w:rPr>
          <w:noProof/>
        </w:rPr>
        <w:t>zap</w:t>
      </w:r>
      <w:r w:rsidR="00E61215" w:rsidRPr="00D437FC">
        <w:rPr>
          <w:noProof/>
        </w:rPr>
        <w:t>ewnieniu właściwego monitorowania przepisów</w:t>
      </w:r>
      <w:r w:rsidR="00051931" w:rsidRPr="00D437FC">
        <w:rPr>
          <w:noProof/>
        </w:rPr>
        <w:t xml:space="preserve"> i</w:t>
      </w:r>
      <w:r w:rsidR="00051931">
        <w:rPr>
          <w:noProof/>
        </w:rPr>
        <w:t> </w:t>
      </w:r>
      <w:r w:rsidR="00051931" w:rsidRPr="00D437FC">
        <w:rPr>
          <w:noProof/>
        </w:rPr>
        <w:t>ich</w:t>
      </w:r>
      <w:r w:rsidR="00E61215" w:rsidRPr="00D437FC">
        <w:rPr>
          <w:noProof/>
        </w:rPr>
        <w:t xml:space="preserve"> prawidłowego egzekwowania. Ważne jest jednak uproszczenie tych wymogów</w:t>
      </w:r>
      <w:r w:rsidR="00051931" w:rsidRPr="00D437FC">
        <w:rPr>
          <w:noProof/>
        </w:rPr>
        <w:t xml:space="preserve"> w</w:t>
      </w:r>
      <w:r w:rsidR="00051931">
        <w:rPr>
          <w:noProof/>
        </w:rPr>
        <w:t> </w:t>
      </w:r>
      <w:r w:rsidR="00051931" w:rsidRPr="00D437FC">
        <w:rPr>
          <w:noProof/>
        </w:rPr>
        <w:t>cel</w:t>
      </w:r>
      <w:r w:rsidR="00E61215" w:rsidRPr="00D437FC">
        <w:rPr>
          <w:noProof/>
        </w:rPr>
        <w:t>u zapewnienia, by spełniały one cel, który został dla nich przewidziany, oraz aby ograniczyć obciążenie administracyjne.</w:t>
      </w:r>
    </w:p>
    <w:p w14:paraId="794711CD" w14:textId="1F38D831" w:rsidR="007E1EF8" w:rsidRPr="00D437FC" w:rsidRDefault="000A23BD" w:rsidP="000A23BD">
      <w:pPr>
        <w:pStyle w:val="ManualConsidrant"/>
        <w:rPr>
          <w:noProof/>
        </w:rPr>
      </w:pPr>
      <w:r w:rsidRPr="000A23BD">
        <w:t>(2)</w:t>
      </w:r>
      <w:r w:rsidRPr="000A23BD">
        <w:tab/>
      </w:r>
      <w:r w:rsidR="007E1EF8" w:rsidRPr="00D437FC">
        <w:rPr>
          <w:noProof/>
        </w:rPr>
        <w:t>Rozporządzenia Parlamentu Europejskiego</w:t>
      </w:r>
      <w:r w:rsidR="00051931" w:rsidRPr="00D437FC">
        <w:rPr>
          <w:noProof/>
        </w:rPr>
        <w:t xml:space="preserve"> i</w:t>
      </w:r>
      <w:r w:rsidR="00051931">
        <w:rPr>
          <w:noProof/>
        </w:rPr>
        <w:t> </w:t>
      </w:r>
      <w:r w:rsidR="00051931" w:rsidRPr="00D437FC">
        <w:rPr>
          <w:noProof/>
        </w:rPr>
        <w:t>Rad</w:t>
      </w:r>
      <w:r w:rsidR="007E1EF8" w:rsidRPr="00D437FC">
        <w:rPr>
          <w:noProof/>
        </w:rPr>
        <w:t xml:space="preserve">y (WE) </w:t>
      </w:r>
      <w:r w:rsidR="007E1EF8" w:rsidRPr="00051931">
        <w:rPr>
          <w:noProof/>
        </w:rPr>
        <w:t>nr</w:t>
      </w:r>
      <w:r w:rsidR="00051931" w:rsidRPr="00051931">
        <w:rPr>
          <w:noProof/>
        </w:rPr>
        <w:t> </w:t>
      </w:r>
      <w:r w:rsidR="007E1EF8" w:rsidRPr="00051931">
        <w:rPr>
          <w:noProof/>
        </w:rPr>
        <w:t>8</w:t>
      </w:r>
      <w:r w:rsidR="007E1EF8" w:rsidRPr="00D437FC">
        <w:rPr>
          <w:noProof/>
        </w:rPr>
        <w:t>0/2009</w:t>
      </w:r>
      <w:r w:rsidR="007E1EF8" w:rsidRPr="00D437FC">
        <w:rPr>
          <w:rStyle w:val="FootnoteReference"/>
          <w:noProof/>
        </w:rPr>
        <w:footnoteReference w:id="9"/>
      </w:r>
      <w:r w:rsidR="007E1EF8" w:rsidRPr="00D437FC">
        <w:rPr>
          <w:noProof/>
        </w:rPr>
        <w:t xml:space="preserve">, (UE) </w:t>
      </w:r>
      <w:r w:rsidR="007E1EF8" w:rsidRPr="00051931">
        <w:rPr>
          <w:noProof/>
        </w:rPr>
        <w:t>nr</w:t>
      </w:r>
      <w:r w:rsidR="00051931" w:rsidRPr="00051931">
        <w:rPr>
          <w:noProof/>
        </w:rPr>
        <w:t> </w:t>
      </w:r>
      <w:r w:rsidR="007E1EF8" w:rsidRPr="00051931">
        <w:rPr>
          <w:noProof/>
        </w:rPr>
        <w:t>9</w:t>
      </w:r>
      <w:r w:rsidR="007E1EF8" w:rsidRPr="00D437FC">
        <w:rPr>
          <w:noProof/>
        </w:rPr>
        <w:t>96/2010</w:t>
      </w:r>
      <w:r w:rsidR="007E1EF8" w:rsidRPr="00D437FC">
        <w:rPr>
          <w:rStyle w:val="FootnoteReference"/>
          <w:noProof/>
        </w:rPr>
        <w:footnoteReference w:id="10"/>
      </w:r>
      <w:r w:rsidR="007E1EF8" w:rsidRPr="00D437FC">
        <w:rPr>
          <w:noProof/>
        </w:rPr>
        <w:t xml:space="preserve"> i (UE) </w:t>
      </w:r>
      <w:r w:rsidR="007E1EF8" w:rsidRPr="00051931">
        <w:rPr>
          <w:noProof/>
        </w:rPr>
        <w:t>nr</w:t>
      </w:r>
      <w:r w:rsidR="00051931" w:rsidRPr="00051931">
        <w:rPr>
          <w:noProof/>
        </w:rPr>
        <w:t> </w:t>
      </w:r>
      <w:r w:rsidR="007E1EF8" w:rsidRPr="00051931">
        <w:rPr>
          <w:noProof/>
        </w:rPr>
        <w:t>1</w:t>
      </w:r>
      <w:r w:rsidR="007E1EF8" w:rsidRPr="00D437FC">
        <w:rPr>
          <w:noProof/>
        </w:rPr>
        <w:t>65/2014</w:t>
      </w:r>
      <w:r w:rsidR="007E1EF8" w:rsidRPr="00D437FC">
        <w:rPr>
          <w:rStyle w:val="FootnoteReference"/>
          <w:noProof/>
        </w:rPr>
        <w:footnoteReference w:id="11"/>
      </w:r>
      <w:r w:rsidR="007E1EF8" w:rsidRPr="00D437FC">
        <w:rPr>
          <w:noProof/>
        </w:rPr>
        <w:t xml:space="preserve"> zawierają szereg wymogów sprawozdawczych</w:t>
      </w:r>
      <w:r w:rsidR="00051931" w:rsidRPr="00D437FC">
        <w:rPr>
          <w:noProof/>
        </w:rPr>
        <w:t xml:space="preserve"> w</w:t>
      </w:r>
      <w:r w:rsidR="00051931">
        <w:rPr>
          <w:noProof/>
        </w:rPr>
        <w:t> </w:t>
      </w:r>
      <w:r w:rsidR="00051931" w:rsidRPr="00D437FC">
        <w:rPr>
          <w:noProof/>
        </w:rPr>
        <w:t>dzi</w:t>
      </w:r>
      <w:r w:rsidR="007E1EF8" w:rsidRPr="00D437FC">
        <w:rPr>
          <w:noProof/>
        </w:rPr>
        <w:t>edzinach transportu drogowego</w:t>
      </w:r>
      <w:r w:rsidR="00051931" w:rsidRPr="00D437FC">
        <w:rPr>
          <w:noProof/>
        </w:rPr>
        <w:t xml:space="preserve"> i</w:t>
      </w:r>
      <w:r w:rsidR="00051931">
        <w:rPr>
          <w:noProof/>
        </w:rPr>
        <w:t> </w:t>
      </w:r>
      <w:r w:rsidR="00051931" w:rsidRPr="00D437FC">
        <w:rPr>
          <w:noProof/>
        </w:rPr>
        <w:t>lot</w:t>
      </w:r>
      <w:r w:rsidR="007E1EF8" w:rsidRPr="00D437FC">
        <w:rPr>
          <w:noProof/>
        </w:rPr>
        <w:t>nictwa, które należy uprościć zgodnie</w:t>
      </w:r>
      <w:r w:rsidR="00051931" w:rsidRPr="00D437FC">
        <w:rPr>
          <w:noProof/>
        </w:rPr>
        <w:t xml:space="preserve"> z</w:t>
      </w:r>
      <w:r w:rsidR="00051931">
        <w:rPr>
          <w:noProof/>
        </w:rPr>
        <w:t> </w:t>
      </w:r>
      <w:r w:rsidR="00051931" w:rsidRPr="00D437FC">
        <w:rPr>
          <w:noProof/>
        </w:rPr>
        <w:t>kom</w:t>
      </w:r>
      <w:r w:rsidR="007E1EF8" w:rsidRPr="00D437FC">
        <w:rPr>
          <w:noProof/>
        </w:rPr>
        <w:t xml:space="preserve">unikatem Komisji pt. „Długoterminowa konkurencyjność UE: perspektywa na przyszłość </w:t>
      </w:r>
      <w:r w:rsidR="007E1EF8" w:rsidRPr="00051931">
        <w:rPr>
          <w:noProof/>
        </w:rPr>
        <w:t>po</w:t>
      </w:r>
      <w:r w:rsidR="00051931" w:rsidRPr="00051931">
        <w:rPr>
          <w:noProof/>
        </w:rPr>
        <w:t> </w:t>
      </w:r>
      <w:r w:rsidR="007E1EF8" w:rsidRPr="00051931">
        <w:rPr>
          <w:noProof/>
        </w:rPr>
        <w:t>2</w:t>
      </w:r>
      <w:r w:rsidR="007E1EF8" w:rsidRPr="00D437FC">
        <w:rPr>
          <w:noProof/>
        </w:rPr>
        <w:t>0</w:t>
      </w:r>
      <w:r w:rsidR="007E1EF8" w:rsidRPr="00051931">
        <w:rPr>
          <w:noProof/>
        </w:rPr>
        <w:t>30</w:t>
      </w:r>
      <w:r w:rsidR="00051931" w:rsidRPr="00051931">
        <w:rPr>
          <w:noProof/>
        </w:rPr>
        <w:t> </w:t>
      </w:r>
      <w:r w:rsidR="007E1EF8" w:rsidRPr="00051931">
        <w:rPr>
          <w:noProof/>
        </w:rPr>
        <w:t>r.</w:t>
      </w:r>
      <w:r w:rsidR="007E1EF8" w:rsidRPr="00D437FC">
        <w:rPr>
          <w:noProof/>
        </w:rPr>
        <w:t>”</w:t>
      </w:r>
      <w:r w:rsidR="007E1EF8" w:rsidRPr="00D437FC">
        <w:rPr>
          <w:rStyle w:val="FootnoteReference"/>
          <w:rFonts w:eastAsia="Calibri"/>
          <w:noProof/>
        </w:rPr>
        <w:footnoteReference w:id="12"/>
      </w:r>
      <w:r w:rsidR="007E1EF8" w:rsidRPr="00D437FC">
        <w:rPr>
          <w:noProof/>
        </w:rPr>
        <w:t>.</w:t>
      </w:r>
    </w:p>
    <w:p w14:paraId="3682EC7F" w14:textId="776600C7" w:rsidR="00A97EB7" w:rsidRPr="00D437FC" w:rsidRDefault="000A23BD" w:rsidP="000A23BD">
      <w:pPr>
        <w:pStyle w:val="ManualConsidrant"/>
        <w:rPr>
          <w:noProof/>
        </w:rPr>
      </w:pPr>
      <w:r w:rsidRPr="000A23BD">
        <w:t>(3)</w:t>
      </w:r>
      <w:r w:rsidRPr="000A23BD">
        <w:tab/>
      </w:r>
      <w:r w:rsidR="007E1EF8" w:rsidRPr="00D437FC">
        <w:rPr>
          <w:noProof/>
        </w:rPr>
        <w:t xml:space="preserve">Dokładniej rzecz ujmując, </w:t>
      </w:r>
      <w:r w:rsidR="007E1EF8" w:rsidRPr="00051931">
        <w:rPr>
          <w:noProof/>
        </w:rPr>
        <w:t>art.</w:t>
      </w:r>
      <w:r w:rsidR="00051931" w:rsidRPr="00051931">
        <w:rPr>
          <w:noProof/>
        </w:rPr>
        <w:t> </w:t>
      </w:r>
      <w:r w:rsidR="007E1EF8" w:rsidRPr="00051931">
        <w:rPr>
          <w:noProof/>
        </w:rPr>
        <w:t>1</w:t>
      </w:r>
      <w:r w:rsidR="007E1EF8" w:rsidRPr="00D437FC">
        <w:rPr>
          <w:noProof/>
        </w:rPr>
        <w:t xml:space="preserve">2 rozporządzenia (WE) </w:t>
      </w:r>
      <w:r w:rsidR="007E1EF8" w:rsidRPr="00051931">
        <w:rPr>
          <w:noProof/>
        </w:rPr>
        <w:t>nr</w:t>
      </w:r>
      <w:r w:rsidR="00051931" w:rsidRPr="00051931">
        <w:rPr>
          <w:noProof/>
        </w:rPr>
        <w:t> </w:t>
      </w:r>
      <w:r w:rsidR="007E1EF8" w:rsidRPr="00051931">
        <w:rPr>
          <w:noProof/>
        </w:rPr>
        <w:t>8</w:t>
      </w:r>
      <w:r w:rsidR="007E1EF8" w:rsidRPr="00D437FC">
        <w:rPr>
          <w:noProof/>
        </w:rPr>
        <w:t>0/2009 nakłada na każdego sprzedawcę systemu komputerowych systemów rezerwacji („KSR”) obowiązek przedkładania co cztery lata,</w:t>
      </w:r>
      <w:r w:rsidR="00051931" w:rsidRPr="00D437FC">
        <w:rPr>
          <w:noProof/>
        </w:rPr>
        <w:t xml:space="preserve"> a</w:t>
      </w:r>
      <w:r w:rsidR="00051931">
        <w:rPr>
          <w:noProof/>
        </w:rPr>
        <w:t> </w:t>
      </w:r>
      <w:r w:rsidR="00051931" w:rsidRPr="00D437FC">
        <w:rPr>
          <w:noProof/>
        </w:rPr>
        <w:t>dod</w:t>
      </w:r>
      <w:r w:rsidR="007E1EF8" w:rsidRPr="00D437FC">
        <w:rPr>
          <w:noProof/>
        </w:rPr>
        <w:t>atkowo na wniosek Komisji, sporządzonego</w:t>
      </w:r>
      <w:r w:rsidR="00051931" w:rsidRPr="00D437FC">
        <w:rPr>
          <w:noProof/>
        </w:rPr>
        <w:t xml:space="preserve"> w</w:t>
      </w:r>
      <w:r w:rsidR="00051931">
        <w:rPr>
          <w:noProof/>
        </w:rPr>
        <w:t> </w:t>
      </w:r>
      <w:r w:rsidR="00051931" w:rsidRPr="00D437FC">
        <w:rPr>
          <w:noProof/>
        </w:rPr>
        <w:t>wyn</w:t>
      </w:r>
      <w:r w:rsidR="007E1EF8" w:rsidRPr="00D437FC">
        <w:rPr>
          <w:noProof/>
        </w:rPr>
        <w:t>iku niezależnego audytu sprawozdania szczegółowo opisującego strukturę własności</w:t>
      </w:r>
      <w:r w:rsidR="00051931" w:rsidRPr="00D437FC">
        <w:rPr>
          <w:noProof/>
        </w:rPr>
        <w:t xml:space="preserve"> i</w:t>
      </w:r>
      <w:r w:rsidR="00051931">
        <w:rPr>
          <w:noProof/>
        </w:rPr>
        <w:t> </w:t>
      </w:r>
      <w:r w:rsidR="00051931" w:rsidRPr="00D437FC">
        <w:rPr>
          <w:noProof/>
        </w:rPr>
        <w:t>mod</w:t>
      </w:r>
      <w:r w:rsidR="007E1EF8" w:rsidRPr="00D437FC">
        <w:rPr>
          <w:noProof/>
        </w:rPr>
        <w:t>el zarządzania.</w:t>
      </w:r>
    </w:p>
    <w:p w14:paraId="57B783E6" w14:textId="7AE67D68" w:rsidR="00D12CE5" w:rsidRPr="00051931" w:rsidRDefault="000A23BD" w:rsidP="000A23BD">
      <w:pPr>
        <w:pStyle w:val="ManualConsidrant"/>
        <w:rPr>
          <w:noProof/>
        </w:rPr>
      </w:pPr>
      <w:r w:rsidRPr="000A23BD">
        <w:t>(4)</w:t>
      </w:r>
      <w:r w:rsidRPr="000A23BD">
        <w:tab/>
      </w:r>
      <w:r w:rsidR="00DB5349" w:rsidRPr="00D437FC">
        <w:rPr>
          <w:noProof/>
        </w:rPr>
        <w:t>Ten obowiązek audytu</w:t>
      </w:r>
      <w:r w:rsidR="00051931" w:rsidRPr="00D437FC">
        <w:rPr>
          <w:noProof/>
        </w:rPr>
        <w:t xml:space="preserve"> i</w:t>
      </w:r>
      <w:r w:rsidR="00051931">
        <w:rPr>
          <w:noProof/>
        </w:rPr>
        <w:t> </w:t>
      </w:r>
      <w:r w:rsidR="00051931" w:rsidRPr="00D437FC">
        <w:rPr>
          <w:noProof/>
        </w:rPr>
        <w:t>spr</w:t>
      </w:r>
      <w:r w:rsidR="00DB5349" w:rsidRPr="00D437FC">
        <w:rPr>
          <w:noProof/>
        </w:rPr>
        <w:t xml:space="preserve">awozdawczości ma na celu umożliwienie Komisji monitorowania stosowania </w:t>
      </w:r>
      <w:r w:rsidR="00DB5349" w:rsidRPr="00051931">
        <w:rPr>
          <w:noProof/>
        </w:rPr>
        <w:t>art.</w:t>
      </w:r>
      <w:r w:rsidR="00051931" w:rsidRPr="00051931">
        <w:rPr>
          <w:noProof/>
        </w:rPr>
        <w:t> </w:t>
      </w:r>
      <w:r w:rsidR="00DB5349" w:rsidRPr="00051931">
        <w:rPr>
          <w:noProof/>
        </w:rPr>
        <w:t>1</w:t>
      </w:r>
      <w:r w:rsidR="00DB5349" w:rsidRPr="00D437FC">
        <w:rPr>
          <w:noProof/>
        </w:rPr>
        <w:t xml:space="preserve">0 rozporządzenia (WE) </w:t>
      </w:r>
      <w:r w:rsidR="00DB5349" w:rsidRPr="00051931">
        <w:rPr>
          <w:noProof/>
        </w:rPr>
        <w:t>nr</w:t>
      </w:r>
      <w:r w:rsidR="00051931" w:rsidRPr="00051931">
        <w:rPr>
          <w:noProof/>
        </w:rPr>
        <w:t> </w:t>
      </w:r>
      <w:r w:rsidR="00DB5349" w:rsidRPr="00051931">
        <w:rPr>
          <w:noProof/>
        </w:rPr>
        <w:t>8</w:t>
      </w:r>
      <w:r w:rsidR="00DB5349" w:rsidRPr="00D437FC">
        <w:rPr>
          <w:noProof/>
        </w:rPr>
        <w:t>0/2009 ustanawiającego szczególne przepisy dla przewoźników macierzystych. Przepisy te mają</w:t>
      </w:r>
      <w:r w:rsidR="00051931" w:rsidRPr="00D437FC">
        <w:rPr>
          <w:noProof/>
        </w:rPr>
        <w:t xml:space="preserve"> w</w:t>
      </w:r>
      <w:r w:rsidR="00051931">
        <w:rPr>
          <w:noProof/>
        </w:rPr>
        <w:t> </w:t>
      </w:r>
      <w:r w:rsidR="00051931" w:rsidRPr="00D437FC">
        <w:rPr>
          <w:noProof/>
        </w:rPr>
        <w:t>szc</w:t>
      </w:r>
      <w:r w:rsidR="00DB5349" w:rsidRPr="00D437FC">
        <w:rPr>
          <w:noProof/>
        </w:rPr>
        <w:t>zególności na celu uniemożliwienie przewoźnikom macierzystym dyskryminowania konkurencyjnych KSR oraz uniemożliwienie KSR będącym własnością tych przewoźników dyskryminowania innych przewoźników</w:t>
      </w:r>
      <w:r w:rsidR="00051931" w:rsidRPr="00D437FC">
        <w:rPr>
          <w:noProof/>
        </w:rPr>
        <w:t>. Z</w:t>
      </w:r>
      <w:r w:rsidR="00051931">
        <w:rPr>
          <w:noProof/>
        </w:rPr>
        <w:t> </w:t>
      </w:r>
      <w:r w:rsidR="00051931" w:rsidRPr="00D437FC">
        <w:rPr>
          <w:noProof/>
        </w:rPr>
        <w:t>prz</w:t>
      </w:r>
      <w:r w:rsidR="00DB5349" w:rsidRPr="00D437FC">
        <w:rPr>
          <w:noProof/>
        </w:rPr>
        <w:t>eprowadzonej</w:t>
      </w:r>
      <w:r w:rsidR="00051931" w:rsidRPr="00D437FC">
        <w:rPr>
          <w:noProof/>
        </w:rPr>
        <w:t xml:space="preserve"> w</w:t>
      </w:r>
      <w:r w:rsidR="00051931">
        <w:rPr>
          <w:noProof/>
        </w:rPr>
        <w:t> </w:t>
      </w:r>
      <w:r w:rsidR="00051931" w:rsidRPr="00D437FC">
        <w:rPr>
          <w:noProof/>
        </w:rPr>
        <w:t>2</w:t>
      </w:r>
      <w:r w:rsidR="00DB5349" w:rsidRPr="00D437FC">
        <w:rPr>
          <w:noProof/>
        </w:rPr>
        <w:t>0</w:t>
      </w:r>
      <w:r w:rsidR="00DB5349" w:rsidRPr="00051931">
        <w:rPr>
          <w:noProof/>
        </w:rPr>
        <w:t>20</w:t>
      </w:r>
      <w:r w:rsidR="00051931" w:rsidRPr="00051931">
        <w:rPr>
          <w:noProof/>
        </w:rPr>
        <w:t> </w:t>
      </w:r>
      <w:r w:rsidR="00DB5349" w:rsidRPr="00051931">
        <w:rPr>
          <w:noProof/>
        </w:rPr>
        <w:t>r.</w:t>
      </w:r>
      <w:r w:rsidR="00DB5349" w:rsidRPr="00D437FC">
        <w:rPr>
          <w:noProof/>
        </w:rPr>
        <w:t xml:space="preserve"> oceny rozporządzenia (WE) </w:t>
      </w:r>
      <w:r w:rsidR="00DB5349" w:rsidRPr="00051931">
        <w:rPr>
          <w:noProof/>
        </w:rPr>
        <w:t>nr</w:t>
      </w:r>
      <w:r w:rsidR="00051931" w:rsidRPr="00051931">
        <w:rPr>
          <w:noProof/>
        </w:rPr>
        <w:t> </w:t>
      </w:r>
      <w:r w:rsidR="00DB5349" w:rsidRPr="00051931">
        <w:rPr>
          <w:noProof/>
        </w:rPr>
        <w:t>8</w:t>
      </w:r>
      <w:r w:rsidR="00DB5349" w:rsidRPr="00D437FC">
        <w:rPr>
          <w:noProof/>
        </w:rPr>
        <w:t>0/2009</w:t>
      </w:r>
      <w:r w:rsidR="00DB5349" w:rsidRPr="00D437FC">
        <w:rPr>
          <w:rStyle w:val="FootnoteReference"/>
          <w:noProof/>
        </w:rPr>
        <w:footnoteReference w:id="13"/>
      </w:r>
      <w:r w:rsidR="00DB5349" w:rsidRPr="00D437FC">
        <w:rPr>
          <w:noProof/>
        </w:rPr>
        <w:t xml:space="preserve"> wynika, że przepisy dotyczące przewoźników macierzystych mogą być zbędne, ponieważ linie lotnicze nie posiadają już KSR,</w:t>
      </w:r>
      <w:r w:rsidR="00051931" w:rsidRPr="00D437FC">
        <w:rPr>
          <w:noProof/>
        </w:rPr>
        <w:t xml:space="preserve"> i</w:t>
      </w:r>
      <w:r w:rsidR="00051931">
        <w:rPr>
          <w:noProof/>
        </w:rPr>
        <w:t> </w:t>
      </w:r>
      <w:r w:rsidR="00051931" w:rsidRPr="00D437FC">
        <w:rPr>
          <w:noProof/>
        </w:rPr>
        <w:t>nie</w:t>
      </w:r>
      <w:r w:rsidR="00DB5349" w:rsidRPr="00D437FC">
        <w:rPr>
          <w:noProof/>
        </w:rPr>
        <w:t xml:space="preserve"> ma dowodów na to, że będą one starały się je uzyskać, gdyby przepisy te nie istniały</w:t>
      </w:r>
      <w:r w:rsidR="00051931" w:rsidRPr="00D437FC">
        <w:rPr>
          <w:noProof/>
        </w:rPr>
        <w:t>. W</w:t>
      </w:r>
      <w:r w:rsidR="00051931">
        <w:rPr>
          <w:noProof/>
        </w:rPr>
        <w:t> </w:t>
      </w:r>
      <w:r w:rsidR="00051931" w:rsidRPr="00D437FC">
        <w:rPr>
          <w:noProof/>
        </w:rPr>
        <w:t>zwi</w:t>
      </w:r>
      <w:r w:rsidR="00DB5349" w:rsidRPr="00D437FC">
        <w:rPr>
          <w:noProof/>
        </w:rPr>
        <w:t>ązku</w:t>
      </w:r>
      <w:r w:rsidR="00051931" w:rsidRPr="00D437FC">
        <w:rPr>
          <w:noProof/>
        </w:rPr>
        <w:t xml:space="preserve"> z</w:t>
      </w:r>
      <w:r w:rsidR="00051931">
        <w:rPr>
          <w:noProof/>
        </w:rPr>
        <w:t> </w:t>
      </w:r>
      <w:r w:rsidR="00051931" w:rsidRPr="00D437FC">
        <w:rPr>
          <w:noProof/>
        </w:rPr>
        <w:t>tym</w:t>
      </w:r>
      <w:r w:rsidR="00DB5349" w:rsidRPr="00D437FC">
        <w:rPr>
          <w:noProof/>
        </w:rPr>
        <w:t xml:space="preserve"> składanie co cztery lata sprawozdań poddanych audytowi nie jest już uzasadnione. Komisja powinna jednak zachować prawo do żądania</w:t>
      </w:r>
      <w:r w:rsidR="00051931" w:rsidRPr="00D437FC">
        <w:rPr>
          <w:noProof/>
        </w:rPr>
        <w:t xml:space="preserve"> w</w:t>
      </w:r>
      <w:r w:rsidR="00051931">
        <w:rPr>
          <w:noProof/>
        </w:rPr>
        <w:t> </w:t>
      </w:r>
      <w:r w:rsidR="00051931" w:rsidRPr="00D437FC">
        <w:rPr>
          <w:noProof/>
        </w:rPr>
        <w:t>kon</w:t>
      </w:r>
      <w:r w:rsidR="00DB5349" w:rsidRPr="00D437FC">
        <w:rPr>
          <w:noProof/>
        </w:rPr>
        <w:t>iecznych przypadkach sprawozdań poddanych audytowi, aby</w:t>
      </w:r>
      <w:r w:rsidR="00051931" w:rsidRPr="00D437FC">
        <w:rPr>
          <w:noProof/>
        </w:rPr>
        <w:t xml:space="preserve"> w</w:t>
      </w:r>
      <w:r w:rsidR="00051931">
        <w:rPr>
          <w:noProof/>
        </w:rPr>
        <w:t> </w:t>
      </w:r>
      <w:r w:rsidR="00051931" w:rsidRPr="00D437FC">
        <w:rPr>
          <w:noProof/>
        </w:rPr>
        <w:t>raz</w:t>
      </w:r>
      <w:r w:rsidR="00DB5349" w:rsidRPr="00D437FC">
        <w:rPr>
          <w:noProof/>
        </w:rPr>
        <w:t>ie potrzeby móc skutecznie egzekwować przepisy dotyczące przewoźników macierzystych</w:t>
      </w:r>
      <w:r w:rsidR="00DB5349" w:rsidRPr="00051931">
        <w:rPr>
          <w:noProof/>
        </w:rPr>
        <w:t>.</w:t>
      </w:r>
      <w:r w:rsidR="00051931" w:rsidRPr="00051931">
        <w:rPr>
          <w:noProof/>
        </w:rPr>
        <w:t xml:space="preserve"> </w:t>
      </w:r>
    </w:p>
    <w:p w14:paraId="364BFE80" w14:textId="7B9AC0E1" w:rsidR="009C550C" w:rsidRPr="00D437FC" w:rsidRDefault="000A23BD" w:rsidP="000A23BD">
      <w:pPr>
        <w:pStyle w:val="ManualConsidrant"/>
        <w:rPr>
          <w:noProof/>
        </w:rPr>
      </w:pPr>
      <w:r w:rsidRPr="000A23BD">
        <w:t>(5)</w:t>
      </w:r>
      <w:r w:rsidRPr="000A23BD">
        <w:tab/>
      </w:r>
      <w:r w:rsidR="64E7C139" w:rsidRPr="00D437FC">
        <w:rPr>
          <w:noProof/>
        </w:rPr>
        <w:t xml:space="preserve">Art. 4 </w:t>
      </w:r>
      <w:r w:rsidR="64E7C139" w:rsidRPr="00051931">
        <w:rPr>
          <w:noProof/>
        </w:rPr>
        <w:t>ust.</w:t>
      </w:r>
      <w:r w:rsidR="00051931" w:rsidRPr="00051931">
        <w:rPr>
          <w:noProof/>
        </w:rPr>
        <w:t> </w:t>
      </w:r>
      <w:r w:rsidR="64E7C139" w:rsidRPr="00051931">
        <w:rPr>
          <w:noProof/>
        </w:rPr>
        <w:t>5</w:t>
      </w:r>
      <w:r w:rsidR="64E7C139" w:rsidRPr="00D437FC">
        <w:rPr>
          <w:noProof/>
        </w:rPr>
        <w:t xml:space="preserve"> rozporządzenia (UE) </w:t>
      </w:r>
      <w:r w:rsidR="64E7C139" w:rsidRPr="00051931">
        <w:rPr>
          <w:noProof/>
        </w:rPr>
        <w:t>nr</w:t>
      </w:r>
      <w:r w:rsidR="00051931" w:rsidRPr="00051931">
        <w:rPr>
          <w:noProof/>
        </w:rPr>
        <w:t> </w:t>
      </w:r>
      <w:r w:rsidR="64E7C139" w:rsidRPr="00051931">
        <w:rPr>
          <w:noProof/>
        </w:rPr>
        <w:t>9</w:t>
      </w:r>
      <w:r w:rsidR="64E7C139" w:rsidRPr="00D437FC">
        <w:rPr>
          <w:noProof/>
        </w:rPr>
        <w:t>96/2010 określa wymóg corocznej publikacji sprawozdania ze stanu bezpieczeństwa na szczeblu krajowym</w:t>
      </w:r>
      <w:r w:rsidR="00051931" w:rsidRPr="00D437FC">
        <w:rPr>
          <w:noProof/>
        </w:rPr>
        <w:t xml:space="preserve"> w</w:t>
      </w:r>
      <w:r w:rsidR="00051931">
        <w:rPr>
          <w:noProof/>
        </w:rPr>
        <w:t> </w:t>
      </w:r>
      <w:r w:rsidR="00051931" w:rsidRPr="00D437FC">
        <w:rPr>
          <w:noProof/>
        </w:rPr>
        <w:t>cel</w:t>
      </w:r>
      <w:r w:rsidR="64E7C139" w:rsidRPr="00D437FC">
        <w:rPr>
          <w:noProof/>
        </w:rPr>
        <w:t>u powiadomienia ogółu społeczeństwa</w:t>
      </w:r>
      <w:r w:rsidR="00051931" w:rsidRPr="00D437FC">
        <w:rPr>
          <w:noProof/>
        </w:rPr>
        <w:t xml:space="preserve"> o</w:t>
      </w:r>
      <w:r w:rsidR="00051931">
        <w:rPr>
          <w:noProof/>
        </w:rPr>
        <w:t> </w:t>
      </w:r>
      <w:r w:rsidR="00051931" w:rsidRPr="00D437FC">
        <w:rPr>
          <w:noProof/>
        </w:rPr>
        <w:t>ogó</w:t>
      </w:r>
      <w:r w:rsidR="64E7C139" w:rsidRPr="00D437FC">
        <w:rPr>
          <w:noProof/>
        </w:rPr>
        <w:t>lnym poziomie bezpieczeństwa lotnictwa. Obowiązek ten miał na celu zapewnienie przejrzystości odnośnie do ogólnej sytuacji</w:t>
      </w:r>
      <w:r w:rsidR="00051931" w:rsidRPr="00D437FC">
        <w:rPr>
          <w:noProof/>
        </w:rPr>
        <w:t xml:space="preserve"> w</w:t>
      </w:r>
      <w:r w:rsidR="00051931">
        <w:rPr>
          <w:noProof/>
        </w:rPr>
        <w:t> </w:t>
      </w:r>
      <w:r w:rsidR="00051931" w:rsidRPr="00D437FC">
        <w:rPr>
          <w:noProof/>
        </w:rPr>
        <w:t>zak</w:t>
      </w:r>
      <w:r w:rsidR="64E7C139" w:rsidRPr="00D437FC">
        <w:rPr>
          <w:noProof/>
        </w:rPr>
        <w:t>resie bezpieczeństwa lotniczego</w:t>
      </w:r>
      <w:r w:rsidR="00051931" w:rsidRPr="00D437FC">
        <w:rPr>
          <w:noProof/>
        </w:rPr>
        <w:t xml:space="preserve"> w</w:t>
      </w:r>
      <w:r w:rsidR="00051931">
        <w:rPr>
          <w:noProof/>
        </w:rPr>
        <w:t> </w:t>
      </w:r>
      <w:r w:rsidR="00051931" w:rsidRPr="00D437FC">
        <w:rPr>
          <w:noProof/>
        </w:rPr>
        <w:t>pań</w:t>
      </w:r>
      <w:r w:rsidR="64E7C139" w:rsidRPr="00D437FC">
        <w:rPr>
          <w:noProof/>
        </w:rPr>
        <w:t>stwach członkowskich,</w:t>
      </w:r>
      <w:r w:rsidR="00051931" w:rsidRPr="00D437FC">
        <w:rPr>
          <w:noProof/>
        </w:rPr>
        <w:t xml:space="preserve"> a</w:t>
      </w:r>
      <w:r w:rsidR="00051931">
        <w:rPr>
          <w:noProof/>
        </w:rPr>
        <w:t> </w:t>
      </w:r>
      <w:r w:rsidR="00051931" w:rsidRPr="00D437FC">
        <w:rPr>
          <w:noProof/>
        </w:rPr>
        <w:t>w</w:t>
      </w:r>
      <w:r w:rsidR="00051931">
        <w:rPr>
          <w:noProof/>
        </w:rPr>
        <w:t> </w:t>
      </w:r>
      <w:r w:rsidR="00051931" w:rsidRPr="00D437FC">
        <w:rPr>
          <w:noProof/>
        </w:rPr>
        <w:t>szc</w:t>
      </w:r>
      <w:r w:rsidR="64E7C139" w:rsidRPr="00D437FC">
        <w:rPr>
          <w:noProof/>
        </w:rPr>
        <w:t>zególności wkładu działań</w:t>
      </w:r>
      <w:r w:rsidR="00051931" w:rsidRPr="00D437FC">
        <w:rPr>
          <w:noProof/>
        </w:rPr>
        <w:t xml:space="preserve"> w</w:t>
      </w:r>
      <w:r w:rsidR="00051931">
        <w:rPr>
          <w:noProof/>
        </w:rPr>
        <w:t> </w:t>
      </w:r>
      <w:r w:rsidR="00051931" w:rsidRPr="00D437FC">
        <w:rPr>
          <w:noProof/>
        </w:rPr>
        <w:t>zak</w:t>
      </w:r>
      <w:r w:rsidR="64E7C139" w:rsidRPr="00D437FC">
        <w:rPr>
          <w:noProof/>
        </w:rPr>
        <w:t>resie badania wypadków w tę sytuację, biorąc pod uwagę kontekst niniejszego rozporządzenia. Stał się on jednak zbędny</w:t>
      </w:r>
      <w:r w:rsidR="00051931" w:rsidRPr="00D437FC">
        <w:rPr>
          <w:noProof/>
        </w:rPr>
        <w:t xml:space="preserve"> w</w:t>
      </w:r>
      <w:r w:rsidR="00051931">
        <w:rPr>
          <w:noProof/>
        </w:rPr>
        <w:t> </w:t>
      </w:r>
      <w:r w:rsidR="00051931" w:rsidRPr="00D437FC">
        <w:rPr>
          <w:noProof/>
        </w:rPr>
        <w:t>zwi</w:t>
      </w:r>
      <w:r w:rsidR="64E7C139" w:rsidRPr="00D437FC">
        <w:rPr>
          <w:noProof/>
        </w:rPr>
        <w:t>ązku</w:t>
      </w:r>
      <w:r w:rsidR="00051931" w:rsidRPr="00D437FC">
        <w:rPr>
          <w:noProof/>
        </w:rPr>
        <w:t xml:space="preserve"> z</w:t>
      </w:r>
      <w:r w:rsidR="00051931">
        <w:rPr>
          <w:noProof/>
        </w:rPr>
        <w:t> </w:t>
      </w:r>
      <w:r w:rsidR="00051931" w:rsidRPr="00D437FC">
        <w:rPr>
          <w:noProof/>
        </w:rPr>
        <w:t>cor</w:t>
      </w:r>
      <w:r w:rsidR="64E7C139" w:rsidRPr="00D437FC">
        <w:rPr>
          <w:noProof/>
        </w:rPr>
        <w:t xml:space="preserve">ocznym sprawozdaniem ze stanu bezpieczeństwa publikowanym przez Agencję Unii Europejskiej ds. Bezpieczeństwa Lotniczego na podstawie </w:t>
      </w:r>
      <w:r w:rsidR="64E7C139" w:rsidRPr="00051931">
        <w:rPr>
          <w:noProof/>
        </w:rPr>
        <w:t>art.</w:t>
      </w:r>
      <w:r w:rsidR="00051931" w:rsidRPr="00051931">
        <w:rPr>
          <w:noProof/>
        </w:rPr>
        <w:t> </w:t>
      </w:r>
      <w:r w:rsidR="64E7C139" w:rsidRPr="00051931">
        <w:rPr>
          <w:noProof/>
        </w:rPr>
        <w:t>7</w:t>
      </w:r>
      <w:r w:rsidR="64E7C139" w:rsidRPr="00D437FC">
        <w:rPr>
          <w:noProof/>
        </w:rPr>
        <w:t xml:space="preserve">2 </w:t>
      </w:r>
      <w:r w:rsidR="64E7C139" w:rsidRPr="00051931">
        <w:rPr>
          <w:noProof/>
        </w:rPr>
        <w:t>ust.</w:t>
      </w:r>
      <w:r w:rsidR="00051931" w:rsidRPr="00051931">
        <w:rPr>
          <w:noProof/>
        </w:rPr>
        <w:t> </w:t>
      </w:r>
      <w:r w:rsidR="64E7C139" w:rsidRPr="00051931">
        <w:rPr>
          <w:noProof/>
        </w:rPr>
        <w:t>7</w:t>
      </w:r>
      <w:r w:rsidR="64E7C139" w:rsidRPr="00D437FC">
        <w:rPr>
          <w:noProof/>
        </w:rPr>
        <w:t xml:space="preserve"> rozporządzenia Parlamentu Europejskiego</w:t>
      </w:r>
      <w:r w:rsidR="00051931" w:rsidRPr="00D437FC">
        <w:rPr>
          <w:noProof/>
        </w:rPr>
        <w:t xml:space="preserve"> i</w:t>
      </w:r>
      <w:r w:rsidR="00051931">
        <w:rPr>
          <w:noProof/>
        </w:rPr>
        <w:t> </w:t>
      </w:r>
      <w:r w:rsidR="00051931" w:rsidRPr="00D437FC">
        <w:rPr>
          <w:noProof/>
        </w:rPr>
        <w:t>Rad</w:t>
      </w:r>
      <w:r w:rsidR="64E7C139" w:rsidRPr="00D437FC">
        <w:rPr>
          <w:noProof/>
        </w:rPr>
        <w:t>y (UE) 2018/1139</w:t>
      </w:r>
      <w:r w:rsidR="64E7C139" w:rsidRPr="00D437FC">
        <w:rPr>
          <w:rStyle w:val="FootnoteReference"/>
          <w:noProof/>
        </w:rPr>
        <w:footnoteReference w:id="14"/>
      </w:r>
      <w:r w:rsidR="64E7C139" w:rsidRPr="00D437FC">
        <w:rPr>
          <w:noProof/>
        </w:rPr>
        <w:t>, który obejmuje cały unijny system lotnictwa,</w:t>
      </w:r>
      <w:r w:rsidR="00051931" w:rsidRPr="00D437FC">
        <w:rPr>
          <w:noProof/>
        </w:rPr>
        <w:t xml:space="preserve"> w</w:t>
      </w:r>
      <w:r w:rsidR="00051931">
        <w:rPr>
          <w:noProof/>
        </w:rPr>
        <w:t> </w:t>
      </w:r>
      <w:r w:rsidR="00051931" w:rsidRPr="00D437FC">
        <w:rPr>
          <w:noProof/>
        </w:rPr>
        <w:t>tym</w:t>
      </w:r>
      <w:r w:rsidR="64E7C139" w:rsidRPr="00D437FC">
        <w:rPr>
          <w:noProof/>
        </w:rPr>
        <w:t xml:space="preserve"> badania wypadków. </w:t>
      </w:r>
    </w:p>
    <w:p w14:paraId="1C6F3637" w14:textId="09BEE66E" w:rsidR="00C2691D" w:rsidRPr="00D437FC" w:rsidRDefault="000A23BD" w:rsidP="000A23BD">
      <w:pPr>
        <w:pStyle w:val="ManualConsidrant"/>
        <w:rPr>
          <w:noProof/>
        </w:rPr>
      </w:pPr>
      <w:r w:rsidRPr="000A23BD">
        <w:t>(6)</w:t>
      </w:r>
      <w:r w:rsidRPr="000A23BD">
        <w:tab/>
      </w:r>
      <w:r w:rsidR="00327A5D" w:rsidRPr="00D437FC">
        <w:rPr>
          <w:noProof/>
        </w:rPr>
        <w:t xml:space="preserve">W </w:t>
      </w:r>
      <w:r w:rsidR="00327A5D" w:rsidRPr="00051931">
        <w:rPr>
          <w:noProof/>
        </w:rPr>
        <w:t>art.</w:t>
      </w:r>
      <w:r w:rsidR="00051931" w:rsidRPr="00051931">
        <w:rPr>
          <w:noProof/>
        </w:rPr>
        <w:t> </w:t>
      </w:r>
      <w:r w:rsidR="00327A5D" w:rsidRPr="00051931">
        <w:rPr>
          <w:noProof/>
        </w:rPr>
        <w:t>2</w:t>
      </w:r>
      <w:r w:rsidR="00327A5D" w:rsidRPr="00D437FC">
        <w:rPr>
          <w:noProof/>
        </w:rPr>
        <w:t xml:space="preserve">4 </w:t>
      </w:r>
      <w:r w:rsidR="00327A5D" w:rsidRPr="00051931">
        <w:rPr>
          <w:noProof/>
        </w:rPr>
        <w:t>ust.</w:t>
      </w:r>
      <w:r w:rsidR="00051931" w:rsidRPr="00051931">
        <w:rPr>
          <w:noProof/>
        </w:rPr>
        <w:t> </w:t>
      </w:r>
      <w:r w:rsidR="00327A5D" w:rsidRPr="00051931">
        <w:rPr>
          <w:noProof/>
        </w:rPr>
        <w:t>5</w:t>
      </w:r>
      <w:r w:rsidR="00327A5D" w:rsidRPr="00D437FC">
        <w:rPr>
          <w:noProof/>
        </w:rPr>
        <w:t xml:space="preserve"> rozporządzenia (UE) </w:t>
      </w:r>
      <w:r w:rsidR="00327A5D" w:rsidRPr="00051931">
        <w:rPr>
          <w:noProof/>
        </w:rPr>
        <w:t>nr</w:t>
      </w:r>
      <w:r w:rsidR="00051931" w:rsidRPr="00051931">
        <w:rPr>
          <w:noProof/>
        </w:rPr>
        <w:t> </w:t>
      </w:r>
      <w:r w:rsidR="00327A5D" w:rsidRPr="00051931">
        <w:rPr>
          <w:noProof/>
        </w:rPr>
        <w:t>1</w:t>
      </w:r>
      <w:r w:rsidR="00327A5D" w:rsidRPr="00D437FC">
        <w:rPr>
          <w:noProof/>
        </w:rPr>
        <w:t>65/2014 nałożono na właściwe organy państw członkowskich obowiązek corocznego przesyłania Komisji,</w:t>
      </w:r>
      <w:r w:rsidR="00051931" w:rsidRPr="00D437FC">
        <w:rPr>
          <w:noProof/>
        </w:rPr>
        <w:t xml:space="preserve"> w</w:t>
      </w:r>
      <w:r w:rsidR="00051931">
        <w:rPr>
          <w:noProof/>
        </w:rPr>
        <w:t> </w:t>
      </w:r>
      <w:r w:rsidR="00051931" w:rsidRPr="00D437FC">
        <w:rPr>
          <w:noProof/>
        </w:rPr>
        <w:t>mia</w:t>
      </w:r>
      <w:r w:rsidR="00327A5D" w:rsidRPr="00D437FC">
        <w:rPr>
          <w:noProof/>
        </w:rPr>
        <w:t>rę możliwości drogą elektroniczną, wykazów zatwierdzonych instalatorów</w:t>
      </w:r>
      <w:r w:rsidR="00051931" w:rsidRPr="00D437FC">
        <w:rPr>
          <w:noProof/>
        </w:rPr>
        <w:t xml:space="preserve"> i</w:t>
      </w:r>
      <w:r w:rsidR="00051931">
        <w:rPr>
          <w:noProof/>
        </w:rPr>
        <w:t> </w:t>
      </w:r>
      <w:r w:rsidR="00051931" w:rsidRPr="00D437FC">
        <w:rPr>
          <w:noProof/>
        </w:rPr>
        <w:t>war</w:t>
      </w:r>
      <w:r w:rsidR="00327A5D" w:rsidRPr="00D437FC">
        <w:rPr>
          <w:noProof/>
        </w:rPr>
        <w:t>sztatów mogących przeprowadzać instalacje, kontrole, przeglądy</w:t>
      </w:r>
      <w:r w:rsidR="00051931" w:rsidRPr="00D437FC">
        <w:rPr>
          <w:noProof/>
        </w:rPr>
        <w:t xml:space="preserve"> i</w:t>
      </w:r>
      <w:r w:rsidR="00051931">
        <w:rPr>
          <w:noProof/>
        </w:rPr>
        <w:t> </w:t>
      </w:r>
      <w:r w:rsidR="00051931" w:rsidRPr="00D437FC">
        <w:rPr>
          <w:noProof/>
        </w:rPr>
        <w:t>nap</w:t>
      </w:r>
      <w:r w:rsidR="00327A5D" w:rsidRPr="00D437FC">
        <w:rPr>
          <w:noProof/>
        </w:rPr>
        <w:t xml:space="preserve">rawy tachografów oraz wydanych im kart. Następnie Komisja publikuje te wykazy na swojej stronie internetowej. </w:t>
      </w:r>
    </w:p>
    <w:p w14:paraId="717F9AEB" w14:textId="7E547950" w:rsidR="00060ADC" w:rsidRPr="00D437FC" w:rsidRDefault="000A23BD" w:rsidP="000A23BD">
      <w:pPr>
        <w:pStyle w:val="ManualConsidrant"/>
        <w:rPr>
          <w:noProof/>
        </w:rPr>
      </w:pPr>
      <w:r w:rsidRPr="000A23BD">
        <w:t>(7)</w:t>
      </w:r>
      <w:r w:rsidRPr="000A23BD">
        <w:tab/>
      </w:r>
      <w:r w:rsidR="00327A5D" w:rsidRPr="00D437FC">
        <w:rPr>
          <w:noProof/>
        </w:rPr>
        <w:t>Połączenie faktu, że karty warsztatowe są ważne przez jeden rok,</w:t>
      </w:r>
      <w:r w:rsidR="00051931" w:rsidRPr="00D437FC">
        <w:rPr>
          <w:noProof/>
        </w:rPr>
        <w:t xml:space="preserve"> z</w:t>
      </w:r>
      <w:r w:rsidR="00051931">
        <w:rPr>
          <w:noProof/>
        </w:rPr>
        <w:t> </w:t>
      </w:r>
      <w:r w:rsidR="00051931" w:rsidRPr="00D437FC">
        <w:rPr>
          <w:noProof/>
        </w:rPr>
        <w:t>fak</w:t>
      </w:r>
      <w:r w:rsidR="00327A5D" w:rsidRPr="00D437FC">
        <w:rPr>
          <w:noProof/>
        </w:rPr>
        <w:t>tem, że korespondencja państw członkowskich do Komisji zawiera jedynie przegląd zatwierdzonych warsztatów</w:t>
      </w:r>
      <w:r w:rsidR="00051931" w:rsidRPr="00D437FC">
        <w:rPr>
          <w:noProof/>
        </w:rPr>
        <w:t xml:space="preserve"> i</w:t>
      </w:r>
      <w:r w:rsidR="00051931">
        <w:rPr>
          <w:noProof/>
        </w:rPr>
        <w:t> </w:t>
      </w:r>
      <w:r w:rsidR="00051931" w:rsidRPr="00D437FC">
        <w:rPr>
          <w:noProof/>
        </w:rPr>
        <w:t>wyd</w:t>
      </w:r>
      <w:r w:rsidR="00327A5D" w:rsidRPr="00D437FC">
        <w:rPr>
          <w:noProof/>
        </w:rPr>
        <w:t>anych im ważnych kart, oznacza, że</w:t>
      </w:r>
      <w:r w:rsidR="00051931" w:rsidRPr="00D437FC">
        <w:rPr>
          <w:noProof/>
        </w:rPr>
        <w:t xml:space="preserve"> w</w:t>
      </w:r>
      <w:r w:rsidR="00051931">
        <w:rPr>
          <w:noProof/>
        </w:rPr>
        <w:t> </w:t>
      </w:r>
      <w:r w:rsidR="00051931" w:rsidRPr="00D437FC">
        <w:rPr>
          <w:noProof/>
        </w:rPr>
        <w:t>kol</w:t>
      </w:r>
      <w:r w:rsidR="00327A5D" w:rsidRPr="00D437FC">
        <w:rPr>
          <w:noProof/>
        </w:rPr>
        <w:t>ejnym roku coraz większa część kart warsztatowych publikowanych na stronie internetowej Komisji nie jest już ważna. Państwa członkowskie powinny zatem być zobowiązane do publikowania tych informacji</w:t>
      </w:r>
      <w:r w:rsidR="00051931" w:rsidRPr="00D437FC">
        <w:rPr>
          <w:noProof/>
        </w:rPr>
        <w:t xml:space="preserve"> i</w:t>
      </w:r>
      <w:r w:rsidR="00051931">
        <w:rPr>
          <w:noProof/>
        </w:rPr>
        <w:t> </w:t>
      </w:r>
      <w:r w:rsidR="00051931" w:rsidRPr="00D437FC">
        <w:rPr>
          <w:noProof/>
        </w:rPr>
        <w:t>ich</w:t>
      </w:r>
      <w:r w:rsidR="00327A5D" w:rsidRPr="00D437FC">
        <w:rPr>
          <w:noProof/>
        </w:rPr>
        <w:t xml:space="preserve"> ciągłego aktualizowania na publicznie dostępnej stronie internetowej. Komisja powinna opublikować wykaz stron internetowych wszystkich państw członkowskich, na których można znaleźć te informacje. Niektóre państwa członkowskie posiadają już przedmiotowe strony internetowe. Obowiązek ten doprowadziłby zatem do zmniejszenia obciążeń administracyjnych zarówno dla Komisji, jak</w:t>
      </w:r>
      <w:r w:rsidR="00051931" w:rsidRPr="00D437FC">
        <w:rPr>
          <w:noProof/>
        </w:rPr>
        <w:t xml:space="preserve"> i</w:t>
      </w:r>
      <w:r w:rsidR="00051931">
        <w:rPr>
          <w:noProof/>
        </w:rPr>
        <w:t> </w:t>
      </w:r>
      <w:r w:rsidR="00051931" w:rsidRPr="00D437FC">
        <w:rPr>
          <w:noProof/>
        </w:rPr>
        <w:t>pań</w:t>
      </w:r>
      <w:r w:rsidR="00327A5D" w:rsidRPr="00D437FC">
        <w:rPr>
          <w:noProof/>
        </w:rPr>
        <w:t>stw członkowskich,</w:t>
      </w:r>
      <w:r w:rsidR="00051931" w:rsidRPr="00D437FC">
        <w:rPr>
          <w:noProof/>
        </w:rPr>
        <w:t xml:space="preserve"> i</w:t>
      </w:r>
      <w:r w:rsidR="00051931">
        <w:rPr>
          <w:noProof/>
        </w:rPr>
        <w:t> </w:t>
      </w:r>
      <w:r w:rsidR="00051931" w:rsidRPr="00D437FC">
        <w:rPr>
          <w:noProof/>
        </w:rPr>
        <w:t>zmn</w:t>
      </w:r>
      <w:r w:rsidR="00327A5D" w:rsidRPr="00D437FC">
        <w:rPr>
          <w:noProof/>
        </w:rPr>
        <w:t>iejszonych kosztów dla zainteresowanych stron poprzez zapewnienie bardziej aktualnej</w:t>
      </w:r>
      <w:r w:rsidR="00051931" w:rsidRPr="00D437FC">
        <w:rPr>
          <w:noProof/>
        </w:rPr>
        <w:t xml:space="preserve"> i</w:t>
      </w:r>
      <w:r w:rsidR="00051931">
        <w:rPr>
          <w:noProof/>
        </w:rPr>
        <w:t> </w:t>
      </w:r>
      <w:r w:rsidR="00051931" w:rsidRPr="00D437FC">
        <w:rPr>
          <w:noProof/>
        </w:rPr>
        <w:t>sku</w:t>
      </w:r>
      <w:r w:rsidR="00327A5D" w:rsidRPr="00D437FC">
        <w:rPr>
          <w:noProof/>
        </w:rPr>
        <w:t>tecznej dystrybucji informacji.</w:t>
      </w:r>
    </w:p>
    <w:p w14:paraId="47671964" w14:textId="556AD404" w:rsidR="00377A4B" w:rsidRPr="00D437FC" w:rsidRDefault="000A23BD" w:rsidP="000A23BD">
      <w:pPr>
        <w:pStyle w:val="ManualConsidrant"/>
        <w:rPr>
          <w:noProof/>
        </w:rPr>
      </w:pPr>
      <w:r w:rsidRPr="000A23BD">
        <w:t>(8)</w:t>
      </w:r>
      <w:r w:rsidRPr="000A23BD">
        <w:tab/>
      </w:r>
      <w:r w:rsidR="00377A4B" w:rsidRPr="00D437FC">
        <w:rPr>
          <w:noProof/>
        </w:rPr>
        <w:t xml:space="preserve">Należy zatem odpowiednio zmienić rozporządzenia (WE) </w:t>
      </w:r>
      <w:r w:rsidR="00377A4B" w:rsidRPr="00051931">
        <w:rPr>
          <w:noProof/>
        </w:rPr>
        <w:t>nr</w:t>
      </w:r>
      <w:r w:rsidR="00051931" w:rsidRPr="00051931">
        <w:rPr>
          <w:noProof/>
        </w:rPr>
        <w:t> </w:t>
      </w:r>
      <w:r w:rsidR="00377A4B" w:rsidRPr="00051931">
        <w:rPr>
          <w:noProof/>
        </w:rPr>
        <w:t>8</w:t>
      </w:r>
      <w:r w:rsidR="00377A4B" w:rsidRPr="00D437FC">
        <w:rPr>
          <w:noProof/>
        </w:rPr>
        <w:t xml:space="preserve">0/2009, (UE) </w:t>
      </w:r>
      <w:r w:rsidR="00377A4B" w:rsidRPr="00051931">
        <w:rPr>
          <w:noProof/>
        </w:rPr>
        <w:t>nr</w:t>
      </w:r>
      <w:r w:rsidR="00051931" w:rsidRPr="00051931">
        <w:rPr>
          <w:noProof/>
        </w:rPr>
        <w:t> </w:t>
      </w:r>
      <w:r w:rsidR="00377A4B" w:rsidRPr="00051931">
        <w:rPr>
          <w:noProof/>
        </w:rPr>
        <w:t>9</w:t>
      </w:r>
      <w:r w:rsidR="00377A4B" w:rsidRPr="00D437FC">
        <w:rPr>
          <w:noProof/>
        </w:rPr>
        <w:t xml:space="preserve">96/2010 i (UE) </w:t>
      </w:r>
      <w:r w:rsidR="00377A4B" w:rsidRPr="00051931">
        <w:rPr>
          <w:noProof/>
        </w:rPr>
        <w:t>nr</w:t>
      </w:r>
      <w:r w:rsidR="00051931" w:rsidRPr="00051931">
        <w:rPr>
          <w:noProof/>
        </w:rPr>
        <w:t> </w:t>
      </w:r>
      <w:r w:rsidR="00377A4B" w:rsidRPr="00051931">
        <w:rPr>
          <w:noProof/>
        </w:rPr>
        <w:t>1</w:t>
      </w:r>
      <w:r w:rsidR="00377A4B" w:rsidRPr="00D437FC">
        <w:rPr>
          <w:noProof/>
        </w:rPr>
        <w:t>65/2014,</w:t>
      </w:r>
    </w:p>
    <w:p w14:paraId="5945DA15" w14:textId="77777777" w:rsidR="00C2691D" w:rsidRPr="00D437FC" w:rsidRDefault="00C2691D" w:rsidP="00C2691D">
      <w:pPr>
        <w:rPr>
          <w:noProof/>
        </w:rPr>
      </w:pPr>
    </w:p>
    <w:p w14:paraId="67CC3FC7" w14:textId="77777777" w:rsidR="00527043" w:rsidRPr="00D437FC" w:rsidRDefault="00527043" w:rsidP="00E9372E">
      <w:pPr>
        <w:pStyle w:val="Formuledadoption"/>
        <w:rPr>
          <w:noProof/>
        </w:rPr>
      </w:pPr>
      <w:r w:rsidRPr="00D437FC">
        <w:rPr>
          <w:noProof/>
        </w:rPr>
        <w:t>PRZYJMUJĄ NINIEJSZE ROZPORZĄDZENIE:</w:t>
      </w:r>
    </w:p>
    <w:p w14:paraId="21B7A191" w14:textId="77777777" w:rsidR="00106D1E" w:rsidRPr="00D437FC" w:rsidRDefault="00106D1E" w:rsidP="00106D1E">
      <w:pPr>
        <w:pStyle w:val="Titrearticle"/>
        <w:rPr>
          <w:noProof/>
        </w:rPr>
      </w:pPr>
      <w:r w:rsidRPr="00D437FC">
        <w:rPr>
          <w:noProof/>
        </w:rPr>
        <w:t>Artykuł 1</w:t>
      </w:r>
    </w:p>
    <w:p w14:paraId="1CBDFD36" w14:textId="486E6CBF" w:rsidR="00106D1E" w:rsidRPr="00D437FC" w:rsidRDefault="00106D1E" w:rsidP="000579F8">
      <w:pPr>
        <w:jc w:val="center"/>
        <w:rPr>
          <w:noProof/>
        </w:rPr>
      </w:pPr>
      <w:r w:rsidRPr="00D437FC">
        <w:rPr>
          <w:i/>
          <w:noProof/>
        </w:rPr>
        <w:t>Zmiany</w:t>
      </w:r>
      <w:r w:rsidR="00051931" w:rsidRPr="00D437FC">
        <w:rPr>
          <w:i/>
          <w:noProof/>
        </w:rPr>
        <w:t xml:space="preserve"> w</w:t>
      </w:r>
      <w:r w:rsidR="00051931">
        <w:rPr>
          <w:i/>
          <w:noProof/>
        </w:rPr>
        <w:t> </w:t>
      </w:r>
      <w:r w:rsidR="00051931" w:rsidRPr="00D437FC">
        <w:rPr>
          <w:i/>
          <w:noProof/>
        </w:rPr>
        <w:t>roz</w:t>
      </w:r>
      <w:r w:rsidRPr="00D437FC">
        <w:rPr>
          <w:i/>
          <w:noProof/>
        </w:rPr>
        <w:t xml:space="preserve">porządzeniu (WE) </w:t>
      </w:r>
      <w:r w:rsidRPr="00051931">
        <w:rPr>
          <w:i/>
          <w:noProof/>
        </w:rPr>
        <w:t>nr</w:t>
      </w:r>
      <w:r w:rsidR="00051931" w:rsidRPr="00051931">
        <w:rPr>
          <w:i/>
          <w:noProof/>
        </w:rPr>
        <w:t> </w:t>
      </w:r>
      <w:r w:rsidRPr="00051931">
        <w:rPr>
          <w:i/>
          <w:noProof/>
        </w:rPr>
        <w:t>8</w:t>
      </w:r>
      <w:r w:rsidRPr="00D437FC">
        <w:rPr>
          <w:i/>
          <w:noProof/>
        </w:rPr>
        <w:t>0/2009</w:t>
      </w:r>
    </w:p>
    <w:p w14:paraId="3FA7C9AC" w14:textId="0D9E4F48" w:rsidR="00106D1E" w:rsidRPr="00D437FC" w:rsidRDefault="00106D1E" w:rsidP="00E929B7">
      <w:pPr>
        <w:rPr>
          <w:noProof/>
        </w:rPr>
      </w:pPr>
      <w:r w:rsidRPr="00D437FC">
        <w:rPr>
          <w:noProof/>
        </w:rPr>
        <w:t xml:space="preserve">Art. 12 rozporządzenia (WE) </w:t>
      </w:r>
      <w:r w:rsidRPr="00051931">
        <w:rPr>
          <w:noProof/>
        </w:rPr>
        <w:t>nr</w:t>
      </w:r>
      <w:r w:rsidR="00051931" w:rsidRPr="00051931">
        <w:rPr>
          <w:noProof/>
        </w:rPr>
        <w:t> </w:t>
      </w:r>
      <w:r w:rsidRPr="00051931">
        <w:rPr>
          <w:noProof/>
        </w:rPr>
        <w:t>8</w:t>
      </w:r>
      <w:r w:rsidRPr="00D437FC">
        <w:rPr>
          <w:noProof/>
        </w:rPr>
        <w:t>0/2009 otrzymuje brzmienie:</w:t>
      </w:r>
    </w:p>
    <w:p w14:paraId="22F0A926" w14:textId="77777777" w:rsidR="00377A4B" w:rsidRPr="00D437FC" w:rsidRDefault="000A627E" w:rsidP="00A246E6">
      <w:pPr>
        <w:numPr>
          <w:ilvl w:val="3"/>
          <w:numId w:val="0"/>
        </w:numPr>
        <w:jc w:val="center"/>
        <w:rPr>
          <w:noProof/>
        </w:rPr>
      </w:pPr>
      <w:r w:rsidRPr="00D437FC">
        <w:rPr>
          <w:noProof/>
        </w:rPr>
        <w:t>„</w:t>
      </w:r>
      <w:r w:rsidRPr="00D437FC">
        <w:rPr>
          <w:i/>
          <w:noProof/>
        </w:rPr>
        <w:t>Artykuł 12</w:t>
      </w:r>
    </w:p>
    <w:p w14:paraId="0595CC3C" w14:textId="193E352B" w:rsidR="000A627E" w:rsidRPr="00D437FC" w:rsidRDefault="000A627E" w:rsidP="003B175D">
      <w:pPr>
        <w:numPr>
          <w:ilvl w:val="3"/>
          <w:numId w:val="0"/>
        </w:numPr>
        <w:rPr>
          <w:noProof/>
        </w:rPr>
      </w:pPr>
      <w:r w:rsidRPr="00D437FC">
        <w:rPr>
          <w:noProof/>
        </w:rPr>
        <w:t>Komisja może zażądać od każdego sprzedawcy systemu przedłożenia sporządzonego</w:t>
      </w:r>
      <w:r w:rsidR="00051931" w:rsidRPr="00D437FC">
        <w:rPr>
          <w:noProof/>
        </w:rPr>
        <w:t xml:space="preserve"> w</w:t>
      </w:r>
      <w:r w:rsidR="00051931">
        <w:rPr>
          <w:noProof/>
        </w:rPr>
        <w:t> </w:t>
      </w:r>
      <w:r w:rsidR="00051931" w:rsidRPr="00D437FC">
        <w:rPr>
          <w:noProof/>
        </w:rPr>
        <w:t>wyn</w:t>
      </w:r>
      <w:r w:rsidRPr="00D437FC">
        <w:rPr>
          <w:noProof/>
        </w:rPr>
        <w:t>iku niezależnego audytu sprawozdania, wskazującego szczegółowo strukturę własności</w:t>
      </w:r>
      <w:r w:rsidR="00051931" w:rsidRPr="00D437FC">
        <w:rPr>
          <w:noProof/>
        </w:rPr>
        <w:t xml:space="preserve"> i</w:t>
      </w:r>
      <w:r w:rsidR="00051931">
        <w:rPr>
          <w:noProof/>
        </w:rPr>
        <w:t> </w:t>
      </w:r>
      <w:r w:rsidR="00051931" w:rsidRPr="00D437FC">
        <w:rPr>
          <w:noProof/>
        </w:rPr>
        <w:t>mod</w:t>
      </w:r>
      <w:r w:rsidRPr="00D437FC">
        <w:rPr>
          <w:noProof/>
        </w:rPr>
        <w:t>el zarządzania. Koszty związane ze sprawozdaniem poddanym audytowi ponosi sprzedawca systemu.”.</w:t>
      </w:r>
    </w:p>
    <w:p w14:paraId="5EC8BA77" w14:textId="77777777" w:rsidR="005B70EB" w:rsidRPr="00D437FC" w:rsidRDefault="005B70EB" w:rsidP="005B70EB">
      <w:pPr>
        <w:pStyle w:val="Titrearticle"/>
        <w:rPr>
          <w:noProof/>
        </w:rPr>
      </w:pPr>
      <w:r w:rsidRPr="00D437FC">
        <w:rPr>
          <w:noProof/>
        </w:rPr>
        <w:t>Artykuł 2</w:t>
      </w:r>
    </w:p>
    <w:p w14:paraId="55A64890" w14:textId="06773E11" w:rsidR="005B70EB" w:rsidRPr="00D437FC" w:rsidRDefault="54DFB7AF" w:rsidP="003B175D">
      <w:pPr>
        <w:jc w:val="center"/>
        <w:rPr>
          <w:noProof/>
        </w:rPr>
      </w:pPr>
      <w:r w:rsidRPr="00D437FC">
        <w:rPr>
          <w:i/>
          <w:noProof/>
        </w:rPr>
        <w:t>Zmiana</w:t>
      </w:r>
      <w:r w:rsidR="00051931" w:rsidRPr="00D437FC">
        <w:rPr>
          <w:i/>
          <w:noProof/>
        </w:rPr>
        <w:t xml:space="preserve"> w</w:t>
      </w:r>
      <w:r w:rsidR="00051931">
        <w:rPr>
          <w:i/>
          <w:noProof/>
        </w:rPr>
        <w:t> </w:t>
      </w:r>
      <w:r w:rsidR="00051931" w:rsidRPr="00D437FC">
        <w:rPr>
          <w:i/>
          <w:noProof/>
        </w:rPr>
        <w:t>roz</w:t>
      </w:r>
      <w:r w:rsidRPr="00D437FC">
        <w:rPr>
          <w:i/>
          <w:noProof/>
        </w:rPr>
        <w:t xml:space="preserve">porządzeniu (UE) </w:t>
      </w:r>
      <w:r w:rsidRPr="00051931">
        <w:rPr>
          <w:i/>
          <w:noProof/>
        </w:rPr>
        <w:t>nr</w:t>
      </w:r>
      <w:r w:rsidR="00051931" w:rsidRPr="00051931">
        <w:rPr>
          <w:i/>
          <w:noProof/>
        </w:rPr>
        <w:t> </w:t>
      </w:r>
      <w:r w:rsidRPr="00051931">
        <w:rPr>
          <w:i/>
          <w:noProof/>
        </w:rPr>
        <w:t>9</w:t>
      </w:r>
      <w:r w:rsidRPr="00D437FC">
        <w:rPr>
          <w:i/>
          <w:noProof/>
        </w:rPr>
        <w:t>96/2010</w:t>
      </w:r>
    </w:p>
    <w:p w14:paraId="673A9447" w14:textId="5EB72CC7" w:rsidR="0068439F" w:rsidRPr="00D437FC" w:rsidRDefault="00377A4B" w:rsidP="00E929B7">
      <w:pPr>
        <w:rPr>
          <w:noProof/>
        </w:rPr>
      </w:pPr>
      <w:r w:rsidRPr="00D437FC">
        <w:rPr>
          <w:noProof/>
        </w:rPr>
        <w:t xml:space="preserve">Uchyla się </w:t>
      </w:r>
      <w:r w:rsidRPr="00051931">
        <w:rPr>
          <w:noProof/>
        </w:rPr>
        <w:t>art.</w:t>
      </w:r>
      <w:r w:rsidR="00051931" w:rsidRPr="00051931">
        <w:rPr>
          <w:noProof/>
        </w:rPr>
        <w:t> </w:t>
      </w:r>
      <w:r w:rsidRPr="00051931">
        <w:rPr>
          <w:noProof/>
        </w:rPr>
        <w:t>4</w:t>
      </w:r>
      <w:r w:rsidRPr="00D437FC">
        <w:rPr>
          <w:noProof/>
        </w:rPr>
        <w:t xml:space="preserve"> </w:t>
      </w:r>
      <w:r w:rsidRPr="00051931">
        <w:rPr>
          <w:noProof/>
        </w:rPr>
        <w:t>ust.</w:t>
      </w:r>
      <w:r w:rsidR="00051931" w:rsidRPr="00051931">
        <w:rPr>
          <w:noProof/>
        </w:rPr>
        <w:t> </w:t>
      </w:r>
      <w:r w:rsidRPr="00051931">
        <w:rPr>
          <w:noProof/>
        </w:rPr>
        <w:t>5</w:t>
      </w:r>
      <w:r w:rsidRPr="00D437FC">
        <w:rPr>
          <w:noProof/>
        </w:rPr>
        <w:t xml:space="preserve"> rozporządzenia (UE) 996/2010.</w:t>
      </w:r>
    </w:p>
    <w:p w14:paraId="4D574B13" w14:textId="77777777" w:rsidR="00026146" w:rsidRPr="00D437FC" w:rsidRDefault="00026146" w:rsidP="00026146">
      <w:pPr>
        <w:pStyle w:val="Titrearticle"/>
        <w:rPr>
          <w:noProof/>
        </w:rPr>
      </w:pPr>
      <w:r w:rsidRPr="00D437FC">
        <w:rPr>
          <w:noProof/>
        </w:rPr>
        <w:t>Artykuł 3</w:t>
      </w:r>
    </w:p>
    <w:p w14:paraId="28E7E53B" w14:textId="0E87F1B2" w:rsidR="00026146" w:rsidRPr="00D437FC" w:rsidRDefault="00026146" w:rsidP="00026146">
      <w:pPr>
        <w:jc w:val="center"/>
        <w:rPr>
          <w:i/>
          <w:iCs/>
          <w:noProof/>
        </w:rPr>
      </w:pPr>
      <w:r w:rsidRPr="00D437FC">
        <w:rPr>
          <w:i/>
          <w:noProof/>
        </w:rPr>
        <w:t>Zmiana</w:t>
      </w:r>
      <w:r w:rsidR="00051931" w:rsidRPr="00D437FC">
        <w:rPr>
          <w:i/>
          <w:noProof/>
        </w:rPr>
        <w:t xml:space="preserve"> w</w:t>
      </w:r>
      <w:r w:rsidR="00051931">
        <w:rPr>
          <w:i/>
          <w:noProof/>
        </w:rPr>
        <w:t> </w:t>
      </w:r>
      <w:r w:rsidR="00051931" w:rsidRPr="00D437FC">
        <w:rPr>
          <w:i/>
          <w:noProof/>
        </w:rPr>
        <w:t>roz</w:t>
      </w:r>
      <w:r w:rsidRPr="00D437FC">
        <w:rPr>
          <w:i/>
          <w:noProof/>
        </w:rPr>
        <w:t xml:space="preserve">porządzeniu (UE) </w:t>
      </w:r>
      <w:r w:rsidRPr="00051931">
        <w:rPr>
          <w:i/>
          <w:noProof/>
        </w:rPr>
        <w:t>nr</w:t>
      </w:r>
      <w:r w:rsidR="00051931" w:rsidRPr="00051931">
        <w:rPr>
          <w:i/>
          <w:noProof/>
        </w:rPr>
        <w:t> </w:t>
      </w:r>
      <w:r w:rsidRPr="00051931">
        <w:rPr>
          <w:i/>
          <w:noProof/>
        </w:rPr>
        <w:t>1</w:t>
      </w:r>
      <w:r w:rsidRPr="00D437FC">
        <w:rPr>
          <w:i/>
          <w:noProof/>
        </w:rPr>
        <w:t>65/2014</w:t>
      </w:r>
    </w:p>
    <w:p w14:paraId="6351CD4A" w14:textId="4454DC6E" w:rsidR="00026146" w:rsidRPr="00D437FC" w:rsidRDefault="00026146" w:rsidP="00E929B7">
      <w:pPr>
        <w:rPr>
          <w:noProof/>
        </w:rPr>
      </w:pPr>
      <w:r w:rsidRPr="00D437FC">
        <w:rPr>
          <w:noProof/>
        </w:rPr>
        <w:t xml:space="preserve">Art. 24 </w:t>
      </w:r>
      <w:r w:rsidRPr="00051931">
        <w:rPr>
          <w:noProof/>
        </w:rPr>
        <w:t>ust.</w:t>
      </w:r>
      <w:r w:rsidR="00051931" w:rsidRPr="00051931">
        <w:rPr>
          <w:noProof/>
        </w:rPr>
        <w:t> </w:t>
      </w:r>
      <w:r w:rsidRPr="00051931">
        <w:rPr>
          <w:noProof/>
        </w:rPr>
        <w:t>5</w:t>
      </w:r>
      <w:r w:rsidRPr="00D437FC">
        <w:rPr>
          <w:noProof/>
        </w:rPr>
        <w:t xml:space="preserve"> rozporządzenia (UE) 165/2014 otrzymuje brzmienie:</w:t>
      </w:r>
    </w:p>
    <w:p w14:paraId="543D8D50" w14:textId="053143CC" w:rsidR="00026146" w:rsidRPr="00D437FC" w:rsidRDefault="00026146" w:rsidP="00026146">
      <w:pPr>
        <w:numPr>
          <w:ilvl w:val="3"/>
          <w:numId w:val="0"/>
        </w:numPr>
        <w:rPr>
          <w:noProof/>
        </w:rPr>
      </w:pPr>
      <w:r w:rsidRPr="00D437FC">
        <w:rPr>
          <w:noProof/>
        </w:rPr>
        <w:t xml:space="preserve"> „5. Właściwe organy państw członkowskich publikują wykazy zatwierdzonych instalatorów</w:t>
      </w:r>
      <w:r w:rsidR="00051931" w:rsidRPr="00D437FC">
        <w:rPr>
          <w:noProof/>
        </w:rPr>
        <w:t xml:space="preserve"> i</w:t>
      </w:r>
      <w:r w:rsidR="00051931">
        <w:rPr>
          <w:noProof/>
        </w:rPr>
        <w:t> </w:t>
      </w:r>
      <w:r w:rsidR="00051931" w:rsidRPr="00D437FC">
        <w:rPr>
          <w:noProof/>
        </w:rPr>
        <w:t>war</w:t>
      </w:r>
      <w:r w:rsidRPr="00D437FC">
        <w:rPr>
          <w:noProof/>
        </w:rPr>
        <w:t>sztatów oraz wydanych im kart na publicznie dostępnej stronie internetowej oraz zapewniają aktualizację tych wykazów. Komisja publikuje wykazy przedmiotowych krajowych stron internetowych na swojej stronie internetowej.”.</w:t>
      </w:r>
    </w:p>
    <w:p w14:paraId="58631273" w14:textId="77777777" w:rsidR="00E9372E" w:rsidRPr="00D437FC" w:rsidRDefault="00E9372E" w:rsidP="00E9372E">
      <w:pPr>
        <w:pStyle w:val="Titrearticle"/>
        <w:rPr>
          <w:noProof/>
        </w:rPr>
      </w:pPr>
      <w:r w:rsidRPr="00D437FC">
        <w:rPr>
          <w:noProof/>
        </w:rPr>
        <w:t>Artykuł 4</w:t>
      </w:r>
    </w:p>
    <w:p w14:paraId="6BC79E31" w14:textId="19D184D1" w:rsidR="005B70EB" w:rsidRPr="00D437FC" w:rsidRDefault="005B70EB" w:rsidP="003B175D">
      <w:pPr>
        <w:jc w:val="center"/>
        <w:rPr>
          <w:iCs/>
          <w:noProof/>
        </w:rPr>
      </w:pPr>
      <w:r w:rsidRPr="00D437FC">
        <w:rPr>
          <w:i/>
          <w:noProof/>
        </w:rPr>
        <w:t>Wejście</w:t>
      </w:r>
      <w:r w:rsidR="00051931" w:rsidRPr="00D437FC">
        <w:rPr>
          <w:i/>
          <w:noProof/>
        </w:rPr>
        <w:t xml:space="preserve"> w</w:t>
      </w:r>
      <w:r w:rsidR="00051931">
        <w:rPr>
          <w:i/>
          <w:noProof/>
        </w:rPr>
        <w:t> </w:t>
      </w:r>
      <w:r w:rsidR="00051931" w:rsidRPr="00D437FC">
        <w:rPr>
          <w:i/>
          <w:noProof/>
        </w:rPr>
        <w:t>życ</w:t>
      </w:r>
      <w:r w:rsidRPr="00D437FC">
        <w:rPr>
          <w:i/>
          <w:noProof/>
        </w:rPr>
        <w:t>ie</w:t>
      </w:r>
    </w:p>
    <w:p w14:paraId="640CA487" w14:textId="2FB3F9BF" w:rsidR="00527043" w:rsidRPr="00D437FC" w:rsidRDefault="00527043" w:rsidP="00474CBD">
      <w:pPr>
        <w:rPr>
          <w:noProof/>
        </w:rPr>
      </w:pPr>
      <w:r w:rsidRPr="00D437FC">
        <w:rPr>
          <w:noProof/>
        </w:rPr>
        <w:t>Niniejsze rozporządzenie wchodzi</w:t>
      </w:r>
      <w:r w:rsidR="00051931" w:rsidRPr="00D437FC">
        <w:rPr>
          <w:noProof/>
        </w:rPr>
        <w:t xml:space="preserve"> w</w:t>
      </w:r>
      <w:r w:rsidR="00051931">
        <w:rPr>
          <w:noProof/>
        </w:rPr>
        <w:t> </w:t>
      </w:r>
      <w:r w:rsidR="00051931" w:rsidRPr="00D437FC">
        <w:rPr>
          <w:noProof/>
        </w:rPr>
        <w:t>życ</w:t>
      </w:r>
      <w:r w:rsidRPr="00D437FC">
        <w:rPr>
          <w:noProof/>
        </w:rPr>
        <w:t>ie dwudziestego dnia po jego opublikowaniu</w:t>
      </w:r>
      <w:r w:rsidR="00051931" w:rsidRPr="00D437FC">
        <w:rPr>
          <w:noProof/>
        </w:rPr>
        <w:t xml:space="preserve"> w</w:t>
      </w:r>
      <w:r w:rsidR="00051931">
        <w:rPr>
          <w:noProof/>
        </w:rPr>
        <w:t> </w:t>
      </w:r>
      <w:r w:rsidR="00051931" w:rsidRPr="00D437FC">
        <w:rPr>
          <w:i/>
          <w:noProof/>
        </w:rPr>
        <w:t>Dzi</w:t>
      </w:r>
      <w:r w:rsidRPr="00D437FC">
        <w:rPr>
          <w:i/>
          <w:noProof/>
        </w:rPr>
        <w:t>enniku Urzędowym Unii Europejskiej</w:t>
      </w:r>
      <w:r w:rsidRPr="00D437FC">
        <w:rPr>
          <w:noProof/>
        </w:rPr>
        <w:t>.</w:t>
      </w:r>
    </w:p>
    <w:p w14:paraId="5410AA14" w14:textId="05A5054E" w:rsidR="00527043" w:rsidRPr="00D437FC" w:rsidRDefault="00527043" w:rsidP="00474CBD">
      <w:pPr>
        <w:pStyle w:val="Applicationdirecte"/>
        <w:rPr>
          <w:noProof/>
        </w:rPr>
      </w:pPr>
      <w:r w:rsidRPr="00D437FC">
        <w:rPr>
          <w:noProof/>
        </w:rPr>
        <w:t>Niniejsze rozporządzenie wiąże</w:t>
      </w:r>
      <w:r w:rsidR="00051931" w:rsidRPr="00D437FC">
        <w:rPr>
          <w:noProof/>
        </w:rPr>
        <w:t xml:space="preserve"> w</w:t>
      </w:r>
      <w:r w:rsidR="00051931">
        <w:rPr>
          <w:noProof/>
        </w:rPr>
        <w:t> </w:t>
      </w:r>
      <w:r w:rsidR="00051931" w:rsidRPr="00D437FC">
        <w:rPr>
          <w:noProof/>
        </w:rPr>
        <w:t>cał</w:t>
      </w:r>
      <w:r w:rsidRPr="00D437FC">
        <w:rPr>
          <w:noProof/>
        </w:rPr>
        <w:t>ości</w:t>
      </w:r>
      <w:r w:rsidR="00051931" w:rsidRPr="00D437FC">
        <w:rPr>
          <w:noProof/>
        </w:rPr>
        <w:t xml:space="preserve"> i</w:t>
      </w:r>
      <w:r w:rsidR="00051931">
        <w:rPr>
          <w:noProof/>
        </w:rPr>
        <w:t> </w:t>
      </w:r>
      <w:r w:rsidR="00051931" w:rsidRPr="00D437FC">
        <w:rPr>
          <w:noProof/>
        </w:rPr>
        <w:t>jes</w:t>
      </w:r>
      <w:r w:rsidRPr="00D437FC">
        <w:rPr>
          <w:noProof/>
        </w:rPr>
        <w:t>t bezpośrednio stosowane we wszystkich państwach członkowskich.</w:t>
      </w:r>
    </w:p>
    <w:p w14:paraId="1E59B5B5" w14:textId="0473438E" w:rsidR="00527043" w:rsidRPr="00D437FC" w:rsidRDefault="001306FE" w:rsidP="00076F63">
      <w:pPr>
        <w:pStyle w:val="Fait"/>
        <w:rPr>
          <w:noProof/>
        </w:rPr>
      </w:pPr>
      <w:r w:rsidRPr="001306FE">
        <w:t xml:space="preserve">Sporządzono w Brukseli dnia </w:t>
      </w:r>
      <w:r w:rsidRPr="001306FE">
        <w:rPr>
          <w:rStyle w:val="Marker"/>
        </w:rPr>
        <w:t>[…]</w:t>
      </w:r>
      <w:r w:rsidRPr="001306FE">
        <w:t xml:space="preserve"> r.</w:t>
      </w:r>
    </w:p>
    <w:p w14:paraId="3CE5E6E1" w14:textId="77777777" w:rsidR="00051931" w:rsidRDefault="00051931" w:rsidP="00076F63">
      <w:pPr>
        <w:pStyle w:val="Institutionquisigne"/>
        <w:rPr>
          <w:noProof/>
        </w:rPr>
      </w:pPr>
      <w:r>
        <w:rPr>
          <w:noProof/>
        </w:rPr>
        <w:t>W imieniu Parlamentu Europejskiego</w:t>
      </w:r>
      <w:r>
        <w:rPr>
          <w:noProof/>
        </w:rPr>
        <w:tab/>
        <w:t>W imieniu Rady</w:t>
      </w:r>
    </w:p>
    <w:p w14:paraId="7D7C1B41" w14:textId="5AD72904" w:rsidR="00527043" w:rsidRPr="00D437FC" w:rsidRDefault="00051931" w:rsidP="00527043">
      <w:pPr>
        <w:pStyle w:val="Personnequisigne"/>
        <w:rPr>
          <w:noProof/>
        </w:rPr>
      </w:pPr>
      <w:r>
        <w:rPr>
          <w:noProof/>
        </w:rPr>
        <w:t>Przewodnicząca</w:t>
      </w:r>
      <w:r>
        <w:rPr>
          <w:noProof/>
        </w:rPr>
        <w:tab/>
        <w:t>Przewodniczący</w:t>
      </w:r>
    </w:p>
    <w:sectPr w:rsidR="00527043" w:rsidRPr="00D437FC" w:rsidSect="001356B6">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53A01" w14:textId="77777777" w:rsidR="002D5F49" w:rsidRDefault="002D5F49" w:rsidP="00527043">
      <w:pPr>
        <w:spacing w:before="0" w:after="0"/>
      </w:pPr>
      <w:r>
        <w:separator/>
      </w:r>
    </w:p>
  </w:endnote>
  <w:endnote w:type="continuationSeparator" w:id="0">
    <w:p w14:paraId="6E3FE64D" w14:textId="77777777" w:rsidR="002D5F49" w:rsidRDefault="002D5F49" w:rsidP="00527043">
      <w:pPr>
        <w:spacing w:before="0" w:after="0"/>
      </w:pPr>
      <w:r>
        <w:continuationSeparator/>
      </w:r>
    </w:p>
  </w:endnote>
  <w:endnote w:type="continuationNotice" w:id="1">
    <w:p w14:paraId="6D25D718" w14:textId="77777777" w:rsidR="002D5F49" w:rsidRDefault="002D5F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F32DE" w14:textId="4A630A56" w:rsidR="00D437FC" w:rsidRPr="001356B6" w:rsidRDefault="001356B6" w:rsidP="001356B6">
    <w:pPr>
      <w:pStyle w:val="Footer"/>
      <w:rPr>
        <w:rFonts w:ascii="Arial" w:hAnsi="Arial" w:cs="Arial"/>
        <w:b/>
        <w:sz w:val="48"/>
      </w:rPr>
    </w:pPr>
    <w:r w:rsidRPr="001356B6">
      <w:rPr>
        <w:rFonts w:ascii="Arial" w:hAnsi="Arial" w:cs="Arial"/>
        <w:b/>
        <w:sz w:val="48"/>
      </w:rPr>
      <w:t>PL</w:t>
    </w:r>
    <w:r w:rsidRPr="001356B6">
      <w:rPr>
        <w:rFonts w:ascii="Arial" w:hAnsi="Arial" w:cs="Arial"/>
        <w:b/>
        <w:sz w:val="48"/>
      </w:rPr>
      <w:tab/>
    </w:r>
    <w:r w:rsidRPr="001356B6">
      <w:rPr>
        <w:rFonts w:ascii="Arial" w:hAnsi="Arial" w:cs="Arial"/>
        <w:b/>
        <w:sz w:val="48"/>
      </w:rPr>
      <w:tab/>
    </w:r>
    <w:r w:rsidRPr="001356B6">
      <w:tab/>
    </w:r>
    <w:r w:rsidRPr="001356B6">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9E1F1" w14:textId="470C8D6A" w:rsidR="001356B6" w:rsidRPr="001356B6" w:rsidRDefault="001356B6" w:rsidP="001356B6">
    <w:pPr>
      <w:pStyle w:val="Footer"/>
      <w:rPr>
        <w:rFonts w:ascii="Arial" w:hAnsi="Arial" w:cs="Arial"/>
        <w:b/>
        <w:sz w:val="48"/>
      </w:rPr>
    </w:pPr>
    <w:r w:rsidRPr="001356B6">
      <w:rPr>
        <w:rFonts w:ascii="Arial" w:hAnsi="Arial" w:cs="Arial"/>
        <w:b/>
        <w:sz w:val="48"/>
      </w:rPr>
      <w:t>PL</w:t>
    </w:r>
    <w:r w:rsidRPr="001356B6">
      <w:rPr>
        <w:rFonts w:ascii="Arial" w:hAnsi="Arial" w:cs="Arial"/>
        <w:b/>
        <w:sz w:val="48"/>
      </w:rPr>
      <w:tab/>
    </w:r>
    <w:r>
      <w:fldChar w:fldCharType="begin"/>
    </w:r>
    <w:r>
      <w:instrText xml:space="preserve"> PAGE  \* MERGEFORMAT </w:instrText>
    </w:r>
    <w:r>
      <w:fldChar w:fldCharType="separate"/>
    </w:r>
    <w:r w:rsidR="00076F63">
      <w:rPr>
        <w:noProof/>
      </w:rPr>
      <w:t>9</w:t>
    </w:r>
    <w:r>
      <w:fldChar w:fldCharType="end"/>
    </w:r>
    <w:r>
      <w:tab/>
    </w:r>
    <w:r w:rsidRPr="001356B6">
      <w:tab/>
    </w:r>
    <w:r w:rsidRPr="001356B6">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B7B33" w14:textId="77777777" w:rsidR="001356B6" w:rsidRPr="001356B6" w:rsidRDefault="001356B6" w:rsidP="00135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522A0" w14:textId="77777777" w:rsidR="002D5F49" w:rsidRDefault="002D5F49" w:rsidP="00527043">
      <w:pPr>
        <w:spacing w:before="0" w:after="0"/>
      </w:pPr>
      <w:r>
        <w:separator/>
      </w:r>
    </w:p>
  </w:footnote>
  <w:footnote w:type="continuationSeparator" w:id="0">
    <w:p w14:paraId="75E1FEC0" w14:textId="77777777" w:rsidR="002D5F49" w:rsidRDefault="002D5F49" w:rsidP="00527043">
      <w:pPr>
        <w:spacing w:before="0" w:after="0"/>
      </w:pPr>
      <w:r>
        <w:continuationSeparator/>
      </w:r>
    </w:p>
  </w:footnote>
  <w:footnote w:type="continuationNotice" w:id="1">
    <w:p w14:paraId="1584021D" w14:textId="77777777" w:rsidR="002D5F49" w:rsidRDefault="002D5F49">
      <w:pPr>
        <w:spacing w:before="0" w:after="0"/>
      </w:pPr>
    </w:p>
  </w:footnote>
  <w:footnote w:id="2">
    <w:p w14:paraId="5B4514A4" w14:textId="77777777" w:rsidR="00066791" w:rsidRPr="00C9570E" w:rsidRDefault="00066791" w:rsidP="00485B87">
      <w:pPr>
        <w:pStyle w:val="FootnoteText"/>
        <w:contextualSpacing/>
      </w:pPr>
      <w:r>
        <w:rPr>
          <w:rStyle w:val="FootnoteReference"/>
        </w:rPr>
        <w:footnoteRef/>
      </w:r>
      <w:r>
        <w:tab/>
        <w:t>COM(2023) 168.</w:t>
      </w:r>
    </w:p>
  </w:footnote>
  <w:footnote w:id="3">
    <w:p w14:paraId="0435C294" w14:textId="056749C1" w:rsidR="00066791" w:rsidRPr="00C9570E" w:rsidRDefault="00066791" w:rsidP="7D1266C8">
      <w:pPr>
        <w:pStyle w:val="FootnoteText"/>
        <w:contextualSpacing/>
        <w:rPr>
          <w:rFonts w:eastAsia="Times New Roman"/>
          <w:color w:val="333333"/>
        </w:rPr>
      </w:pPr>
      <w:r>
        <w:rPr>
          <w:rStyle w:val="FootnoteReference"/>
        </w:rPr>
        <w:footnoteRef/>
      </w:r>
      <w:r>
        <w:tab/>
      </w:r>
      <w:r>
        <w:rPr>
          <w:color w:val="333333"/>
        </w:rPr>
        <w:t>Rozporządzenie Parlamentu Europejskiego</w:t>
      </w:r>
      <w:r w:rsidR="00051931">
        <w:rPr>
          <w:color w:val="333333"/>
        </w:rPr>
        <w:t xml:space="preserve"> i Rad</w:t>
      </w:r>
      <w:r>
        <w:rPr>
          <w:color w:val="333333"/>
        </w:rPr>
        <w:t>y (WE) nr 80/2009</w:t>
      </w:r>
      <w:r w:rsidR="00051931">
        <w:rPr>
          <w:color w:val="333333"/>
        </w:rPr>
        <w:t xml:space="preserve"> z dni</w:t>
      </w:r>
      <w:r>
        <w:rPr>
          <w:color w:val="333333"/>
        </w:rPr>
        <w:t>a 14 stycznia 2009 r.</w:t>
      </w:r>
      <w:r w:rsidR="00051931">
        <w:rPr>
          <w:color w:val="333333"/>
        </w:rPr>
        <w:t xml:space="preserve"> w spr</w:t>
      </w:r>
      <w:r>
        <w:rPr>
          <w:color w:val="333333"/>
        </w:rPr>
        <w:t>awie kodeksu postępowania dla komputerowych systemów rezerwacji</w:t>
      </w:r>
      <w:r w:rsidR="00051931">
        <w:rPr>
          <w:color w:val="333333"/>
        </w:rPr>
        <w:t xml:space="preserve"> i uch</w:t>
      </w:r>
      <w:r>
        <w:rPr>
          <w:color w:val="333333"/>
        </w:rPr>
        <w:t>ylające rozporządzenie Rady (EWG) nr 2299/89</w:t>
      </w:r>
      <w:r>
        <w:t xml:space="preserve"> </w:t>
      </w:r>
      <w:r>
        <w:rPr>
          <w:color w:val="333333"/>
        </w:rPr>
        <w:t>(Dz.U. L 35</w:t>
      </w:r>
      <w:r w:rsidR="00051931">
        <w:rPr>
          <w:color w:val="333333"/>
        </w:rPr>
        <w:t xml:space="preserve"> z 4</w:t>
      </w:r>
      <w:r>
        <w:rPr>
          <w:color w:val="333333"/>
        </w:rPr>
        <w:t>.2.2009, s. 47).</w:t>
      </w:r>
    </w:p>
  </w:footnote>
  <w:footnote w:id="4">
    <w:p w14:paraId="1D7669EE" w14:textId="77777777" w:rsidR="00066791" w:rsidRPr="00C9570E" w:rsidRDefault="00066791" w:rsidP="00915894">
      <w:pPr>
        <w:pStyle w:val="FootnoteText"/>
        <w:contextualSpacing/>
      </w:pPr>
      <w:r>
        <w:rPr>
          <w:rStyle w:val="FootnoteReference"/>
        </w:rPr>
        <w:footnoteRef/>
      </w:r>
      <w:r>
        <w:tab/>
      </w:r>
      <w:hyperlink r:id="rId1" w:history="1">
        <w:r>
          <w:rPr>
            <w:rStyle w:val="Hyperlink"/>
          </w:rPr>
          <w:t>https://ec.europa.eu/transparency/documents-register/detail?ref=SWD(2020)9&amp;lang=pl</w:t>
        </w:r>
      </w:hyperlink>
    </w:p>
  </w:footnote>
  <w:footnote w:id="5">
    <w:p w14:paraId="62CA91D8" w14:textId="096DB856" w:rsidR="00066791" w:rsidRPr="00C9570E" w:rsidRDefault="00066791" w:rsidP="00915894">
      <w:pPr>
        <w:pStyle w:val="FootnoteText"/>
        <w:contextualSpacing/>
        <w:rPr>
          <w:rFonts w:eastAsia="Times New Roman"/>
        </w:rPr>
      </w:pPr>
      <w:r>
        <w:rPr>
          <w:rStyle w:val="FootnoteReference"/>
        </w:rPr>
        <w:footnoteRef/>
      </w:r>
      <w:r>
        <w:tab/>
      </w:r>
      <w:r>
        <w:rPr>
          <w:color w:val="333333"/>
        </w:rPr>
        <w:t>Rozporządzenie Parlamentu Europejskiego</w:t>
      </w:r>
      <w:r w:rsidR="00051931">
        <w:rPr>
          <w:color w:val="333333"/>
        </w:rPr>
        <w:t xml:space="preserve"> i Rad</w:t>
      </w:r>
      <w:r>
        <w:rPr>
          <w:color w:val="333333"/>
        </w:rPr>
        <w:t>y (UE) nr 996/2010</w:t>
      </w:r>
      <w:r w:rsidR="00051931">
        <w:rPr>
          <w:color w:val="333333"/>
        </w:rPr>
        <w:t xml:space="preserve"> z dni</w:t>
      </w:r>
      <w:r>
        <w:rPr>
          <w:color w:val="333333"/>
        </w:rPr>
        <w:t>a 20 października 2010 r.</w:t>
      </w:r>
      <w:r w:rsidR="00051931">
        <w:rPr>
          <w:color w:val="333333"/>
        </w:rPr>
        <w:t xml:space="preserve"> w spr</w:t>
      </w:r>
      <w:r>
        <w:rPr>
          <w:color w:val="333333"/>
        </w:rPr>
        <w:t>awie badania wypadków</w:t>
      </w:r>
      <w:r w:rsidR="00051931">
        <w:rPr>
          <w:color w:val="333333"/>
        </w:rPr>
        <w:t xml:space="preserve"> i inc</w:t>
      </w:r>
      <w:r>
        <w:rPr>
          <w:color w:val="333333"/>
        </w:rPr>
        <w:t>ydentów</w:t>
      </w:r>
      <w:r w:rsidR="00051931">
        <w:rPr>
          <w:color w:val="333333"/>
        </w:rPr>
        <w:t xml:space="preserve"> w lot</w:t>
      </w:r>
      <w:r>
        <w:rPr>
          <w:color w:val="333333"/>
        </w:rPr>
        <w:t>nictwie cywilnym oraz zapobiegania im oraz uchylające dyrektywę 94/56/WE (Dz.U. L 295</w:t>
      </w:r>
      <w:r w:rsidR="00051931">
        <w:rPr>
          <w:color w:val="333333"/>
        </w:rPr>
        <w:t xml:space="preserve"> z 1</w:t>
      </w:r>
      <w:r>
        <w:rPr>
          <w:color w:val="333333"/>
        </w:rPr>
        <w:t>2.11.2010, s. 35).</w:t>
      </w:r>
    </w:p>
    <w:p w14:paraId="104A0920" w14:textId="77777777" w:rsidR="00066791" w:rsidRPr="00C9570E" w:rsidRDefault="00066791" w:rsidP="00915894">
      <w:pPr>
        <w:pStyle w:val="FootnoteText"/>
        <w:contextualSpacing/>
        <w:rPr>
          <w:rFonts w:eastAsia="Roboto"/>
          <w:b/>
          <w:bCs/>
          <w:color w:val="333333"/>
        </w:rPr>
      </w:pPr>
    </w:p>
  </w:footnote>
  <w:footnote w:id="6">
    <w:p w14:paraId="034CDB8F" w14:textId="528BB9B8" w:rsidR="00066791" w:rsidRPr="00C9570E" w:rsidRDefault="00066791" w:rsidP="00915894">
      <w:pPr>
        <w:pStyle w:val="FootnoteText"/>
        <w:contextualSpacing/>
        <w:rPr>
          <w:rFonts w:eastAsia="Times New Roman"/>
          <w:color w:val="333333"/>
        </w:rPr>
      </w:pPr>
      <w:r>
        <w:rPr>
          <w:rStyle w:val="FootnoteReference"/>
        </w:rPr>
        <w:footnoteRef/>
      </w:r>
      <w:r>
        <w:tab/>
      </w:r>
      <w:r>
        <w:rPr>
          <w:color w:val="333333"/>
        </w:rPr>
        <w:t>Rozporządzenie Parlamentu Europejskiego</w:t>
      </w:r>
      <w:r w:rsidR="00051931">
        <w:rPr>
          <w:color w:val="333333"/>
        </w:rPr>
        <w:t xml:space="preserve"> i Rad</w:t>
      </w:r>
      <w:r>
        <w:rPr>
          <w:color w:val="333333"/>
        </w:rPr>
        <w:t xml:space="preserve">y (UE) </w:t>
      </w:r>
      <w:r w:rsidRPr="00051931">
        <w:rPr>
          <w:color w:val="333333"/>
        </w:rPr>
        <w:t>nr</w:t>
      </w:r>
      <w:r w:rsidR="00051931" w:rsidRPr="00051931">
        <w:rPr>
          <w:color w:val="333333"/>
        </w:rPr>
        <w:t> </w:t>
      </w:r>
      <w:r w:rsidRPr="00051931">
        <w:rPr>
          <w:color w:val="333333"/>
        </w:rPr>
        <w:t>1</w:t>
      </w:r>
      <w:r>
        <w:rPr>
          <w:color w:val="333333"/>
        </w:rPr>
        <w:t>65/2014</w:t>
      </w:r>
      <w:r w:rsidR="00051931">
        <w:rPr>
          <w:color w:val="333333"/>
        </w:rPr>
        <w:t xml:space="preserve"> z dni</w:t>
      </w:r>
      <w:r>
        <w:rPr>
          <w:color w:val="333333"/>
        </w:rPr>
        <w:t>a 4 lutego 20</w:t>
      </w:r>
      <w:r w:rsidRPr="00051931">
        <w:rPr>
          <w:color w:val="333333"/>
        </w:rPr>
        <w:t>14</w:t>
      </w:r>
      <w:r w:rsidR="00051931" w:rsidRPr="00051931">
        <w:rPr>
          <w:color w:val="333333"/>
        </w:rPr>
        <w:t> </w:t>
      </w:r>
      <w:r w:rsidRPr="00051931">
        <w:rPr>
          <w:color w:val="333333"/>
        </w:rPr>
        <w:t>r.</w:t>
      </w:r>
      <w:r w:rsidR="00051931">
        <w:rPr>
          <w:color w:val="333333"/>
        </w:rPr>
        <w:t xml:space="preserve"> w spr</w:t>
      </w:r>
      <w:r>
        <w:rPr>
          <w:color w:val="333333"/>
        </w:rPr>
        <w:t>awie tachografów stosowanych</w:t>
      </w:r>
      <w:r w:rsidR="00051931">
        <w:rPr>
          <w:color w:val="333333"/>
        </w:rPr>
        <w:t xml:space="preserve"> w tra</w:t>
      </w:r>
      <w:r>
        <w:rPr>
          <w:color w:val="333333"/>
        </w:rPr>
        <w:t>nsporcie drogowym</w:t>
      </w:r>
      <w:r w:rsidR="00051931">
        <w:rPr>
          <w:color w:val="333333"/>
        </w:rPr>
        <w:t xml:space="preserve"> i uch</w:t>
      </w:r>
      <w:r>
        <w:rPr>
          <w:color w:val="333333"/>
        </w:rPr>
        <w:t xml:space="preserve">ylające rozporządzenie Rady (EWG) </w:t>
      </w:r>
      <w:r w:rsidRPr="00051931">
        <w:rPr>
          <w:color w:val="333333"/>
        </w:rPr>
        <w:t>nr</w:t>
      </w:r>
      <w:r w:rsidR="00051931" w:rsidRPr="00051931">
        <w:rPr>
          <w:color w:val="333333"/>
        </w:rPr>
        <w:t> </w:t>
      </w:r>
      <w:r w:rsidRPr="00051931">
        <w:rPr>
          <w:color w:val="333333"/>
        </w:rPr>
        <w:t>3</w:t>
      </w:r>
      <w:r>
        <w:rPr>
          <w:color w:val="333333"/>
        </w:rPr>
        <w:t>821/85</w:t>
      </w:r>
      <w:r w:rsidR="00051931">
        <w:rPr>
          <w:color w:val="333333"/>
        </w:rPr>
        <w:t xml:space="preserve"> w spr</w:t>
      </w:r>
      <w:r>
        <w:rPr>
          <w:color w:val="333333"/>
        </w:rPr>
        <w:t>awie urządzeń rejestrujących stosowanych</w:t>
      </w:r>
      <w:r w:rsidR="00051931">
        <w:rPr>
          <w:color w:val="333333"/>
        </w:rPr>
        <w:t xml:space="preserve"> w tra</w:t>
      </w:r>
      <w:r>
        <w:rPr>
          <w:color w:val="333333"/>
        </w:rPr>
        <w:t xml:space="preserve">nsporcie drogowym oraz zmieniające rozporządzenie (WE) </w:t>
      </w:r>
      <w:r w:rsidRPr="00051931">
        <w:rPr>
          <w:color w:val="333333"/>
        </w:rPr>
        <w:t>nr</w:t>
      </w:r>
      <w:r w:rsidR="00051931" w:rsidRPr="00051931">
        <w:rPr>
          <w:color w:val="333333"/>
        </w:rPr>
        <w:t> </w:t>
      </w:r>
      <w:r w:rsidRPr="00051931">
        <w:rPr>
          <w:color w:val="333333"/>
        </w:rPr>
        <w:t>5</w:t>
      </w:r>
      <w:r>
        <w:rPr>
          <w:color w:val="333333"/>
        </w:rPr>
        <w:t>61/2006 Parlamentu Europejskiego</w:t>
      </w:r>
      <w:r w:rsidR="00051931">
        <w:rPr>
          <w:color w:val="333333"/>
        </w:rPr>
        <w:t xml:space="preserve"> i Rad</w:t>
      </w:r>
      <w:r>
        <w:rPr>
          <w:color w:val="333333"/>
        </w:rPr>
        <w:t>y</w:t>
      </w:r>
      <w:r w:rsidR="00051931">
        <w:rPr>
          <w:color w:val="333333"/>
        </w:rPr>
        <w:t xml:space="preserve"> w spr</w:t>
      </w:r>
      <w:r>
        <w:rPr>
          <w:color w:val="333333"/>
        </w:rPr>
        <w:t>awie harmonizacji niektórych przepisów socjalnych odnoszących się do transportu drogowego (Dz.U. L 60</w:t>
      </w:r>
      <w:r w:rsidR="00051931">
        <w:rPr>
          <w:color w:val="333333"/>
        </w:rPr>
        <w:t xml:space="preserve"> z 2</w:t>
      </w:r>
      <w:r>
        <w:rPr>
          <w:color w:val="333333"/>
        </w:rPr>
        <w:t>8.2.2014, s. 1).</w:t>
      </w:r>
    </w:p>
  </w:footnote>
  <w:footnote w:id="7">
    <w:p w14:paraId="368FA2A4" w14:textId="3A31977B" w:rsidR="00066791" w:rsidRPr="00A246E6" w:rsidRDefault="00FC476B" w:rsidP="00474CBD">
      <w:pPr>
        <w:pStyle w:val="FootnoteText"/>
        <w:contextualSpacing/>
      </w:pPr>
      <w:r>
        <w:rPr>
          <w:rStyle w:val="FootnoteReference"/>
        </w:rPr>
        <w:footnoteRef/>
      </w:r>
      <w:r>
        <w:tab/>
        <w:t>Dz.U. C  z , s. .</w:t>
      </w:r>
    </w:p>
  </w:footnote>
  <w:footnote w:id="8">
    <w:p w14:paraId="3F5F2F11" w14:textId="3EAE40EA" w:rsidR="00066791" w:rsidRPr="00A246E6" w:rsidRDefault="00066791" w:rsidP="00474CBD">
      <w:pPr>
        <w:pStyle w:val="FootnoteText"/>
        <w:contextualSpacing/>
      </w:pPr>
      <w:r>
        <w:rPr>
          <w:rStyle w:val="FootnoteReference"/>
        </w:rPr>
        <w:footnoteRef/>
      </w:r>
      <w:r>
        <w:tab/>
        <w:t>Dz.U. C  z , s. .</w:t>
      </w:r>
    </w:p>
  </w:footnote>
  <w:footnote w:id="9">
    <w:p w14:paraId="419D8694" w14:textId="08DCDAE1" w:rsidR="00066791" w:rsidRPr="00A246E6" w:rsidRDefault="00066791">
      <w:pPr>
        <w:pStyle w:val="FootnoteText"/>
      </w:pPr>
      <w:r>
        <w:rPr>
          <w:rStyle w:val="FootnoteReference"/>
        </w:rPr>
        <w:footnoteRef/>
      </w:r>
      <w:r>
        <w:tab/>
        <w:t>Rozporządzenie Parlamentu Europejskiego</w:t>
      </w:r>
      <w:r w:rsidR="00051931">
        <w:t xml:space="preserve"> i Rad</w:t>
      </w:r>
      <w:r>
        <w:t xml:space="preserve">y (WE) </w:t>
      </w:r>
      <w:r w:rsidRPr="00051931">
        <w:t>nr</w:t>
      </w:r>
      <w:r w:rsidR="00051931" w:rsidRPr="00051931">
        <w:t> </w:t>
      </w:r>
      <w:r w:rsidRPr="00051931">
        <w:t>8</w:t>
      </w:r>
      <w:r>
        <w:t>0/2009</w:t>
      </w:r>
      <w:r w:rsidR="00051931">
        <w:t xml:space="preserve"> z dni</w:t>
      </w:r>
      <w:r>
        <w:t>a 14 stycznia 20</w:t>
      </w:r>
      <w:r w:rsidRPr="00051931">
        <w:t>09</w:t>
      </w:r>
      <w:r w:rsidR="00051931" w:rsidRPr="00051931">
        <w:t> </w:t>
      </w:r>
      <w:r w:rsidRPr="00051931">
        <w:t>r.</w:t>
      </w:r>
      <w:r w:rsidR="00051931">
        <w:t xml:space="preserve"> w spr</w:t>
      </w:r>
      <w:r>
        <w:t>awie kodeksu postępowania dla komputerowych systemów rezerwacji</w:t>
      </w:r>
      <w:r w:rsidR="00051931">
        <w:t xml:space="preserve"> i uch</w:t>
      </w:r>
      <w:r>
        <w:t xml:space="preserve">ylające rozporządzenie Rady (EWG) </w:t>
      </w:r>
      <w:r w:rsidRPr="00051931">
        <w:t>nr</w:t>
      </w:r>
      <w:r w:rsidR="00051931" w:rsidRPr="00051931">
        <w:t> </w:t>
      </w:r>
      <w:r w:rsidRPr="00051931">
        <w:t>2</w:t>
      </w:r>
      <w:r>
        <w:t>299/89 (Dz.U. L 35</w:t>
      </w:r>
      <w:r w:rsidR="00051931">
        <w:t xml:space="preserve"> z 4</w:t>
      </w:r>
      <w:r>
        <w:t>.2.2009, s. 47).</w:t>
      </w:r>
    </w:p>
  </w:footnote>
  <w:footnote w:id="10">
    <w:p w14:paraId="5340A8B7" w14:textId="384658F3" w:rsidR="00066791" w:rsidRPr="00C9570E" w:rsidRDefault="00066791" w:rsidP="007E1EF8">
      <w:pPr>
        <w:pStyle w:val="FootnoteText"/>
        <w:contextualSpacing/>
        <w:rPr>
          <w:rFonts w:eastAsia="Roboto"/>
          <w:color w:val="333333"/>
        </w:rPr>
      </w:pPr>
      <w:r>
        <w:rPr>
          <w:rStyle w:val="FootnoteReference"/>
        </w:rPr>
        <w:footnoteRef/>
      </w:r>
      <w:r>
        <w:tab/>
      </w:r>
      <w:r>
        <w:rPr>
          <w:color w:val="333333"/>
        </w:rPr>
        <w:t>Rozporządzenie Parlamentu Europejskiego</w:t>
      </w:r>
      <w:r w:rsidR="00051931">
        <w:rPr>
          <w:color w:val="333333"/>
        </w:rPr>
        <w:t xml:space="preserve"> i Rad</w:t>
      </w:r>
      <w:r>
        <w:rPr>
          <w:color w:val="333333"/>
        </w:rPr>
        <w:t>y (UE) nr 996/2010</w:t>
      </w:r>
      <w:r w:rsidR="00051931">
        <w:rPr>
          <w:color w:val="333333"/>
        </w:rPr>
        <w:t xml:space="preserve"> z dni</w:t>
      </w:r>
      <w:r>
        <w:rPr>
          <w:color w:val="333333"/>
        </w:rPr>
        <w:t>a 20 października 2010 r.</w:t>
      </w:r>
      <w:r w:rsidR="00051931">
        <w:rPr>
          <w:color w:val="333333"/>
        </w:rPr>
        <w:t xml:space="preserve"> w spr</w:t>
      </w:r>
      <w:r>
        <w:rPr>
          <w:color w:val="333333"/>
        </w:rPr>
        <w:t>awie badania wypadków</w:t>
      </w:r>
      <w:r w:rsidR="00051931">
        <w:rPr>
          <w:color w:val="333333"/>
        </w:rPr>
        <w:t xml:space="preserve"> i inc</w:t>
      </w:r>
      <w:r>
        <w:rPr>
          <w:color w:val="333333"/>
        </w:rPr>
        <w:t>ydentów</w:t>
      </w:r>
      <w:r w:rsidR="00051931">
        <w:rPr>
          <w:color w:val="333333"/>
        </w:rPr>
        <w:t xml:space="preserve"> w lot</w:t>
      </w:r>
      <w:r>
        <w:rPr>
          <w:color w:val="333333"/>
        </w:rPr>
        <w:t>nictwie cywilnym oraz zapobiegania im oraz uchylające dyrektywę 94/56/WE (Dz.U. L 295</w:t>
      </w:r>
      <w:r w:rsidR="00051931">
        <w:rPr>
          <w:color w:val="333333"/>
        </w:rPr>
        <w:t xml:space="preserve"> z 1</w:t>
      </w:r>
      <w:r>
        <w:rPr>
          <w:color w:val="333333"/>
        </w:rPr>
        <w:t>2.11.2010, s. 35).</w:t>
      </w:r>
    </w:p>
  </w:footnote>
  <w:footnote w:id="11">
    <w:p w14:paraId="72956339" w14:textId="7CE8D9E8" w:rsidR="00066791" w:rsidRPr="00C9570E" w:rsidRDefault="00066791" w:rsidP="007E1EF8">
      <w:pPr>
        <w:pStyle w:val="FootnoteText"/>
        <w:contextualSpacing/>
        <w:rPr>
          <w:rFonts w:eastAsia="Roboto"/>
          <w:color w:val="333333"/>
        </w:rPr>
      </w:pPr>
      <w:r>
        <w:rPr>
          <w:rStyle w:val="FootnoteReference"/>
        </w:rPr>
        <w:footnoteRef/>
      </w:r>
      <w:r>
        <w:tab/>
      </w:r>
      <w:r>
        <w:rPr>
          <w:color w:val="333333"/>
        </w:rPr>
        <w:t>Rozporządzenie Parlamentu Europejskiego</w:t>
      </w:r>
      <w:r w:rsidR="00051931">
        <w:rPr>
          <w:color w:val="333333"/>
        </w:rPr>
        <w:t xml:space="preserve"> i Rad</w:t>
      </w:r>
      <w:r>
        <w:rPr>
          <w:color w:val="333333"/>
        </w:rPr>
        <w:t xml:space="preserve">y (UE) </w:t>
      </w:r>
      <w:r w:rsidRPr="00051931">
        <w:rPr>
          <w:color w:val="333333"/>
        </w:rPr>
        <w:t>nr</w:t>
      </w:r>
      <w:r w:rsidR="00051931" w:rsidRPr="00051931">
        <w:rPr>
          <w:color w:val="333333"/>
        </w:rPr>
        <w:t> </w:t>
      </w:r>
      <w:r w:rsidRPr="00051931">
        <w:rPr>
          <w:color w:val="333333"/>
        </w:rPr>
        <w:t>1</w:t>
      </w:r>
      <w:r>
        <w:rPr>
          <w:color w:val="333333"/>
        </w:rPr>
        <w:t>65/2014</w:t>
      </w:r>
      <w:r w:rsidR="00051931">
        <w:rPr>
          <w:color w:val="333333"/>
        </w:rPr>
        <w:t xml:space="preserve"> z dni</w:t>
      </w:r>
      <w:r>
        <w:rPr>
          <w:color w:val="333333"/>
        </w:rPr>
        <w:t>a 4 lutego 20</w:t>
      </w:r>
      <w:r w:rsidRPr="00051931">
        <w:rPr>
          <w:color w:val="333333"/>
        </w:rPr>
        <w:t>14</w:t>
      </w:r>
      <w:r w:rsidR="00051931" w:rsidRPr="00051931">
        <w:rPr>
          <w:color w:val="333333"/>
        </w:rPr>
        <w:t> </w:t>
      </w:r>
      <w:r w:rsidRPr="00051931">
        <w:rPr>
          <w:color w:val="333333"/>
        </w:rPr>
        <w:t>r.</w:t>
      </w:r>
      <w:r w:rsidR="00051931">
        <w:rPr>
          <w:color w:val="333333"/>
        </w:rPr>
        <w:t xml:space="preserve"> w spr</w:t>
      </w:r>
      <w:r>
        <w:rPr>
          <w:color w:val="333333"/>
        </w:rPr>
        <w:t>awie tachografów stosowanych</w:t>
      </w:r>
      <w:r w:rsidR="00051931">
        <w:rPr>
          <w:color w:val="333333"/>
        </w:rPr>
        <w:t xml:space="preserve"> w tra</w:t>
      </w:r>
      <w:r>
        <w:rPr>
          <w:color w:val="333333"/>
        </w:rPr>
        <w:t>nsporcie drogowym</w:t>
      </w:r>
      <w:r w:rsidR="00051931">
        <w:rPr>
          <w:color w:val="333333"/>
        </w:rPr>
        <w:t xml:space="preserve"> i uch</w:t>
      </w:r>
      <w:r>
        <w:rPr>
          <w:color w:val="333333"/>
        </w:rPr>
        <w:t xml:space="preserve">ylające rozporządzenie Rady (EWG) </w:t>
      </w:r>
      <w:r w:rsidRPr="00051931">
        <w:rPr>
          <w:color w:val="333333"/>
        </w:rPr>
        <w:t>nr</w:t>
      </w:r>
      <w:r w:rsidR="00051931" w:rsidRPr="00051931">
        <w:rPr>
          <w:color w:val="333333"/>
        </w:rPr>
        <w:t> </w:t>
      </w:r>
      <w:r w:rsidRPr="00051931">
        <w:rPr>
          <w:color w:val="333333"/>
        </w:rPr>
        <w:t>3</w:t>
      </w:r>
      <w:r>
        <w:rPr>
          <w:color w:val="333333"/>
        </w:rPr>
        <w:t>821/85</w:t>
      </w:r>
      <w:r w:rsidR="00051931">
        <w:rPr>
          <w:color w:val="333333"/>
        </w:rPr>
        <w:t xml:space="preserve"> w spr</w:t>
      </w:r>
      <w:r>
        <w:rPr>
          <w:color w:val="333333"/>
        </w:rPr>
        <w:t>awie urządzeń rejestrujących stosowanych</w:t>
      </w:r>
      <w:r w:rsidR="00051931">
        <w:rPr>
          <w:color w:val="333333"/>
        </w:rPr>
        <w:t xml:space="preserve"> w tra</w:t>
      </w:r>
      <w:r>
        <w:rPr>
          <w:color w:val="333333"/>
        </w:rPr>
        <w:t xml:space="preserve">nsporcie drogowym oraz zmieniające rozporządzenie (WE) </w:t>
      </w:r>
      <w:r w:rsidRPr="00051931">
        <w:rPr>
          <w:color w:val="333333"/>
        </w:rPr>
        <w:t>nr</w:t>
      </w:r>
      <w:r w:rsidR="00051931" w:rsidRPr="00051931">
        <w:rPr>
          <w:color w:val="333333"/>
        </w:rPr>
        <w:t> </w:t>
      </w:r>
      <w:r w:rsidRPr="00051931">
        <w:rPr>
          <w:color w:val="333333"/>
        </w:rPr>
        <w:t>5</w:t>
      </w:r>
      <w:r>
        <w:rPr>
          <w:color w:val="333333"/>
        </w:rPr>
        <w:t>61/2006 Parlamentu Europejskiego</w:t>
      </w:r>
      <w:r w:rsidR="00051931">
        <w:rPr>
          <w:color w:val="333333"/>
        </w:rPr>
        <w:t xml:space="preserve"> i Rad</w:t>
      </w:r>
      <w:r>
        <w:rPr>
          <w:color w:val="333333"/>
        </w:rPr>
        <w:t>y</w:t>
      </w:r>
      <w:r w:rsidR="00051931">
        <w:rPr>
          <w:color w:val="333333"/>
        </w:rPr>
        <w:t xml:space="preserve"> w spr</w:t>
      </w:r>
      <w:r>
        <w:rPr>
          <w:color w:val="333333"/>
        </w:rPr>
        <w:t>awie harmonizacji niektórych przepisów socjalnych odnoszących się do transportu drogowego (Dz.U. L 60</w:t>
      </w:r>
      <w:r w:rsidR="00051931">
        <w:rPr>
          <w:color w:val="333333"/>
        </w:rPr>
        <w:t xml:space="preserve"> z 2</w:t>
      </w:r>
      <w:r>
        <w:rPr>
          <w:color w:val="333333"/>
        </w:rPr>
        <w:t>8.2.2014, s. 1).</w:t>
      </w:r>
    </w:p>
  </w:footnote>
  <w:footnote w:id="12">
    <w:p w14:paraId="680C6D60" w14:textId="77777777" w:rsidR="00066791" w:rsidRPr="00FB6B2B" w:rsidRDefault="00066791" w:rsidP="00A53BEE">
      <w:pPr>
        <w:pStyle w:val="FootnoteText"/>
      </w:pPr>
      <w:r>
        <w:rPr>
          <w:rStyle w:val="FootnoteReference"/>
        </w:rPr>
        <w:footnoteRef/>
      </w:r>
      <w:r>
        <w:tab/>
        <w:t>COM(2023) 168.</w:t>
      </w:r>
    </w:p>
  </w:footnote>
  <w:footnote w:id="13">
    <w:p w14:paraId="3FCCFCD4" w14:textId="77777777" w:rsidR="00066791" w:rsidRPr="00C9570E" w:rsidRDefault="00066791">
      <w:pPr>
        <w:pStyle w:val="FootnoteText"/>
        <w:contextualSpacing/>
      </w:pPr>
      <w:r>
        <w:rPr>
          <w:rStyle w:val="FootnoteReference"/>
        </w:rPr>
        <w:footnoteRef/>
      </w:r>
      <w:r>
        <w:tab/>
      </w:r>
      <w:hyperlink r:id="rId2" w:history="1">
        <w:r>
          <w:rPr>
            <w:rStyle w:val="Hyperlink"/>
          </w:rPr>
          <w:t>https://ec.europa.eu/transparency/documents-register/detail?ref=SWD(2020)9&amp;lang=pl</w:t>
        </w:r>
      </w:hyperlink>
    </w:p>
  </w:footnote>
  <w:footnote w:id="14">
    <w:p w14:paraId="360C1BA5" w14:textId="39FE177B" w:rsidR="00066791" w:rsidRPr="00C9570E" w:rsidRDefault="00066791" w:rsidP="0028503D">
      <w:pPr>
        <w:pStyle w:val="FootnoteText"/>
        <w:contextualSpacing/>
        <w:rPr>
          <w:rFonts w:eastAsia="Times New Roman"/>
        </w:rPr>
      </w:pPr>
      <w:r>
        <w:rPr>
          <w:rStyle w:val="FootnoteReference"/>
        </w:rPr>
        <w:footnoteRef/>
      </w:r>
      <w:r>
        <w:tab/>
      </w:r>
      <w:r>
        <w:rPr>
          <w:color w:val="333333"/>
        </w:rPr>
        <w:t>Rozporządzenie Parlamentu Europejskiego</w:t>
      </w:r>
      <w:r w:rsidR="00051931">
        <w:rPr>
          <w:color w:val="333333"/>
        </w:rPr>
        <w:t xml:space="preserve"> i Rad</w:t>
      </w:r>
      <w:r>
        <w:rPr>
          <w:color w:val="333333"/>
        </w:rPr>
        <w:t>y (UE) 2018/1139</w:t>
      </w:r>
      <w:r w:rsidR="00051931">
        <w:rPr>
          <w:color w:val="333333"/>
        </w:rPr>
        <w:t xml:space="preserve"> z dni</w:t>
      </w:r>
      <w:r>
        <w:rPr>
          <w:color w:val="333333"/>
        </w:rPr>
        <w:t>a 4 lipca 20</w:t>
      </w:r>
      <w:r w:rsidRPr="00051931">
        <w:rPr>
          <w:color w:val="333333"/>
        </w:rPr>
        <w:t>18</w:t>
      </w:r>
      <w:r w:rsidR="00051931" w:rsidRPr="00051931">
        <w:rPr>
          <w:color w:val="333333"/>
        </w:rPr>
        <w:t> </w:t>
      </w:r>
      <w:r w:rsidRPr="00051931">
        <w:rPr>
          <w:color w:val="333333"/>
        </w:rPr>
        <w:t>r.</w:t>
      </w:r>
      <w:r w:rsidR="00051931">
        <w:rPr>
          <w:color w:val="333333"/>
        </w:rPr>
        <w:t xml:space="preserve"> w spr</w:t>
      </w:r>
      <w:r>
        <w:rPr>
          <w:color w:val="333333"/>
        </w:rPr>
        <w:t>awie wspólnych zasad</w:t>
      </w:r>
      <w:r w:rsidR="00051931">
        <w:rPr>
          <w:color w:val="333333"/>
        </w:rPr>
        <w:t xml:space="preserve"> w dzi</w:t>
      </w:r>
      <w:r>
        <w:rPr>
          <w:color w:val="333333"/>
        </w:rPr>
        <w:t>edzinie lotnictwa cywilnego</w:t>
      </w:r>
      <w:r w:rsidR="00051931">
        <w:rPr>
          <w:color w:val="333333"/>
        </w:rPr>
        <w:t xml:space="preserve"> i utw</w:t>
      </w:r>
      <w:r>
        <w:rPr>
          <w:color w:val="333333"/>
        </w:rPr>
        <w:t>orzenia Agencji Unii Europejskiej ds. Bezpieczeństwa Lotniczego oraz zmieniające rozporządzenia Parlamentu Europejskiego</w:t>
      </w:r>
      <w:r w:rsidR="00051931">
        <w:rPr>
          <w:color w:val="333333"/>
        </w:rPr>
        <w:t xml:space="preserve"> i Rad</w:t>
      </w:r>
      <w:r>
        <w:rPr>
          <w:color w:val="333333"/>
        </w:rPr>
        <w:t xml:space="preserve">y (WE) </w:t>
      </w:r>
      <w:r w:rsidRPr="00051931">
        <w:rPr>
          <w:color w:val="333333"/>
        </w:rPr>
        <w:t>nr</w:t>
      </w:r>
      <w:r w:rsidR="00051931" w:rsidRPr="00051931">
        <w:rPr>
          <w:color w:val="333333"/>
        </w:rPr>
        <w:t> </w:t>
      </w:r>
      <w:r w:rsidRPr="00051931">
        <w:rPr>
          <w:color w:val="333333"/>
        </w:rPr>
        <w:t>2</w:t>
      </w:r>
      <w:r>
        <w:rPr>
          <w:color w:val="333333"/>
        </w:rPr>
        <w:t xml:space="preserve">111/2005, (WE) </w:t>
      </w:r>
      <w:r w:rsidRPr="00051931">
        <w:rPr>
          <w:color w:val="333333"/>
        </w:rPr>
        <w:t>nr</w:t>
      </w:r>
      <w:r w:rsidR="00051931" w:rsidRPr="00051931">
        <w:rPr>
          <w:color w:val="333333"/>
        </w:rPr>
        <w:t> </w:t>
      </w:r>
      <w:r w:rsidRPr="00051931">
        <w:rPr>
          <w:color w:val="333333"/>
        </w:rPr>
        <w:t>1</w:t>
      </w:r>
      <w:r>
        <w:rPr>
          <w:color w:val="333333"/>
        </w:rPr>
        <w:t xml:space="preserve">008/2008, (UE) </w:t>
      </w:r>
      <w:r w:rsidRPr="00051931">
        <w:rPr>
          <w:color w:val="333333"/>
        </w:rPr>
        <w:t>nr</w:t>
      </w:r>
      <w:r w:rsidR="00051931" w:rsidRPr="00051931">
        <w:rPr>
          <w:color w:val="333333"/>
        </w:rPr>
        <w:t> </w:t>
      </w:r>
      <w:r w:rsidRPr="00051931">
        <w:rPr>
          <w:color w:val="333333"/>
        </w:rPr>
        <w:t>9</w:t>
      </w:r>
      <w:r>
        <w:rPr>
          <w:color w:val="333333"/>
        </w:rPr>
        <w:t xml:space="preserve">96/2010, (UE) </w:t>
      </w:r>
      <w:r w:rsidRPr="00051931">
        <w:rPr>
          <w:color w:val="333333"/>
        </w:rPr>
        <w:t>nr</w:t>
      </w:r>
      <w:r w:rsidR="00051931" w:rsidRPr="00051931">
        <w:rPr>
          <w:color w:val="333333"/>
        </w:rPr>
        <w:t> </w:t>
      </w:r>
      <w:r w:rsidRPr="00051931">
        <w:rPr>
          <w:color w:val="333333"/>
        </w:rPr>
        <w:t>3</w:t>
      </w:r>
      <w:r>
        <w:rPr>
          <w:color w:val="333333"/>
        </w:rPr>
        <w:t>76/2014</w:t>
      </w:r>
      <w:r w:rsidR="00051931">
        <w:rPr>
          <w:color w:val="333333"/>
        </w:rPr>
        <w:t xml:space="preserve"> i dyr</w:t>
      </w:r>
      <w:r>
        <w:rPr>
          <w:color w:val="333333"/>
        </w:rPr>
        <w:t>ektywy Parlamentu Europejskiego</w:t>
      </w:r>
      <w:r w:rsidR="00051931">
        <w:rPr>
          <w:color w:val="333333"/>
        </w:rPr>
        <w:t xml:space="preserve"> i Rad</w:t>
      </w:r>
      <w:r>
        <w:rPr>
          <w:color w:val="333333"/>
        </w:rPr>
        <w:t>y 2014/30/UE</w:t>
      </w:r>
      <w:r w:rsidR="00051931">
        <w:rPr>
          <w:color w:val="333333"/>
        </w:rPr>
        <w:t xml:space="preserve"> i 2</w:t>
      </w:r>
      <w:r>
        <w:rPr>
          <w:color w:val="333333"/>
        </w:rPr>
        <w:t>014/53/UE,</w:t>
      </w:r>
      <w:r w:rsidR="00051931">
        <w:rPr>
          <w:color w:val="333333"/>
        </w:rPr>
        <w:t xml:space="preserve"> a tak</w:t>
      </w:r>
      <w:r>
        <w:rPr>
          <w:color w:val="333333"/>
        </w:rPr>
        <w:t>że uchylające rozporządzenia Parlamentu Europejskiego</w:t>
      </w:r>
      <w:r w:rsidR="00051931">
        <w:rPr>
          <w:color w:val="333333"/>
        </w:rPr>
        <w:t xml:space="preserve"> i Rad</w:t>
      </w:r>
      <w:r>
        <w:rPr>
          <w:color w:val="333333"/>
        </w:rPr>
        <w:t xml:space="preserve">y (WE) </w:t>
      </w:r>
      <w:r w:rsidRPr="00051931">
        <w:rPr>
          <w:color w:val="333333"/>
        </w:rPr>
        <w:t>nr</w:t>
      </w:r>
      <w:r w:rsidR="00051931" w:rsidRPr="00051931">
        <w:rPr>
          <w:color w:val="333333"/>
        </w:rPr>
        <w:t> </w:t>
      </w:r>
      <w:r w:rsidRPr="00051931">
        <w:rPr>
          <w:color w:val="333333"/>
        </w:rPr>
        <w:t>5</w:t>
      </w:r>
      <w:r>
        <w:rPr>
          <w:color w:val="333333"/>
        </w:rPr>
        <w:t xml:space="preserve">52/2004 i (WE) </w:t>
      </w:r>
      <w:r w:rsidRPr="00051931">
        <w:rPr>
          <w:color w:val="333333"/>
        </w:rPr>
        <w:t>nr</w:t>
      </w:r>
      <w:r w:rsidR="00051931" w:rsidRPr="00051931">
        <w:rPr>
          <w:color w:val="333333"/>
        </w:rPr>
        <w:t> </w:t>
      </w:r>
      <w:r w:rsidRPr="00051931">
        <w:rPr>
          <w:color w:val="333333"/>
        </w:rPr>
        <w:t>2</w:t>
      </w:r>
      <w:r>
        <w:rPr>
          <w:color w:val="333333"/>
        </w:rPr>
        <w:t>16/2008</w:t>
      </w:r>
      <w:r w:rsidR="00051931">
        <w:rPr>
          <w:color w:val="333333"/>
        </w:rPr>
        <w:t xml:space="preserve"> i roz</w:t>
      </w:r>
      <w:r>
        <w:rPr>
          <w:color w:val="333333"/>
        </w:rPr>
        <w:t xml:space="preserve">porządzenie Rady (EWG) </w:t>
      </w:r>
      <w:r w:rsidRPr="00051931">
        <w:rPr>
          <w:color w:val="333333"/>
        </w:rPr>
        <w:t>nr</w:t>
      </w:r>
      <w:r w:rsidR="00051931" w:rsidRPr="00051931">
        <w:rPr>
          <w:color w:val="333333"/>
        </w:rPr>
        <w:t> </w:t>
      </w:r>
      <w:r w:rsidRPr="00051931">
        <w:rPr>
          <w:color w:val="333333"/>
        </w:rPr>
        <w:t>3</w:t>
      </w:r>
      <w:r>
        <w:rPr>
          <w:color w:val="333333"/>
        </w:rPr>
        <w:t>922/91 (Dz.U. L 212</w:t>
      </w:r>
      <w:r w:rsidR="00051931">
        <w:rPr>
          <w:color w:val="333333"/>
        </w:rPr>
        <w:t xml:space="preserve"> z 2</w:t>
      </w:r>
      <w:r>
        <w:rPr>
          <w:color w:val="333333"/>
        </w:rPr>
        <w:t>2.8.2018,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C425E3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C1C994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614030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42CD0E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1"/>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0-17 09:53:3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0AB7F44-1F9C-492C-BD87-611D0962C974"/>
    <w:docVar w:name="LW_COVERPAGE_TYPE" w:val="1"/>
    <w:docVar w:name="LW_CROSSREFERENCE" w:val="&lt;UNUSED&gt;"/>
    <w:docVar w:name="LW_DocType" w:val="COM"/>
    <w:docVar w:name="LW_EMISSION" w:val="17.10.2023"/>
    <w:docVar w:name="LW_EMISSION_ISODATE" w:val="2023-10-17"/>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SERT_EXP.MOTIFS.NEW" w:val="1"/>
    <w:docVar w:name="LW_INTERETEEE.CP" w:val="(Tekst mają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361"/>
    <w:docVar w:name="LW_REF.II.NEW.CP_YEAR" w:val="2023"/>
    <w:docVar w:name="LW_REF.INST.NEW" w:val="COM"/>
    <w:docVar w:name="LW_REF.INST.NEW_ADOPTED" w:val="final"/>
    <w:docVar w:name="LW_REF.INST.NEW_TEXT" w:val="(2023) 59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ące rozporządzenia (WE) nr 80/2009, (UE) nr 996/2010 i (UE) nr 165/2014 w odniesieniu do niektórych wymogów sprawozdawczych w dziedzinie transportu drogowego i lotnictwa"/>
    <w:docVar w:name="LW_TYPE.DOC.CP" w:val="ROZPORZĄDZENIE PARLAMENTU EUROPEJSKIEGO I RADY"/>
    <w:docVar w:name="LwApiVersions" w:val="LW4CoDe 1.23.2.0; LW 8.0, Build 20211117"/>
  </w:docVars>
  <w:rsids>
    <w:rsidRoot w:val="00527043"/>
    <w:rsid w:val="0001082C"/>
    <w:rsid w:val="00013EDF"/>
    <w:rsid w:val="00026146"/>
    <w:rsid w:val="00030296"/>
    <w:rsid w:val="00031746"/>
    <w:rsid w:val="00031B0A"/>
    <w:rsid w:val="0003357A"/>
    <w:rsid w:val="00046364"/>
    <w:rsid w:val="00051931"/>
    <w:rsid w:val="00054525"/>
    <w:rsid w:val="000579F8"/>
    <w:rsid w:val="00057F13"/>
    <w:rsid w:val="00060ADC"/>
    <w:rsid w:val="00061603"/>
    <w:rsid w:val="00066791"/>
    <w:rsid w:val="00076740"/>
    <w:rsid w:val="00076F63"/>
    <w:rsid w:val="000778DF"/>
    <w:rsid w:val="000829D0"/>
    <w:rsid w:val="000872A7"/>
    <w:rsid w:val="000903D2"/>
    <w:rsid w:val="000A0FA4"/>
    <w:rsid w:val="000A184A"/>
    <w:rsid w:val="000A23BD"/>
    <w:rsid w:val="000A627E"/>
    <w:rsid w:val="000A6FF2"/>
    <w:rsid w:val="000B423D"/>
    <w:rsid w:val="000C185A"/>
    <w:rsid w:val="000C32E9"/>
    <w:rsid w:val="000C5BBD"/>
    <w:rsid w:val="000E1C58"/>
    <w:rsid w:val="000E1FB3"/>
    <w:rsid w:val="000E2E51"/>
    <w:rsid w:val="000E5479"/>
    <w:rsid w:val="000E5F79"/>
    <w:rsid w:val="000E7131"/>
    <w:rsid w:val="000F41F3"/>
    <w:rsid w:val="000F4529"/>
    <w:rsid w:val="000F75EE"/>
    <w:rsid w:val="00104773"/>
    <w:rsid w:val="001065F5"/>
    <w:rsid w:val="00106D1E"/>
    <w:rsid w:val="00107945"/>
    <w:rsid w:val="00112152"/>
    <w:rsid w:val="001155A7"/>
    <w:rsid w:val="0012077C"/>
    <w:rsid w:val="001238EF"/>
    <w:rsid w:val="00127785"/>
    <w:rsid w:val="001306FE"/>
    <w:rsid w:val="00133ECC"/>
    <w:rsid w:val="00133FBC"/>
    <w:rsid w:val="00134993"/>
    <w:rsid w:val="00134C80"/>
    <w:rsid w:val="001356B6"/>
    <w:rsid w:val="00135AFE"/>
    <w:rsid w:val="00136B93"/>
    <w:rsid w:val="001475AB"/>
    <w:rsid w:val="0015119B"/>
    <w:rsid w:val="00152FA6"/>
    <w:rsid w:val="001553C9"/>
    <w:rsid w:val="001622AE"/>
    <w:rsid w:val="0016577E"/>
    <w:rsid w:val="00172358"/>
    <w:rsid w:val="00176291"/>
    <w:rsid w:val="00176BCE"/>
    <w:rsid w:val="00186E74"/>
    <w:rsid w:val="001872A5"/>
    <w:rsid w:val="00196444"/>
    <w:rsid w:val="00197613"/>
    <w:rsid w:val="00197815"/>
    <w:rsid w:val="001A2748"/>
    <w:rsid w:val="001A337D"/>
    <w:rsid w:val="001B7A22"/>
    <w:rsid w:val="001C6CD6"/>
    <w:rsid w:val="001D0589"/>
    <w:rsid w:val="001D45E9"/>
    <w:rsid w:val="001D6414"/>
    <w:rsid w:val="001E6A20"/>
    <w:rsid w:val="001F1ABC"/>
    <w:rsid w:val="001F460A"/>
    <w:rsid w:val="001FC86E"/>
    <w:rsid w:val="00204AFB"/>
    <w:rsid w:val="00204CFA"/>
    <w:rsid w:val="00207C28"/>
    <w:rsid w:val="00220FFD"/>
    <w:rsid w:val="00221351"/>
    <w:rsid w:val="00222276"/>
    <w:rsid w:val="00233DC7"/>
    <w:rsid w:val="002441A6"/>
    <w:rsid w:val="00247779"/>
    <w:rsid w:val="0027270E"/>
    <w:rsid w:val="00273E74"/>
    <w:rsid w:val="002804BA"/>
    <w:rsid w:val="00282C3A"/>
    <w:rsid w:val="00284425"/>
    <w:rsid w:val="0028503D"/>
    <w:rsid w:val="0028590B"/>
    <w:rsid w:val="00285BEE"/>
    <w:rsid w:val="00294A2B"/>
    <w:rsid w:val="0029533F"/>
    <w:rsid w:val="002A65AE"/>
    <w:rsid w:val="002A6817"/>
    <w:rsid w:val="002A6A3E"/>
    <w:rsid w:val="002B30AF"/>
    <w:rsid w:val="002B4253"/>
    <w:rsid w:val="002B788A"/>
    <w:rsid w:val="002C289D"/>
    <w:rsid w:val="002C62DD"/>
    <w:rsid w:val="002D5143"/>
    <w:rsid w:val="002D5F49"/>
    <w:rsid w:val="002E5A67"/>
    <w:rsid w:val="0030250C"/>
    <w:rsid w:val="00303B6D"/>
    <w:rsid w:val="0030456F"/>
    <w:rsid w:val="00307844"/>
    <w:rsid w:val="00307BE7"/>
    <w:rsid w:val="00310BDF"/>
    <w:rsid w:val="003169BF"/>
    <w:rsid w:val="0032280E"/>
    <w:rsid w:val="00324512"/>
    <w:rsid w:val="003250DC"/>
    <w:rsid w:val="00327A5D"/>
    <w:rsid w:val="0033344A"/>
    <w:rsid w:val="00334D6E"/>
    <w:rsid w:val="00345CA3"/>
    <w:rsid w:val="00351F4B"/>
    <w:rsid w:val="00360414"/>
    <w:rsid w:val="003619A0"/>
    <w:rsid w:val="0036234D"/>
    <w:rsid w:val="00362BBF"/>
    <w:rsid w:val="0036553F"/>
    <w:rsid w:val="00365DF3"/>
    <w:rsid w:val="003730B1"/>
    <w:rsid w:val="003770E7"/>
    <w:rsid w:val="00377A4B"/>
    <w:rsid w:val="00383459"/>
    <w:rsid w:val="00385EC1"/>
    <w:rsid w:val="0039479F"/>
    <w:rsid w:val="003958FA"/>
    <w:rsid w:val="003A1D27"/>
    <w:rsid w:val="003A56A5"/>
    <w:rsid w:val="003B175D"/>
    <w:rsid w:val="003B2D4A"/>
    <w:rsid w:val="003B697C"/>
    <w:rsid w:val="003B714C"/>
    <w:rsid w:val="003C6922"/>
    <w:rsid w:val="003D1917"/>
    <w:rsid w:val="003D6608"/>
    <w:rsid w:val="003D6F65"/>
    <w:rsid w:val="003E3209"/>
    <w:rsid w:val="003E3F04"/>
    <w:rsid w:val="00401C41"/>
    <w:rsid w:val="00402864"/>
    <w:rsid w:val="00403928"/>
    <w:rsid w:val="00403D2A"/>
    <w:rsid w:val="004073EA"/>
    <w:rsid w:val="00416BCC"/>
    <w:rsid w:val="00421EF5"/>
    <w:rsid w:val="00422E2C"/>
    <w:rsid w:val="0042648E"/>
    <w:rsid w:val="00440C57"/>
    <w:rsid w:val="00442B3A"/>
    <w:rsid w:val="00447707"/>
    <w:rsid w:val="004557A5"/>
    <w:rsid w:val="00462C49"/>
    <w:rsid w:val="004658E9"/>
    <w:rsid w:val="00470B15"/>
    <w:rsid w:val="00474136"/>
    <w:rsid w:val="00474CBD"/>
    <w:rsid w:val="0047581B"/>
    <w:rsid w:val="004805F6"/>
    <w:rsid w:val="004816F3"/>
    <w:rsid w:val="00485B87"/>
    <w:rsid w:val="004936D2"/>
    <w:rsid w:val="00497DCD"/>
    <w:rsid w:val="004A2420"/>
    <w:rsid w:val="004A3FB2"/>
    <w:rsid w:val="004A4723"/>
    <w:rsid w:val="004A5013"/>
    <w:rsid w:val="004B595B"/>
    <w:rsid w:val="004B5DD2"/>
    <w:rsid w:val="004B684C"/>
    <w:rsid w:val="004D17D3"/>
    <w:rsid w:val="004E1978"/>
    <w:rsid w:val="004E31F8"/>
    <w:rsid w:val="004E3A2E"/>
    <w:rsid w:val="004E5385"/>
    <w:rsid w:val="004E672F"/>
    <w:rsid w:val="004F21B0"/>
    <w:rsid w:val="004F67F1"/>
    <w:rsid w:val="004F7A74"/>
    <w:rsid w:val="00504319"/>
    <w:rsid w:val="005177E8"/>
    <w:rsid w:val="005179C6"/>
    <w:rsid w:val="005200A7"/>
    <w:rsid w:val="00521AE6"/>
    <w:rsid w:val="0052563E"/>
    <w:rsid w:val="00526880"/>
    <w:rsid w:val="00527043"/>
    <w:rsid w:val="00527531"/>
    <w:rsid w:val="00535700"/>
    <w:rsid w:val="005464F7"/>
    <w:rsid w:val="00556E34"/>
    <w:rsid w:val="00560E25"/>
    <w:rsid w:val="005611A8"/>
    <w:rsid w:val="00564FFE"/>
    <w:rsid w:val="00567A92"/>
    <w:rsid w:val="00567C11"/>
    <w:rsid w:val="005736DB"/>
    <w:rsid w:val="005859FF"/>
    <w:rsid w:val="00595243"/>
    <w:rsid w:val="005B1EB6"/>
    <w:rsid w:val="005B256C"/>
    <w:rsid w:val="005B4DAF"/>
    <w:rsid w:val="005B6BBB"/>
    <w:rsid w:val="005B70EB"/>
    <w:rsid w:val="005B7BFA"/>
    <w:rsid w:val="005D160D"/>
    <w:rsid w:val="005D1C4B"/>
    <w:rsid w:val="005D5BCB"/>
    <w:rsid w:val="005E56BD"/>
    <w:rsid w:val="005F058A"/>
    <w:rsid w:val="005F1B12"/>
    <w:rsid w:val="00600A77"/>
    <w:rsid w:val="00605CB8"/>
    <w:rsid w:val="006142D1"/>
    <w:rsid w:val="00621BB9"/>
    <w:rsid w:val="006379DA"/>
    <w:rsid w:val="0064110C"/>
    <w:rsid w:val="00650BAB"/>
    <w:rsid w:val="0065160C"/>
    <w:rsid w:val="00670F33"/>
    <w:rsid w:val="00675B17"/>
    <w:rsid w:val="00675C8F"/>
    <w:rsid w:val="0067774E"/>
    <w:rsid w:val="0068439F"/>
    <w:rsid w:val="006870BA"/>
    <w:rsid w:val="00697AEC"/>
    <w:rsid w:val="006B40BB"/>
    <w:rsid w:val="006B7123"/>
    <w:rsid w:val="006C187A"/>
    <w:rsid w:val="006C31EA"/>
    <w:rsid w:val="006D768D"/>
    <w:rsid w:val="006E1123"/>
    <w:rsid w:val="006E11D8"/>
    <w:rsid w:val="006E1A14"/>
    <w:rsid w:val="006F0808"/>
    <w:rsid w:val="006F37EE"/>
    <w:rsid w:val="006F574E"/>
    <w:rsid w:val="006F684F"/>
    <w:rsid w:val="00701AA5"/>
    <w:rsid w:val="007074E3"/>
    <w:rsid w:val="0071430C"/>
    <w:rsid w:val="00720DA9"/>
    <w:rsid w:val="00724028"/>
    <w:rsid w:val="00730991"/>
    <w:rsid w:val="007320FB"/>
    <w:rsid w:val="00740687"/>
    <w:rsid w:val="0074441C"/>
    <w:rsid w:val="0074492F"/>
    <w:rsid w:val="00745EDC"/>
    <w:rsid w:val="00747DE8"/>
    <w:rsid w:val="00760D2F"/>
    <w:rsid w:val="007634A5"/>
    <w:rsid w:val="00766B01"/>
    <w:rsid w:val="00772FBF"/>
    <w:rsid w:val="00773331"/>
    <w:rsid w:val="0077616D"/>
    <w:rsid w:val="00785A51"/>
    <w:rsid w:val="007924C7"/>
    <w:rsid w:val="007932EF"/>
    <w:rsid w:val="007A231E"/>
    <w:rsid w:val="007A7ACE"/>
    <w:rsid w:val="007B3E91"/>
    <w:rsid w:val="007B6B0F"/>
    <w:rsid w:val="007C1338"/>
    <w:rsid w:val="007D42C8"/>
    <w:rsid w:val="007D63E5"/>
    <w:rsid w:val="007D6A45"/>
    <w:rsid w:val="007E05B0"/>
    <w:rsid w:val="007E1EF8"/>
    <w:rsid w:val="007E272D"/>
    <w:rsid w:val="007E4558"/>
    <w:rsid w:val="007E4D6D"/>
    <w:rsid w:val="007F1CE3"/>
    <w:rsid w:val="007F335E"/>
    <w:rsid w:val="007F65CD"/>
    <w:rsid w:val="0080328D"/>
    <w:rsid w:val="0080781B"/>
    <w:rsid w:val="00811EDF"/>
    <w:rsid w:val="0081445F"/>
    <w:rsid w:val="00832668"/>
    <w:rsid w:val="00854A38"/>
    <w:rsid w:val="008564FB"/>
    <w:rsid w:val="00856980"/>
    <w:rsid w:val="00873E66"/>
    <w:rsid w:val="00874D22"/>
    <w:rsid w:val="00876C4E"/>
    <w:rsid w:val="0089214B"/>
    <w:rsid w:val="00896372"/>
    <w:rsid w:val="008A0D88"/>
    <w:rsid w:val="008A121D"/>
    <w:rsid w:val="008A2914"/>
    <w:rsid w:val="008A33AA"/>
    <w:rsid w:val="008A355D"/>
    <w:rsid w:val="008A46DF"/>
    <w:rsid w:val="008A5207"/>
    <w:rsid w:val="008A530A"/>
    <w:rsid w:val="008B02EB"/>
    <w:rsid w:val="008B6288"/>
    <w:rsid w:val="008C2D84"/>
    <w:rsid w:val="008D3483"/>
    <w:rsid w:val="008D4F4E"/>
    <w:rsid w:val="008D5C36"/>
    <w:rsid w:val="008D669C"/>
    <w:rsid w:val="008E04F4"/>
    <w:rsid w:val="008E4D8E"/>
    <w:rsid w:val="008F041B"/>
    <w:rsid w:val="008F122A"/>
    <w:rsid w:val="008F1AEB"/>
    <w:rsid w:val="008F7A09"/>
    <w:rsid w:val="00905830"/>
    <w:rsid w:val="009104A4"/>
    <w:rsid w:val="00911F9E"/>
    <w:rsid w:val="0091372F"/>
    <w:rsid w:val="009148EC"/>
    <w:rsid w:val="00915894"/>
    <w:rsid w:val="0091659F"/>
    <w:rsid w:val="009173EA"/>
    <w:rsid w:val="0092025E"/>
    <w:rsid w:val="00920441"/>
    <w:rsid w:val="00922477"/>
    <w:rsid w:val="00922FE9"/>
    <w:rsid w:val="00927350"/>
    <w:rsid w:val="0092ED61"/>
    <w:rsid w:val="00930A67"/>
    <w:rsid w:val="00930A92"/>
    <w:rsid w:val="0093397E"/>
    <w:rsid w:val="00937391"/>
    <w:rsid w:val="009401D8"/>
    <w:rsid w:val="00940C53"/>
    <w:rsid w:val="00943BA2"/>
    <w:rsid w:val="0094583E"/>
    <w:rsid w:val="0095599F"/>
    <w:rsid w:val="009635A8"/>
    <w:rsid w:val="0097146F"/>
    <w:rsid w:val="00976770"/>
    <w:rsid w:val="0097701F"/>
    <w:rsid w:val="0098502C"/>
    <w:rsid w:val="009B3CA6"/>
    <w:rsid w:val="009B4C82"/>
    <w:rsid w:val="009B54AE"/>
    <w:rsid w:val="009B59E1"/>
    <w:rsid w:val="009B673F"/>
    <w:rsid w:val="009C1F52"/>
    <w:rsid w:val="009C3114"/>
    <w:rsid w:val="009C39DE"/>
    <w:rsid w:val="009C4BB1"/>
    <w:rsid w:val="009C550C"/>
    <w:rsid w:val="009D7371"/>
    <w:rsid w:val="009E3F6E"/>
    <w:rsid w:val="009F06C0"/>
    <w:rsid w:val="009F3FC5"/>
    <w:rsid w:val="00A232F3"/>
    <w:rsid w:val="00A246E6"/>
    <w:rsid w:val="00A246F4"/>
    <w:rsid w:val="00A31D4A"/>
    <w:rsid w:val="00A32121"/>
    <w:rsid w:val="00A323CB"/>
    <w:rsid w:val="00A33786"/>
    <w:rsid w:val="00A35677"/>
    <w:rsid w:val="00A35B07"/>
    <w:rsid w:val="00A36950"/>
    <w:rsid w:val="00A419AC"/>
    <w:rsid w:val="00A47896"/>
    <w:rsid w:val="00A53BEE"/>
    <w:rsid w:val="00A7582D"/>
    <w:rsid w:val="00A85D7A"/>
    <w:rsid w:val="00A9060A"/>
    <w:rsid w:val="00A97EB7"/>
    <w:rsid w:val="00AA4E42"/>
    <w:rsid w:val="00AA5DD6"/>
    <w:rsid w:val="00AA686E"/>
    <w:rsid w:val="00AC3E2B"/>
    <w:rsid w:val="00AC5A83"/>
    <w:rsid w:val="00AC7070"/>
    <w:rsid w:val="00AD0084"/>
    <w:rsid w:val="00AD3EF5"/>
    <w:rsid w:val="00AD3FDD"/>
    <w:rsid w:val="00AE0463"/>
    <w:rsid w:val="00AE0E17"/>
    <w:rsid w:val="00AE4BB3"/>
    <w:rsid w:val="00AE4DEB"/>
    <w:rsid w:val="00AE50EA"/>
    <w:rsid w:val="00AE5847"/>
    <w:rsid w:val="00B002B9"/>
    <w:rsid w:val="00B124CE"/>
    <w:rsid w:val="00B1250D"/>
    <w:rsid w:val="00B15E01"/>
    <w:rsid w:val="00B272FF"/>
    <w:rsid w:val="00B34ACC"/>
    <w:rsid w:val="00B43EAD"/>
    <w:rsid w:val="00B44317"/>
    <w:rsid w:val="00B50B6E"/>
    <w:rsid w:val="00B6065A"/>
    <w:rsid w:val="00B6200D"/>
    <w:rsid w:val="00B645D5"/>
    <w:rsid w:val="00B64E1C"/>
    <w:rsid w:val="00B720BF"/>
    <w:rsid w:val="00B81421"/>
    <w:rsid w:val="00B824C1"/>
    <w:rsid w:val="00B83133"/>
    <w:rsid w:val="00B8333A"/>
    <w:rsid w:val="00B90564"/>
    <w:rsid w:val="00B907A7"/>
    <w:rsid w:val="00B90BD1"/>
    <w:rsid w:val="00B92232"/>
    <w:rsid w:val="00BA15DF"/>
    <w:rsid w:val="00BA3A0B"/>
    <w:rsid w:val="00BA4A0E"/>
    <w:rsid w:val="00BA5300"/>
    <w:rsid w:val="00BC454B"/>
    <w:rsid w:val="00BC56D9"/>
    <w:rsid w:val="00BC58F0"/>
    <w:rsid w:val="00BD3F6E"/>
    <w:rsid w:val="00BD4736"/>
    <w:rsid w:val="00BE0519"/>
    <w:rsid w:val="00BE08C8"/>
    <w:rsid w:val="00C01BE8"/>
    <w:rsid w:val="00C02775"/>
    <w:rsid w:val="00C0601D"/>
    <w:rsid w:val="00C12301"/>
    <w:rsid w:val="00C25477"/>
    <w:rsid w:val="00C2580B"/>
    <w:rsid w:val="00C2691D"/>
    <w:rsid w:val="00C27DD7"/>
    <w:rsid w:val="00C301F6"/>
    <w:rsid w:val="00C355E0"/>
    <w:rsid w:val="00C37F1C"/>
    <w:rsid w:val="00C40FA5"/>
    <w:rsid w:val="00C42811"/>
    <w:rsid w:val="00C4650E"/>
    <w:rsid w:val="00C470A0"/>
    <w:rsid w:val="00C5138C"/>
    <w:rsid w:val="00C54884"/>
    <w:rsid w:val="00C56D2C"/>
    <w:rsid w:val="00C65DCE"/>
    <w:rsid w:val="00C71413"/>
    <w:rsid w:val="00C73AD5"/>
    <w:rsid w:val="00C74CBF"/>
    <w:rsid w:val="00C85861"/>
    <w:rsid w:val="00C9570E"/>
    <w:rsid w:val="00C97DF3"/>
    <w:rsid w:val="00CA09C1"/>
    <w:rsid w:val="00CA5A42"/>
    <w:rsid w:val="00CB1EE6"/>
    <w:rsid w:val="00CB3ACA"/>
    <w:rsid w:val="00CC4A64"/>
    <w:rsid w:val="00CC575B"/>
    <w:rsid w:val="00CC7F71"/>
    <w:rsid w:val="00CD304F"/>
    <w:rsid w:val="00CD40A1"/>
    <w:rsid w:val="00CE01C9"/>
    <w:rsid w:val="00D075D1"/>
    <w:rsid w:val="00D11690"/>
    <w:rsid w:val="00D12CE5"/>
    <w:rsid w:val="00D13D96"/>
    <w:rsid w:val="00D142F9"/>
    <w:rsid w:val="00D15E2F"/>
    <w:rsid w:val="00D20381"/>
    <w:rsid w:val="00D3017A"/>
    <w:rsid w:val="00D430B7"/>
    <w:rsid w:val="00D437FC"/>
    <w:rsid w:val="00D43EC2"/>
    <w:rsid w:val="00D43FFD"/>
    <w:rsid w:val="00D550CC"/>
    <w:rsid w:val="00D5671C"/>
    <w:rsid w:val="00D61E1C"/>
    <w:rsid w:val="00D6548F"/>
    <w:rsid w:val="00D66B0D"/>
    <w:rsid w:val="00D72A39"/>
    <w:rsid w:val="00D74319"/>
    <w:rsid w:val="00D74E72"/>
    <w:rsid w:val="00D82C0E"/>
    <w:rsid w:val="00D855D2"/>
    <w:rsid w:val="00D8723C"/>
    <w:rsid w:val="00D956DB"/>
    <w:rsid w:val="00DA2B43"/>
    <w:rsid w:val="00DB51D4"/>
    <w:rsid w:val="00DB5349"/>
    <w:rsid w:val="00DC359B"/>
    <w:rsid w:val="00DD28EC"/>
    <w:rsid w:val="00DD4661"/>
    <w:rsid w:val="00DE1A83"/>
    <w:rsid w:val="00DE1E8E"/>
    <w:rsid w:val="00DE3527"/>
    <w:rsid w:val="00DE4DE0"/>
    <w:rsid w:val="00DE63B2"/>
    <w:rsid w:val="00DF5124"/>
    <w:rsid w:val="00E0164E"/>
    <w:rsid w:val="00E20D64"/>
    <w:rsid w:val="00E224D7"/>
    <w:rsid w:val="00E2277D"/>
    <w:rsid w:val="00E26467"/>
    <w:rsid w:val="00E369AF"/>
    <w:rsid w:val="00E450D0"/>
    <w:rsid w:val="00E479D8"/>
    <w:rsid w:val="00E53E38"/>
    <w:rsid w:val="00E55019"/>
    <w:rsid w:val="00E60A1F"/>
    <w:rsid w:val="00E61215"/>
    <w:rsid w:val="00E63347"/>
    <w:rsid w:val="00E70F12"/>
    <w:rsid w:val="00E731CF"/>
    <w:rsid w:val="00E83286"/>
    <w:rsid w:val="00E83842"/>
    <w:rsid w:val="00E859A2"/>
    <w:rsid w:val="00E929B7"/>
    <w:rsid w:val="00E9372E"/>
    <w:rsid w:val="00E96C74"/>
    <w:rsid w:val="00E97FAB"/>
    <w:rsid w:val="00EA2A3F"/>
    <w:rsid w:val="00EA6C52"/>
    <w:rsid w:val="00EB5757"/>
    <w:rsid w:val="00EC23B7"/>
    <w:rsid w:val="00EC264F"/>
    <w:rsid w:val="00EC4244"/>
    <w:rsid w:val="00EC6494"/>
    <w:rsid w:val="00EC66C1"/>
    <w:rsid w:val="00EE1339"/>
    <w:rsid w:val="00EE3865"/>
    <w:rsid w:val="00EE6EFA"/>
    <w:rsid w:val="00EF3D53"/>
    <w:rsid w:val="00EF7A46"/>
    <w:rsid w:val="00F04CCC"/>
    <w:rsid w:val="00F23EA6"/>
    <w:rsid w:val="00F31F1D"/>
    <w:rsid w:val="00F322CE"/>
    <w:rsid w:val="00F325D0"/>
    <w:rsid w:val="00F46851"/>
    <w:rsid w:val="00F5205A"/>
    <w:rsid w:val="00F53A74"/>
    <w:rsid w:val="00F54FF7"/>
    <w:rsid w:val="00F55BE4"/>
    <w:rsid w:val="00F560D8"/>
    <w:rsid w:val="00F62D99"/>
    <w:rsid w:val="00F71674"/>
    <w:rsid w:val="00F72ED3"/>
    <w:rsid w:val="00F761B2"/>
    <w:rsid w:val="00F811FB"/>
    <w:rsid w:val="00F86A44"/>
    <w:rsid w:val="00F87189"/>
    <w:rsid w:val="00F97B45"/>
    <w:rsid w:val="00FA7DDB"/>
    <w:rsid w:val="00FB2951"/>
    <w:rsid w:val="00FB6C1A"/>
    <w:rsid w:val="00FC38F8"/>
    <w:rsid w:val="00FC476B"/>
    <w:rsid w:val="00FC6590"/>
    <w:rsid w:val="00FD125D"/>
    <w:rsid w:val="00FD14BC"/>
    <w:rsid w:val="00FD6263"/>
    <w:rsid w:val="00FE148D"/>
    <w:rsid w:val="00FE5F80"/>
    <w:rsid w:val="00FF12E0"/>
    <w:rsid w:val="00FF4DDB"/>
    <w:rsid w:val="013AFACF"/>
    <w:rsid w:val="0174871E"/>
    <w:rsid w:val="026B93C3"/>
    <w:rsid w:val="027C5F29"/>
    <w:rsid w:val="02930C93"/>
    <w:rsid w:val="03348E37"/>
    <w:rsid w:val="04D0EB0A"/>
    <w:rsid w:val="04D971B1"/>
    <w:rsid w:val="0643F8AA"/>
    <w:rsid w:val="06BD6F2B"/>
    <w:rsid w:val="078D0CA1"/>
    <w:rsid w:val="07FF809E"/>
    <w:rsid w:val="082930B7"/>
    <w:rsid w:val="08583F09"/>
    <w:rsid w:val="09BA49BC"/>
    <w:rsid w:val="0ABBABD2"/>
    <w:rsid w:val="0B51E1D1"/>
    <w:rsid w:val="0BCD73E3"/>
    <w:rsid w:val="0C28C72D"/>
    <w:rsid w:val="0D1169CF"/>
    <w:rsid w:val="0E216B5D"/>
    <w:rsid w:val="0EFBF8ED"/>
    <w:rsid w:val="0F6B49D2"/>
    <w:rsid w:val="0F7E90FA"/>
    <w:rsid w:val="0F8DDACF"/>
    <w:rsid w:val="10832B2C"/>
    <w:rsid w:val="1088B2B7"/>
    <w:rsid w:val="11CCB0B4"/>
    <w:rsid w:val="11D9AA1F"/>
    <w:rsid w:val="1218477B"/>
    <w:rsid w:val="13F1AC0E"/>
    <w:rsid w:val="144FA98C"/>
    <w:rsid w:val="154A633D"/>
    <w:rsid w:val="16272D14"/>
    <w:rsid w:val="1635C6BD"/>
    <w:rsid w:val="16AD1B42"/>
    <w:rsid w:val="16EF491B"/>
    <w:rsid w:val="17F2ED45"/>
    <w:rsid w:val="188FB8FB"/>
    <w:rsid w:val="18C3F2FF"/>
    <w:rsid w:val="1B201AEB"/>
    <w:rsid w:val="1C89B016"/>
    <w:rsid w:val="1CB1BDC4"/>
    <w:rsid w:val="1ED58C62"/>
    <w:rsid w:val="212FA1FC"/>
    <w:rsid w:val="2191A366"/>
    <w:rsid w:val="21EFCDE9"/>
    <w:rsid w:val="220D2BBC"/>
    <w:rsid w:val="223C8D4C"/>
    <w:rsid w:val="23E59AE0"/>
    <w:rsid w:val="240C3275"/>
    <w:rsid w:val="2584646B"/>
    <w:rsid w:val="25896670"/>
    <w:rsid w:val="25EDBAC3"/>
    <w:rsid w:val="263A58CC"/>
    <w:rsid w:val="285373C7"/>
    <w:rsid w:val="299C8FB9"/>
    <w:rsid w:val="29AEC734"/>
    <w:rsid w:val="29E93AF2"/>
    <w:rsid w:val="2A92943C"/>
    <w:rsid w:val="2B4A9795"/>
    <w:rsid w:val="2B9452AB"/>
    <w:rsid w:val="2D855857"/>
    <w:rsid w:val="2D8C7D26"/>
    <w:rsid w:val="2EED2B7F"/>
    <w:rsid w:val="2F172974"/>
    <w:rsid w:val="2F6625C2"/>
    <w:rsid w:val="2F75FB4A"/>
    <w:rsid w:val="304FD156"/>
    <w:rsid w:val="30BCF919"/>
    <w:rsid w:val="3137C27D"/>
    <w:rsid w:val="316A7A0E"/>
    <w:rsid w:val="31F4B28D"/>
    <w:rsid w:val="32519133"/>
    <w:rsid w:val="32B3156E"/>
    <w:rsid w:val="33330BAC"/>
    <w:rsid w:val="3355A97A"/>
    <w:rsid w:val="3412F7CF"/>
    <w:rsid w:val="34762B25"/>
    <w:rsid w:val="347C5CAA"/>
    <w:rsid w:val="357EC66F"/>
    <w:rsid w:val="35E53CCE"/>
    <w:rsid w:val="36182D0B"/>
    <w:rsid w:val="371A96D0"/>
    <w:rsid w:val="378E7F51"/>
    <w:rsid w:val="37BCF4D0"/>
    <w:rsid w:val="38C6E781"/>
    <w:rsid w:val="3991AD0E"/>
    <w:rsid w:val="39937688"/>
    <w:rsid w:val="3AC24A6A"/>
    <w:rsid w:val="3C0470DC"/>
    <w:rsid w:val="3C7F9786"/>
    <w:rsid w:val="3CFE71BE"/>
    <w:rsid w:val="3D5C65C8"/>
    <w:rsid w:val="3E0A1693"/>
    <w:rsid w:val="3EEAFC4F"/>
    <w:rsid w:val="3F7A8D3F"/>
    <w:rsid w:val="3F889DD7"/>
    <w:rsid w:val="402FAEB6"/>
    <w:rsid w:val="40C58698"/>
    <w:rsid w:val="415A5E5F"/>
    <w:rsid w:val="41B12E86"/>
    <w:rsid w:val="4272E8B4"/>
    <w:rsid w:val="42F1A42E"/>
    <w:rsid w:val="42FFF4B6"/>
    <w:rsid w:val="431B6EC9"/>
    <w:rsid w:val="4488DCC8"/>
    <w:rsid w:val="448D748F"/>
    <w:rsid w:val="44E5583B"/>
    <w:rsid w:val="45E2383B"/>
    <w:rsid w:val="4656358E"/>
    <w:rsid w:val="46B4E646"/>
    <w:rsid w:val="46CE15E8"/>
    <w:rsid w:val="474ED251"/>
    <w:rsid w:val="47F0D88E"/>
    <w:rsid w:val="4850B6A7"/>
    <w:rsid w:val="48D82EF0"/>
    <w:rsid w:val="49720C63"/>
    <w:rsid w:val="4A408C2D"/>
    <w:rsid w:val="4AB5A95E"/>
    <w:rsid w:val="4AF63F69"/>
    <w:rsid w:val="4B3558FE"/>
    <w:rsid w:val="4BFBE1B8"/>
    <w:rsid w:val="4C145614"/>
    <w:rsid w:val="4C2C4808"/>
    <w:rsid w:val="4D4420A1"/>
    <w:rsid w:val="4D63CB46"/>
    <w:rsid w:val="4DED4A20"/>
    <w:rsid w:val="4F127F43"/>
    <w:rsid w:val="4F33A963"/>
    <w:rsid w:val="4FC4B6DB"/>
    <w:rsid w:val="4FD248B7"/>
    <w:rsid w:val="5001869C"/>
    <w:rsid w:val="510F614A"/>
    <w:rsid w:val="5122F2A4"/>
    <w:rsid w:val="512590BA"/>
    <w:rsid w:val="51B0B471"/>
    <w:rsid w:val="52C8A8C9"/>
    <w:rsid w:val="53EEE99D"/>
    <w:rsid w:val="5464792A"/>
    <w:rsid w:val="54DFB7AF"/>
    <w:rsid w:val="558EA6C1"/>
    <w:rsid w:val="5609D445"/>
    <w:rsid w:val="57DD2B91"/>
    <w:rsid w:val="597A3139"/>
    <w:rsid w:val="59AA8C93"/>
    <w:rsid w:val="59D41788"/>
    <w:rsid w:val="59DDFF7D"/>
    <w:rsid w:val="5A387D7F"/>
    <w:rsid w:val="5A51A412"/>
    <w:rsid w:val="5A5E9D7D"/>
    <w:rsid w:val="5AC0194D"/>
    <w:rsid w:val="5B32A8A9"/>
    <w:rsid w:val="5B6BBD03"/>
    <w:rsid w:val="5BADFE46"/>
    <w:rsid w:val="5C6F8B0F"/>
    <w:rsid w:val="5C9181C4"/>
    <w:rsid w:val="5CB439E4"/>
    <w:rsid w:val="5D0E7B70"/>
    <w:rsid w:val="5DD0EC52"/>
    <w:rsid w:val="5F847D71"/>
    <w:rsid w:val="5FFF5F37"/>
    <w:rsid w:val="606B7F4C"/>
    <w:rsid w:val="609E5302"/>
    <w:rsid w:val="60C0E596"/>
    <w:rsid w:val="6145F08F"/>
    <w:rsid w:val="6157552D"/>
    <w:rsid w:val="61C2104D"/>
    <w:rsid w:val="61FDB38A"/>
    <w:rsid w:val="62BA9B2E"/>
    <w:rsid w:val="63425935"/>
    <w:rsid w:val="6376200D"/>
    <w:rsid w:val="638CA31E"/>
    <w:rsid w:val="647A9CF4"/>
    <w:rsid w:val="64E7C139"/>
    <w:rsid w:val="666E59D7"/>
    <w:rsid w:val="66B383C3"/>
    <w:rsid w:val="66BB4FD5"/>
    <w:rsid w:val="67FB6BEC"/>
    <w:rsid w:val="69645D1C"/>
    <w:rsid w:val="69A5FA99"/>
    <w:rsid w:val="69ADE81F"/>
    <w:rsid w:val="6BE72C25"/>
    <w:rsid w:val="6C35E4AB"/>
    <w:rsid w:val="6FCEC7DB"/>
    <w:rsid w:val="70966002"/>
    <w:rsid w:val="716A983C"/>
    <w:rsid w:val="72C36A0F"/>
    <w:rsid w:val="73442678"/>
    <w:rsid w:val="745C77C6"/>
    <w:rsid w:val="755232F7"/>
    <w:rsid w:val="75C38EBA"/>
    <w:rsid w:val="766497A9"/>
    <w:rsid w:val="77756220"/>
    <w:rsid w:val="77941888"/>
    <w:rsid w:val="77E8DCBF"/>
    <w:rsid w:val="77ECC776"/>
    <w:rsid w:val="77F5090D"/>
    <w:rsid w:val="79C40BE9"/>
    <w:rsid w:val="7AAA179B"/>
    <w:rsid w:val="7ACBB94A"/>
    <w:rsid w:val="7B181684"/>
    <w:rsid w:val="7B8AF4A6"/>
    <w:rsid w:val="7B990A80"/>
    <w:rsid w:val="7C12DD62"/>
    <w:rsid w:val="7C15C8C4"/>
    <w:rsid w:val="7CCC4265"/>
    <w:rsid w:val="7CFBACAB"/>
    <w:rsid w:val="7D1266C8"/>
    <w:rsid w:val="7E966BAD"/>
    <w:rsid w:val="7FBA2466"/>
    <w:rsid w:val="7FF4B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E290B7"/>
  <w15:docId w15:val="{8EF03368-FBB1-44EB-AB3E-B059D9D8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2E5A67"/>
    <w:pPr>
      <w:numPr>
        <w:numId w:val="1"/>
      </w:numPr>
      <w:contextualSpacing/>
    </w:pPr>
  </w:style>
  <w:style w:type="paragraph" w:styleId="ListBullet2">
    <w:name w:val="List Bullet 2"/>
    <w:basedOn w:val="Normal"/>
    <w:uiPriority w:val="99"/>
    <w:semiHidden/>
    <w:unhideWhenUsed/>
    <w:rsid w:val="002E5A67"/>
    <w:pPr>
      <w:numPr>
        <w:numId w:val="2"/>
      </w:numPr>
      <w:contextualSpacing/>
    </w:pPr>
  </w:style>
  <w:style w:type="paragraph" w:styleId="ListBullet3">
    <w:name w:val="List Bullet 3"/>
    <w:basedOn w:val="Normal"/>
    <w:uiPriority w:val="99"/>
    <w:semiHidden/>
    <w:unhideWhenUsed/>
    <w:rsid w:val="002E5A67"/>
    <w:pPr>
      <w:numPr>
        <w:numId w:val="3"/>
      </w:numPr>
      <w:contextualSpacing/>
    </w:pPr>
  </w:style>
  <w:style w:type="paragraph" w:styleId="ListBullet4">
    <w:name w:val="List Bullet 4"/>
    <w:basedOn w:val="Normal"/>
    <w:uiPriority w:val="99"/>
    <w:semiHidden/>
    <w:unhideWhenUsed/>
    <w:rsid w:val="002E5A67"/>
    <w:pPr>
      <w:numPr>
        <w:numId w:val="4"/>
      </w:numPr>
      <w:contextualSpacing/>
    </w:pPr>
  </w:style>
  <w:style w:type="paragraph" w:customStyle="1" w:styleId="FootnoteReference1">
    <w:name w:val="Footnote Reference1"/>
    <w:basedOn w:val="Normal"/>
    <w:link w:val="FootnoteReference"/>
    <w:rsid w:val="00485B87"/>
    <w:pPr>
      <w:spacing w:before="0" w:after="160" w:line="240" w:lineRule="exact"/>
      <w:jc w:val="left"/>
    </w:pPr>
    <w:rPr>
      <w:rFonts w:asciiTheme="minorHAnsi" w:hAnsiTheme="minorHAnsi" w:cstheme="minorBidi"/>
      <w:sz w:val="22"/>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l-PL"/>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70F12"/>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8564FB"/>
    <w:rPr>
      <w:b/>
      <w:bCs/>
    </w:rPr>
  </w:style>
  <w:style w:type="character" w:customStyle="1" w:styleId="CommentSubjectChar">
    <w:name w:val="Comment Subject Char"/>
    <w:basedOn w:val="CommentTextChar"/>
    <w:link w:val="CommentSubject"/>
    <w:uiPriority w:val="99"/>
    <w:semiHidden/>
    <w:rsid w:val="008564FB"/>
    <w:rPr>
      <w:rFonts w:ascii="Times New Roman" w:hAnsi="Times New Roman" w:cs="Times New Roman"/>
      <w:b/>
      <w:bCs/>
      <w:sz w:val="20"/>
      <w:szCs w:val="20"/>
      <w:lang w:val="pl-PL"/>
    </w:rPr>
  </w:style>
  <w:style w:type="character" w:styleId="Hyperlink">
    <w:name w:val="Hyperlink"/>
    <w:basedOn w:val="DefaultParagraphFont"/>
    <w:uiPriority w:val="99"/>
    <w:unhideWhenUsed/>
    <w:rsid w:val="008564FB"/>
    <w:rPr>
      <w:color w:val="0000FF"/>
      <w:u w:val="single"/>
    </w:rPr>
  </w:style>
  <w:style w:type="character" w:customStyle="1" w:styleId="superscript">
    <w:name w:val="superscript"/>
    <w:basedOn w:val="DefaultParagraphFont"/>
    <w:rsid w:val="008564FB"/>
  </w:style>
  <w:style w:type="paragraph" w:customStyle="1" w:styleId="oj-normal">
    <w:name w:val="oj-normal"/>
    <w:basedOn w:val="Normal"/>
    <w:rsid w:val="00AD0084"/>
    <w:pPr>
      <w:spacing w:before="100" w:beforeAutospacing="1" w:after="100" w:afterAutospacing="1"/>
      <w:jc w:val="left"/>
    </w:pPr>
    <w:rPr>
      <w:rFonts w:eastAsia="Times New Roman"/>
      <w:szCs w:val="24"/>
      <w:lang w:eastAsia="en-IE"/>
    </w:rPr>
  </w:style>
  <w:style w:type="paragraph" w:styleId="ListParagraph">
    <w:name w:val="List Paragraph"/>
    <w:basedOn w:val="Normal"/>
    <w:uiPriority w:val="34"/>
    <w:qFormat/>
    <w:rsid w:val="00AD0084"/>
    <w:pPr>
      <w:ind w:left="720"/>
      <w:contextualSpacing/>
    </w:pPr>
  </w:style>
  <w:style w:type="paragraph" w:customStyle="1" w:styleId="pf0">
    <w:name w:val="pf0"/>
    <w:basedOn w:val="Normal"/>
    <w:rsid w:val="000E2E51"/>
    <w:pPr>
      <w:spacing w:before="100" w:beforeAutospacing="1" w:after="100" w:afterAutospacing="1"/>
      <w:jc w:val="left"/>
    </w:pPr>
    <w:rPr>
      <w:rFonts w:eastAsia="Times New Roman"/>
      <w:szCs w:val="24"/>
      <w:lang w:eastAsia="en-IE"/>
    </w:rPr>
  </w:style>
  <w:style w:type="character" w:customStyle="1" w:styleId="cf01">
    <w:name w:val="cf01"/>
    <w:basedOn w:val="DefaultParagraphFont"/>
    <w:rsid w:val="000E2E51"/>
    <w:rPr>
      <w:rFonts w:ascii="Times New Roman" w:hAnsi="Times New Roman" w:cs="Times New Roman" w:hint="default"/>
      <w:sz w:val="24"/>
      <w:szCs w:val="24"/>
    </w:rPr>
  </w:style>
  <w:style w:type="character" w:customStyle="1" w:styleId="cf11">
    <w:name w:val="cf11"/>
    <w:basedOn w:val="DefaultParagraphFont"/>
    <w:rsid w:val="000E2E51"/>
    <w:rPr>
      <w:rFonts w:ascii="Segoe UI" w:hAnsi="Segoe UI" w:cs="Segoe UI" w:hint="default"/>
    </w:rPr>
  </w:style>
  <w:style w:type="character" w:customStyle="1" w:styleId="UnresolvedMention1">
    <w:name w:val="Unresolved Mention1"/>
    <w:basedOn w:val="DefaultParagraphFont"/>
    <w:uiPriority w:val="99"/>
    <w:semiHidden/>
    <w:unhideWhenUsed/>
    <w:rsid w:val="00013EDF"/>
    <w:rPr>
      <w:color w:val="605E5C"/>
      <w:shd w:val="clear" w:color="auto" w:fill="E1DFDD"/>
    </w:rPr>
  </w:style>
  <w:style w:type="paragraph" w:styleId="EndnoteText">
    <w:name w:val="endnote text"/>
    <w:basedOn w:val="Normal"/>
    <w:link w:val="EndnoteTextChar"/>
    <w:uiPriority w:val="99"/>
    <w:semiHidden/>
    <w:unhideWhenUsed/>
    <w:rsid w:val="007E1EF8"/>
    <w:pPr>
      <w:spacing w:before="0" w:after="0"/>
    </w:pPr>
    <w:rPr>
      <w:sz w:val="20"/>
      <w:szCs w:val="20"/>
    </w:rPr>
  </w:style>
  <w:style w:type="character" w:customStyle="1" w:styleId="EndnoteTextChar">
    <w:name w:val="Endnote Text Char"/>
    <w:basedOn w:val="DefaultParagraphFont"/>
    <w:link w:val="EndnoteText"/>
    <w:uiPriority w:val="99"/>
    <w:semiHidden/>
    <w:rsid w:val="007E1EF8"/>
    <w:rPr>
      <w:rFonts w:ascii="Times New Roman" w:hAnsi="Times New Roman" w:cs="Times New Roman"/>
      <w:sz w:val="20"/>
      <w:szCs w:val="20"/>
      <w:lang w:val="pl-PL"/>
    </w:rPr>
  </w:style>
  <w:style w:type="character" w:styleId="EndnoteReference">
    <w:name w:val="endnote reference"/>
    <w:basedOn w:val="DefaultParagraphFont"/>
    <w:uiPriority w:val="99"/>
    <w:semiHidden/>
    <w:unhideWhenUsed/>
    <w:rsid w:val="007E1EF8"/>
    <w:rPr>
      <w:vertAlign w:val="superscript"/>
    </w:rPr>
  </w:style>
  <w:style w:type="paragraph" w:styleId="BalloonText">
    <w:name w:val="Balloon Text"/>
    <w:basedOn w:val="Normal"/>
    <w:link w:val="BalloonTextChar"/>
    <w:uiPriority w:val="99"/>
    <w:semiHidden/>
    <w:unhideWhenUsed/>
    <w:rsid w:val="00A419A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9AC"/>
    <w:rPr>
      <w:rFonts w:ascii="Segoe UI" w:hAnsi="Segoe UI" w:cs="Segoe UI"/>
      <w:sz w:val="18"/>
      <w:szCs w:val="18"/>
      <w:lang w:val="pl-PL"/>
    </w:rPr>
  </w:style>
  <w:style w:type="character" w:customStyle="1" w:styleId="UnresolvedMention2">
    <w:name w:val="Unresolved Mention2"/>
    <w:basedOn w:val="DefaultParagraphFont"/>
    <w:uiPriority w:val="99"/>
    <w:semiHidden/>
    <w:unhideWhenUsed/>
    <w:rsid w:val="00701AA5"/>
    <w:rPr>
      <w:color w:val="605E5C"/>
      <w:shd w:val="clear" w:color="auto" w:fill="E1DFDD"/>
    </w:rPr>
  </w:style>
  <w:style w:type="paragraph" w:customStyle="1" w:styleId="Normal1">
    <w:name w:val="Normal1"/>
    <w:basedOn w:val="Normal"/>
    <w:rsid w:val="00D8723C"/>
    <w:pPr>
      <w:spacing w:before="100" w:beforeAutospacing="1" w:after="100" w:afterAutospacing="1"/>
      <w:jc w:val="left"/>
    </w:pPr>
    <w:rPr>
      <w:rFonts w:eastAsia="Times New Roman"/>
      <w:szCs w:val="24"/>
      <w:lang w:eastAsia="en-IE"/>
    </w:rPr>
  </w:style>
  <w:style w:type="character" w:customStyle="1" w:styleId="UnresolvedMention3">
    <w:name w:val="Unresolved Mention3"/>
    <w:basedOn w:val="DefaultParagraphFont"/>
    <w:uiPriority w:val="99"/>
    <w:semiHidden/>
    <w:unhideWhenUsed/>
    <w:rsid w:val="001D6414"/>
    <w:rPr>
      <w:color w:val="605E5C"/>
      <w:shd w:val="clear" w:color="auto" w:fill="E1DFDD"/>
    </w:rPr>
  </w:style>
  <w:style w:type="paragraph" w:styleId="Header">
    <w:name w:val="header"/>
    <w:basedOn w:val="Normal"/>
    <w:link w:val="HeaderChar"/>
    <w:uiPriority w:val="99"/>
    <w:unhideWhenUsed/>
    <w:rsid w:val="001356B6"/>
    <w:pPr>
      <w:tabs>
        <w:tab w:val="center" w:pos="4535"/>
        <w:tab w:val="right" w:pos="9071"/>
      </w:tabs>
      <w:spacing w:before="0"/>
    </w:pPr>
  </w:style>
  <w:style w:type="character" w:customStyle="1" w:styleId="HeaderChar">
    <w:name w:val="Header Char"/>
    <w:basedOn w:val="DefaultParagraphFont"/>
    <w:link w:val="Header"/>
    <w:uiPriority w:val="99"/>
    <w:rsid w:val="001356B6"/>
    <w:rPr>
      <w:rFonts w:ascii="Times New Roman" w:hAnsi="Times New Roman" w:cs="Times New Roman"/>
      <w:sz w:val="24"/>
      <w:lang w:val="pl-PL"/>
    </w:rPr>
  </w:style>
  <w:style w:type="paragraph" w:styleId="Footer">
    <w:name w:val="footer"/>
    <w:basedOn w:val="Normal"/>
    <w:link w:val="FooterChar"/>
    <w:uiPriority w:val="99"/>
    <w:unhideWhenUsed/>
    <w:rsid w:val="001356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356B6"/>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356B6"/>
    <w:pPr>
      <w:tabs>
        <w:tab w:val="center" w:pos="7285"/>
        <w:tab w:val="right" w:pos="14003"/>
      </w:tabs>
      <w:spacing w:before="0"/>
    </w:pPr>
  </w:style>
  <w:style w:type="paragraph" w:customStyle="1" w:styleId="FooterLandscape">
    <w:name w:val="FooterLandscape"/>
    <w:basedOn w:val="Normal"/>
    <w:rsid w:val="001356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FootnoteReference1"/>
    <w:uiPriority w:val="99"/>
    <w:semiHidden/>
    <w:unhideWhenUsed/>
    <w:rPr>
      <w:shd w:val="clear" w:color="auto" w:fill="auto"/>
      <w:vertAlign w:val="superscript"/>
    </w:rPr>
  </w:style>
  <w:style w:type="paragraph" w:customStyle="1" w:styleId="HeaderSensitivity">
    <w:name w:val="Header Sensitivity"/>
    <w:basedOn w:val="Normal"/>
    <w:rsid w:val="001356B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356B6"/>
    <w:pPr>
      <w:spacing w:before="0"/>
      <w:jc w:val="right"/>
    </w:pPr>
    <w:rPr>
      <w:sz w:val="28"/>
    </w:rPr>
  </w:style>
  <w:style w:type="paragraph" w:customStyle="1" w:styleId="FooterSensitivity">
    <w:name w:val="Footer Sensitivity"/>
    <w:basedOn w:val="Normal"/>
    <w:rsid w:val="001356B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8F041B"/>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7138">
      <w:bodyDiv w:val="1"/>
      <w:marLeft w:val="0"/>
      <w:marRight w:val="0"/>
      <w:marTop w:val="0"/>
      <w:marBottom w:val="0"/>
      <w:divBdr>
        <w:top w:val="none" w:sz="0" w:space="0" w:color="auto"/>
        <w:left w:val="none" w:sz="0" w:space="0" w:color="auto"/>
        <w:bottom w:val="none" w:sz="0" w:space="0" w:color="auto"/>
        <w:right w:val="none" w:sz="0" w:space="0" w:color="auto"/>
      </w:divBdr>
      <w:divsChild>
        <w:div w:id="1787235369">
          <w:marLeft w:val="0"/>
          <w:marRight w:val="0"/>
          <w:marTop w:val="0"/>
          <w:marBottom w:val="0"/>
          <w:divBdr>
            <w:top w:val="none" w:sz="0" w:space="0" w:color="auto"/>
            <w:left w:val="none" w:sz="0" w:space="0" w:color="auto"/>
            <w:bottom w:val="none" w:sz="0" w:space="0" w:color="auto"/>
            <w:right w:val="none" w:sz="0" w:space="0" w:color="auto"/>
          </w:divBdr>
        </w:div>
        <w:div w:id="1995449739">
          <w:marLeft w:val="0"/>
          <w:marRight w:val="0"/>
          <w:marTop w:val="0"/>
          <w:marBottom w:val="0"/>
          <w:divBdr>
            <w:top w:val="none" w:sz="0" w:space="0" w:color="auto"/>
            <w:left w:val="none" w:sz="0" w:space="0" w:color="auto"/>
            <w:bottom w:val="none" w:sz="0" w:space="0" w:color="auto"/>
            <w:right w:val="none" w:sz="0" w:space="0" w:color="auto"/>
          </w:divBdr>
        </w:div>
      </w:divsChild>
    </w:div>
    <w:div w:id="500312715">
      <w:bodyDiv w:val="1"/>
      <w:marLeft w:val="0"/>
      <w:marRight w:val="0"/>
      <w:marTop w:val="0"/>
      <w:marBottom w:val="0"/>
      <w:divBdr>
        <w:top w:val="none" w:sz="0" w:space="0" w:color="auto"/>
        <w:left w:val="none" w:sz="0" w:space="0" w:color="auto"/>
        <w:bottom w:val="none" w:sz="0" w:space="0" w:color="auto"/>
        <w:right w:val="none" w:sz="0" w:space="0" w:color="auto"/>
      </w:divBdr>
    </w:div>
    <w:div w:id="533537426">
      <w:bodyDiv w:val="1"/>
      <w:marLeft w:val="0"/>
      <w:marRight w:val="0"/>
      <w:marTop w:val="0"/>
      <w:marBottom w:val="0"/>
      <w:divBdr>
        <w:top w:val="none" w:sz="0" w:space="0" w:color="auto"/>
        <w:left w:val="none" w:sz="0" w:space="0" w:color="auto"/>
        <w:bottom w:val="none" w:sz="0" w:space="0" w:color="auto"/>
        <w:right w:val="none" w:sz="0" w:space="0" w:color="auto"/>
      </w:divBdr>
    </w:div>
    <w:div w:id="1080256166">
      <w:bodyDiv w:val="1"/>
      <w:marLeft w:val="0"/>
      <w:marRight w:val="0"/>
      <w:marTop w:val="0"/>
      <w:marBottom w:val="0"/>
      <w:divBdr>
        <w:top w:val="none" w:sz="0" w:space="0" w:color="auto"/>
        <w:left w:val="none" w:sz="0" w:space="0" w:color="auto"/>
        <w:bottom w:val="none" w:sz="0" w:space="0" w:color="auto"/>
        <w:right w:val="none" w:sz="0" w:space="0" w:color="auto"/>
      </w:divBdr>
    </w:div>
    <w:div w:id="1316836462">
      <w:bodyDiv w:val="1"/>
      <w:marLeft w:val="0"/>
      <w:marRight w:val="0"/>
      <w:marTop w:val="0"/>
      <w:marBottom w:val="0"/>
      <w:divBdr>
        <w:top w:val="none" w:sz="0" w:space="0" w:color="auto"/>
        <w:left w:val="none" w:sz="0" w:space="0" w:color="auto"/>
        <w:bottom w:val="none" w:sz="0" w:space="0" w:color="auto"/>
        <w:right w:val="none" w:sz="0" w:space="0" w:color="auto"/>
      </w:divBdr>
    </w:div>
    <w:div w:id="1537815003">
      <w:bodyDiv w:val="1"/>
      <w:marLeft w:val="0"/>
      <w:marRight w:val="0"/>
      <w:marTop w:val="0"/>
      <w:marBottom w:val="0"/>
      <w:divBdr>
        <w:top w:val="none" w:sz="0" w:space="0" w:color="auto"/>
        <w:left w:val="none" w:sz="0" w:space="0" w:color="auto"/>
        <w:bottom w:val="none" w:sz="0" w:space="0" w:color="auto"/>
        <w:right w:val="none" w:sz="0" w:space="0" w:color="auto"/>
      </w:divBdr>
      <w:divsChild>
        <w:div w:id="72627750">
          <w:marLeft w:val="0"/>
          <w:marRight w:val="0"/>
          <w:marTop w:val="0"/>
          <w:marBottom w:val="0"/>
          <w:divBdr>
            <w:top w:val="none" w:sz="0" w:space="0" w:color="auto"/>
            <w:left w:val="none" w:sz="0" w:space="0" w:color="auto"/>
            <w:bottom w:val="none" w:sz="0" w:space="0" w:color="auto"/>
            <w:right w:val="none" w:sz="0" w:space="0" w:color="auto"/>
          </w:divBdr>
        </w:div>
        <w:div w:id="593166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ransparency/documents-register/detail?ref=SWD(2020)9&amp;lang=pl" TargetMode="External"/><Relationship Id="rId1" Type="http://schemas.openxmlformats.org/officeDocument/2006/relationships/hyperlink" Target="https://ec.europa.eu/transparency/documents-register/detail?ref=SWD(2020)9&amp;lang=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53B251-7CF6-491E-BA7E-2EFD20024CC9}">
  <we:reference id="b4c4b211-dd1c-4154-a798-ce3ee361a404" version="1.0.0.0" store="https://eceuropaeu.sharepoint.com/sites/App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2" ma:contentTypeDescription="Create a new document." ma:contentTypeScope="" ma:versionID="674ea9c5c0c693448fc1792a58352379">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be8b6bdb41b7c5eb955a1f47667fa921"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b504bd-4409-4c5f-a841-30ba9f0e7e51}"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6B550-F12B-4CB2-BEC3-F141A4ECDDE7}">
  <ds:schemaRefs>
    <ds:schemaRef ds:uri="http://schemas.microsoft.com/office/2006/metadata/properties"/>
    <ds:schemaRef ds:uri="http://schemas.microsoft.com/office/infopath/2007/PartnerControls"/>
    <ds:schemaRef ds:uri="ba7bd860-1739-4001-af8a-147771a6eb05"/>
    <ds:schemaRef ds:uri="a5835c61-ca2e-49ee-8dca-a76e9f0344a3"/>
  </ds:schemaRefs>
</ds:datastoreItem>
</file>

<file path=customXml/itemProps2.xml><?xml version="1.0" encoding="utf-8"?>
<ds:datastoreItem xmlns:ds="http://schemas.openxmlformats.org/officeDocument/2006/customXml" ds:itemID="{FB89F54C-4230-4EAC-94EA-DD32EC304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4CBF2-C2D7-4CF8-BA1B-27EE622CC35F}">
  <ds:schemaRefs>
    <ds:schemaRef ds:uri="http://schemas.microsoft.com/sharepoint/v3/contenttype/forms"/>
  </ds:schemaRefs>
</ds:datastoreItem>
</file>

<file path=customXml/itemProps4.xml><?xml version="1.0" encoding="utf-8"?>
<ds:datastoreItem xmlns:ds="http://schemas.openxmlformats.org/officeDocument/2006/customXml" ds:itemID="{923E29AE-7DE9-400F-A62C-1433AE7D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10</Pages>
  <Words>2355</Words>
  <Characters>16229</Characters>
  <Application>Microsoft Office Word</Application>
  <DocSecurity>0</DocSecurity>
  <Lines>289</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EC CoDe</cp:lastModifiedBy>
  <cp:revision>45</cp:revision>
  <dcterms:created xsi:type="dcterms:W3CDTF">2023-10-10T14:52:00Z</dcterms:created>
  <dcterms:modified xsi:type="dcterms:W3CDTF">2023-10-17T07:53:00Z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2023-07-24T07:50:23Z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5858fbb3-d304-4878-85b9-09197d02323c</vt:lpwstr>
  </property>
  <property fmtid="{D5CDD505-2E9C-101B-9397-08002B2CF9AE}" pid="16" name="MSIP_Label_6bd9ddd1-4d20-43f6-abfa-fc3c07406f94_ContentBits">
    <vt:lpwstr>0</vt:lpwstr>
  </property>
  <property fmtid="{D5CDD505-2E9C-101B-9397-08002B2CF9AE}" pid="17" name="ContentTypeId">
    <vt:lpwstr>0x0101008B18F24F2D4E8140A461B5DCD99F9D2E</vt:lpwstr>
  </property>
  <property fmtid="{D5CDD505-2E9C-101B-9397-08002B2CF9AE}" pid="18" name="MediaServiceImageTags">
    <vt:lpwstr/>
  </property>
  <property fmtid="{D5CDD505-2E9C-101B-9397-08002B2CF9AE}" pid="19" name="DQCStatus">
    <vt:lpwstr>Green (DQC version 03)</vt:lpwstr>
  </property>
</Properties>
</file>