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486" w:rsidRDefault="00115486" w:rsidP="003745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B5245">
        <w:rPr>
          <w:rFonts w:cs="Arial"/>
          <w:bCs/>
          <w:noProof/>
          <w:lang w:eastAsia="pl-PL"/>
        </w:rPr>
        <w:drawing>
          <wp:inline distT="0" distB="0" distL="0" distR="0" wp14:anchorId="7559A250" wp14:editId="0AB4BFAA">
            <wp:extent cx="5667375" cy="5619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C91" w:rsidRDefault="00A47C91" w:rsidP="0011548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7C91">
        <w:rPr>
          <w:rFonts w:ascii="Arial" w:hAnsi="Arial" w:cs="Arial"/>
          <w:b/>
          <w:sz w:val="24"/>
          <w:szCs w:val="24"/>
        </w:rPr>
        <w:t>A</w:t>
      </w:r>
      <w:r w:rsidR="00DF2479">
        <w:rPr>
          <w:rFonts w:ascii="Arial" w:hAnsi="Arial" w:cs="Arial"/>
          <w:b/>
          <w:sz w:val="24"/>
          <w:szCs w:val="24"/>
        </w:rPr>
        <w:t xml:space="preserve">ktywny </w:t>
      </w:r>
      <w:r w:rsidRPr="00A47C91">
        <w:rPr>
          <w:rFonts w:ascii="Arial" w:hAnsi="Arial" w:cs="Arial"/>
          <w:b/>
          <w:sz w:val="24"/>
          <w:szCs w:val="24"/>
        </w:rPr>
        <w:t>M</w:t>
      </w:r>
      <w:r w:rsidR="00DF2479">
        <w:rPr>
          <w:rFonts w:ascii="Arial" w:hAnsi="Arial" w:cs="Arial"/>
          <w:b/>
          <w:sz w:val="24"/>
          <w:szCs w:val="24"/>
        </w:rPr>
        <w:t>aluch</w:t>
      </w:r>
      <w:r w:rsidRPr="00A47C91">
        <w:rPr>
          <w:rFonts w:ascii="Arial" w:hAnsi="Arial" w:cs="Arial"/>
          <w:b/>
          <w:sz w:val="24"/>
          <w:szCs w:val="24"/>
        </w:rPr>
        <w:t xml:space="preserve"> 2022-2029</w:t>
      </w:r>
      <w:r w:rsidR="00881ED7">
        <w:rPr>
          <w:rFonts w:ascii="Arial" w:hAnsi="Arial" w:cs="Arial"/>
          <w:b/>
          <w:sz w:val="24"/>
          <w:szCs w:val="24"/>
        </w:rPr>
        <w:t xml:space="preserve"> – najważniejsze zmiany</w:t>
      </w:r>
    </w:p>
    <w:p w:rsidR="00881ED7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11FD6">
        <w:rPr>
          <w:rFonts w:ascii="Arial" w:hAnsi="Arial" w:cs="Arial"/>
          <w:sz w:val="24"/>
          <w:szCs w:val="24"/>
        </w:rPr>
        <w:t xml:space="preserve">Od czwartej tury naboru ciągłego, podmiot zamierzający uczestniczyć </w:t>
      </w:r>
      <w:r w:rsidR="00B3207F">
        <w:rPr>
          <w:rFonts w:ascii="Arial" w:hAnsi="Arial" w:cs="Arial"/>
          <w:sz w:val="24"/>
          <w:szCs w:val="24"/>
        </w:rPr>
        <w:br/>
      </w:r>
      <w:r w:rsidRPr="00411FD6">
        <w:rPr>
          <w:rFonts w:ascii="Arial" w:hAnsi="Arial" w:cs="Arial"/>
          <w:sz w:val="24"/>
          <w:szCs w:val="24"/>
        </w:rPr>
        <w:t>w Programie nie może</w:t>
      </w:r>
      <w:r w:rsidRPr="00411FD6">
        <w:rPr>
          <w:rFonts w:ascii="Arial" w:hAnsi="Arial" w:cs="Arial"/>
          <w:sz w:val="24"/>
          <w:szCs w:val="24"/>
        </w:rPr>
        <w:t xml:space="preserve"> </w:t>
      </w:r>
      <w:r w:rsidRPr="00411FD6">
        <w:rPr>
          <w:rFonts w:ascii="Arial" w:hAnsi="Arial" w:cs="Arial"/>
          <w:sz w:val="24"/>
          <w:szCs w:val="24"/>
        </w:rPr>
        <w:t>aplikować o środki na miejsca opieki wpisane do rejestru/wykazu przed dniem ogłoszenia wyników</w:t>
      </w:r>
      <w:r w:rsidRPr="00411FD6">
        <w:rPr>
          <w:rFonts w:ascii="Arial" w:hAnsi="Arial" w:cs="Arial"/>
          <w:sz w:val="24"/>
          <w:szCs w:val="24"/>
        </w:rPr>
        <w:t xml:space="preserve"> </w:t>
      </w:r>
      <w:r w:rsidRPr="00411FD6">
        <w:rPr>
          <w:rFonts w:ascii="Arial" w:hAnsi="Arial" w:cs="Arial"/>
          <w:sz w:val="24"/>
          <w:szCs w:val="24"/>
        </w:rPr>
        <w:t>przez Ministra w turze naboru, w której brał udział. Zatem dofinansowaniu z Programu będą</w:t>
      </w:r>
      <w:r w:rsidRPr="00411FD6">
        <w:rPr>
          <w:rFonts w:ascii="Arial" w:hAnsi="Arial" w:cs="Arial"/>
          <w:sz w:val="24"/>
          <w:szCs w:val="24"/>
        </w:rPr>
        <w:t xml:space="preserve"> </w:t>
      </w:r>
      <w:r w:rsidRPr="00411FD6">
        <w:rPr>
          <w:rFonts w:ascii="Arial" w:hAnsi="Arial" w:cs="Arial"/>
          <w:sz w:val="24"/>
          <w:szCs w:val="24"/>
        </w:rPr>
        <w:t>podlegały miejsca opieki wpisane do rejestru/wykazu najwcześniej w dniu ogłoszenia przez Ministra</w:t>
      </w:r>
      <w:r w:rsidRPr="00411FD6">
        <w:rPr>
          <w:rFonts w:ascii="Arial" w:hAnsi="Arial" w:cs="Arial"/>
          <w:sz w:val="24"/>
          <w:szCs w:val="24"/>
        </w:rPr>
        <w:t xml:space="preserve"> </w:t>
      </w:r>
      <w:r w:rsidRPr="00411FD6">
        <w:rPr>
          <w:rFonts w:ascii="Arial" w:hAnsi="Arial" w:cs="Arial"/>
          <w:sz w:val="24"/>
          <w:szCs w:val="24"/>
        </w:rPr>
        <w:t>wyników dla danej tury naboru.</w:t>
      </w:r>
      <w:r w:rsidR="00881ED7">
        <w:rPr>
          <w:rFonts w:ascii="Arial" w:hAnsi="Arial" w:cs="Arial"/>
          <w:sz w:val="24"/>
          <w:szCs w:val="24"/>
        </w:rPr>
        <w:t xml:space="preserve"> </w:t>
      </w:r>
    </w:p>
    <w:p w:rsidR="00881ED7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81ED7">
        <w:rPr>
          <w:rFonts w:ascii="Arial" w:hAnsi="Arial" w:cs="Arial"/>
          <w:sz w:val="24"/>
          <w:szCs w:val="24"/>
        </w:rPr>
        <w:t>Wprowadzenie zapisu, że wnioskodawca w ciągu 3 miesięcy od ogłoszenia wyników danej tury musi</w:t>
      </w:r>
      <w:r w:rsidR="00881ED7" w:rsidRP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>dostarczyć do Wojewody niezbędne dokumenty do umowy, takie jak: tytuł prawny do lokalu, opis</w:t>
      </w:r>
      <w:r w:rsidR="00881ED7" w:rsidRP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>inwestycji, kalkulację kosztów. Jeśli podmiot nie dotrzyma tego terminu, Wojewoda może</w:t>
      </w:r>
      <w:r w:rsidR="00881ED7" w:rsidRP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>zrezygnować z podpisania umowy.</w:t>
      </w:r>
    </w:p>
    <w:p w:rsidR="00881ED7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81ED7">
        <w:rPr>
          <w:rFonts w:ascii="Arial" w:hAnsi="Arial" w:cs="Arial"/>
          <w:sz w:val="24"/>
          <w:szCs w:val="24"/>
        </w:rPr>
        <w:t>Wydłużenie dla wojewody terminu na pod</w:t>
      </w:r>
      <w:bookmarkStart w:id="0" w:name="_GoBack"/>
      <w:bookmarkEnd w:id="0"/>
      <w:r w:rsidRPr="00881ED7">
        <w:rPr>
          <w:rFonts w:ascii="Arial" w:hAnsi="Arial" w:cs="Arial"/>
          <w:sz w:val="24"/>
          <w:szCs w:val="24"/>
        </w:rPr>
        <w:t>pisanie umowy, tj. na 3 miesiące od dostarczenia przez</w:t>
      </w:r>
      <w:r w:rsid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 xml:space="preserve">podmiot dokumentów niezbędnych do umowy, zgodnie </w:t>
      </w:r>
      <w:r w:rsidR="00115486">
        <w:rPr>
          <w:rFonts w:ascii="Arial" w:hAnsi="Arial" w:cs="Arial"/>
          <w:sz w:val="24"/>
          <w:szCs w:val="24"/>
        </w:rPr>
        <w:br/>
      </w:r>
      <w:r w:rsidRPr="00881ED7">
        <w:rPr>
          <w:rFonts w:ascii="Arial" w:hAnsi="Arial" w:cs="Arial"/>
          <w:sz w:val="24"/>
          <w:szCs w:val="24"/>
        </w:rPr>
        <w:t>z pkt 2.</w:t>
      </w:r>
    </w:p>
    <w:p w:rsidR="00881ED7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81ED7">
        <w:rPr>
          <w:rFonts w:ascii="Arial" w:hAnsi="Arial" w:cs="Arial"/>
          <w:sz w:val="24"/>
          <w:szCs w:val="24"/>
        </w:rPr>
        <w:t>Zniesienie konieczności oczekiwania na pisemną odpowiedź wnioskodawcy na wezwanie wojewody</w:t>
      </w:r>
      <w:r w:rsid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>do złożenia wyjaśnień w przypadku zaistnienia przyczyn leżących po stronie wnioskodawcy</w:t>
      </w:r>
      <w:r w:rsid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 xml:space="preserve">uniemożliwiających podpisanie umowy </w:t>
      </w:r>
      <w:r w:rsidR="00B3207F">
        <w:rPr>
          <w:rFonts w:ascii="Arial" w:hAnsi="Arial" w:cs="Arial"/>
          <w:sz w:val="24"/>
          <w:szCs w:val="24"/>
        </w:rPr>
        <w:br/>
      </w:r>
      <w:r w:rsidRPr="00881ED7">
        <w:rPr>
          <w:rFonts w:ascii="Arial" w:hAnsi="Arial" w:cs="Arial"/>
          <w:sz w:val="24"/>
          <w:szCs w:val="24"/>
        </w:rPr>
        <w:t>w terminie wskazanym przez wojewodę.</w:t>
      </w:r>
    </w:p>
    <w:p w:rsidR="00881ED7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81ED7">
        <w:rPr>
          <w:rFonts w:ascii="Arial" w:hAnsi="Arial" w:cs="Arial"/>
          <w:sz w:val="24"/>
          <w:szCs w:val="24"/>
        </w:rPr>
        <w:t>Wprowadzenie do Programu delegacji dla ministra do wydania wytycznych, m.in.</w:t>
      </w:r>
      <w:r w:rsidR="00881ED7" w:rsidRPr="00881ED7">
        <w:rPr>
          <w:rFonts w:ascii="Arial" w:hAnsi="Arial" w:cs="Arial"/>
          <w:sz w:val="24"/>
          <w:szCs w:val="24"/>
        </w:rPr>
        <w:t xml:space="preserve"> </w:t>
      </w:r>
      <w:r w:rsidRPr="00881ED7">
        <w:rPr>
          <w:rFonts w:ascii="Arial" w:hAnsi="Arial" w:cs="Arial"/>
          <w:sz w:val="24"/>
          <w:szCs w:val="24"/>
        </w:rPr>
        <w:t>w zakresie przepływów finansowych.</w:t>
      </w:r>
    </w:p>
    <w:p w:rsidR="00BA35BE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35BE">
        <w:rPr>
          <w:rFonts w:ascii="Arial" w:hAnsi="Arial" w:cs="Arial"/>
          <w:sz w:val="24"/>
          <w:szCs w:val="24"/>
        </w:rPr>
        <w:t>Wprowadzenie wykładni „miesiąca” jako okresu, za który przysługuje dofinansowanie do</w:t>
      </w:r>
      <w:r w:rsidR="00881ED7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funkcjonowania oraz okresu podlegającego wskaźnikowaniu. Jeśli podmiot rozpocznie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funkcjonowanie w trakcie trwania miesiąca, ale będzie świadczył opiekę do 10 godzin dziennie oraz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w żaden inny sposób nie ograniczy prawa rodzica w dostępie do usługi opiekuńczej, wówczas taki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miesiąc traktuje się jako pełny miesięczny okres funkcjonowania.</w:t>
      </w:r>
    </w:p>
    <w:p w:rsidR="00BA35BE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35BE">
        <w:rPr>
          <w:rFonts w:ascii="Arial" w:hAnsi="Arial" w:cs="Arial"/>
          <w:sz w:val="24"/>
          <w:szCs w:val="24"/>
        </w:rPr>
        <w:t>W przypadku nieosiągnięcia wskaźnika obsadzenia miejsc opieki na wymaganym minimalnym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poziomie 80%, wojewoda otrzymał możliwość odstąpienia od dochodzenia zwrotu środków na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tworzenie w przypadku środków z KPO, jeśli podmiot udowodni, że nieosiągnięcie wymaganego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obsadzenia było spowodowane obiektywnymi okolicznościami.</w:t>
      </w:r>
    </w:p>
    <w:p w:rsidR="00BA35BE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35BE">
        <w:rPr>
          <w:rFonts w:ascii="Arial" w:hAnsi="Arial" w:cs="Arial"/>
          <w:sz w:val="24"/>
          <w:szCs w:val="24"/>
        </w:rPr>
        <w:lastRenderedPageBreak/>
        <w:t>Doprecyzowanie definicji opłaty podstawowej, stanowiącej podstawę dla ustalania przez ministra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maksymalnej wysokości opłaty – która stanowi 120% średniej miesięcznej opłaty podstawowej za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 xml:space="preserve">pobyt pobieranej w miastach wojewódzkich przez podmioty inne niż </w:t>
      </w:r>
      <w:proofErr w:type="spellStart"/>
      <w:r w:rsidRPr="00BA35BE">
        <w:rPr>
          <w:rFonts w:ascii="Arial" w:hAnsi="Arial" w:cs="Arial"/>
          <w:sz w:val="24"/>
          <w:szCs w:val="24"/>
        </w:rPr>
        <w:t>jst</w:t>
      </w:r>
      <w:proofErr w:type="spellEnd"/>
      <w:r w:rsidRPr="00BA35BE">
        <w:rPr>
          <w:rFonts w:ascii="Arial" w:hAnsi="Arial" w:cs="Arial"/>
          <w:sz w:val="24"/>
          <w:szCs w:val="24"/>
        </w:rPr>
        <w:t xml:space="preserve"> z wyłączeniem instytucji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publicznych – jaką podmiot może ustalić dla rodzica korzystającego z miejsc opieki utworzonych z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Programu.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</w:p>
    <w:p w:rsidR="00411FD6" w:rsidRPr="00BA35BE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A35BE">
        <w:rPr>
          <w:rFonts w:ascii="Arial" w:hAnsi="Arial" w:cs="Arial"/>
          <w:sz w:val="24"/>
          <w:szCs w:val="24"/>
        </w:rPr>
        <w:t>Dodanie zasady, która stanowi, że dofinansowanie do funkcjonowania na utworzone w ramach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Programu miejsca opieki nieobsadzone powyżej minimalnego wymaganego progu 80%, będzie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przyznane, jeśli w przypadku tych nieobsadzonych miejsc opieki, podmiot zapewni dostępność</w:t>
      </w:r>
      <w:r w:rsidR="00BA35BE" w:rsidRPr="00BA35BE">
        <w:rPr>
          <w:rFonts w:ascii="Arial" w:hAnsi="Arial" w:cs="Arial"/>
          <w:sz w:val="24"/>
          <w:szCs w:val="24"/>
        </w:rPr>
        <w:t xml:space="preserve"> </w:t>
      </w:r>
      <w:r w:rsidRPr="00BA35BE">
        <w:rPr>
          <w:rFonts w:ascii="Arial" w:hAnsi="Arial" w:cs="Arial"/>
          <w:sz w:val="24"/>
          <w:szCs w:val="24"/>
        </w:rPr>
        <w:t>usługi opiekuńczej poprzez:</w:t>
      </w:r>
    </w:p>
    <w:p w:rsidR="00411FD6" w:rsidRPr="00B3207F" w:rsidRDefault="00411FD6" w:rsidP="0011548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gotowość do przyjęcia dzieci (na przykład placówka pozostaje czynna, jest zatrudniony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personel, prowadzona jest rekrutacja na nieobsadzone miejsca według obniżonej opłaty),</w:t>
      </w:r>
    </w:p>
    <w:p w:rsidR="00411FD6" w:rsidRPr="00B3207F" w:rsidRDefault="00411FD6" w:rsidP="0011548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 xml:space="preserve"> spełni inne warunki kwalifikowalności przewidziane Programem dla okresu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funkcjonowania.</w:t>
      </w:r>
    </w:p>
    <w:p w:rsidR="00B3207F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Doprecyzowanie w zakresie kwalifikowalności kosztów w instytucji opieki, która zwiększa liczbę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miejsc opieki ze środków Programu oraz doprecyzowanie obowiązywania zasady proporcjonalnej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kwalifikowalności środków w przypadku finansowania tzw. „części wspólnych” ze środków programu.</w:t>
      </w:r>
    </w:p>
    <w:p w:rsidR="00411FD6" w:rsidRPr="00B3207F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Zmiana zasad w zakresie okresu trwałości:</w:t>
      </w:r>
    </w:p>
    <w:p w:rsidR="00411FD6" w:rsidRPr="00B3207F" w:rsidRDefault="00411FD6" w:rsidP="0011548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obniżenie minimalnego wskaźnika obsadzenia z 80% na 60%.</w:t>
      </w:r>
    </w:p>
    <w:p w:rsidR="00411FD6" w:rsidRPr="00B3207F" w:rsidRDefault="00411FD6" w:rsidP="0011548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skrócenie długości okresu trwałości z 3 lat do 2 lat.</w:t>
      </w:r>
    </w:p>
    <w:p w:rsidR="00411FD6" w:rsidRPr="00B3207F" w:rsidRDefault="00411FD6" w:rsidP="0011548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wprowadzenie pojęcia gotowości instytucjonalnej, którą ostateczny odbiorca wsparcia</w:t>
      </w:r>
    </w:p>
    <w:p w:rsidR="00411FD6" w:rsidRPr="00B3207F" w:rsidRDefault="00411FD6" w:rsidP="0011548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musi wykazać w razie nieosiągnięcia minimalnych 60% by nie zwracać środków.</w:t>
      </w:r>
    </w:p>
    <w:p w:rsidR="00411FD6" w:rsidRPr="00B3207F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Usunięcie z listy zadań ostatecznego odbiorcy wsparcia wymogu zamieszczenia tablicy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informacyjnej o uczestnictwie w Programie, o której mowa w pkt 9.3.3.3. Programu – wersji przed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zmianami (tzw. tablica krajowa – MALUCH+ 2022-2029).</w:t>
      </w:r>
    </w:p>
    <w:p w:rsidR="00B3207F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>Wprowadzenie rozdziału 9 regulującego zasady wnioskowania o zwiększoną kwotę dofinansowania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dla jednostek samorządu terytorialnego i realizacji zadania tworzenia miejsc opieki po przyjęciu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rewizji KPO.</w:t>
      </w:r>
    </w:p>
    <w:p w:rsidR="00411FD6" w:rsidRPr="00B3207F" w:rsidRDefault="00411FD6" w:rsidP="00115486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207F">
        <w:rPr>
          <w:rFonts w:ascii="Arial" w:hAnsi="Arial" w:cs="Arial"/>
          <w:sz w:val="24"/>
          <w:szCs w:val="24"/>
        </w:rPr>
        <w:t xml:space="preserve"> Wprowadzenie rozdziału 12 regulującego zasady przejściowe, które obejmują wnioski uczestników</w:t>
      </w:r>
      <w:r w:rsidR="00B3207F" w:rsidRPr="00B3207F">
        <w:rPr>
          <w:rFonts w:ascii="Arial" w:hAnsi="Arial" w:cs="Arial"/>
          <w:sz w:val="24"/>
          <w:szCs w:val="24"/>
        </w:rPr>
        <w:t xml:space="preserve"> </w:t>
      </w:r>
      <w:r w:rsidRPr="00B3207F">
        <w:rPr>
          <w:rFonts w:ascii="Arial" w:hAnsi="Arial" w:cs="Arial"/>
          <w:sz w:val="24"/>
          <w:szCs w:val="24"/>
        </w:rPr>
        <w:t>pierwszego naboru wniosków oraz I, II i III tury naboru ciągłego.</w:t>
      </w:r>
    </w:p>
    <w:sectPr w:rsidR="00411FD6" w:rsidRPr="00B3207F" w:rsidSect="0011548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28FA"/>
    <w:multiLevelType w:val="hybridMultilevel"/>
    <w:tmpl w:val="51046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22A2"/>
    <w:multiLevelType w:val="hybridMultilevel"/>
    <w:tmpl w:val="D3A27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0C1"/>
    <w:multiLevelType w:val="hybridMultilevel"/>
    <w:tmpl w:val="60DAF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B4D9A"/>
    <w:multiLevelType w:val="hybridMultilevel"/>
    <w:tmpl w:val="285EE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45D8"/>
    <w:multiLevelType w:val="hybridMultilevel"/>
    <w:tmpl w:val="80024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2F79"/>
    <w:multiLevelType w:val="hybridMultilevel"/>
    <w:tmpl w:val="4FB2D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445C"/>
    <w:multiLevelType w:val="hybridMultilevel"/>
    <w:tmpl w:val="7D56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2157"/>
    <w:multiLevelType w:val="hybridMultilevel"/>
    <w:tmpl w:val="60DAF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C91"/>
    <w:rsid w:val="00115486"/>
    <w:rsid w:val="002C5658"/>
    <w:rsid w:val="003745DE"/>
    <w:rsid w:val="00411FD6"/>
    <w:rsid w:val="006D0456"/>
    <w:rsid w:val="006E73F9"/>
    <w:rsid w:val="00881ED7"/>
    <w:rsid w:val="008A1E75"/>
    <w:rsid w:val="00A47C91"/>
    <w:rsid w:val="00B3207F"/>
    <w:rsid w:val="00B552A5"/>
    <w:rsid w:val="00BA35BE"/>
    <w:rsid w:val="00C8065F"/>
    <w:rsid w:val="00D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5061"/>
  <w15:chartTrackingRefBased/>
  <w15:docId w15:val="{EB1DE095-68A1-4F5B-A6B7-7A059FC4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Forst</dc:creator>
  <cp:keywords/>
  <dc:description/>
  <cp:lastModifiedBy>Daniela Schulz</cp:lastModifiedBy>
  <cp:revision>5</cp:revision>
  <dcterms:created xsi:type="dcterms:W3CDTF">2024-04-30T08:30:00Z</dcterms:created>
  <dcterms:modified xsi:type="dcterms:W3CDTF">2024-04-30T08:38:00Z</dcterms:modified>
</cp:coreProperties>
</file>