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D21D" w14:textId="00BA9DF2" w:rsidR="00BA768C" w:rsidRDefault="00BA768C" w:rsidP="00A66C0C">
      <w:pPr>
        <w:jc w:val="center"/>
      </w:pPr>
      <w:r>
        <w:rPr>
          <w:noProof/>
        </w:rPr>
        <w:drawing>
          <wp:inline distT="0" distB="0" distL="0" distR="0" wp14:anchorId="124A06B0" wp14:editId="3F67757D">
            <wp:extent cx="5760720" cy="746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4C80" w14:textId="1A9071EE" w:rsidR="004651A7" w:rsidRPr="00A77094" w:rsidRDefault="004651A7" w:rsidP="00BA768C">
      <w:pPr>
        <w:jc w:val="center"/>
        <w:rPr>
          <w:rFonts w:cs="Calibri"/>
          <w:u w:val="single"/>
        </w:rPr>
      </w:pPr>
      <w:r w:rsidRPr="00A77094">
        <w:rPr>
          <w:rFonts w:cs="Calibri"/>
          <w:u w:val="single"/>
        </w:rPr>
        <w:t>Szacowanie wartości zamówienia</w:t>
      </w:r>
    </w:p>
    <w:p w14:paraId="58E63F2E" w14:textId="17B101E3" w:rsidR="00BA768C" w:rsidRDefault="00235F07" w:rsidP="00BA768C">
      <w:pPr>
        <w:jc w:val="center"/>
        <w:rPr>
          <w:b/>
          <w:bCs/>
        </w:rPr>
      </w:pPr>
      <w:r>
        <w:rPr>
          <w:rFonts w:cs="Calibri"/>
          <w:b/>
          <w:bCs/>
        </w:rPr>
        <w:t xml:space="preserve">Wykonanie </w:t>
      </w:r>
      <w:r w:rsidR="00BA768C">
        <w:rPr>
          <w:rFonts w:cs="Calibri"/>
          <w:b/>
          <w:bCs/>
        </w:rPr>
        <w:t>„</w:t>
      </w:r>
      <w:r>
        <w:rPr>
          <w:rFonts w:cs="Calibri"/>
          <w:b/>
          <w:bCs/>
        </w:rPr>
        <w:t>O</w:t>
      </w:r>
      <w:r w:rsidR="00BA768C" w:rsidRPr="00BA768C">
        <w:rPr>
          <w:rFonts w:cs="Calibri"/>
          <w:b/>
          <w:bCs/>
          <w:color w:val="000000"/>
        </w:rPr>
        <w:t>ceny spełniania zasady „nie czyń poważnej szkody” [ang. „</w:t>
      </w:r>
      <w:r w:rsidR="00BA768C" w:rsidRPr="00BA768C">
        <w:rPr>
          <w:rFonts w:cs="Calibri"/>
          <w:b/>
          <w:bCs/>
          <w:i/>
          <w:color w:val="000000"/>
        </w:rPr>
        <w:t xml:space="preserve">Do No </w:t>
      </w:r>
      <w:proofErr w:type="spellStart"/>
      <w:r w:rsidR="00BA768C" w:rsidRPr="00BA768C">
        <w:rPr>
          <w:rFonts w:cs="Calibri"/>
          <w:b/>
          <w:bCs/>
          <w:i/>
          <w:color w:val="000000"/>
        </w:rPr>
        <w:t>Significant</w:t>
      </w:r>
      <w:proofErr w:type="spellEnd"/>
      <w:r w:rsidR="00BA768C" w:rsidRPr="00BA768C">
        <w:rPr>
          <w:rFonts w:cs="Calibri"/>
          <w:b/>
          <w:bCs/>
          <w:i/>
          <w:color w:val="000000"/>
        </w:rPr>
        <w:t xml:space="preserve"> </w:t>
      </w:r>
      <w:proofErr w:type="spellStart"/>
      <w:r w:rsidR="00BA768C" w:rsidRPr="00BA768C">
        <w:rPr>
          <w:rFonts w:cs="Calibri"/>
          <w:b/>
          <w:bCs/>
          <w:i/>
          <w:color w:val="000000"/>
        </w:rPr>
        <w:t>Harm</w:t>
      </w:r>
      <w:proofErr w:type="spellEnd"/>
      <w:r w:rsidR="00BA768C" w:rsidRPr="00BA768C">
        <w:rPr>
          <w:rFonts w:cs="Calibri"/>
          <w:b/>
          <w:bCs/>
          <w:color w:val="000000"/>
        </w:rPr>
        <w:t>” (DNSH)]</w:t>
      </w:r>
      <w:r w:rsidR="00BA768C" w:rsidRPr="00BA768C">
        <w:rPr>
          <w:rFonts w:cs="Calibri"/>
          <w:b/>
          <w:bCs/>
        </w:rPr>
        <w:t xml:space="preserve">, w rozumieniu art. 17 </w:t>
      </w:r>
      <w:r w:rsidR="00BA768C" w:rsidRPr="00BA768C">
        <w:rPr>
          <w:b/>
          <w:bCs/>
        </w:rPr>
        <w:t>rozporządzenia Parlamentu Europejskiego i Rady (UE) 2020/852 z</w:t>
      </w:r>
      <w:r w:rsidR="00D31335">
        <w:rPr>
          <w:b/>
          <w:bCs/>
        </w:rPr>
        <w:t> </w:t>
      </w:r>
      <w:r w:rsidR="00BA768C" w:rsidRPr="00BA768C">
        <w:rPr>
          <w:b/>
          <w:bCs/>
        </w:rPr>
        <w:t>dnia 18 czerwca 2020 r. w sprawie ustanowienia ram ułatwiających zrównoważone inwestycje</w:t>
      </w:r>
      <w:r w:rsidR="00BA768C" w:rsidRPr="00BA768C">
        <w:rPr>
          <w:rFonts w:cs="Calibri"/>
          <w:b/>
          <w:bCs/>
        </w:rPr>
        <w:t xml:space="preserve">, dla dokumentu pn. Krajowy Plan Odbudowy i Zwiększania Odporności (KPO), w tym </w:t>
      </w:r>
      <w:r w:rsidR="00BA768C" w:rsidRPr="00BA768C">
        <w:rPr>
          <w:b/>
          <w:bCs/>
        </w:rPr>
        <w:t xml:space="preserve">komponentu </w:t>
      </w:r>
      <w:proofErr w:type="spellStart"/>
      <w:r w:rsidR="00BA768C" w:rsidRPr="00BA768C">
        <w:rPr>
          <w:b/>
          <w:bCs/>
        </w:rPr>
        <w:t>RePower</w:t>
      </w:r>
      <w:proofErr w:type="spellEnd"/>
      <w:r w:rsidR="00BA768C" w:rsidRPr="00BA768C">
        <w:rPr>
          <w:b/>
          <w:bCs/>
        </w:rPr>
        <w:t xml:space="preserve"> EU,</w:t>
      </w:r>
      <w:r w:rsidR="00BA768C" w:rsidRPr="00BA768C">
        <w:rPr>
          <w:rFonts w:cs="Calibri"/>
          <w:b/>
          <w:bCs/>
        </w:rPr>
        <w:t xml:space="preserve"> w związku z jego rewizją oraz doradztwo eksperckie </w:t>
      </w:r>
      <w:r w:rsidR="00BA768C" w:rsidRPr="00BA768C">
        <w:rPr>
          <w:b/>
          <w:bCs/>
        </w:rPr>
        <w:t>w interpretacji stosowania zasady DNSH w kontekście realizowanych inwestycji i przedsięwzięć</w:t>
      </w:r>
      <w:r w:rsidR="00BA768C">
        <w:rPr>
          <w:b/>
          <w:bCs/>
        </w:rPr>
        <w:t>”</w:t>
      </w:r>
    </w:p>
    <w:p w14:paraId="30C99431" w14:textId="77777777" w:rsidR="00A66C0C" w:rsidRDefault="00A66C0C" w:rsidP="004651A7"/>
    <w:p w14:paraId="76A2D3A7" w14:textId="50B0FC3D" w:rsidR="004651A7" w:rsidRDefault="004651A7" w:rsidP="004651A7">
      <w:r w:rsidRPr="00A77094">
        <w:t>Nazwa podmiotu przedstawiającego szacunek kosztów:</w:t>
      </w:r>
      <w:r w:rsidR="00A66C0C">
        <w:t>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122"/>
        <w:gridCol w:w="1812"/>
        <w:gridCol w:w="1199"/>
        <w:gridCol w:w="1261"/>
        <w:gridCol w:w="1207"/>
        <w:gridCol w:w="1812"/>
        <w:gridCol w:w="1148"/>
        <w:gridCol w:w="1148"/>
        <w:gridCol w:w="1148"/>
      </w:tblGrid>
      <w:tr w:rsidR="00E65897" w:rsidRPr="00A66C0C" w14:paraId="3A4D82A5" w14:textId="094C63FF" w:rsidTr="00A66C0C">
        <w:tc>
          <w:tcPr>
            <w:tcW w:w="3122" w:type="dxa"/>
          </w:tcPr>
          <w:p w14:paraId="296AFA29" w14:textId="77777777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812" w:type="dxa"/>
          </w:tcPr>
          <w:p w14:paraId="0E2339D1" w14:textId="5FB53F08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Jednostka</w:t>
            </w:r>
          </w:p>
        </w:tc>
        <w:tc>
          <w:tcPr>
            <w:tcW w:w="1199" w:type="dxa"/>
          </w:tcPr>
          <w:p w14:paraId="080BBA55" w14:textId="358017F1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netto w PLN</w:t>
            </w:r>
          </w:p>
        </w:tc>
        <w:tc>
          <w:tcPr>
            <w:tcW w:w="1261" w:type="dxa"/>
          </w:tcPr>
          <w:p w14:paraId="44F814A3" w14:textId="77777777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VAT</w:t>
            </w:r>
          </w:p>
        </w:tc>
        <w:tc>
          <w:tcPr>
            <w:tcW w:w="1207" w:type="dxa"/>
          </w:tcPr>
          <w:p w14:paraId="7C3C8F2C" w14:textId="77777777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brutto w PLN</w:t>
            </w:r>
          </w:p>
        </w:tc>
        <w:tc>
          <w:tcPr>
            <w:tcW w:w="1812" w:type="dxa"/>
          </w:tcPr>
          <w:p w14:paraId="7F5D7663" w14:textId="5611200C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Jednostka</w:t>
            </w:r>
          </w:p>
        </w:tc>
        <w:tc>
          <w:tcPr>
            <w:tcW w:w="1148" w:type="dxa"/>
          </w:tcPr>
          <w:p w14:paraId="1EED01CA" w14:textId="274AB904" w:rsidR="00E40B45" w:rsidRPr="00A66C0C" w:rsidRDefault="00E75B4D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netto w PLN</w:t>
            </w:r>
          </w:p>
        </w:tc>
        <w:tc>
          <w:tcPr>
            <w:tcW w:w="1148" w:type="dxa"/>
          </w:tcPr>
          <w:p w14:paraId="4B231D94" w14:textId="1DD26629" w:rsidR="00E40B45" w:rsidRPr="00A66C0C" w:rsidRDefault="00E75B4D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VAT</w:t>
            </w:r>
          </w:p>
        </w:tc>
        <w:tc>
          <w:tcPr>
            <w:tcW w:w="1148" w:type="dxa"/>
          </w:tcPr>
          <w:p w14:paraId="52A4D9EB" w14:textId="26BE99C7" w:rsidR="00E40B45" w:rsidRPr="00A66C0C" w:rsidRDefault="00E75B4D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brutto w PLN</w:t>
            </w:r>
          </w:p>
        </w:tc>
      </w:tr>
      <w:tr w:rsidR="00E75B4D" w:rsidRPr="00A66C0C" w14:paraId="761CF167" w14:textId="1948F3A0" w:rsidTr="00A66C0C">
        <w:tc>
          <w:tcPr>
            <w:tcW w:w="3122" w:type="dxa"/>
          </w:tcPr>
          <w:p w14:paraId="0123CBD0" w14:textId="7C50B29A" w:rsidR="00E40B45" w:rsidRPr="00A66C0C" w:rsidRDefault="00E40B45" w:rsidP="009D1CF3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A66C0C">
              <w:rPr>
                <w:rFonts w:cs="Calibri"/>
                <w:sz w:val="18"/>
                <w:szCs w:val="18"/>
              </w:rPr>
              <w:t xml:space="preserve">Ocena spełniania zasady DNSH, w rozumieniu art. 17 rozporządzenia (UE) nr 2020/852 </w:t>
            </w:r>
            <w:proofErr w:type="spellStart"/>
            <w:r w:rsidRPr="00A66C0C">
              <w:rPr>
                <w:rFonts w:cs="Calibri"/>
                <w:sz w:val="18"/>
                <w:szCs w:val="18"/>
              </w:rPr>
              <w:t>ws</w:t>
            </w:r>
            <w:proofErr w:type="spellEnd"/>
            <w:r w:rsidRPr="00A66C0C">
              <w:rPr>
                <w:rFonts w:cs="Calibri"/>
                <w:sz w:val="18"/>
                <w:szCs w:val="18"/>
              </w:rPr>
              <w:t>. taksonomii dla Krajowy Plan Odbudowy i Zwiększania Odporności poddanego rewizji</w:t>
            </w:r>
          </w:p>
        </w:tc>
        <w:tc>
          <w:tcPr>
            <w:tcW w:w="1812" w:type="dxa"/>
          </w:tcPr>
          <w:p w14:paraId="554E9F50" w14:textId="7480902C" w:rsidR="00E40B45" w:rsidRPr="00A66C0C" w:rsidRDefault="00E40B45" w:rsidP="00E40B45">
            <w:pPr>
              <w:pStyle w:val="Akapitzlist"/>
              <w:ind w:left="0"/>
              <w:jc w:val="both"/>
              <w:rPr>
                <w:sz w:val="18"/>
                <w:szCs w:val="18"/>
              </w:rPr>
            </w:pPr>
            <w:r w:rsidRPr="00A66C0C">
              <w:rPr>
                <w:rFonts w:cs="Calibri"/>
                <w:sz w:val="18"/>
                <w:szCs w:val="18"/>
              </w:rPr>
              <w:t xml:space="preserve">1 reforma/inwestycja podlegająca rewizji, </w:t>
            </w:r>
            <w:r w:rsidRPr="00A66C0C">
              <w:rPr>
                <w:sz w:val="18"/>
                <w:szCs w:val="18"/>
              </w:rPr>
              <w:t>która uznana została za wymagającą oceny</w:t>
            </w:r>
          </w:p>
        </w:tc>
        <w:tc>
          <w:tcPr>
            <w:tcW w:w="1199" w:type="dxa"/>
          </w:tcPr>
          <w:p w14:paraId="4442951B" w14:textId="77777777" w:rsidR="00E40B45" w:rsidRPr="00A66C0C" w:rsidRDefault="00E40B45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95F1855" w14:textId="77777777" w:rsidR="00E40B45" w:rsidRPr="00A66C0C" w:rsidRDefault="00E40B45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60354174" w14:textId="77777777" w:rsidR="00E40B45" w:rsidRPr="00A66C0C" w:rsidRDefault="00E40B45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60C10BA2" w14:textId="77777777" w:rsidR="00E40B45" w:rsidRPr="00A66C0C" w:rsidRDefault="00E75B4D" w:rsidP="00E75B4D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20</w:t>
            </w:r>
          </w:p>
          <w:p w14:paraId="1EB33B8C" w14:textId="68E82C6D" w:rsidR="00E65897" w:rsidRPr="00A66C0C" w:rsidRDefault="00E65897" w:rsidP="00E75B4D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66C0C">
              <w:rPr>
                <w:rFonts w:cs="Calibri"/>
                <w:sz w:val="18"/>
                <w:szCs w:val="18"/>
              </w:rPr>
              <w:t xml:space="preserve">reforma/inwestycja podlegająca rewizji, </w:t>
            </w:r>
            <w:r w:rsidRPr="00A66C0C">
              <w:rPr>
                <w:sz w:val="18"/>
                <w:szCs w:val="18"/>
              </w:rPr>
              <w:t>która uznana została za wymagającą oceny</w:t>
            </w:r>
          </w:p>
        </w:tc>
        <w:tc>
          <w:tcPr>
            <w:tcW w:w="1148" w:type="dxa"/>
          </w:tcPr>
          <w:p w14:paraId="5BF0E4A5" w14:textId="77777777" w:rsidR="00E40B45" w:rsidRPr="00A66C0C" w:rsidRDefault="00E40B45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3B3DD550" w14:textId="77777777" w:rsidR="00E40B45" w:rsidRPr="00A66C0C" w:rsidRDefault="00E40B45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1EB70024" w14:textId="77777777" w:rsidR="00E40B45" w:rsidRPr="00A66C0C" w:rsidRDefault="00E40B45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E65897" w:rsidRPr="00A66C0C" w14:paraId="311FC09C" w14:textId="2DAE91E9" w:rsidTr="00A66C0C">
        <w:tc>
          <w:tcPr>
            <w:tcW w:w="3122" w:type="dxa"/>
          </w:tcPr>
          <w:p w14:paraId="45D349AB" w14:textId="05E6296B" w:rsidR="00E40B45" w:rsidRPr="00A66C0C" w:rsidRDefault="00E40B45" w:rsidP="00E40B45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 w:rsidRPr="00A66C0C">
              <w:rPr>
                <w:rFonts w:cs="Calibri"/>
                <w:sz w:val="18"/>
                <w:szCs w:val="18"/>
              </w:rPr>
              <w:t>Doradztwo eksperckie w interpretacji stosowania zasady DNSH w kontekście inwestycji i przedsięwzięć realizowanych w ramach KPO</w:t>
            </w:r>
          </w:p>
        </w:tc>
        <w:tc>
          <w:tcPr>
            <w:tcW w:w="1812" w:type="dxa"/>
          </w:tcPr>
          <w:p w14:paraId="55BDECC0" w14:textId="6245AEA8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1 roboczogodzina</w:t>
            </w:r>
          </w:p>
        </w:tc>
        <w:tc>
          <w:tcPr>
            <w:tcW w:w="1199" w:type="dxa"/>
          </w:tcPr>
          <w:p w14:paraId="72307476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61" w:type="dxa"/>
          </w:tcPr>
          <w:p w14:paraId="47F0D697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07" w:type="dxa"/>
          </w:tcPr>
          <w:p w14:paraId="7D654547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812" w:type="dxa"/>
          </w:tcPr>
          <w:p w14:paraId="79F366C6" w14:textId="76DADE5A" w:rsidR="00E40B45" w:rsidRPr="00A66C0C" w:rsidRDefault="00E75B4D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 xml:space="preserve">270 roboczogodzin </w:t>
            </w:r>
          </w:p>
        </w:tc>
        <w:tc>
          <w:tcPr>
            <w:tcW w:w="1148" w:type="dxa"/>
          </w:tcPr>
          <w:p w14:paraId="31C30760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3B27CD87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</w:tcPr>
          <w:p w14:paraId="1D20651F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E75B4D" w:rsidRPr="00A66C0C" w14:paraId="3B07EC0C" w14:textId="797CA190" w:rsidTr="00A66C0C">
        <w:trPr>
          <w:trHeight w:val="406"/>
        </w:trPr>
        <w:tc>
          <w:tcPr>
            <w:tcW w:w="3122" w:type="dxa"/>
            <w:shd w:val="pct10" w:color="auto" w:fill="auto"/>
          </w:tcPr>
          <w:p w14:paraId="47C9E76A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Łącznie</w:t>
            </w:r>
          </w:p>
        </w:tc>
        <w:tc>
          <w:tcPr>
            <w:tcW w:w="1812" w:type="dxa"/>
            <w:shd w:val="pct10" w:color="auto" w:fill="auto"/>
          </w:tcPr>
          <w:p w14:paraId="0EE1718E" w14:textId="04EC956D" w:rsidR="00E40B45" w:rsidRPr="00A66C0C" w:rsidRDefault="00E75B4D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 xml:space="preserve"> Nie dotyczy</w:t>
            </w:r>
          </w:p>
        </w:tc>
        <w:tc>
          <w:tcPr>
            <w:tcW w:w="1199" w:type="dxa"/>
            <w:shd w:val="pct10" w:color="auto" w:fill="auto"/>
          </w:tcPr>
          <w:p w14:paraId="27BFBA75" w14:textId="2ACAD794" w:rsidR="00E40B45" w:rsidRPr="00A66C0C" w:rsidRDefault="00E75B4D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Nie dotyczy</w:t>
            </w:r>
          </w:p>
        </w:tc>
        <w:tc>
          <w:tcPr>
            <w:tcW w:w="1261" w:type="dxa"/>
            <w:shd w:val="pct10" w:color="auto" w:fill="auto"/>
          </w:tcPr>
          <w:p w14:paraId="0160D208" w14:textId="3E25D675" w:rsidR="00E40B45" w:rsidRPr="00A66C0C" w:rsidRDefault="00E75B4D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Nie dotyczy</w:t>
            </w:r>
          </w:p>
        </w:tc>
        <w:tc>
          <w:tcPr>
            <w:tcW w:w="1207" w:type="dxa"/>
            <w:shd w:val="pct10" w:color="auto" w:fill="auto"/>
          </w:tcPr>
          <w:p w14:paraId="7A6620DE" w14:textId="4A672A4D" w:rsidR="00E40B45" w:rsidRPr="00A66C0C" w:rsidRDefault="00E75B4D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Nie dotyczy</w:t>
            </w:r>
          </w:p>
        </w:tc>
        <w:tc>
          <w:tcPr>
            <w:tcW w:w="1812" w:type="dxa"/>
            <w:shd w:val="pct10" w:color="auto" w:fill="auto"/>
          </w:tcPr>
          <w:p w14:paraId="7848F515" w14:textId="0709AFB2" w:rsidR="00E40B45" w:rsidRPr="00A66C0C" w:rsidRDefault="00E75B4D" w:rsidP="00E40B45">
            <w:pPr>
              <w:pStyle w:val="Akapitzlist"/>
              <w:ind w:left="0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Nie dotyczy</w:t>
            </w:r>
          </w:p>
        </w:tc>
        <w:tc>
          <w:tcPr>
            <w:tcW w:w="1148" w:type="dxa"/>
            <w:shd w:val="pct10" w:color="auto" w:fill="auto"/>
          </w:tcPr>
          <w:p w14:paraId="78F79EF7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pct10" w:color="auto" w:fill="auto"/>
          </w:tcPr>
          <w:p w14:paraId="08982637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pct10" w:color="auto" w:fill="auto"/>
          </w:tcPr>
          <w:p w14:paraId="3D4F090C" w14:textId="77777777" w:rsidR="00E40B45" w:rsidRPr="00A66C0C" w:rsidRDefault="00E40B45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</w:tbl>
    <w:p w14:paraId="4075D374" w14:textId="77777777" w:rsidR="00A66C0C" w:rsidRDefault="00A66C0C" w:rsidP="00A66C0C">
      <w:pPr>
        <w:rPr>
          <w:sz w:val="18"/>
          <w:szCs w:val="18"/>
        </w:rPr>
      </w:pPr>
    </w:p>
    <w:p w14:paraId="5A320A60" w14:textId="3977B55F" w:rsidR="00F03F23" w:rsidRPr="00A66C0C" w:rsidRDefault="00A66C0C" w:rsidP="00A66C0C">
      <w:pPr>
        <w:rPr>
          <w:i/>
          <w:iCs/>
          <w:sz w:val="18"/>
          <w:szCs w:val="18"/>
        </w:rPr>
      </w:pPr>
      <w:r w:rsidRPr="00A66C0C">
        <w:rPr>
          <w:i/>
          <w:iCs/>
          <w:sz w:val="18"/>
          <w:szCs w:val="18"/>
        </w:rPr>
        <w:t>Rozeznanie (zapytanie) </w:t>
      </w:r>
      <w:r w:rsidRPr="00A66C0C">
        <w:rPr>
          <w:b/>
          <w:bCs/>
          <w:i/>
          <w:iCs/>
          <w:sz w:val="18"/>
          <w:szCs w:val="18"/>
        </w:rPr>
        <w:t>nie stanowi oferty</w:t>
      </w:r>
      <w:r w:rsidRPr="00A66C0C">
        <w:rPr>
          <w:i/>
          <w:iCs/>
          <w:sz w:val="18"/>
          <w:szCs w:val="18"/>
        </w:rPr>
        <w:t> w rozumieniu przepisów ustawy </w:t>
      </w:r>
      <w:r w:rsidRPr="00A66C0C">
        <w:rPr>
          <w:i/>
          <w:iCs/>
          <w:sz w:val="18"/>
          <w:szCs w:val="18"/>
        </w:rPr>
        <w:t xml:space="preserve"> </w:t>
      </w:r>
      <w:r w:rsidRPr="00A66C0C">
        <w:rPr>
          <w:i/>
          <w:iCs/>
          <w:sz w:val="18"/>
          <w:szCs w:val="18"/>
        </w:rPr>
        <w:t>z dnia 23 kwietnia 1964 r. – Kodeks cywilny (Dz. U. z 2019 r. poz. 1145), jak również </w:t>
      </w:r>
      <w:r w:rsidRPr="00A66C0C">
        <w:rPr>
          <w:b/>
          <w:bCs/>
          <w:i/>
          <w:iCs/>
          <w:sz w:val="18"/>
          <w:szCs w:val="18"/>
          <w:u w:val="single"/>
        </w:rPr>
        <w:t>nie jest ogłoszeniem</w:t>
      </w:r>
      <w:r w:rsidRPr="00A66C0C">
        <w:rPr>
          <w:i/>
          <w:iCs/>
          <w:sz w:val="18"/>
          <w:szCs w:val="18"/>
        </w:rPr>
        <w:t> w rozumieniu przepisów ustawy z dnia 11 września 2019 r. – Prawo zamówień publicznych (Dz.U. 2019 poz. 2019).</w:t>
      </w:r>
    </w:p>
    <w:sectPr w:rsidR="00F03F23" w:rsidRPr="00A66C0C" w:rsidSect="00E40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8C"/>
    <w:rsid w:val="00056717"/>
    <w:rsid w:val="00235F07"/>
    <w:rsid w:val="00437006"/>
    <w:rsid w:val="004651A7"/>
    <w:rsid w:val="006A7BD4"/>
    <w:rsid w:val="009D1CF3"/>
    <w:rsid w:val="00A66C0C"/>
    <w:rsid w:val="00A77094"/>
    <w:rsid w:val="00A82920"/>
    <w:rsid w:val="00BA768C"/>
    <w:rsid w:val="00D31335"/>
    <w:rsid w:val="00E40B45"/>
    <w:rsid w:val="00E65897"/>
    <w:rsid w:val="00E75B4D"/>
    <w:rsid w:val="00F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A1D3"/>
  <w15:chartTrackingRefBased/>
  <w15:docId w15:val="{F35B2706-69C3-4DF9-BCD9-97DCC781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6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BA768C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9D1C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Zagaja-Fiedoruk Aldona</dc:creator>
  <cp:keywords/>
  <dc:description/>
  <cp:lastModifiedBy>Zagaja-Fiedoruk Aldona</cp:lastModifiedBy>
  <cp:revision>2</cp:revision>
  <dcterms:created xsi:type="dcterms:W3CDTF">2025-02-10T06:49:00Z</dcterms:created>
  <dcterms:modified xsi:type="dcterms:W3CDTF">2025-02-10T06:49:00Z</dcterms:modified>
</cp:coreProperties>
</file>