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EC8910" w14:textId="77777777" w:rsidR="00E755B3" w:rsidRDefault="00E755B3" w:rsidP="00854F86">
      <w:pPr>
        <w:jc w:val="both"/>
        <w:rPr>
          <w:rFonts w:ascii="Arial" w:hAnsi="Arial" w:cs="Arial"/>
          <w:b/>
          <w:sz w:val="20"/>
          <w:szCs w:val="20"/>
        </w:rPr>
      </w:pPr>
    </w:p>
    <w:p w14:paraId="7239D419" w14:textId="6E00A9CB" w:rsidR="00E755B3" w:rsidRPr="00CB0A02" w:rsidRDefault="00E755B3" w:rsidP="00787A12">
      <w:pPr>
        <w:pStyle w:val="Nagwek1"/>
        <w:spacing w:before="0" w:after="100" w:afterAutospacing="1" w:line="360" w:lineRule="auto"/>
        <w:rPr>
          <w:rFonts w:asciiTheme="minorHAnsi" w:hAnsiTheme="minorHAnsi" w:cstheme="minorHAnsi"/>
          <w:color w:val="auto"/>
          <w:sz w:val="28"/>
          <w:szCs w:val="28"/>
        </w:rPr>
      </w:pPr>
      <w:r w:rsidRPr="00CB0A02">
        <w:rPr>
          <w:rFonts w:asciiTheme="minorHAnsi" w:hAnsiTheme="minorHAnsi" w:cstheme="minorHAnsi"/>
          <w:color w:val="auto"/>
          <w:sz w:val="28"/>
          <w:szCs w:val="28"/>
        </w:rPr>
        <w:t xml:space="preserve">Założenia do zmiany Zarządzenia Regionalnego Dyrektora Ochrony Środowiska W Olsztynie z dnia 29 grudnia 2014 r. w sprawie ustanowienia planu zadań ochronnych dla obszaru Natura 2000 Jezioro </w:t>
      </w:r>
      <w:proofErr w:type="spellStart"/>
      <w:r w:rsidRPr="00CB0A02">
        <w:rPr>
          <w:rFonts w:asciiTheme="minorHAnsi" w:hAnsiTheme="minorHAnsi" w:cstheme="minorHAnsi"/>
          <w:color w:val="auto"/>
          <w:sz w:val="28"/>
          <w:szCs w:val="28"/>
        </w:rPr>
        <w:t>Dobskie</w:t>
      </w:r>
      <w:proofErr w:type="spellEnd"/>
      <w:r w:rsidRPr="00CB0A02">
        <w:rPr>
          <w:rFonts w:asciiTheme="minorHAnsi" w:hAnsiTheme="minorHAnsi" w:cstheme="minorHAnsi"/>
          <w:color w:val="auto"/>
          <w:sz w:val="28"/>
          <w:szCs w:val="28"/>
        </w:rPr>
        <w:t xml:space="preserve"> PLB280012 (Dz. Urz. Woj. </w:t>
      </w:r>
      <w:proofErr w:type="spellStart"/>
      <w:r w:rsidRPr="00CB0A02">
        <w:rPr>
          <w:rFonts w:asciiTheme="minorHAnsi" w:hAnsiTheme="minorHAnsi" w:cstheme="minorHAnsi"/>
          <w:color w:val="auto"/>
          <w:sz w:val="28"/>
          <w:szCs w:val="28"/>
        </w:rPr>
        <w:t>Warm</w:t>
      </w:r>
      <w:proofErr w:type="spellEnd"/>
      <w:r w:rsidRPr="00CB0A02">
        <w:rPr>
          <w:rFonts w:asciiTheme="minorHAnsi" w:hAnsiTheme="minorHAnsi" w:cstheme="minorHAnsi"/>
          <w:color w:val="auto"/>
          <w:sz w:val="28"/>
          <w:szCs w:val="28"/>
        </w:rPr>
        <w:t>.-</w:t>
      </w:r>
      <w:proofErr w:type="spellStart"/>
      <w:r w:rsidRPr="00CB0A02">
        <w:rPr>
          <w:rFonts w:asciiTheme="minorHAnsi" w:hAnsiTheme="minorHAnsi" w:cstheme="minorHAnsi"/>
          <w:color w:val="auto"/>
          <w:sz w:val="28"/>
          <w:szCs w:val="28"/>
        </w:rPr>
        <w:t>Maz</w:t>
      </w:r>
      <w:proofErr w:type="spellEnd"/>
      <w:r w:rsidRPr="00CB0A02">
        <w:rPr>
          <w:rFonts w:asciiTheme="minorHAnsi" w:hAnsiTheme="minorHAnsi" w:cstheme="minorHAnsi"/>
          <w:color w:val="auto"/>
          <w:sz w:val="28"/>
          <w:szCs w:val="28"/>
        </w:rPr>
        <w:t xml:space="preserve">. z 2015 r. poz. 4307, z </w:t>
      </w:r>
      <w:proofErr w:type="spellStart"/>
      <w:r w:rsidRPr="00CB0A02">
        <w:rPr>
          <w:rFonts w:asciiTheme="minorHAnsi" w:hAnsiTheme="minorHAnsi" w:cstheme="minorHAnsi"/>
          <w:color w:val="auto"/>
          <w:sz w:val="28"/>
          <w:szCs w:val="28"/>
        </w:rPr>
        <w:t>późn</w:t>
      </w:r>
      <w:proofErr w:type="spellEnd"/>
      <w:r w:rsidRPr="00CB0A02">
        <w:rPr>
          <w:rFonts w:asciiTheme="minorHAnsi" w:hAnsiTheme="minorHAnsi" w:cstheme="minorHAnsi"/>
          <w:color w:val="auto"/>
          <w:sz w:val="28"/>
          <w:szCs w:val="28"/>
        </w:rPr>
        <w:t>. zm.).</w:t>
      </w:r>
    </w:p>
    <w:p w14:paraId="2F8AAD8E" w14:textId="77777777" w:rsidR="00F72A76" w:rsidRPr="00787A12" w:rsidRDefault="00F72A76" w:rsidP="00CB0A02">
      <w:pPr>
        <w:spacing w:after="0" w:line="360" w:lineRule="auto"/>
        <w:rPr>
          <w:rFonts w:cstheme="minorHAnsi"/>
          <w:sz w:val="24"/>
          <w:szCs w:val="24"/>
        </w:rPr>
      </w:pPr>
      <w:r w:rsidRPr="00787A12">
        <w:rPr>
          <w:rFonts w:cstheme="minorHAnsi"/>
          <w:sz w:val="24"/>
          <w:szCs w:val="24"/>
        </w:rPr>
        <w:t xml:space="preserve">Przedmiotem zmiany dokumentu planistycznego będą: </w:t>
      </w:r>
    </w:p>
    <w:p w14:paraId="2317887F" w14:textId="2A7EB5D3" w:rsidR="00425018" w:rsidRPr="00787A12" w:rsidRDefault="00F72A76" w:rsidP="00CB0A02">
      <w:pPr>
        <w:pStyle w:val="Akapitzlist"/>
        <w:numPr>
          <w:ilvl w:val="0"/>
          <w:numId w:val="1"/>
        </w:numPr>
        <w:spacing w:after="0" w:line="360" w:lineRule="auto"/>
        <w:rPr>
          <w:rFonts w:cstheme="minorHAnsi"/>
          <w:sz w:val="24"/>
          <w:szCs w:val="24"/>
        </w:rPr>
      </w:pPr>
      <w:r w:rsidRPr="00787A12">
        <w:rPr>
          <w:rFonts w:cstheme="minorHAnsi"/>
          <w:sz w:val="24"/>
          <w:szCs w:val="24"/>
        </w:rPr>
        <w:t xml:space="preserve">załącznik nr 3 do zarządzenia identyfikujący istniejące i potencjalne zagrożeń dla zachowania właściwego stanu ochrony gatunków ptaków będących przedmiotami ochrony; </w:t>
      </w:r>
    </w:p>
    <w:p w14:paraId="50AAB1C5" w14:textId="77777777" w:rsidR="00F72A76" w:rsidRPr="00787A12" w:rsidRDefault="00F72A76" w:rsidP="00CB0A02">
      <w:pPr>
        <w:pStyle w:val="Akapitzlist"/>
        <w:numPr>
          <w:ilvl w:val="0"/>
          <w:numId w:val="1"/>
        </w:numPr>
        <w:spacing w:after="100" w:afterAutospacing="1" w:line="360" w:lineRule="auto"/>
        <w:ind w:left="357" w:hanging="357"/>
        <w:rPr>
          <w:rFonts w:cstheme="minorHAnsi"/>
          <w:sz w:val="24"/>
          <w:szCs w:val="24"/>
        </w:rPr>
      </w:pPr>
      <w:r w:rsidRPr="00787A12">
        <w:rPr>
          <w:rFonts w:cstheme="minorHAnsi"/>
          <w:sz w:val="24"/>
          <w:szCs w:val="24"/>
        </w:rPr>
        <w:t xml:space="preserve">załącznik nr 4 do zarządzenia określający cele działań ochronnych, w stosunku do których proponuje się: </w:t>
      </w:r>
    </w:p>
    <w:tbl>
      <w:tblPr>
        <w:tblStyle w:val="Tabela-Siatka"/>
        <w:tblW w:w="0" w:type="auto"/>
        <w:tblLook w:val="04A0" w:firstRow="1" w:lastRow="0" w:firstColumn="1" w:lastColumn="0" w:noHBand="0" w:noVBand="1"/>
        <w:tblCaption w:val="Załącznik nr 4 - cele ochrony"/>
        <w:tblDescription w:val="Załącznik nr 4 - cele ochrony"/>
      </w:tblPr>
      <w:tblGrid>
        <w:gridCol w:w="520"/>
        <w:gridCol w:w="2179"/>
        <w:gridCol w:w="3519"/>
        <w:gridCol w:w="7776"/>
      </w:tblGrid>
      <w:tr w:rsidR="00910315" w:rsidRPr="00FF1B9E" w14:paraId="5B6895D9" w14:textId="77777777" w:rsidTr="00453D90">
        <w:trPr>
          <w:tblHeader/>
        </w:trPr>
        <w:tc>
          <w:tcPr>
            <w:tcW w:w="0" w:type="auto"/>
          </w:tcPr>
          <w:p w14:paraId="3F72A31D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bCs/>
                <w:sz w:val="24"/>
                <w:szCs w:val="24"/>
              </w:rPr>
            </w:pPr>
            <w:r w:rsidRPr="00FF1B9E">
              <w:rPr>
                <w:rFonts w:cstheme="minorHAnsi"/>
                <w:bCs/>
                <w:sz w:val="24"/>
                <w:szCs w:val="24"/>
              </w:rPr>
              <w:lastRenderedPageBreak/>
              <w:t xml:space="preserve">Lp. </w:t>
            </w:r>
          </w:p>
        </w:tc>
        <w:tc>
          <w:tcPr>
            <w:tcW w:w="0" w:type="auto"/>
            <w:hideMark/>
          </w:tcPr>
          <w:p w14:paraId="2BE8737E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bCs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Kod i n</w:t>
            </w:r>
            <w:r w:rsidRPr="00FF1B9E">
              <w:rPr>
                <w:rFonts w:cstheme="minorHAnsi"/>
                <w:bCs/>
                <w:sz w:val="24"/>
                <w:szCs w:val="24"/>
              </w:rPr>
              <w:t>azwa</w:t>
            </w:r>
            <w:r w:rsidRPr="00FF1B9E">
              <w:rPr>
                <w:rFonts w:cstheme="minorHAnsi"/>
                <w:sz w:val="24"/>
                <w:szCs w:val="24"/>
              </w:rPr>
              <w:t xml:space="preserve"> gatunkowa</w:t>
            </w:r>
          </w:p>
        </w:tc>
        <w:tc>
          <w:tcPr>
            <w:tcW w:w="0" w:type="auto"/>
            <w:hideMark/>
          </w:tcPr>
          <w:p w14:paraId="0FA36817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bCs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Parametr / Wskaźnik stanu ochrony</w:t>
            </w:r>
          </w:p>
        </w:tc>
        <w:tc>
          <w:tcPr>
            <w:tcW w:w="0" w:type="auto"/>
            <w:hideMark/>
          </w:tcPr>
          <w:p w14:paraId="0ADD007E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bCs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Cel ochrony</w:t>
            </w:r>
          </w:p>
        </w:tc>
      </w:tr>
      <w:tr w:rsidR="00910315" w:rsidRPr="00FF1B9E" w14:paraId="4656FCEE" w14:textId="77777777" w:rsidTr="00453D90">
        <w:trPr>
          <w:tblHeader/>
        </w:trPr>
        <w:tc>
          <w:tcPr>
            <w:tcW w:w="0" w:type="auto"/>
            <w:vMerge w:val="restart"/>
          </w:tcPr>
          <w:p w14:paraId="564988E3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1.</w:t>
            </w:r>
          </w:p>
        </w:tc>
        <w:tc>
          <w:tcPr>
            <w:tcW w:w="0" w:type="auto"/>
            <w:vMerge w:val="restart"/>
            <w:hideMark/>
          </w:tcPr>
          <w:p w14:paraId="5E154B3F" w14:textId="0868261F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A051 - Krakwa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Anas</w:t>
            </w:r>
            <w:proofErr w:type="spellEnd"/>
            <w:r w:rsidRPr="00FF1B9E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strepera</w:t>
            </w:r>
            <w:proofErr w:type="spellEnd"/>
          </w:p>
        </w:tc>
        <w:tc>
          <w:tcPr>
            <w:tcW w:w="0" w:type="auto"/>
          </w:tcPr>
          <w:p w14:paraId="71F4A778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Stan populacji</w:t>
            </w:r>
          </w:p>
        </w:tc>
        <w:tc>
          <w:tcPr>
            <w:tcW w:w="0" w:type="auto"/>
          </w:tcPr>
          <w:p w14:paraId="51C9A2E6" w14:textId="085F7BAA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Utrzymanie właściwego stanu populacji (FV) poprzez utrzymanie liczebności na poziomie min. 18 par lęgowych.</w:t>
            </w:r>
          </w:p>
          <w:p w14:paraId="3F7B3895" w14:textId="5217D08B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Krajowa populacja gatunku obejmuje 3 000 – 4 000 par [Chodkiewicz T. i in. 2019], a</w:t>
            </w:r>
            <w:r w:rsidR="00D932A3" w:rsidRPr="00FF1B9E">
              <w:rPr>
                <w:rFonts w:cstheme="minorHAnsi"/>
                <w:sz w:val="24"/>
                <w:szCs w:val="24"/>
              </w:rPr>
              <w:t> </w:t>
            </w:r>
            <w:r w:rsidRPr="00FF1B9E">
              <w:rPr>
                <w:rFonts w:cstheme="minorHAnsi"/>
                <w:sz w:val="24"/>
                <w:szCs w:val="24"/>
              </w:rPr>
              <w:t>stan populacji w obszarze występuje na poziomie 14 – 22 par [</w:t>
            </w:r>
            <w:proofErr w:type="spellStart"/>
            <w:r w:rsidRPr="00FF1B9E">
              <w:rPr>
                <w:rFonts w:cstheme="minorHAnsi"/>
                <w:sz w:val="24"/>
                <w:szCs w:val="24"/>
              </w:rPr>
              <w:t>Jobda</w:t>
            </w:r>
            <w:proofErr w:type="spellEnd"/>
            <w:r w:rsidRPr="00FF1B9E">
              <w:rPr>
                <w:rFonts w:cstheme="minorHAnsi"/>
                <w:sz w:val="24"/>
                <w:szCs w:val="24"/>
              </w:rPr>
              <w:t xml:space="preserve"> M. i in. 2021].</w:t>
            </w:r>
          </w:p>
          <w:p w14:paraId="75367C99" w14:textId="293DC860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Populacja lęgowa krakwy</w:t>
            </w:r>
            <w:r w:rsidR="004036C7" w:rsidRPr="00FF1B9E">
              <w:rPr>
                <w:rFonts w:cstheme="minorHAnsi"/>
                <w:sz w:val="24"/>
                <w:szCs w:val="24"/>
              </w:rPr>
              <w:t xml:space="preserve"> </w:t>
            </w:r>
            <w:r w:rsidR="00AA020E" w:rsidRPr="00FF1B9E">
              <w:rPr>
                <w:rFonts w:cstheme="minorHAnsi"/>
                <w:sz w:val="24"/>
                <w:szCs w:val="24"/>
              </w:rPr>
              <w:t>w obszarze</w:t>
            </w:r>
            <w:r w:rsidRPr="00FF1B9E">
              <w:rPr>
                <w:rFonts w:cstheme="minorHAnsi"/>
                <w:sz w:val="24"/>
                <w:szCs w:val="24"/>
              </w:rPr>
              <w:t xml:space="preserve"> oszacowana w 2020 r. jest zbliżona do populacji z 2011 r. (min. 19 par).</w:t>
            </w:r>
          </w:p>
        </w:tc>
      </w:tr>
      <w:tr w:rsidR="00910315" w:rsidRPr="00FF1B9E" w14:paraId="43A7FB76" w14:textId="77777777" w:rsidTr="00453D90">
        <w:trPr>
          <w:tblHeader/>
        </w:trPr>
        <w:tc>
          <w:tcPr>
            <w:tcW w:w="0" w:type="auto"/>
            <w:vMerge/>
          </w:tcPr>
          <w:p w14:paraId="12322056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14:paraId="280F4FF8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</w:tcPr>
          <w:p w14:paraId="6E7BB6EE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Stan siedliska / Wskaźniki: </w:t>
            </w:r>
          </w:p>
          <w:p w14:paraId="1B25C080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1. osuszanie śródpolnych zbiorników wodnych położonych w promieniu 300 metrów od miejsca stwierdzenia krakwy;</w:t>
            </w:r>
          </w:p>
          <w:p w14:paraId="1256A1AE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2. zabudowa brzegów lub intensywne wykorzystanie ich rekreacyjne;</w:t>
            </w:r>
          </w:p>
          <w:p w14:paraId="33DBA49A" w14:textId="34661535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3. presja wizona amerykańskiego i innych ssaków drapieżnych.</w:t>
            </w:r>
          </w:p>
        </w:tc>
        <w:tc>
          <w:tcPr>
            <w:tcW w:w="0" w:type="auto"/>
          </w:tcPr>
          <w:p w14:paraId="0C4674AD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Utrzymanie właściwego stanu siedliska (FV) poprzez: </w:t>
            </w:r>
          </w:p>
          <w:p w14:paraId="05F6C454" w14:textId="77777777" w:rsidR="00910315" w:rsidRPr="00FF1B9E" w:rsidRDefault="00910315" w:rsidP="00FF1B9E">
            <w:pPr>
              <w:pStyle w:val="Akapitzlist"/>
              <w:numPr>
                <w:ilvl w:val="0"/>
                <w:numId w:val="5"/>
              </w:numPr>
              <w:spacing w:line="360" w:lineRule="auto"/>
              <w:ind w:left="460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zachowanie warunków hydrologicznych na niezmienionym poziomie;</w:t>
            </w:r>
          </w:p>
          <w:p w14:paraId="66D675D2" w14:textId="77777777" w:rsidR="00910315" w:rsidRPr="00FF1B9E" w:rsidRDefault="00910315" w:rsidP="00FF1B9E">
            <w:pPr>
              <w:pStyle w:val="Akapitzlist"/>
              <w:numPr>
                <w:ilvl w:val="0"/>
                <w:numId w:val="5"/>
              </w:numPr>
              <w:spacing w:line="360" w:lineRule="auto"/>
              <w:ind w:left="460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utrzymanie niezmienionego stanu siedlisk w obrębie linii brzegowej zbiorników wodnych; obecnie są to obszary niezabudowane i nie wykorzystywane rekreacyjne;</w:t>
            </w:r>
          </w:p>
          <w:p w14:paraId="4C72F90B" w14:textId="77777777" w:rsidR="00910315" w:rsidRPr="00FF1B9E" w:rsidRDefault="00910315" w:rsidP="00FF1B9E">
            <w:pPr>
              <w:pStyle w:val="Akapitzlist"/>
              <w:numPr>
                <w:ilvl w:val="0"/>
                <w:numId w:val="5"/>
              </w:numPr>
              <w:spacing w:line="360" w:lineRule="auto"/>
              <w:ind w:left="460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utrzymanie braku presji ze strony ssaków drapieżnych. </w:t>
            </w:r>
          </w:p>
          <w:p w14:paraId="71C8E938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910315" w:rsidRPr="00FF1B9E" w14:paraId="6F49D066" w14:textId="77777777" w:rsidTr="00453D90">
        <w:trPr>
          <w:tblHeader/>
        </w:trPr>
        <w:tc>
          <w:tcPr>
            <w:tcW w:w="0" w:type="auto"/>
            <w:vMerge w:val="restart"/>
          </w:tcPr>
          <w:p w14:paraId="1E66A9EC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lastRenderedPageBreak/>
              <w:t>2.</w:t>
            </w:r>
          </w:p>
        </w:tc>
        <w:tc>
          <w:tcPr>
            <w:tcW w:w="0" w:type="auto"/>
            <w:vMerge w:val="restart"/>
            <w:hideMark/>
          </w:tcPr>
          <w:p w14:paraId="63918438" w14:textId="343C8855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A058 - Hełmiatka (zwyczajna) </w:t>
            </w:r>
            <w:r w:rsidRPr="00FF1B9E">
              <w:rPr>
                <w:rFonts w:cstheme="minorHAnsi"/>
                <w:i/>
                <w:iCs/>
                <w:sz w:val="24"/>
                <w:szCs w:val="24"/>
              </w:rPr>
              <w:t xml:space="preserve">Netta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rufina</w:t>
            </w:r>
            <w:proofErr w:type="spellEnd"/>
          </w:p>
        </w:tc>
        <w:tc>
          <w:tcPr>
            <w:tcW w:w="0" w:type="auto"/>
          </w:tcPr>
          <w:p w14:paraId="608A4F1A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Stan populacji</w:t>
            </w:r>
          </w:p>
        </w:tc>
        <w:tc>
          <w:tcPr>
            <w:tcW w:w="0" w:type="auto"/>
          </w:tcPr>
          <w:p w14:paraId="350994D4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Utrzymanie niepogorszonego stanu populacji (U1) poprzez utrzymanie liczebności na poziomie 2 par lęgowych. </w:t>
            </w:r>
          </w:p>
          <w:p w14:paraId="4B9F5092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Krajowa populacja gatunku obejmuje 15 – 48 par [Chodkiewicz T. i in. 2019], a stan populacji w obszarze występuje na poziomie 0 - 2 par [</w:t>
            </w:r>
            <w:proofErr w:type="spellStart"/>
            <w:r w:rsidRPr="00FF1B9E">
              <w:rPr>
                <w:rFonts w:cstheme="minorHAnsi"/>
                <w:sz w:val="24"/>
                <w:szCs w:val="24"/>
              </w:rPr>
              <w:t>Osojca</w:t>
            </w:r>
            <w:proofErr w:type="spellEnd"/>
            <w:r w:rsidRPr="00FF1B9E">
              <w:rPr>
                <w:rFonts w:cstheme="minorHAnsi"/>
                <w:sz w:val="24"/>
                <w:szCs w:val="24"/>
              </w:rPr>
              <w:t xml:space="preserve"> G. i in. 2011].</w:t>
            </w:r>
          </w:p>
          <w:p w14:paraId="4F3CEC80" w14:textId="066D4288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Od kwietnia 2020 r. trwają badania </w:t>
            </w:r>
            <w:r w:rsidR="00AA020E" w:rsidRPr="00FF1B9E">
              <w:rPr>
                <w:rFonts w:cstheme="minorHAnsi"/>
                <w:sz w:val="24"/>
                <w:szCs w:val="24"/>
              </w:rPr>
              <w:t>występowani</w:t>
            </w:r>
            <w:r w:rsidR="009C6C93" w:rsidRPr="00FF1B9E">
              <w:rPr>
                <w:rFonts w:cstheme="minorHAnsi"/>
                <w:sz w:val="24"/>
                <w:szCs w:val="24"/>
              </w:rPr>
              <w:t>a</w:t>
            </w:r>
            <w:r w:rsidR="00AA020E" w:rsidRPr="00FF1B9E">
              <w:rPr>
                <w:rFonts w:cstheme="minorHAnsi"/>
                <w:sz w:val="24"/>
                <w:szCs w:val="24"/>
              </w:rPr>
              <w:t xml:space="preserve"> </w:t>
            </w:r>
            <w:r w:rsidRPr="00FF1B9E">
              <w:rPr>
                <w:rFonts w:cstheme="minorHAnsi"/>
                <w:sz w:val="24"/>
                <w:szCs w:val="24"/>
              </w:rPr>
              <w:t>hełmiatki</w:t>
            </w:r>
            <w:r w:rsidR="00AA020E" w:rsidRPr="00FF1B9E">
              <w:rPr>
                <w:rFonts w:cstheme="minorHAnsi"/>
                <w:sz w:val="24"/>
                <w:szCs w:val="24"/>
              </w:rPr>
              <w:t xml:space="preserve"> w obszarze</w:t>
            </w:r>
            <w:r w:rsidRPr="00FF1B9E">
              <w:rPr>
                <w:rFonts w:cstheme="minorHAnsi"/>
                <w:sz w:val="24"/>
                <w:szCs w:val="24"/>
              </w:rPr>
              <w:t xml:space="preserve"> (w ramach uzupełnienia stanu wiedzy). W 2020 r. na obszarze Natura 2000 nie stwierdzono hełmiatek. W latach 2021</w:t>
            </w:r>
            <w:r w:rsidR="0098085D" w:rsidRPr="00FF1B9E">
              <w:rPr>
                <w:rFonts w:cstheme="minorHAnsi"/>
                <w:sz w:val="24"/>
                <w:szCs w:val="24"/>
              </w:rPr>
              <w:t>-</w:t>
            </w:r>
            <w:r w:rsidRPr="00FF1B9E">
              <w:rPr>
                <w:rFonts w:cstheme="minorHAnsi"/>
                <w:sz w:val="24"/>
                <w:szCs w:val="24"/>
              </w:rPr>
              <w:t>2022 ponawiane</w:t>
            </w:r>
            <w:r w:rsidR="0098085D" w:rsidRPr="00FF1B9E">
              <w:rPr>
                <w:rFonts w:cstheme="minorHAnsi"/>
                <w:sz w:val="24"/>
                <w:szCs w:val="24"/>
              </w:rPr>
              <w:t xml:space="preserve"> są</w:t>
            </w:r>
            <w:r w:rsidRPr="00FF1B9E">
              <w:rPr>
                <w:rFonts w:cstheme="minorHAnsi"/>
                <w:sz w:val="24"/>
                <w:szCs w:val="24"/>
              </w:rPr>
              <w:t xml:space="preserve"> badania tego gatunku, </w:t>
            </w:r>
            <w:r w:rsidR="005650A2" w:rsidRPr="00FF1B9E">
              <w:rPr>
                <w:rFonts w:cstheme="minorHAnsi"/>
                <w:sz w:val="24"/>
                <w:szCs w:val="24"/>
              </w:rPr>
              <w:t xml:space="preserve">a </w:t>
            </w:r>
            <w:r w:rsidRPr="00FF1B9E">
              <w:rPr>
                <w:rFonts w:cstheme="minorHAnsi"/>
                <w:sz w:val="24"/>
                <w:szCs w:val="24"/>
              </w:rPr>
              <w:t>na podstawie danych zostaną opracowane wnioski dotyczące ewentualnych zmian parametrów populacji i ocen nadawanych gatunkowi [</w:t>
            </w:r>
            <w:proofErr w:type="spellStart"/>
            <w:r w:rsidRPr="00FF1B9E">
              <w:rPr>
                <w:rFonts w:cstheme="minorHAnsi"/>
                <w:sz w:val="24"/>
                <w:szCs w:val="24"/>
              </w:rPr>
              <w:t>Jobda</w:t>
            </w:r>
            <w:proofErr w:type="spellEnd"/>
            <w:r w:rsidRPr="00FF1B9E">
              <w:rPr>
                <w:rFonts w:cstheme="minorHAnsi"/>
                <w:sz w:val="24"/>
                <w:szCs w:val="24"/>
              </w:rPr>
              <w:t xml:space="preserve"> M. i in. 2021].</w:t>
            </w:r>
          </w:p>
        </w:tc>
      </w:tr>
      <w:tr w:rsidR="00910315" w:rsidRPr="00FF1B9E" w14:paraId="56A2F43B" w14:textId="77777777" w:rsidTr="00453D90">
        <w:trPr>
          <w:tblHeader/>
        </w:trPr>
        <w:tc>
          <w:tcPr>
            <w:tcW w:w="0" w:type="auto"/>
            <w:vMerge/>
          </w:tcPr>
          <w:p w14:paraId="7DCCDA74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14:paraId="36E588A8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</w:tcPr>
          <w:p w14:paraId="1EB859E5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Stan siedliska / Wskaźniki:</w:t>
            </w:r>
          </w:p>
          <w:p w14:paraId="215D56E6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1. zabudowa brzegów lub intensywne wykorzystanie ich rekreacyjne;</w:t>
            </w:r>
          </w:p>
          <w:p w14:paraId="14DB6B95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2. presja wizona amerykańskiego i innych ssaków drapieżnych.  </w:t>
            </w:r>
          </w:p>
        </w:tc>
        <w:tc>
          <w:tcPr>
            <w:tcW w:w="0" w:type="auto"/>
          </w:tcPr>
          <w:p w14:paraId="40BAE52E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Utrzymanie niepogorszonego stan siedliska (U1) poprzez: </w:t>
            </w:r>
          </w:p>
          <w:p w14:paraId="5CF6FC70" w14:textId="77777777" w:rsidR="00910315" w:rsidRPr="00FF1B9E" w:rsidRDefault="00910315" w:rsidP="00FF1B9E">
            <w:pPr>
              <w:pStyle w:val="Akapitzlist"/>
              <w:numPr>
                <w:ilvl w:val="0"/>
                <w:numId w:val="24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utrzymanie niezmienionego stanu siedlisk linii brzegowej w promieniu 300 m od miejsc stwierdzenia hełmiatki; w obszarach istnieje zabudowa i występują nieliczne ślady wykorzystywania rekreacyjnego;</w:t>
            </w:r>
          </w:p>
          <w:p w14:paraId="3513E0C7" w14:textId="1146EF5C" w:rsidR="00910315" w:rsidRPr="00FF1B9E" w:rsidRDefault="00910315" w:rsidP="00FF1B9E">
            <w:pPr>
              <w:pStyle w:val="Akapitzlist"/>
              <w:numPr>
                <w:ilvl w:val="0"/>
                <w:numId w:val="24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utrzymanie braku presji ze strony ssaków drapieżnych w promieniu nie mniejszym niż 200 metrów od stwierdzenia ptaków. </w:t>
            </w:r>
          </w:p>
        </w:tc>
      </w:tr>
      <w:tr w:rsidR="00910315" w:rsidRPr="00FF1B9E" w14:paraId="2269665F" w14:textId="77777777" w:rsidTr="00453D90">
        <w:trPr>
          <w:tblHeader/>
        </w:trPr>
        <w:tc>
          <w:tcPr>
            <w:tcW w:w="0" w:type="auto"/>
            <w:vMerge w:val="restart"/>
          </w:tcPr>
          <w:p w14:paraId="44804F47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lastRenderedPageBreak/>
              <w:t>3.</w:t>
            </w:r>
          </w:p>
        </w:tc>
        <w:tc>
          <w:tcPr>
            <w:tcW w:w="0" w:type="auto"/>
            <w:vMerge w:val="restart"/>
            <w:hideMark/>
          </w:tcPr>
          <w:p w14:paraId="096E3A74" w14:textId="258597C2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A067 - Gągoł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Bucephala</w:t>
            </w:r>
            <w:proofErr w:type="spellEnd"/>
            <w:r w:rsidRPr="00FF1B9E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clangula</w:t>
            </w:r>
            <w:proofErr w:type="spellEnd"/>
          </w:p>
        </w:tc>
        <w:tc>
          <w:tcPr>
            <w:tcW w:w="0" w:type="auto"/>
          </w:tcPr>
          <w:p w14:paraId="64C51794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Stan populacji</w:t>
            </w:r>
          </w:p>
        </w:tc>
        <w:tc>
          <w:tcPr>
            <w:tcW w:w="0" w:type="auto"/>
          </w:tcPr>
          <w:p w14:paraId="782685BE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Utrzymanie właściwego stanu populacji (FV) poprzez utrzymanie liczebności na poziomie min. 24 par lęgowych. </w:t>
            </w:r>
          </w:p>
          <w:p w14:paraId="78E5C953" w14:textId="111BBBA1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Krajowa populacja gatunku obejmuje 3 000 – 5 000 par [Chodkiewicz T. i in. 2019], a</w:t>
            </w:r>
            <w:r w:rsidR="00D932A3" w:rsidRPr="00FF1B9E">
              <w:rPr>
                <w:rFonts w:cstheme="minorHAnsi"/>
                <w:sz w:val="24"/>
                <w:szCs w:val="24"/>
              </w:rPr>
              <w:t> </w:t>
            </w:r>
            <w:r w:rsidRPr="00FF1B9E">
              <w:rPr>
                <w:rFonts w:cstheme="minorHAnsi"/>
                <w:sz w:val="24"/>
                <w:szCs w:val="24"/>
              </w:rPr>
              <w:t xml:space="preserve">stan populacji w obszarze </w:t>
            </w:r>
            <w:r w:rsidR="005650A2" w:rsidRPr="00FF1B9E">
              <w:rPr>
                <w:rFonts w:cstheme="minorHAnsi"/>
                <w:sz w:val="24"/>
                <w:szCs w:val="24"/>
              </w:rPr>
              <w:t>to obecnie</w:t>
            </w:r>
            <w:r w:rsidRPr="00FF1B9E">
              <w:rPr>
                <w:rFonts w:cstheme="minorHAnsi"/>
                <w:sz w:val="24"/>
                <w:szCs w:val="24"/>
              </w:rPr>
              <w:t xml:space="preserve"> 24 par</w:t>
            </w:r>
            <w:r w:rsidR="005650A2" w:rsidRPr="00FF1B9E">
              <w:rPr>
                <w:rFonts w:cstheme="minorHAnsi"/>
                <w:sz w:val="24"/>
                <w:szCs w:val="24"/>
              </w:rPr>
              <w:t>y</w:t>
            </w:r>
            <w:r w:rsidRPr="00FF1B9E">
              <w:rPr>
                <w:rFonts w:cstheme="minorHAnsi"/>
                <w:sz w:val="24"/>
                <w:szCs w:val="24"/>
              </w:rPr>
              <w:t xml:space="preserve"> [Kwiatkowski P. i in. 2013].</w:t>
            </w:r>
          </w:p>
        </w:tc>
      </w:tr>
      <w:tr w:rsidR="00910315" w:rsidRPr="00FF1B9E" w14:paraId="3503932C" w14:textId="77777777" w:rsidTr="00453D90">
        <w:trPr>
          <w:tblHeader/>
        </w:trPr>
        <w:tc>
          <w:tcPr>
            <w:tcW w:w="0" w:type="auto"/>
            <w:vMerge/>
          </w:tcPr>
          <w:p w14:paraId="40890FAC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14:paraId="652B060F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</w:tcPr>
          <w:p w14:paraId="3E945FB7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Stan siedliska / Wskaźniki:</w:t>
            </w:r>
          </w:p>
          <w:p w14:paraId="5D28C965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1. utrzymanie drzewostanów; </w:t>
            </w:r>
          </w:p>
          <w:p w14:paraId="00C30056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2. zabudowa brzegów lub intensywne wykorzystanie ich rekreacyjne;</w:t>
            </w:r>
          </w:p>
          <w:p w14:paraId="4F238A68" w14:textId="6FF9D445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3. zmiana warunków siedliskowych w przyleśnych zbiornikach wodnych położonych w promieniu 300 m od miejsca stwierdzenia gągoła</w:t>
            </w:r>
          </w:p>
        </w:tc>
        <w:tc>
          <w:tcPr>
            <w:tcW w:w="0" w:type="auto"/>
          </w:tcPr>
          <w:p w14:paraId="21818B7A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Utrzymanie właściwego stanu siedliska (FV) poprzez: </w:t>
            </w:r>
          </w:p>
          <w:p w14:paraId="01D09D0B" w14:textId="77777777" w:rsidR="00910315" w:rsidRPr="00FF1B9E" w:rsidRDefault="00910315" w:rsidP="00FF1B9E">
            <w:pPr>
              <w:pStyle w:val="Akapitzlist"/>
              <w:numPr>
                <w:ilvl w:val="0"/>
                <w:numId w:val="7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pozostawienie w promieniu 300 metrów od miejsc stwierdzenia gągoła starych drzewostanów, obfitujących w drzewa dziuplaste;</w:t>
            </w:r>
          </w:p>
          <w:p w14:paraId="3B255AAE" w14:textId="5E515187" w:rsidR="00910315" w:rsidRPr="00FF1B9E" w:rsidRDefault="00910315" w:rsidP="00FF1B9E">
            <w:pPr>
              <w:pStyle w:val="Akapitzlist"/>
              <w:numPr>
                <w:ilvl w:val="0"/>
                <w:numId w:val="7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utrzymanie niezmienionego stanu siedlisk linii brzegowej zbiorników wodnych w</w:t>
            </w:r>
            <w:r w:rsidR="00D932A3" w:rsidRPr="00FF1B9E">
              <w:rPr>
                <w:rFonts w:cstheme="minorHAnsi"/>
                <w:sz w:val="24"/>
                <w:szCs w:val="24"/>
              </w:rPr>
              <w:t> </w:t>
            </w:r>
            <w:r w:rsidRPr="00FF1B9E">
              <w:rPr>
                <w:rFonts w:cstheme="minorHAnsi"/>
                <w:sz w:val="24"/>
                <w:szCs w:val="24"/>
              </w:rPr>
              <w:t xml:space="preserve">promieniu 300 m od miejsc stwierdzenia gągoła; obecnie są to obszary niezabudowane i nie wykorzystywane rekreacyjne; </w:t>
            </w:r>
          </w:p>
          <w:p w14:paraId="23149B15" w14:textId="45DFAC93" w:rsidR="00910315" w:rsidRPr="00FF1B9E" w:rsidRDefault="00910315" w:rsidP="00FF1B9E">
            <w:pPr>
              <w:pStyle w:val="Akapitzlist"/>
              <w:numPr>
                <w:ilvl w:val="0"/>
                <w:numId w:val="7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zachowanie niepogorszonych</w:t>
            </w:r>
            <w:r w:rsidR="005650A2" w:rsidRPr="00FF1B9E">
              <w:rPr>
                <w:rFonts w:cstheme="minorHAnsi"/>
                <w:sz w:val="24"/>
                <w:szCs w:val="24"/>
              </w:rPr>
              <w:t>/niezmienionych</w:t>
            </w:r>
            <w:r w:rsidRPr="00FF1B9E">
              <w:rPr>
                <w:rFonts w:cstheme="minorHAnsi"/>
                <w:sz w:val="24"/>
                <w:szCs w:val="24"/>
              </w:rPr>
              <w:t xml:space="preserve"> warunków siedliskowych </w:t>
            </w:r>
          </w:p>
          <w:p w14:paraId="688E4540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910315" w:rsidRPr="00FF1B9E" w14:paraId="3B4B8FB5" w14:textId="77777777" w:rsidTr="00453D90">
        <w:trPr>
          <w:tblHeader/>
        </w:trPr>
        <w:tc>
          <w:tcPr>
            <w:tcW w:w="0" w:type="auto"/>
            <w:vMerge w:val="restart"/>
          </w:tcPr>
          <w:p w14:paraId="6531E08A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4.</w:t>
            </w:r>
          </w:p>
        </w:tc>
        <w:tc>
          <w:tcPr>
            <w:tcW w:w="0" w:type="auto"/>
            <w:vMerge w:val="restart"/>
            <w:hideMark/>
          </w:tcPr>
          <w:p w14:paraId="457FFB01" w14:textId="65D34122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A070 - Nurogęś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Mergus</w:t>
            </w:r>
            <w:proofErr w:type="spellEnd"/>
            <w:r w:rsidRPr="00FF1B9E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merganser</w:t>
            </w:r>
            <w:proofErr w:type="spellEnd"/>
          </w:p>
        </w:tc>
        <w:tc>
          <w:tcPr>
            <w:tcW w:w="0" w:type="auto"/>
          </w:tcPr>
          <w:p w14:paraId="59CD2C47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Stan populacji</w:t>
            </w:r>
          </w:p>
        </w:tc>
        <w:tc>
          <w:tcPr>
            <w:tcW w:w="0" w:type="auto"/>
          </w:tcPr>
          <w:p w14:paraId="2F28949C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Utrzymanie niepogorszonego stanu populacji (U1) poprzez utrzymanie liczebności na poziomie min. 5 par.</w:t>
            </w:r>
          </w:p>
          <w:p w14:paraId="42D9DEF7" w14:textId="74769B7A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Krajowa populacja gatunku obejmuje 1 500 – 2 500 par [Chodkiewicz T. i in. 2019], a</w:t>
            </w:r>
            <w:r w:rsidR="00D932A3" w:rsidRPr="00FF1B9E">
              <w:rPr>
                <w:rFonts w:cstheme="minorHAnsi"/>
                <w:sz w:val="24"/>
                <w:szCs w:val="24"/>
              </w:rPr>
              <w:t> </w:t>
            </w:r>
            <w:r w:rsidRPr="00FF1B9E">
              <w:rPr>
                <w:rFonts w:cstheme="minorHAnsi"/>
                <w:sz w:val="24"/>
                <w:szCs w:val="24"/>
              </w:rPr>
              <w:t xml:space="preserve">stan populacji w obszarze </w:t>
            </w:r>
            <w:r w:rsidR="005650A2" w:rsidRPr="00FF1B9E">
              <w:rPr>
                <w:rFonts w:cstheme="minorHAnsi"/>
                <w:sz w:val="24"/>
                <w:szCs w:val="24"/>
              </w:rPr>
              <w:t>to obecnie</w:t>
            </w:r>
            <w:r w:rsidRPr="00FF1B9E">
              <w:rPr>
                <w:rFonts w:cstheme="minorHAnsi"/>
                <w:sz w:val="24"/>
                <w:szCs w:val="24"/>
              </w:rPr>
              <w:t xml:space="preserve"> 5 par [</w:t>
            </w:r>
            <w:proofErr w:type="spellStart"/>
            <w:r w:rsidRPr="00FF1B9E">
              <w:rPr>
                <w:rFonts w:cstheme="minorHAnsi"/>
                <w:sz w:val="24"/>
                <w:szCs w:val="24"/>
              </w:rPr>
              <w:t>Jobda</w:t>
            </w:r>
            <w:proofErr w:type="spellEnd"/>
            <w:r w:rsidRPr="00FF1B9E">
              <w:rPr>
                <w:rFonts w:cstheme="minorHAnsi"/>
                <w:sz w:val="24"/>
                <w:szCs w:val="24"/>
              </w:rPr>
              <w:t xml:space="preserve"> M. i in. 2021].</w:t>
            </w:r>
          </w:p>
        </w:tc>
      </w:tr>
      <w:tr w:rsidR="00910315" w:rsidRPr="00FF1B9E" w14:paraId="40668644" w14:textId="77777777" w:rsidTr="00453D90">
        <w:trPr>
          <w:tblHeader/>
        </w:trPr>
        <w:tc>
          <w:tcPr>
            <w:tcW w:w="0" w:type="auto"/>
            <w:vMerge/>
          </w:tcPr>
          <w:p w14:paraId="5CD4F4C2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14:paraId="70BEA6CB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</w:tcPr>
          <w:p w14:paraId="5D119E4C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Stan siedliska / Wskaźniki:</w:t>
            </w:r>
          </w:p>
          <w:p w14:paraId="07F2C0D3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1. utrzymanie drzewostanów; </w:t>
            </w:r>
          </w:p>
          <w:p w14:paraId="06DC11C2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2. zabudowa brzegów lub intensywne wykorzystanie ich rekreacyjne;</w:t>
            </w:r>
          </w:p>
          <w:p w14:paraId="36401455" w14:textId="05378744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3. zmiana warunków siedliskowych w przyleśnych zbiornikach wodnych położonych w promieniu 300 metrów od miejsca stwierdzenia nurogęsi</w:t>
            </w:r>
          </w:p>
        </w:tc>
        <w:tc>
          <w:tcPr>
            <w:tcW w:w="0" w:type="auto"/>
          </w:tcPr>
          <w:p w14:paraId="5358CD3B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bookmarkStart w:id="0" w:name="_GoBack"/>
            <w:r w:rsidRPr="00FF1B9E">
              <w:rPr>
                <w:rFonts w:cstheme="minorHAnsi"/>
                <w:sz w:val="24"/>
                <w:szCs w:val="24"/>
              </w:rPr>
              <w:t xml:space="preserve">Utrzymanie właściwego stanu siedliska (FV) poprzez: </w:t>
            </w:r>
          </w:p>
          <w:p w14:paraId="10C62DCC" w14:textId="77777777" w:rsidR="00910315" w:rsidRPr="00FF1B9E" w:rsidRDefault="00910315" w:rsidP="00FF1B9E">
            <w:pPr>
              <w:pStyle w:val="Akapitzlist"/>
              <w:numPr>
                <w:ilvl w:val="0"/>
                <w:numId w:val="10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pozostawienie w promieniu 300 metrów od miejsc stwierdzenia nurogęsi starych drzewostanów, obfitujących w drzewa dziuplaste;</w:t>
            </w:r>
          </w:p>
          <w:p w14:paraId="1DD7AB07" w14:textId="3E4CFD91" w:rsidR="00910315" w:rsidRPr="00FF1B9E" w:rsidRDefault="00910315" w:rsidP="00FF1B9E">
            <w:pPr>
              <w:pStyle w:val="Akapitzlist"/>
              <w:numPr>
                <w:ilvl w:val="0"/>
                <w:numId w:val="10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utrzymanie niezmienionego stanu siedlisk linii brzegowej zbiorników wodnych w</w:t>
            </w:r>
            <w:r w:rsidR="00D932A3" w:rsidRPr="00FF1B9E">
              <w:rPr>
                <w:rFonts w:cstheme="minorHAnsi"/>
                <w:sz w:val="24"/>
                <w:szCs w:val="24"/>
              </w:rPr>
              <w:t> </w:t>
            </w:r>
            <w:r w:rsidRPr="00FF1B9E">
              <w:rPr>
                <w:rFonts w:cstheme="minorHAnsi"/>
                <w:sz w:val="24"/>
                <w:szCs w:val="24"/>
              </w:rPr>
              <w:t>promieniu 300 m od miejsc stwierdzenia nurogęsi; przeważają obszary niezabudowane i nie wykorzystywane rekreacyjne;</w:t>
            </w:r>
          </w:p>
          <w:p w14:paraId="75C8DCB1" w14:textId="77777777" w:rsidR="00910315" w:rsidRPr="00FF1B9E" w:rsidRDefault="00910315" w:rsidP="00FF1B9E">
            <w:pPr>
              <w:pStyle w:val="Akapitzlist"/>
              <w:numPr>
                <w:ilvl w:val="0"/>
                <w:numId w:val="10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zachowanie warunków siedliskowych.  </w:t>
            </w:r>
          </w:p>
          <w:bookmarkEnd w:id="0"/>
          <w:p w14:paraId="35C77880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910315" w:rsidRPr="00FF1B9E" w14:paraId="291D2AFE" w14:textId="77777777" w:rsidTr="00453D90">
        <w:trPr>
          <w:tblHeader/>
        </w:trPr>
        <w:tc>
          <w:tcPr>
            <w:tcW w:w="0" w:type="auto"/>
            <w:vMerge w:val="restart"/>
          </w:tcPr>
          <w:p w14:paraId="3839A849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5.</w:t>
            </w:r>
          </w:p>
        </w:tc>
        <w:tc>
          <w:tcPr>
            <w:tcW w:w="0" w:type="auto"/>
            <w:vMerge w:val="restart"/>
            <w:hideMark/>
          </w:tcPr>
          <w:p w14:paraId="16F9BA3C" w14:textId="1AF2B900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A073 - Kania czarna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Milvus</w:t>
            </w:r>
            <w:proofErr w:type="spellEnd"/>
            <w:r w:rsidRPr="00FF1B9E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migrans</w:t>
            </w:r>
            <w:proofErr w:type="spellEnd"/>
          </w:p>
        </w:tc>
        <w:tc>
          <w:tcPr>
            <w:tcW w:w="0" w:type="auto"/>
          </w:tcPr>
          <w:p w14:paraId="056A4EBE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Stan populacji</w:t>
            </w:r>
          </w:p>
        </w:tc>
        <w:tc>
          <w:tcPr>
            <w:tcW w:w="0" w:type="auto"/>
          </w:tcPr>
          <w:p w14:paraId="5A5B7250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Utrzymanie niepogorszonego stanu populacji (U1) poprzez utrzymanie liczebności na poziomie min. 2 par.</w:t>
            </w:r>
          </w:p>
          <w:p w14:paraId="013D561C" w14:textId="43BFAB34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Krajowa populacja gatunku obejmuje 600 – 1000 par [Chodkiewicz T. i in. 2019], a stan populacji w obszarze </w:t>
            </w:r>
            <w:r w:rsidR="00856747" w:rsidRPr="00FF1B9E">
              <w:rPr>
                <w:rFonts w:cstheme="minorHAnsi"/>
                <w:sz w:val="24"/>
                <w:szCs w:val="24"/>
              </w:rPr>
              <w:t>to obecnie</w:t>
            </w:r>
            <w:r w:rsidRPr="00FF1B9E">
              <w:rPr>
                <w:rFonts w:cstheme="minorHAnsi"/>
                <w:sz w:val="24"/>
                <w:szCs w:val="24"/>
              </w:rPr>
              <w:t xml:space="preserve"> 2 par</w:t>
            </w:r>
            <w:r w:rsidR="00856747" w:rsidRPr="00FF1B9E">
              <w:rPr>
                <w:rFonts w:cstheme="minorHAnsi"/>
                <w:sz w:val="24"/>
                <w:szCs w:val="24"/>
              </w:rPr>
              <w:t>y</w:t>
            </w:r>
            <w:r w:rsidRPr="00FF1B9E">
              <w:rPr>
                <w:rFonts w:cstheme="minorHAnsi"/>
                <w:sz w:val="24"/>
                <w:szCs w:val="24"/>
              </w:rPr>
              <w:t xml:space="preserve"> [</w:t>
            </w:r>
            <w:proofErr w:type="spellStart"/>
            <w:r w:rsidRPr="00FF1B9E">
              <w:rPr>
                <w:rFonts w:cstheme="minorHAnsi"/>
                <w:sz w:val="24"/>
                <w:szCs w:val="24"/>
              </w:rPr>
              <w:t>Jobda</w:t>
            </w:r>
            <w:proofErr w:type="spellEnd"/>
            <w:r w:rsidRPr="00FF1B9E">
              <w:rPr>
                <w:rFonts w:cstheme="minorHAnsi"/>
                <w:sz w:val="24"/>
                <w:szCs w:val="24"/>
              </w:rPr>
              <w:t xml:space="preserve"> M. i in. 2021].</w:t>
            </w:r>
          </w:p>
        </w:tc>
      </w:tr>
      <w:tr w:rsidR="00910315" w:rsidRPr="00FF1B9E" w14:paraId="38B31092" w14:textId="77777777" w:rsidTr="00453D90">
        <w:trPr>
          <w:tblHeader/>
        </w:trPr>
        <w:tc>
          <w:tcPr>
            <w:tcW w:w="0" w:type="auto"/>
            <w:vMerge/>
          </w:tcPr>
          <w:p w14:paraId="5F071C4D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14:paraId="2ED5ACFF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</w:tcPr>
          <w:p w14:paraId="565A8DE6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Stan siedliska / Wskaźniki:</w:t>
            </w:r>
          </w:p>
          <w:p w14:paraId="6B029388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1. rozwój turystyki w pobliżu miejsc gniazdowania i żerowania;</w:t>
            </w:r>
          </w:p>
          <w:p w14:paraId="5CE2C696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2. utrzymanie drzewostanów; </w:t>
            </w:r>
          </w:p>
          <w:p w14:paraId="48F6104F" w14:textId="6CAFFE6D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3. drapieżnictwo wrony siwej i kruka. </w:t>
            </w:r>
          </w:p>
        </w:tc>
        <w:tc>
          <w:tcPr>
            <w:tcW w:w="0" w:type="auto"/>
          </w:tcPr>
          <w:p w14:paraId="22DC912D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Poprawa stanu siedliska (U2) do poziomu (U1) poprzez:</w:t>
            </w:r>
          </w:p>
          <w:p w14:paraId="02BA3A1A" w14:textId="77777777" w:rsidR="00910315" w:rsidRPr="00FF1B9E" w:rsidRDefault="00910315" w:rsidP="00FF1B9E">
            <w:pPr>
              <w:pStyle w:val="Akapitzlist"/>
              <w:numPr>
                <w:ilvl w:val="0"/>
                <w:numId w:val="11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ograniczenie ruchu turystycznego oraz budowy nowej infrastruktury turystycznej w obszarze o promieniu 500 metrów od miejsc gniazdowania kani czarnej;</w:t>
            </w:r>
          </w:p>
          <w:p w14:paraId="3D53A740" w14:textId="22ECB7B1" w:rsidR="00910315" w:rsidRPr="00FF1B9E" w:rsidRDefault="00910315" w:rsidP="00FF1B9E">
            <w:pPr>
              <w:pStyle w:val="Akapitzlist"/>
              <w:numPr>
                <w:ilvl w:val="0"/>
                <w:numId w:val="11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ograniczenie</w:t>
            </w:r>
            <w:r w:rsidR="00856747" w:rsidRPr="00FF1B9E">
              <w:rPr>
                <w:rFonts w:cstheme="minorHAnsi"/>
                <w:sz w:val="24"/>
                <w:szCs w:val="24"/>
              </w:rPr>
              <w:t>/wykluczenie</w:t>
            </w:r>
            <w:r w:rsidRPr="00FF1B9E">
              <w:rPr>
                <w:rFonts w:cstheme="minorHAnsi"/>
                <w:sz w:val="24"/>
                <w:szCs w:val="24"/>
              </w:rPr>
              <w:t xml:space="preserve"> prowadzenia prac leśnych mogących wpływać na jakość siedliska lęgowego;</w:t>
            </w:r>
          </w:p>
          <w:p w14:paraId="484FCE88" w14:textId="36C09C1A" w:rsidR="00910315" w:rsidRPr="00FF1B9E" w:rsidRDefault="00910315" w:rsidP="00FF1B9E">
            <w:pPr>
              <w:pStyle w:val="Akapitzlist"/>
              <w:numPr>
                <w:ilvl w:val="0"/>
                <w:numId w:val="11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utrzymanie braku presji ze strony wrony siwej i kruka w siedlisku kani czarnej. </w:t>
            </w:r>
          </w:p>
        </w:tc>
      </w:tr>
      <w:tr w:rsidR="00910315" w:rsidRPr="00FF1B9E" w14:paraId="09532603" w14:textId="77777777" w:rsidTr="00453D90">
        <w:trPr>
          <w:tblHeader/>
        </w:trPr>
        <w:tc>
          <w:tcPr>
            <w:tcW w:w="0" w:type="auto"/>
            <w:vMerge w:val="restart"/>
          </w:tcPr>
          <w:p w14:paraId="488F90B9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6.</w:t>
            </w:r>
          </w:p>
        </w:tc>
        <w:tc>
          <w:tcPr>
            <w:tcW w:w="0" w:type="auto"/>
            <w:vMerge w:val="restart"/>
            <w:hideMark/>
          </w:tcPr>
          <w:p w14:paraId="46AFE153" w14:textId="7E24C143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A089 - Orlik krzykliwy</w:t>
            </w:r>
            <w:r w:rsidR="00D932A3" w:rsidRPr="00FF1B9E">
              <w:rPr>
                <w:rFonts w:cstheme="minorHAnsi"/>
                <w:sz w:val="24"/>
                <w:szCs w:val="24"/>
              </w:rPr>
              <w:t xml:space="preserve">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Aquila</w:t>
            </w:r>
            <w:proofErr w:type="spellEnd"/>
            <w:r w:rsidRPr="00FF1B9E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pomarina</w:t>
            </w:r>
            <w:proofErr w:type="spellEnd"/>
          </w:p>
        </w:tc>
        <w:tc>
          <w:tcPr>
            <w:tcW w:w="0" w:type="auto"/>
          </w:tcPr>
          <w:p w14:paraId="6463F801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Stan populacji</w:t>
            </w:r>
          </w:p>
        </w:tc>
        <w:tc>
          <w:tcPr>
            <w:tcW w:w="0" w:type="auto"/>
          </w:tcPr>
          <w:p w14:paraId="6A2E29CF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Poprawa liczebności populacji lęgowej do poziomu min. 10 par, tj. poprawa złego stanu populacji (U2) do stanu właściwego (FV). </w:t>
            </w:r>
          </w:p>
          <w:p w14:paraId="0806D62D" w14:textId="6317194E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Krajowa populacja gatunku obejmuje 2 000 – 2 600 par [Chodkiewicz T. i in. 2019], a</w:t>
            </w:r>
            <w:r w:rsidR="00D932A3" w:rsidRPr="00FF1B9E">
              <w:rPr>
                <w:rFonts w:cstheme="minorHAnsi"/>
                <w:sz w:val="24"/>
                <w:szCs w:val="24"/>
              </w:rPr>
              <w:t> </w:t>
            </w:r>
            <w:r w:rsidRPr="00FF1B9E">
              <w:rPr>
                <w:rFonts w:cstheme="minorHAnsi"/>
                <w:sz w:val="24"/>
                <w:szCs w:val="24"/>
              </w:rPr>
              <w:t xml:space="preserve">stan populacji w obszarze </w:t>
            </w:r>
            <w:r w:rsidR="00856747" w:rsidRPr="00FF1B9E">
              <w:rPr>
                <w:rFonts w:cstheme="minorHAnsi"/>
                <w:sz w:val="24"/>
                <w:szCs w:val="24"/>
              </w:rPr>
              <w:t>to obecnie</w:t>
            </w:r>
            <w:r w:rsidRPr="00FF1B9E">
              <w:rPr>
                <w:rFonts w:cstheme="minorHAnsi"/>
                <w:sz w:val="24"/>
                <w:szCs w:val="24"/>
              </w:rPr>
              <w:t xml:space="preserve"> 7 par [</w:t>
            </w:r>
            <w:proofErr w:type="spellStart"/>
            <w:r w:rsidRPr="00FF1B9E">
              <w:rPr>
                <w:rFonts w:cstheme="minorHAnsi"/>
                <w:sz w:val="24"/>
                <w:szCs w:val="24"/>
              </w:rPr>
              <w:t>Jobda</w:t>
            </w:r>
            <w:proofErr w:type="spellEnd"/>
            <w:r w:rsidRPr="00FF1B9E">
              <w:rPr>
                <w:rFonts w:cstheme="minorHAnsi"/>
                <w:sz w:val="24"/>
                <w:szCs w:val="24"/>
              </w:rPr>
              <w:t xml:space="preserve"> M. i in. 2021]. </w:t>
            </w:r>
          </w:p>
        </w:tc>
      </w:tr>
      <w:tr w:rsidR="00910315" w:rsidRPr="00FF1B9E" w14:paraId="0D747DA5" w14:textId="77777777" w:rsidTr="00453D90">
        <w:trPr>
          <w:tblHeader/>
        </w:trPr>
        <w:tc>
          <w:tcPr>
            <w:tcW w:w="0" w:type="auto"/>
            <w:vMerge/>
          </w:tcPr>
          <w:p w14:paraId="55E5F444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14:paraId="71D8B0DD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</w:tcPr>
          <w:p w14:paraId="2105F829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Stan siedliska / Wskaźniki:</w:t>
            </w:r>
          </w:p>
          <w:p w14:paraId="7D0E09B1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1. intensyfikacja użytkowania rolniczego w żerowiskach orlika krzykliwego; </w:t>
            </w:r>
          </w:p>
          <w:p w14:paraId="1E96D279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2. zarzucenie użytkowania terenów otwartych, powodujące ich zarastanie lub zalesianie;</w:t>
            </w:r>
          </w:p>
          <w:p w14:paraId="184C09FE" w14:textId="0832A9D2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3. utrzymanie drzewostanów.</w:t>
            </w:r>
          </w:p>
        </w:tc>
        <w:tc>
          <w:tcPr>
            <w:tcW w:w="0" w:type="auto"/>
          </w:tcPr>
          <w:p w14:paraId="38281FFA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Utrzymanie właściwego stanu siedliska (FV) poprzez: </w:t>
            </w:r>
          </w:p>
          <w:p w14:paraId="765F9754" w14:textId="77777777" w:rsidR="00910315" w:rsidRPr="00FF1B9E" w:rsidRDefault="00910315" w:rsidP="00FF1B9E">
            <w:pPr>
              <w:pStyle w:val="Akapitzlist"/>
              <w:numPr>
                <w:ilvl w:val="0"/>
                <w:numId w:val="12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utrzymanie dotychczasowego użytkowania kośnego w żerowiskach orlika krzykliwego;</w:t>
            </w:r>
          </w:p>
          <w:p w14:paraId="4C3D65BB" w14:textId="77777777" w:rsidR="00910315" w:rsidRPr="00FF1B9E" w:rsidRDefault="00910315" w:rsidP="00FF1B9E">
            <w:pPr>
              <w:pStyle w:val="Akapitzlist"/>
              <w:numPr>
                <w:ilvl w:val="0"/>
                <w:numId w:val="12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kontynuację rolnego użytkowania terenów otwartych w celu ograniczenia sukcesji zadrzewień w żerowiskach orlika krzykliwego;</w:t>
            </w:r>
          </w:p>
          <w:p w14:paraId="13505FB6" w14:textId="73B97CAD" w:rsidR="00910315" w:rsidRPr="00FF1B9E" w:rsidRDefault="00910315" w:rsidP="00FF1B9E">
            <w:pPr>
              <w:pStyle w:val="Akapitzlist"/>
              <w:numPr>
                <w:ilvl w:val="0"/>
                <w:numId w:val="12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ograniczenie prowadzenia prac leśnych mogących wpływać na jakość siedliska lęgowego</w:t>
            </w:r>
          </w:p>
        </w:tc>
      </w:tr>
      <w:tr w:rsidR="00910315" w:rsidRPr="00FF1B9E" w14:paraId="37893541" w14:textId="77777777" w:rsidTr="00453D90">
        <w:trPr>
          <w:tblHeader/>
        </w:trPr>
        <w:tc>
          <w:tcPr>
            <w:tcW w:w="0" w:type="auto"/>
            <w:vMerge w:val="restart"/>
          </w:tcPr>
          <w:p w14:paraId="4904E314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lastRenderedPageBreak/>
              <w:t>7.</w:t>
            </w:r>
          </w:p>
        </w:tc>
        <w:tc>
          <w:tcPr>
            <w:tcW w:w="0" w:type="auto"/>
            <w:vMerge w:val="restart"/>
            <w:hideMark/>
          </w:tcPr>
          <w:p w14:paraId="5B8862AF" w14:textId="110AD3FD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A120 - Zielonka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Porzana</w:t>
            </w:r>
            <w:proofErr w:type="spellEnd"/>
            <w:r w:rsidRPr="00FF1B9E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parva</w:t>
            </w:r>
            <w:proofErr w:type="spellEnd"/>
          </w:p>
        </w:tc>
        <w:tc>
          <w:tcPr>
            <w:tcW w:w="0" w:type="auto"/>
          </w:tcPr>
          <w:p w14:paraId="1A3ECD69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Stan populacji</w:t>
            </w:r>
          </w:p>
        </w:tc>
        <w:tc>
          <w:tcPr>
            <w:tcW w:w="0" w:type="auto"/>
          </w:tcPr>
          <w:p w14:paraId="765AF5F4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Utrzymanie właściwego stanu populacji (FV) poprzez utrzymanie liczebności na poziomie powyżej 30 par lęgowych. </w:t>
            </w:r>
          </w:p>
          <w:p w14:paraId="1A9A966B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Krajowa populacja gatunku obejmuje 1 500 – 2 000 śpiewających samców [Chodkiewicz T. i in. 2019], a stan populacji w obszarze oszacowano na poziomie 37 – 45 par [</w:t>
            </w:r>
            <w:proofErr w:type="spellStart"/>
            <w:r w:rsidRPr="00FF1B9E">
              <w:rPr>
                <w:rFonts w:cstheme="minorHAnsi"/>
                <w:sz w:val="24"/>
                <w:szCs w:val="24"/>
              </w:rPr>
              <w:t>Jobda</w:t>
            </w:r>
            <w:proofErr w:type="spellEnd"/>
            <w:r w:rsidRPr="00FF1B9E">
              <w:rPr>
                <w:rFonts w:cstheme="minorHAnsi"/>
                <w:sz w:val="24"/>
                <w:szCs w:val="24"/>
              </w:rPr>
              <w:t xml:space="preserve"> M. i in. 2021].</w:t>
            </w:r>
          </w:p>
        </w:tc>
      </w:tr>
      <w:tr w:rsidR="00910315" w:rsidRPr="00FF1B9E" w14:paraId="3FF40E23" w14:textId="77777777" w:rsidTr="00453D90">
        <w:trPr>
          <w:tblHeader/>
        </w:trPr>
        <w:tc>
          <w:tcPr>
            <w:tcW w:w="0" w:type="auto"/>
            <w:vMerge/>
          </w:tcPr>
          <w:p w14:paraId="25CCC2CD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14:paraId="3B59F130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</w:tcPr>
          <w:p w14:paraId="0486998E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Stan siedliska / Wskaźniki:</w:t>
            </w:r>
          </w:p>
          <w:p w14:paraId="3ABD8B44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1. osuszanie śródpolnych zbiorników wodnych zasiedlonych przez zielonkę;</w:t>
            </w:r>
          </w:p>
          <w:p w14:paraId="14948FC4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2. presja wizona amerykańskiego i innych ssaków drapieżnych;</w:t>
            </w:r>
          </w:p>
          <w:p w14:paraId="3E897EF0" w14:textId="67733A1E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3. wypalanie lub wycinanie roślinności szuwarowej.</w:t>
            </w:r>
          </w:p>
        </w:tc>
        <w:tc>
          <w:tcPr>
            <w:tcW w:w="0" w:type="auto"/>
          </w:tcPr>
          <w:p w14:paraId="3BD78425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Utrzymanie właściwego stanu siedliska (FV) poprzez:</w:t>
            </w:r>
          </w:p>
          <w:p w14:paraId="55F559CE" w14:textId="77777777" w:rsidR="00910315" w:rsidRPr="00FF1B9E" w:rsidRDefault="00910315" w:rsidP="00FF1B9E">
            <w:pPr>
              <w:pStyle w:val="Akapitzlist"/>
              <w:numPr>
                <w:ilvl w:val="0"/>
                <w:numId w:val="13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zachowanie warunków hydrologicznych na niezmienionym poziomie w śródpolnych zbiornikach wodnych w miejscach stwierdzenia zielonki;</w:t>
            </w:r>
          </w:p>
          <w:p w14:paraId="40830FEC" w14:textId="77777777" w:rsidR="00910315" w:rsidRPr="00FF1B9E" w:rsidRDefault="00910315" w:rsidP="00FF1B9E">
            <w:pPr>
              <w:pStyle w:val="Akapitzlist"/>
              <w:numPr>
                <w:ilvl w:val="0"/>
                <w:numId w:val="13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utrzymanie braku presji ze strony ssaków drapieżnych;</w:t>
            </w:r>
          </w:p>
          <w:p w14:paraId="7F06B3A3" w14:textId="77777777" w:rsidR="00910315" w:rsidRPr="00FF1B9E" w:rsidRDefault="00910315" w:rsidP="00FF1B9E">
            <w:pPr>
              <w:pStyle w:val="Akapitzlist"/>
              <w:numPr>
                <w:ilvl w:val="0"/>
                <w:numId w:val="13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utrzymanie roślinności szuwarowej w siedlisku zielonki w stopniu nienaruszonym (brak wypalania i wycinania roślinności szuwarowej). </w:t>
            </w:r>
          </w:p>
          <w:p w14:paraId="3F266B6D" w14:textId="77777777" w:rsidR="00910315" w:rsidRPr="00FF1B9E" w:rsidRDefault="00910315" w:rsidP="00FF1B9E">
            <w:pPr>
              <w:pStyle w:val="Akapitzlist"/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910315" w:rsidRPr="00FF1B9E" w14:paraId="0A4070B8" w14:textId="77777777" w:rsidTr="00453D90">
        <w:trPr>
          <w:tblHeader/>
        </w:trPr>
        <w:tc>
          <w:tcPr>
            <w:tcW w:w="0" w:type="auto"/>
            <w:vMerge w:val="restart"/>
          </w:tcPr>
          <w:p w14:paraId="10CF30E1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8.</w:t>
            </w:r>
          </w:p>
        </w:tc>
        <w:tc>
          <w:tcPr>
            <w:tcW w:w="0" w:type="auto"/>
            <w:vMerge w:val="restart"/>
            <w:hideMark/>
          </w:tcPr>
          <w:p w14:paraId="7792EB3F" w14:textId="1A00AA96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A127 - Żuraw (zwyczajny)</w:t>
            </w:r>
            <w:r w:rsidRPr="00FF1B9E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Grus</w:t>
            </w:r>
            <w:proofErr w:type="spellEnd"/>
            <w:r w:rsidRPr="00FF1B9E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grus</w:t>
            </w:r>
            <w:proofErr w:type="spellEnd"/>
            <w:r w:rsidRPr="00FF1B9E">
              <w:rPr>
                <w:rFonts w:cstheme="minorHAnsi"/>
                <w:sz w:val="24"/>
                <w:szCs w:val="24"/>
              </w:rPr>
              <w:t>, populacja lęgowa</w:t>
            </w:r>
          </w:p>
        </w:tc>
        <w:tc>
          <w:tcPr>
            <w:tcW w:w="0" w:type="auto"/>
          </w:tcPr>
          <w:p w14:paraId="5A57C2FA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Stan populacji </w:t>
            </w:r>
          </w:p>
        </w:tc>
        <w:tc>
          <w:tcPr>
            <w:tcW w:w="0" w:type="auto"/>
          </w:tcPr>
          <w:p w14:paraId="73DFCAA8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Utrzymanie właściwego stanu populacji (FV) poprzez utrzymanie liczebności na poziomie powyżej 70 par. </w:t>
            </w:r>
          </w:p>
          <w:p w14:paraId="6B6E8710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Krajowa populacja gatunku obejmuje 98 000 – 155 000 par [Chodkiewicz T. i in. 2019], a stan populacji w obszarze oszacowano na poziomie 73 – 78 par [</w:t>
            </w:r>
            <w:proofErr w:type="spellStart"/>
            <w:r w:rsidRPr="00FF1B9E">
              <w:rPr>
                <w:rFonts w:cstheme="minorHAnsi"/>
                <w:sz w:val="24"/>
                <w:szCs w:val="24"/>
              </w:rPr>
              <w:t>Jobda</w:t>
            </w:r>
            <w:proofErr w:type="spellEnd"/>
            <w:r w:rsidRPr="00FF1B9E">
              <w:rPr>
                <w:rFonts w:cstheme="minorHAnsi"/>
                <w:sz w:val="24"/>
                <w:szCs w:val="24"/>
              </w:rPr>
              <w:t xml:space="preserve"> M. i in. 2021]. </w:t>
            </w:r>
          </w:p>
        </w:tc>
      </w:tr>
      <w:tr w:rsidR="00910315" w:rsidRPr="00FF1B9E" w14:paraId="2D70D71E" w14:textId="77777777" w:rsidTr="00453D90">
        <w:trPr>
          <w:tblHeader/>
        </w:trPr>
        <w:tc>
          <w:tcPr>
            <w:tcW w:w="0" w:type="auto"/>
            <w:vMerge/>
          </w:tcPr>
          <w:p w14:paraId="6530F8B7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14:paraId="22C27553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</w:tcPr>
          <w:p w14:paraId="191BB9C3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Stan siedliska / Wskaźniki:</w:t>
            </w:r>
          </w:p>
          <w:p w14:paraId="57B221B0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1. obecność terenów zalanych wodą lub trwale podmokłych;</w:t>
            </w:r>
          </w:p>
          <w:p w14:paraId="67C35173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2. presja dzików i ssaków drapieżnych;</w:t>
            </w:r>
          </w:p>
          <w:p w14:paraId="4B1893ED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3. chemizacja rolnictwa.</w:t>
            </w:r>
          </w:p>
        </w:tc>
        <w:tc>
          <w:tcPr>
            <w:tcW w:w="0" w:type="auto"/>
          </w:tcPr>
          <w:p w14:paraId="08EFBB33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Poprawa stanu siedliska (U1) do poziomu (FV) poprzez:</w:t>
            </w:r>
          </w:p>
          <w:p w14:paraId="6FED4DAB" w14:textId="77777777" w:rsidR="00910315" w:rsidRPr="00FF1B9E" w:rsidRDefault="00910315" w:rsidP="00FF1B9E">
            <w:pPr>
              <w:pStyle w:val="Akapitzlist"/>
              <w:numPr>
                <w:ilvl w:val="0"/>
                <w:numId w:val="15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utrzymanie poziomu wody w siedliskach (ponad gruntem); </w:t>
            </w:r>
          </w:p>
          <w:p w14:paraId="7DC99786" w14:textId="77777777" w:rsidR="00910315" w:rsidRPr="00FF1B9E" w:rsidRDefault="00910315" w:rsidP="00FF1B9E">
            <w:pPr>
              <w:pStyle w:val="Akapitzlist"/>
              <w:numPr>
                <w:ilvl w:val="0"/>
                <w:numId w:val="15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wykluczenie obecności dzików i ssaków drapieżnych w siedliskach;</w:t>
            </w:r>
          </w:p>
          <w:p w14:paraId="39C6DA01" w14:textId="77777777" w:rsidR="00910315" w:rsidRPr="00FF1B9E" w:rsidRDefault="00910315" w:rsidP="00FF1B9E">
            <w:pPr>
              <w:pStyle w:val="Akapitzlist"/>
              <w:numPr>
                <w:ilvl w:val="0"/>
                <w:numId w:val="15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ograniczenie spływu biogenów w kierunku siedlisk lęgowych. </w:t>
            </w:r>
          </w:p>
          <w:p w14:paraId="1CA6289D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910315" w:rsidRPr="00FF1B9E" w14:paraId="3E8D5101" w14:textId="77777777" w:rsidTr="00453D90">
        <w:trPr>
          <w:tblHeader/>
        </w:trPr>
        <w:tc>
          <w:tcPr>
            <w:tcW w:w="0" w:type="auto"/>
            <w:vMerge w:val="restart"/>
          </w:tcPr>
          <w:p w14:paraId="5CF969B2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9.</w:t>
            </w:r>
          </w:p>
        </w:tc>
        <w:tc>
          <w:tcPr>
            <w:tcW w:w="0" w:type="auto"/>
            <w:vMerge w:val="restart"/>
            <w:hideMark/>
          </w:tcPr>
          <w:p w14:paraId="6758BCA9" w14:textId="6FBFB6F8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A127 - Żuraw (zwyczajny)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Grus</w:t>
            </w:r>
            <w:proofErr w:type="spellEnd"/>
            <w:r w:rsidRPr="00FF1B9E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grus</w:t>
            </w:r>
            <w:proofErr w:type="spellEnd"/>
            <w:r w:rsidRPr="00FF1B9E">
              <w:rPr>
                <w:rFonts w:cstheme="minorHAnsi"/>
                <w:sz w:val="24"/>
                <w:szCs w:val="24"/>
              </w:rPr>
              <w:t xml:space="preserve">, populacja migrująca </w:t>
            </w:r>
          </w:p>
        </w:tc>
        <w:tc>
          <w:tcPr>
            <w:tcW w:w="0" w:type="auto"/>
          </w:tcPr>
          <w:p w14:paraId="524A87EB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Stan populacji </w:t>
            </w:r>
          </w:p>
        </w:tc>
        <w:tc>
          <w:tcPr>
            <w:tcW w:w="0" w:type="auto"/>
          </w:tcPr>
          <w:p w14:paraId="104D2B20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Poprawa złego stanu populacji migrującej (U2) do poziomu (U1) do min. 990 os. </w:t>
            </w:r>
          </w:p>
          <w:p w14:paraId="7B7C1B8D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Krajowa populacja gatunku obejmuje 150 000 par [Sikoro A. i in. 2011], a stan populacji w obszarze oszacowano na poziomie 0-2000 osobników [</w:t>
            </w:r>
            <w:proofErr w:type="spellStart"/>
            <w:r w:rsidRPr="00FF1B9E">
              <w:rPr>
                <w:rFonts w:cstheme="minorHAnsi"/>
                <w:sz w:val="24"/>
                <w:szCs w:val="24"/>
              </w:rPr>
              <w:t>Jobda</w:t>
            </w:r>
            <w:proofErr w:type="spellEnd"/>
            <w:r w:rsidRPr="00FF1B9E">
              <w:rPr>
                <w:rFonts w:cstheme="minorHAnsi"/>
                <w:sz w:val="24"/>
                <w:szCs w:val="24"/>
              </w:rPr>
              <w:t xml:space="preserve"> M. i in. 2021]. </w:t>
            </w:r>
          </w:p>
          <w:p w14:paraId="6339E183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W 2020 r. na obszarze nie stwierdzono żurawi migrujących. W pobliżu obszaru obserwowano niewielkie stado (ok. 50 os.), które mogło przebywać chwilowo w ostoi. Historyczne dane wskazują, że miejsce może być znaczącym stanowiskiem noclegowym żurawi w trakcie migracji jesiennej. Populację migrującą żurawia na obszarze tej ostoi oszacowano na 0-2000 osobników.</w:t>
            </w:r>
          </w:p>
        </w:tc>
      </w:tr>
      <w:tr w:rsidR="00910315" w:rsidRPr="00FF1B9E" w14:paraId="6E39E3F7" w14:textId="77777777" w:rsidTr="00453D90">
        <w:trPr>
          <w:tblHeader/>
        </w:trPr>
        <w:tc>
          <w:tcPr>
            <w:tcW w:w="0" w:type="auto"/>
            <w:vMerge/>
          </w:tcPr>
          <w:p w14:paraId="4E697B37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14:paraId="3FA8BD61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</w:tcPr>
          <w:p w14:paraId="47760841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Stan siedliska / Wskaźniki:</w:t>
            </w:r>
          </w:p>
          <w:p w14:paraId="16279389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1. obecność dogodnych noclegowisk i żerowisk;</w:t>
            </w:r>
          </w:p>
          <w:p w14:paraId="0753B428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2. płoszenie. </w:t>
            </w:r>
          </w:p>
        </w:tc>
        <w:tc>
          <w:tcPr>
            <w:tcW w:w="0" w:type="auto"/>
          </w:tcPr>
          <w:p w14:paraId="31331DA7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Poprawa stanu siedliska na poziomie (U2) do (U1) poprzez:</w:t>
            </w:r>
          </w:p>
          <w:p w14:paraId="11054F36" w14:textId="77777777" w:rsidR="00910315" w:rsidRPr="00FF1B9E" w:rsidRDefault="00910315" w:rsidP="00FF1B9E">
            <w:pPr>
              <w:pStyle w:val="Akapitzlist"/>
              <w:numPr>
                <w:ilvl w:val="0"/>
                <w:numId w:val="17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poprawę struktury roślinności stanowiącej dogodne noclegowisko żurawi oraz utrzymanie płycizn porośniętych trzciną;. </w:t>
            </w:r>
          </w:p>
          <w:p w14:paraId="416C2E52" w14:textId="28DB2A7A" w:rsidR="00910315" w:rsidRPr="00FF1B9E" w:rsidRDefault="00910315" w:rsidP="00FF1B9E">
            <w:pPr>
              <w:pStyle w:val="Akapitzlist"/>
              <w:numPr>
                <w:ilvl w:val="0"/>
                <w:numId w:val="17"/>
              </w:numPr>
              <w:spacing w:line="360" w:lineRule="auto"/>
              <w:ind w:left="427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nie stwierdzono płoszenia nocujących stad żurawi przez ludzi</w:t>
            </w:r>
          </w:p>
        </w:tc>
      </w:tr>
      <w:tr w:rsidR="00910315" w:rsidRPr="00FF1B9E" w14:paraId="2620AE49" w14:textId="77777777" w:rsidTr="00453D90">
        <w:trPr>
          <w:tblHeader/>
        </w:trPr>
        <w:tc>
          <w:tcPr>
            <w:tcW w:w="0" w:type="auto"/>
            <w:vMerge w:val="restart"/>
          </w:tcPr>
          <w:p w14:paraId="3DEB7550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10.</w:t>
            </w:r>
          </w:p>
        </w:tc>
        <w:tc>
          <w:tcPr>
            <w:tcW w:w="0" w:type="auto"/>
            <w:vMerge w:val="restart"/>
            <w:hideMark/>
          </w:tcPr>
          <w:p w14:paraId="0D005E33" w14:textId="499EABEF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A239 - Dzięcioł białogrzbiety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Dendrocopos</w:t>
            </w:r>
            <w:proofErr w:type="spellEnd"/>
            <w:r w:rsidRPr="00FF1B9E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leucotos</w:t>
            </w:r>
            <w:proofErr w:type="spellEnd"/>
          </w:p>
        </w:tc>
        <w:tc>
          <w:tcPr>
            <w:tcW w:w="0" w:type="auto"/>
          </w:tcPr>
          <w:p w14:paraId="622A7FBA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Stan populacji</w:t>
            </w:r>
          </w:p>
        </w:tc>
        <w:tc>
          <w:tcPr>
            <w:tcW w:w="0" w:type="auto"/>
          </w:tcPr>
          <w:p w14:paraId="1372DB10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Poprawa liczebności populacji lęgowej do min. 7 par, tj. poprawa złego stanu populacji (U2) do stanu niezadowalającego (U1). </w:t>
            </w:r>
          </w:p>
          <w:p w14:paraId="384ABC25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Krajowa populacja gatunku obejmuje 1 500-2 000 par. [Chodkiewicz T. i in. 2019], a stan populacji w obszarze występuje na poziomie od 1 do 6 par [</w:t>
            </w:r>
            <w:proofErr w:type="spellStart"/>
            <w:r w:rsidRPr="00FF1B9E">
              <w:rPr>
                <w:rFonts w:cstheme="minorHAnsi"/>
                <w:sz w:val="24"/>
                <w:szCs w:val="24"/>
              </w:rPr>
              <w:t>Jobda</w:t>
            </w:r>
            <w:proofErr w:type="spellEnd"/>
            <w:r w:rsidRPr="00FF1B9E">
              <w:rPr>
                <w:rFonts w:cstheme="minorHAnsi"/>
                <w:sz w:val="24"/>
                <w:szCs w:val="24"/>
              </w:rPr>
              <w:t xml:space="preserve"> M. i in. 2021].</w:t>
            </w:r>
          </w:p>
        </w:tc>
      </w:tr>
      <w:tr w:rsidR="00910315" w:rsidRPr="00FF1B9E" w14:paraId="304F36DD" w14:textId="77777777" w:rsidTr="00453D90">
        <w:trPr>
          <w:tblHeader/>
        </w:trPr>
        <w:tc>
          <w:tcPr>
            <w:tcW w:w="0" w:type="auto"/>
            <w:vMerge/>
          </w:tcPr>
          <w:p w14:paraId="4ECAEE00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14:paraId="5A195AC7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</w:tcPr>
          <w:p w14:paraId="19BC69E6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Stan siedliska / Wskaźniki:</w:t>
            </w:r>
          </w:p>
          <w:p w14:paraId="6C375BB8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1. udział lasów liściastych w wieku powyżej 100 lat (buk, dąb) lub 80 lat (olsza, brzoza) w promieniu 300 m od stanowiska lęgowego;</w:t>
            </w:r>
          </w:p>
          <w:p w14:paraId="3438D240" w14:textId="6736BE46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2. udział martwego drewna stojącego w obrębie rewiru lęgowego. </w:t>
            </w:r>
          </w:p>
        </w:tc>
        <w:tc>
          <w:tcPr>
            <w:tcW w:w="0" w:type="auto"/>
          </w:tcPr>
          <w:p w14:paraId="02E6AB22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Utrzymanie właściwego stanu siedliska (FV) poprzez:</w:t>
            </w:r>
          </w:p>
          <w:p w14:paraId="663FEE92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1. utrzymanie nie mniej niż 50% udziału lasów liściastych;</w:t>
            </w:r>
          </w:p>
          <w:p w14:paraId="3DB05239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2. utrzymanie udziału martwego drewna w ilości przekraczającej 50 m</w:t>
            </w:r>
            <w:r w:rsidRPr="00FF1B9E">
              <w:rPr>
                <w:rFonts w:cstheme="minorHAnsi"/>
                <w:sz w:val="24"/>
                <w:szCs w:val="24"/>
                <w:vertAlign w:val="superscript"/>
              </w:rPr>
              <w:t>3</w:t>
            </w:r>
            <w:r w:rsidRPr="00FF1B9E">
              <w:rPr>
                <w:rFonts w:cstheme="minorHAnsi"/>
                <w:sz w:val="24"/>
                <w:szCs w:val="24"/>
              </w:rPr>
              <w:t xml:space="preserve"> (1 m</w:t>
            </w:r>
            <w:r w:rsidRPr="00FF1B9E">
              <w:rPr>
                <w:rFonts w:cstheme="minorHAnsi"/>
                <w:sz w:val="24"/>
                <w:szCs w:val="24"/>
                <w:vertAlign w:val="superscript"/>
              </w:rPr>
              <w:t>3</w:t>
            </w:r>
            <w:r w:rsidRPr="00FF1B9E">
              <w:rPr>
                <w:rFonts w:cstheme="minorHAnsi"/>
                <w:sz w:val="24"/>
                <w:szCs w:val="24"/>
              </w:rPr>
              <w:t xml:space="preserve"> = 2 olsze lub brzozy o średnicy ok. 30-40 cm). </w:t>
            </w:r>
          </w:p>
        </w:tc>
      </w:tr>
      <w:tr w:rsidR="00910315" w:rsidRPr="00FF1B9E" w14:paraId="58438C3B" w14:textId="77777777" w:rsidTr="00453D90">
        <w:trPr>
          <w:tblHeader/>
        </w:trPr>
        <w:tc>
          <w:tcPr>
            <w:tcW w:w="0" w:type="auto"/>
            <w:vMerge w:val="restart"/>
          </w:tcPr>
          <w:p w14:paraId="69F8942C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lastRenderedPageBreak/>
              <w:t>11.</w:t>
            </w:r>
          </w:p>
        </w:tc>
        <w:tc>
          <w:tcPr>
            <w:tcW w:w="0" w:type="auto"/>
            <w:vMerge w:val="restart"/>
            <w:hideMark/>
          </w:tcPr>
          <w:p w14:paraId="00595EAA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 xml:space="preserve">A391 – Kormoran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Phalacrocorax</w:t>
            </w:r>
            <w:proofErr w:type="spellEnd"/>
            <w:r w:rsidRPr="00FF1B9E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carbo</w:t>
            </w:r>
            <w:proofErr w:type="spellEnd"/>
            <w:r w:rsidRPr="00FF1B9E">
              <w:rPr>
                <w:rFonts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FF1B9E">
              <w:rPr>
                <w:rFonts w:cstheme="minorHAnsi"/>
                <w:i/>
                <w:iCs/>
                <w:sz w:val="24"/>
                <w:szCs w:val="24"/>
              </w:rPr>
              <w:t>sinensis</w:t>
            </w:r>
            <w:proofErr w:type="spellEnd"/>
          </w:p>
        </w:tc>
        <w:tc>
          <w:tcPr>
            <w:tcW w:w="0" w:type="auto"/>
          </w:tcPr>
          <w:p w14:paraId="7F914AD7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Stan populacji</w:t>
            </w:r>
          </w:p>
        </w:tc>
        <w:tc>
          <w:tcPr>
            <w:tcW w:w="0" w:type="auto"/>
          </w:tcPr>
          <w:p w14:paraId="03F104F5" w14:textId="76A84FA4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Utrzymanie właściwego stanu populacji (FV) poprzez utrzymanie liczebności na poziomie powyżej 700 par.</w:t>
            </w:r>
          </w:p>
          <w:p w14:paraId="5057ED9D" w14:textId="32043D0A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Krajowa populacja gatunku obejmuje 25 767 – 30 066 par [Chodkiewicz T. i in. 2019], a stan populacji w obszarze oszacowano na poziomie 700 par [Kwiatkowski P. 2013].</w:t>
            </w:r>
          </w:p>
        </w:tc>
      </w:tr>
      <w:tr w:rsidR="00910315" w:rsidRPr="00FF1B9E" w14:paraId="5B9C00DB" w14:textId="77777777" w:rsidTr="00453D90">
        <w:trPr>
          <w:tblHeader/>
        </w:trPr>
        <w:tc>
          <w:tcPr>
            <w:tcW w:w="0" w:type="auto"/>
            <w:vMerge/>
          </w:tcPr>
          <w:p w14:paraId="3267985D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14:paraId="4B4CF4F6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0" w:type="auto"/>
          </w:tcPr>
          <w:p w14:paraId="625E5EA7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Stan siedliska / Wskaźniki:</w:t>
            </w:r>
          </w:p>
          <w:p w14:paraId="59620BFA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1. Powierzchnia siedlisk lęgowych;</w:t>
            </w:r>
          </w:p>
          <w:p w14:paraId="21725176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2. Jakość siedlisk lęgowych;</w:t>
            </w:r>
          </w:p>
          <w:p w14:paraId="39ABD4F7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3. Powierzchnia żerowisk</w:t>
            </w:r>
          </w:p>
        </w:tc>
        <w:tc>
          <w:tcPr>
            <w:tcW w:w="0" w:type="auto"/>
          </w:tcPr>
          <w:p w14:paraId="1015CAF2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Utrzymanie właściwego stanu siedliska (FV) poprzez:</w:t>
            </w:r>
          </w:p>
          <w:p w14:paraId="2F1756C5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1. Utrzymanie powierzchni siedlisk lęgowych;</w:t>
            </w:r>
          </w:p>
          <w:p w14:paraId="2D688787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2. Utrzymanie jakości siedlisk lęgowych;</w:t>
            </w:r>
          </w:p>
          <w:p w14:paraId="1E241638" w14:textId="67A6893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3. Utrzymanie powierzchni żerowisk.</w:t>
            </w:r>
          </w:p>
          <w:p w14:paraId="69752374" w14:textId="77777777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  <w:p w14:paraId="4DDE136C" w14:textId="7AEAE1FC" w:rsidR="00910315" w:rsidRPr="00FF1B9E" w:rsidRDefault="00910315" w:rsidP="00FF1B9E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FF1B9E">
              <w:rPr>
                <w:rFonts w:cstheme="minorHAnsi"/>
                <w:sz w:val="24"/>
                <w:szCs w:val="24"/>
              </w:rPr>
              <w:t>Zgodnie z planem zadań ochronnych utrzymanie korzystnego stanu populacji i siedlisk kormorana</w:t>
            </w:r>
            <w:r w:rsidR="00C909B5" w:rsidRPr="00FF1B9E">
              <w:rPr>
                <w:rFonts w:cstheme="minorHAnsi"/>
                <w:sz w:val="24"/>
                <w:szCs w:val="24"/>
              </w:rPr>
              <w:t xml:space="preserve"> </w:t>
            </w:r>
            <w:r w:rsidRPr="00FF1B9E">
              <w:rPr>
                <w:rFonts w:cstheme="minorHAnsi"/>
                <w:sz w:val="24"/>
                <w:szCs w:val="24"/>
              </w:rPr>
              <w:t>powinno odbywać się przy jednoczesnym dążeniu, w ramach krajowej lub regionalnej strategii zarządzania kormoranem, do ograniczania poważnych szkód powodowanych przez ten gatunek w rybactwie.</w:t>
            </w:r>
          </w:p>
        </w:tc>
      </w:tr>
    </w:tbl>
    <w:p w14:paraId="0AD9BD9C" w14:textId="77777777" w:rsidR="006251FA" w:rsidRPr="00787A12" w:rsidRDefault="0046621D" w:rsidP="00776821">
      <w:pPr>
        <w:spacing w:after="0" w:line="360" w:lineRule="auto"/>
        <w:rPr>
          <w:rFonts w:cstheme="minorHAnsi"/>
          <w:sz w:val="20"/>
          <w:szCs w:val="20"/>
        </w:rPr>
      </w:pPr>
      <w:r w:rsidRPr="00787A12">
        <w:rPr>
          <w:rFonts w:cstheme="minorHAnsi"/>
          <w:sz w:val="20"/>
          <w:szCs w:val="20"/>
        </w:rPr>
        <w:t>Źródła danych</w:t>
      </w:r>
      <w:r w:rsidR="006251FA" w:rsidRPr="00787A12">
        <w:rPr>
          <w:rFonts w:cstheme="minorHAnsi"/>
          <w:sz w:val="20"/>
          <w:szCs w:val="20"/>
        </w:rPr>
        <w:t>:</w:t>
      </w:r>
    </w:p>
    <w:p w14:paraId="2F5F7F7F" w14:textId="3A2E6416" w:rsidR="000C4F98" w:rsidRPr="00787A12" w:rsidRDefault="0046621D" w:rsidP="00776821">
      <w:pPr>
        <w:pStyle w:val="Akapitzlist"/>
        <w:numPr>
          <w:ilvl w:val="3"/>
          <w:numId w:val="23"/>
        </w:numPr>
        <w:spacing w:after="0" w:line="360" w:lineRule="auto"/>
        <w:ind w:left="709"/>
        <w:rPr>
          <w:rFonts w:cstheme="minorHAnsi"/>
          <w:sz w:val="20"/>
          <w:szCs w:val="20"/>
        </w:rPr>
      </w:pPr>
      <w:proofErr w:type="spellStart"/>
      <w:r w:rsidRPr="00787A12">
        <w:rPr>
          <w:rFonts w:cstheme="minorHAnsi"/>
          <w:sz w:val="20"/>
          <w:szCs w:val="20"/>
        </w:rPr>
        <w:t>Jobda</w:t>
      </w:r>
      <w:proofErr w:type="spellEnd"/>
      <w:r w:rsidRPr="00787A12">
        <w:rPr>
          <w:rFonts w:cstheme="minorHAnsi"/>
          <w:sz w:val="20"/>
          <w:szCs w:val="20"/>
        </w:rPr>
        <w:t xml:space="preserve"> M., Szałański P., </w:t>
      </w:r>
      <w:proofErr w:type="spellStart"/>
      <w:r w:rsidRPr="00787A12">
        <w:rPr>
          <w:rFonts w:cstheme="minorHAnsi"/>
          <w:sz w:val="20"/>
          <w:szCs w:val="20"/>
        </w:rPr>
        <w:t>Cząstkiewicz</w:t>
      </w:r>
      <w:proofErr w:type="spellEnd"/>
      <w:r w:rsidRPr="00787A12">
        <w:rPr>
          <w:rFonts w:cstheme="minorHAnsi"/>
          <w:sz w:val="20"/>
          <w:szCs w:val="20"/>
        </w:rPr>
        <w:t xml:space="preserve"> D., Czernek Sz., Rzepkowski R. 2021. Raport z prac terenowych przeprowadzonych w ramach inwentaryzacji ptaków na obszarze Natura 2000 Jezioro </w:t>
      </w:r>
      <w:proofErr w:type="spellStart"/>
      <w:r w:rsidRPr="00787A12">
        <w:rPr>
          <w:rFonts w:cstheme="minorHAnsi"/>
          <w:sz w:val="20"/>
          <w:szCs w:val="20"/>
        </w:rPr>
        <w:t>Dobskie</w:t>
      </w:r>
      <w:proofErr w:type="spellEnd"/>
      <w:r w:rsidRPr="00787A12">
        <w:rPr>
          <w:rFonts w:cstheme="minorHAnsi"/>
          <w:sz w:val="20"/>
          <w:szCs w:val="20"/>
        </w:rPr>
        <w:t xml:space="preserve"> PLB280012. Karczew. </w:t>
      </w:r>
      <w:proofErr w:type="spellStart"/>
      <w:r w:rsidRPr="00787A12">
        <w:rPr>
          <w:rFonts w:cstheme="minorHAnsi"/>
          <w:sz w:val="20"/>
          <w:szCs w:val="20"/>
        </w:rPr>
        <w:t>Msc</w:t>
      </w:r>
      <w:proofErr w:type="spellEnd"/>
      <w:r w:rsidRPr="00787A12">
        <w:rPr>
          <w:rFonts w:cstheme="minorHAnsi"/>
          <w:sz w:val="20"/>
          <w:szCs w:val="20"/>
        </w:rPr>
        <w:t>.</w:t>
      </w:r>
    </w:p>
    <w:p w14:paraId="397938A1" w14:textId="20C285F9" w:rsidR="000C4F98" w:rsidRPr="00787A12" w:rsidRDefault="0046621D" w:rsidP="00776821">
      <w:pPr>
        <w:pStyle w:val="Akapitzlist"/>
        <w:numPr>
          <w:ilvl w:val="3"/>
          <w:numId w:val="23"/>
        </w:numPr>
        <w:spacing w:after="0" w:line="360" w:lineRule="auto"/>
        <w:ind w:left="709"/>
        <w:rPr>
          <w:rFonts w:cstheme="minorHAnsi"/>
          <w:sz w:val="20"/>
          <w:szCs w:val="20"/>
        </w:rPr>
      </w:pPr>
      <w:r w:rsidRPr="00787A12">
        <w:rPr>
          <w:rFonts w:cstheme="minorHAnsi"/>
          <w:sz w:val="20"/>
          <w:szCs w:val="20"/>
        </w:rPr>
        <w:t xml:space="preserve">Chodkiewicz T., Chylarecki P., Sikora A., </w:t>
      </w:r>
      <w:proofErr w:type="spellStart"/>
      <w:r w:rsidRPr="00787A12">
        <w:rPr>
          <w:rFonts w:cstheme="minorHAnsi"/>
          <w:sz w:val="20"/>
          <w:szCs w:val="20"/>
        </w:rPr>
        <w:t>Wardecki</w:t>
      </w:r>
      <w:proofErr w:type="spellEnd"/>
      <w:r w:rsidRPr="00787A12">
        <w:rPr>
          <w:rFonts w:cstheme="minorHAnsi"/>
          <w:sz w:val="20"/>
          <w:szCs w:val="20"/>
        </w:rPr>
        <w:t xml:space="preserve"> Ł., Bobrek R., </w:t>
      </w:r>
      <w:proofErr w:type="spellStart"/>
      <w:r w:rsidRPr="00787A12">
        <w:rPr>
          <w:rFonts w:cstheme="minorHAnsi"/>
          <w:sz w:val="20"/>
          <w:szCs w:val="20"/>
        </w:rPr>
        <w:t>Neubauer</w:t>
      </w:r>
      <w:proofErr w:type="spellEnd"/>
      <w:r w:rsidRPr="00787A12">
        <w:rPr>
          <w:rFonts w:cstheme="minorHAnsi"/>
          <w:sz w:val="20"/>
          <w:szCs w:val="20"/>
        </w:rPr>
        <w:t xml:space="preserve"> G., </w:t>
      </w:r>
      <w:proofErr w:type="spellStart"/>
      <w:r w:rsidRPr="00787A12">
        <w:rPr>
          <w:rFonts w:cstheme="minorHAnsi"/>
          <w:sz w:val="20"/>
          <w:szCs w:val="20"/>
        </w:rPr>
        <w:t>Marchowski</w:t>
      </w:r>
      <w:proofErr w:type="spellEnd"/>
      <w:r w:rsidRPr="00787A12">
        <w:rPr>
          <w:rFonts w:cstheme="minorHAnsi"/>
          <w:sz w:val="20"/>
          <w:szCs w:val="20"/>
        </w:rPr>
        <w:t xml:space="preserve"> D., Dmoch A., Kuczyński L. 2019. Raport z wdrażania art. 12 Dyrektywy Ptasiej w Polsce w latach 2013-2018: stan, zmiany, zagrożenia. Biuletyn Monitoringu Przyrody 20: 1–80. </w:t>
      </w:r>
    </w:p>
    <w:p w14:paraId="517021FE" w14:textId="619A5D19" w:rsidR="000C4F98" w:rsidRPr="00787A12" w:rsidRDefault="0046621D" w:rsidP="00776821">
      <w:pPr>
        <w:pStyle w:val="Akapitzlist"/>
        <w:numPr>
          <w:ilvl w:val="3"/>
          <w:numId w:val="23"/>
        </w:numPr>
        <w:spacing w:after="0" w:line="360" w:lineRule="auto"/>
        <w:ind w:left="709"/>
        <w:rPr>
          <w:rFonts w:cstheme="minorHAnsi"/>
          <w:sz w:val="20"/>
          <w:szCs w:val="20"/>
        </w:rPr>
      </w:pPr>
      <w:proofErr w:type="spellStart"/>
      <w:r w:rsidRPr="00787A12">
        <w:rPr>
          <w:rFonts w:cstheme="minorHAnsi"/>
          <w:sz w:val="20"/>
          <w:szCs w:val="20"/>
        </w:rPr>
        <w:lastRenderedPageBreak/>
        <w:t>Jobda</w:t>
      </w:r>
      <w:proofErr w:type="spellEnd"/>
      <w:r w:rsidRPr="00787A12">
        <w:rPr>
          <w:rFonts w:cstheme="minorHAnsi"/>
          <w:sz w:val="20"/>
          <w:szCs w:val="20"/>
        </w:rPr>
        <w:t xml:space="preserve"> M., Szałański P., </w:t>
      </w:r>
      <w:proofErr w:type="spellStart"/>
      <w:r w:rsidRPr="00787A12">
        <w:rPr>
          <w:rFonts w:cstheme="minorHAnsi"/>
          <w:sz w:val="20"/>
          <w:szCs w:val="20"/>
        </w:rPr>
        <w:t>Cząstkiewicz</w:t>
      </w:r>
      <w:proofErr w:type="spellEnd"/>
      <w:r w:rsidRPr="00787A12">
        <w:rPr>
          <w:rFonts w:cstheme="minorHAnsi"/>
          <w:sz w:val="20"/>
          <w:szCs w:val="20"/>
        </w:rPr>
        <w:t xml:space="preserve"> D., Czernek Sz., Rzepkowski R. 2021. Raport z prac terenowych przeprowadzonych w ramach inwentaryzacji ptaków na obszarze Natura 2000 Jezioro </w:t>
      </w:r>
      <w:proofErr w:type="spellStart"/>
      <w:r w:rsidRPr="00787A12">
        <w:rPr>
          <w:rFonts w:cstheme="minorHAnsi"/>
          <w:sz w:val="20"/>
          <w:szCs w:val="20"/>
        </w:rPr>
        <w:t>Dobskie</w:t>
      </w:r>
      <w:proofErr w:type="spellEnd"/>
      <w:r w:rsidRPr="00787A12">
        <w:rPr>
          <w:rFonts w:cstheme="minorHAnsi"/>
          <w:sz w:val="20"/>
          <w:szCs w:val="20"/>
        </w:rPr>
        <w:t xml:space="preserve"> PLB280012. Karczew. </w:t>
      </w:r>
      <w:proofErr w:type="spellStart"/>
      <w:r w:rsidRPr="00787A12">
        <w:rPr>
          <w:rFonts w:cstheme="minorHAnsi"/>
          <w:sz w:val="20"/>
          <w:szCs w:val="20"/>
        </w:rPr>
        <w:t>Msc</w:t>
      </w:r>
      <w:proofErr w:type="spellEnd"/>
      <w:r w:rsidRPr="00787A12">
        <w:rPr>
          <w:rFonts w:cstheme="minorHAnsi"/>
          <w:sz w:val="20"/>
          <w:szCs w:val="20"/>
        </w:rPr>
        <w:t>.</w:t>
      </w:r>
    </w:p>
    <w:p w14:paraId="5E04AC79" w14:textId="79F27865" w:rsidR="000C4F98" w:rsidRPr="00787A12" w:rsidRDefault="0046621D" w:rsidP="00776821">
      <w:pPr>
        <w:pStyle w:val="Akapitzlist"/>
        <w:numPr>
          <w:ilvl w:val="3"/>
          <w:numId w:val="23"/>
        </w:numPr>
        <w:spacing w:after="0" w:line="360" w:lineRule="auto"/>
        <w:ind w:left="709"/>
        <w:rPr>
          <w:rFonts w:cstheme="minorHAnsi"/>
          <w:sz w:val="20"/>
          <w:szCs w:val="20"/>
        </w:rPr>
      </w:pPr>
      <w:r w:rsidRPr="00787A12">
        <w:rPr>
          <w:rFonts w:cstheme="minorHAnsi"/>
          <w:sz w:val="20"/>
          <w:szCs w:val="20"/>
        </w:rPr>
        <w:t xml:space="preserve">Kwiatkowski P. 2013. Projekt Planu Zadań Ochronnych obszaru Natura 2000 PLB280012 Jezioro </w:t>
      </w:r>
      <w:proofErr w:type="spellStart"/>
      <w:r w:rsidRPr="00787A12">
        <w:rPr>
          <w:rFonts w:cstheme="minorHAnsi"/>
          <w:sz w:val="20"/>
          <w:szCs w:val="20"/>
        </w:rPr>
        <w:t>Dobskie</w:t>
      </w:r>
      <w:proofErr w:type="spellEnd"/>
      <w:r w:rsidRPr="00787A12">
        <w:rPr>
          <w:rFonts w:cstheme="minorHAnsi"/>
          <w:sz w:val="20"/>
          <w:szCs w:val="20"/>
        </w:rPr>
        <w:t xml:space="preserve">. RDOŚ w Olsztynie. </w:t>
      </w:r>
      <w:proofErr w:type="spellStart"/>
      <w:r w:rsidRPr="00787A12">
        <w:rPr>
          <w:rFonts w:cstheme="minorHAnsi"/>
          <w:sz w:val="20"/>
          <w:szCs w:val="20"/>
        </w:rPr>
        <w:t>Msc</w:t>
      </w:r>
      <w:proofErr w:type="spellEnd"/>
      <w:r w:rsidRPr="00787A12">
        <w:rPr>
          <w:rFonts w:cstheme="minorHAnsi"/>
          <w:sz w:val="20"/>
          <w:szCs w:val="20"/>
        </w:rPr>
        <w:t>.</w:t>
      </w:r>
    </w:p>
    <w:p w14:paraId="031C39B2" w14:textId="6601C59B" w:rsidR="000C4F98" w:rsidRPr="00787A12" w:rsidRDefault="0046621D" w:rsidP="00776821">
      <w:pPr>
        <w:pStyle w:val="Akapitzlist"/>
        <w:numPr>
          <w:ilvl w:val="3"/>
          <w:numId w:val="23"/>
        </w:numPr>
        <w:spacing w:after="0" w:line="360" w:lineRule="auto"/>
        <w:ind w:left="709"/>
        <w:rPr>
          <w:rFonts w:cstheme="minorHAnsi"/>
          <w:sz w:val="20"/>
          <w:szCs w:val="20"/>
        </w:rPr>
      </w:pPr>
      <w:proofErr w:type="spellStart"/>
      <w:r w:rsidRPr="00787A12">
        <w:rPr>
          <w:rFonts w:cstheme="minorHAnsi"/>
          <w:sz w:val="20"/>
          <w:szCs w:val="20"/>
        </w:rPr>
        <w:t>Osojca</w:t>
      </w:r>
      <w:proofErr w:type="spellEnd"/>
      <w:r w:rsidRPr="00787A12">
        <w:rPr>
          <w:rFonts w:cstheme="minorHAnsi"/>
          <w:sz w:val="20"/>
          <w:szCs w:val="20"/>
        </w:rPr>
        <w:t xml:space="preserve"> G., Czernek Sz., Gajewska A., Stelmach R., Zawadzka S. 2011. Inwentaryzacja Ornitologiczna Obszaru Specjalnej Ochrony Ptaków Natura 2000 PLB 280012 Jezioro </w:t>
      </w:r>
      <w:proofErr w:type="spellStart"/>
      <w:r w:rsidRPr="00787A12">
        <w:rPr>
          <w:rFonts w:cstheme="minorHAnsi"/>
          <w:sz w:val="20"/>
          <w:szCs w:val="20"/>
        </w:rPr>
        <w:t>Dobskie</w:t>
      </w:r>
      <w:proofErr w:type="spellEnd"/>
      <w:r w:rsidRPr="00787A12">
        <w:rPr>
          <w:rFonts w:cstheme="minorHAnsi"/>
          <w:sz w:val="20"/>
          <w:szCs w:val="20"/>
        </w:rPr>
        <w:t xml:space="preserve">. </w:t>
      </w:r>
      <w:proofErr w:type="spellStart"/>
      <w:r w:rsidRPr="00787A12">
        <w:rPr>
          <w:rFonts w:cstheme="minorHAnsi"/>
          <w:sz w:val="20"/>
          <w:szCs w:val="20"/>
        </w:rPr>
        <w:t>Msc</w:t>
      </w:r>
      <w:proofErr w:type="spellEnd"/>
      <w:r w:rsidRPr="00787A12">
        <w:rPr>
          <w:rFonts w:cstheme="minorHAnsi"/>
          <w:sz w:val="20"/>
          <w:szCs w:val="20"/>
        </w:rPr>
        <w:t>.</w:t>
      </w:r>
    </w:p>
    <w:p w14:paraId="3F080ABD" w14:textId="77777777" w:rsidR="008D2CCA" w:rsidRPr="00787A12" w:rsidRDefault="008D2CCA" w:rsidP="00776821">
      <w:pPr>
        <w:pStyle w:val="Akapitzlist"/>
        <w:numPr>
          <w:ilvl w:val="3"/>
          <w:numId w:val="23"/>
        </w:numPr>
        <w:spacing w:after="0" w:line="360" w:lineRule="auto"/>
        <w:ind w:left="709"/>
        <w:rPr>
          <w:rFonts w:cstheme="minorHAnsi"/>
          <w:sz w:val="20"/>
          <w:szCs w:val="20"/>
        </w:rPr>
      </w:pPr>
      <w:r w:rsidRPr="00787A12">
        <w:rPr>
          <w:rFonts w:cstheme="minorHAnsi"/>
          <w:sz w:val="20"/>
          <w:szCs w:val="20"/>
        </w:rPr>
        <w:t xml:space="preserve">Sikora A., Chylarecki P., Meissner W., </w:t>
      </w:r>
      <w:proofErr w:type="spellStart"/>
      <w:r w:rsidRPr="00787A12">
        <w:rPr>
          <w:rFonts w:cstheme="minorHAnsi"/>
          <w:sz w:val="20"/>
          <w:szCs w:val="20"/>
        </w:rPr>
        <w:t>Neubauer</w:t>
      </w:r>
      <w:proofErr w:type="spellEnd"/>
      <w:r w:rsidRPr="00787A12">
        <w:rPr>
          <w:rFonts w:cstheme="minorHAnsi"/>
          <w:sz w:val="20"/>
          <w:szCs w:val="20"/>
        </w:rPr>
        <w:t xml:space="preserve"> G. 2011. Monitoring ptaków wodno-błotnych w okresie wędrówek. Poradnik metodyczny. GDOŚ, Warszawa. </w:t>
      </w:r>
    </w:p>
    <w:p w14:paraId="3290DB17" w14:textId="77777777" w:rsidR="0046621D" w:rsidRPr="00787A12" w:rsidRDefault="0046621D" w:rsidP="00776821">
      <w:pPr>
        <w:spacing w:after="0" w:line="360" w:lineRule="auto"/>
        <w:rPr>
          <w:rFonts w:cstheme="minorHAnsi"/>
          <w:sz w:val="20"/>
          <w:szCs w:val="20"/>
        </w:rPr>
      </w:pPr>
      <w:r w:rsidRPr="00787A12">
        <w:rPr>
          <w:rFonts w:cstheme="minorHAnsi"/>
          <w:sz w:val="20"/>
          <w:szCs w:val="20"/>
        </w:rPr>
        <w:t>Wyjaśnienia:</w:t>
      </w:r>
    </w:p>
    <w:p w14:paraId="1DC9C404" w14:textId="6D06C284" w:rsidR="000C4F98" w:rsidRPr="00787A12" w:rsidRDefault="006251FA" w:rsidP="00776821">
      <w:pPr>
        <w:pStyle w:val="Akapitzlist"/>
        <w:numPr>
          <w:ilvl w:val="0"/>
          <w:numId w:val="25"/>
        </w:numPr>
        <w:spacing w:after="0" w:line="360" w:lineRule="auto"/>
        <w:rPr>
          <w:rFonts w:cstheme="minorHAnsi"/>
          <w:sz w:val="20"/>
          <w:szCs w:val="20"/>
        </w:rPr>
      </w:pPr>
      <w:r w:rsidRPr="00787A12">
        <w:rPr>
          <w:rFonts w:cstheme="minorHAnsi"/>
          <w:sz w:val="20"/>
          <w:szCs w:val="20"/>
        </w:rPr>
        <w:t>FV (stan właściwy), U1 (stan niezadawalający), U2 (stan zły) –</w:t>
      </w:r>
      <w:r w:rsidR="00D86FF7" w:rsidRPr="00787A12">
        <w:rPr>
          <w:rFonts w:cstheme="minorHAnsi"/>
          <w:sz w:val="20"/>
          <w:szCs w:val="20"/>
        </w:rPr>
        <w:t xml:space="preserve"> są to</w:t>
      </w:r>
      <w:r w:rsidRPr="00787A12">
        <w:rPr>
          <w:rFonts w:cstheme="minorHAnsi"/>
          <w:sz w:val="20"/>
          <w:szCs w:val="20"/>
        </w:rPr>
        <w:t xml:space="preserve"> symbole oceny parametrów stanu ochrony gatunku zgodnie z rozporządzeniem Ministra Środowiska z dnia 17 lutego 2010 r. w sprawie sporządzania projektu planu zadań ochronnych dla obszaru Natura 2000 (Dz. U. z 2010 r. Nr</w:t>
      </w:r>
      <w:r w:rsidR="00D86FF7" w:rsidRPr="00787A12">
        <w:rPr>
          <w:rFonts w:cstheme="minorHAnsi"/>
          <w:sz w:val="20"/>
          <w:szCs w:val="20"/>
        </w:rPr>
        <w:t> </w:t>
      </w:r>
      <w:r w:rsidRPr="00787A12">
        <w:rPr>
          <w:rFonts w:cstheme="minorHAnsi"/>
          <w:sz w:val="20"/>
          <w:szCs w:val="20"/>
        </w:rPr>
        <w:t>34, poz. 186, z </w:t>
      </w:r>
      <w:proofErr w:type="spellStart"/>
      <w:r w:rsidRPr="00787A12">
        <w:rPr>
          <w:rFonts w:cstheme="minorHAnsi"/>
          <w:sz w:val="20"/>
          <w:szCs w:val="20"/>
        </w:rPr>
        <w:t>późn</w:t>
      </w:r>
      <w:proofErr w:type="spellEnd"/>
      <w:r w:rsidRPr="00787A12">
        <w:rPr>
          <w:rFonts w:cstheme="minorHAnsi"/>
          <w:sz w:val="20"/>
          <w:szCs w:val="20"/>
        </w:rPr>
        <w:t xml:space="preserve">. zm.). </w:t>
      </w:r>
    </w:p>
    <w:p w14:paraId="6996C51E" w14:textId="29256B00" w:rsidR="00D932A3" w:rsidRPr="00787A12" w:rsidRDefault="00634F2E" w:rsidP="00776821">
      <w:pPr>
        <w:pStyle w:val="Akapitzlist"/>
        <w:numPr>
          <w:ilvl w:val="0"/>
          <w:numId w:val="25"/>
        </w:numPr>
        <w:spacing w:after="100" w:afterAutospacing="1" w:line="360" w:lineRule="auto"/>
        <w:ind w:left="714" w:hanging="357"/>
      </w:pPr>
      <w:r w:rsidRPr="00787A12">
        <w:rPr>
          <w:rFonts w:cstheme="minorHAnsi"/>
          <w:sz w:val="20"/>
          <w:szCs w:val="20"/>
        </w:rPr>
        <w:t xml:space="preserve">Parametry/wskaźniki stanu ochrony, odrębne dla każdego gatunku, </w:t>
      </w:r>
      <w:r w:rsidR="00D86FF7" w:rsidRPr="00787A12">
        <w:rPr>
          <w:rFonts w:cstheme="minorHAnsi"/>
          <w:sz w:val="20"/>
          <w:szCs w:val="20"/>
        </w:rPr>
        <w:t xml:space="preserve">z wyjątkiem kormorana, gągoła </w:t>
      </w:r>
      <w:r w:rsidRPr="00787A12">
        <w:rPr>
          <w:rFonts w:cstheme="minorHAnsi"/>
          <w:sz w:val="20"/>
          <w:szCs w:val="20"/>
        </w:rPr>
        <w:t xml:space="preserve">zostały </w:t>
      </w:r>
      <w:r w:rsidR="00D86FF7" w:rsidRPr="00787A12">
        <w:rPr>
          <w:rFonts w:cstheme="minorHAnsi"/>
          <w:sz w:val="20"/>
          <w:szCs w:val="20"/>
        </w:rPr>
        <w:t>określone w ekspertyzie wykonanej</w:t>
      </w:r>
      <w:r w:rsidR="0046621D" w:rsidRPr="00787A12">
        <w:rPr>
          <w:rFonts w:cstheme="minorHAnsi"/>
          <w:sz w:val="20"/>
          <w:szCs w:val="20"/>
        </w:rPr>
        <w:t xml:space="preserve"> na potrzeby uzupełnienia stanu wiedzy o przedmiotach ochrony obszaru Natura 2000 Jezioro </w:t>
      </w:r>
      <w:proofErr w:type="spellStart"/>
      <w:r w:rsidR="0046621D" w:rsidRPr="00787A12">
        <w:rPr>
          <w:rFonts w:cstheme="minorHAnsi"/>
          <w:sz w:val="20"/>
          <w:szCs w:val="20"/>
        </w:rPr>
        <w:t>Dobskie</w:t>
      </w:r>
      <w:proofErr w:type="spellEnd"/>
      <w:r w:rsidR="0046621D" w:rsidRPr="00787A12">
        <w:rPr>
          <w:rFonts w:cstheme="minorHAnsi"/>
          <w:sz w:val="20"/>
          <w:szCs w:val="20"/>
        </w:rPr>
        <w:t xml:space="preserve"> PLB280012 [</w:t>
      </w:r>
      <w:proofErr w:type="spellStart"/>
      <w:r w:rsidR="0046621D" w:rsidRPr="00787A12">
        <w:rPr>
          <w:rFonts w:cstheme="minorHAnsi"/>
          <w:sz w:val="20"/>
          <w:szCs w:val="20"/>
        </w:rPr>
        <w:t>Jobda</w:t>
      </w:r>
      <w:proofErr w:type="spellEnd"/>
      <w:r w:rsidR="0046621D" w:rsidRPr="00787A12">
        <w:rPr>
          <w:rFonts w:cstheme="minorHAnsi"/>
          <w:sz w:val="20"/>
          <w:szCs w:val="20"/>
        </w:rPr>
        <w:t xml:space="preserve"> M. i in. 2021].  </w:t>
      </w:r>
    </w:p>
    <w:p w14:paraId="15329B10" w14:textId="77777777" w:rsidR="00E755B3" w:rsidRPr="00787A12" w:rsidRDefault="009B0459" w:rsidP="00787A12">
      <w:pPr>
        <w:pStyle w:val="Akapitzlist"/>
        <w:numPr>
          <w:ilvl w:val="0"/>
          <w:numId w:val="1"/>
        </w:numPr>
        <w:spacing w:after="0" w:line="360" w:lineRule="auto"/>
        <w:ind w:left="425" w:hanging="357"/>
        <w:rPr>
          <w:rFonts w:cstheme="minorHAnsi"/>
          <w:sz w:val="24"/>
          <w:szCs w:val="24"/>
        </w:rPr>
      </w:pPr>
      <w:r w:rsidRPr="00787A12">
        <w:rPr>
          <w:rFonts w:cstheme="minorHAnsi"/>
          <w:sz w:val="24"/>
          <w:szCs w:val="24"/>
        </w:rPr>
        <w:t>załącznik nr 5 do zarządzenia obejmujący działania ochronne ze wskazaniem podmiotów odpowiedzialnych za ich wykonanie i obszarów ich wdrażania;</w:t>
      </w:r>
    </w:p>
    <w:p w14:paraId="517373AD" w14:textId="77777777" w:rsidR="00E755B3" w:rsidRPr="00787A12" w:rsidRDefault="009B0459" w:rsidP="00787A12">
      <w:pPr>
        <w:pStyle w:val="Akapitzlist"/>
        <w:numPr>
          <w:ilvl w:val="0"/>
          <w:numId w:val="1"/>
        </w:numPr>
        <w:spacing w:after="0" w:line="360" w:lineRule="auto"/>
        <w:ind w:left="425" w:hanging="357"/>
        <w:rPr>
          <w:rFonts w:cstheme="minorHAnsi"/>
          <w:sz w:val="24"/>
          <w:szCs w:val="24"/>
        </w:rPr>
      </w:pPr>
      <w:r w:rsidRPr="00787A12">
        <w:rPr>
          <w:rFonts w:cstheme="minorHAnsi"/>
          <w:sz w:val="24"/>
          <w:szCs w:val="24"/>
        </w:rPr>
        <w:t xml:space="preserve">załącznik nr 7 do zarządzenia obejmujący wskazania do zmian w istniejących studiach uwarunkowań i kierunków zagospodarowania przestrzennego. </w:t>
      </w:r>
    </w:p>
    <w:sectPr w:rsidR="00E755B3" w:rsidRPr="00787A12" w:rsidSect="00787A12">
      <w:headerReference w:type="first" r:id="rId8"/>
      <w:footerReference w:type="first" r:id="rId9"/>
      <w:pgSz w:w="16838" w:h="11906" w:orient="landscape"/>
      <w:pgMar w:top="1434" w:right="1417" w:bottom="1417" w:left="1417" w:header="708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3B02CB5" w14:textId="77777777" w:rsidR="00F05030" w:rsidRDefault="00F05030" w:rsidP="00E755B3">
      <w:pPr>
        <w:spacing w:after="0" w:line="240" w:lineRule="auto"/>
      </w:pPr>
      <w:r>
        <w:separator/>
      </w:r>
    </w:p>
  </w:endnote>
  <w:endnote w:type="continuationSeparator" w:id="0">
    <w:p w14:paraId="13536F80" w14:textId="77777777" w:rsidR="00F05030" w:rsidRDefault="00F05030" w:rsidP="00E755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utura Com Medium Condensed">
    <w:altName w:val="Arial Narrow"/>
    <w:charset w:val="EE"/>
    <w:family w:val="swiss"/>
    <w:pitch w:val="variable"/>
    <w:sig w:usb0="00000001" w:usb1="5000204A" w:usb2="00000000" w:usb3="00000000" w:csb0="0000009B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-459" w:type="dxa"/>
      <w:tblLook w:val="04A0" w:firstRow="1" w:lastRow="0" w:firstColumn="1" w:lastColumn="0" w:noHBand="0" w:noVBand="1"/>
      <w:tblCaption w:val="Adres Regionalnej Dyrekcji Ochrony Środowiska w Olsztynie wraz z logo systemu ekorządzania i audytu (EMAS)"/>
      <w:tblDescription w:val="Adres Regionalnej Dyrekcji Ochrony Środowiska w Olsztynie wraz z logo systemu ekorządzania i audytu (EMAS)"/>
    </w:tblPr>
    <w:tblGrid>
      <w:gridCol w:w="1206"/>
      <w:gridCol w:w="8082"/>
    </w:tblGrid>
    <w:tr w:rsidR="00E3658B" w14:paraId="16A18742" w14:textId="77777777" w:rsidTr="00081EE3">
      <w:tc>
        <w:tcPr>
          <w:tcW w:w="1206" w:type="dxa"/>
          <w:vAlign w:val="center"/>
          <w:hideMark/>
        </w:tcPr>
        <w:p w14:paraId="23DEC025" w14:textId="77777777" w:rsidR="00E3658B" w:rsidRDefault="00E3658B" w:rsidP="00E3658B">
          <w:pPr>
            <w:tabs>
              <w:tab w:val="left" w:pos="380"/>
              <w:tab w:val="center" w:pos="4536"/>
              <w:tab w:val="right" w:pos="9072"/>
            </w:tabs>
            <w:rPr>
              <w:rFonts w:ascii="Arial" w:hAnsi="Arial" w:cs="Arial"/>
            </w:rPr>
          </w:pPr>
          <w:r>
            <w:rPr>
              <w:rFonts w:ascii="Arial" w:hAnsi="Arial" w:cs="Arial"/>
              <w:noProof/>
              <w:lang w:eastAsia="pl-PL"/>
            </w:rPr>
            <w:drawing>
              <wp:inline distT="0" distB="0" distL="0" distR="0" wp14:anchorId="4DCEBBA1" wp14:editId="1137FBE2">
                <wp:extent cx="596265" cy="1081405"/>
                <wp:effectExtent l="0" t="0" r="0" b="4445"/>
                <wp:docPr id="36" name="Obraz 36" descr="Logo EMAS" title="Logo Ema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6265" cy="1081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082" w:type="dxa"/>
          <w:vAlign w:val="center"/>
        </w:tcPr>
        <w:p w14:paraId="337E159F" w14:textId="77777777" w:rsidR="00E3658B" w:rsidRDefault="00E3658B" w:rsidP="00E3658B">
          <w:pPr>
            <w:tabs>
              <w:tab w:val="left" w:pos="380"/>
              <w:tab w:val="center" w:pos="4536"/>
              <w:tab w:val="right" w:pos="9072"/>
            </w:tabs>
            <w:rPr>
              <w:rFonts w:ascii="Futura Com Medium Condensed" w:hAnsi="Futura Com Medium Condensed" w:cs="Arial"/>
              <w:color w:val="57AB27"/>
            </w:rPr>
          </w:pPr>
          <w:r>
            <w:rPr>
              <w:rFonts w:ascii="Futura Com Medium Condensed" w:hAnsi="Futura Com Medium Condensed" w:cs="Arial"/>
              <w:color w:val="57AB27"/>
            </w:rPr>
            <w:t>Spełniamy wymagania EMAS – zarządzamy urzędem efektywnie, oszczędnie i prośrodowiskowo</w:t>
          </w:r>
        </w:p>
        <w:p w14:paraId="071047DC" w14:textId="77777777" w:rsidR="00E3658B" w:rsidRDefault="00E3658B" w:rsidP="00E3658B">
          <w:pPr>
            <w:tabs>
              <w:tab w:val="left" w:pos="380"/>
              <w:tab w:val="center" w:pos="4536"/>
              <w:tab w:val="right" w:pos="9072"/>
            </w:tabs>
            <w:rPr>
              <w:rFonts w:ascii="Futura Com Medium Condensed" w:hAnsi="Futura Com Medium Condensed" w:cs="Arial"/>
              <w:color w:val="57AB27"/>
              <w:sz w:val="18"/>
              <w:szCs w:val="19"/>
            </w:rPr>
          </w:pPr>
          <w:r>
            <w:rPr>
              <w:rFonts w:ascii="Futura Com Medium Condensed" w:hAnsi="Futura Com Medium Condensed" w:cs="Arial"/>
              <w:color w:val="57AB27"/>
              <w:sz w:val="18"/>
              <w:szCs w:val="19"/>
            </w:rPr>
            <w:t>ul. Dworcowa 60, 10-437 Olsztyn, tel.: 89 537-21-00, fax: 89 527-04-23, sekretariat.olsztyn@rdos.gov.pl gov.pl/web/rdos-olsztyn</w:t>
          </w:r>
        </w:p>
      </w:tc>
    </w:tr>
  </w:tbl>
  <w:p w14:paraId="4C16B87C" w14:textId="77777777" w:rsidR="00E3658B" w:rsidRDefault="00E3658B" w:rsidP="00E3658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8637A95" w14:textId="77777777" w:rsidR="00F05030" w:rsidRDefault="00F05030" w:rsidP="00E755B3">
      <w:pPr>
        <w:spacing w:after="0" w:line="240" w:lineRule="auto"/>
      </w:pPr>
      <w:r>
        <w:separator/>
      </w:r>
    </w:p>
  </w:footnote>
  <w:footnote w:type="continuationSeparator" w:id="0">
    <w:p w14:paraId="30C7F152" w14:textId="77777777" w:rsidR="00F05030" w:rsidRDefault="00F05030" w:rsidP="00E755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3A2780" w14:textId="5D0FAFCD" w:rsidR="00134329" w:rsidRDefault="00134329">
    <w:pPr>
      <w:pStyle w:val="Nagwek"/>
    </w:pPr>
    <w:r>
      <w:rPr>
        <w:noProof/>
        <w:lang w:eastAsia="pl-PL"/>
      </w:rPr>
      <w:drawing>
        <wp:inline distT="0" distB="0" distL="0" distR="0" wp14:anchorId="79FD6120" wp14:editId="14F50C27">
          <wp:extent cx="4907280" cy="937260"/>
          <wp:effectExtent l="0" t="0" r="0" b="0"/>
          <wp:docPr id="35" name="Obraz 35" descr="logo_RDOS_Olsztyn_WP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RDOS_Olsztyn_WPN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07280" cy="9372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4693E"/>
    <w:multiLevelType w:val="hybridMultilevel"/>
    <w:tmpl w:val="4C140AD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C30D03"/>
    <w:multiLevelType w:val="hybridMultilevel"/>
    <w:tmpl w:val="DF7E83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714995"/>
    <w:multiLevelType w:val="hybridMultilevel"/>
    <w:tmpl w:val="32BA81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726D47"/>
    <w:multiLevelType w:val="hybridMultilevel"/>
    <w:tmpl w:val="286283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161E05"/>
    <w:multiLevelType w:val="hybridMultilevel"/>
    <w:tmpl w:val="F0244B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8A380E"/>
    <w:multiLevelType w:val="hybridMultilevel"/>
    <w:tmpl w:val="4AFAC0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5C67D5"/>
    <w:multiLevelType w:val="hybridMultilevel"/>
    <w:tmpl w:val="5BDC8E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4E7423"/>
    <w:multiLevelType w:val="hybridMultilevel"/>
    <w:tmpl w:val="6D5AA4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72172E"/>
    <w:multiLevelType w:val="hybridMultilevel"/>
    <w:tmpl w:val="DA20B0E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E70778"/>
    <w:multiLevelType w:val="hybridMultilevel"/>
    <w:tmpl w:val="75CA2D8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F321B3"/>
    <w:multiLevelType w:val="hybridMultilevel"/>
    <w:tmpl w:val="345073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1427DD"/>
    <w:multiLevelType w:val="hybridMultilevel"/>
    <w:tmpl w:val="F2FA1F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3B3F7D"/>
    <w:multiLevelType w:val="hybridMultilevel"/>
    <w:tmpl w:val="0DB8A4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B8040D"/>
    <w:multiLevelType w:val="hybridMultilevel"/>
    <w:tmpl w:val="4AFAC0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F92E82"/>
    <w:multiLevelType w:val="hybridMultilevel"/>
    <w:tmpl w:val="C694A7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985E02"/>
    <w:multiLevelType w:val="hybridMultilevel"/>
    <w:tmpl w:val="8D6CF4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4B7733"/>
    <w:multiLevelType w:val="hybridMultilevel"/>
    <w:tmpl w:val="76482A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8142D89"/>
    <w:multiLevelType w:val="hybridMultilevel"/>
    <w:tmpl w:val="2F9016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4A3A39"/>
    <w:multiLevelType w:val="hybridMultilevel"/>
    <w:tmpl w:val="040A51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BE48DD"/>
    <w:multiLevelType w:val="hybridMultilevel"/>
    <w:tmpl w:val="EF46FF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7FE3DC5"/>
    <w:multiLevelType w:val="hybridMultilevel"/>
    <w:tmpl w:val="BEB6D1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D5F3314"/>
    <w:multiLevelType w:val="hybridMultilevel"/>
    <w:tmpl w:val="6EDEAC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DF80038"/>
    <w:multiLevelType w:val="hybridMultilevel"/>
    <w:tmpl w:val="29C4907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4B2C9D"/>
    <w:multiLevelType w:val="hybridMultilevel"/>
    <w:tmpl w:val="8096A2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7276583"/>
    <w:multiLevelType w:val="hybridMultilevel"/>
    <w:tmpl w:val="544C72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9"/>
  </w:num>
  <w:num w:numId="3">
    <w:abstractNumId w:val="11"/>
  </w:num>
  <w:num w:numId="4">
    <w:abstractNumId w:val="6"/>
  </w:num>
  <w:num w:numId="5">
    <w:abstractNumId w:val="15"/>
  </w:num>
  <w:num w:numId="6">
    <w:abstractNumId w:val="22"/>
  </w:num>
  <w:num w:numId="7">
    <w:abstractNumId w:val="4"/>
  </w:num>
  <w:num w:numId="8">
    <w:abstractNumId w:val="3"/>
  </w:num>
  <w:num w:numId="9">
    <w:abstractNumId w:val="8"/>
  </w:num>
  <w:num w:numId="10">
    <w:abstractNumId w:val="18"/>
  </w:num>
  <w:num w:numId="11">
    <w:abstractNumId w:val="1"/>
  </w:num>
  <w:num w:numId="12">
    <w:abstractNumId w:val="12"/>
  </w:num>
  <w:num w:numId="13">
    <w:abstractNumId w:val="24"/>
  </w:num>
  <w:num w:numId="14">
    <w:abstractNumId w:val="7"/>
  </w:num>
  <w:num w:numId="15">
    <w:abstractNumId w:val="13"/>
  </w:num>
  <w:num w:numId="16">
    <w:abstractNumId w:val="5"/>
  </w:num>
  <w:num w:numId="17">
    <w:abstractNumId w:val="10"/>
  </w:num>
  <w:num w:numId="18">
    <w:abstractNumId w:val="20"/>
  </w:num>
  <w:num w:numId="19">
    <w:abstractNumId w:val="2"/>
  </w:num>
  <w:num w:numId="20">
    <w:abstractNumId w:val="9"/>
  </w:num>
  <w:num w:numId="21">
    <w:abstractNumId w:val="14"/>
  </w:num>
  <w:num w:numId="22">
    <w:abstractNumId w:val="16"/>
  </w:num>
  <w:num w:numId="23">
    <w:abstractNumId w:val="21"/>
  </w:num>
  <w:num w:numId="24">
    <w:abstractNumId w:val="23"/>
  </w:num>
  <w:num w:numId="2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44F3"/>
    <w:rsid w:val="00015B1A"/>
    <w:rsid w:val="000560CF"/>
    <w:rsid w:val="00072900"/>
    <w:rsid w:val="000A2AF6"/>
    <w:rsid w:val="000C1DD8"/>
    <w:rsid w:val="000C4F98"/>
    <w:rsid w:val="000D797B"/>
    <w:rsid w:val="00134329"/>
    <w:rsid w:val="00141C3D"/>
    <w:rsid w:val="00174184"/>
    <w:rsid w:val="00210E7F"/>
    <w:rsid w:val="0024467F"/>
    <w:rsid w:val="00252EF7"/>
    <w:rsid w:val="00254CEB"/>
    <w:rsid w:val="002A7360"/>
    <w:rsid w:val="00313239"/>
    <w:rsid w:val="0031460D"/>
    <w:rsid w:val="00320A83"/>
    <w:rsid w:val="0036085F"/>
    <w:rsid w:val="0036539C"/>
    <w:rsid w:val="0039049A"/>
    <w:rsid w:val="003A768B"/>
    <w:rsid w:val="003D0067"/>
    <w:rsid w:val="00401BBC"/>
    <w:rsid w:val="004036C7"/>
    <w:rsid w:val="00425018"/>
    <w:rsid w:val="00447A87"/>
    <w:rsid w:val="00453D90"/>
    <w:rsid w:val="0046621D"/>
    <w:rsid w:val="004917A5"/>
    <w:rsid w:val="004A4691"/>
    <w:rsid w:val="004F3336"/>
    <w:rsid w:val="00525D79"/>
    <w:rsid w:val="005445C7"/>
    <w:rsid w:val="005476B4"/>
    <w:rsid w:val="005650A2"/>
    <w:rsid w:val="00576EEF"/>
    <w:rsid w:val="005A573C"/>
    <w:rsid w:val="005B0304"/>
    <w:rsid w:val="005E604F"/>
    <w:rsid w:val="005F43F1"/>
    <w:rsid w:val="00611946"/>
    <w:rsid w:val="006251FA"/>
    <w:rsid w:val="00634F2E"/>
    <w:rsid w:val="00644BD7"/>
    <w:rsid w:val="006555FE"/>
    <w:rsid w:val="00660BE5"/>
    <w:rsid w:val="00686A8F"/>
    <w:rsid w:val="007624D7"/>
    <w:rsid w:val="00774967"/>
    <w:rsid w:val="00776821"/>
    <w:rsid w:val="00777A3C"/>
    <w:rsid w:val="00787A12"/>
    <w:rsid w:val="007B5C53"/>
    <w:rsid w:val="007E7BE7"/>
    <w:rsid w:val="0083478A"/>
    <w:rsid w:val="00835328"/>
    <w:rsid w:val="0084519F"/>
    <w:rsid w:val="0085144D"/>
    <w:rsid w:val="00854F86"/>
    <w:rsid w:val="00856747"/>
    <w:rsid w:val="0086138E"/>
    <w:rsid w:val="00861517"/>
    <w:rsid w:val="00884CBB"/>
    <w:rsid w:val="008A17DF"/>
    <w:rsid w:val="008A797A"/>
    <w:rsid w:val="008D2CCA"/>
    <w:rsid w:val="008D31D3"/>
    <w:rsid w:val="008F482F"/>
    <w:rsid w:val="00910315"/>
    <w:rsid w:val="00924DD5"/>
    <w:rsid w:val="0098085D"/>
    <w:rsid w:val="00985D47"/>
    <w:rsid w:val="00991941"/>
    <w:rsid w:val="0099268D"/>
    <w:rsid w:val="009B0459"/>
    <w:rsid w:val="009C6C93"/>
    <w:rsid w:val="009D5B13"/>
    <w:rsid w:val="00A2336F"/>
    <w:rsid w:val="00A52C5B"/>
    <w:rsid w:val="00A5362B"/>
    <w:rsid w:val="00A63624"/>
    <w:rsid w:val="00A70544"/>
    <w:rsid w:val="00A81A38"/>
    <w:rsid w:val="00AA020E"/>
    <w:rsid w:val="00B45AC6"/>
    <w:rsid w:val="00B47F19"/>
    <w:rsid w:val="00B610BD"/>
    <w:rsid w:val="00B82328"/>
    <w:rsid w:val="00B976F1"/>
    <w:rsid w:val="00BC5E24"/>
    <w:rsid w:val="00BD22BC"/>
    <w:rsid w:val="00C02161"/>
    <w:rsid w:val="00C50369"/>
    <w:rsid w:val="00C561DB"/>
    <w:rsid w:val="00C909B5"/>
    <w:rsid w:val="00CB0A02"/>
    <w:rsid w:val="00CD0659"/>
    <w:rsid w:val="00CD687D"/>
    <w:rsid w:val="00D27B37"/>
    <w:rsid w:val="00D77047"/>
    <w:rsid w:val="00D830C2"/>
    <w:rsid w:val="00D86FF7"/>
    <w:rsid w:val="00D932A3"/>
    <w:rsid w:val="00D95254"/>
    <w:rsid w:val="00DC2E5E"/>
    <w:rsid w:val="00DE2760"/>
    <w:rsid w:val="00DF2BFC"/>
    <w:rsid w:val="00DF52D2"/>
    <w:rsid w:val="00E044F3"/>
    <w:rsid w:val="00E23AB8"/>
    <w:rsid w:val="00E26F08"/>
    <w:rsid w:val="00E3658B"/>
    <w:rsid w:val="00E451E5"/>
    <w:rsid w:val="00E5148F"/>
    <w:rsid w:val="00E755B3"/>
    <w:rsid w:val="00EA4295"/>
    <w:rsid w:val="00EA7DA4"/>
    <w:rsid w:val="00EB4D9C"/>
    <w:rsid w:val="00ED164C"/>
    <w:rsid w:val="00EE376D"/>
    <w:rsid w:val="00F05030"/>
    <w:rsid w:val="00F26550"/>
    <w:rsid w:val="00F34305"/>
    <w:rsid w:val="00F53A36"/>
    <w:rsid w:val="00F54005"/>
    <w:rsid w:val="00F72A76"/>
    <w:rsid w:val="00F966A9"/>
    <w:rsid w:val="00FB09AF"/>
    <w:rsid w:val="00FC616A"/>
    <w:rsid w:val="00FF1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D78CC93"/>
  <w15:docId w15:val="{C2676A83-B76E-492C-BAFD-326E30910F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47A87"/>
  </w:style>
  <w:style w:type="paragraph" w:styleId="Nagwek1">
    <w:name w:val="heading 1"/>
    <w:basedOn w:val="Normalny"/>
    <w:next w:val="Normalny"/>
    <w:link w:val="Nagwek1Znak"/>
    <w:uiPriority w:val="9"/>
    <w:qFormat/>
    <w:rsid w:val="0042501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Jasnalistaakcent3">
    <w:name w:val="Light List Accent 3"/>
    <w:basedOn w:val="Standardowy"/>
    <w:uiPriority w:val="61"/>
    <w:rsid w:val="00E044F3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Jasnasiatka">
    <w:name w:val="Light Grid"/>
    <w:basedOn w:val="Standardowy"/>
    <w:uiPriority w:val="62"/>
    <w:rsid w:val="00E23AB8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paragraph" w:styleId="Tekstprzypisudolnego">
    <w:name w:val="footnote text"/>
    <w:basedOn w:val="Normalny"/>
    <w:link w:val="TekstprzypisudolnegoZnak"/>
    <w:uiPriority w:val="99"/>
    <w:unhideWhenUsed/>
    <w:rsid w:val="00E755B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755B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755B3"/>
    <w:rPr>
      <w:vertAlign w:val="superscript"/>
    </w:rPr>
  </w:style>
  <w:style w:type="paragraph" w:styleId="Akapitzlist">
    <w:name w:val="List Paragraph"/>
    <w:basedOn w:val="Normalny"/>
    <w:uiPriority w:val="34"/>
    <w:qFormat/>
    <w:rsid w:val="00F72A76"/>
    <w:pPr>
      <w:ind w:left="720"/>
      <w:contextualSpacing/>
    </w:pPr>
  </w:style>
  <w:style w:type="table" w:styleId="Tabela-Siatka">
    <w:name w:val="Table Grid"/>
    <w:basedOn w:val="Standardowy"/>
    <w:uiPriority w:val="59"/>
    <w:rsid w:val="00DF2B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9B045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B045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B045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B045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B0459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B04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0459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AA020E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1343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34329"/>
  </w:style>
  <w:style w:type="paragraph" w:styleId="Stopka">
    <w:name w:val="footer"/>
    <w:basedOn w:val="Normalny"/>
    <w:link w:val="StopkaZnak"/>
    <w:uiPriority w:val="99"/>
    <w:unhideWhenUsed/>
    <w:rsid w:val="001343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34329"/>
  </w:style>
  <w:style w:type="character" w:customStyle="1" w:styleId="Nagwek1Znak">
    <w:name w:val="Nagłówek 1 Znak"/>
    <w:basedOn w:val="Domylnaczcionkaakapitu"/>
    <w:link w:val="Nagwek1"/>
    <w:uiPriority w:val="9"/>
    <w:rsid w:val="00425018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164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E43654-BF92-485F-BFDD-ADE565B2A8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11</Pages>
  <Words>1873</Words>
  <Characters>11239</Characters>
  <Application>Microsoft Office Word</Application>
  <DocSecurity>0</DocSecurity>
  <Lines>93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 Baranski</dc:creator>
  <cp:lastModifiedBy>Iwona Bobek</cp:lastModifiedBy>
  <cp:revision>18</cp:revision>
  <cp:lastPrinted>2021-12-22T10:43:00Z</cp:lastPrinted>
  <dcterms:created xsi:type="dcterms:W3CDTF">2021-12-21T13:39:00Z</dcterms:created>
  <dcterms:modified xsi:type="dcterms:W3CDTF">2021-12-28T13:25:00Z</dcterms:modified>
</cp:coreProperties>
</file>