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2C" w:rsidRPr="005C7C0A" w:rsidRDefault="007345DA" w:rsidP="003D41B4">
      <w:pPr>
        <w:spacing w:before="120" w:after="120" w:line="264" w:lineRule="auto"/>
        <w:outlineLvl w:val="1"/>
        <w:rPr>
          <w:rFonts w:cstheme="minorHAnsi"/>
          <w:b/>
        </w:rPr>
      </w:pPr>
      <w:r>
        <w:rPr>
          <w:rFonts w:cstheme="minorHAnsi"/>
          <w:b/>
        </w:rPr>
        <w:t>BAHAMY</w:t>
      </w:r>
      <w:r w:rsidR="00603166" w:rsidRPr="005C7C0A">
        <w:rPr>
          <w:rFonts w:cstheme="minorHAnsi"/>
          <w:b/>
        </w:rPr>
        <w:t xml:space="preserve"> – INFORMATOR EKONOMICZNY</w:t>
      </w:r>
    </w:p>
    <w:p w:rsidR="00EB602A" w:rsidRPr="005C7C0A" w:rsidRDefault="007A0567" w:rsidP="009A4C72">
      <w:pPr>
        <w:pStyle w:val="Akapitzlist"/>
        <w:numPr>
          <w:ilvl w:val="0"/>
          <w:numId w:val="10"/>
        </w:numPr>
        <w:spacing w:before="120" w:after="120" w:line="264" w:lineRule="auto"/>
        <w:ind w:left="714" w:hanging="357"/>
        <w:contextualSpacing w:val="0"/>
        <w:outlineLvl w:val="3"/>
        <w:rPr>
          <w:rFonts w:cstheme="minorHAnsi"/>
          <w:b/>
        </w:rPr>
      </w:pPr>
      <w:r>
        <w:rPr>
          <w:rFonts w:cstheme="minorHAnsi"/>
          <w:b/>
        </w:rPr>
        <w:t>Opis gospodarki i jej struktury</w:t>
      </w:r>
    </w:p>
    <w:p w:rsidR="00ED0D2C" w:rsidRPr="005C7C0A" w:rsidRDefault="00A75A7C" w:rsidP="009A4C72">
      <w:pPr>
        <w:pStyle w:val="Akapitzlist"/>
        <w:numPr>
          <w:ilvl w:val="1"/>
          <w:numId w:val="19"/>
        </w:numPr>
        <w:spacing w:before="120" w:after="120" w:line="264" w:lineRule="auto"/>
        <w:ind w:left="357" w:hanging="357"/>
        <w:contextualSpacing w:val="0"/>
        <w:outlineLvl w:val="3"/>
        <w:rPr>
          <w:rFonts w:cstheme="minorHAnsi"/>
          <w:b/>
        </w:rPr>
      </w:pPr>
      <w:r>
        <w:rPr>
          <w:rFonts w:cstheme="minorHAnsi"/>
          <w:b/>
        </w:rPr>
        <w:t>System gospodarczy</w:t>
      </w:r>
    </w:p>
    <w:p w:rsidR="007C209B" w:rsidRPr="005C7C0A" w:rsidRDefault="007C209B" w:rsidP="009A4C72">
      <w:pPr>
        <w:spacing w:before="240" w:after="120" w:line="264" w:lineRule="auto"/>
        <w:jc w:val="both"/>
        <w:outlineLvl w:val="3"/>
        <w:rPr>
          <w:rFonts w:eastAsia="Times New Roman" w:cstheme="minorHAnsi"/>
          <w:bCs/>
          <w:lang w:eastAsia="pl-PL"/>
        </w:rPr>
      </w:pPr>
      <w:r w:rsidRPr="009A4C72">
        <w:rPr>
          <w:rFonts w:cstheme="minorHAnsi"/>
        </w:rPr>
        <w:t>Ministerstwo</w:t>
      </w:r>
      <w:r w:rsidRPr="005C7C0A">
        <w:rPr>
          <w:rFonts w:eastAsia="Times New Roman" w:cstheme="minorHAnsi"/>
          <w:bCs/>
          <w:lang w:eastAsia="pl-PL"/>
        </w:rPr>
        <w:t xml:space="preserve"> Spraw Gospodarczych Bahamów </w:t>
      </w:r>
      <w:r w:rsidR="00CA625B" w:rsidRPr="005C7C0A">
        <w:rPr>
          <w:rFonts w:eastAsia="Times New Roman" w:cstheme="minorHAnsi"/>
          <w:bCs/>
          <w:lang w:eastAsia="pl-PL"/>
        </w:rPr>
        <w:t>odpowiada</w:t>
      </w:r>
      <w:r w:rsidRPr="005C7C0A">
        <w:rPr>
          <w:rFonts w:eastAsia="Times New Roman" w:cstheme="minorHAnsi"/>
          <w:bCs/>
          <w:lang w:eastAsia="pl-PL"/>
        </w:rPr>
        <w:t xml:space="preserve"> za nadawanie kierunku strategicznego dla polityki </w:t>
      </w:r>
      <w:r w:rsidR="00CA625B" w:rsidRPr="005C7C0A">
        <w:rPr>
          <w:rFonts w:eastAsia="Times New Roman" w:cstheme="minorHAnsi"/>
          <w:bCs/>
          <w:lang w:eastAsia="pl-PL"/>
        </w:rPr>
        <w:t>gospodarczej</w:t>
      </w:r>
      <w:r w:rsidRPr="005C7C0A">
        <w:rPr>
          <w:rFonts w:eastAsia="Times New Roman" w:cstheme="minorHAnsi"/>
          <w:bCs/>
          <w:lang w:eastAsia="pl-PL"/>
        </w:rPr>
        <w:t xml:space="preserve">. Jego priorytetem jest ochrona, promocja i rozwój sektora usług finansowych na Bahamach, rozwój </w:t>
      </w:r>
      <w:r w:rsidRPr="009A4C72">
        <w:rPr>
          <w:rFonts w:cstheme="minorHAnsi"/>
        </w:rPr>
        <w:t>handlu</w:t>
      </w:r>
      <w:r w:rsidRPr="005C7C0A">
        <w:rPr>
          <w:rFonts w:eastAsia="Times New Roman" w:cstheme="minorHAnsi"/>
          <w:bCs/>
          <w:lang w:eastAsia="pl-PL"/>
        </w:rPr>
        <w:t xml:space="preserve"> międzynarodowego, poprawa warunków prowadzenia działalności gospodarczej, inicjowanie transformacji cyfrowej i promowanie inwestycji krajowych.</w:t>
      </w:r>
    </w:p>
    <w:p w:rsidR="003A232A" w:rsidRPr="005C7C0A" w:rsidRDefault="003A232A" w:rsidP="009A4C72">
      <w:pPr>
        <w:spacing w:before="240" w:after="120" w:line="264" w:lineRule="auto"/>
        <w:jc w:val="both"/>
        <w:outlineLvl w:val="3"/>
        <w:rPr>
          <w:rFonts w:eastAsia="Times New Roman" w:cstheme="minorHAnsi"/>
          <w:lang w:eastAsia="pl-PL"/>
        </w:rPr>
      </w:pPr>
      <w:r w:rsidRPr="005C7C0A">
        <w:rPr>
          <w:rFonts w:eastAsia="Times New Roman" w:cstheme="minorHAnsi"/>
          <w:lang w:eastAsia="pl-PL"/>
        </w:rPr>
        <w:t>Problematyką gospodarczą zajmują się również inne</w:t>
      </w:r>
      <w:r w:rsidR="00F11BEE" w:rsidRPr="005C7C0A">
        <w:rPr>
          <w:rFonts w:eastAsia="Times New Roman" w:cstheme="minorHAnsi"/>
          <w:lang w:eastAsia="pl-PL"/>
        </w:rPr>
        <w:t xml:space="preserve"> jednostki administracji, w tym</w:t>
      </w:r>
      <w:r w:rsidRPr="005C7C0A">
        <w:rPr>
          <w:rFonts w:eastAsia="Times New Roman" w:cstheme="minorHAnsi"/>
          <w:lang w:eastAsia="pl-PL"/>
        </w:rPr>
        <w:t xml:space="preserve">:  Ministerstwo Rolnictwa i </w:t>
      </w:r>
      <w:r w:rsidRPr="005C7C0A">
        <w:rPr>
          <w:rFonts w:cstheme="minorHAnsi"/>
        </w:rPr>
        <w:t>Zasobów</w:t>
      </w:r>
      <w:r w:rsidRPr="005C7C0A">
        <w:rPr>
          <w:rFonts w:eastAsia="Times New Roman" w:cstheme="minorHAnsi"/>
          <w:lang w:eastAsia="pl-PL"/>
        </w:rPr>
        <w:t xml:space="preserve"> Morskich, </w:t>
      </w:r>
      <w:r w:rsidRPr="009A4C72">
        <w:rPr>
          <w:rFonts w:cstheme="minorHAnsi"/>
        </w:rPr>
        <w:t>Ministerstwo</w:t>
      </w:r>
      <w:r w:rsidRPr="005C7C0A">
        <w:rPr>
          <w:rFonts w:eastAsia="Times New Roman" w:cstheme="minorHAnsi"/>
          <w:lang w:eastAsia="pl-PL"/>
        </w:rPr>
        <w:t xml:space="preserve"> Turystyki i Lotnictwa, Ministerstwo Finansów, </w:t>
      </w:r>
      <w:r w:rsidR="00F11BEE" w:rsidRPr="005C7C0A">
        <w:rPr>
          <w:rFonts w:eastAsia="Times New Roman" w:cstheme="minorHAnsi"/>
          <w:lang w:eastAsia="pl-PL"/>
        </w:rPr>
        <w:t xml:space="preserve">Ministerstwo Energii i Transportu, </w:t>
      </w:r>
      <w:r w:rsidRPr="005C7C0A">
        <w:rPr>
          <w:rFonts w:eastAsia="Times New Roman" w:cstheme="minorHAnsi"/>
          <w:lang w:eastAsia="pl-PL"/>
        </w:rPr>
        <w:t xml:space="preserve">Ministerstwo Transportu i Samorządu Lokalnego oraz w pewnym zakresie swoich kompetencji Ministerstwo Spraw Zagranicznych i Ministerstwo </w:t>
      </w:r>
      <w:r w:rsidR="00F11BEE" w:rsidRPr="005C7C0A">
        <w:rPr>
          <w:rFonts w:eastAsia="Times New Roman" w:cstheme="minorHAnsi"/>
          <w:lang w:eastAsia="pl-PL"/>
        </w:rPr>
        <w:t>Bezpieczeństwa Narodowego</w:t>
      </w:r>
      <w:r w:rsidRPr="005C7C0A">
        <w:rPr>
          <w:rFonts w:eastAsia="Times New Roman" w:cstheme="minorHAnsi"/>
          <w:lang w:eastAsia="pl-PL"/>
        </w:rPr>
        <w:t xml:space="preserve">. </w:t>
      </w:r>
    </w:p>
    <w:p w:rsidR="003A232A" w:rsidRPr="005C7C0A" w:rsidRDefault="003A232A" w:rsidP="003A232A">
      <w:pPr>
        <w:spacing w:before="120" w:after="120" w:line="264" w:lineRule="auto"/>
        <w:jc w:val="both"/>
        <w:outlineLvl w:val="3"/>
        <w:rPr>
          <w:rFonts w:eastAsia="Times New Roman" w:cstheme="minorHAnsi"/>
          <w:bCs/>
          <w:lang w:eastAsia="pl-PL"/>
        </w:rPr>
      </w:pPr>
      <w:r w:rsidRPr="005C7C0A">
        <w:rPr>
          <w:rFonts w:eastAsia="Times New Roman" w:cstheme="minorHAnsi"/>
          <w:bCs/>
          <w:lang w:eastAsia="pl-PL"/>
        </w:rPr>
        <w:t xml:space="preserve">Na czele ministerstw  gospodarczych w administracji premiera </w:t>
      </w:r>
      <w:r w:rsidRPr="005C7C0A">
        <w:rPr>
          <w:rFonts w:cstheme="minorHAnsi"/>
        </w:rPr>
        <w:t>Philipa Edwarda Davis’a</w:t>
      </w:r>
      <w:r w:rsidRPr="005C7C0A">
        <w:rPr>
          <w:rFonts w:eastAsia="Times New Roman" w:cstheme="minorHAnsi"/>
          <w:bCs/>
          <w:lang w:eastAsia="pl-PL"/>
        </w:rPr>
        <w:t xml:space="preserve"> stoją:</w:t>
      </w:r>
    </w:p>
    <w:p w:rsidR="003A232A" w:rsidRPr="005C7C0A" w:rsidRDefault="003A232A" w:rsidP="00F11BEE">
      <w:pPr>
        <w:spacing w:after="0" w:line="264" w:lineRule="auto"/>
        <w:jc w:val="both"/>
        <w:outlineLvl w:val="3"/>
        <w:rPr>
          <w:rFonts w:eastAsia="Times New Roman" w:cstheme="minorHAnsi"/>
          <w:bCs/>
          <w:lang w:eastAsia="pl-PL"/>
        </w:rPr>
      </w:pPr>
      <w:r w:rsidRPr="005C7C0A">
        <w:rPr>
          <w:rFonts w:cstheme="minorHAnsi"/>
          <w:shd w:val="clear" w:color="auto" w:fill="F8F9FA"/>
        </w:rPr>
        <w:t>Michael B. Halkitis</w:t>
      </w:r>
      <w:r w:rsidRPr="005C7C0A">
        <w:rPr>
          <w:rFonts w:eastAsia="Times New Roman" w:cstheme="minorHAnsi"/>
          <w:bCs/>
          <w:lang w:eastAsia="pl-PL"/>
        </w:rPr>
        <w:t xml:space="preserve"> – Ministerstwo </w:t>
      </w:r>
      <w:r w:rsidR="007C209B" w:rsidRPr="005C7C0A">
        <w:rPr>
          <w:rFonts w:eastAsia="Times New Roman" w:cstheme="minorHAnsi"/>
          <w:bCs/>
          <w:lang w:eastAsia="pl-PL"/>
        </w:rPr>
        <w:t xml:space="preserve">Spraw </w:t>
      </w:r>
      <w:r w:rsidRPr="005C7C0A">
        <w:rPr>
          <w:rFonts w:eastAsia="Times New Roman" w:cstheme="minorHAnsi"/>
          <w:bCs/>
          <w:lang w:eastAsia="pl-PL"/>
        </w:rPr>
        <w:t>Gospodar</w:t>
      </w:r>
      <w:r w:rsidR="007C209B" w:rsidRPr="005C7C0A">
        <w:rPr>
          <w:rFonts w:eastAsia="Times New Roman" w:cstheme="minorHAnsi"/>
          <w:bCs/>
          <w:lang w:eastAsia="pl-PL"/>
        </w:rPr>
        <w:t>czych</w:t>
      </w:r>
    </w:p>
    <w:p w:rsidR="003A232A" w:rsidRPr="005C7C0A" w:rsidRDefault="000223B6" w:rsidP="00F11BEE">
      <w:pPr>
        <w:spacing w:after="0" w:line="264" w:lineRule="auto"/>
        <w:jc w:val="both"/>
        <w:outlineLvl w:val="3"/>
        <w:rPr>
          <w:rFonts w:eastAsia="Times New Roman" w:cstheme="minorHAnsi"/>
          <w:bCs/>
          <w:lang w:eastAsia="pl-PL"/>
        </w:rPr>
      </w:pPr>
      <w:r w:rsidRPr="005C7C0A">
        <w:rPr>
          <w:rFonts w:cstheme="minorHAnsi"/>
          <w:shd w:val="clear" w:color="auto" w:fill="F8F9FA"/>
        </w:rPr>
        <w:t>Jomo Chaka Campbell</w:t>
      </w:r>
      <w:r w:rsidR="003A232A" w:rsidRPr="005C7C0A">
        <w:rPr>
          <w:rFonts w:cstheme="minorHAnsi"/>
          <w:shd w:val="clear" w:color="auto" w:fill="F8F9FA"/>
        </w:rPr>
        <w:t xml:space="preserve"> </w:t>
      </w:r>
      <w:r w:rsidR="003A232A" w:rsidRPr="005C7C0A">
        <w:rPr>
          <w:rFonts w:eastAsia="Times New Roman" w:cstheme="minorHAnsi"/>
          <w:bCs/>
          <w:lang w:eastAsia="pl-PL"/>
        </w:rPr>
        <w:t xml:space="preserve"> – </w:t>
      </w:r>
      <w:r w:rsidR="003A232A" w:rsidRPr="005C7C0A">
        <w:rPr>
          <w:rFonts w:eastAsia="Times New Roman" w:cstheme="minorHAnsi"/>
          <w:lang w:eastAsia="pl-PL"/>
        </w:rPr>
        <w:t>Ministerstwo Rolnictwa i Zasobów Morskich</w:t>
      </w:r>
    </w:p>
    <w:p w:rsidR="003A232A" w:rsidRPr="005C7C0A" w:rsidRDefault="00F11BEE" w:rsidP="00F11BEE">
      <w:pPr>
        <w:spacing w:after="0" w:line="264" w:lineRule="auto"/>
        <w:jc w:val="both"/>
        <w:outlineLvl w:val="3"/>
        <w:rPr>
          <w:rFonts w:eastAsia="Times New Roman" w:cstheme="minorHAnsi"/>
          <w:bCs/>
          <w:lang w:eastAsia="pl-PL"/>
        </w:rPr>
      </w:pPr>
      <w:r w:rsidRPr="005C7C0A">
        <w:rPr>
          <w:rFonts w:cstheme="minorHAnsi"/>
          <w:shd w:val="clear" w:color="auto" w:fill="F8F9FA"/>
        </w:rPr>
        <w:t>Isaac Cooper</w:t>
      </w:r>
      <w:r w:rsidR="000223B6" w:rsidRPr="005C7C0A">
        <w:rPr>
          <w:rFonts w:cstheme="minorHAnsi"/>
          <w:shd w:val="clear" w:color="auto" w:fill="F8F9FA"/>
        </w:rPr>
        <w:t xml:space="preserve"> </w:t>
      </w:r>
      <w:r w:rsidR="003A232A" w:rsidRPr="005C7C0A">
        <w:rPr>
          <w:rFonts w:eastAsia="Times New Roman" w:cstheme="minorHAnsi"/>
          <w:bCs/>
          <w:lang w:eastAsia="pl-PL"/>
        </w:rPr>
        <w:t xml:space="preserve">– </w:t>
      </w:r>
      <w:r w:rsidR="003A232A" w:rsidRPr="005C7C0A">
        <w:rPr>
          <w:rFonts w:eastAsia="Times New Roman" w:cstheme="minorHAnsi"/>
          <w:lang w:eastAsia="pl-PL"/>
        </w:rPr>
        <w:t>Ministerstwo Turystyki, Inwestycji i Lotnictwa</w:t>
      </w:r>
    </w:p>
    <w:p w:rsidR="003A232A" w:rsidRPr="005C7C0A" w:rsidRDefault="002F331E" w:rsidP="00F11BEE">
      <w:pPr>
        <w:spacing w:after="0" w:line="264" w:lineRule="auto"/>
        <w:jc w:val="both"/>
        <w:outlineLvl w:val="3"/>
        <w:rPr>
          <w:rFonts w:eastAsia="Times New Roman" w:cstheme="minorHAnsi"/>
          <w:bCs/>
          <w:lang w:eastAsia="pl-PL"/>
        </w:rPr>
      </w:pPr>
      <w:hyperlink r:id="rId8" w:tooltip="K. Peter Turnquest" w:history="1">
        <w:r w:rsidR="003A232A" w:rsidRPr="005C7C0A">
          <w:rPr>
            <w:rStyle w:val="Hipercze"/>
            <w:rFonts w:cstheme="minorHAnsi"/>
            <w:color w:val="auto"/>
            <w:shd w:val="clear" w:color="auto" w:fill="F8F9FA"/>
          </w:rPr>
          <w:t>Philip</w:t>
        </w:r>
      </w:hyperlink>
      <w:r w:rsidR="003A232A" w:rsidRPr="005C7C0A">
        <w:rPr>
          <w:rStyle w:val="Hipercze"/>
          <w:rFonts w:cstheme="minorHAnsi"/>
          <w:color w:val="auto"/>
          <w:shd w:val="clear" w:color="auto" w:fill="F8F9FA"/>
        </w:rPr>
        <w:t xml:space="preserve"> Edward Davis</w:t>
      </w:r>
      <w:r w:rsidR="003A232A" w:rsidRPr="005C7C0A">
        <w:rPr>
          <w:rFonts w:eastAsia="Times New Roman" w:cstheme="minorHAnsi"/>
          <w:bCs/>
          <w:lang w:eastAsia="pl-PL"/>
        </w:rPr>
        <w:t xml:space="preserve"> – </w:t>
      </w:r>
      <w:r w:rsidR="003A232A" w:rsidRPr="005C7C0A">
        <w:rPr>
          <w:rFonts w:eastAsia="Times New Roman" w:cstheme="minorHAnsi"/>
          <w:lang w:eastAsia="pl-PL"/>
        </w:rPr>
        <w:t>Ministerstwo Finansów</w:t>
      </w:r>
    </w:p>
    <w:p w:rsidR="000223B6" w:rsidRPr="005C7C0A" w:rsidRDefault="000223B6" w:rsidP="00F11BEE">
      <w:pPr>
        <w:spacing w:after="0" w:line="264" w:lineRule="auto"/>
        <w:jc w:val="both"/>
        <w:outlineLvl w:val="3"/>
        <w:rPr>
          <w:rFonts w:eastAsia="Times New Roman" w:cstheme="minorHAnsi"/>
          <w:bCs/>
          <w:lang w:eastAsia="pl-PL"/>
        </w:rPr>
      </w:pPr>
      <w:r w:rsidRPr="005C7C0A">
        <w:rPr>
          <w:rFonts w:eastAsia="Times New Roman" w:cstheme="minorHAnsi"/>
          <w:lang w:eastAsia="pl-PL"/>
        </w:rPr>
        <w:t>Jobeth Lillian Coleby-Davis - Ministerstwo Energii i Transportu</w:t>
      </w:r>
    </w:p>
    <w:p w:rsidR="003A232A" w:rsidRPr="005C7C0A" w:rsidRDefault="000223B6" w:rsidP="00F11BEE">
      <w:pPr>
        <w:spacing w:after="0" w:line="264" w:lineRule="auto"/>
        <w:jc w:val="both"/>
        <w:outlineLvl w:val="3"/>
        <w:rPr>
          <w:rFonts w:eastAsia="Times New Roman" w:cstheme="minorHAnsi"/>
          <w:bCs/>
          <w:lang w:eastAsia="pl-PL"/>
        </w:rPr>
      </w:pPr>
      <w:r w:rsidRPr="005C7C0A">
        <w:rPr>
          <w:rFonts w:cstheme="minorHAnsi"/>
          <w:shd w:val="clear" w:color="auto" w:fill="F8F9FA"/>
        </w:rPr>
        <w:t>Pia Takita Glover-Rolle</w:t>
      </w:r>
      <w:r w:rsidR="003A232A" w:rsidRPr="005C7C0A">
        <w:rPr>
          <w:rFonts w:eastAsia="Times New Roman" w:cstheme="minorHAnsi"/>
          <w:lang w:eastAsia="pl-PL"/>
        </w:rPr>
        <w:t xml:space="preserve"> - Ministerstwo Pracy</w:t>
      </w:r>
    </w:p>
    <w:p w:rsidR="003A232A" w:rsidRPr="005C7C0A" w:rsidRDefault="003A232A" w:rsidP="00F11BEE">
      <w:pPr>
        <w:spacing w:after="0" w:line="264" w:lineRule="auto"/>
        <w:jc w:val="both"/>
        <w:outlineLvl w:val="3"/>
        <w:rPr>
          <w:rFonts w:eastAsia="Times New Roman" w:cstheme="minorHAnsi"/>
          <w:lang w:eastAsia="pl-PL"/>
        </w:rPr>
      </w:pPr>
      <w:r w:rsidRPr="005C7C0A">
        <w:rPr>
          <w:rFonts w:cstheme="minorHAnsi"/>
          <w:shd w:val="clear" w:color="auto" w:fill="F8F9FA"/>
        </w:rPr>
        <w:t>Frederick Mitchell</w:t>
      </w:r>
      <w:r w:rsidRPr="005C7C0A">
        <w:rPr>
          <w:rFonts w:eastAsia="Times New Roman" w:cstheme="minorHAnsi"/>
          <w:lang w:eastAsia="pl-PL"/>
        </w:rPr>
        <w:t xml:space="preserve"> – Ministerstwo Spraw Zagranicznych </w:t>
      </w:r>
    </w:p>
    <w:p w:rsidR="00A75A7C" w:rsidRPr="00A75A7C" w:rsidRDefault="00F11BEE" w:rsidP="00A75A7C">
      <w:pPr>
        <w:spacing w:after="0" w:line="264" w:lineRule="auto"/>
        <w:jc w:val="both"/>
        <w:outlineLvl w:val="3"/>
        <w:rPr>
          <w:rFonts w:eastAsia="Times New Roman" w:cstheme="minorHAnsi"/>
          <w:bCs/>
          <w:lang w:eastAsia="pl-PL"/>
        </w:rPr>
      </w:pPr>
      <w:r w:rsidRPr="005C7C0A">
        <w:rPr>
          <w:rFonts w:eastAsia="Times New Roman" w:cstheme="minorHAnsi"/>
          <w:lang w:eastAsia="pl-PL"/>
        </w:rPr>
        <w:t>Wayne Munroe – Ministerstwo Bezpieczeństwa Narodowego</w:t>
      </w:r>
    </w:p>
    <w:p w:rsidR="00582E46" w:rsidRPr="005C7C0A" w:rsidRDefault="00582E46" w:rsidP="00582E46">
      <w:pPr>
        <w:spacing w:before="240" w:after="120" w:line="264" w:lineRule="auto"/>
        <w:jc w:val="both"/>
        <w:outlineLvl w:val="3"/>
        <w:rPr>
          <w:rFonts w:eastAsia="Calibri" w:cstheme="minorHAnsi"/>
        </w:rPr>
      </w:pPr>
      <w:r w:rsidRPr="004B4CF4">
        <w:rPr>
          <w:rFonts w:eastAsia="Calibri" w:cstheme="minorHAnsi"/>
          <w:b/>
        </w:rPr>
        <w:t xml:space="preserve">Bahamy to jeden z najbogatszych krajów karaibskich z gospodarką silnie uzależnioną od turystyki i tzw. </w:t>
      </w:r>
      <w:r w:rsidRPr="004B4CF4">
        <w:rPr>
          <w:rFonts w:eastAsia="Calibri" w:cstheme="minorHAnsi"/>
          <w:b/>
          <w:i/>
        </w:rPr>
        <w:t>offshore banking</w:t>
      </w:r>
      <w:r w:rsidRPr="004B4CF4">
        <w:rPr>
          <w:rFonts w:eastAsia="Calibri" w:cstheme="minorHAnsi"/>
          <w:b/>
        </w:rPr>
        <w:t xml:space="preserve">. </w:t>
      </w:r>
      <w:r w:rsidRPr="005C7C0A">
        <w:rPr>
          <w:rFonts w:eastAsia="Calibri" w:cstheme="minorHAnsi"/>
        </w:rPr>
        <w:t xml:space="preserve">Bahamy </w:t>
      </w:r>
      <w:r w:rsidRPr="009A4C72">
        <w:rPr>
          <w:rFonts w:cstheme="minorHAnsi"/>
        </w:rPr>
        <w:t>oferują</w:t>
      </w:r>
      <w:r w:rsidRPr="005C7C0A">
        <w:rPr>
          <w:rFonts w:eastAsia="Calibri" w:cstheme="minorHAnsi"/>
        </w:rPr>
        <w:t xml:space="preserve"> szereg zachęt dla inwestorów. Należą do nich m.in.: elastyczna polityka imigracyjna, umożliwiająca bezproblemowy i efektywny proces przyznawania pozwoleń na pracę dla kluczowych pracowników oraz brak podatku dochodowego. </w:t>
      </w:r>
    </w:p>
    <w:p w:rsidR="00B855F5" w:rsidRPr="005C7C0A" w:rsidRDefault="008B191D" w:rsidP="00582E46">
      <w:pPr>
        <w:spacing w:before="240" w:after="120" w:line="264" w:lineRule="auto"/>
        <w:jc w:val="both"/>
        <w:outlineLvl w:val="3"/>
        <w:rPr>
          <w:rFonts w:eastAsia="Calibri" w:cstheme="minorHAnsi"/>
        </w:rPr>
      </w:pPr>
      <w:r w:rsidRPr="005C7C0A">
        <w:rPr>
          <w:rFonts w:eastAsia="Calibri" w:cstheme="minorHAnsi"/>
        </w:rPr>
        <w:t xml:space="preserve">Bahamy są krajem o stosunkowo niskich obciążeniach podatkowych. W 2020 r. stosunek przychodów z podatków do PKB wyniósł 17,9% (dla porównania – w Polsce 33,9%). W 2015 r. na Bahamach wprowadzono podatek </w:t>
      </w:r>
      <w:r w:rsidRPr="009A4C72">
        <w:rPr>
          <w:rFonts w:cstheme="minorHAnsi"/>
        </w:rPr>
        <w:t>VAT</w:t>
      </w:r>
      <w:r w:rsidRPr="005C7C0A">
        <w:rPr>
          <w:rFonts w:eastAsia="Calibri" w:cstheme="minorHAnsi"/>
        </w:rPr>
        <w:t>. Wyn</w:t>
      </w:r>
      <w:bookmarkStart w:id="0" w:name="_GoBack"/>
      <w:bookmarkEnd w:id="0"/>
      <w:r w:rsidRPr="005C7C0A">
        <w:rPr>
          <w:rFonts w:eastAsia="Calibri" w:cstheme="minorHAnsi"/>
        </w:rPr>
        <w:t xml:space="preserve">osił on początkowo 7,5%, 01.07.2018 r. został podwyższony do 12%, a 01.01.2022 r. obniżony do 10%. Pozwoliło to na wzrost dochodów z podatków o 4,4% w okresie 2014-2017. Jednak wzrostowi przychodów z podatków towarzyszył jeszcze większy wzrost wydatków, częściowo wynikający z braku stosownych „hamulców” w systemie prawno-finansowym, a częściowo z bieżących potrzeb związanych z klęskami żywiołowymi (huragany) </w:t>
      </w:r>
      <w:r w:rsidR="004C1A58" w:rsidRPr="005C7C0A">
        <w:rPr>
          <w:rFonts w:eastAsia="Calibri" w:cstheme="minorHAnsi"/>
        </w:rPr>
        <w:t>oraz</w:t>
      </w:r>
      <w:r w:rsidR="00B855F5" w:rsidRPr="005C7C0A">
        <w:rPr>
          <w:rFonts w:eastAsia="Calibri" w:cstheme="minorHAnsi"/>
        </w:rPr>
        <w:t xml:space="preserve"> z pandemią COVID-19. </w:t>
      </w:r>
    </w:p>
    <w:p w:rsidR="008B191D" w:rsidRPr="005C7C0A" w:rsidRDefault="00F92357" w:rsidP="00582E46">
      <w:pPr>
        <w:spacing w:before="240" w:after="120" w:line="264" w:lineRule="auto"/>
        <w:jc w:val="both"/>
        <w:outlineLvl w:val="3"/>
        <w:rPr>
          <w:rFonts w:eastAsia="Calibri" w:cstheme="minorHAnsi"/>
        </w:rPr>
      </w:pPr>
      <w:r w:rsidRPr="005C7C0A">
        <w:rPr>
          <w:rFonts w:eastAsia="Calibri" w:cstheme="minorHAnsi"/>
        </w:rPr>
        <w:t xml:space="preserve">W 2022 r. </w:t>
      </w:r>
      <w:r w:rsidR="008B191D" w:rsidRPr="005C7C0A">
        <w:rPr>
          <w:rFonts w:eastAsia="Calibri" w:cstheme="minorHAnsi"/>
        </w:rPr>
        <w:t>Ministerstw</w:t>
      </w:r>
      <w:r w:rsidRPr="005C7C0A">
        <w:rPr>
          <w:rFonts w:eastAsia="Calibri" w:cstheme="minorHAnsi"/>
        </w:rPr>
        <w:t>o</w:t>
      </w:r>
      <w:r w:rsidR="008B191D" w:rsidRPr="005C7C0A">
        <w:rPr>
          <w:rFonts w:eastAsia="Calibri" w:cstheme="minorHAnsi"/>
        </w:rPr>
        <w:t xml:space="preserve"> Finansów </w:t>
      </w:r>
      <w:r w:rsidRPr="005C7C0A">
        <w:rPr>
          <w:rFonts w:eastAsia="Calibri" w:cstheme="minorHAnsi"/>
        </w:rPr>
        <w:t xml:space="preserve">uznało, że </w:t>
      </w:r>
      <w:r w:rsidR="008B191D" w:rsidRPr="005C7C0A">
        <w:rPr>
          <w:rFonts w:eastAsia="Calibri" w:cstheme="minorHAnsi"/>
        </w:rPr>
        <w:t>kluczowym elementem przywrócenia dobrej kondycji fiskalnej Bahamów jest osiągnięcie docelowego poziomu dochodów na poziomie 25% PKB do roku podatkowego 2025/26 przy jed</w:t>
      </w:r>
      <w:r w:rsidRPr="005C7C0A">
        <w:rPr>
          <w:rFonts w:eastAsia="Calibri" w:cstheme="minorHAnsi"/>
        </w:rPr>
        <w:t>noczesnym ograniczeniu wydatków</w:t>
      </w:r>
      <w:r w:rsidR="008B191D" w:rsidRPr="005C7C0A">
        <w:rPr>
          <w:rFonts w:eastAsia="Calibri" w:cstheme="minorHAnsi"/>
        </w:rPr>
        <w:t>.</w:t>
      </w:r>
    </w:p>
    <w:p w:rsidR="00582E46" w:rsidRPr="005C7C0A" w:rsidRDefault="00582E46" w:rsidP="00582E46">
      <w:pPr>
        <w:spacing w:before="240" w:after="120" w:line="264" w:lineRule="auto"/>
        <w:jc w:val="both"/>
        <w:outlineLvl w:val="3"/>
        <w:rPr>
          <w:rFonts w:eastAsia="Calibri" w:cstheme="minorHAnsi"/>
        </w:rPr>
      </w:pPr>
      <w:r w:rsidRPr="005C7C0A">
        <w:rPr>
          <w:rFonts w:eastAsia="Calibri" w:cstheme="minorHAnsi"/>
        </w:rPr>
        <w:t xml:space="preserve">W maju </w:t>
      </w:r>
      <w:r w:rsidR="008B191D" w:rsidRPr="005C7C0A">
        <w:rPr>
          <w:rFonts w:eastAsia="Calibri" w:cstheme="minorHAnsi"/>
        </w:rPr>
        <w:t xml:space="preserve">2024 </w:t>
      </w:r>
      <w:r w:rsidRPr="005C7C0A">
        <w:rPr>
          <w:rFonts w:eastAsia="Calibri" w:cstheme="minorHAnsi"/>
        </w:rPr>
        <w:t xml:space="preserve">r. premier Davis podczas przedstawiania budżetu na lata 2024-25 oświadczył, że głównymi priorytetami </w:t>
      </w:r>
      <w:r w:rsidRPr="009A4C72">
        <w:rPr>
          <w:rFonts w:cstheme="minorHAnsi"/>
        </w:rPr>
        <w:t>gospodarczymi</w:t>
      </w:r>
      <w:r w:rsidRPr="005C7C0A">
        <w:rPr>
          <w:rFonts w:eastAsia="Calibri" w:cstheme="minorHAnsi"/>
        </w:rPr>
        <w:t xml:space="preserve"> będą: poprawa jakośc</w:t>
      </w:r>
      <w:r w:rsidR="00B10282">
        <w:rPr>
          <w:rFonts w:eastAsia="Calibri" w:cstheme="minorHAnsi"/>
        </w:rPr>
        <w:t>i życia Bahamczyków i stworzenie</w:t>
      </w:r>
      <w:r w:rsidRPr="005C7C0A">
        <w:rPr>
          <w:rFonts w:eastAsia="Calibri" w:cstheme="minorHAnsi"/>
        </w:rPr>
        <w:t xml:space="preserve"> dla nich nowych </w:t>
      </w:r>
      <w:r w:rsidRPr="005C7C0A">
        <w:rPr>
          <w:rFonts w:eastAsia="Calibri" w:cstheme="minorHAnsi"/>
        </w:rPr>
        <w:lastRenderedPageBreak/>
        <w:t>możliwości rozwoju, walka z niskimi przychodami z transakcji nieruchomościami, zwiększenie zysków z bezpośrednich inwestycji zagranicznych oraz stworzenie środowiska sprzyjającego rozwojowi biznesów.</w:t>
      </w:r>
    </w:p>
    <w:p w:rsidR="00B855F5" w:rsidRPr="005C7C0A" w:rsidRDefault="00B855F5" w:rsidP="00B855F5">
      <w:pPr>
        <w:spacing w:before="240" w:after="120" w:line="264" w:lineRule="auto"/>
        <w:jc w:val="both"/>
        <w:outlineLvl w:val="3"/>
        <w:rPr>
          <w:rFonts w:eastAsia="Calibri" w:cstheme="minorHAnsi"/>
        </w:rPr>
      </w:pPr>
      <w:r w:rsidRPr="005C7C0A">
        <w:rPr>
          <w:rFonts w:eastAsia="Calibri" w:cstheme="minorHAnsi"/>
        </w:rPr>
        <w:t xml:space="preserve">Bahamy </w:t>
      </w:r>
      <w:r w:rsidRPr="005C7C0A">
        <w:rPr>
          <w:rFonts w:eastAsia="Calibri" w:cstheme="minorHAnsi"/>
          <w:b/>
        </w:rPr>
        <w:t>są jednym z pierwszych państw świata</w:t>
      </w:r>
      <w:r w:rsidRPr="005C7C0A">
        <w:rPr>
          <w:rFonts w:eastAsia="Calibri" w:cstheme="minorHAnsi"/>
        </w:rPr>
        <w:t xml:space="preserve">, w których bank centralny wprowadził </w:t>
      </w:r>
      <w:r w:rsidRPr="005C7C0A">
        <w:rPr>
          <w:rFonts w:eastAsia="Calibri" w:cstheme="minorHAnsi"/>
          <w:b/>
        </w:rPr>
        <w:t>oficjalną walutę cyfrową</w:t>
      </w:r>
      <w:r w:rsidRPr="005C7C0A">
        <w:rPr>
          <w:rFonts w:eastAsia="Calibri" w:cstheme="minorHAnsi"/>
        </w:rPr>
        <w:t xml:space="preserve"> (należącą do </w:t>
      </w:r>
      <w:r w:rsidRPr="009A4C72">
        <w:rPr>
          <w:rFonts w:cstheme="minorHAnsi"/>
        </w:rPr>
        <w:t>kategorii</w:t>
      </w:r>
      <w:r w:rsidRPr="005C7C0A">
        <w:rPr>
          <w:rFonts w:eastAsia="Calibri" w:cstheme="minorHAnsi"/>
        </w:rPr>
        <w:t xml:space="preserve"> określanej jako </w:t>
      </w:r>
      <w:r w:rsidRPr="005C7C0A">
        <w:rPr>
          <w:rFonts w:eastAsia="Calibri" w:cstheme="minorHAnsi"/>
          <w:b/>
        </w:rPr>
        <w:t>CBDC</w:t>
      </w:r>
      <w:r w:rsidRPr="005C7C0A">
        <w:rPr>
          <w:rFonts w:eastAsia="Calibri" w:cstheme="minorHAnsi"/>
        </w:rPr>
        <w:t xml:space="preserve"> - </w:t>
      </w:r>
      <w:r w:rsidRPr="005C7C0A">
        <w:rPr>
          <w:rFonts w:eastAsia="Calibri" w:cstheme="minorHAnsi"/>
          <w:i/>
        </w:rPr>
        <w:t>Central Bank Digital Currency</w:t>
      </w:r>
      <w:r w:rsidRPr="005C7C0A">
        <w:rPr>
          <w:rFonts w:eastAsia="Calibri" w:cstheme="minorHAnsi"/>
        </w:rPr>
        <w:t xml:space="preserve">). Jest to tzw. </w:t>
      </w:r>
      <w:r w:rsidRPr="005C7C0A">
        <w:rPr>
          <w:rFonts w:eastAsia="Calibri" w:cstheme="minorHAnsi"/>
          <w:b/>
        </w:rPr>
        <w:t>Sand Dollar</w:t>
      </w:r>
      <w:r w:rsidRPr="005C7C0A">
        <w:rPr>
          <w:rFonts w:eastAsia="Calibri" w:cstheme="minorHAnsi"/>
        </w:rPr>
        <w:t xml:space="preserve">, uruchomiony w październiku 2020 r. Funkcjonuje on całkowicie na platformie cyfrowej, a jednocześnie ma status analogiczny do fizycznego dolara bahamskiego. W uznaniu m.in. wprowadzenia tego </w:t>
      </w:r>
      <w:r w:rsidRPr="009A4C72">
        <w:rPr>
          <w:rFonts w:cstheme="minorHAnsi"/>
        </w:rPr>
        <w:t>rozwiązania</w:t>
      </w:r>
      <w:r w:rsidRPr="005C7C0A">
        <w:rPr>
          <w:rFonts w:eastAsia="Calibri" w:cstheme="minorHAnsi"/>
        </w:rPr>
        <w:t xml:space="preserve"> prezes Banku Centralnego Bahamów John Rolle w grudniu 2021 r. znalazł się na liście </w:t>
      </w:r>
      <w:r w:rsidRPr="005C7C0A">
        <w:rPr>
          <w:rFonts w:eastAsia="Calibri" w:cstheme="minorHAnsi"/>
          <w:i/>
        </w:rPr>
        <w:t>The Bloomberg 50: The People Who Changed Global Business</w:t>
      </w:r>
      <w:r w:rsidRPr="005C7C0A">
        <w:rPr>
          <w:rFonts w:eastAsia="Calibri" w:cstheme="minorHAnsi"/>
        </w:rPr>
        <w:t xml:space="preserve"> – rankingu najbardziej wpływowych osób wywierających wpływ na zmianę rynków lub kształtowanie nowych polityk. W maju 2022 r. rząd przedstawił dokument pt. </w:t>
      </w:r>
      <w:r w:rsidRPr="005C7C0A">
        <w:rPr>
          <w:rFonts w:eastAsia="Calibri" w:cstheme="minorHAnsi"/>
          <w:b/>
          <w:i/>
        </w:rPr>
        <w:t>The Future of Digital Assets in The Bahamas</w:t>
      </w:r>
      <w:r w:rsidRPr="005C7C0A">
        <w:rPr>
          <w:rFonts w:eastAsia="Calibri" w:cstheme="minorHAnsi"/>
        </w:rPr>
        <w:t>, nakreślający plany w zakresie „utrzymania przez Bahamy swojego miejsca jako dobrze uregulowana jurysdykcja w sferze aktywów cyfrowych”.</w:t>
      </w:r>
    </w:p>
    <w:p w:rsidR="00B855F5" w:rsidRPr="005C7C0A" w:rsidRDefault="00347D0F" w:rsidP="00582E46">
      <w:pPr>
        <w:spacing w:before="240" w:after="120" w:line="264" w:lineRule="auto"/>
        <w:jc w:val="both"/>
        <w:outlineLvl w:val="3"/>
        <w:rPr>
          <w:rFonts w:eastAsia="Calibri" w:cstheme="minorHAnsi"/>
        </w:rPr>
      </w:pPr>
      <w:r w:rsidRPr="005C7C0A">
        <w:rPr>
          <w:rFonts w:eastAsia="Calibri" w:cstheme="minorHAnsi"/>
          <w:b/>
        </w:rPr>
        <w:t>Negatywny wpływ na wizerunek Bahamów</w:t>
      </w:r>
      <w:r w:rsidR="00B855F5" w:rsidRPr="005C7C0A">
        <w:rPr>
          <w:rFonts w:eastAsia="Calibri" w:cstheme="minorHAnsi"/>
        </w:rPr>
        <w:t xml:space="preserve"> jako pioniera w implementacji rozwiązań finansowych opartych na technologii </w:t>
      </w:r>
      <w:r w:rsidR="00B855F5" w:rsidRPr="005C7C0A">
        <w:rPr>
          <w:rFonts w:eastAsia="Calibri" w:cstheme="minorHAnsi"/>
          <w:i/>
        </w:rPr>
        <w:t>blockchain</w:t>
      </w:r>
      <w:r w:rsidR="00B855F5" w:rsidRPr="005C7C0A">
        <w:rPr>
          <w:rFonts w:eastAsia="Calibri" w:cstheme="minorHAnsi"/>
        </w:rPr>
        <w:t xml:space="preserve"> </w:t>
      </w:r>
      <w:r w:rsidRPr="005C7C0A">
        <w:rPr>
          <w:rFonts w:eastAsia="Calibri" w:cstheme="minorHAnsi"/>
        </w:rPr>
        <w:t>miał</w:t>
      </w:r>
      <w:r w:rsidR="00F92357" w:rsidRPr="005C7C0A">
        <w:rPr>
          <w:rFonts w:eastAsia="Calibri" w:cstheme="minorHAnsi"/>
        </w:rPr>
        <w:t xml:space="preserve">o </w:t>
      </w:r>
      <w:r w:rsidR="00F92357" w:rsidRPr="005C7C0A">
        <w:rPr>
          <w:rFonts w:eastAsia="Calibri" w:cstheme="minorHAnsi"/>
          <w:b/>
        </w:rPr>
        <w:t>bankructwo</w:t>
      </w:r>
      <w:r w:rsidR="00B855F5" w:rsidRPr="005C7C0A">
        <w:rPr>
          <w:rFonts w:eastAsia="Calibri" w:cstheme="minorHAnsi"/>
          <w:b/>
        </w:rPr>
        <w:t xml:space="preserve"> giełdy kryptowalut FTX</w:t>
      </w:r>
      <w:r w:rsidR="00B855F5" w:rsidRPr="005C7C0A">
        <w:rPr>
          <w:rFonts w:eastAsia="Calibri" w:cstheme="minorHAnsi"/>
        </w:rPr>
        <w:t xml:space="preserve"> </w:t>
      </w:r>
      <w:r w:rsidR="00B855F5" w:rsidRPr="005C7C0A">
        <w:rPr>
          <w:rFonts w:eastAsia="Calibri" w:cstheme="minorHAnsi"/>
          <w:b/>
        </w:rPr>
        <w:t>Digital Markets Limited</w:t>
      </w:r>
      <w:r w:rsidR="00B855F5" w:rsidRPr="005C7C0A">
        <w:rPr>
          <w:rFonts w:eastAsia="Calibri" w:cstheme="minorHAnsi"/>
        </w:rPr>
        <w:t xml:space="preserve">, kierowanej </w:t>
      </w:r>
      <w:r w:rsidR="00B855F5" w:rsidRPr="009A4C72">
        <w:rPr>
          <w:rFonts w:cstheme="minorHAnsi"/>
        </w:rPr>
        <w:t>przez</w:t>
      </w:r>
      <w:r w:rsidR="00B855F5" w:rsidRPr="005C7C0A">
        <w:rPr>
          <w:rFonts w:eastAsia="Calibri" w:cstheme="minorHAnsi"/>
        </w:rPr>
        <w:t xml:space="preserve"> </w:t>
      </w:r>
      <w:r w:rsidR="00B855F5" w:rsidRPr="005C7C0A">
        <w:rPr>
          <w:rFonts w:eastAsia="Calibri" w:cstheme="minorHAnsi"/>
          <w:b/>
        </w:rPr>
        <w:t>Sama Bankmana-Frieda</w:t>
      </w:r>
      <w:r w:rsidR="00B855F5" w:rsidRPr="005C7C0A">
        <w:rPr>
          <w:rFonts w:eastAsia="Calibri" w:cstheme="minorHAnsi"/>
        </w:rPr>
        <w:t xml:space="preserve"> (SBF). FTX zarejestrowa</w:t>
      </w:r>
      <w:r w:rsidRPr="005C7C0A">
        <w:rPr>
          <w:rFonts w:eastAsia="Calibri" w:cstheme="minorHAnsi"/>
        </w:rPr>
        <w:t xml:space="preserve">na została </w:t>
      </w:r>
      <w:r w:rsidR="00B855F5" w:rsidRPr="005C7C0A">
        <w:rPr>
          <w:rFonts w:eastAsia="Calibri" w:cstheme="minorHAnsi"/>
        </w:rPr>
        <w:t>na Bahamach w lipcu 2021 r. i otrzymała zgodę na rozpoczęcie działalności we wrześniu 2021 r., zgodnie z ustawą</w:t>
      </w:r>
      <w:r w:rsidR="00B855F5" w:rsidRPr="005C7C0A">
        <w:rPr>
          <w:rFonts w:eastAsia="Calibri" w:cstheme="minorHAnsi"/>
          <w:i/>
        </w:rPr>
        <w:t xml:space="preserve"> The Digital Assets and Registered Exchanges (DARE) Act</w:t>
      </w:r>
      <w:r w:rsidR="00B855F5" w:rsidRPr="005C7C0A">
        <w:rPr>
          <w:rFonts w:eastAsia="Calibri" w:cstheme="minorHAnsi"/>
        </w:rPr>
        <w:t>.</w:t>
      </w:r>
      <w:r w:rsidRPr="005C7C0A">
        <w:rPr>
          <w:rFonts w:eastAsia="Calibri" w:cstheme="minorHAnsi"/>
        </w:rPr>
        <w:t xml:space="preserve"> Obecność firmy FTX wiązała się z</w:t>
      </w:r>
      <w:r w:rsidR="00B855F5" w:rsidRPr="005C7C0A">
        <w:rPr>
          <w:rFonts w:eastAsia="Calibri" w:cstheme="minorHAnsi"/>
        </w:rPr>
        <w:t xml:space="preserve"> korzyściami dla Bahamów, w </w:t>
      </w:r>
      <w:r w:rsidRPr="005C7C0A">
        <w:rPr>
          <w:rFonts w:eastAsia="Calibri" w:cstheme="minorHAnsi"/>
        </w:rPr>
        <w:t>formie</w:t>
      </w:r>
      <w:r w:rsidR="00B855F5" w:rsidRPr="005C7C0A">
        <w:rPr>
          <w:rFonts w:eastAsia="Calibri" w:cstheme="minorHAnsi"/>
        </w:rPr>
        <w:t xml:space="preserve"> inwestycji w biura i nieruchomości mieszkaniowe, zatrudnianie lokalnych pracowników, </w:t>
      </w:r>
      <w:r w:rsidRPr="005C7C0A">
        <w:rPr>
          <w:rFonts w:eastAsia="Calibri" w:cstheme="minorHAnsi"/>
        </w:rPr>
        <w:t>jak również</w:t>
      </w:r>
      <w:r w:rsidR="00B855F5" w:rsidRPr="005C7C0A">
        <w:rPr>
          <w:rFonts w:eastAsia="Calibri" w:cstheme="minorHAnsi"/>
        </w:rPr>
        <w:t xml:space="preserve"> w wymiarze prestiżowym – bycie siedzibą trzeciej największej giełdy kryptowalut na świecie. </w:t>
      </w:r>
      <w:r w:rsidR="00B855F5" w:rsidRPr="005C7C0A">
        <w:rPr>
          <w:rFonts w:eastAsia="Calibri" w:cstheme="minorHAnsi"/>
          <w:b/>
        </w:rPr>
        <w:t>11.11.2022 r. FTX, związana z nią firma Alameda Research i ponad 100 innych powiązanych firm ogłosiły bankructwo</w:t>
      </w:r>
      <w:r w:rsidR="00C75C17" w:rsidRPr="005C7C0A">
        <w:rPr>
          <w:rFonts w:eastAsia="Calibri" w:cstheme="minorHAnsi"/>
        </w:rPr>
        <w:t xml:space="preserve">. Wśród </w:t>
      </w:r>
      <w:r w:rsidR="009F35F4">
        <w:rPr>
          <w:rFonts w:eastAsia="Calibri" w:cstheme="minorHAnsi"/>
        </w:rPr>
        <w:t>nich</w:t>
      </w:r>
      <w:r w:rsidR="00C75C17" w:rsidRPr="005C7C0A">
        <w:rPr>
          <w:rFonts w:eastAsia="Calibri" w:cstheme="minorHAnsi"/>
        </w:rPr>
        <w:t xml:space="preserve"> </w:t>
      </w:r>
      <w:r w:rsidR="00B855F5" w:rsidRPr="005C7C0A">
        <w:rPr>
          <w:rFonts w:eastAsia="Calibri" w:cstheme="minorHAnsi"/>
        </w:rPr>
        <w:t xml:space="preserve">wyłącznie FTX </w:t>
      </w:r>
      <w:r w:rsidR="00C75C17" w:rsidRPr="005C7C0A">
        <w:rPr>
          <w:rFonts w:eastAsia="Calibri" w:cstheme="minorHAnsi"/>
        </w:rPr>
        <w:t>była zarejestrowana na Bahamach</w:t>
      </w:r>
      <w:r w:rsidR="00B855F5" w:rsidRPr="005C7C0A">
        <w:rPr>
          <w:rFonts w:eastAsia="Calibri" w:cstheme="minorHAnsi"/>
        </w:rPr>
        <w:t xml:space="preserve">. Śledztwo w sprawie działalności FTX jest prowadzone przez Departament Sprawiedliwości USA oraz amerykańskie komisje </w:t>
      </w:r>
      <w:r w:rsidR="00B855F5" w:rsidRPr="005C7C0A">
        <w:rPr>
          <w:rFonts w:eastAsia="Calibri" w:cstheme="minorHAnsi"/>
          <w:i/>
        </w:rPr>
        <w:t>Securities and Exchange Commission</w:t>
      </w:r>
      <w:r w:rsidR="00B855F5" w:rsidRPr="005C7C0A">
        <w:rPr>
          <w:rFonts w:eastAsia="Calibri" w:cstheme="minorHAnsi"/>
        </w:rPr>
        <w:t xml:space="preserve"> (SEC) i </w:t>
      </w:r>
      <w:r w:rsidR="00B855F5" w:rsidRPr="005C7C0A">
        <w:rPr>
          <w:rFonts w:eastAsia="Calibri" w:cstheme="minorHAnsi"/>
          <w:i/>
        </w:rPr>
        <w:t>Commodity Futures Trading Commission</w:t>
      </w:r>
      <w:r w:rsidR="00F92357" w:rsidRPr="005C7C0A">
        <w:rPr>
          <w:rFonts w:eastAsia="Calibri" w:cstheme="minorHAnsi"/>
        </w:rPr>
        <w:t xml:space="preserve"> (CFTC). D</w:t>
      </w:r>
      <w:r w:rsidR="00B855F5" w:rsidRPr="005C7C0A">
        <w:rPr>
          <w:rFonts w:eastAsia="Calibri" w:cstheme="minorHAnsi"/>
        </w:rPr>
        <w:t xml:space="preserve">ochodzenie karne prowadzone jest też przez </w:t>
      </w:r>
      <w:r w:rsidR="00B855F5" w:rsidRPr="005C7C0A">
        <w:rPr>
          <w:rFonts w:eastAsia="Calibri" w:cstheme="minorHAnsi"/>
          <w:i/>
        </w:rPr>
        <w:t>Royal Bahamas Police Force</w:t>
      </w:r>
      <w:r w:rsidR="00B855F5" w:rsidRPr="005C7C0A">
        <w:rPr>
          <w:rFonts w:eastAsia="Calibri" w:cstheme="minorHAnsi"/>
        </w:rPr>
        <w:t xml:space="preserve"> oraz </w:t>
      </w:r>
      <w:r w:rsidR="00B855F5" w:rsidRPr="005C7C0A">
        <w:rPr>
          <w:rFonts w:eastAsia="Calibri" w:cstheme="minorHAnsi"/>
          <w:i/>
        </w:rPr>
        <w:t>Securities Commission in the Bahamas</w:t>
      </w:r>
      <w:r w:rsidR="00B855F5" w:rsidRPr="005C7C0A">
        <w:rPr>
          <w:rFonts w:eastAsia="Calibri" w:cstheme="minorHAnsi"/>
        </w:rPr>
        <w:t xml:space="preserve">. 12.12.2022 r. </w:t>
      </w:r>
      <w:r w:rsidR="00B855F5" w:rsidRPr="005C7C0A">
        <w:rPr>
          <w:rFonts w:eastAsia="Calibri" w:cstheme="minorHAnsi"/>
          <w:b/>
        </w:rPr>
        <w:t>SBF został aresztowany na Bahamach</w:t>
      </w:r>
      <w:r w:rsidR="00B855F5" w:rsidRPr="005C7C0A">
        <w:rPr>
          <w:rFonts w:eastAsia="Calibri" w:cstheme="minorHAnsi"/>
        </w:rPr>
        <w:t xml:space="preserve">, a następnie 21.12.2022 r. nastąpiła jego </w:t>
      </w:r>
      <w:r w:rsidR="00B855F5" w:rsidRPr="005C7C0A">
        <w:rPr>
          <w:rFonts w:eastAsia="Calibri" w:cstheme="minorHAnsi"/>
          <w:b/>
        </w:rPr>
        <w:t>ekstradycja do USA</w:t>
      </w:r>
      <w:r w:rsidR="00B855F5" w:rsidRPr="005C7C0A">
        <w:rPr>
          <w:rFonts w:eastAsia="Calibri" w:cstheme="minorHAnsi"/>
        </w:rPr>
        <w:t>. Securities Commission of the Bahamas</w:t>
      </w:r>
      <w:r w:rsidR="00C75C17" w:rsidRPr="005C7C0A">
        <w:rPr>
          <w:rFonts w:eastAsia="Calibri" w:cstheme="minorHAnsi"/>
        </w:rPr>
        <w:t xml:space="preserve"> poinformowały</w:t>
      </w:r>
      <w:r w:rsidR="00B855F5" w:rsidRPr="005C7C0A">
        <w:rPr>
          <w:rFonts w:eastAsia="Calibri" w:cstheme="minorHAnsi"/>
        </w:rPr>
        <w:t>,</w:t>
      </w:r>
      <w:r w:rsidR="00C75C17" w:rsidRPr="005C7C0A">
        <w:rPr>
          <w:rFonts w:eastAsia="Calibri" w:cstheme="minorHAnsi"/>
        </w:rPr>
        <w:t xml:space="preserve"> że</w:t>
      </w:r>
      <w:r w:rsidR="00B855F5" w:rsidRPr="005C7C0A">
        <w:rPr>
          <w:rFonts w:eastAsia="Calibri" w:cstheme="minorHAnsi"/>
        </w:rPr>
        <w:t xml:space="preserve"> </w:t>
      </w:r>
      <w:r w:rsidR="00B855F5" w:rsidRPr="005C7C0A">
        <w:rPr>
          <w:rFonts w:eastAsia="Calibri" w:cstheme="minorHAnsi"/>
          <w:b/>
        </w:rPr>
        <w:t>władze bahamskie przejęły kontrolę nad 3,5 mld USD aktywów cyfrowych należących do FTX</w:t>
      </w:r>
      <w:r w:rsidR="00B855F5" w:rsidRPr="005C7C0A">
        <w:rPr>
          <w:rFonts w:eastAsia="Calibri" w:cstheme="minorHAnsi"/>
        </w:rPr>
        <w:t xml:space="preserve">. </w:t>
      </w:r>
    </w:p>
    <w:p w:rsidR="008B191D" w:rsidRPr="005C7C0A" w:rsidRDefault="008B191D" w:rsidP="00582E46">
      <w:pPr>
        <w:spacing w:before="240" w:after="120" w:line="264" w:lineRule="auto"/>
        <w:jc w:val="both"/>
        <w:outlineLvl w:val="3"/>
        <w:rPr>
          <w:rFonts w:eastAsia="Calibri" w:cstheme="minorHAnsi"/>
        </w:rPr>
      </w:pPr>
      <w:r w:rsidRPr="005C7C0A">
        <w:rPr>
          <w:rFonts w:eastAsia="Calibri" w:cstheme="minorHAnsi"/>
        </w:rPr>
        <w:t>Przed pandemią</w:t>
      </w:r>
      <w:r w:rsidR="00C75C17" w:rsidRPr="005C7C0A">
        <w:rPr>
          <w:rFonts w:eastAsia="Calibri" w:cstheme="minorHAnsi"/>
        </w:rPr>
        <w:t xml:space="preserve"> COVID-19,</w:t>
      </w:r>
      <w:r w:rsidRPr="005C7C0A">
        <w:rPr>
          <w:rFonts w:eastAsia="Calibri" w:cstheme="minorHAnsi"/>
        </w:rPr>
        <w:t xml:space="preserve"> </w:t>
      </w:r>
      <w:r w:rsidRPr="005C7C0A">
        <w:rPr>
          <w:rFonts w:eastAsia="Calibri" w:cstheme="minorHAnsi"/>
          <w:b/>
        </w:rPr>
        <w:t>PKB</w:t>
      </w:r>
      <w:r w:rsidRPr="005C7C0A">
        <w:rPr>
          <w:rFonts w:eastAsia="Calibri" w:cstheme="minorHAnsi"/>
        </w:rPr>
        <w:t xml:space="preserve"> Bahamów </w:t>
      </w:r>
      <w:r w:rsidR="00C75C17" w:rsidRPr="005C7C0A">
        <w:rPr>
          <w:rFonts w:eastAsia="Calibri" w:cstheme="minorHAnsi"/>
        </w:rPr>
        <w:t xml:space="preserve">odnotowywał stały wzrost. W </w:t>
      </w:r>
      <w:r w:rsidRPr="005C7C0A">
        <w:rPr>
          <w:rFonts w:eastAsia="Calibri" w:cstheme="minorHAnsi"/>
        </w:rPr>
        <w:t>2019 r.</w:t>
      </w:r>
      <w:r w:rsidR="00C75C17" w:rsidRPr="005C7C0A">
        <w:rPr>
          <w:rFonts w:eastAsia="Calibri" w:cstheme="minorHAnsi"/>
        </w:rPr>
        <w:t xml:space="preserve"> na wyniki gospodarki wpłynęły straty </w:t>
      </w:r>
      <w:r w:rsidR="00C75C17" w:rsidRPr="009A4C72">
        <w:rPr>
          <w:rFonts w:cstheme="minorHAnsi"/>
        </w:rPr>
        <w:t>w</w:t>
      </w:r>
      <w:r w:rsidR="00B10282" w:rsidRPr="009A4C72">
        <w:rPr>
          <w:rFonts w:cstheme="minorHAnsi"/>
        </w:rPr>
        <w:t>ywołane</w:t>
      </w:r>
      <w:r w:rsidR="00B10282">
        <w:rPr>
          <w:rFonts w:eastAsia="Calibri" w:cstheme="minorHAnsi"/>
        </w:rPr>
        <w:t xml:space="preserve"> przez huragan Dorian. </w:t>
      </w:r>
      <w:r w:rsidR="00C75C17" w:rsidRPr="005C7C0A">
        <w:rPr>
          <w:rFonts w:eastAsia="Calibri" w:cstheme="minorHAnsi"/>
        </w:rPr>
        <w:t xml:space="preserve">PKB wzrósł </w:t>
      </w:r>
      <w:r w:rsidR="00B10282">
        <w:rPr>
          <w:rFonts w:eastAsia="Calibri" w:cstheme="minorHAnsi"/>
        </w:rPr>
        <w:t xml:space="preserve">wtedy </w:t>
      </w:r>
      <w:r w:rsidR="00C75C17" w:rsidRPr="005C7C0A">
        <w:rPr>
          <w:rFonts w:eastAsia="Calibri" w:cstheme="minorHAnsi"/>
        </w:rPr>
        <w:t>o</w:t>
      </w:r>
      <w:r w:rsidRPr="005C7C0A">
        <w:rPr>
          <w:rFonts w:eastAsia="Calibri" w:cstheme="minorHAnsi"/>
        </w:rPr>
        <w:t xml:space="preserve"> 1,2%</w:t>
      </w:r>
      <w:r w:rsidR="00C75C17" w:rsidRPr="005C7C0A">
        <w:rPr>
          <w:rFonts w:eastAsia="Calibri" w:cstheme="minorHAnsi"/>
        </w:rPr>
        <w:t xml:space="preserve">, podczas gdy </w:t>
      </w:r>
      <w:r w:rsidR="00B10282">
        <w:rPr>
          <w:rFonts w:eastAsia="Calibri" w:cstheme="minorHAnsi"/>
        </w:rPr>
        <w:t xml:space="preserve">rok wcześniej </w:t>
      </w:r>
      <w:r w:rsidR="00C75C17" w:rsidRPr="005C7C0A">
        <w:rPr>
          <w:rFonts w:eastAsia="Calibri" w:cstheme="minorHAnsi"/>
        </w:rPr>
        <w:t>o 1,6%</w:t>
      </w:r>
      <w:r w:rsidRPr="005C7C0A">
        <w:rPr>
          <w:rFonts w:eastAsia="Calibri" w:cstheme="minorHAnsi"/>
        </w:rPr>
        <w:t xml:space="preserve">. W związku z zamknięciem </w:t>
      </w:r>
      <w:r w:rsidRPr="009A4C72">
        <w:rPr>
          <w:rFonts w:cstheme="minorHAnsi"/>
        </w:rPr>
        <w:t>gospodarki</w:t>
      </w:r>
      <w:r w:rsidRPr="005C7C0A">
        <w:rPr>
          <w:rFonts w:eastAsia="Calibri" w:cstheme="minorHAnsi"/>
        </w:rPr>
        <w:t xml:space="preserve">, w tym zwłaszcza turystyki, spowodowanym pandemią, według MFW </w:t>
      </w:r>
      <w:r w:rsidRPr="005C7C0A">
        <w:rPr>
          <w:rFonts w:eastAsia="Calibri" w:cstheme="minorHAnsi"/>
          <w:b/>
        </w:rPr>
        <w:t>w 2020 r. PKB Bahamów spadł o 16,2%</w:t>
      </w:r>
      <w:r w:rsidRPr="005C7C0A">
        <w:rPr>
          <w:rFonts w:eastAsia="Calibri" w:cstheme="minorHAnsi"/>
        </w:rPr>
        <w:t xml:space="preserve">. Wraz z ustępowaniem pandemii nastąpił ponowny </w:t>
      </w:r>
      <w:r w:rsidRPr="005C7C0A">
        <w:rPr>
          <w:rFonts w:eastAsia="Calibri" w:cstheme="minorHAnsi"/>
          <w:b/>
        </w:rPr>
        <w:t>wzrost liczby turystów</w:t>
      </w:r>
      <w:r w:rsidRPr="005C7C0A">
        <w:rPr>
          <w:rFonts w:eastAsia="Calibri" w:cstheme="minorHAnsi"/>
        </w:rPr>
        <w:t xml:space="preserve"> odwiedzających Bahamy. Według informacji Ministerstwa Turystyki, Inwestycji i Lotnictwa </w:t>
      </w:r>
      <w:r w:rsidR="00C75C17" w:rsidRPr="005C7C0A">
        <w:rPr>
          <w:rFonts w:eastAsia="Calibri" w:cstheme="minorHAnsi"/>
        </w:rPr>
        <w:t xml:space="preserve">gospodarka </w:t>
      </w:r>
      <w:r w:rsidRPr="005C7C0A">
        <w:rPr>
          <w:rFonts w:eastAsia="Calibri" w:cstheme="minorHAnsi"/>
        </w:rPr>
        <w:t xml:space="preserve">powróciła do poziomu sprzed pandemii, a nawet odnotowała znaczący wzrost. W 2023 r. Bahamy odwiedziło rekordowe 9 654 838 osób, stanowi to wzrost o 33% względem poprzedniego rekordowego roku – 2019. Według </w:t>
      </w:r>
      <w:r w:rsidRPr="009A4C72">
        <w:rPr>
          <w:rFonts w:cstheme="minorHAnsi"/>
        </w:rPr>
        <w:t>Prezesa</w:t>
      </w:r>
      <w:r w:rsidRPr="005C7C0A">
        <w:rPr>
          <w:rFonts w:eastAsia="Calibri" w:cstheme="minorHAnsi"/>
        </w:rPr>
        <w:t xml:space="preserve"> Banku Centralnego Bahamów </w:t>
      </w:r>
      <w:r w:rsidRPr="005C7C0A">
        <w:rPr>
          <w:rFonts w:eastAsia="Calibri" w:cstheme="minorHAnsi"/>
          <w:b/>
        </w:rPr>
        <w:t>wzrost PKB w 2023 r. powinien sięgnąć od 4 do 6%</w:t>
      </w:r>
      <w:r w:rsidRPr="005C7C0A">
        <w:rPr>
          <w:rFonts w:eastAsia="Calibri" w:cstheme="minorHAnsi"/>
        </w:rPr>
        <w:t xml:space="preserve">. </w:t>
      </w:r>
      <w:r w:rsidRPr="005C7C0A">
        <w:rPr>
          <w:rFonts w:eastAsia="Calibri" w:cstheme="minorHAnsi"/>
          <w:b/>
        </w:rPr>
        <w:t>Według prognozy Banku Światowego</w:t>
      </w:r>
      <w:r w:rsidRPr="005C7C0A">
        <w:rPr>
          <w:rFonts w:eastAsia="Calibri" w:cstheme="minorHAnsi"/>
        </w:rPr>
        <w:t xml:space="preserve"> z kwietnia </w:t>
      </w:r>
      <w:r w:rsidR="00C75C17" w:rsidRPr="005C7C0A">
        <w:rPr>
          <w:rFonts w:eastAsia="Calibri" w:cstheme="minorHAnsi"/>
        </w:rPr>
        <w:t xml:space="preserve">2024 </w:t>
      </w:r>
      <w:r w:rsidRPr="005C7C0A">
        <w:rPr>
          <w:rFonts w:eastAsia="Calibri" w:cstheme="minorHAnsi"/>
        </w:rPr>
        <w:t xml:space="preserve">r. </w:t>
      </w:r>
      <w:r w:rsidRPr="005C7C0A">
        <w:rPr>
          <w:rFonts w:eastAsia="Calibri" w:cstheme="minorHAnsi"/>
          <w:b/>
        </w:rPr>
        <w:t xml:space="preserve">wzrost PKB w 2024 r. </w:t>
      </w:r>
      <w:r w:rsidR="00C75C17" w:rsidRPr="005C7C0A">
        <w:rPr>
          <w:rFonts w:eastAsia="Calibri" w:cstheme="minorHAnsi"/>
          <w:b/>
        </w:rPr>
        <w:t>będzie na poziomie</w:t>
      </w:r>
      <w:r w:rsidRPr="005C7C0A">
        <w:rPr>
          <w:rFonts w:eastAsia="Calibri" w:cstheme="minorHAnsi"/>
          <w:b/>
        </w:rPr>
        <w:t xml:space="preserve"> 2,3%</w:t>
      </w:r>
      <w:r w:rsidRPr="005C7C0A">
        <w:rPr>
          <w:rFonts w:eastAsia="Calibri" w:cstheme="minorHAnsi"/>
        </w:rPr>
        <w:t xml:space="preserve"> (a ponadto 1,8% w 2025 r. i 1,6% w 2026 r.). </w:t>
      </w:r>
    </w:p>
    <w:p w:rsidR="005C20F9" w:rsidRPr="0013183B" w:rsidRDefault="005C20F9" w:rsidP="0013183B">
      <w:pPr>
        <w:pStyle w:val="Akapitzlist"/>
        <w:numPr>
          <w:ilvl w:val="1"/>
          <w:numId w:val="19"/>
        </w:numPr>
        <w:spacing w:before="240" w:after="120" w:line="264" w:lineRule="auto"/>
        <w:outlineLvl w:val="3"/>
        <w:rPr>
          <w:rFonts w:cstheme="minorHAnsi"/>
          <w:b/>
        </w:rPr>
      </w:pPr>
      <w:r w:rsidRPr="0013183B">
        <w:rPr>
          <w:rFonts w:cstheme="minorHAnsi"/>
          <w:b/>
        </w:rPr>
        <w:t>Najważniejsze strategie gospodarcze</w:t>
      </w:r>
    </w:p>
    <w:p w:rsidR="005C20F9" w:rsidRDefault="005C20F9" w:rsidP="005C20F9">
      <w:pPr>
        <w:spacing w:before="240" w:after="120" w:line="264" w:lineRule="auto"/>
        <w:jc w:val="both"/>
        <w:outlineLvl w:val="3"/>
        <w:rPr>
          <w:rFonts w:eastAsia="Times New Roman" w:cstheme="minorHAnsi"/>
          <w:lang w:eastAsia="pl-PL"/>
        </w:rPr>
      </w:pPr>
    </w:p>
    <w:p w:rsidR="005C20F9" w:rsidRDefault="005C20F9" w:rsidP="005C20F9">
      <w:pPr>
        <w:spacing w:before="240" w:after="120" w:line="264" w:lineRule="auto"/>
        <w:jc w:val="both"/>
        <w:outlineLvl w:val="3"/>
        <w:rPr>
          <w:rFonts w:eastAsia="Times New Roman" w:cstheme="minorHAnsi"/>
          <w:lang w:eastAsia="pl-PL"/>
        </w:rPr>
      </w:pPr>
      <w:r w:rsidRPr="005C20F9">
        <w:rPr>
          <w:rFonts w:eastAsia="Times New Roman" w:cstheme="minorHAnsi"/>
          <w:b/>
          <w:lang w:eastAsia="pl-PL"/>
        </w:rPr>
        <w:lastRenderedPageBreak/>
        <w:t>Wizja 2040 (Vision 2040), Narodowy Plan Rozwoju (NDP)</w:t>
      </w:r>
      <w:r w:rsidRPr="005C20F9">
        <w:rPr>
          <w:rFonts w:eastAsia="Times New Roman" w:cstheme="minorHAnsi"/>
          <w:lang w:eastAsia="pl-PL"/>
        </w:rPr>
        <w:t xml:space="preserve">, formułuje szeroką </w:t>
      </w:r>
      <w:r>
        <w:rPr>
          <w:rFonts w:eastAsia="Times New Roman" w:cstheme="minorHAnsi"/>
          <w:lang w:eastAsia="pl-PL"/>
        </w:rPr>
        <w:t>strategię</w:t>
      </w:r>
      <w:r w:rsidRPr="005C20F9">
        <w:rPr>
          <w:rFonts w:eastAsia="Times New Roman" w:cstheme="minorHAnsi"/>
          <w:lang w:eastAsia="pl-PL"/>
        </w:rPr>
        <w:t xml:space="preserve"> Bahamów, obejmującą </w:t>
      </w:r>
      <w:r w:rsidRPr="005C20F9">
        <w:rPr>
          <w:rFonts w:eastAsia="Times New Roman" w:cstheme="minorHAnsi"/>
          <w:b/>
          <w:lang w:eastAsia="pl-PL"/>
        </w:rPr>
        <w:t>cztery filary: zarządzanie, kapitał ludzki, środowisko i infrastrukturę oraz gospodarkę, a także formułuje 16 celów w ramach czterech filarów</w:t>
      </w:r>
      <w:r w:rsidRPr="005C20F9">
        <w:rPr>
          <w:rFonts w:eastAsia="Times New Roman" w:cstheme="minorHAnsi"/>
          <w:lang w:eastAsia="pl-PL"/>
        </w:rPr>
        <w:t xml:space="preserve">. </w:t>
      </w:r>
    </w:p>
    <w:p w:rsidR="005C20F9" w:rsidRDefault="005C20F9" w:rsidP="005C20F9">
      <w:pPr>
        <w:spacing w:before="240" w:after="120" w:line="264" w:lineRule="auto"/>
        <w:jc w:val="both"/>
        <w:outlineLvl w:val="3"/>
        <w:rPr>
          <w:rFonts w:eastAsia="Times New Roman" w:cstheme="minorHAnsi"/>
          <w:lang w:eastAsia="pl-PL"/>
        </w:rPr>
      </w:pPr>
      <w:r w:rsidRPr="005C20F9">
        <w:rPr>
          <w:rFonts w:eastAsia="Times New Roman" w:cstheme="minorHAnsi"/>
          <w:b/>
          <w:lang w:eastAsia="pl-PL"/>
        </w:rPr>
        <w:t>NDP zapewnia również wyraźne ramy dla polityki handlowej</w:t>
      </w:r>
      <w:r w:rsidRPr="005C20F9">
        <w:rPr>
          <w:rFonts w:eastAsia="Times New Roman" w:cstheme="minorHAnsi"/>
          <w:lang w:eastAsia="pl-PL"/>
        </w:rPr>
        <w:t>: Strategia 13.6 "Wzmocnienie polityki handlowej w celu stworzenia korzyści dla bahamskich przedsiębiorców, eksporterów i konsumentów" jest jedną z dziewięciu strategii sformułowanych w celu osiągnięcia celu 13: "Bahamy będą miały konkurencyjne środowisko biznesowe dla sukcesu gospodarczego, które wspiera rozwój biznesu, innowacje, tworzenie dobrobytu, przedsiębiorczość i wzrost zatrudnienia".</w:t>
      </w:r>
    </w:p>
    <w:p w:rsidR="0013183B" w:rsidRDefault="005C20F9" w:rsidP="005C20F9">
      <w:pPr>
        <w:spacing w:before="240" w:after="120" w:line="264" w:lineRule="auto"/>
        <w:jc w:val="both"/>
        <w:outlineLvl w:val="3"/>
        <w:rPr>
          <w:rFonts w:eastAsia="Times New Roman" w:cstheme="minorHAnsi"/>
          <w:lang w:eastAsia="pl-PL"/>
        </w:rPr>
      </w:pPr>
      <w:r w:rsidRPr="005C20F9">
        <w:rPr>
          <w:rFonts w:eastAsia="Times New Roman" w:cstheme="minorHAnsi"/>
          <w:b/>
          <w:lang w:eastAsia="pl-PL"/>
        </w:rPr>
        <w:t>Krajowa Polityka Handlowa stanowi odpowiedź na zidentyfikowane problemy wpływ</w:t>
      </w:r>
      <w:r>
        <w:rPr>
          <w:rFonts w:eastAsia="Times New Roman" w:cstheme="minorHAnsi"/>
          <w:b/>
          <w:lang w:eastAsia="pl-PL"/>
        </w:rPr>
        <w:t>ające na wyniki handlowe Bahamów.</w:t>
      </w:r>
      <w:r w:rsidRPr="005C20F9">
        <w:rPr>
          <w:rFonts w:eastAsia="Times New Roman" w:cstheme="minorHAnsi"/>
          <w:lang w:eastAsia="pl-PL"/>
        </w:rPr>
        <w:t xml:space="preserve"> W związku z tym dwa strategiczne cele krajowej polityki handlowej to rozwiązanie problemu deficytu handlowego, a także zmniejszenie podatności na zagrożenia wynikające z wysokiej koncentracji eksportu</w:t>
      </w:r>
      <w:r>
        <w:rPr>
          <w:rFonts w:eastAsia="Times New Roman" w:cstheme="minorHAnsi"/>
          <w:lang w:eastAsia="pl-PL"/>
        </w:rPr>
        <w:t>. By</w:t>
      </w:r>
      <w:r w:rsidRPr="005C20F9">
        <w:rPr>
          <w:rFonts w:eastAsia="Times New Roman" w:cstheme="minorHAnsi"/>
          <w:lang w:eastAsia="pl-PL"/>
        </w:rPr>
        <w:t xml:space="preserve"> osiągnąć te dwa cele strategiczne, krajowa polityka handlowa skupia się na</w:t>
      </w:r>
      <w:r w:rsidR="0013183B">
        <w:rPr>
          <w:rFonts w:eastAsia="Times New Roman" w:cstheme="minorHAnsi"/>
          <w:lang w:eastAsia="pl-PL"/>
        </w:rPr>
        <w:t>:</w:t>
      </w:r>
      <w:r w:rsidRPr="005C20F9">
        <w:rPr>
          <w:rFonts w:eastAsia="Times New Roman" w:cstheme="minorHAnsi"/>
          <w:lang w:eastAsia="pl-PL"/>
        </w:rPr>
        <w:t xml:space="preserve"> </w:t>
      </w:r>
    </w:p>
    <w:p w:rsidR="0013183B" w:rsidRDefault="005C20F9" w:rsidP="005C20F9">
      <w:pPr>
        <w:spacing w:before="240" w:after="120" w:line="264" w:lineRule="auto"/>
        <w:jc w:val="both"/>
        <w:outlineLvl w:val="3"/>
        <w:rPr>
          <w:rFonts w:eastAsia="Times New Roman" w:cstheme="minorHAnsi"/>
          <w:lang w:eastAsia="pl-PL"/>
        </w:rPr>
      </w:pPr>
      <w:r w:rsidRPr="005C20F9">
        <w:rPr>
          <w:rFonts w:eastAsia="Times New Roman" w:cstheme="minorHAnsi"/>
          <w:lang w:eastAsia="pl-PL"/>
        </w:rPr>
        <w:t>– zarządzani</w:t>
      </w:r>
      <w:r w:rsidR="0013183B">
        <w:rPr>
          <w:rFonts w:eastAsia="Times New Roman" w:cstheme="minorHAnsi"/>
          <w:lang w:eastAsia="pl-PL"/>
        </w:rPr>
        <w:t>u</w:t>
      </w:r>
      <w:r w:rsidRPr="005C20F9">
        <w:rPr>
          <w:rFonts w:eastAsia="Times New Roman" w:cstheme="minorHAnsi"/>
          <w:lang w:eastAsia="pl-PL"/>
        </w:rPr>
        <w:t xml:space="preserve"> importem i rozw</w:t>
      </w:r>
      <w:r w:rsidR="0013183B">
        <w:rPr>
          <w:rFonts w:eastAsia="Times New Roman" w:cstheme="minorHAnsi"/>
          <w:lang w:eastAsia="pl-PL"/>
        </w:rPr>
        <w:t>oju</w:t>
      </w:r>
      <w:r w:rsidRPr="005C20F9">
        <w:rPr>
          <w:rFonts w:eastAsia="Times New Roman" w:cstheme="minorHAnsi"/>
          <w:lang w:eastAsia="pl-PL"/>
        </w:rPr>
        <w:t xml:space="preserve"> eksportu</w:t>
      </w:r>
      <w:r w:rsidR="0013183B">
        <w:rPr>
          <w:rFonts w:eastAsia="Times New Roman" w:cstheme="minorHAnsi"/>
          <w:lang w:eastAsia="pl-PL"/>
        </w:rPr>
        <w:t>, które</w:t>
      </w:r>
      <w:r w:rsidRPr="005C20F9">
        <w:rPr>
          <w:rFonts w:eastAsia="Times New Roman" w:cstheme="minorHAnsi"/>
          <w:lang w:eastAsia="pl-PL"/>
        </w:rPr>
        <w:t xml:space="preserve"> odnoszą się do potrzeby zrównoważenia połączonego bilansu handlu towarami i usługami w perspektywie krótkoterminowej, a tym samym stanowią również odpowiedź na szok gospodarczy wywołany przez covid-19 w handlu Bahamów.</w:t>
      </w:r>
    </w:p>
    <w:p w:rsidR="005C20F9" w:rsidRPr="005C20F9" w:rsidRDefault="005C20F9" w:rsidP="005C20F9">
      <w:pPr>
        <w:spacing w:before="240" w:after="120" w:line="264" w:lineRule="auto"/>
        <w:jc w:val="both"/>
        <w:outlineLvl w:val="3"/>
        <w:rPr>
          <w:rFonts w:eastAsia="Times New Roman" w:cstheme="minorHAnsi"/>
          <w:lang w:eastAsia="pl-PL"/>
        </w:rPr>
      </w:pPr>
      <w:r w:rsidRPr="005C20F9">
        <w:rPr>
          <w:rFonts w:eastAsia="Times New Roman" w:cstheme="minorHAnsi"/>
          <w:lang w:eastAsia="pl-PL"/>
        </w:rPr>
        <w:t>– dywersyfikacj</w:t>
      </w:r>
      <w:r w:rsidR="0013183B">
        <w:rPr>
          <w:rFonts w:eastAsia="Times New Roman" w:cstheme="minorHAnsi"/>
          <w:lang w:eastAsia="pl-PL"/>
        </w:rPr>
        <w:t>i</w:t>
      </w:r>
      <w:r w:rsidRPr="005C20F9">
        <w:rPr>
          <w:rFonts w:eastAsia="Times New Roman" w:cstheme="minorHAnsi"/>
          <w:lang w:eastAsia="pl-PL"/>
        </w:rPr>
        <w:t xml:space="preserve"> eksportu i wzmocnieni</w:t>
      </w:r>
      <w:r w:rsidR="0013183B">
        <w:rPr>
          <w:rFonts w:eastAsia="Times New Roman" w:cstheme="minorHAnsi"/>
          <w:lang w:eastAsia="pl-PL"/>
        </w:rPr>
        <w:t>u konkurencyjności krajowej, które</w:t>
      </w:r>
      <w:r w:rsidRPr="005C20F9">
        <w:rPr>
          <w:rFonts w:eastAsia="Times New Roman" w:cstheme="minorHAnsi"/>
          <w:lang w:eastAsia="pl-PL"/>
        </w:rPr>
        <w:t xml:space="preserve"> dotyczą długoterminowych wyzwań, a także głównych przyczyn obecnych słabych wyników handlowych.</w:t>
      </w:r>
    </w:p>
    <w:p w:rsidR="00EC3759" w:rsidRPr="005C20F9" w:rsidRDefault="005C20F9" w:rsidP="0013183B">
      <w:pPr>
        <w:pStyle w:val="Akapitzlist"/>
        <w:numPr>
          <w:ilvl w:val="1"/>
          <w:numId w:val="19"/>
        </w:numPr>
        <w:spacing w:before="240" w:after="120" w:line="264" w:lineRule="auto"/>
        <w:outlineLvl w:val="3"/>
        <w:rPr>
          <w:rFonts w:eastAsia="Times New Roman" w:cstheme="minorHAnsi"/>
          <w:lang w:eastAsia="pl-PL"/>
        </w:rPr>
      </w:pPr>
      <w:r w:rsidRPr="005C20F9">
        <w:rPr>
          <w:rFonts w:cstheme="minorHAnsi"/>
          <w:b/>
        </w:rPr>
        <w:t xml:space="preserve"> </w:t>
      </w:r>
      <w:r w:rsidR="00CC3CB7" w:rsidRPr="005C20F9">
        <w:rPr>
          <w:rFonts w:cstheme="minorHAnsi"/>
          <w:b/>
        </w:rPr>
        <w:t>Główne sektory gospodarki i ich udział w PKB</w:t>
      </w:r>
    </w:p>
    <w:p w:rsidR="007C0170" w:rsidRPr="005C7C0A" w:rsidRDefault="00F44BE0" w:rsidP="007C0170">
      <w:pPr>
        <w:spacing w:before="240" w:after="120" w:line="264" w:lineRule="auto"/>
        <w:jc w:val="both"/>
        <w:outlineLvl w:val="3"/>
        <w:rPr>
          <w:rFonts w:eastAsia="Times New Roman" w:cstheme="minorHAnsi"/>
          <w:lang w:eastAsia="pl-PL"/>
        </w:rPr>
      </w:pPr>
      <w:r w:rsidRPr="005C7C0A">
        <w:rPr>
          <w:rFonts w:eastAsia="Times New Roman" w:cstheme="minorHAnsi"/>
          <w:lang w:eastAsia="pl-PL"/>
        </w:rPr>
        <w:t xml:space="preserve">Gospodarka Bahamów opiera się na turystyce, bankowości międzynarodowej, inwestycjach i usługach finansowych. </w:t>
      </w:r>
      <w:r w:rsidR="007C0170" w:rsidRPr="005C7C0A">
        <w:rPr>
          <w:rFonts w:eastAsia="Times New Roman" w:cstheme="minorHAnsi"/>
          <w:lang w:eastAsia="pl-PL"/>
        </w:rPr>
        <w:t>Jednocześnie kraj jest ważnym punktem przeładunkowym ze względu na położenie w odległości 50 mil od wybrzeży Florydy.</w:t>
      </w:r>
      <w:r w:rsidR="007C0170" w:rsidRPr="005C7C0A">
        <w:rPr>
          <w:rFonts w:cstheme="minorHAnsi"/>
        </w:rPr>
        <w:t xml:space="preserve"> </w:t>
      </w:r>
      <w:r w:rsidR="007C0170" w:rsidRPr="005C7C0A">
        <w:rPr>
          <w:rFonts w:eastAsia="Times New Roman" w:cstheme="minorHAnsi"/>
          <w:lang w:eastAsia="pl-PL"/>
        </w:rPr>
        <w:t>Bahamy są państwem, tzw. taniej bandery – statki rejestruje tu wielu zagranicznych armatorów ze względu na niższe koszty. Pod banderą Bahamów pływa także część polskich statków.</w:t>
      </w:r>
    </w:p>
    <w:p w:rsidR="00F44BE0" w:rsidRPr="005C7C0A" w:rsidRDefault="00F44BE0" w:rsidP="00F44BE0">
      <w:pPr>
        <w:spacing w:before="240" w:after="120" w:line="264" w:lineRule="auto"/>
        <w:jc w:val="both"/>
        <w:outlineLvl w:val="3"/>
        <w:rPr>
          <w:rFonts w:eastAsia="Times New Roman" w:cstheme="minorHAnsi"/>
          <w:lang w:eastAsia="pl-PL"/>
        </w:rPr>
      </w:pPr>
      <w:r w:rsidRPr="005C7C0A">
        <w:rPr>
          <w:rFonts w:eastAsia="Times New Roman" w:cstheme="minorHAnsi"/>
          <w:lang w:eastAsia="pl-PL"/>
        </w:rPr>
        <w:t xml:space="preserve">Turystyka przyjazdowa, łącznie ze związanym z nią budownictwem (budowa i rozbudowa hoteli, bazy gastronomicznej, ośrodków sportowych, itp.) oraz towarzyszącą jej produkcją wytwarza ok. 55% PKB Bahamów. W sektorze tym zatrudnione jest ok. 50% miejscowej siły roboczej (w tym 19% pracuje w samym hotelarstwie i usługach gastronomicznych). Większość turystów odwiedzających archipelag pochodzi z USA (ponad 80%). W 2023 r. liczba turystów sięgnęła 9,65 mln, co stanowiło najwyższy wynik w historii kraju oraz wzrost o 33% w stosunku do rekordowego 2019 r. (oraz wzrost o 38% względem 2022 r.). Turyści odwiedzający Bahamy w tym roku najczęściej pochodzili z USA lub byli uczestnikami rejsów po Morzu Karaibskim. </w:t>
      </w:r>
    </w:p>
    <w:p w:rsidR="00F44BE0" w:rsidRPr="005C7C0A" w:rsidRDefault="00F44BE0" w:rsidP="00F44BE0">
      <w:pPr>
        <w:spacing w:before="240" w:after="120" w:line="264" w:lineRule="auto"/>
        <w:jc w:val="both"/>
        <w:outlineLvl w:val="3"/>
        <w:rPr>
          <w:rFonts w:eastAsia="Times New Roman" w:cstheme="minorHAnsi"/>
          <w:lang w:eastAsia="pl-PL"/>
        </w:rPr>
      </w:pPr>
      <w:r w:rsidRPr="005C7C0A">
        <w:rPr>
          <w:rFonts w:eastAsia="Times New Roman" w:cstheme="minorHAnsi"/>
          <w:lang w:eastAsia="pl-PL"/>
        </w:rPr>
        <w:t>Usługi finansowe stanowią drugą, najważniejszą gałąź gospodarki, wytwarzając około 35% PKB. Bahamy nie posiadają praktycznie żadnych zasobów naturalnych. Niemal nie prowadzi się hodowli i upraw na cele przemysłowe, a 80% produktów spożywczych pochodzi z importu. Mimo rządowych inwestycji w produkcję i rolnictwo sektory te nie przynoszą zbyt dużych wpływów, łącznie wytwarzając około 10% PKB.</w:t>
      </w:r>
    </w:p>
    <w:p w:rsidR="00F44BE0" w:rsidRPr="005C7C0A" w:rsidRDefault="00F44BE0" w:rsidP="00F44BE0">
      <w:pPr>
        <w:spacing w:before="240" w:after="120" w:line="264" w:lineRule="auto"/>
        <w:jc w:val="both"/>
        <w:outlineLvl w:val="3"/>
        <w:rPr>
          <w:rFonts w:eastAsia="Times New Roman" w:cstheme="minorHAnsi"/>
          <w:lang w:eastAsia="pl-PL"/>
        </w:rPr>
      </w:pPr>
      <w:r w:rsidRPr="005C7C0A">
        <w:rPr>
          <w:rFonts w:eastAsia="Times New Roman" w:cstheme="minorHAnsi"/>
          <w:lang w:eastAsia="pl-PL"/>
        </w:rPr>
        <w:lastRenderedPageBreak/>
        <w:t>Głównymi towarami eksportowymi Bahamów są</w:t>
      </w:r>
      <w:r w:rsidR="009F35F4">
        <w:rPr>
          <w:rFonts w:eastAsia="Times New Roman" w:cstheme="minorHAnsi"/>
          <w:lang w:eastAsia="pl-PL"/>
        </w:rPr>
        <w:t>:</w:t>
      </w:r>
      <w:r w:rsidRPr="005C7C0A">
        <w:rPr>
          <w:rFonts w:eastAsia="Times New Roman" w:cstheme="minorHAnsi"/>
          <w:lang w:eastAsia="pl-PL"/>
        </w:rPr>
        <w:t xml:space="preserve"> paliwo, łodzie, napoje, polimery, skorupiaki, związki cykliczne oraz ropa. Głównym odbiorcom tych towarów są Stany Zjednoczone, których udział w bahamskim eksporcie szacuje się na 72%. Innymi ważnymi partnerami są Kanada oraz państwa UE – Niemcy, Francja, Holandia. W handlu z czołowymi partnerami handlowymi produkty pochodzące z Bahamów korzystają z preferencji taryfowych, w tym w handlu z USA w oparciu o U.S.-Caribbean Basin Trade Partnership, a w handlu z Kanadą – w oparciu o program CARIBCAN. Eksport do UE stanowią w większości bezcłowe kontyngenty na podstawie zawartej w październiku 2008 r. Umowy o Partnerstwie Gospodarczym (</w:t>
      </w:r>
      <w:r w:rsidRPr="005C7C0A">
        <w:rPr>
          <w:rFonts w:eastAsia="Times New Roman" w:cstheme="minorHAnsi"/>
          <w:i/>
          <w:lang w:eastAsia="pl-PL"/>
        </w:rPr>
        <w:t>Economic Partnership Agrement</w:t>
      </w:r>
      <w:r w:rsidRPr="005C7C0A">
        <w:rPr>
          <w:rFonts w:eastAsia="Times New Roman" w:cstheme="minorHAnsi"/>
          <w:lang w:eastAsia="pl-PL"/>
        </w:rPr>
        <w:t xml:space="preserve"> – EPA) UE-CARIFORUM.</w:t>
      </w:r>
    </w:p>
    <w:p w:rsidR="005518EA" w:rsidRPr="005C7C0A" w:rsidRDefault="005518EA" w:rsidP="0013183B">
      <w:pPr>
        <w:pStyle w:val="Akapitzlist"/>
        <w:numPr>
          <w:ilvl w:val="1"/>
          <w:numId w:val="19"/>
        </w:numPr>
        <w:spacing w:before="240" w:after="120" w:line="264" w:lineRule="auto"/>
        <w:outlineLvl w:val="3"/>
        <w:rPr>
          <w:rFonts w:cstheme="minorHAnsi"/>
          <w:b/>
        </w:rPr>
      </w:pPr>
      <w:r w:rsidRPr="005C7C0A">
        <w:rPr>
          <w:rFonts w:cstheme="minorHAnsi"/>
          <w:b/>
        </w:rPr>
        <w:t>Polityka kursowa</w:t>
      </w:r>
    </w:p>
    <w:p w:rsidR="004C1A58" w:rsidRPr="005C7C0A" w:rsidRDefault="007B68D9" w:rsidP="007B68D9">
      <w:pPr>
        <w:spacing w:after="0" w:line="264" w:lineRule="auto"/>
        <w:jc w:val="both"/>
        <w:outlineLvl w:val="3"/>
        <w:rPr>
          <w:rFonts w:cstheme="minorHAnsi"/>
        </w:rPr>
      </w:pPr>
      <w:r w:rsidRPr="005C7C0A">
        <w:rPr>
          <w:rFonts w:cstheme="minorHAnsi"/>
        </w:rPr>
        <w:t>Oficjalna walutą obowiązującą na Bahamach jest dolar bahamski (BSD)</w:t>
      </w:r>
      <w:r w:rsidR="00872868" w:rsidRPr="005C7C0A">
        <w:rPr>
          <w:rFonts w:cstheme="minorHAnsi"/>
        </w:rPr>
        <w:t xml:space="preserve">. </w:t>
      </w:r>
      <w:r w:rsidR="004C1A58" w:rsidRPr="005C7C0A">
        <w:rPr>
          <w:rFonts w:cstheme="minorHAnsi"/>
        </w:rPr>
        <w:t>Dzięki specjalnej umowie bahamsko-amerykańskiej wartość BSD jest równa dolarowi amerykańskiemu (1:1).</w:t>
      </w:r>
    </w:p>
    <w:p w:rsidR="007B68D9" w:rsidRPr="005C7C0A" w:rsidRDefault="007B68D9" w:rsidP="007B68D9">
      <w:pPr>
        <w:spacing w:after="0" w:line="264" w:lineRule="auto"/>
        <w:jc w:val="both"/>
        <w:outlineLvl w:val="3"/>
        <w:rPr>
          <w:rFonts w:cstheme="minorHAnsi"/>
        </w:rPr>
      </w:pPr>
      <w:r w:rsidRPr="005C7C0A">
        <w:rPr>
          <w:rFonts w:cstheme="minorHAnsi"/>
        </w:rPr>
        <w:t>Dolar bahamski wymienialny jest jedynie na miejscu. W wielu miastach i kurortach można także dokonywać zakupów w walucie amerykańskiej bez konieczności wymiany.</w:t>
      </w:r>
    </w:p>
    <w:p w:rsidR="00BC69B4" w:rsidRPr="005C7C0A" w:rsidRDefault="00BC69B4" w:rsidP="00F20694">
      <w:pPr>
        <w:pStyle w:val="Akapitzlist"/>
        <w:numPr>
          <w:ilvl w:val="1"/>
          <w:numId w:val="19"/>
        </w:numPr>
        <w:spacing w:before="240" w:after="120" w:line="264" w:lineRule="auto"/>
        <w:outlineLvl w:val="3"/>
        <w:rPr>
          <w:rFonts w:cstheme="minorHAnsi"/>
          <w:b/>
        </w:rPr>
      </w:pPr>
      <w:r w:rsidRPr="005C7C0A">
        <w:rPr>
          <w:rFonts w:cstheme="minorHAnsi"/>
          <w:b/>
        </w:rPr>
        <w:t>Surowce i technologie krytyczne</w:t>
      </w:r>
    </w:p>
    <w:p w:rsidR="007C5BDE" w:rsidRPr="005C7C0A" w:rsidRDefault="007C5BDE" w:rsidP="007C5BDE">
      <w:pPr>
        <w:spacing w:before="240" w:after="120" w:line="264" w:lineRule="auto"/>
        <w:jc w:val="both"/>
        <w:outlineLvl w:val="3"/>
        <w:rPr>
          <w:rFonts w:cstheme="minorHAnsi"/>
        </w:rPr>
      </w:pPr>
      <w:r w:rsidRPr="005C7C0A">
        <w:rPr>
          <w:rFonts w:cstheme="minorHAnsi"/>
        </w:rPr>
        <w:t xml:space="preserve">Sól, aragonit, drewno, grunty orne.  </w:t>
      </w:r>
    </w:p>
    <w:p w:rsidR="00F666D2" w:rsidRPr="005C7C0A" w:rsidRDefault="00F666D2" w:rsidP="00F666D2">
      <w:pPr>
        <w:pStyle w:val="Akapitzlist"/>
        <w:numPr>
          <w:ilvl w:val="1"/>
          <w:numId w:val="19"/>
        </w:numPr>
        <w:spacing w:before="240" w:after="120" w:line="264" w:lineRule="auto"/>
        <w:outlineLvl w:val="3"/>
        <w:rPr>
          <w:rFonts w:cstheme="minorHAnsi"/>
          <w:b/>
        </w:rPr>
      </w:pPr>
      <w:r w:rsidRPr="005C7C0A">
        <w:rPr>
          <w:rFonts w:cstheme="minorHAnsi"/>
          <w:b/>
        </w:rPr>
        <w:t>Stan infrastruktury</w:t>
      </w:r>
    </w:p>
    <w:p w:rsidR="00F666D2" w:rsidRPr="005C7C0A" w:rsidRDefault="00F666D2" w:rsidP="00F666D2">
      <w:pPr>
        <w:spacing w:before="120" w:after="120" w:line="264" w:lineRule="auto"/>
        <w:jc w:val="both"/>
        <w:outlineLvl w:val="3"/>
        <w:rPr>
          <w:rFonts w:cstheme="minorHAnsi"/>
        </w:rPr>
      </w:pPr>
      <w:r w:rsidRPr="005C7C0A">
        <w:rPr>
          <w:rFonts w:cstheme="minorHAnsi"/>
        </w:rPr>
        <w:t>Lotniska: 62 lotniska, przy czym 33 są utwardzone i tylko 2 mają ponad 3 tys. metrów utwardzonych pasów startowych, w tym główne lotnisko, Lynden Pindling International Airport w Nassau.</w:t>
      </w:r>
    </w:p>
    <w:p w:rsidR="00F666D2" w:rsidRPr="005C7C0A" w:rsidRDefault="00F666D2" w:rsidP="00F666D2">
      <w:pPr>
        <w:spacing w:before="120" w:after="120" w:line="264" w:lineRule="auto"/>
        <w:jc w:val="both"/>
        <w:outlineLvl w:val="3"/>
        <w:rPr>
          <w:rFonts w:cstheme="minorHAnsi"/>
        </w:rPr>
      </w:pPr>
      <w:r w:rsidRPr="005C7C0A">
        <w:rPr>
          <w:rFonts w:cstheme="minorHAnsi"/>
        </w:rPr>
        <w:t>Drogi: Wyspy mają 2693 km (1673 mil) dróg, z czego 1546 km (960 mil) jest utwardzonych.</w:t>
      </w:r>
    </w:p>
    <w:p w:rsidR="00F666D2" w:rsidRPr="005C7C0A" w:rsidRDefault="00F666D2" w:rsidP="00F666D2">
      <w:pPr>
        <w:spacing w:before="120" w:after="120" w:line="264" w:lineRule="auto"/>
        <w:jc w:val="both"/>
        <w:outlineLvl w:val="3"/>
        <w:rPr>
          <w:rFonts w:cstheme="minorHAnsi"/>
        </w:rPr>
      </w:pPr>
      <w:r w:rsidRPr="005C7C0A">
        <w:rPr>
          <w:rFonts w:cstheme="minorHAnsi"/>
        </w:rPr>
        <w:t>Porty i terminale przeładunkowe: na Bahamach znajdują się 23 porty morskie, które umożliwiają regularne połączenia do obu Ameryk i Europy. Głębokowodne porty żeglugowe w  Nassau i Freeport to główne międzynarodowe centra przeładunkowe, obsługujące zarówno turystykę, jak i handel</w:t>
      </w:r>
    </w:p>
    <w:p w:rsidR="00467781" w:rsidRPr="005C7C0A" w:rsidRDefault="00CC1D6A" w:rsidP="00F20694">
      <w:pPr>
        <w:pStyle w:val="Akapitzlist"/>
        <w:numPr>
          <w:ilvl w:val="1"/>
          <w:numId w:val="19"/>
        </w:numPr>
        <w:spacing w:before="240" w:after="120" w:line="264" w:lineRule="auto"/>
        <w:outlineLvl w:val="3"/>
        <w:rPr>
          <w:rFonts w:cstheme="minorHAnsi"/>
          <w:b/>
        </w:rPr>
      </w:pPr>
      <w:r w:rsidRPr="005C7C0A">
        <w:rPr>
          <w:rFonts w:cstheme="minorHAnsi"/>
          <w:b/>
        </w:rPr>
        <w:t xml:space="preserve">Kalendarz dni </w:t>
      </w:r>
      <w:r w:rsidR="00467781" w:rsidRPr="005C7C0A">
        <w:rPr>
          <w:rFonts w:cstheme="minorHAnsi"/>
          <w:b/>
        </w:rPr>
        <w:t>wolnych od pracy</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Nowy Rok – 1 stycznia</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Majority Rule Day – 10 stycznia</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Wielki Piątek,  Poniedziałek Wielkanocny – święto ruchome</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 xml:space="preserve">Zielone Świątki – święto ruchome </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 xml:space="preserve">Święto Pracy Randol Fawkes – 5 czerwca </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Dzień Niepodległości – 10 lipca</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Dzień Emancypacji – 3 sierpnia</w:t>
      </w:r>
    </w:p>
    <w:p w:rsidR="00582E46" w:rsidRPr="005C7C0A"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Dzień Bohaterów Narodowych  – 12 października</w:t>
      </w:r>
    </w:p>
    <w:p w:rsidR="007B68D9" w:rsidRPr="00BC0B9D" w:rsidRDefault="00582E46" w:rsidP="00582E46">
      <w:pPr>
        <w:spacing w:after="0" w:line="264" w:lineRule="auto"/>
        <w:jc w:val="both"/>
        <w:rPr>
          <w:rFonts w:eastAsia="Times New Roman" w:cstheme="minorHAnsi"/>
          <w:lang w:eastAsia="pl-PL"/>
        </w:rPr>
      </w:pPr>
      <w:r w:rsidRPr="005C7C0A">
        <w:rPr>
          <w:rFonts w:eastAsia="Times New Roman" w:cstheme="minorHAnsi"/>
          <w:lang w:eastAsia="pl-PL"/>
        </w:rPr>
        <w:t>Boże Narodzenie – 25, 26 grudnia</w:t>
      </w:r>
    </w:p>
    <w:p w:rsidR="00A111C0" w:rsidRPr="005C7C0A" w:rsidRDefault="00CC1D6A" w:rsidP="00745940">
      <w:pPr>
        <w:pStyle w:val="Akapitzlist"/>
        <w:numPr>
          <w:ilvl w:val="0"/>
          <w:numId w:val="10"/>
        </w:numPr>
        <w:spacing w:before="240" w:after="120" w:line="264" w:lineRule="auto"/>
        <w:outlineLvl w:val="3"/>
        <w:rPr>
          <w:rFonts w:cstheme="minorHAnsi"/>
          <w:b/>
        </w:rPr>
      </w:pPr>
      <w:bookmarkStart w:id="1" w:name="system"/>
      <w:bookmarkEnd w:id="1"/>
      <w:r w:rsidRPr="005C7C0A">
        <w:rPr>
          <w:rFonts w:cstheme="minorHAnsi"/>
          <w:b/>
        </w:rPr>
        <w:t xml:space="preserve">Podstawowe dane makroekonomiczne (tabela za rok poprzedni i prognozy na rok bieżący i </w:t>
      </w:r>
      <w:r w:rsidR="00093E6C" w:rsidRPr="005C7C0A">
        <w:rPr>
          <w:rFonts w:cstheme="minorHAnsi"/>
          <w:b/>
        </w:rPr>
        <w:t>następny)</w:t>
      </w:r>
    </w:p>
    <w:tbl>
      <w:tblPr>
        <w:tblStyle w:val="Tabela-Siatka2"/>
        <w:tblW w:w="7685" w:type="dxa"/>
        <w:tblLook w:val="04A0" w:firstRow="1" w:lastRow="0" w:firstColumn="1" w:lastColumn="0" w:noHBand="0" w:noVBand="1"/>
      </w:tblPr>
      <w:tblGrid>
        <w:gridCol w:w="2861"/>
        <w:gridCol w:w="1721"/>
        <w:gridCol w:w="1721"/>
        <w:gridCol w:w="1382"/>
      </w:tblGrid>
      <w:tr w:rsidR="00745940" w:rsidRPr="005C7C0A" w:rsidTr="00745940">
        <w:trPr>
          <w:trHeight w:val="324"/>
        </w:trPr>
        <w:tc>
          <w:tcPr>
            <w:tcW w:w="2861" w:type="dxa"/>
            <w:noWrap/>
            <w:hideMark/>
          </w:tcPr>
          <w:p w:rsidR="00745940" w:rsidRPr="005C7C0A" w:rsidRDefault="00745940" w:rsidP="00CC1D6A">
            <w:pPr>
              <w:rPr>
                <w:rFonts w:cstheme="minorHAnsi"/>
              </w:rPr>
            </w:pPr>
            <w:r w:rsidRPr="005C7C0A">
              <w:rPr>
                <w:rFonts w:cstheme="minorHAnsi"/>
              </w:rPr>
              <w:t> </w:t>
            </w:r>
          </w:p>
        </w:tc>
        <w:tc>
          <w:tcPr>
            <w:tcW w:w="1721" w:type="dxa"/>
          </w:tcPr>
          <w:p w:rsidR="00745940" w:rsidRPr="005C7C0A" w:rsidRDefault="00745940" w:rsidP="00DA2D97">
            <w:pPr>
              <w:rPr>
                <w:rFonts w:cstheme="minorHAnsi"/>
                <w:b/>
                <w:bCs/>
              </w:rPr>
            </w:pPr>
            <w:r w:rsidRPr="005C7C0A">
              <w:rPr>
                <w:rFonts w:cstheme="minorHAnsi"/>
                <w:b/>
                <w:bCs/>
              </w:rPr>
              <w:t>2023</w:t>
            </w:r>
          </w:p>
        </w:tc>
        <w:tc>
          <w:tcPr>
            <w:tcW w:w="1721" w:type="dxa"/>
            <w:noWrap/>
            <w:hideMark/>
          </w:tcPr>
          <w:p w:rsidR="00745940" w:rsidRPr="005C7C0A" w:rsidRDefault="00745940" w:rsidP="00745940">
            <w:pPr>
              <w:rPr>
                <w:rFonts w:cstheme="minorHAnsi"/>
                <w:b/>
                <w:bCs/>
              </w:rPr>
            </w:pPr>
            <w:r w:rsidRPr="005C7C0A">
              <w:rPr>
                <w:rFonts w:cstheme="minorHAnsi"/>
                <w:b/>
                <w:bCs/>
              </w:rPr>
              <w:t>2024</w:t>
            </w:r>
          </w:p>
          <w:p w:rsidR="00745940" w:rsidRPr="005C7C0A" w:rsidRDefault="00745940" w:rsidP="00745940">
            <w:pPr>
              <w:rPr>
                <w:rFonts w:cstheme="minorHAnsi"/>
                <w:b/>
                <w:bCs/>
              </w:rPr>
            </w:pPr>
            <w:r w:rsidRPr="005C7C0A">
              <w:rPr>
                <w:rFonts w:cstheme="minorHAnsi"/>
                <w:b/>
                <w:bCs/>
              </w:rPr>
              <w:t>(prognoza)</w:t>
            </w:r>
          </w:p>
        </w:tc>
        <w:tc>
          <w:tcPr>
            <w:tcW w:w="1382" w:type="dxa"/>
            <w:noWrap/>
            <w:hideMark/>
          </w:tcPr>
          <w:p w:rsidR="00745940" w:rsidRPr="005C7C0A" w:rsidRDefault="00745940" w:rsidP="00745940">
            <w:pPr>
              <w:rPr>
                <w:rFonts w:cstheme="minorHAnsi"/>
                <w:b/>
                <w:bCs/>
              </w:rPr>
            </w:pPr>
            <w:r w:rsidRPr="005C7C0A">
              <w:rPr>
                <w:rFonts w:cstheme="minorHAnsi"/>
                <w:b/>
                <w:bCs/>
              </w:rPr>
              <w:t>2025</w:t>
            </w:r>
          </w:p>
          <w:p w:rsidR="00745940" w:rsidRPr="005C7C0A" w:rsidRDefault="00745940" w:rsidP="00745940">
            <w:pPr>
              <w:rPr>
                <w:rFonts w:cstheme="minorHAnsi"/>
                <w:b/>
                <w:bCs/>
              </w:rPr>
            </w:pPr>
            <w:r w:rsidRPr="005C7C0A">
              <w:rPr>
                <w:rFonts w:cstheme="minorHAnsi"/>
                <w:b/>
                <w:bCs/>
              </w:rPr>
              <w:t>(prognoza)</w:t>
            </w:r>
          </w:p>
        </w:tc>
      </w:tr>
      <w:tr w:rsidR="00745940" w:rsidRPr="005C7C0A" w:rsidTr="00745940">
        <w:trPr>
          <w:trHeight w:val="312"/>
        </w:trPr>
        <w:tc>
          <w:tcPr>
            <w:tcW w:w="2861" w:type="dxa"/>
            <w:noWrap/>
            <w:hideMark/>
          </w:tcPr>
          <w:p w:rsidR="00745940" w:rsidRPr="005C7C0A" w:rsidRDefault="002F331E" w:rsidP="00AF5B8B">
            <w:pPr>
              <w:rPr>
                <w:rFonts w:cstheme="minorHAnsi"/>
              </w:rPr>
            </w:pPr>
            <w:hyperlink r:id="rId9" w:history="1">
              <w:r w:rsidR="00745940" w:rsidRPr="005C7C0A">
                <w:rPr>
                  <w:rStyle w:val="Hipercze"/>
                  <w:rFonts w:cstheme="minorHAnsi"/>
                </w:rPr>
                <w:t>PKB nominalne</w:t>
              </w:r>
            </w:hyperlink>
            <w:r w:rsidR="00745940" w:rsidRPr="005C7C0A">
              <w:rPr>
                <w:rFonts w:cstheme="minorHAnsi"/>
              </w:rPr>
              <w:t xml:space="preserve"> (USD ceny bieżące) </w:t>
            </w:r>
          </w:p>
        </w:tc>
        <w:tc>
          <w:tcPr>
            <w:tcW w:w="1721" w:type="dxa"/>
          </w:tcPr>
          <w:p w:rsidR="00745940" w:rsidRPr="005C7C0A" w:rsidRDefault="00745940" w:rsidP="00CC1D6A">
            <w:pPr>
              <w:rPr>
                <w:rFonts w:cstheme="minorHAnsi"/>
              </w:rPr>
            </w:pPr>
            <w:r w:rsidRPr="005C7C0A">
              <w:rPr>
                <w:rFonts w:cstheme="minorHAnsi"/>
              </w:rPr>
              <w:t>14,34 bln</w:t>
            </w:r>
          </w:p>
        </w:tc>
        <w:tc>
          <w:tcPr>
            <w:tcW w:w="1721" w:type="dxa"/>
            <w:noWrap/>
            <w:hideMark/>
          </w:tcPr>
          <w:p w:rsidR="00745940" w:rsidRPr="005C7C0A" w:rsidRDefault="00745940" w:rsidP="00745940">
            <w:pPr>
              <w:rPr>
                <w:rFonts w:cstheme="minorHAnsi"/>
              </w:rPr>
            </w:pPr>
            <w:r w:rsidRPr="005C7C0A">
              <w:rPr>
                <w:rFonts w:cstheme="minorHAnsi"/>
              </w:rPr>
              <w:t> </w:t>
            </w:r>
            <w:r w:rsidR="00CA625B" w:rsidRPr="005C7C0A">
              <w:rPr>
                <w:rFonts w:cstheme="minorHAnsi"/>
              </w:rPr>
              <w:t>-</w:t>
            </w:r>
          </w:p>
        </w:tc>
        <w:tc>
          <w:tcPr>
            <w:tcW w:w="1382" w:type="dxa"/>
            <w:noWrap/>
            <w:hideMark/>
          </w:tcPr>
          <w:p w:rsidR="00745940" w:rsidRPr="005C7C0A" w:rsidRDefault="00745940" w:rsidP="00CC1D6A">
            <w:pPr>
              <w:rPr>
                <w:rFonts w:cstheme="minorHAnsi"/>
              </w:rPr>
            </w:pPr>
            <w:r w:rsidRPr="005C7C0A">
              <w:rPr>
                <w:rFonts w:cstheme="minorHAnsi"/>
              </w:rPr>
              <w:t> -</w:t>
            </w:r>
          </w:p>
        </w:tc>
      </w:tr>
      <w:tr w:rsidR="00745940" w:rsidRPr="005C7C0A" w:rsidTr="00745940">
        <w:trPr>
          <w:trHeight w:val="312"/>
        </w:trPr>
        <w:tc>
          <w:tcPr>
            <w:tcW w:w="2861" w:type="dxa"/>
            <w:noWrap/>
            <w:hideMark/>
          </w:tcPr>
          <w:p w:rsidR="00745940" w:rsidRPr="005C7C0A" w:rsidRDefault="002F331E" w:rsidP="00AF5B8B">
            <w:pPr>
              <w:rPr>
                <w:rFonts w:cstheme="minorHAnsi"/>
              </w:rPr>
            </w:pPr>
            <w:hyperlink r:id="rId10" w:history="1">
              <w:r w:rsidR="00745940" w:rsidRPr="005C7C0A">
                <w:rPr>
                  <w:rStyle w:val="Hipercze"/>
                  <w:rFonts w:cstheme="minorHAnsi"/>
                </w:rPr>
                <w:t>PKB</w:t>
              </w:r>
            </w:hyperlink>
            <w:r w:rsidR="00745940" w:rsidRPr="005C7C0A">
              <w:rPr>
                <w:rFonts w:cstheme="minorHAnsi"/>
              </w:rPr>
              <w:t xml:space="preserve"> (PPP) </w:t>
            </w:r>
          </w:p>
        </w:tc>
        <w:tc>
          <w:tcPr>
            <w:tcW w:w="1721" w:type="dxa"/>
          </w:tcPr>
          <w:p w:rsidR="00745940" w:rsidRPr="005C7C0A" w:rsidRDefault="008D3389" w:rsidP="00CC1D6A">
            <w:pPr>
              <w:rPr>
                <w:rFonts w:cstheme="minorHAnsi"/>
              </w:rPr>
            </w:pPr>
            <w:r w:rsidRPr="005C7C0A">
              <w:rPr>
                <w:rFonts w:cstheme="minorHAnsi"/>
              </w:rPr>
              <w:t>14 670,728 mln USD</w:t>
            </w:r>
          </w:p>
        </w:tc>
        <w:tc>
          <w:tcPr>
            <w:tcW w:w="1721" w:type="dxa"/>
            <w:noWrap/>
            <w:hideMark/>
          </w:tcPr>
          <w:p w:rsidR="00745940" w:rsidRPr="005C7C0A" w:rsidRDefault="00745940" w:rsidP="00745940">
            <w:pPr>
              <w:rPr>
                <w:rFonts w:cstheme="minorHAnsi"/>
              </w:rPr>
            </w:pPr>
            <w:r w:rsidRPr="005C7C0A">
              <w:rPr>
                <w:rFonts w:cstheme="minorHAnsi"/>
              </w:rPr>
              <w:t> </w:t>
            </w:r>
            <w:r w:rsidR="00CA625B" w:rsidRPr="005C7C0A">
              <w:rPr>
                <w:rFonts w:cstheme="minorHAnsi"/>
              </w:rPr>
              <w:t>-</w:t>
            </w:r>
          </w:p>
        </w:tc>
        <w:tc>
          <w:tcPr>
            <w:tcW w:w="1382" w:type="dxa"/>
            <w:noWrap/>
            <w:hideMark/>
          </w:tcPr>
          <w:p w:rsidR="00745940" w:rsidRPr="005C7C0A" w:rsidRDefault="00745940" w:rsidP="00A111C0">
            <w:pPr>
              <w:rPr>
                <w:rFonts w:cstheme="minorHAnsi"/>
              </w:rPr>
            </w:pPr>
            <w:r w:rsidRPr="005C7C0A">
              <w:rPr>
                <w:rFonts w:cstheme="minorHAnsi"/>
              </w:rPr>
              <w:t> -</w:t>
            </w:r>
          </w:p>
        </w:tc>
      </w:tr>
      <w:tr w:rsidR="00745940" w:rsidRPr="005C7C0A" w:rsidTr="00745940">
        <w:trPr>
          <w:trHeight w:val="312"/>
        </w:trPr>
        <w:tc>
          <w:tcPr>
            <w:tcW w:w="2861" w:type="dxa"/>
            <w:noWrap/>
            <w:hideMark/>
          </w:tcPr>
          <w:p w:rsidR="00745940" w:rsidRPr="005C7C0A" w:rsidRDefault="002F331E" w:rsidP="00AF5B8B">
            <w:pPr>
              <w:rPr>
                <w:rFonts w:cstheme="minorHAnsi"/>
              </w:rPr>
            </w:pPr>
            <w:hyperlink r:id="rId11" w:history="1">
              <w:r w:rsidR="00745940" w:rsidRPr="005C7C0A">
                <w:rPr>
                  <w:rStyle w:val="Hipercze"/>
                  <w:rFonts w:cstheme="minorHAnsi"/>
                  <w:lang w:val="en-US"/>
                </w:rPr>
                <w:t>Stopa wzrostu PKB</w:t>
              </w:r>
            </w:hyperlink>
            <w:r w:rsidR="00745940" w:rsidRPr="005C7C0A">
              <w:rPr>
                <w:rFonts w:cstheme="minorHAnsi"/>
              </w:rPr>
              <w:t xml:space="preserve"> (realna) </w:t>
            </w:r>
          </w:p>
        </w:tc>
        <w:tc>
          <w:tcPr>
            <w:tcW w:w="1721" w:type="dxa"/>
          </w:tcPr>
          <w:p w:rsidR="00745940" w:rsidRPr="005C7C0A" w:rsidRDefault="00745940" w:rsidP="00CC1D6A">
            <w:pPr>
              <w:rPr>
                <w:rFonts w:cstheme="minorHAnsi"/>
              </w:rPr>
            </w:pPr>
            <w:r w:rsidRPr="005C7C0A">
              <w:rPr>
                <w:rFonts w:cstheme="minorHAnsi"/>
              </w:rPr>
              <w:t>2,6</w:t>
            </w:r>
            <w:r w:rsidR="00377048" w:rsidRPr="005C7C0A">
              <w:rPr>
                <w:rFonts w:cstheme="minorHAnsi"/>
              </w:rPr>
              <w:t xml:space="preserve"> (WB)</w:t>
            </w:r>
          </w:p>
        </w:tc>
        <w:tc>
          <w:tcPr>
            <w:tcW w:w="1721" w:type="dxa"/>
            <w:noWrap/>
            <w:hideMark/>
          </w:tcPr>
          <w:p w:rsidR="00745940" w:rsidRPr="005C7C0A" w:rsidRDefault="00745940" w:rsidP="00745940">
            <w:pPr>
              <w:rPr>
                <w:rFonts w:cstheme="minorHAnsi"/>
              </w:rPr>
            </w:pPr>
            <w:r w:rsidRPr="005C7C0A">
              <w:rPr>
                <w:rFonts w:cstheme="minorHAnsi"/>
              </w:rPr>
              <w:t> 1,9 (IMF)</w:t>
            </w:r>
            <w:r w:rsidR="00CA625B" w:rsidRPr="005C7C0A">
              <w:rPr>
                <w:rFonts w:cstheme="minorHAnsi"/>
              </w:rPr>
              <w:t>/ 2,3 (WB)</w:t>
            </w:r>
          </w:p>
        </w:tc>
        <w:tc>
          <w:tcPr>
            <w:tcW w:w="1382" w:type="dxa"/>
            <w:noWrap/>
            <w:hideMark/>
          </w:tcPr>
          <w:p w:rsidR="00745940" w:rsidRPr="005C7C0A" w:rsidRDefault="00CA625B" w:rsidP="00CC1D6A">
            <w:pPr>
              <w:rPr>
                <w:rFonts w:cstheme="minorHAnsi"/>
              </w:rPr>
            </w:pPr>
            <w:r w:rsidRPr="005C7C0A">
              <w:rPr>
                <w:rFonts w:cstheme="minorHAnsi"/>
              </w:rPr>
              <w:t>1,8 (IMF/WB)</w:t>
            </w:r>
          </w:p>
        </w:tc>
      </w:tr>
      <w:tr w:rsidR="00745940" w:rsidRPr="005C7C0A" w:rsidTr="00745940">
        <w:trPr>
          <w:trHeight w:val="312"/>
        </w:trPr>
        <w:tc>
          <w:tcPr>
            <w:tcW w:w="2861" w:type="dxa"/>
            <w:noWrap/>
            <w:hideMark/>
          </w:tcPr>
          <w:p w:rsidR="00745940" w:rsidRPr="005C7C0A" w:rsidRDefault="00745940" w:rsidP="00AF5B8B">
            <w:pPr>
              <w:rPr>
                <w:rFonts w:cstheme="minorHAnsi"/>
              </w:rPr>
            </w:pPr>
            <w:r w:rsidRPr="005C7C0A">
              <w:rPr>
                <w:rFonts w:cstheme="minorHAnsi"/>
                <w:lang w:val="en-US"/>
              </w:rPr>
              <w:t>PKB per capita</w:t>
            </w:r>
            <w:r w:rsidRPr="005C7C0A">
              <w:rPr>
                <w:rFonts w:cstheme="minorHAnsi"/>
              </w:rPr>
              <w:t xml:space="preserve"> (nominalne) </w:t>
            </w:r>
          </w:p>
        </w:tc>
        <w:tc>
          <w:tcPr>
            <w:tcW w:w="1721" w:type="dxa"/>
          </w:tcPr>
          <w:p w:rsidR="00745940" w:rsidRPr="005C7C0A" w:rsidRDefault="00745940" w:rsidP="00DA2D97">
            <w:pPr>
              <w:rPr>
                <w:rFonts w:cstheme="minorHAnsi"/>
              </w:rPr>
            </w:pPr>
            <w:r w:rsidRPr="005C7C0A">
              <w:rPr>
                <w:rFonts w:cstheme="minorHAnsi"/>
              </w:rPr>
              <w:t>30061,70</w:t>
            </w:r>
          </w:p>
        </w:tc>
        <w:tc>
          <w:tcPr>
            <w:tcW w:w="1721" w:type="dxa"/>
            <w:noWrap/>
            <w:hideMark/>
          </w:tcPr>
          <w:p w:rsidR="00745940" w:rsidRPr="005C7C0A" w:rsidRDefault="00745940" w:rsidP="00745940">
            <w:pPr>
              <w:rPr>
                <w:rFonts w:cstheme="minorHAnsi"/>
              </w:rPr>
            </w:pPr>
            <w:r w:rsidRPr="005C7C0A">
              <w:rPr>
                <w:rFonts w:cstheme="minorHAnsi"/>
              </w:rPr>
              <w:t> -</w:t>
            </w:r>
          </w:p>
        </w:tc>
        <w:tc>
          <w:tcPr>
            <w:tcW w:w="1382" w:type="dxa"/>
            <w:noWrap/>
            <w:hideMark/>
          </w:tcPr>
          <w:p w:rsidR="00745940" w:rsidRPr="005C7C0A" w:rsidRDefault="00745940" w:rsidP="00CC1D6A">
            <w:pPr>
              <w:rPr>
                <w:rFonts w:cstheme="minorHAnsi"/>
              </w:rPr>
            </w:pPr>
            <w:r w:rsidRPr="005C7C0A">
              <w:rPr>
                <w:rFonts w:cstheme="minorHAnsi"/>
              </w:rPr>
              <w:t> -</w:t>
            </w:r>
          </w:p>
        </w:tc>
      </w:tr>
      <w:tr w:rsidR="00745940" w:rsidRPr="005C7C0A" w:rsidTr="00745940">
        <w:trPr>
          <w:trHeight w:val="312"/>
        </w:trPr>
        <w:tc>
          <w:tcPr>
            <w:tcW w:w="2861" w:type="dxa"/>
            <w:noWrap/>
            <w:hideMark/>
          </w:tcPr>
          <w:p w:rsidR="00745940" w:rsidRPr="005C7C0A" w:rsidRDefault="002F331E" w:rsidP="00AF5B8B">
            <w:pPr>
              <w:rPr>
                <w:rFonts w:cstheme="minorHAnsi"/>
                <w:lang w:val="en-US"/>
              </w:rPr>
            </w:pPr>
            <w:hyperlink r:id="rId12" w:history="1">
              <w:r w:rsidR="00745940" w:rsidRPr="005C7C0A">
                <w:rPr>
                  <w:rStyle w:val="Hipercze"/>
                  <w:rFonts w:cstheme="minorHAnsi"/>
                  <w:lang w:val="en-US"/>
                </w:rPr>
                <w:t>PKB per capita</w:t>
              </w:r>
            </w:hyperlink>
            <w:r w:rsidR="00745940" w:rsidRPr="005C7C0A">
              <w:rPr>
                <w:rFonts w:cstheme="minorHAnsi"/>
                <w:lang w:val="en-US"/>
              </w:rPr>
              <w:t xml:space="preserve"> (PPP)</w:t>
            </w:r>
          </w:p>
        </w:tc>
        <w:tc>
          <w:tcPr>
            <w:tcW w:w="1721" w:type="dxa"/>
          </w:tcPr>
          <w:p w:rsidR="00745940" w:rsidRPr="005C7C0A" w:rsidRDefault="00745940" w:rsidP="00A111C0">
            <w:pPr>
              <w:rPr>
                <w:rFonts w:cstheme="minorHAnsi"/>
              </w:rPr>
            </w:pPr>
            <w:r w:rsidRPr="005C7C0A">
              <w:rPr>
                <w:rFonts w:cstheme="minorHAnsi"/>
              </w:rPr>
              <w:t xml:space="preserve">32047,90 </w:t>
            </w:r>
          </w:p>
        </w:tc>
        <w:tc>
          <w:tcPr>
            <w:tcW w:w="1721" w:type="dxa"/>
            <w:noWrap/>
            <w:hideMark/>
          </w:tcPr>
          <w:p w:rsidR="00745940" w:rsidRPr="005C7C0A" w:rsidRDefault="00745940" w:rsidP="00745940">
            <w:pPr>
              <w:rPr>
                <w:rFonts w:cstheme="minorHAnsi"/>
              </w:rPr>
            </w:pPr>
            <w:r w:rsidRPr="005C7C0A">
              <w:rPr>
                <w:rFonts w:cstheme="minorHAnsi"/>
              </w:rPr>
              <w:t> -</w:t>
            </w:r>
          </w:p>
        </w:tc>
        <w:tc>
          <w:tcPr>
            <w:tcW w:w="1382" w:type="dxa"/>
            <w:noWrap/>
            <w:hideMark/>
          </w:tcPr>
          <w:p w:rsidR="00745940" w:rsidRPr="005C7C0A" w:rsidRDefault="00745940" w:rsidP="00CC1D6A">
            <w:pPr>
              <w:rPr>
                <w:rFonts w:cstheme="minorHAnsi"/>
              </w:rPr>
            </w:pPr>
            <w:r w:rsidRPr="005C7C0A">
              <w:rPr>
                <w:rFonts w:cstheme="minorHAnsi"/>
              </w:rPr>
              <w:t>-</w:t>
            </w:r>
          </w:p>
        </w:tc>
      </w:tr>
      <w:tr w:rsidR="00745940" w:rsidRPr="005C7C0A" w:rsidTr="00745940">
        <w:trPr>
          <w:trHeight w:val="312"/>
        </w:trPr>
        <w:tc>
          <w:tcPr>
            <w:tcW w:w="2861" w:type="dxa"/>
            <w:noWrap/>
            <w:hideMark/>
          </w:tcPr>
          <w:p w:rsidR="00745940" w:rsidRPr="005C7C0A" w:rsidRDefault="002F331E" w:rsidP="00AF5B8B">
            <w:pPr>
              <w:rPr>
                <w:rFonts w:cstheme="minorHAnsi"/>
              </w:rPr>
            </w:pPr>
            <w:hyperlink r:id="rId13" w:history="1">
              <w:r w:rsidR="00745940" w:rsidRPr="005C7C0A">
                <w:rPr>
                  <w:rStyle w:val="Hipercze"/>
                  <w:rFonts w:cstheme="minorHAnsi"/>
                </w:rPr>
                <w:t>Stopa inflacji</w:t>
              </w:r>
            </w:hyperlink>
            <w:r w:rsidR="00745940" w:rsidRPr="005C7C0A">
              <w:rPr>
                <w:rFonts w:cstheme="minorHAnsi"/>
              </w:rPr>
              <w:t xml:space="preserve"> (CPI) </w:t>
            </w:r>
          </w:p>
        </w:tc>
        <w:tc>
          <w:tcPr>
            <w:tcW w:w="1721" w:type="dxa"/>
          </w:tcPr>
          <w:p w:rsidR="00745940" w:rsidRPr="005C7C0A" w:rsidRDefault="00745940" w:rsidP="00CC1D6A">
            <w:pPr>
              <w:rPr>
                <w:rFonts w:cstheme="minorHAnsi"/>
              </w:rPr>
            </w:pPr>
            <w:r w:rsidRPr="005C7C0A">
              <w:rPr>
                <w:rFonts w:cstheme="minorHAnsi"/>
              </w:rPr>
              <w:t>3,1 (WB)</w:t>
            </w:r>
          </w:p>
        </w:tc>
        <w:tc>
          <w:tcPr>
            <w:tcW w:w="1721" w:type="dxa"/>
            <w:noWrap/>
            <w:hideMark/>
          </w:tcPr>
          <w:p w:rsidR="00745940" w:rsidRPr="005C7C0A" w:rsidRDefault="00377048" w:rsidP="00CC1D6A">
            <w:pPr>
              <w:rPr>
                <w:rFonts w:cstheme="minorHAnsi"/>
              </w:rPr>
            </w:pPr>
            <w:r w:rsidRPr="005C7C0A">
              <w:rPr>
                <w:rFonts w:cstheme="minorHAnsi"/>
              </w:rPr>
              <w:t>2,9 (IMF)</w:t>
            </w:r>
          </w:p>
        </w:tc>
        <w:tc>
          <w:tcPr>
            <w:tcW w:w="1382" w:type="dxa"/>
            <w:noWrap/>
            <w:hideMark/>
          </w:tcPr>
          <w:p w:rsidR="00745940" w:rsidRPr="005C7C0A" w:rsidRDefault="00377048" w:rsidP="002D09B3">
            <w:pPr>
              <w:rPr>
                <w:rFonts w:cstheme="minorHAnsi"/>
              </w:rPr>
            </w:pPr>
            <w:r w:rsidRPr="005C7C0A">
              <w:rPr>
                <w:rFonts w:cstheme="minorHAnsi"/>
              </w:rPr>
              <w:t>2,4 (IMF)</w:t>
            </w:r>
          </w:p>
        </w:tc>
      </w:tr>
      <w:tr w:rsidR="00745940" w:rsidRPr="005C7C0A" w:rsidTr="00745940">
        <w:trPr>
          <w:trHeight w:val="312"/>
        </w:trPr>
        <w:tc>
          <w:tcPr>
            <w:tcW w:w="2861" w:type="dxa"/>
            <w:noWrap/>
            <w:hideMark/>
          </w:tcPr>
          <w:p w:rsidR="00745940" w:rsidRPr="005C7C0A" w:rsidRDefault="002F331E" w:rsidP="00AF5B8B">
            <w:pPr>
              <w:rPr>
                <w:rFonts w:cstheme="minorHAnsi"/>
              </w:rPr>
            </w:pPr>
            <w:hyperlink r:id="rId14" w:history="1">
              <w:r w:rsidR="00745940" w:rsidRPr="005C7C0A">
                <w:rPr>
                  <w:rStyle w:val="Hipercze"/>
                  <w:rFonts w:cstheme="minorHAnsi"/>
                  <w:lang w:val="en-US"/>
                </w:rPr>
                <w:t>Stopa bezrobocia</w:t>
              </w:r>
            </w:hyperlink>
          </w:p>
        </w:tc>
        <w:tc>
          <w:tcPr>
            <w:tcW w:w="1721" w:type="dxa"/>
          </w:tcPr>
          <w:p w:rsidR="00745940" w:rsidRPr="005C7C0A" w:rsidRDefault="00745940" w:rsidP="00CC1D6A">
            <w:pPr>
              <w:rPr>
                <w:rFonts w:cstheme="minorHAnsi"/>
              </w:rPr>
            </w:pPr>
            <w:r w:rsidRPr="005C7C0A">
              <w:rPr>
                <w:rFonts w:cstheme="minorHAnsi"/>
              </w:rPr>
              <w:t>9,2 (WB)</w:t>
            </w:r>
          </w:p>
        </w:tc>
        <w:tc>
          <w:tcPr>
            <w:tcW w:w="1721" w:type="dxa"/>
            <w:noWrap/>
            <w:hideMark/>
          </w:tcPr>
          <w:p w:rsidR="00745940" w:rsidRPr="005C7C0A" w:rsidRDefault="00745940" w:rsidP="00CC1D6A">
            <w:pPr>
              <w:rPr>
                <w:rFonts w:cstheme="minorHAnsi"/>
              </w:rPr>
            </w:pPr>
            <w:r w:rsidRPr="005C7C0A">
              <w:rPr>
                <w:rFonts w:cstheme="minorHAnsi"/>
              </w:rPr>
              <w:t>8,8 (IMF)</w:t>
            </w:r>
          </w:p>
        </w:tc>
        <w:tc>
          <w:tcPr>
            <w:tcW w:w="1382" w:type="dxa"/>
            <w:noWrap/>
            <w:hideMark/>
          </w:tcPr>
          <w:p w:rsidR="00745940" w:rsidRPr="005C7C0A" w:rsidRDefault="00745940" w:rsidP="003A7378">
            <w:pPr>
              <w:rPr>
                <w:rFonts w:cstheme="minorHAnsi"/>
              </w:rPr>
            </w:pPr>
            <w:r w:rsidRPr="005C7C0A">
              <w:rPr>
                <w:rFonts w:cstheme="minorHAnsi"/>
              </w:rPr>
              <w:t>8,8 (IMF</w:t>
            </w:r>
          </w:p>
        </w:tc>
      </w:tr>
      <w:tr w:rsidR="00745940" w:rsidRPr="005C7C0A" w:rsidTr="00745940">
        <w:trPr>
          <w:trHeight w:val="312"/>
        </w:trPr>
        <w:tc>
          <w:tcPr>
            <w:tcW w:w="2861" w:type="dxa"/>
            <w:noWrap/>
            <w:hideMark/>
          </w:tcPr>
          <w:p w:rsidR="00745940" w:rsidRPr="005C7C0A" w:rsidRDefault="00745940" w:rsidP="00745940">
            <w:pPr>
              <w:rPr>
                <w:rFonts w:cstheme="minorHAnsi"/>
                <w:lang w:val="en-US"/>
              </w:rPr>
            </w:pPr>
            <w:r w:rsidRPr="005C7C0A">
              <w:rPr>
                <w:rFonts w:cstheme="minorHAnsi"/>
                <w:lang w:val="en-US"/>
              </w:rPr>
              <w:t>Rating kredytowy Fitch / Moody's / S&amp;P</w:t>
            </w:r>
          </w:p>
        </w:tc>
        <w:tc>
          <w:tcPr>
            <w:tcW w:w="1721" w:type="dxa"/>
          </w:tcPr>
          <w:p w:rsidR="00745940" w:rsidRPr="005C7C0A" w:rsidRDefault="00745940" w:rsidP="00745940">
            <w:pPr>
              <w:spacing w:before="120" w:after="120"/>
              <w:rPr>
                <w:rFonts w:eastAsia="Calibri" w:cstheme="minorHAnsi"/>
                <w:color w:val="000000" w:themeColor="text1"/>
              </w:rPr>
            </w:pPr>
            <w:r w:rsidRPr="005C7C0A">
              <w:rPr>
                <w:rFonts w:cstheme="minorHAnsi"/>
              </w:rPr>
              <w:t xml:space="preserve">Standard &amp; Poor's: </w:t>
            </w:r>
            <w:r w:rsidRPr="005C7C0A">
              <w:rPr>
                <w:rFonts w:eastAsia="Calibri" w:cstheme="minorHAnsi"/>
                <w:b/>
                <w:color w:val="000000" w:themeColor="text1"/>
              </w:rPr>
              <w:t>B+ z perspektywą stabilną</w:t>
            </w:r>
            <w:r w:rsidRPr="005C7C0A">
              <w:rPr>
                <w:rFonts w:eastAsia="Calibri" w:cstheme="minorHAnsi"/>
                <w:color w:val="000000" w:themeColor="text1"/>
              </w:rPr>
              <w:t xml:space="preserve"> </w:t>
            </w:r>
          </w:p>
          <w:p w:rsidR="00745940" w:rsidRPr="005C7C0A" w:rsidRDefault="00745940" w:rsidP="00745940">
            <w:pPr>
              <w:spacing w:before="120" w:after="120"/>
              <w:rPr>
                <w:rFonts w:cstheme="minorHAnsi"/>
              </w:rPr>
            </w:pPr>
            <w:r w:rsidRPr="005C7C0A">
              <w:rPr>
                <w:rFonts w:cstheme="minorHAnsi"/>
              </w:rPr>
              <w:t>Fitch rating: -</w:t>
            </w:r>
          </w:p>
          <w:p w:rsidR="00745940" w:rsidRPr="005C7C0A" w:rsidRDefault="00745940" w:rsidP="00745940">
            <w:pPr>
              <w:spacing w:before="120" w:after="120"/>
              <w:rPr>
                <w:rFonts w:cstheme="minorHAnsi"/>
              </w:rPr>
            </w:pPr>
            <w:r w:rsidRPr="005C7C0A">
              <w:rPr>
                <w:rFonts w:cstheme="minorHAnsi"/>
              </w:rPr>
              <w:t xml:space="preserve">Moody's rating: </w:t>
            </w:r>
            <w:r w:rsidRPr="005C7C0A">
              <w:rPr>
                <w:rFonts w:cstheme="minorHAnsi"/>
                <w:b/>
              </w:rPr>
              <w:t>B1 z perspektywą stabilną</w:t>
            </w:r>
          </w:p>
        </w:tc>
        <w:tc>
          <w:tcPr>
            <w:tcW w:w="1721" w:type="dxa"/>
            <w:noWrap/>
          </w:tcPr>
          <w:p w:rsidR="00745940" w:rsidRPr="005C7C0A" w:rsidRDefault="00377048" w:rsidP="00745940">
            <w:pPr>
              <w:spacing w:before="120" w:after="120"/>
              <w:rPr>
                <w:rFonts w:cstheme="minorHAnsi"/>
              </w:rPr>
            </w:pPr>
            <w:r w:rsidRPr="005C7C0A">
              <w:rPr>
                <w:rFonts w:cstheme="minorHAnsi"/>
              </w:rPr>
              <w:t>-</w:t>
            </w:r>
          </w:p>
        </w:tc>
        <w:tc>
          <w:tcPr>
            <w:tcW w:w="1382" w:type="dxa"/>
            <w:noWrap/>
            <w:hideMark/>
          </w:tcPr>
          <w:p w:rsidR="00745940" w:rsidRPr="005C7C0A" w:rsidRDefault="00745940" w:rsidP="00745940">
            <w:pPr>
              <w:rPr>
                <w:rFonts w:cstheme="minorHAnsi"/>
                <w:lang w:val="en-US"/>
              </w:rPr>
            </w:pPr>
            <w:r w:rsidRPr="005C7C0A">
              <w:rPr>
                <w:rFonts w:cstheme="minorHAnsi"/>
              </w:rPr>
              <w:t> </w:t>
            </w:r>
            <w:r w:rsidRPr="005C7C0A">
              <w:rPr>
                <w:rFonts w:cstheme="minorHAnsi"/>
                <w:lang w:val="en-US"/>
              </w:rPr>
              <w:t>-</w:t>
            </w:r>
          </w:p>
        </w:tc>
      </w:tr>
      <w:tr w:rsidR="00745940" w:rsidRPr="005C7C0A" w:rsidTr="00745940">
        <w:trPr>
          <w:trHeight w:val="312"/>
        </w:trPr>
        <w:tc>
          <w:tcPr>
            <w:tcW w:w="2861" w:type="dxa"/>
            <w:noWrap/>
          </w:tcPr>
          <w:p w:rsidR="00745940" w:rsidRPr="005C7C0A" w:rsidRDefault="00745940" w:rsidP="00745940">
            <w:pPr>
              <w:rPr>
                <w:rFonts w:cstheme="minorHAnsi"/>
              </w:rPr>
            </w:pPr>
            <w:r w:rsidRPr="005C7C0A">
              <w:rPr>
                <w:rFonts w:cstheme="minorHAnsi"/>
              </w:rPr>
              <w:t>Deficyt i nadwyżki budżetowe (</w:t>
            </w:r>
            <w:hyperlink r:id="rId15" w:history="1">
              <w:r w:rsidRPr="005C7C0A">
                <w:rPr>
                  <w:rStyle w:val="Hipercze"/>
                  <w:rFonts w:cstheme="minorHAnsi"/>
                </w:rPr>
                <w:t>IMF</w:t>
              </w:r>
            </w:hyperlink>
            <w:r w:rsidRPr="005C7C0A">
              <w:rPr>
                <w:rFonts w:cstheme="minorHAnsi"/>
              </w:rPr>
              <w:t>)</w:t>
            </w:r>
          </w:p>
        </w:tc>
        <w:tc>
          <w:tcPr>
            <w:tcW w:w="1721" w:type="dxa"/>
          </w:tcPr>
          <w:p w:rsidR="00745940" w:rsidRPr="005C7C0A" w:rsidRDefault="00745940" w:rsidP="00745940">
            <w:pPr>
              <w:rPr>
                <w:rFonts w:cstheme="minorHAnsi"/>
                <w:lang w:val="en-US"/>
              </w:rPr>
            </w:pPr>
            <w:r w:rsidRPr="005C7C0A">
              <w:rPr>
                <w:rFonts w:cstheme="minorHAnsi"/>
                <w:lang w:val="en-US"/>
              </w:rPr>
              <w:t xml:space="preserve">-3,9 </w:t>
            </w:r>
          </w:p>
        </w:tc>
        <w:tc>
          <w:tcPr>
            <w:tcW w:w="1721" w:type="dxa"/>
            <w:noWrap/>
          </w:tcPr>
          <w:p w:rsidR="00745940" w:rsidRPr="005C7C0A" w:rsidRDefault="00745940" w:rsidP="00745940">
            <w:pPr>
              <w:rPr>
                <w:rFonts w:cstheme="minorHAnsi"/>
              </w:rPr>
            </w:pPr>
            <w:r w:rsidRPr="005C7C0A">
              <w:rPr>
                <w:rFonts w:cstheme="minorHAnsi"/>
              </w:rPr>
              <w:t xml:space="preserve">-2,6 </w:t>
            </w:r>
          </w:p>
        </w:tc>
        <w:tc>
          <w:tcPr>
            <w:tcW w:w="1382" w:type="dxa"/>
            <w:noWrap/>
          </w:tcPr>
          <w:p w:rsidR="00745940" w:rsidRPr="005C7C0A" w:rsidRDefault="00377048" w:rsidP="00745940">
            <w:pPr>
              <w:rPr>
                <w:rFonts w:cstheme="minorHAnsi"/>
              </w:rPr>
            </w:pPr>
            <w:r w:rsidRPr="005C7C0A">
              <w:rPr>
                <w:rFonts w:cstheme="minorHAnsi"/>
              </w:rPr>
              <w:t>-2,0</w:t>
            </w:r>
          </w:p>
        </w:tc>
      </w:tr>
      <w:tr w:rsidR="00745940" w:rsidRPr="005C7C0A" w:rsidTr="00745940">
        <w:trPr>
          <w:trHeight w:val="312"/>
        </w:trPr>
        <w:tc>
          <w:tcPr>
            <w:tcW w:w="2861" w:type="dxa"/>
            <w:noWrap/>
          </w:tcPr>
          <w:p w:rsidR="00745940" w:rsidRPr="005C7C0A" w:rsidRDefault="00745940" w:rsidP="00745940">
            <w:pPr>
              <w:rPr>
                <w:rFonts w:cstheme="minorHAnsi"/>
                <w:lang w:val="en-US"/>
              </w:rPr>
            </w:pPr>
            <w:r w:rsidRPr="005C7C0A">
              <w:rPr>
                <w:rFonts w:cstheme="minorHAnsi"/>
              </w:rPr>
              <w:t xml:space="preserve">Dług publiczny (% PKB) </w:t>
            </w:r>
          </w:p>
        </w:tc>
        <w:tc>
          <w:tcPr>
            <w:tcW w:w="1721" w:type="dxa"/>
          </w:tcPr>
          <w:p w:rsidR="00745940" w:rsidRPr="005C7C0A" w:rsidRDefault="00745940" w:rsidP="00745940">
            <w:pPr>
              <w:rPr>
                <w:rFonts w:cstheme="minorHAnsi"/>
              </w:rPr>
            </w:pPr>
            <w:r w:rsidRPr="005C7C0A">
              <w:rPr>
                <w:rFonts w:cstheme="minorHAnsi"/>
              </w:rPr>
              <w:t>84%</w:t>
            </w:r>
            <w:r w:rsidR="00377048" w:rsidRPr="005C7C0A">
              <w:rPr>
                <w:rFonts w:cstheme="minorHAnsi"/>
              </w:rPr>
              <w:t xml:space="preserve"> (IMF)</w:t>
            </w:r>
          </w:p>
        </w:tc>
        <w:tc>
          <w:tcPr>
            <w:tcW w:w="1721" w:type="dxa"/>
            <w:noWrap/>
          </w:tcPr>
          <w:p w:rsidR="00745940" w:rsidRPr="005C7C0A" w:rsidRDefault="00377048" w:rsidP="00745940">
            <w:pPr>
              <w:rPr>
                <w:rFonts w:cstheme="minorHAnsi"/>
                <w:lang w:val="en-US"/>
              </w:rPr>
            </w:pPr>
            <w:r w:rsidRPr="005C7C0A">
              <w:rPr>
                <w:rFonts w:cstheme="minorHAnsi"/>
              </w:rPr>
              <w:t>83,2 (IMF)</w:t>
            </w:r>
          </w:p>
        </w:tc>
        <w:tc>
          <w:tcPr>
            <w:tcW w:w="1382" w:type="dxa"/>
            <w:noWrap/>
          </w:tcPr>
          <w:p w:rsidR="00745940" w:rsidRPr="005C7C0A" w:rsidRDefault="00377048" w:rsidP="00377048">
            <w:pPr>
              <w:rPr>
                <w:rFonts w:cstheme="minorHAnsi"/>
                <w:lang w:val="en-US"/>
              </w:rPr>
            </w:pPr>
            <w:r w:rsidRPr="005C7C0A">
              <w:rPr>
                <w:rFonts w:cstheme="minorHAnsi"/>
              </w:rPr>
              <w:t>81,9 (IMF)</w:t>
            </w:r>
          </w:p>
        </w:tc>
      </w:tr>
    </w:tbl>
    <w:p w:rsidR="00B10282" w:rsidRPr="00BC0B9D" w:rsidRDefault="007B68D9" w:rsidP="007F4872">
      <w:pPr>
        <w:spacing w:before="240" w:after="120" w:line="264" w:lineRule="auto"/>
        <w:jc w:val="both"/>
        <w:outlineLvl w:val="3"/>
        <w:rPr>
          <w:rFonts w:eastAsia="Calibri" w:cstheme="minorHAnsi"/>
        </w:rPr>
      </w:pPr>
      <w:r w:rsidRPr="005C7C0A">
        <w:rPr>
          <w:rFonts w:eastAsia="Calibri" w:cstheme="minorHAnsi"/>
          <w:color w:val="000000" w:themeColor="text1"/>
        </w:rPr>
        <w:t xml:space="preserve">W rezultacie kryzysu gospodarczego oraz wzrostu zadłużenia </w:t>
      </w:r>
      <w:r w:rsidRPr="005C7C0A">
        <w:rPr>
          <w:rFonts w:eastAsia="Calibri" w:cstheme="minorHAnsi"/>
          <w:b/>
          <w:color w:val="000000" w:themeColor="text1"/>
        </w:rPr>
        <w:t>rating Bahamów</w:t>
      </w:r>
      <w:r w:rsidRPr="005C7C0A">
        <w:rPr>
          <w:rFonts w:eastAsia="Calibri" w:cstheme="minorHAnsi"/>
          <w:color w:val="000000" w:themeColor="text1"/>
        </w:rPr>
        <w:t xml:space="preserve"> </w:t>
      </w:r>
      <w:r w:rsidRPr="005C7C0A">
        <w:rPr>
          <w:rFonts w:eastAsia="Calibri" w:cstheme="minorHAnsi"/>
          <w:b/>
          <w:color w:val="000000" w:themeColor="text1"/>
        </w:rPr>
        <w:t>spadł do poziomu spekulacyjnego („śmieciowego”).</w:t>
      </w:r>
      <w:r w:rsidRPr="005C7C0A">
        <w:rPr>
          <w:rFonts w:eastAsia="Calibri" w:cstheme="minorHAnsi"/>
          <w:color w:val="000000" w:themeColor="text1"/>
        </w:rPr>
        <w:t xml:space="preserve"> 25.06.2020 r.</w:t>
      </w:r>
      <w:r w:rsidRPr="005C7C0A">
        <w:rPr>
          <w:rFonts w:eastAsia="Calibri" w:cstheme="minorHAnsi"/>
          <w:b/>
          <w:color w:val="000000" w:themeColor="text1"/>
        </w:rPr>
        <w:t xml:space="preserve"> agencja Moody’s obniżyła swój rating Bahamów </w:t>
      </w:r>
      <w:r w:rsidRPr="005C7C0A">
        <w:rPr>
          <w:rFonts w:eastAsia="Calibri" w:cstheme="minorHAnsi"/>
          <w:color w:val="000000" w:themeColor="text1"/>
        </w:rPr>
        <w:t xml:space="preserve">do poziomu Ba2 z perspektywą </w:t>
      </w:r>
      <w:r w:rsidRPr="005C7C0A">
        <w:rPr>
          <w:rFonts w:eastAsia="Calibri" w:cstheme="minorHAnsi"/>
        </w:rPr>
        <w:t xml:space="preserve">negatywną, potem 17.09.2021 r. do poziomu Ba3 również z perspektywą negatywną, a </w:t>
      </w:r>
      <w:r w:rsidRPr="005C7C0A">
        <w:rPr>
          <w:rFonts w:eastAsia="Calibri" w:cstheme="minorHAnsi"/>
          <w:b/>
        </w:rPr>
        <w:t>06.10.2022 r. do poziomu B1</w:t>
      </w:r>
      <w:r w:rsidR="007F4872" w:rsidRPr="005C7C0A">
        <w:rPr>
          <w:rFonts w:eastAsia="Calibri" w:cstheme="minorHAnsi"/>
        </w:rPr>
        <w:t>, z perspektywą stabilną</w:t>
      </w:r>
      <w:r w:rsidRPr="005C7C0A">
        <w:rPr>
          <w:rFonts w:eastAsia="Calibri" w:cstheme="minorHAnsi"/>
        </w:rPr>
        <w:t xml:space="preserve">. </w:t>
      </w:r>
      <w:r w:rsidRPr="005C7C0A">
        <w:rPr>
          <w:rFonts w:eastAsia="Calibri" w:cstheme="minorHAnsi"/>
          <w:b/>
        </w:rPr>
        <w:t xml:space="preserve">Agencja Standard &amp; Poor’s </w:t>
      </w:r>
      <w:r w:rsidRPr="005C7C0A">
        <w:rPr>
          <w:rFonts w:eastAsia="Calibri" w:cstheme="minorHAnsi"/>
        </w:rPr>
        <w:t xml:space="preserve">12.11.2020 r. obniżyła rating Bahamów do poziomu BB- z perspektywą negatywną, a następnie </w:t>
      </w:r>
      <w:r w:rsidRPr="005C7C0A">
        <w:rPr>
          <w:rFonts w:eastAsia="Calibri" w:cstheme="minorHAnsi"/>
          <w:b/>
        </w:rPr>
        <w:t>12.11.2021 r. do poziomu B+ z perspektywą stabilną</w:t>
      </w:r>
      <w:r w:rsidRPr="005C7C0A">
        <w:rPr>
          <w:rFonts w:eastAsia="Calibri" w:cstheme="minorHAnsi"/>
        </w:rPr>
        <w:t xml:space="preserve"> (ocenę tę utrzymano 22.11.2022 r.). Agencja Fitch nie publikuje ratingu Bahamów.</w:t>
      </w:r>
    </w:p>
    <w:p w:rsidR="00CC1D6A" w:rsidRPr="005C7C0A" w:rsidRDefault="00CC1D6A" w:rsidP="00EB602A">
      <w:pPr>
        <w:pStyle w:val="Akapitzlist"/>
        <w:numPr>
          <w:ilvl w:val="0"/>
          <w:numId w:val="10"/>
        </w:numPr>
        <w:spacing w:before="240" w:after="120" w:line="264" w:lineRule="auto"/>
        <w:outlineLvl w:val="3"/>
        <w:rPr>
          <w:rFonts w:cstheme="minorHAnsi"/>
          <w:b/>
        </w:rPr>
      </w:pPr>
      <w:r w:rsidRPr="005C7C0A">
        <w:rPr>
          <w:rFonts w:cstheme="minorHAnsi"/>
          <w:b/>
        </w:rPr>
        <w:t xml:space="preserve">Dane demograficzne </w:t>
      </w:r>
    </w:p>
    <w:tbl>
      <w:tblPr>
        <w:tblStyle w:val="Tabela-Siatka1"/>
        <w:tblW w:w="0" w:type="auto"/>
        <w:tblLook w:val="04A0" w:firstRow="1" w:lastRow="0" w:firstColumn="1" w:lastColumn="0" w:noHBand="0" w:noVBand="1"/>
      </w:tblPr>
      <w:tblGrid>
        <w:gridCol w:w="4531"/>
        <w:gridCol w:w="4395"/>
      </w:tblGrid>
      <w:tr w:rsidR="00CC1D6A" w:rsidRPr="005C7C0A" w:rsidTr="006526CE">
        <w:trPr>
          <w:trHeight w:val="312"/>
        </w:trPr>
        <w:tc>
          <w:tcPr>
            <w:tcW w:w="8926" w:type="dxa"/>
            <w:gridSpan w:val="2"/>
            <w:noWrap/>
            <w:hideMark/>
          </w:tcPr>
          <w:p w:rsidR="00CC1D6A" w:rsidRPr="005C7C0A" w:rsidRDefault="00CC1D6A" w:rsidP="006526CE">
            <w:pPr>
              <w:spacing w:after="160" w:line="259" w:lineRule="auto"/>
              <w:ind w:left="1080"/>
              <w:contextualSpacing/>
              <w:jc w:val="center"/>
              <w:rPr>
                <w:rFonts w:cstheme="minorHAnsi"/>
                <w:b/>
                <w:bCs/>
              </w:rPr>
            </w:pPr>
            <w:r w:rsidRPr="005C7C0A">
              <w:rPr>
                <w:rFonts w:cstheme="minorHAnsi"/>
                <w:b/>
                <w:bCs/>
              </w:rPr>
              <w:t>Dane demograficzne (aktualne)</w:t>
            </w:r>
          </w:p>
        </w:tc>
      </w:tr>
      <w:tr w:rsidR="00CC1D6A" w:rsidRPr="005C7C0A" w:rsidTr="006526CE">
        <w:trPr>
          <w:trHeight w:val="312"/>
        </w:trPr>
        <w:tc>
          <w:tcPr>
            <w:tcW w:w="4531" w:type="dxa"/>
            <w:noWrap/>
            <w:hideMark/>
          </w:tcPr>
          <w:p w:rsidR="00CC1D6A" w:rsidRPr="005C7C0A" w:rsidRDefault="002F331E" w:rsidP="005A54B5">
            <w:pPr>
              <w:spacing w:after="160" w:line="259" w:lineRule="auto"/>
              <w:ind w:left="1080" w:hanging="904"/>
              <w:contextualSpacing/>
              <w:rPr>
                <w:rFonts w:cstheme="minorHAnsi"/>
              </w:rPr>
            </w:pPr>
            <w:hyperlink r:id="rId16" w:history="1">
              <w:r w:rsidR="00CC1D6A" w:rsidRPr="005C7C0A">
                <w:rPr>
                  <w:rStyle w:val="Hipercze"/>
                  <w:rFonts w:cstheme="minorHAnsi"/>
                </w:rPr>
                <w:t>Liczba ludności</w:t>
              </w:r>
            </w:hyperlink>
            <w:r w:rsidR="00CC1D6A" w:rsidRPr="005C7C0A">
              <w:rPr>
                <w:rFonts w:cstheme="minorHAnsi"/>
              </w:rPr>
              <w:t xml:space="preserve"> (w tys.)</w:t>
            </w:r>
          </w:p>
        </w:tc>
        <w:tc>
          <w:tcPr>
            <w:tcW w:w="4395" w:type="dxa"/>
            <w:noWrap/>
            <w:hideMark/>
          </w:tcPr>
          <w:p w:rsidR="00CC1D6A" w:rsidRPr="005C7C0A" w:rsidRDefault="008D3389" w:rsidP="00EB56C9">
            <w:pPr>
              <w:spacing w:after="160" w:line="259" w:lineRule="auto"/>
              <w:contextualSpacing/>
              <w:rPr>
                <w:rFonts w:cstheme="minorHAnsi"/>
              </w:rPr>
            </w:pPr>
            <w:r w:rsidRPr="005C7C0A">
              <w:rPr>
                <w:rFonts w:cstheme="minorHAnsi"/>
              </w:rPr>
              <w:t xml:space="preserve">412 </w:t>
            </w:r>
            <w:r w:rsidR="00EB56C9" w:rsidRPr="005C7C0A">
              <w:rPr>
                <w:rFonts w:cstheme="minorHAnsi"/>
              </w:rPr>
              <w:t xml:space="preserve">623 </w:t>
            </w:r>
          </w:p>
        </w:tc>
      </w:tr>
      <w:tr w:rsidR="00CC1D6A" w:rsidRPr="005C7C0A" w:rsidTr="006526CE">
        <w:trPr>
          <w:trHeight w:val="312"/>
        </w:trPr>
        <w:tc>
          <w:tcPr>
            <w:tcW w:w="4531" w:type="dxa"/>
            <w:noWrap/>
            <w:hideMark/>
          </w:tcPr>
          <w:p w:rsidR="00CC1D6A" w:rsidRPr="005C7C0A" w:rsidRDefault="00CC1D6A" w:rsidP="006526CE">
            <w:pPr>
              <w:spacing w:after="160" w:line="259" w:lineRule="auto"/>
              <w:ind w:left="1080" w:hanging="904"/>
              <w:contextualSpacing/>
              <w:rPr>
                <w:rFonts w:cstheme="minorHAnsi"/>
              </w:rPr>
            </w:pPr>
            <w:r w:rsidRPr="005C7C0A">
              <w:rPr>
                <w:rFonts w:cstheme="minorHAnsi"/>
              </w:rPr>
              <w:t>Siła robocza (w tys./mln, dane krajowe)</w:t>
            </w:r>
          </w:p>
        </w:tc>
        <w:tc>
          <w:tcPr>
            <w:tcW w:w="4395" w:type="dxa"/>
            <w:noWrap/>
            <w:hideMark/>
          </w:tcPr>
          <w:p w:rsidR="00CC1D6A" w:rsidRPr="005C7C0A" w:rsidRDefault="00F44BE0" w:rsidP="008D3389">
            <w:pPr>
              <w:spacing w:after="160" w:line="259" w:lineRule="auto"/>
              <w:contextualSpacing/>
              <w:rPr>
                <w:rFonts w:cstheme="minorHAnsi"/>
              </w:rPr>
            </w:pPr>
            <w:r w:rsidRPr="005C7C0A">
              <w:rPr>
                <w:rFonts w:cstheme="minorHAnsi"/>
              </w:rPr>
              <w:t>2</w:t>
            </w:r>
            <w:r w:rsidR="008D3389" w:rsidRPr="005C7C0A">
              <w:rPr>
                <w:rFonts w:cstheme="minorHAnsi"/>
              </w:rPr>
              <w:t>97 088</w:t>
            </w:r>
          </w:p>
        </w:tc>
      </w:tr>
      <w:tr w:rsidR="00CC1D6A" w:rsidRPr="005C7C0A" w:rsidTr="006526CE">
        <w:trPr>
          <w:trHeight w:val="312"/>
        </w:trPr>
        <w:tc>
          <w:tcPr>
            <w:tcW w:w="4531" w:type="dxa"/>
            <w:noWrap/>
            <w:hideMark/>
          </w:tcPr>
          <w:p w:rsidR="00CC1D6A" w:rsidRPr="005C7C0A" w:rsidRDefault="002F331E" w:rsidP="006526CE">
            <w:pPr>
              <w:spacing w:after="160" w:line="259" w:lineRule="auto"/>
              <w:ind w:left="1080" w:hanging="904"/>
              <w:contextualSpacing/>
              <w:rPr>
                <w:rFonts w:cstheme="minorHAnsi"/>
              </w:rPr>
            </w:pPr>
            <w:hyperlink r:id="rId17" w:history="1">
              <w:r w:rsidR="00CC1D6A" w:rsidRPr="005C7C0A">
                <w:rPr>
                  <w:rStyle w:val="Hipercze"/>
                  <w:rFonts w:cstheme="minorHAnsi"/>
                </w:rPr>
                <w:t>Rozmiar klasy średniej</w:t>
              </w:r>
            </w:hyperlink>
            <w:r w:rsidR="00CC1D6A" w:rsidRPr="005C7C0A">
              <w:rPr>
                <w:rFonts w:cstheme="minorHAnsi"/>
              </w:rPr>
              <w:t xml:space="preserve"> (w tys./mln)</w:t>
            </w:r>
          </w:p>
        </w:tc>
        <w:tc>
          <w:tcPr>
            <w:tcW w:w="4395" w:type="dxa"/>
            <w:noWrap/>
            <w:hideMark/>
          </w:tcPr>
          <w:p w:rsidR="00CC1D6A" w:rsidRPr="005C7C0A" w:rsidRDefault="007F4872" w:rsidP="006526CE">
            <w:pPr>
              <w:spacing w:after="160" w:line="259" w:lineRule="auto"/>
              <w:ind w:left="1080"/>
              <w:contextualSpacing/>
              <w:rPr>
                <w:rFonts w:cstheme="minorHAnsi"/>
              </w:rPr>
            </w:pPr>
            <w:r w:rsidRPr="005C7C0A">
              <w:rPr>
                <w:rFonts w:cstheme="minorHAnsi"/>
              </w:rPr>
              <w:t>-</w:t>
            </w:r>
            <w:r w:rsidR="00CC1D6A" w:rsidRPr="005C7C0A">
              <w:rPr>
                <w:rFonts w:cstheme="minorHAnsi"/>
              </w:rPr>
              <w:t> </w:t>
            </w:r>
          </w:p>
        </w:tc>
      </w:tr>
      <w:tr w:rsidR="00CC1D6A" w:rsidRPr="005C7C0A" w:rsidTr="006526CE">
        <w:trPr>
          <w:trHeight w:val="312"/>
        </w:trPr>
        <w:tc>
          <w:tcPr>
            <w:tcW w:w="4531" w:type="dxa"/>
            <w:noWrap/>
            <w:hideMark/>
          </w:tcPr>
          <w:p w:rsidR="00CC1D6A" w:rsidRPr="005C7C0A" w:rsidRDefault="00CC1D6A" w:rsidP="006526CE">
            <w:pPr>
              <w:spacing w:after="160" w:line="259" w:lineRule="auto"/>
              <w:ind w:left="176"/>
              <w:contextualSpacing/>
              <w:rPr>
                <w:rFonts w:cstheme="minorHAnsi"/>
              </w:rPr>
            </w:pPr>
            <w:r w:rsidRPr="005C7C0A">
              <w:rPr>
                <w:rFonts w:cstheme="minorHAnsi"/>
              </w:rPr>
              <w:t>Poziom ubóstwa (% populacji żyjącej poniżej progu ubóstwa)</w:t>
            </w:r>
          </w:p>
        </w:tc>
        <w:tc>
          <w:tcPr>
            <w:tcW w:w="4395" w:type="dxa"/>
            <w:noWrap/>
            <w:hideMark/>
          </w:tcPr>
          <w:p w:rsidR="00CC1D6A" w:rsidRPr="005C7C0A" w:rsidRDefault="008D3389" w:rsidP="005A54B5">
            <w:pPr>
              <w:spacing w:after="160" w:line="259" w:lineRule="auto"/>
              <w:ind w:left="1080"/>
              <w:contextualSpacing/>
              <w:rPr>
                <w:rFonts w:cstheme="minorHAnsi"/>
              </w:rPr>
            </w:pPr>
            <w:r w:rsidRPr="005C7C0A">
              <w:rPr>
                <w:rFonts w:cstheme="minorHAnsi"/>
              </w:rPr>
              <w:t>-</w:t>
            </w:r>
          </w:p>
        </w:tc>
      </w:tr>
      <w:tr w:rsidR="00CC1D6A" w:rsidRPr="005C7C0A" w:rsidTr="006526CE">
        <w:trPr>
          <w:trHeight w:val="312"/>
        </w:trPr>
        <w:tc>
          <w:tcPr>
            <w:tcW w:w="4531" w:type="dxa"/>
            <w:noWrap/>
            <w:hideMark/>
          </w:tcPr>
          <w:p w:rsidR="00CC1D6A" w:rsidRPr="005C7C0A" w:rsidRDefault="002F331E" w:rsidP="006526CE">
            <w:pPr>
              <w:spacing w:after="160" w:line="259" w:lineRule="auto"/>
              <w:ind w:left="1080" w:hanging="904"/>
              <w:contextualSpacing/>
              <w:rPr>
                <w:rFonts w:cstheme="minorHAnsi"/>
              </w:rPr>
            </w:pPr>
            <w:hyperlink r:id="rId18" w:history="1">
              <w:r w:rsidR="00CC1D6A" w:rsidRPr="005C7C0A">
                <w:rPr>
                  <w:rStyle w:val="Hipercze"/>
                  <w:rFonts w:cstheme="minorHAnsi"/>
                </w:rPr>
                <w:t>Współczynnik Giniego</w:t>
              </w:r>
            </w:hyperlink>
          </w:p>
        </w:tc>
        <w:tc>
          <w:tcPr>
            <w:tcW w:w="4395" w:type="dxa"/>
            <w:noWrap/>
            <w:hideMark/>
          </w:tcPr>
          <w:p w:rsidR="00CC1D6A" w:rsidRPr="005C7C0A" w:rsidRDefault="00F268CB" w:rsidP="006526CE">
            <w:pPr>
              <w:spacing w:after="160" w:line="259" w:lineRule="auto"/>
              <w:ind w:left="1080"/>
              <w:contextualSpacing/>
              <w:rPr>
                <w:rFonts w:cstheme="minorHAnsi"/>
              </w:rPr>
            </w:pPr>
            <w:r w:rsidRPr="005C7C0A">
              <w:rPr>
                <w:rFonts w:cstheme="minorHAnsi"/>
              </w:rPr>
              <w:t>-</w:t>
            </w:r>
            <w:r w:rsidR="00CC1D6A" w:rsidRPr="005C7C0A">
              <w:rPr>
                <w:rFonts w:cstheme="minorHAnsi"/>
              </w:rPr>
              <w:t> </w:t>
            </w:r>
          </w:p>
        </w:tc>
      </w:tr>
      <w:tr w:rsidR="00CC1D6A" w:rsidRPr="005C7C0A" w:rsidTr="006526CE">
        <w:trPr>
          <w:trHeight w:val="324"/>
        </w:trPr>
        <w:tc>
          <w:tcPr>
            <w:tcW w:w="4531" w:type="dxa"/>
            <w:noWrap/>
            <w:hideMark/>
          </w:tcPr>
          <w:p w:rsidR="00CC1D6A" w:rsidRPr="005C7C0A" w:rsidRDefault="002F331E" w:rsidP="006526CE">
            <w:pPr>
              <w:spacing w:after="160" w:line="259" w:lineRule="auto"/>
              <w:ind w:left="1080" w:hanging="904"/>
              <w:contextualSpacing/>
              <w:rPr>
                <w:rFonts w:cstheme="minorHAnsi"/>
              </w:rPr>
            </w:pPr>
            <w:hyperlink r:id="rId19" w:anchor="/indicies/HDI" w:history="1">
              <w:r w:rsidR="00CC1D6A" w:rsidRPr="005C7C0A">
                <w:rPr>
                  <w:rStyle w:val="Hipercze"/>
                  <w:rFonts w:cstheme="minorHAnsi"/>
                </w:rPr>
                <w:t>Współczynnik HDI</w:t>
              </w:r>
            </w:hyperlink>
          </w:p>
        </w:tc>
        <w:tc>
          <w:tcPr>
            <w:tcW w:w="4395" w:type="dxa"/>
            <w:noWrap/>
            <w:hideMark/>
          </w:tcPr>
          <w:p w:rsidR="00CC1D6A" w:rsidRPr="005C7C0A" w:rsidRDefault="00CC1D6A" w:rsidP="00F268CB">
            <w:pPr>
              <w:spacing w:after="160" w:line="259" w:lineRule="auto"/>
              <w:contextualSpacing/>
              <w:rPr>
                <w:rFonts w:cstheme="minorHAnsi"/>
              </w:rPr>
            </w:pPr>
            <w:r w:rsidRPr="005C7C0A">
              <w:rPr>
                <w:rFonts w:cstheme="minorHAnsi"/>
              </w:rPr>
              <w:t> </w:t>
            </w:r>
            <w:r w:rsidR="00F268CB" w:rsidRPr="005C7C0A">
              <w:rPr>
                <w:rFonts w:cstheme="minorHAnsi"/>
              </w:rPr>
              <w:t xml:space="preserve">0,82 </w:t>
            </w:r>
            <w:r w:rsidRPr="005C7C0A">
              <w:rPr>
                <w:rFonts w:cstheme="minorHAnsi"/>
              </w:rPr>
              <w:t>(2022)</w:t>
            </w:r>
          </w:p>
        </w:tc>
      </w:tr>
    </w:tbl>
    <w:p w:rsidR="00CC1D6A" w:rsidRPr="005C7C0A" w:rsidRDefault="00CC1D6A" w:rsidP="00EB602A">
      <w:pPr>
        <w:pStyle w:val="Akapitzlist"/>
        <w:numPr>
          <w:ilvl w:val="0"/>
          <w:numId w:val="10"/>
        </w:numPr>
        <w:spacing w:before="240" w:after="120" w:line="264" w:lineRule="auto"/>
        <w:outlineLvl w:val="3"/>
        <w:rPr>
          <w:rFonts w:cstheme="minorHAnsi"/>
          <w:b/>
        </w:rPr>
      </w:pPr>
      <w:r w:rsidRPr="005C7C0A">
        <w:rPr>
          <w:rFonts w:cstheme="minorHAnsi"/>
          <w:b/>
        </w:rPr>
        <w:t>Handel zagraniczny i inwestycje</w:t>
      </w:r>
    </w:p>
    <w:p w:rsidR="00616F3E" w:rsidRPr="005C7C0A" w:rsidRDefault="00EB602A" w:rsidP="00EB602A">
      <w:pPr>
        <w:spacing w:before="240" w:after="120" w:line="264" w:lineRule="auto"/>
        <w:ind w:left="360"/>
        <w:outlineLvl w:val="3"/>
        <w:rPr>
          <w:rFonts w:cstheme="minorHAnsi"/>
          <w:b/>
        </w:rPr>
      </w:pPr>
      <w:r w:rsidRPr="005C7C0A">
        <w:rPr>
          <w:rFonts w:cstheme="minorHAnsi"/>
          <w:b/>
        </w:rPr>
        <w:lastRenderedPageBreak/>
        <w:t>4.1.</w:t>
      </w:r>
      <w:r w:rsidR="003D265E" w:rsidRPr="005C7C0A">
        <w:rPr>
          <w:rFonts w:cstheme="minorHAnsi"/>
          <w:b/>
        </w:rPr>
        <w:t xml:space="preserve"> </w:t>
      </w:r>
      <w:r w:rsidR="0013183B">
        <w:rPr>
          <w:rFonts w:cstheme="minorHAnsi"/>
          <w:b/>
        </w:rPr>
        <w:t>Najważniejsi partnerzy handlowi</w:t>
      </w:r>
    </w:p>
    <w:p w:rsidR="004B1F92" w:rsidRPr="005C7C0A" w:rsidRDefault="00C05302" w:rsidP="00C05302">
      <w:pPr>
        <w:spacing w:before="240" w:after="120" w:line="264" w:lineRule="auto"/>
        <w:jc w:val="both"/>
        <w:outlineLvl w:val="3"/>
        <w:rPr>
          <w:rFonts w:cstheme="minorHAnsi"/>
        </w:rPr>
      </w:pPr>
      <w:r w:rsidRPr="005C7C0A">
        <w:rPr>
          <w:rFonts w:cstheme="minorHAnsi"/>
        </w:rPr>
        <w:t>Bahamy utrzymują bliskie więzi gospodarcze ze Stanami Zjednoczonymi, które są ich największym partnerem handlowym, zarówno pod względem handlu, jak i inwestycji. W 2022 r. głównymi kierunkami eksportu były Stany Zjednoczone (63,6%) i Francja (3,1%)</w:t>
      </w:r>
      <w:r w:rsidR="00B10282">
        <w:rPr>
          <w:rFonts w:cstheme="minorHAnsi"/>
        </w:rPr>
        <w:t xml:space="preserve">. </w:t>
      </w:r>
      <w:r w:rsidR="00AB5102">
        <w:rPr>
          <w:rFonts w:cstheme="minorHAnsi"/>
        </w:rPr>
        <w:t>Partnerami po stronie i</w:t>
      </w:r>
      <w:r w:rsidRPr="005C7C0A">
        <w:rPr>
          <w:rFonts w:cstheme="minorHAnsi"/>
        </w:rPr>
        <w:t>mport</w:t>
      </w:r>
      <w:r w:rsidR="00AB5102">
        <w:rPr>
          <w:rFonts w:cstheme="minorHAnsi"/>
        </w:rPr>
        <w:t>u były:</w:t>
      </w:r>
      <w:r w:rsidRPr="005C7C0A">
        <w:rPr>
          <w:rFonts w:cstheme="minorHAnsi"/>
        </w:rPr>
        <w:t xml:space="preserve"> Stan</w:t>
      </w:r>
      <w:r w:rsidR="00AB5102">
        <w:rPr>
          <w:rFonts w:cstheme="minorHAnsi"/>
        </w:rPr>
        <w:t>y</w:t>
      </w:r>
      <w:r w:rsidRPr="005C7C0A">
        <w:rPr>
          <w:rFonts w:cstheme="minorHAnsi"/>
        </w:rPr>
        <w:t xml:space="preserve"> Zjednoczon</w:t>
      </w:r>
      <w:r w:rsidR="00AB5102">
        <w:rPr>
          <w:rFonts w:cstheme="minorHAnsi"/>
        </w:rPr>
        <w:t>e</w:t>
      </w:r>
      <w:r w:rsidRPr="005C7C0A">
        <w:rPr>
          <w:rFonts w:cstheme="minorHAnsi"/>
        </w:rPr>
        <w:t xml:space="preserve"> (85%), Chin</w:t>
      </w:r>
      <w:r w:rsidR="00AB5102">
        <w:rPr>
          <w:rFonts w:cstheme="minorHAnsi"/>
        </w:rPr>
        <w:t>y (1,9%), Hiszpania (0,9%) i Japonia (0,9%) (</w:t>
      </w:r>
      <w:r w:rsidRPr="005C7C0A">
        <w:rPr>
          <w:rFonts w:cstheme="minorHAnsi"/>
        </w:rPr>
        <w:t xml:space="preserve">źródło </w:t>
      </w:r>
      <w:hyperlink r:id="rId20" w:history="1">
        <w:r w:rsidRPr="005C7C0A">
          <w:rPr>
            <w:rStyle w:val="Hipercze"/>
            <w:rFonts w:cstheme="minorHAnsi"/>
          </w:rPr>
          <w:t>Comtrade</w:t>
        </w:r>
      </w:hyperlink>
      <w:r w:rsidRPr="005C7C0A">
        <w:rPr>
          <w:rFonts w:cstheme="minorHAnsi"/>
        </w:rPr>
        <w:t>). </w:t>
      </w:r>
    </w:p>
    <w:p w:rsidR="00E74348" w:rsidRPr="005C7C0A" w:rsidRDefault="003D265E" w:rsidP="00C4030F">
      <w:pPr>
        <w:spacing w:before="240" w:after="120" w:line="264" w:lineRule="auto"/>
        <w:ind w:left="360"/>
        <w:outlineLvl w:val="3"/>
        <w:rPr>
          <w:rFonts w:cstheme="minorHAnsi"/>
          <w:b/>
        </w:rPr>
      </w:pPr>
      <w:r w:rsidRPr="005C7C0A">
        <w:rPr>
          <w:rFonts w:cstheme="minorHAnsi"/>
          <w:b/>
        </w:rPr>
        <w:t xml:space="preserve">4.2. Podstawowe produkty </w:t>
      </w:r>
      <w:r w:rsidR="0013183B">
        <w:rPr>
          <w:rFonts w:cstheme="minorHAnsi"/>
          <w:b/>
        </w:rPr>
        <w:t>i usługi importowe i eksportowe</w:t>
      </w:r>
    </w:p>
    <w:p w:rsidR="00C37647" w:rsidRPr="005C7C0A" w:rsidRDefault="00C37647" w:rsidP="00C37647">
      <w:pPr>
        <w:spacing w:before="120" w:after="120" w:line="240" w:lineRule="auto"/>
        <w:jc w:val="both"/>
        <w:rPr>
          <w:rFonts w:cstheme="minorHAnsi"/>
        </w:rPr>
      </w:pPr>
      <w:r w:rsidRPr="005C7C0A">
        <w:rPr>
          <w:rFonts w:cstheme="minorHAnsi"/>
        </w:rPr>
        <w:t xml:space="preserve">Bahamy importują głównie statki pasażerskie i towarowe (35,8%), ropę naftową rafinowaną (23,7%), statki specjalnego przeznaczenia (11,2%). Główne towary eksportowe stanowią statki pasażerskie i towarowe (49,5%), ropa naftowa rafinowana (8,2%), azotowe związki heterocykliczne (7,11%), skorupiaki (6,4%) oraz polimery styrenu (5,3%). </w:t>
      </w:r>
    </w:p>
    <w:p w:rsidR="00C37647" w:rsidRPr="005C7C0A" w:rsidRDefault="00C37647" w:rsidP="00C37647">
      <w:pPr>
        <w:spacing w:before="120" w:after="120" w:line="240" w:lineRule="auto"/>
        <w:jc w:val="both"/>
        <w:rPr>
          <w:rFonts w:cstheme="minorHAnsi"/>
        </w:rPr>
      </w:pPr>
      <w:r w:rsidRPr="005C7C0A">
        <w:rPr>
          <w:rFonts w:cstheme="minorHAnsi"/>
        </w:rPr>
        <w:t xml:space="preserve">Saldo handlowe kraju jest strukturalnie ujemne. Według danych WTO i Banku Światowego w 2020 r. import towarów wyniósł 1,9 mld USD, a eksport 354 mln USD, w efekcie deficyt handlowy osiągnął wartość 1,546 mld USD. W odniesieniu do handlu usługami, Bahamy zaimportowały 1,196 mld USD, a wyeksportowały 1,253 mld USD, co daje ujemne saldo w wysokości 57 tys. USD. </w:t>
      </w:r>
    </w:p>
    <w:p w:rsidR="003D265E" w:rsidRPr="005C7C0A" w:rsidRDefault="003D265E" w:rsidP="00EB602A">
      <w:pPr>
        <w:spacing w:before="240" w:after="120" w:line="264" w:lineRule="auto"/>
        <w:ind w:left="360"/>
        <w:outlineLvl w:val="3"/>
        <w:rPr>
          <w:rFonts w:cstheme="minorHAnsi"/>
          <w:b/>
        </w:rPr>
      </w:pPr>
      <w:r w:rsidRPr="005C7C0A">
        <w:rPr>
          <w:rFonts w:cstheme="minorHAnsi"/>
          <w:b/>
        </w:rPr>
        <w:t xml:space="preserve">4.3. </w:t>
      </w:r>
      <w:r w:rsidR="00E74348" w:rsidRPr="005C7C0A">
        <w:rPr>
          <w:rFonts w:cstheme="minorHAnsi"/>
          <w:b/>
        </w:rPr>
        <w:t>Główni inwestorzy</w:t>
      </w:r>
      <w:r w:rsidR="00582E46" w:rsidRPr="005C7C0A">
        <w:rPr>
          <w:rFonts w:cstheme="minorHAnsi"/>
        </w:rPr>
        <w:t xml:space="preserve"> </w:t>
      </w:r>
    </w:p>
    <w:p w:rsidR="004E48B3" w:rsidRPr="005C7C0A" w:rsidRDefault="004E48B3" w:rsidP="004E48B3">
      <w:pPr>
        <w:spacing w:before="240" w:after="120" w:line="264" w:lineRule="auto"/>
        <w:jc w:val="both"/>
        <w:outlineLvl w:val="3"/>
        <w:rPr>
          <w:rFonts w:cstheme="minorHAnsi"/>
        </w:rPr>
      </w:pPr>
      <w:r w:rsidRPr="005C7C0A">
        <w:rPr>
          <w:rFonts w:cstheme="minorHAnsi"/>
        </w:rPr>
        <w:t>Bahamy oferują szereg zachęt dla inwestorów. Należą do nich m.in.: elastyczna polityka imigracyjna, umożliwiająca bezproblemowy i efektywny proces przyznawania pozwoleń na pracę dla kluczowych pracowników oraz brak podatku dochodowego. Bahamy utrzymują otwarty klimat inwestycyjny, przy czym próg zagrani</w:t>
      </w:r>
      <w:r w:rsidR="00AB5102">
        <w:rPr>
          <w:rFonts w:cstheme="minorHAnsi"/>
        </w:rPr>
        <w:t xml:space="preserve">cznych inwestycji kapitałowych </w:t>
      </w:r>
      <w:r w:rsidRPr="005C7C0A">
        <w:rPr>
          <w:rFonts w:cstheme="minorHAnsi"/>
        </w:rPr>
        <w:t xml:space="preserve">stanowi wartość 500 tys. USD. </w:t>
      </w:r>
    </w:p>
    <w:p w:rsidR="004E48B3" w:rsidRPr="005C7C0A" w:rsidRDefault="004E48B3" w:rsidP="00AB5102">
      <w:pPr>
        <w:spacing w:before="240" w:after="120" w:line="264" w:lineRule="auto"/>
        <w:jc w:val="both"/>
        <w:outlineLvl w:val="3"/>
        <w:rPr>
          <w:rFonts w:cstheme="minorHAnsi"/>
        </w:rPr>
      </w:pPr>
      <w:r w:rsidRPr="005C7C0A">
        <w:rPr>
          <w:rFonts w:cstheme="minorHAnsi"/>
        </w:rPr>
        <w:t xml:space="preserve">Sektor turystyczny przyciąga większość napływu BIZ, które pochodzą głównie ze Stanów Zjednoczonych, Kanady i Chin. Zwłaszcza </w:t>
      </w:r>
      <w:r w:rsidR="00AB5102">
        <w:rPr>
          <w:rFonts w:cstheme="minorHAnsi"/>
        </w:rPr>
        <w:t xml:space="preserve">podmioty z ChRL </w:t>
      </w:r>
      <w:r w:rsidRPr="005C7C0A">
        <w:rPr>
          <w:rFonts w:cstheme="minorHAnsi"/>
        </w:rPr>
        <w:t xml:space="preserve">planują finansowanie nowych projektów infrastrukturalnych w kraju. </w:t>
      </w:r>
      <w:r w:rsidR="00AB5102">
        <w:rPr>
          <w:rFonts w:cstheme="minorHAnsi"/>
        </w:rPr>
        <w:t>Dotyczą one sektora usługowego (hotele)</w:t>
      </w:r>
      <w:r w:rsidRPr="005C7C0A">
        <w:rPr>
          <w:rFonts w:cstheme="minorHAnsi"/>
        </w:rPr>
        <w:t xml:space="preserve">, a także </w:t>
      </w:r>
      <w:r w:rsidR="00AB5102">
        <w:rPr>
          <w:rFonts w:cstheme="minorHAnsi"/>
        </w:rPr>
        <w:t xml:space="preserve">obiektów </w:t>
      </w:r>
      <w:r w:rsidRPr="005C7C0A">
        <w:rPr>
          <w:rFonts w:cstheme="minorHAnsi"/>
        </w:rPr>
        <w:t>rezydenc</w:t>
      </w:r>
      <w:r w:rsidR="00AB5102">
        <w:rPr>
          <w:rFonts w:cstheme="minorHAnsi"/>
        </w:rPr>
        <w:t>yjnych</w:t>
      </w:r>
      <w:r w:rsidRPr="005C7C0A">
        <w:rPr>
          <w:rFonts w:cstheme="minorHAnsi"/>
        </w:rPr>
        <w:t xml:space="preserve"> na głównych wyspach archipelagu. </w:t>
      </w:r>
      <w:r w:rsidR="00AB5102">
        <w:rPr>
          <w:rFonts w:cstheme="minorHAnsi"/>
        </w:rPr>
        <w:t>P</w:t>
      </w:r>
      <w:r w:rsidR="00F44BE0" w:rsidRPr="005C7C0A">
        <w:rPr>
          <w:rFonts w:cstheme="minorHAnsi"/>
        </w:rPr>
        <w:t xml:space="preserve">rzykładem </w:t>
      </w:r>
      <w:r w:rsidR="00AB5102">
        <w:rPr>
          <w:rFonts w:cstheme="minorHAnsi"/>
        </w:rPr>
        <w:t>inwestycji chińskich jest</w:t>
      </w:r>
      <w:r w:rsidR="00F44BE0" w:rsidRPr="005C7C0A">
        <w:rPr>
          <w:rFonts w:cstheme="minorHAnsi"/>
        </w:rPr>
        <w:t xml:space="preserve"> m.in. powstanie kompleksu turystycznego i kasyna Baha Mar n</w:t>
      </w:r>
      <w:r w:rsidR="00AB5102">
        <w:rPr>
          <w:rFonts w:cstheme="minorHAnsi"/>
        </w:rPr>
        <w:t>iedaleko Nassau za 3,5 mld USD</w:t>
      </w:r>
      <w:r w:rsidR="00F44BE0" w:rsidRPr="005C7C0A">
        <w:rPr>
          <w:rFonts w:cstheme="minorHAnsi"/>
        </w:rPr>
        <w:t xml:space="preserve">. Uwagę zwraca fakt, iż na potrzeby budowy kompleksu Chiny dostały pozwolenie na sprowadzenie 7 tys. pracowników budowlanych ze swojego kraju (70% siły roboczej koniecznej do ukończenia projektu). Według niektórych ocen Chiny postrzegają Bahamy jako zaplecze dla ekspansji gospodarczej w regionie Morza Karaibskiego. </w:t>
      </w:r>
    </w:p>
    <w:p w:rsidR="00F44BE0" w:rsidRPr="005C7C0A" w:rsidRDefault="004E48B3" w:rsidP="00A71497">
      <w:pPr>
        <w:spacing w:before="240" w:after="120" w:line="264" w:lineRule="auto"/>
        <w:jc w:val="both"/>
        <w:outlineLvl w:val="3"/>
        <w:rPr>
          <w:rFonts w:cstheme="minorHAnsi"/>
        </w:rPr>
      </w:pPr>
      <w:r w:rsidRPr="005C7C0A">
        <w:rPr>
          <w:rFonts w:cstheme="minorHAnsi"/>
        </w:rPr>
        <w:t>Główne inwestycje obejmują współpracę między amerykańskim gigantem MasterCard a Bankiem Centralnym Bahamów w celu uruchomienia Bahamas Sand Dollar, pierwszej cyfrowej waluty tego typu. Amerykańskie firmy wykazują również zainteresowanie wschodzącymi sektorami, takimi jak energia nie będąca pochodną ropy, energia odnawialna, turystyka niszowa i technologia cyfrowa.</w:t>
      </w:r>
    </w:p>
    <w:p w:rsidR="007F64CA" w:rsidRPr="005C7C0A" w:rsidRDefault="007F64CA" w:rsidP="0002265B">
      <w:pPr>
        <w:pStyle w:val="Akapitzlist"/>
        <w:numPr>
          <w:ilvl w:val="0"/>
          <w:numId w:val="10"/>
        </w:numPr>
        <w:spacing w:before="240" w:after="120" w:line="264" w:lineRule="auto"/>
        <w:outlineLvl w:val="3"/>
        <w:rPr>
          <w:rFonts w:cstheme="minorHAnsi"/>
          <w:b/>
        </w:rPr>
      </w:pPr>
      <w:r w:rsidRPr="005C7C0A">
        <w:rPr>
          <w:rFonts w:cstheme="minorHAnsi"/>
          <w:b/>
        </w:rPr>
        <w:t xml:space="preserve">Udział w inicjatywach i organizacjach wielostronnych o charakterze gospodarczym </w:t>
      </w:r>
    </w:p>
    <w:p w:rsidR="00FC452C" w:rsidRPr="005C7C0A" w:rsidRDefault="00FC452C" w:rsidP="0002265B">
      <w:pPr>
        <w:spacing w:before="240" w:after="120" w:line="264" w:lineRule="auto"/>
        <w:ind w:left="360"/>
        <w:outlineLvl w:val="3"/>
        <w:rPr>
          <w:rFonts w:cstheme="minorHAnsi"/>
          <w:b/>
        </w:rPr>
      </w:pPr>
      <w:r w:rsidRPr="005C7C0A">
        <w:rPr>
          <w:rFonts w:cstheme="minorHAnsi"/>
          <w:b/>
        </w:rPr>
        <w:t xml:space="preserve">5.1. Uczestnictwo w wielostronnych </w:t>
      </w:r>
      <w:r w:rsidR="007F0ED0" w:rsidRPr="005C7C0A">
        <w:rPr>
          <w:rFonts w:cstheme="minorHAnsi"/>
          <w:b/>
        </w:rPr>
        <w:t xml:space="preserve">organizacjach i </w:t>
      </w:r>
      <w:r w:rsidRPr="005C7C0A">
        <w:rPr>
          <w:rFonts w:cstheme="minorHAnsi"/>
          <w:b/>
        </w:rPr>
        <w:t>porozumieniach o charakterze gospodarczym</w:t>
      </w:r>
    </w:p>
    <w:p w:rsidR="00486310" w:rsidRPr="005C7C0A" w:rsidRDefault="00486310" w:rsidP="00A71497">
      <w:pPr>
        <w:spacing w:before="240" w:after="120" w:line="264" w:lineRule="auto"/>
        <w:jc w:val="both"/>
        <w:outlineLvl w:val="3"/>
        <w:rPr>
          <w:rFonts w:cstheme="minorHAnsi"/>
        </w:rPr>
      </w:pPr>
      <w:r w:rsidRPr="005C7C0A">
        <w:rPr>
          <w:rFonts w:cstheme="minorHAnsi"/>
        </w:rPr>
        <w:t xml:space="preserve">Po uzyskaniu niepodległości w lipcu 1973 r. Bahamy przystąpiły do </w:t>
      </w:r>
      <w:r w:rsidRPr="005C7C0A">
        <w:rPr>
          <w:rFonts w:cstheme="minorHAnsi"/>
          <w:b/>
        </w:rPr>
        <w:t>Wspólnoty Narodów</w:t>
      </w:r>
      <w:r w:rsidRPr="005C7C0A">
        <w:rPr>
          <w:rFonts w:cstheme="minorHAnsi"/>
        </w:rPr>
        <w:t xml:space="preserve">, a w kolejnych miesiącach stały się członkiem </w:t>
      </w:r>
      <w:r w:rsidRPr="005C7C0A">
        <w:rPr>
          <w:rFonts w:cstheme="minorHAnsi"/>
          <w:b/>
        </w:rPr>
        <w:t>Międzynarodowego Funduszu Walutowego, Banku Światowego i ONZ</w:t>
      </w:r>
      <w:r w:rsidRPr="005C7C0A">
        <w:rPr>
          <w:rFonts w:cstheme="minorHAnsi"/>
        </w:rPr>
        <w:t xml:space="preserve">. W 1982 r. wstąpiły do </w:t>
      </w:r>
      <w:r w:rsidRPr="005C7C0A">
        <w:rPr>
          <w:rFonts w:cstheme="minorHAnsi"/>
          <w:b/>
        </w:rPr>
        <w:t>Organizacji Państw Amerykańskich</w:t>
      </w:r>
      <w:r w:rsidRPr="005C7C0A">
        <w:rPr>
          <w:rFonts w:cstheme="minorHAnsi"/>
        </w:rPr>
        <w:t xml:space="preserve">, a w 1983 r. – do </w:t>
      </w:r>
      <w:r w:rsidRPr="005C7C0A">
        <w:rPr>
          <w:rFonts w:cstheme="minorHAnsi"/>
          <w:b/>
        </w:rPr>
        <w:t xml:space="preserve">Karaibskiej Wspólnoty i </w:t>
      </w:r>
      <w:r w:rsidRPr="005C7C0A">
        <w:rPr>
          <w:rFonts w:cstheme="minorHAnsi"/>
          <w:b/>
        </w:rPr>
        <w:lastRenderedPageBreak/>
        <w:t>Wspólnego Rynku</w:t>
      </w:r>
      <w:r w:rsidRPr="005C7C0A">
        <w:rPr>
          <w:rFonts w:cstheme="minorHAnsi"/>
        </w:rPr>
        <w:t xml:space="preserve"> (CARICOM) (pozostały jednak poza strefą wolnego handlu CARIFTA. Bahamy są również członkiem wielu innych organizacji (m. in. AOSIS, CDB, CELAC, FAO, IADB, IBRD, ICAO, ILO, IMO, IMSO, Interpol, IOC, IOM, ITSO, ITU, LAES, MIGA, OPANAL, OPCW, Petrocaribe, UNCTAD, UNESCO, UNIDO, UNWTO, UPU, WCO, WHO, WIPO i WMO). W grudniu 2021 r. zostały ponownie wybrane do Rady IMO, na kadencję 2022-2023.</w:t>
      </w:r>
    </w:p>
    <w:p w:rsidR="00582E46" w:rsidRPr="005C7C0A" w:rsidRDefault="00582E46" w:rsidP="00A71497">
      <w:pPr>
        <w:spacing w:before="240" w:after="120" w:line="264" w:lineRule="auto"/>
        <w:jc w:val="both"/>
        <w:outlineLvl w:val="3"/>
        <w:rPr>
          <w:rFonts w:cstheme="minorHAnsi"/>
        </w:rPr>
      </w:pPr>
      <w:r w:rsidRPr="005C7C0A">
        <w:rPr>
          <w:rFonts w:cstheme="minorHAnsi"/>
          <w:b/>
        </w:rPr>
        <w:t>Bahamy mają status obserwatora przy WTO</w:t>
      </w:r>
      <w:r w:rsidRPr="005C7C0A">
        <w:rPr>
          <w:rFonts w:cstheme="minorHAnsi"/>
        </w:rPr>
        <w:t xml:space="preserve">. We wrześniu 2018 r. wznowiono proces mający doprowadzić do osiągnięcia pełnego członkostwa w </w:t>
      </w:r>
      <w:r w:rsidR="00BC0B9D">
        <w:rPr>
          <w:rFonts w:cstheme="minorHAnsi"/>
        </w:rPr>
        <w:t>WTO</w:t>
      </w:r>
      <w:r w:rsidRPr="005C7C0A">
        <w:rPr>
          <w:rFonts w:cstheme="minorHAnsi"/>
        </w:rPr>
        <w:t xml:space="preserve"> (Bahamy są jedynym państwem regionu Ameryk niebędącym członkiem WTO), a władze bahamskie deklarowały determinację do uzyskania członkostwa przed 12. Konferencją Ministerialną WTO w czerwcu 2020 r. Cel ten jednak nie został osiągnięty i wszystko wskazuje na to, że proces akcesyjny, który formalnie toczy się od lipca 2001 r., nie zakończy się przed 2025 r.</w:t>
      </w:r>
    </w:p>
    <w:p w:rsidR="004E48B3" w:rsidRPr="005C7C0A" w:rsidRDefault="004E48B3" w:rsidP="00AE6C2F">
      <w:pPr>
        <w:spacing w:before="240" w:after="120" w:line="264" w:lineRule="auto"/>
        <w:jc w:val="both"/>
        <w:outlineLvl w:val="3"/>
        <w:rPr>
          <w:rFonts w:eastAsia="Calibri" w:cstheme="minorHAnsi"/>
        </w:rPr>
      </w:pPr>
      <w:r w:rsidRPr="005C7C0A">
        <w:rPr>
          <w:rFonts w:eastAsia="Calibri" w:cstheme="minorHAnsi"/>
        </w:rPr>
        <w:t xml:space="preserve">Bahamy utrzymują bardzo bliskie stosunki polityczne, gospodarcze i kulturowe ze </w:t>
      </w:r>
      <w:r w:rsidRPr="005C7C0A">
        <w:rPr>
          <w:rFonts w:eastAsia="Calibri" w:cstheme="minorHAnsi"/>
          <w:b/>
        </w:rPr>
        <w:t>Stanami Zjednoczonymi</w:t>
      </w:r>
      <w:r w:rsidRPr="005C7C0A">
        <w:rPr>
          <w:rFonts w:eastAsia="Calibri" w:cstheme="minorHAnsi"/>
        </w:rPr>
        <w:t xml:space="preserve"> oraz </w:t>
      </w:r>
      <w:r w:rsidRPr="005C7C0A">
        <w:rPr>
          <w:rFonts w:eastAsia="Calibri" w:cstheme="minorHAnsi"/>
          <w:b/>
        </w:rPr>
        <w:t>Wielką Brytanią</w:t>
      </w:r>
      <w:r w:rsidR="00AB5102">
        <w:rPr>
          <w:rFonts w:eastAsia="Calibri" w:cstheme="minorHAnsi"/>
        </w:rPr>
        <w:t>. Stosunki dyplomatyczne z USA zostały</w:t>
      </w:r>
      <w:r w:rsidRPr="005C7C0A">
        <w:rPr>
          <w:rFonts w:eastAsia="Calibri" w:cstheme="minorHAnsi"/>
        </w:rPr>
        <w:t xml:space="preserve"> nawiązane w 1973 r.</w:t>
      </w:r>
      <w:r w:rsidR="00AB5102">
        <w:rPr>
          <w:rFonts w:eastAsia="Calibri" w:cstheme="minorHAnsi"/>
        </w:rPr>
        <w:t xml:space="preserve"> Obowiązuje </w:t>
      </w:r>
      <w:r w:rsidRPr="005C7C0A">
        <w:rPr>
          <w:rFonts w:eastAsia="Calibri" w:cstheme="minorHAnsi"/>
        </w:rPr>
        <w:t xml:space="preserve">ponad 30 umów i porozumień dwustronnych. Władze bahamskie współpracują z USA w </w:t>
      </w:r>
      <w:r w:rsidRPr="005C7C0A">
        <w:rPr>
          <w:rFonts w:cstheme="minorHAnsi"/>
        </w:rPr>
        <w:t>zwalczaniu</w:t>
      </w:r>
      <w:r w:rsidRPr="005C7C0A">
        <w:rPr>
          <w:rFonts w:eastAsia="Calibri" w:cstheme="minorHAnsi"/>
        </w:rPr>
        <w:t xml:space="preserve"> przemytu narkotyków oraz nielegalnych imigrantów. Między oboma krajami istnieje porozumienie o współpracy granicznej (</w:t>
      </w:r>
      <w:r w:rsidRPr="005C7C0A">
        <w:rPr>
          <w:rFonts w:eastAsia="Calibri" w:cstheme="minorHAnsi"/>
          <w:i/>
        </w:rPr>
        <w:t>USA and The Commonwealth of The Bahamas Preclearance Agreement</w:t>
      </w:r>
      <w:r w:rsidRPr="005C7C0A">
        <w:rPr>
          <w:rFonts w:eastAsia="Calibri" w:cstheme="minorHAnsi"/>
        </w:rPr>
        <w:t>) polegające na wprowadzeniu na lotniskach międzynarodowych w Nassau i Freeport amerykańskiej kontroli paszportowej dla podróżnych udających się do USA. Na Bahamach mieszka na stałe ok</w:t>
      </w:r>
      <w:r w:rsidR="00BC0B9D">
        <w:rPr>
          <w:rFonts w:eastAsia="Calibri" w:cstheme="minorHAnsi"/>
        </w:rPr>
        <w:t>.</w:t>
      </w:r>
      <w:r w:rsidRPr="005C7C0A">
        <w:rPr>
          <w:rFonts w:eastAsia="Calibri" w:cstheme="minorHAnsi"/>
        </w:rPr>
        <w:t xml:space="preserve"> 30 tys. obywateli amerykańskich. Na wyspach swoje siedziby ma ponad 100 firm związanych ze Stanami Zjednoczonymi. </w:t>
      </w:r>
      <w:r w:rsidRPr="005C7C0A">
        <w:rPr>
          <w:rFonts w:eastAsia="Calibri" w:cstheme="minorHAnsi"/>
          <w:b/>
        </w:rPr>
        <w:t>W maju 2022 r. premier Davis stwierdził, że USA powinny „zrobić więcej” w sprawie broni palnej</w:t>
      </w:r>
      <w:r w:rsidRPr="005C7C0A">
        <w:rPr>
          <w:rFonts w:eastAsia="Calibri" w:cstheme="minorHAnsi"/>
        </w:rPr>
        <w:t>, która jest tam sprzedawana legalnie, ale następnie trafia nielegalnie na Bahamy, gdzie bywa używana do popełniania przestępstw.</w:t>
      </w:r>
    </w:p>
    <w:p w:rsidR="004E48B3" w:rsidRPr="005C7C0A" w:rsidRDefault="004E48B3" w:rsidP="00AE6C2F">
      <w:pPr>
        <w:spacing w:before="240" w:after="120" w:line="264" w:lineRule="auto"/>
        <w:jc w:val="both"/>
        <w:outlineLvl w:val="3"/>
        <w:rPr>
          <w:rFonts w:eastAsia="Calibri" w:cstheme="minorHAnsi"/>
        </w:rPr>
      </w:pPr>
      <w:r w:rsidRPr="005C7C0A">
        <w:rPr>
          <w:rFonts w:eastAsia="Calibri" w:cstheme="minorHAnsi"/>
        </w:rPr>
        <w:t xml:space="preserve">Szczególną wagę mają dla Bahamów również – ze względu na sąsiedztwo geograficzne – relacje z </w:t>
      </w:r>
      <w:r w:rsidRPr="005C7C0A">
        <w:rPr>
          <w:rFonts w:eastAsia="Calibri" w:cstheme="minorHAnsi"/>
          <w:b/>
        </w:rPr>
        <w:t>wyspiarskimi państwami regionu Karaibów</w:t>
      </w:r>
      <w:r w:rsidRPr="005C7C0A">
        <w:rPr>
          <w:rFonts w:eastAsia="Calibri" w:cstheme="minorHAnsi"/>
        </w:rPr>
        <w:t xml:space="preserve">. W ostatnich latach znaczenia nabierają relacje z </w:t>
      </w:r>
      <w:r w:rsidRPr="005C7C0A">
        <w:rPr>
          <w:rFonts w:eastAsia="Calibri" w:cstheme="minorHAnsi"/>
          <w:b/>
        </w:rPr>
        <w:t>ChRL</w:t>
      </w:r>
      <w:r w:rsidRPr="005C7C0A">
        <w:rPr>
          <w:rFonts w:eastAsia="Calibri" w:cstheme="minorHAnsi"/>
        </w:rPr>
        <w:t xml:space="preserve">, ze względu na chińskie zaangażowanie inwestycyjne na archipelagu. </w:t>
      </w:r>
    </w:p>
    <w:p w:rsidR="004E48B3" w:rsidRPr="005C7C0A" w:rsidRDefault="004E48B3" w:rsidP="00AE6C2F">
      <w:pPr>
        <w:spacing w:before="240" w:after="120" w:line="264" w:lineRule="auto"/>
        <w:jc w:val="both"/>
        <w:outlineLvl w:val="3"/>
        <w:rPr>
          <w:rFonts w:eastAsia="Calibri" w:cstheme="minorHAnsi"/>
        </w:rPr>
      </w:pPr>
      <w:r w:rsidRPr="005C7C0A">
        <w:rPr>
          <w:rFonts w:eastAsia="Calibri" w:cstheme="minorHAnsi"/>
          <w:b/>
        </w:rPr>
        <w:t>Priorytety bahamskiej polityki zagranicznej</w:t>
      </w:r>
      <w:r w:rsidRPr="005C7C0A">
        <w:rPr>
          <w:rFonts w:eastAsia="Calibri" w:cstheme="minorHAnsi"/>
        </w:rPr>
        <w:t xml:space="preserve"> odzwierciedla mapa ambasad tego kraju na świecie. </w:t>
      </w:r>
      <w:r w:rsidRPr="005C7C0A">
        <w:rPr>
          <w:rFonts w:eastAsia="Calibri" w:cstheme="minorHAnsi"/>
          <w:b/>
        </w:rPr>
        <w:t>Bahamy mają</w:t>
      </w:r>
      <w:r w:rsidRPr="005C7C0A">
        <w:rPr>
          <w:rFonts w:eastAsia="Calibri" w:cstheme="minorHAnsi"/>
        </w:rPr>
        <w:t xml:space="preserve"> </w:t>
      </w:r>
      <w:r w:rsidRPr="005C7C0A">
        <w:rPr>
          <w:rFonts w:eastAsia="Calibri" w:cstheme="minorHAnsi"/>
          <w:b/>
        </w:rPr>
        <w:t>ambasady tylko w 7 krajach</w:t>
      </w:r>
      <w:r w:rsidRPr="005C7C0A">
        <w:rPr>
          <w:rFonts w:eastAsia="Calibri" w:cstheme="minorHAnsi"/>
        </w:rPr>
        <w:t xml:space="preserve">: </w:t>
      </w:r>
      <w:r w:rsidRPr="005C7C0A">
        <w:rPr>
          <w:rFonts w:eastAsia="Calibri" w:cstheme="minorHAnsi"/>
          <w:b/>
        </w:rPr>
        <w:t>w Chinach, na Haiti, w Kanadzie, na Kubie, w USA, w Wielkiej Brytanii i w Brukseli (w tym przy UE).</w:t>
      </w:r>
      <w:r w:rsidRPr="005C7C0A">
        <w:rPr>
          <w:rFonts w:eastAsia="Calibri" w:cstheme="minorHAnsi"/>
        </w:rPr>
        <w:t xml:space="preserve"> Mają również Stałe Przedstawicielstwa przy ONZ w Genewie i Nowym Jorku i przy OPA w Waszyngtonie, a także konsulaty generalne w Atlancie, Miami, Nowym Jorku i Waszyngtonie. Bahamy mają ponadto konsulów honorowych w ok. 30 krajach świata. W czerwcu 2022 r. minister SZ Mitchell ogłosił, że jego resort rozważa otwarcie konsulatów w Toronto, Los Angeles, Dubaju, na Jamajce, na Trinidadzie oraz w Panamie.</w:t>
      </w:r>
    </w:p>
    <w:p w:rsidR="00AB5102" w:rsidRDefault="00AE6C2F" w:rsidP="00AE6C2F">
      <w:pPr>
        <w:spacing w:before="240" w:after="120" w:line="264" w:lineRule="auto"/>
        <w:jc w:val="both"/>
        <w:outlineLvl w:val="3"/>
        <w:rPr>
          <w:rFonts w:eastAsia="Calibri" w:cstheme="minorHAnsi"/>
        </w:rPr>
      </w:pPr>
      <w:r w:rsidRPr="005C7C0A">
        <w:rPr>
          <w:rFonts w:eastAsia="Calibri" w:cstheme="minorHAnsi"/>
          <w:b/>
        </w:rPr>
        <w:t>W Nassau ambasady ma</w:t>
      </w:r>
      <w:r w:rsidR="00AB5102">
        <w:rPr>
          <w:rFonts w:eastAsia="Calibri" w:cstheme="minorHAnsi"/>
          <w:b/>
        </w:rPr>
        <w:t>ją</w:t>
      </w:r>
      <w:r w:rsidR="004E48B3" w:rsidRPr="005C7C0A">
        <w:rPr>
          <w:rFonts w:eastAsia="Calibri" w:cstheme="minorHAnsi"/>
          <w:b/>
        </w:rPr>
        <w:t>: Brazylia, Chiny, Haiti, Kuba, San Marino, USA i Zakon Kawalerów Maltańskich.</w:t>
      </w:r>
      <w:r w:rsidR="004E48B3" w:rsidRPr="005C7C0A">
        <w:rPr>
          <w:rFonts w:eastAsia="Calibri" w:cstheme="minorHAnsi"/>
        </w:rPr>
        <w:t xml:space="preserve"> Ambasadorowie 67 innych państw są akredytowani na Bahamach, mając siedziby w innych miastach, w tym zwłaszcza w Waszyngtonie, Nowym Jorku i Kingston na Jamajce, ale również m.in. w Hawanie, Ottawie i mieście Meksyk. W Nassau mają swoje biura również przedstawicielstwa organizacji międzynarodowych (OPA, Międzyamerykańskiego Banku Rozwoju, WHO i Panamerykańskiej Organizacji Zdrowia</w:t>
      </w:r>
      <w:r w:rsidR="00AB5102">
        <w:rPr>
          <w:rFonts w:eastAsia="Calibri" w:cstheme="minorHAnsi"/>
        </w:rPr>
        <w:t xml:space="preserve"> oraz Międzyamerykańskiego Insty</w:t>
      </w:r>
      <w:r w:rsidR="004E48B3" w:rsidRPr="005C7C0A">
        <w:rPr>
          <w:rFonts w:eastAsia="Calibri" w:cstheme="minorHAnsi"/>
        </w:rPr>
        <w:t>tutu na rzecz Rozwoju Rolnictwa [IICA]). W Nassau jest pon</w:t>
      </w:r>
      <w:bookmarkStart w:id="2" w:name="_Hlk174970121"/>
      <w:r w:rsidR="00AB5102">
        <w:rPr>
          <w:rFonts w:eastAsia="Calibri" w:cstheme="minorHAnsi"/>
        </w:rPr>
        <w:t>adto ok. 50 konsulów honorowych.</w:t>
      </w:r>
    </w:p>
    <w:p w:rsidR="004E48B3" w:rsidRPr="005C7C0A" w:rsidRDefault="004E48B3" w:rsidP="00AE6C2F">
      <w:pPr>
        <w:spacing w:before="240" w:after="120" w:line="264" w:lineRule="auto"/>
        <w:jc w:val="both"/>
        <w:outlineLvl w:val="3"/>
        <w:rPr>
          <w:rFonts w:eastAsiaTheme="minorHAnsi" w:cstheme="minorHAnsi"/>
          <w:lang w:eastAsia="pl-PL"/>
        </w:rPr>
      </w:pPr>
      <w:r w:rsidRPr="005C7C0A">
        <w:rPr>
          <w:rFonts w:eastAsiaTheme="minorHAnsi" w:cstheme="minorHAnsi"/>
          <w:lang w:eastAsia="pl-PL"/>
        </w:rPr>
        <w:lastRenderedPageBreak/>
        <w:t xml:space="preserve">Bahamy są członkiem </w:t>
      </w:r>
      <w:r w:rsidRPr="005C7C0A">
        <w:rPr>
          <w:rFonts w:eastAsiaTheme="minorHAnsi" w:cstheme="minorHAnsi"/>
          <w:b/>
          <w:bCs/>
          <w:lang w:eastAsia="pl-PL"/>
        </w:rPr>
        <w:t>grupy państw afrykańskich, karaibskich i pacyficznych</w:t>
      </w:r>
      <w:r w:rsidRPr="005C7C0A">
        <w:rPr>
          <w:rFonts w:eastAsiaTheme="minorHAnsi" w:cstheme="minorHAnsi"/>
          <w:lang w:eastAsia="pl-PL"/>
        </w:rPr>
        <w:t xml:space="preserve"> (obecnie określanych jako </w:t>
      </w:r>
      <w:r w:rsidRPr="005C7C0A">
        <w:rPr>
          <w:rFonts w:eastAsiaTheme="minorHAnsi" w:cstheme="minorHAnsi"/>
          <w:i/>
          <w:iCs/>
          <w:lang w:eastAsia="pl-PL"/>
        </w:rPr>
        <w:t>Organisation of African, Caribbean and Pacific States</w:t>
      </w:r>
      <w:r w:rsidRPr="005C7C0A">
        <w:rPr>
          <w:rFonts w:eastAsiaTheme="minorHAnsi" w:cstheme="minorHAnsi"/>
          <w:lang w:eastAsia="pl-PL"/>
        </w:rPr>
        <w:t xml:space="preserve"> – </w:t>
      </w:r>
      <w:r w:rsidRPr="005C7C0A">
        <w:rPr>
          <w:rFonts w:eastAsiaTheme="minorHAnsi" w:cstheme="minorHAnsi"/>
          <w:b/>
          <w:bCs/>
          <w:lang w:eastAsia="pl-PL"/>
        </w:rPr>
        <w:t>OACPS</w:t>
      </w:r>
      <w:r w:rsidRPr="005C7C0A">
        <w:rPr>
          <w:rFonts w:eastAsiaTheme="minorHAnsi" w:cstheme="minorHAnsi"/>
          <w:lang w:eastAsia="pl-PL"/>
        </w:rPr>
        <w:t xml:space="preserve">, wcześniej znanych jako </w:t>
      </w:r>
      <w:r w:rsidRPr="005C7C0A">
        <w:rPr>
          <w:rFonts w:eastAsiaTheme="minorHAnsi" w:cstheme="minorHAnsi"/>
          <w:i/>
          <w:iCs/>
          <w:lang w:eastAsia="pl-PL"/>
        </w:rPr>
        <w:t>ACP Group of States</w:t>
      </w:r>
      <w:r w:rsidRPr="005C7C0A">
        <w:rPr>
          <w:rFonts w:eastAsiaTheme="minorHAnsi" w:cstheme="minorHAnsi"/>
          <w:lang w:eastAsia="pl-PL"/>
        </w:rPr>
        <w:t xml:space="preserve"> – ACP) związanych szczególnym partnerstwem z </w:t>
      </w:r>
      <w:r w:rsidRPr="005C7C0A">
        <w:rPr>
          <w:rFonts w:eastAsiaTheme="minorHAnsi" w:cstheme="minorHAnsi"/>
          <w:b/>
          <w:lang w:eastAsia="pl-PL"/>
        </w:rPr>
        <w:t>Unią Europejską</w:t>
      </w:r>
      <w:r w:rsidRPr="005C7C0A">
        <w:rPr>
          <w:rFonts w:eastAsiaTheme="minorHAnsi" w:cstheme="minorHAnsi"/>
          <w:lang w:eastAsia="pl-PL"/>
        </w:rPr>
        <w:t xml:space="preserve">. Współpraca Bahamów z UE w tych ramach trwa od 1975 r., tzn. od podpisania pierwszej Konwencji z Lomé. Przez ostatnie lata podstawą prawną była Umowa o Partnerstwie AKP-UE, tzw. </w:t>
      </w:r>
      <w:r w:rsidRPr="005C7C0A">
        <w:rPr>
          <w:rFonts w:eastAsiaTheme="minorHAnsi" w:cstheme="minorHAnsi"/>
          <w:b/>
          <w:lang w:eastAsia="pl-PL"/>
        </w:rPr>
        <w:t>Umowa z Kotonu</w:t>
      </w:r>
      <w:r w:rsidRPr="005C7C0A">
        <w:rPr>
          <w:rFonts w:eastAsiaTheme="minorHAnsi" w:cstheme="minorHAnsi"/>
          <w:lang w:eastAsia="pl-PL"/>
        </w:rPr>
        <w:t xml:space="preserve"> – prawnie wiążące porozumienie międzynarodowe określające relacje między UE i jej PCz oraz 79 państwami AKP. Umowa, zawarta w 2000 r., straciła ważność 29.02.2020 r. Jednak dzięki temu, że </w:t>
      </w:r>
      <w:r w:rsidRPr="005C7C0A">
        <w:rPr>
          <w:rFonts w:eastAsiaTheme="minorHAnsi" w:cstheme="minorHAnsi"/>
          <w:b/>
          <w:bCs/>
          <w:lang w:eastAsia="pl-PL"/>
        </w:rPr>
        <w:t xml:space="preserve">przedłużono tymczasowe stosowanie wygasłej Umowy z </w:t>
      </w:r>
      <w:r w:rsidRPr="005C7C0A">
        <w:rPr>
          <w:rFonts w:eastAsiaTheme="minorHAnsi" w:cstheme="minorHAnsi"/>
          <w:b/>
          <w:lang w:eastAsia="pl-PL"/>
        </w:rPr>
        <w:t>Kotonu</w:t>
      </w:r>
      <w:r w:rsidRPr="005C7C0A">
        <w:rPr>
          <w:rFonts w:eastAsiaTheme="minorHAnsi" w:cstheme="minorHAnsi"/>
          <w:b/>
          <w:bCs/>
          <w:lang w:eastAsia="pl-PL"/>
        </w:rPr>
        <w:t xml:space="preserve"> do czerwca 2023 r.</w:t>
      </w:r>
      <w:r w:rsidRPr="005C7C0A">
        <w:rPr>
          <w:rFonts w:eastAsiaTheme="minorHAnsi" w:cstheme="minorHAnsi"/>
          <w:lang w:eastAsia="pl-PL"/>
        </w:rPr>
        <w:t xml:space="preserve">, uniknięto „próżni prawnej” i zapewniono warunki do kontynuacji współpracy. </w:t>
      </w:r>
      <w:r w:rsidRPr="005C7C0A">
        <w:rPr>
          <w:rFonts w:eastAsiaTheme="minorHAnsi" w:cstheme="minorHAnsi"/>
          <w:b/>
          <w:bCs/>
          <w:lang w:eastAsia="pl-PL"/>
        </w:rPr>
        <w:t>Nowa umowa</w:t>
      </w:r>
      <w:r w:rsidRPr="005C7C0A">
        <w:rPr>
          <w:rFonts w:eastAsiaTheme="minorHAnsi" w:cstheme="minorHAnsi"/>
          <w:lang w:eastAsia="pl-PL"/>
        </w:rPr>
        <w:t xml:space="preserve"> będąca podstawą dla relacji UE z państwami afrykańskimi, karaibskimi i pacyficznymi </w:t>
      </w:r>
      <w:r w:rsidRPr="005C7C0A">
        <w:rPr>
          <w:rFonts w:eastAsiaTheme="minorHAnsi" w:cstheme="minorHAnsi"/>
          <w:b/>
          <w:bCs/>
          <w:lang w:eastAsia="pl-PL"/>
        </w:rPr>
        <w:t>została wynegocjowana</w:t>
      </w:r>
      <w:r w:rsidRPr="005C7C0A">
        <w:rPr>
          <w:rFonts w:eastAsiaTheme="minorHAnsi" w:cstheme="minorHAnsi"/>
          <w:lang w:eastAsia="pl-PL"/>
        </w:rPr>
        <w:t xml:space="preserve"> i </w:t>
      </w:r>
      <w:r w:rsidRPr="005C7C0A">
        <w:rPr>
          <w:rFonts w:eastAsiaTheme="minorHAnsi" w:cstheme="minorHAnsi"/>
          <w:b/>
          <w:bCs/>
          <w:lang w:eastAsia="pl-PL"/>
        </w:rPr>
        <w:t xml:space="preserve">parafowana 15.04.2021 r., a 15.11.2023 oficjalnie podpisana przez państwa członkowskie UE i członków Organizacji Państw Afryki, Karaibów o Pacyfiku w Samoa </w:t>
      </w:r>
      <w:r w:rsidRPr="005C7C0A">
        <w:rPr>
          <w:rFonts w:eastAsiaTheme="minorHAnsi" w:cstheme="minorHAnsi"/>
          <w:lang w:eastAsia="pl-PL"/>
        </w:rPr>
        <w:t>(</w:t>
      </w:r>
      <w:r w:rsidRPr="005C7C0A">
        <w:rPr>
          <w:rFonts w:eastAsiaTheme="minorHAnsi" w:cstheme="minorHAnsi"/>
          <w:b/>
          <w:bCs/>
          <w:lang w:eastAsia="pl-PL"/>
        </w:rPr>
        <w:t>Umow</w:t>
      </w:r>
      <w:r w:rsidR="00AE6C2F" w:rsidRPr="005C7C0A">
        <w:rPr>
          <w:rFonts w:eastAsiaTheme="minorHAnsi" w:cstheme="minorHAnsi"/>
          <w:b/>
          <w:bCs/>
          <w:lang w:eastAsia="pl-PL"/>
        </w:rPr>
        <w:t xml:space="preserve">a </w:t>
      </w:r>
      <w:r w:rsidRPr="005C7C0A">
        <w:rPr>
          <w:rFonts w:eastAsiaTheme="minorHAnsi" w:cstheme="minorHAnsi"/>
          <w:b/>
          <w:bCs/>
          <w:lang w:eastAsia="pl-PL"/>
        </w:rPr>
        <w:t>z Samoa)</w:t>
      </w:r>
      <w:r w:rsidRPr="005C7C0A">
        <w:rPr>
          <w:rFonts w:eastAsiaTheme="minorHAnsi" w:cstheme="minorHAnsi"/>
          <w:lang w:eastAsia="pl-PL"/>
        </w:rPr>
        <w:t xml:space="preserve">. </w:t>
      </w:r>
    </w:p>
    <w:p w:rsidR="004E48B3" w:rsidRPr="005C7C0A" w:rsidRDefault="004E48B3" w:rsidP="00A71497">
      <w:pPr>
        <w:spacing w:before="240" w:after="120" w:line="264" w:lineRule="auto"/>
        <w:jc w:val="both"/>
        <w:outlineLvl w:val="3"/>
        <w:rPr>
          <w:rFonts w:eastAsia="Calibri" w:cstheme="minorHAnsi"/>
        </w:rPr>
      </w:pPr>
      <w:bookmarkStart w:id="3" w:name="_Hlk174970606"/>
      <w:bookmarkEnd w:id="2"/>
      <w:r w:rsidRPr="005C7C0A">
        <w:rPr>
          <w:rFonts w:eastAsia="Calibri" w:cstheme="minorHAnsi"/>
        </w:rPr>
        <w:t>Jako członek organizacji CARICOM</w:t>
      </w:r>
      <w:r w:rsidRPr="005C7C0A">
        <w:rPr>
          <w:rFonts w:eastAsia="Calibri" w:cstheme="minorHAnsi"/>
          <w:vertAlign w:val="superscript"/>
        </w:rPr>
        <w:footnoteReference w:id="1"/>
      </w:r>
      <w:r w:rsidRPr="005C7C0A">
        <w:rPr>
          <w:rFonts w:eastAsia="Calibri" w:cstheme="minorHAnsi"/>
        </w:rPr>
        <w:t xml:space="preserve"> i CARIFORUM</w:t>
      </w:r>
      <w:r w:rsidRPr="005C7C0A">
        <w:rPr>
          <w:rFonts w:eastAsia="Calibri" w:cstheme="minorHAnsi"/>
          <w:vertAlign w:val="superscript"/>
        </w:rPr>
        <w:footnoteReference w:id="2"/>
      </w:r>
      <w:r w:rsidRPr="005C7C0A">
        <w:rPr>
          <w:rFonts w:eastAsia="Calibri" w:cstheme="minorHAnsi"/>
        </w:rPr>
        <w:t xml:space="preserve">, Bahamy są stroną </w:t>
      </w:r>
      <w:r w:rsidRPr="005C7C0A">
        <w:rPr>
          <w:rFonts w:eastAsia="Calibri" w:cstheme="minorHAnsi"/>
          <w:b/>
        </w:rPr>
        <w:t>Umowy o Partnerstwie Gospodarczym (</w:t>
      </w:r>
      <w:r w:rsidRPr="005C7C0A">
        <w:rPr>
          <w:rFonts w:eastAsia="Calibri" w:cstheme="minorHAnsi"/>
          <w:b/>
          <w:i/>
        </w:rPr>
        <w:t>Economic Partnership Agrement</w:t>
      </w:r>
      <w:r w:rsidRPr="005C7C0A">
        <w:rPr>
          <w:rFonts w:eastAsia="Calibri" w:cstheme="minorHAnsi"/>
          <w:b/>
        </w:rPr>
        <w:t xml:space="preserve"> – EPA)</w:t>
      </w:r>
      <w:r w:rsidRPr="005C7C0A">
        <w:rPr>
          <w:rFonts w:eastAsia="Calibri" w:cstheme="minorHAnsi"/>
        </w:rPr>
        <w:t xml:space="preserve"> z UE, zawartej w 2008 r. Reguluje ona m.in. handel towarami i usługami, prawa własności intelektualnej, zamówienia publiczne oraz zasady konkurencji. Umowa ta była przedmiotem kontrowersji i opozycji ze strony znacznej części </w:t>
      </w:r>
      <w:r w:rsidRPr="005C7C0A">
        <w:rPr>
          <w:rFonts w:cstheme="minorHAnsi"/>
        </w:rPr>
        <w:t>społeczeństwa</w:t>
      </w:r>
      <w:r w:rsidRPr="005C7C0A">
        <w:rPr>
          <w:rFonts w:eastAsia="Calibri" w:cstheme="minorHAnsi"/>
        </w:rPr>
        <w:t xml:space="preserve"> Bahamów. Zaniepokojenie mieszkańców wysp wywoływał fakt, iż EPA</w:t>
      </w:r>
      <w:r w:rsidRPr="005C7C0A">
        <w:rPr>
          <w:rFonts w:eastAsia="Calibri" w:cstheme="minorHAnsi"/>
          <w:i/>
        </w:rPr>
        <w:t xml:space="preserve"> </w:t>
      </w:r>
      <w:r w:rsidRPr="005C7C0A">
        <w:rPr>
          <w:rFonts w:eastAsia="Calibri" w:cstheme="minorHAnsi"/>
        </w:rPr>
        <w:t>przewiduje w dłuższym okresie (10-15 lat) znaczne obniżenie, a następnie wyeliminowanie, opłat celnych na większość towarów importowanych z UE. Wielu mieszkańców Bahamów obawiało się, że spowoduje to spadek wpływów do budżetu państwa i w konsekwencji wprowadzenie nowych podatków (istotnie w 2015 r. na Bahamach wprowadzono VAT).</w:t>
      </w:r>
      <w:bookmarkEnd w:id="3"/>
    </w:p>
    <w:p w:rsidR="006F42CF" w:rsidRPr="005C7C0A" w:rsidRDefault="003A232A" w:rsidP="00A71497">
      <w:pPr>
        <w:spacing w:before="240" w:after="120" w:line="264" w:lineRule="auto"/>
        <w:jc w:val="both"/>
        <w:outlineLvl w:val="3"/>
        <w:rPr>
          <w:rFonts w:cstheme="minorHAnsi"/>
        </w:rPr>
      </w:pPr>
      <w:r w:rsidRPr="005C7C0A">
        <w:rPr>
          <w:rFonts w:cstheme="minorHAnsi"/>
        </w:rPr>
        <w:t xml:space="preserve">W trakcie </w:t>
      </w:r>
      <w:r w:rsidRPr="005C7C0A">
        <w:rPr>
          <w:rFonts w:cstheme="minorHAnsi"/>
          <w:b/>
        </w:rPr>
        <w:t>Zgromadzenia Generalnego Międzynarodowej Organizacji Morskiej</w:t>
      </w:r>
      <w:r w:rsidRPr="005C7C0A">
        <w:rPr>
          <w:rFonts w:cstheme="minorHAnsi"/>
        </w:rPr>
        <w:t>, które odbyło się w dniach 27.11-1.12.2023 r., Bahamy zostały ponownie wybrane członkiem Rady, będącej organem wykonawczym organizacji.</w:t>
      </w:r>
    </w:p>
    <w:p w:rsidR="00ED0D2C" w:rsidRPr="005C7C0A" w:rsidRDefault="00036C38" w:rsidP="00AE6C2F">
      <w:pPr>
        <w:spacing w:before="240" w:after="120" w:line="264" w:lineRule="auto"/>
        <w:ind w:left="360"/>
        <w:outlineLvl w:val="3"/>
        <w:rPr>
          <w:rFonts w:cstheme="minorHAnsi"/>
          <w:b/>
        </w:rPr>
      </w:pPr>
      <w:r>
        <w:rPr>
          <w:rFonts w:cstheme="minorHAnsi"/>
          <w:b/>
        </w:rPr>
        <w:t>6</w:t>
      </w:r>
      <w:r w:rsidR="00F66F5F" w:rsidRPr="005C7C0A">
        <w:rPr>
          <w:rFonts w:cstheme="minorHAnsi"/>
          <w:b/>
        </w:rPr>
        <w:t>.</w:t>
      </w:r>
      <w:r w:rsidR="00FC452C" w:rsidRPr="005C7C0A">
        <w:rPr>
          <w:rFonts w:cstheme="minorHAnsi"/>
          <w:b/>
        </w:rPr>
        <w:t xml:space="preserve"> </w:t>
      </w:r>
      <w:r w:rsidR="00ED0D2C" w:rsidRPr="005C7C0A">
        <w:rPr>
          <w:rFonts w:cstheme="minorHAnsi"/>
          <w:b/>
        </w:rPr>
        <w:t xml:space="preserve">Pozycja kraju w rankingach </w:t>
      </w:r>
    </w:p>
    <w:tbl>
      <w:tblPr>
        <w:tblW w:w="9639" w:type="dxa"/>
        <w:tblCellMar>
          <w:left w:w="70" w:type="dxa"/>
          <w:right w:w="70" w:type="dxa"/>
        </w:tblCellMar>
        <w:tblLook w:val="04A0" w:firstRow="1" w:lastRow="0" w:firstColumn="1" w:lastColumn="0" w:noHBand="0" w:noVBand="1"/>
      </w:tblPr>
      <w:tblGrid>
        <w:gridCol w:w="7371"/>
        <w:gridCol w:w="1134"/>
        <w:gridCol w:w="1134"/>
      </w:tblGrid>
      <w:tr w:rsidR="00ED0D2C" w:rsidRPr="005C7C0A" w:rsidTr="00A7491B">
        <w:trPr>
          <w:trHeight w:val="312"/>
        </w:trPr>
        <w:tc>
          <w:tcPr>
            <w:tcW w:w="8505" w:type="dxa"/>
            <w:gridSpan w:val="2"/>
            <w:tcBorders>
              <w:top w:val="single" w:sz="4" w:space="0" w:color="auto"/>
              <w:left w:val="single" w:sz="4" w:space="0" w:color="auto"/>
              <w:bottom w:val="single" w:sz="4" w:space="0" w:color="auto"/>
            </w:tcBorders>
            <w:shd w:val="clear" w:color="auto" w:fill="auto"/>
            <w:noWrap/>
            <w:vAlign w:val="bottom"/>
            <w:hideMark/>
          </w:tcPr>
          <w:p w:rsidR="00ED0D2C" w:rsidRPr="005C7C0A" w:rsidRDefault="00ED0D2C" w:rsidP="00A7491B">
            <w:pPr>
              <w:spacing w:after="0" w:line="240" w:lineRule="auto"/>
              <w:jc w:val="center"/>
              <w:rPr>
                <w:rFonts w:eastAsia="Times New Roman" w:cstheme="minorHAnsi"/>
                <w:b/>
                <w:bCs/>
                <w:color w:val="000000"/>
                <w:lang w:eastAsia="pl-PL"/>
              </w:rPr>
            </w:pPr>
            <w:r w:rsidRPr="005C7C0A">
              <w:rPr>
                <w:rFonts w:eastAsia="Times New Roman" w:cstheme="minorHAnsi"/>
                <w:b/>
                <w:bCs/>
                <w:color w:val="000000"/>
                <w:lang w:eastAsia="pl-PL"/>
              </w:rPr>
              <w:t>Pozycja kraju w rankingach</w:t>
            </w:r>
          </w:p>
        </w:tc>
        <w:tc>
          <w:tcPr>
            <w:tcW w:w="1134" w:type="dxa"/>
            <w:tcBorders>
              <w:top w:val="single" w:sz="4" w:space="0" w:color="auto"/>
              <w:bottom w:val="single" w:sz="4" w:space="0" w:color="auto"/>
              <w:right w:val="single" w:sz="4" w:space="0" w:color="auto"/>
            </w:tcBorders>
            <w:shd w:val="clear" w:color="auto" w:fill="auto"/>
            <w:noWrap/>
            <w:vAlign w:val="bottom"/>
            <w:hideMark/>
          </w:tcPr>
          <w:p w:rsidR="00ED0D2C" w:rsidRPr="005C7C0A" w:rsidRDefault="00ED0D2C" w:rsidP="00A7491B">
            <w:pPr>
              <w:spacing w:after="0" w:line="240" w:lineRule="auto"/>
              <w:jc w:val="center"/>
              <w:rPr>
                <w:rFonts w:eastAsia="Times New Roman" w:cstheme="minorHAnsi"/>
                <w:b/>
                <w:bCs/>
                <w:color w:val="000000"/>
                <w:lang w:eastAsia="pl-PL"/>
              </w:rPr>
            </w:pPr>
          </w:p>
        </w:tc>
      </w:tr>
      <w:tr w:rsidR="00ED0D2C" w:rsidRPr="005C7C0A" w:rsidTr="00A7491B">
        <w:trPr>
          <w:trHeight w:val="312"/>
        </w:trPr>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0D2C" w:rsidRPr="005C7C0A" w:rsidRDefault="00ED0D2C" w:rsidP="00A7491B">
            <w:pPr>
              <w:spacing w:after="0" w:line="240" w:lineRule="auto"/>
              <w:jc w:val="center"/>
              <w:rPr>
                <w:rFonts w:eastAsia="Times New Roman" w:cstheme="minorHAnsi"/>
                <w:bCs/>
                <w:color w:val="000000"/>
                <w:lang w:eastAsia="pl-PL"/>
              </w:rPr>
            </w:pPr>
            <w:r w:rsidRPr="005C7C0A">
              <w:rPr>
                <w:rFonts w:eastAsia="Times New Roman" w:cstheme="minorHAnsi"/>
                <w:bCs/>
                <w:color w:val="000000"/>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D0D2C" w:rsidRPr="005C7C0A" w:rsidRDefault="00ED0D2C" w:rsidP="00A7491B">
            <w:pPr>
              <w:spacing w:after="0" w:line="240" w:lineRule="auto"/>
              <w:jc w:val="center"/>
              <w:rPr>
                <w:rFonts w:eastAsia="Times New Roman" w:cstheme="minorHAnsi"/>
                <w:bCs/>
                <w:color w:val="000000"/>
                <w:lang w:eastAsia="pl-PL"/>
              </w:rPr>
            </w:pPr>
            <w:r w:rsidRPr="005C7C0A">
              <w:rPr>
                <w:rFonts w:eastAsia="Times New Roman" w:cstheme="minorHAnsi"/>
                <w:bCs/>
                <w:color w:val="000000"/>
                <w:lang w:eastAsia="pl-PL"/>
              </w:rPr>
              <w:t> pkt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D0D2C" w:rsidRPr="005C7C0A" w:rsidRDefault="00ED0D2C" w:rsidP="00A7491B">
            <w:pPr>
              <w:spacing w:after="0" w:line="240" w:lineRule="auto"/>
              <w:rPr>
                <w:rFonts w:eastAsia="Times New Roman" w:cstheme="minorHAnsi"/>
                <w:color w:val="000000"/>
                <w:lang w:eastAsia="pl-PL"/>
              </w:rPr>
            </w:pPr>
            <w:r w:rsidRPr="005C7C0A">
              <w:rPr>
                <w:rFonts w:eastAsia="Times New Roman" w:cstheme="minorHAnsi"/>
                <w:color w:val="000000"/>
                <w:lang w:eastAsia="pl-PL"/>
              </w:rPr>
              <w:t> pozycja</w:t>
            </w:r>
          </w:p>
        </w:tc>
      </w:tr>
      <w:tr w:rsidR="00ED0D2C" w:rsidRPr="005C7C0A" w:rsidTr="00A7491B">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ED0D2C" w:rsidRPr="005C7C0A" w:rsidRDefault="002F331E" w:rsidP="00A7491B">
            <w:pPr>
              <w:spacing w:after="0" w:line="240" w:lineRule="auto"/>
              <w:rPr>
                <w:rFonts w:eastAsia="Times New Roman" w:cstheme="minorHAnsi"/>
                <w:color w:val="000000"/>
                <w:lang w:val="en-US" w:eastAsia="pl-PL"/>
              </w:rPr>
            </w:pPr>
            <w:hyperlink r:id="rId21" w:history="1">
              <w:r w:rsidR="00ED0D2C" w:rsidRPr="005C7C0A">
                <w:rPr>
                  <w:rStyle w:val="Hipercze"/>
                  <w:rFonts w:eastAsia="Times New Roman" w:cstheme="minorHAnsi"/>
                  <w:lang w:val="en-US" w:eastAsia="pl-PL"/>
                </w:rPr>
                <w:t>Corruption Perception Index</w:t>
              </w:r>
            </w:hyperlink>
            <w:r w:rsidR="00ED0D2C" w:rsidRPr="005C7C0A">
              <w:rPr>
                <w:rFonts w:eastAsia="Times New Roman" w:cstheme="minorHAnsi"/>
                <w:color w:val="000000"/>
                <w:lang w:val="en-US" w:eastAsia="pl-PL"/>
              </w:rPr>
              <w:t xml:space="preserve"> (Transparency International)</w:t>
            </w:r>
          </w:p>
        </w:tc>
        <w:tc>
          <w:tcPr>
            <w:tcW w:w="1134" w:type="dxa"/>
            <w:tcBorders>
              <w:top w:val="nil"/>
              <w:left w:val="nil"/>
              <w:bottom w:val="single" w:sz="4" w:space="0" w:color="auto"/>
              <w:right w:val="single" w:sz="4" w:space="0" w:color="auto"/>
            </w:tcBorders>
            <w:shd w:val="clear" w:color="auto" w:fill="auto"/>
            <w:noWrap/>
            <w:vAlign w:val="bottom"/>
            <w:hideMark/>
          </w:tcPr>
          <w:p w:rsidR="00ED0D2C" w:rsidRPr="005C7C0A" w:rsidRDefault="00641149" w:rsidP="00A7491B">
            <w:pPr>
              <w:spacing w:after="0" w:line="240" w:lineRule="auto"/>
              <w:rPr>
                <w:rFonts w:eastAsia="Times New Roman" w:cstheme="minorHAnsi"/>
                <w:lang w:val="en-US" w:eastAsia="pl-PL"/>
              </w:rPr>
            </w:pPr>
            <w:r w:rsidRPr="005C7C0A">
              <w:rPr>
                <w:rFonts w:eastAsia="Times New Roman" w:cstheme="minorHAnsi"/>
                <w:lang w:val="en-US" w:eastAsia="pl-PL"/>
              </w:rPr>
              <w:t xml:space="preserve"> 64</w:t>
            </w:r>
          </w:p>
        </w:tc>
        <w:tc>
          <w:tcPr>
            <w:tcW w:w="1134" w:type="dxa"/>
            <w:tcBorders>
              <w:top w:val="nil"/>
              <w:left w:val="nil"/>
              <w:bottom w:val="single" w:sz="4" w:space="0" w:color="auto"/>
              <w:right w:val="single" w:sz="4" w:space="0" w:color="auto"/>
            </w:tcBorders>
            <w:shd w:val="clear" w:color="auto" w:fill="auto"/>
            <w:noWrap/>
            <w:vAlign w:val="bottom"/>
            <w:hideMark/>
          </w:tcPr>
          <w:p w:rsidR="00ED0D2C" w:rsidRPr="005C7C0A" w:rsidRDefault="00ED0D2C" w:rsidP="00641149">
            <w:pPr>
              <w:spacing w:after="0" w:line="240" w:lineRule="auto"/>
              <w:rPr>
                <w:rFonts w:eastAsia="Times New Roman" w:cstheme="minorHAnsi"/>
                <w:lang w:val="en-US" w:eastAsia="pl-PL"/>
              </w:rPr>
            </w:pPr>
            <w:r w:rsidRPr="005C7C0A">
              <w:rPr>
                <w:rFonts w:eastAsia="Times New Roman" w:cstheme="minorHAnsi"/>
                <w:lang w:val="en-US" w:eastAsia="pl-PL"/>
              </w:rPr>
              <w:t> </w:t>
            </w:r>
            <w:r w:rsidR="00641149" w:rsidRPr="005C7C0A">
              <w:rPr>
                <w:rFonts w:eastAsia="Times New Roman" w:cstheme="minorHAnsi"/>
                <w:lang w:val="en-US" w:eastAsia="pl-PL"/>
              </w:rPr>
              <w:t>30</w:t>
            </w:r>
          </w:p>
        </w:tc>
      </w:tr>
      <w:tr w:rsidR="00ED0D2C" w:rsidRPr="005C7C0A" w:rsidTr="00A7491B">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ED0D2C" w:rsidRPr="005C7C0A" w:rsidRDefault="002F331E" w:rsidP="00A7491B">
            <w:pPr>
              <w:spacing w:after="0" w:line="240" w:lineRule="auto"/>
              <w:rPr>
                <w:rFonts w:eastAsia="Times New Roman" w:cstheme="minorHAnsi"/>
                <w:color w:val="000000"/>
                <w:lang w:val="en-US" w:eastAsia="pl-PL"/>
              </w:rPr>
            </w:pPr>
            <w:hyperlink r:id="rId22" w:history="1">
              <w:r w:rsidR="00ED0D2C" w:rsidRPr="005C7C0A">
                <w:rPr>
                  <w:rStyle w:val="Hipercze"/>
                  <w:rFonts w:eastAsia="Times New Roman" w:cstheme="minorHAnsi"/>
                  <w:lang w:val="en-US" w:eastAsia="pl-PL"/>
                </w:rPr>
                <w:t>Global Innovation Index</w:t>
              </w:r>
            </w:hyperlink>
            <w:r w:rsidR="00ED0D2C" w:rsidRPr="005C7C0A">
              <w:rPr>
                <w:rFonts w:eastAsia="Times New Roman" w:cstheme="minorHAnsi"/>
                <w:color w:val="000000"/>
                <w:lang w:val="en-US" w:eastAsia="pl-PL"/>
              </w:rPr>
              <w:t xml:space="preserve"> (World Intellectual Property Organization)</w:t>
            </w:r>
          </w:p>
        </w:tc>
        <w:tc>
          <w:tcPr>
            <w:tcW w:w="1134" w:type="dxa"/>
            <w:tcBorders>
              <w:top w:val="nil"/>
              <w:left w:val="nil"/>
              <w:bottom w:val="single" w:sz="4" w:space="0" w:color="auto"/>
              <w:right w:val="single" w:sz="4" w:space="0" w:color="auto"/>
            </w:tcBorders>
            <w:shd w:val="clear" w:color="auto" w:fill="auto"/>
            <w:noWrap/>
            <w:vAlign w:val="bottom"/>
            <w:hideMark/>
          </w:tcPr>
          <w:p w:rsidR="00ED0D2C" w:rsidRPr="005C7C0A" w:rsidRDefault="00ED0D2C" w:rsidP="00641149">
            <w:pPr>
              <w:spacing w:after="0" w:line="240" w:lineRule="auto"/>
              <w:rPr>
                <w:rFonts w:eastAsia="Times New Roman" w:cstheme="minorHAnsi"/>
                <w:lang w:val="en-US" w:eastAsia="pl-PL"/>
              </w:rPr>
            </w:pPr>
            <w:r w:rsidRPr="005C7C0A">
              <w:rPr>
                <w:rFonts w:eastAsia="Times New Roman" w:cstheme="minorHAnsi"/>
                <w:lang w:val="en-US" w:eastAsia="pl-PL"/>
              </w:rPr>
              <w:t> </w:t>
            </w:r>
            <w:r w:rsidR="00641149" w:rsidRPr="005C7C0A">
              <w:rPr>
                <w:rFonts w:eastAsia="Times New Roman" w:cstheme="minorHAnsi"/>
                <w:lang w:val="en-US" w:eastAsia="pl-PL"/>
              </w:rPr>
              <w:t>-</w:t>
            </w:r>
          </w:p>
        </w:tc>
        <w:tc>
          <w:tcPr>
            <w:tcW w:w="1134" w:type="dxa"/>
            <w:tcBorders>
              <w:top w:val="nil"/>
              <w:left w:val="nil"/>
              <w:bottom w:val="single" w:sz="4" w:space="0" w:color="auto"/>
              <w:right w:val="single" w:sz="4" w:space="0" w:color="auto"/>
            </w:tcBorders>
            <w:shd w:val="clear" w:color="auto" w:fill="auto"/>
            <w:noWrap/>
            <w:vAlign w:val="bottom"/>
            <w:hideMark/>
          </w:tcPr>
          <w:p w:rsidR="00ED0D2C" w:rsidRPr="005C7C0A" w:rsidRDefault="00ED0D2C" w:rsidP="00641149">
            <w:pPr>
              <w:spacing w:after="0" w:line="240" w:lineRule="auto"/>
              <w:rPr>
                <w:rFonts w:eastAsia="Times New Roman" w:cstheme="minorHAnsi"/>
                <w:lang w:val="en-US" w:eastAsia="pl-PL"/>
              </w:rPr>
            </w:pPr>
            <w:r w:rsidRPr="005C7C0A">
              <w:rPr>
                <w:rFonts w:eastAsia="Times New Roman" w:cstheme="minorHAnsi"/>
                <w:lang w:val="en-US" w:eastAsia="pl-PL"/>
              </w:rPr>
              <w:t> </w:t>
            </w:r>
            <w:r w:rsidR="00641149" w:rsidRPr="005C7C0A">
              <w:rPr>
                <w:rFonts w:eastAsia="Times New Roman" w:cstheme="minorHAnsi"/>
                <w:lang w:val="en-US" w:eastAsia="pl-PL"/>
              </w:rPr>
              <w:t>-</w:t>
            </w:r>
          </w:p>
        </w:tc>
      </w:tr>
      <w:tr w:rsidR="00ED0D2C" w:rsidRPr="005C7C0A" w:rsidTr="00A7491B">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ED0D2C" w:rsidRPr="005C7C0A" w:rsidRDefault="002F331E" w:rsidP="00A7491B">
            <w:pPr>
              <w:spacing w:after="0" w:line="240" w:lineRule="auto"/>
              <w:rPr>
                <w:rFonts w:eastAsia="Times New Roman" w:cstheme="minorHAnsi"/>
                <w:color w:val="000000"/>
                <w:lang w:val="en-US" w:eastAsia="pl-PL"/>
              </w:rPr>
            </w:pPr>
            <w:hyperlink r:id="rId23" w:history="1">
              <w:r w:rsidR="00ED0D2C" w:rsidRPr="005C7C0A">
                <w:rPr>
                  <w:rStyle w:val="Hipercze"/>
                  <w:rFonts w:eastAsia="Times New Roman" w:cstheme="minorHAnsi"/>
                  <w:lang w:val="en-US" w:eastAsia="pl-PL"/>
                </w:rPr>
                <w:t>Economic Freedom Index</w:t>
              </w:r>
            </w:hyperlink>
            <w:r w:rsidR="00ED0D2C" w:rsidRPr="005C7C0A">
              <w:rPr>
                <w:rFonts w:eastAsia="Times New Roman" w:cstheme="minorHAnsi"/>
                <w:color w:val="000000"/>
                <w:lang w:val="en-US" w:eastAsia="pl-PL"/>
              </w:rPr>
              <w:t xml:space="preserve"> (Heritage Foundation)</w:t>
            </w:r>
          </w:p>
        </w:tc>
        <w:tc>
          <w:tcPr>
            <w:tcW w:w="1134" w:type="dxa"/>
            <w:tcBorders>
              <w:top w:val="nil"/>
              <w:left w:val="nil"/>
              <w:bottom w:val="single" w:sz="4" w:space="0" w:color="auto"/>
              <w:right w:val="single" w:sz="4" w:space="0" w:color="auto"/>
            </w:tcBorders>
            <w:shd w:val="clear" w:color="auto" w:fill="auto"/>
            <w:noWrap/>
            <w:vAlign w:val="bottom"/>
            <w:hideMark/>
          </w:tcPr>
          <w:p w:rsidR="00ED0D2C" w:rsidRPr="005C7C0A" w:rsidRDefault="00ED0D2C" w:rsidP="00C05302">
            <w:pPr>
              <w:spacing w:after="0" w:line="240" w:lineRule="auto"/>
              <w:rPr>
                <w:rFonts w:eastAsia="Times New Roman" w:cstheme="minorHAnsi"/>
                <w:lang w:val="en-US" w:eastAsia="pl-PL"/>
              </w:rPr>
            </w:pPr>
            <w:r w:rsidRPr="005C7C0A">
              <w:rPr>
                <w:rFonts w:eastAsia="Times New Roman" w:cstheme="minorHAnsi"/>
                <w:lang w:val="en-US" w:eastAsia="pl-PL"/>
              </w:rPr>
              <w:t> </w:t>
            </w:r>
            <w:r w:rsidR="00C05302" w:rsidRPr="005C7C0A">
              <w:rPr>
                <w:rFonts w:eastAsia="Times New Roman" w:cstheme="minorHAnsi"/>
                <w:lang w:val="en-US" w:eastAsia="pl-PL"/>
              </w:rPr>
              <w:t>62,5</w:t>
            </w:r>
          </w:p>
        </w:tc>
        <w:tc>
          <w:tcPr>
            <w:tcW w:w="1134" w:type="dxa"/>
            <w:tcBorders>
              <w:top w:val="nil"/>
              <w:left w:val="nil"/>
              <w:bottom w:val="single" w:sz="4" w:space="0" w:color="auto"/>
              <w:right w:val="single" w:sz="4" w:space="0" w:color="auto"/>
            </w:tcBorders>
            <w:shd w:val="clear" w:color="auto" w:fill="auto"/>
            <w:noWrap/>
            <w:vAlign w:val="bottom"/>
            <w:hideMark/>
          </w:tcPr>
          <w:p w:rsidR="00ED0D2C" w:rsidRPr="005C7C0A" w:rsidRDefault="00ED0D2C" w:rsidP="00C05302">
            <w:pPr>
              <w:spacing w:after="0" w:line="240" w:lineRule="auto"/>
              <w:rPr>
                <w:rFonts w:eastAsia="Times New Roman" w:cstheme="minorHAnsi"/>
                <w:lang w:val="en-US" w:eastAsia="pl-PL"/>
              </w:rPr>
            </w:pPr>
            <w:r w:rsidRPr="005C7C0A">
              <w:rPr>
                <w:rFonts w:eastAsia="Times New Roman" w:cstheme="minorHAnsi"/>
                <w:lang w:val="en-US" w:eastAsia="pl-PL"/>
              </w:rPr>
              <w:t> </w:t>
            </w:r>
            <w:r w:rsidR="00C05302" w:rsidRPr="005C7C0A">
              <w:rPr>
                <w:rFonts w:eastAsia="Times New Roman" w:cstheme="minorHAnsi"/>
                <w:lang w:val="en-US" w:eastAsia="pl-PL"/>
              </w:rPr>
              <w:t>61</w:t>
            </w:r>
          </w:p>
        </w:tc>
      </w:tr>
    </w:tbl>
    <w:p w:rsidR="007F64CA" w:rsidRPr="005C7C0A" w:rsidRDefault="007F64CA" w:rsidP="007F64CA">
      <w:pPr>
        <w:rPr>
          <w:rFonts w:eastAsiaTheme="minorHAnsi" w:cstheme="minorHAnsi"/>
        </w:rPr>
      </w:pPr>
    </w:p>
    <w:p w:rsidR="007F64CA" w:rsidRPr="00036C38" w:rsidRDefault="007F64CA" w:rsidP="00036C38">
      <w:pPr>
        <w:pStyle w:val="Akapitzlist"/>
        <w:numPr>
          <w:ilvl w:val="0"/>
          <w:numId w:val="40"/>
        </w:numPr>
        <w:spacing w:before="240" w:after="120" w:line="264" w:lineRule="auto"/>
        <w:outlineLvl w:val="3"/>
        <w:rPr>
          <w:rFonts w:cstheme="minorHAnsi"/>
          <w:b/>
        </w:rPr>
      </w:pPr>
      <w:r w:rsidRPr="00036C38">
        <w:rPr>
          <w:rFonts w:cstheme="minorHAnsi"/>
          <w:b/>
        </w:rPr>
        <w:t>Relacje dwustronne</w:t>
      </w:r>
    </w:p>
    <w:p w:rsidR="007F64CA" w:rsidRPr="005C7C0A" w:rsidRDefault="00036C38" w:rsidP="0002265B">
      <w:pPr>
        <w:spacing w:before="240" w:after="120" w:line="264" w:lineRule="auto"/>
        <w:ind w:left="360"/>
        <w:outlineLvl w:val="3"/>
        <w:rPr>
          <w:rFonts w:cstheme="minorHAnsi"/>
          <w:b/>
        </w:rPr>
      </w:pPr>
      <w:r>
        <w:rPr>
          <w:rFonts w:cstheme="minorHAnsi"/>
          <w:b/>
        </w:rPr>
        <w:lastRenderedPageBreak/>
        <w:t>7</w:t>
      </w:r>
      <w:r w:rsidR="00244E11" w:rsidRPr="005C7C0A">
        <w:rPr>
          <w:rFonts w:cstheme="minorHAnsi"/>
          <w:b/>
        </w:rPr>
        <w:t xml:space="preserve">.1. </w:t>
      </w:r>
      <w:r w:rsidR="007F64CA" w:rsidRPr="005C7C0A">
        <w:rPr>
          <w:rFonts w:cstheme="minorHAnsi"/>
          <w:b/>
        </w:rPr>
        <w:t xml:space="preserve">Dwustronne relacje handlowe i inwestycyjne </w:t>
      </w:r>
    </w:p>
    <w:p w:rsidR="00B57034" w:rsidRPr="005C7C0A" w:rsidRDefault="00036C38" w:rsidP="00B57034">
      <w:pPr>
        <w:jc w:val="both"/>
        <w:rPr>
          <w:rFonts w:cstheme="minorHAnsi"/>
          <w:b/>
          <w:bCs/>
          <w:color w:val="000000" w:themeColor="text1"/>
        </w:rPr>
      </w:pPr>
      <w:r>
        <w:rPr>
          <w:rFonts w:cstheme="minorHAnsi"/>
          <w:b/>
          <w:bCs/>
          <w:color w:val="000000" w:themeColor="text1"/>
        </w:rPr>
        <w:t>7</w:t>
      </w:r>
      <w:r w:rsidR="00F20694" w:rsidRPr="005C7C0A">
        <w:rPr>
          <w:rFonts w:cstheme="minorHAnsi"/>
          <w:b/>
          <w:bCs/>
          <w:color w:val="000000" w:themeColor="text1"/>
        </w:rPr>
        <w:t xml:space="preserve">.1.1. </w:t>
      </w:r>
      <w:r w:rsidR="000C507B" w:rsidRPr="005C7C0A">
        <w:rPr>
          <w:rFonts w:cstheme="minorHAnsi"/>
          <w:b/>
          <w:bCs/>
          <w:color w:val="000000" w:themeColor="text1"/>
        </w:rPr>
        <w:t>Obroty</w:t>
      </w:r>
      <w:r w:rsidR="00B57034" w:rsidRPr="005C7C0A">
        <w:rPr>
          <w:rFonts w:cstheme="minorHAnsi"/>
          <w:b/>
          <w:bCs/>
          <w:color w:val="000000" w:themeColor="text1"/>
        </w:rPr>
        <w:t xml:space="preserve"> towarow</w:t>
      </w:r>
      <w:r w:rsidR="000C507B" w:rsidRPr="005C7C0A">
        <w:rPr>
          <w:rFonts w:cstheme="minorHAnsi"/>
          <w:b/>
          <w:bCs/>
          <w:color w:val="000000" w:themeColor="text1"/>
        </w:rPr>
        <w:t>e</w:t>
      </w:r>
      <w:r w:rsidR="00B57034" w:rsidRPr="005C7C0A">
        <w:rPr>
          <w:rFonts w:cstheme="minorHAnsi"/>
          <w:b/>
          <w:bCs/>
          <w:color w:val="000000" w:themeColor="text1"/>
        </w:rPr>
        <w:t xml:space="preserve"> </w:t>
      </w:r>
      <w:r w:rsidR="00A47975" w:rsidRPr="005C7C0A">
        <w:rPr>
          <w:rFonts w:cstheme="minorHAnsi"/>
          <w:b/>
          <w:bCs/>
          <w:color w:val="000000" w:themeColor="text1"/>
        </w:rPr>
        <w:t>B</w:t>
      </w:r>
      <w:r w:rsidR="00FE10F5" w:rsidRPr="005C7C0A">
        <w:rPr>
          <w:rFonts w:cstheme="minorHAnsi"/>
          <w:b/>
          <w:bCs/>
          <w:color w:val="000000" w:themeColor="text1"/>
        </w:rPr>
        <w:t>a</w:t>
      </w:r>
      <w:r w:rsidR="00A47975" w:rsidRPr="005C7C0A">
        <w:rPr>
          <w:rFonts w:cstheme="minorHAnsi"/>
          <w:b/>
          <w:bCs/>
          <w:color w:val="000000" w:themeColor="text1"/>
        </w:rPr>
        <w:t>hamy</w:t>
      </w:r>
      <w:r w:rsidR="000C507B" w:rsidRPr="005C7C0A">
        <w:rPr>
          <w:rFonts w:cstheme="minorHAnsi"/>
          <w:b/>
          <w:bCs/>
          <w:color w:val="000000" w:themeColor="text1"/>
        </w:rPr>
        <w:t>-Polska</w:t>
      </w:r>
      <w:r w:rsidR="00B57034" w:rsidRPr="005C7C0A">
        <w:rPr>
          <w:rFonts w:cstheme="minorHAnsi"/>
          <w:b/>
          <w:bCs/>
          <w:color w:val="000000" w:themeColor="text1"/>
        </w:rPr>
        <w:t xml:space="preserve"> </w:t>
      </w:r>
    </w:p>
    <w:p w:rsidR="00FE10F5" w:rsidRPr="005C7C0A" w:rsidRDefault="00FE10F5" w:rsidP="00FE10F5">
      <w:pPr>
        <w:spacing w:before="120" w:after="120" w:line="240" w:lineRule="auto"/>
        <w:jc w:val="both"/>
        <w:rPr>
          <w:rFonts w:eastAsiaTheme="minorHAnsi" w:cstheme="minorHAnsi"/>
        </w:rPr>
      </w:pPr>
      <w:r w:rsidRPr="005C7C0A">
        <w:rPr>
          <w:rFonts w:eastAsiaTheme="minorHAnsi" w:cstheme="minorHAnsi"/>
        </w:rPr>
        <w:t>Większość obrotów towarowych (zarówno w eksporcie, jak i w imporcie) stanowią statki morskie, towarowe i pasażerskie (wartość obrotów w pozycjach niebędących jednostkami pływającymi ma charakter śladowy). Jest to związane z faktem wykorzystywania przez polskie przedsiębiorstwa zajmujące się transportem morskim (np. PŻM) „taniej bandery” Bahamów i rejestrowania w tym kraju polskich statków.</w:t>
      </w:r>
    </w:p>
    <w:p w:rsidR="009E2729" w:rsidRPr="005C7C0A" w:rsidRDefault="00FE10F5" w:rsidP="00641149">
      <w:pPr>
        <w:shd w:val="clear" w:color="auto" w:fill="FFFFFF"/>
        <w:spacing w:after="0" w:line="240" w:lineRule="auto"/>
        <w:textAlignment w:val="baseline"/>
        <w:rPr>
          <w:rFonts w:eastAsia="Times New Roman" w:cstheme="minorHAnsi"/>
          <w:color w:val="1B1B1B"/>
          <w:lang w:eastAsia="pl-PL"/>
        </w:rPr>
      </w:pPr>
      <w:r w:rsidRPr="005C7C0A">
        <w:rPr>
          <w:rFonts w:eastAsiaTheme="minorHAnsi" w:cstheme="minorHAnsi"/>
          <w:b/>
        </w:rPr>
        <w:t>Polsko-bahamska wymiana handlowa w latach 20</w:t>
      </w:r>
      <w:r w:rsidR="002402BE" w:rsidRPr="005C7C0A">
        <w:rPr>
          <w:rFonts w:eastAsiaTheme="minorHAnsi" w:cstheme="minorHAnsi"/>
          <w:b/>
        </w:rPr>
        <w:t>22</w:t>
      </w:r>
      <w:r w:rsidRPr="005C7C0A">
        <w:rPr>
          <w:rFonts w:eastAsiaTheme="minorHAnsi" w:cstheme="minorHAnsi"/>
          <w:b/>
        </w:rPr>
        <w:t xml:space="preserve"> </w:t>
      </w:r>
      <w:r w:rsidR="002402BE" w:rsidRPr="005C7C0A">
        <w:rPr>
          <w:rFonts w:eastAsiaTheme="minorHAnsi" w:cstheme="minorHAnsi"/>
          <w:b/>
        </w:rPr>
        <w:t>–</w:t>
      </w:r>
      <w:r w:rsidRPr="005C7C0A">
        <w:rPr>
          <w:rFonts w:eastAsiaTheme="minorHAnsi" w:cstheme="minorHAnsi"/>
          <w:b/>
        </w:rPr>
        <w:t xml:space="preserve"> 202</w:t>
      </w:r>
      <w:r w:rsidR="002402BE" w:rsidRPr="005C7C0A">
        <w:rPr>
          <w:rFonts w:eastAsiaTheme="minorHAnsi" w:cstheme="minorHAnsi"/>
          <w:b/>
        </w:rPr>
        <w:t xml:space="preserve">4 </w:t>
      </w:r>
      <w:r w:rsidR="002402BE" w:rsidRPr="005C7C0A">
        <w:rPr>
          <w:rFonts w:eastAsiaTheme="minorHAnsi" w:cstheme="minorHAnsi"/>
          <w:i/>
        </w:rPr>
        <w:t>w mln USD</w:t>
      </w:r>
      <w:r w:rsidR="007F0ED0" w:rsidRPr="005C7C0A">
        <w:rPr>
          <w:rFonts w:eastAsia="Times New Roman" w:cstheme="minorHAnsi"/>
          <w:color w:val="1B1B1B"/>
          <w:lang w:eastAsia="pl-PL"/>
        </w:rPr>
        <w:t xml:space="preserve"> </w:t>
      </w:r>
    </w:p>
    <w:tbl>
      <w:tblPr>
        <w:tblW w:w="3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6"/>
        <w:gridCol w:w="823"/>
        <w:gridCol w:w="823"/>
        <w:gridCol w:w="823"/>
      </w:tblGrid>
      <w:tr w:rsidR="00641149" w:rsidRPr="005C7C0A" w:rsidTr="00641149">
        <w:trPr>
          <w:trHeight w:val="226"/>
          <w:jc w:val="center"/>
        </w:trPr>
        <w:tc>
          <w:tcPr>
            <w:tcW w:w="816" w:type="dxa"/>
          </w:tcPr>
          <w:p w:rsidR="00641149" w:rsidRPr="005C7C0A" w:rsidRDefault="00641149" w:rsidP="009E2729">
            <w:pPr>
              <w:jc w:val="both"/>
              <w:rPr>
                <w:rFonts w:eastAsiaTheme="minorHAnsi" w:cstheme="minorHAnsi"/>
                <w:b/>
              </w:rPr>
            </w:pPr>
          </w:p>
        </w:tc>
        <w:tc>
          <w:tcPr>
            <w:tcW w:w="823" w:type="dxa"/>
          </w:tcPr>
          <w:p w:rsidR="00641149" w:rsidRPr="005C7C0A" w:rsidRDefault="00641149" w:rsidP="009E2729">
            <w:pPr>
              <w:jc w:val="center"/>
              <w:rPr>
                <w:rFonts w:eastAsiaTheme="minorHAnsi" w:cstheme="minorHAnsi"/>
                <w:b/>
              </w:rPr>
            </w:pPr>
            <w:r w:rsidRPr="005C7C0A">
              <w:rPr>
                <w:rFonts w:eastAsiaTheme="minorHAnsi" w:cstheme="minorHAnsi"/>
                <w:b/>
              </w:rPr>
              <w:t>2022</w:t>
            </w:r>
          </w:p>
        </w:tc>
        <w:tc>
          <w:tcPr>
            <w:tcW w:w="823" w:type="dxa"/>
          </w:tcPr>
          <w:p w:rsidR="00641149" w:rsidRPr="005C7C0A" w:rsidRDefault="00641149" w:rsidP="009E2729">
            <w:pPr>
              <w:jc w:val="center"/>
              <w:rPr>
                <w:rFonts w:eastAsiaTheme="minorHAnsi" w:cstheme="minorHAnsi"/>
                <w:b/>
              </w:rPr>
            </w:pPr>
            <w:r w:rsidRPr="005C7C0A">
              <w:rPr>
                <w:rFonts w:eastAsiaTheme="minorHAnsi" w:cstheme="minorHAnsi"/>
                <w:b/>
              </w:rPr>
              <w:t>2023</w:t>
            </w:r>
          </w:p>
        </w:tc>
        <w:tc>
          <w:tcPr>
            <w:tcW w:w="823" w:type="dxa"/>
          </w:tcPr>
          <w:p w:rsidR="00641149" w:rsidRPr="005C7C0A" w:rsidRDefault="00641149" w:rsidP="009E2729">
            <w:pPr>
              <w:jc w:val="center"/>
              <w:rPr>
                <w:rFonts w:eastAsiaTheme="minorHAnsi" w:cstheme="minorHAnsi"/>
                <w:b/>
              </w:rPr>
            </w:pPr>
            <w:r w:rsidRPr="005C7C0A">
              <w:rPr>
                <w:rFonts w:eastAsiaTheme="minorHAnsi" w:cstheme="minorHAnsi"/>
                <w:b/>
              </w:rPr>
              <w:t>2024</w:t>
            </w:r>
          </w:p>
        </w:tc>
      </w:tr>
      <w:tr w:rsidR="00641149" w:rsidRPr="005C7C0A" w:rsidTr="00641149">
        <w:trPr>
          <w:trHeight w:val="336"/>
          <w:jc w:val="center"/>
        </w:trPr>
        <w:tc>
          <w:tcPr>
            <w:tcW w:w="816" w:type="dxa"/>
          </w:tcPr>
          <w:p w:rsidR="00641149" w:rsidRPr="005C7C0A" w:rsidRDefault="00641149" w:rsidP="009E2729">
            <w:pPr>
              <w:jc w:val="both"/>
              <w:rPr>
                <w:rFonts w:eastAsiaTheme="minorHAnsi" w:cstheme="minorHAnsi"/>
              </w:rPr>
            </w:pPr>
            <w:r w:rsidRPr="005C7C0A">
              <w:rPr>
                <w:rFonts w:eastAsiaTheme="minorHAnsi" w:cstheme="minorHAnsi"/>
              </w:rPr>
              <w:t>Obroty</w:t>
            </w:r>
          </w:p>
        </w:tc>
        <w:tc>
          <w:tcPr>
            <w:tcW w:w="823" w:type="dxa"/>
          </w:tcPr>
          <w:p w:rsidR="00641149" w:rsidRPr="005C7C0A" w:rsidRDefault="00641149" w:rsidP="009E2729">
            <w:pPr>
              <w:rPr>
                <w:rFonts w:eastAsiaTheme="minorHAnsi" w:cstheme="minorHAnsi"/>
              </w:rPr>
            </w:pPr>
            <w:r w:rsidRPr="005C7C0A">
              <w:rPr>
                <w:rFonts w:eastAsiaTheme="minorHAnsi" w:cstheme="minorHAnsi"/>
              </w:rPr>
              <w:t>273,5</w:t>
            </w:r>
          </w:p>
        </w:tc>
        <w:tc>
          <w:tcPr>
            <w:tcW w:w="823" w:type="dxa"/>
          </w:tcPr>
          <w:p w:rsidR="00641149" w:rsidRPr="005C7C0A" w:rsidRDefault="00641149" w:rsidP="009E2729">
            <w:pPr>
              <w:rPr>
                <w:rFonts w:eastAsiaTheme="minorHAnsi" w:cstheme="minorHAnsi"/>
              </w:rPr>
            </w:pPr>
            <w:r w:rsidRPr="005C7C0A">
              <w:rPr>
                <w:rFonts w:eastAsiaTheme="minorHAnsi" w:cstheme="minorHAnsi"/>
              </w:rPr>
              <w:t>360,9</w:t>
            </w:r>
          </w:p>
        </w:tc>
        <w:tc>
          <w:tcPr>
            <w:tcW w:w="823" w:type="dxa"/>
          </w:tcPr>
          <w:p w:rsidR="00641149" w:rsidRPr="005C7C0A" w:rsidRDefault="00641149" w:rsidP="009E2729">
            <w:pPr>
              <w:rPr>
                <w:rFonts w:eastAsiaTheme="minorHAnsi" w:cstheme="minorHAnsi"/>
              </w:rPr>
            </w:pPr>
            <w:r w:rsidRPr="005C7C0A">
              <w:rPr>
                <w:rFonts w:eastAsiaTheme="minorHAnsi" w:cstheme="minorHAnsi"/>
              </w:rPr>
              <w:t>-</w:t>
            </w:r>
          </w:p>
        </w:tc>
      </w:tr>
      <w:tr w:rsidR="00641149" w:rsidRPr="005C7C0A" w:rsidTr="00641149">
        <w:trPr>
          <w:trHeight w:val="344"/>
          <w:jc w:val="center"/>
        </w:trPr>
        <w:tc>
          <w:tcPr>
            <w:tcW w:w="816" w:type="dxa"/>
          </w:tcPr>
          <w:p w:rsidR="00641149" w:rsidRPr="005C7C0A" w:rsidRDefault="00641149" w:rsidP="009E2729">
            <w:pPr>
              <w:jc w:val="both"/>
              <w:rPr>
                <w:rFonts w:eastAsiaTheme="minorHAnsi" w:cstheme="minorHAnsi"/>
              </w:rPr>
            </w:pPr>
            <w:r w:rsidRPr="005C7C0A">
              <w:rPr>
                <w:rFonts w:eastAsiaTheme="minorHAnsi" w:cstheme="minorHAnsi"/>
              </w:rPr>
              <w:t>Eksport</w:t>
            </w:r>
          </w:p>
        </w:tc>
        <w:tc>
          <w:tcPr>
            <w:tcW w:w="823" w:type="dxa"/>
          </w:tcPr>
          <w:p w:rsidR="00641149" w:rsidRPr="005C7C0A" w:rsidRDefault="00641149" w:rsidP="009E2729">
            <w:pPr>
              <w:rPr>
                <w:rFonts w:eastAsiaTheme="minorHAnsi" w:cstheme="minorHAnsi"/>
              </w:rPr>
            </w:pPr>
            <w:r w:rsidRPr="005C7C0A">
              <w:rPr>
                <w:rFonts w:eastAsiaTheme="minorHAnsi" w:cstheme="minorHAnsi"/>
              </w:rPr>
              <w:t>148,5</w:t>
            </w:r>
          </w:p>
        </w:tc>
        <w:tc>
          <w:tcPr>
            <w:tcW w:w="823" w:type="dxa"/>
          </w:tcPr>
          <w:p w:rsidR="00641149" w:rsidRPr="005C7C0A" w:rsidRDefault="00641149" w:rsidP="009E2729">
            <w:pPr>
              <w:rPr>
                <w:rFonts w:eastAsiaTheme="minorHAnsi" w:cstheme="minorHAnsi"/>
              </w:rPr>
            </w:pPr>
            <w:r w:rsidRPr="005C7C0A">
              <w:rPr>
                <w:rFonts w:eastAsiaTheme="minorHAnsi" w:cstheme="minorHAnsi"/>
              </w:rPr>
              <w:t>190,0</w:t>
            </w:r>
          </w:p>
        </w:tc>
        <w:tc>
          <w:tcPr>
            <w:tcW w:w="823" w:type="dxa"/>
          </w:tcPr>
          <w:p w:rsidR="00641149" w:rsidRPr="005C7C0A" w:rsidRDefault="00641149" w:rsidP="009E2729">
            <w:pPr>
              <w:rPr>
                <w:rFonts w:eastAsiaTheme="minorHAnsi" w:cstheme="minorHAnsi"/>
              </w:rPr>
            </w:pPr>
            <w:r w:rsidRPr="005C7C0A">
              <w:rPr>
                <w:rFonts w:eastAsiaTheme="minorHAnsi" w:cstheme="minorHAnsi"/>
              </w:rPr>
              <w:t>-</w:t>
            </w:r>
          </w:p>
        </w:tc>
      </w:tr>
      <w:tr w:rsidR="00641149" w:rsidRPr="005C7C0A" w:rsidTr="00641149">
        <w:trPr>
          <w:trHeight w:val="366"/>
          <w:jc w:val="center"/>
        </w:trPr>
        <w:tc>
          <w:tcPr>
            <w:tcW w:w="816" w:type="dxa"/>
          </w:tcPr>
          <w:p w:rsidR="00641149" w:rsidRPr="005C7C0A" w:rsidRDefault="00641149" w:rsidP="009E2729">
            <w:pPr>
              <w:jc w:val="both"/>
              <w:rPr>
                <w:rFonts w:eastAsiaTheme="minorHAnsi" w:cstheme="minorHAnsi"/>
              </w:rPr>
            </w:pPr>
            <w:r w:rsidRPr="005C7C0A">
              <w:rPr>
                <w:rFonts w:eastAsiaTheme="minorHAnsi" w:cstheme="minorHAnsi"/>
              </w:rPr>
              <w:t>Import</w:t>
            </w:r>
          </w:p>
        </w:tc>
        <w:tc>
          <w:tcPr>
            <w:tcW w:w="823" w:type="dxa"/>
          </w:tcPr>
          <w:p w:rsidR="00641149" w:rsidRPr="005C7C0A" w:rsidRDefault="00641149" w:rsidP="009E2729">
            <w:pPr>
              <w:rPr>
                <w:rFonts w:eastAsiaTheme="minorHAnsi" w:cstheme="minorHAnsi"/>
              </w:rPr>
            </w:pPr>
            <w:r w:rsidRPr="005C7C0A">
              <w:rPr>
                <w:rFonts w:eastAsiaTheme="minorHAnsi" w:cstheme="minorHAnsi"/>
              </w:rPr>
              <w:t>125,0</w:t>
            </w:r>
          </w:p>
        </w:tc>
        <w:tc>
          <w:tcPr>
            <w:tcW w:w="823" w:type="dxa"/>
          </w:tcPr>
          <w:p w:rsidR="00641149" w:rsidRPr="005C7C0A" w:rsidRDefault="00641149" w:rsidP="009E2729">
            <w:pPr>
              <w:rPr>
                <w:rFonts w:eastAsiaTheme="minorHAnsi" w:cstheme="minorHAnsi"/>
              </w:rPr>
            </w:pPr>
            <w:r w:rsidRPr="005C7C0A">
              <w:rPr>
                <w:rFonts w:eastAsiaTheme="minorHAnsi" w:cstheme="minorHAnsi"/>
              </w:rPr>
              <w:t>170,9</w:t>
            </w:r>
          </w:p>
        </w:tc>
        <w:tc>
          <w:tcPr>
            <w:tcW w:w="823" w:type="dxa"/>
          </w:tcPr>
          <w:p w:rsidR="00641149" w:rsidRPr="005C7C0A" w:rsidRDefault="00641149" w:rsidP="009E2729">
            <w:pPr>
              <w:rPr>
                <w:rFonts w:eastAsiaTheme="minorHAnsi" w:cstheme="minorHAnsi"/>
              </w:rPr>
            </w:pPr>
            <w:r w:rsidRPr="005C7C0A">
              <w:rPr>
                <w:rFonts w:eastAsiaTheme="minorHAnsi" w:cstheme="minorHAnsi"/>
              </w:rPr>
              <w:t>-</w:t>
            </w:r>
          </w:p>
        </w:tc>
      </w:tr>
      <w:tr w:rsidR="00641149" w:rsidRPr="005C7C0A" w:rsidTr="00641149">
        <w:trPr>
          <w:trHeight w:val="283"/>
          <w:jc w:val="center"/>
        </w:trPr>
        <w:tc>
          <w:tcPr>
            <w:tcW w:w="816" w:type="dxa"/>
          </w:tcPr>
          <w:p w:rsidR="00641149" w:rsidRPr="005C7C0A" w:rsidRDefault="00641149" w:rsidP="009E2729">
            <w:pPr>
              <w:jc w:val="both"/>
              <w:rPr>
                <w:rFonts w:eastAsiaTheme="minorHAnsi" w:cstheme="minorHAnsi"/>
                <w:b/>
              </w:rPr>
            </w:pPr>
            <w:r w:rsidRPr="005C7C0A">
              <w:rPr>
                <w:rFonts w:eastAsiaTheme="minorHAnsi" w:cstheme="minorHAnsi"/>
                <w:b/>
              </w:rPr>
              <w:t>Saldo</w:t>
            </w:r>
          </w:p>
        </w:tc>
        <w:tc>
          <w:tcPr>
            <w:tcW w:w="823" w:type="dxa"/>
          </w:tcPr>
          <w:p w:rsidR="00641149" w:rsidRPr="005C7C0A" w:rsidRDefault="00641149" w:rsidP="009E2729">
            <w:pPr>
              <w:rPr>
                <w:rFonts w:eastAsiaTheme="minorHAnsi" w:cstheme="minorHAnsi"/>
                <w:color w:val="000000"/>
              </w:rPr>
            </w:pPr>
            <w:r w:rsidRPr="005C7C0A">
              <w:rPr>
                <w:rFonts w:eastAsiaTheme="minorHAnsi" w:cstheme="minorHAnsi"/>
                <w:color w:val="000000"/>
              </w:rPr>
              <w:t>23,5</w:t>
            </w:r>
          </w:p>
        </w:tc>
        <w:tc>
          <w:tcPr>
            <w:tcW w:w="823" w:type="dxa"/>
          </w:tcPr>
          <w:p w:rsidR="00641149" w:rsidRPr="005C7C0A" w:rsidRDefault="00641149" w:rsidP="009E2729">
            <w:pPr>
              <w:rPr>
                <w:rFonts w:eastAsiaTheme="minorHAnsi" w:cstheme="minorHAnsi"/>
                <w:color w:val="000000"/>
              </w:rPr>
            </w:pPr>
            <w:r w:rsidRPr="005C7C0A">
              <w:rPr>
                <w:rFonts w:eastAsiaTheme="minorHAnsi" w:cstheme="minorHAnsi"/>
                <w:color w:val="000000"/>
              </w:rPr>
              <w:t>19,1</w:t>
            </w:r>
          </w:p>
        </w:tc>
        <w:tc>
          <w:tcPr>
            <w:tcW w:w="823" w:type="dxa"/>
          </w:tcPr>
          <w:p w:rsidR="00641149" w:rsidRPr="005C7C0A" w:rsidRDefault="00641149" w:rsidP="009E2729">
            <w:pPr>
              <w:rPr>
                <w:rFonts w:eastAsiaTheme="minorHAnsi" w:cstheme="minorHAnsi"/>
                <w:color w:val="000000"/>
              </w:rPr>
            </w:pPr>
            <w:r w:rsidRPr="005C7C0A">
              <w:rPr>
                <w:rFonts w:eastAsiaTheme="minorHAnsi" w:cstheme="minorHAnsi"/>
                <w:color w:val="000000"/>
              </w:rPr>
              <w:t>-</w:t>
            </w:r>
          </w:p>
        </w:tc>
      </w:tr>
    </w:tbl>
    <w:p w:rsidR="007F0ED0" w:rsidRPr="005C7C0A" w:rsidRDefault="007F0ED0" w:rsidP="001C6429">
      <w:pPr>
        <w:tabs>
          <w:tab w:val="num" w:pos="720"/>
        </w:tabs>
        <w:spacing w:after="0" w:line="264" w:lineRule="auto"/>
        <w:jc w:val="both"/>
        <w:rPr>
          <w:rFonts w:cstheme="minorHAnsi"/>
        </w:rPr>
      </w:pPr>
    </w:p>
    <w:p w:rsidR="00277747" w:rsidRPr="005C7C0A" w:rsidRDefault="00036C38" w:rsidP="00EB6730">
      <w:pPr>
        <w:jc w:val="both"/>
        <w:rPr>
          <w:rFonts w:cstheme="minorHAnsi"/>
          <w:b/>
        </w:rPr>
      </w:pPr>
      <w:r>
        <w:rPr>
          <w:rFonts w:cstheme="minorHAnsi"/>
          <w:b/>
          <w:bCs/>
          <w:color w:val="000000" w:themeColor="text1"/>
        </w:rPr>
        <w:t>7</w:t>
      </w:r>
      <w:r w:rsidR="00F20694" w:rsidRPr="005C7C0A">
        <w:rPr>
          <w:rFonts w:cstheme="minorHAnsi"/>
          <w:b/>
          <w:bCs/>
          <w:color w:val="000000" w:themeColor="text1"/>
        </w:rPr>
        <w:t xml:space="preserve">.1.2. </w:t>
      </w:r>
      <w:r w:rsidR="00EB6730" w:rsidRPr="005C7C0A">
        <w:rPr>
          <w:rFonts w:cstheme="minorHAnsi"/>
          <w:b/>
          <w:bCs/>
          <w:color w:val="000000" w:themeColor="text1"/>
        </w:rPr>
        <w:t>Wzajemne inwestycje</w:t>
      </w:r>
      <w:r w:rsidR="00EB6730" w:rsidRPr="005C7C0A">
        <w:rPr>
          <w:rFonts w:cstheme="minorHAnsi"/>
          <w:b/>
        </w:rPr>
        <w:t xml:space="preserve"> </w:t>
      </w:r>
    </w:p>
    <w:p w:rsidR="00CB1A08" w:rsidRPr="005C7C0A" w:rsidRDefault="00CB1A08" w:rsidP="00CB1A08">
      <w:pPr>
        <w:spacing w:before="120" w:after="120" w:line="240" w:lineRule="auto"/>
        <w:jc w:val="both"/>
        <w:rPr>
          <w:rFonts w:eastAsiaTheme="minorHAnsi" w:cstheme="minorHAnsi"/>
        </w:rPr>
      </w:pPr>
      <w:r w:rsidRPr="005C7C0A">
        <w:rPr>
          <w:rFonts w:eastAsiaTheme="minorHAnsi" w:cstheme="minorHAnsi"/>
        </w:rPr>
        <w:t xml:space="preserve">Narodowy Bank Polski w swoich danych nie odnotowuje, by według stanu na koniec 2021 r. firmy zarejestrowane na Bahamach dokonywały </w:t>
      </w:r>
      <w:r w:rsidRPr="005C7C0A">
        <w:rPr>
          <w:rFonts w:eastAsiaTheme="minorHAnsi" w:cstheme="minorHAnsi"/>
          <w:b/>
        </w:rPr>
        <w:t>bezpośrednich inwestycji zagranicznych</w:t>
      </w:r>
      <w:r w:rsidRPr="005C7C0A">
        <w:rPr>
          <w:rFonts w:eastAsiaTheme="minorHAnsi" w:cstheme="minorHAnsi"/>
        </w:rPr>
        <w:t xml:space="preserve"> w Polsce. </w:t>
      </w:r>
    </w:p>
    <w:p w:rsidR="00CB1A08" w:rsidRPr="005C7C0A" w:rsidRDefault="00C37647" w:rsidP="00CB1A08">
      <w:pPr>
        <w:spacing w:before="120" w:after="120" w:line="240" w:lineRule="auto"/>
        <w:jc w:val="both"/>
        <w:rPr>
          <w:rFonts w:eastAsiaTheme="minorHAnsi" w:cstheme="minorHAnsi"/>
        </w:rPr>
      </w:pPr>
      <w:r>
        <w:rPr>
          <w:rFonts w:eastAsiaTheme="minorHAnsi" w:cstheme="minorHAnsi"/>
        </w:rPr>
        <w:t>Na Bahamach nie ma również istotnych polskich bezpośrednich inwestycji zagranicznych.</w:t>
      </w:r>
    </w:p>
    <w:p w:rsidR="00A47975" w:rsidRPr="005C7C0A" w:rsidRDefault="00036C38" w:rsidP="00A47975">
      <w:pPr>
        <w:spacing w:after="0" w:line="264" w:lineRule="auto"/>
        <w:jc w:val="both"/>
        <w:rPr>
          <w:rFonts w:eastAsia="Times New Roman" w:cstheme="minorHAnsi"/>
          <w:lang w:eastAsia="pl-PL"/>
        </w:rPr>
      </w:pPr>
      <w:bookmarkStart w:id="4" w:name="2023"/>
      <w:bookmarkEnd w:id="4"/>
      <w:r>
        <w:rPr>
          <w:rFonts w:eastAsia="Times New Roman" w:cstheme="minorHAnsi"/>
          <w:b/>
          <w:bCs/>
          <w:lang w:eastAsia="pl-PL"/>
        </w:rPr>
        <w:t>7</w:t>
      </w:r>
      <w:r w:rsidR="00A47975" w:rsidRPr="005C7C0A">
        <w:rPr>
          <w:rFonts w:eastAsia="Times New Roman" w:cstheme="minorHAnsi"/>
          <w:b/>
          <w:bCs/>
          <w:lang w:eastAsia="pl-PL"/>
        </w:rPr>
        <w:t>.1.3. Dostęp do rynku dla polskich towarów i usług (bariery)</w:t>
      </w:r>
    </w:p>
    <w:p w:rsidR="00A47975" w:rsidRPr="005C7C0A" w:rsidRDefault="00A47975" w:rsidP="00A47975">
      <w:pPr>
        <w:spacing w:before="120" w:after="120" w:line="240" w:lineRule="auto"/>
        <w:jc w:val="both"/>
        <w:rPr>
          <w:rFonts w:eastAsiaTheme="minorHAnsi" w:cstheme="minorHAnsi"/>
        </w:rPr>
      </w:pPr>
      <w:r w:rsidRPr="005C7C0A">
        <w:rPr>
          <w:rFonts w:eastAsiaTheme="minorHAnsi" w:cstheme="minorHAnsi"/>
        </w:rPr>
        <w:t>Bahamy nie stosują ograniczeń dyskryminujących polski eksport do tego kraju. Wszystkie dopuszczalne towary mogą być eksportowane na Bahamy bez licencji. Pozwolenia na przywóz zasadniczo nie są wymagane, chyba że dotyczą raków, muszli, broni i amunicji oraz, w niektórych przypadkach, złota. Niektóre towary są zakazane lub ich import podlega kontroli z powodów zdrowotnych, społecznych i humanitarnych.</w:t>
      </w:r>
    </w:p>
    <w:p w:rsidR="00A47975" w:rsidRDefault="00A47975" w:rsidP="001D0CA3">
      <w:pPr>
        <w:spacing w:before="120" w:after="120" w:line="240" w:lineRule="auto"/>
        <w:jc w:val="both"/>
        <w:rPr>
          <w:rFonts w:eastAsiaTheme="minorHAnsi" w:cstheme="minorHAnsi"/>
        </w:rPr>
      </w:pPr>
      <w:r w:rsidRPr="005C7C0A">
        <w:rPr>
          <w:rFonts w:eastAsiaTheme="minorHAnsi" w:cstheme="minorHAnsi"/>
        </w:rPr>
        <w:t xml:space="preserve">Wszelkie inwestycje podejmowane przez cudzoziemców na Bahamach podlegają kontroli i muszą zostać zatwierdzone przez Radę Ministrów lub Krajową Radę Gospodarczą. Projekty inwestycyjne muszą zawierać oceny skutków ekonomicznych i środowiskowych. Rząd Bahamów wprowadził szeroki zakres ograniczeń, jeśli chodzi o inwestycje zagraniczne. Inwestycje w następujące sektory są dostępne wyłącznie dla inwestorów bahamskich: sprzedaż hurtowa i detaliczna, agencje zajmujące się importem i eksportem, agencje zarządzania nieruchomościami, prasa krajowa, materiały i firmy budowlane, kosmetyki i zakłady kosmetyczne. Inwestorzy zagraniczni zachęcani są jednak do inwestycji w: ośrodki wypoczynkowe, mieszkania, usługi informacyjne i przetwarzanie danych, naprawę statków, przemysł rolny i przetwórstwo spożywcze, transport lotniczy, przemysł farmaceutyczny oraz alternatywne źródła energii. </w:t>
      </w:r>
    </w:p>
    <w:p w:rsidR="004E48B3" w:rsidRPr="005C7C0A" w:rsidRDefault="00036C38" w:rsidP="00A47975">
      <w:pPr>
        <w:spacing w:before="240" w:after="120" w:line="264" w:lineRule="auto"/>
        <w:ind w:left="360"/>
        <w:outlineLvl w:val="3"/>
        <w:rPr>
          <w:rFonts w:cstheme="minorHAnsi"/>
          <w:b/>
        </w:rPr>
      </w:pPr>
      <w:r>
        <w:rPr>
          <w:rFonts w:cstheme="minorHAnsi"/>
          <w:b/>
        </w:rPr>
        <w:t>7</w:t>
      </w:r>
      <w:r w:rsidR="00A47975" w:rsidRPr="005C7C0A">
        <w:rPr>
          <w:rFonts w:cstheme="minorHAnsi"/>
          <w:b/>
        </w:rPr>
        <w:t xml:space="preserve">.2. </w:t>
      </w:r>
      <w:r w:rsidR="004E48B3" w:rsidRPr="005C7C0A">
        <w:rPr>
          <w:rFonts w:cstheme="minorHAnsi"/>
          <w:b/>
        </w:rPr>
        <w:t>Relacje ze Stanami Zjednoczonymi</w:t>
      </w:r>
    </w:p>
    <w:p w:rsidR="004E48B3" w:rsidRPr="005C7C0A" w:rsidRDefault="004E48B3" w:rsidP="004E48B3">
      <w:pPr>
        <w:spacing w:before="120" w:after="120" w:line="240" w:lineRule="auto"/>
        <w:jc w:val="both"/>
        <w:rPr>
          <w:rFonts w:cstheme="minorHAnsi"/>
        </w:rPr>
      </w:pPr>
      <w:r w:rsidRPr="005C7C0A">
        <w:rPr>
          <w:rFonts w:cstheme="minorHAnsi"/>
        </w:rPr>
        <w:t>Stany Zjednoczone są głównym partnerem handlowym Bahamów. Bahamy importują prawie całą swoją żywno</w:t>
      </w:r>
      <w:r w:rsidR="00C37647">
        <w:rPr>
          <w:rFonts w:cstheme="minorHAnsi"/>
        </w:rPr>
        <w:t xml:space="preserve">ść i towary przemysłowe z USA. </w:t>
      </w:r>
      <w:r w:rsidRPr="005C7C0A">
        <w:rPr>
          <w:rFonts w:cstheme="minorHAnsi"/>
        </w:rPr>
        <w:t xml:space="preserve">Produkty pochodzące z Bahamów korzystają z preferencji taryfowych, w handlu z USA w oparciu o </w:t>
      </w:r>
      <w:r w:rsidRPr="005C7C0A">
        <w:rPr>
          <w:rFonts w:cstheme="minorHAnsi"/>
          <w:i/>
        </w:rPr>
        <w:t>U.S.-Caribbean Basin Trade Partnership</w:t>
      </w:r>
      <w:r w:rsidRPr="005C7C0A">
        <w:rPr>
          <w:rFonts w:cstheme="minorHAnsi"/>
        </w:rPr>
        <w:t xml:space="preserve">, a w handlu z Kanadą – na podstawie programu </w:t>
      </w:r>
      <w:r w:rsidRPr="005C7C0A">
        <w:rPr>
          <w:rFonts w:cstheme="minorHAnsi"/>
          <w:i/>
        </w:rPr>
        <w:t>CARIBCAN</w:t>
      </w:r>
      <w:r w:rsidRPr="005C7C0A">
        <w:rPr>
          <w:rFonts w:cstheme="minorHAnsi"/>
        </w:rPr>
        <w:t xml:space="preserve">. Eksport do UE stanowi w większości bezcłowe kontyngenty na </w:t>
      </w:r>
      <w:r w:rsidRPr="005C7C0A">
        <w:rPr>
          <w:rFonts w:cstheme="minorHAnsi"/>
        </w:rPr>
        <w:lastRenderedPageBreak/>
        <w:t>podstawie zawartej w październiku 2008 r. Umowy o Partnerstwie Gospodarczym (</w:t>
      </w:r>
      <w:r w:rsidRPr="005C7C0A">
        <w:rPr>
          <w:rFonts w:cstheme="minorHAnsi"/>
          <w:i/>
        </w:rPr>
        <w:t>Economic Partnership Agrement</w:t>
      </w:r>
      <w:r w:rsidRPr="005C7C0A">
        <w:rPr>
          <w:rFonts w:cstheme="minorHAnsi"/>
        </w:rPr>
        <w:t xml:space="preserve"> – EPA) UE-CARIFORUM.</w:t>
      </w:r>
    </w:p>
    <w:p w:rsidR="007F64CA" w:rsidRPr="005C7C0A" w:rsidRDefault="00036C38" w:rsidP="0002265B">
      <w:pPr>
        <w:spacing w:before="240" w:after="120" w:line="264" w:lineRule="auto"/>
        <w:ind w:left="360"/>
        <w:outlineLvl w:val="3"/>
        <w:rPr>
          <w:rFonts w:cstheme="minorHAnsi"/>
          <w:b/>
        </w:rPr>
      </w:pPr>
      <w:r>
        <w:rPr>
          <w:rFonts w:cstheme="minorHAnsi"/>
          <w:b/>
        </w:rPr>
        <w:t>7</w:t>
      </w:r>
      <w:r w:rsidR="004E48B3" w:rsidRPr="005C7C0A">
        <w:rPr>
          <w:rFonts w:cstheme="minorHAnsi"/>
          <w:b/>
        </w:rPr>
        <w:t xml:space="preserve">.3. </w:t>
      </w:r>
      <w:r w:rsidR="0002265B" w:rsidRPr="005C7C0A">
        <w:rPr>
          <w:rFonts w:cstheme="minorHAnsi"/>
          <w:b/>
        </w:rPr>
        <w:t>Relacje z UE</w:t>
      </w:r>
    </w:p>
    <w:p w:rsidR="007F0ED0" w:rsidRPr="005C7C0A" w:rsidRDefault="007F0ED0" w:rsidP="007A0567">
      <w:pPr>
        <w:spacing w:before="120" w:after="120" w:line="240" w:lineRule="auto"/>
        <w:jc w:val="both"/>
        <w:rPr>
          <w:rFonts w:eastAsiaTheme="minorHAnsi" w:cstheme="minorHAnsi"/>
          <w:lang w:eastAsia="pl-PL"/>
        </w:rPr>
      </w:pPr>
      <w:r w:rsidRPr="005C7C0A">
        <w:rPr>
          <w:rFonts w:eastAsiaTheme="minorHAnsi" w:cstheme="minorHAnsi"/>
          <w:color w:val="000000" w:themeColor="text1"/>
          <w:lang w:eastAsia="pl-PL"/>
        </w:rPr>
        <w:t xml:space="preserve">Bahamy są </w:t>
      </w:r>
      <w:r w:rsidRPr="007A0567">
        <w:rPr>
          <w:rFonts w:cstheme="minorHAnsi"/>
        </w:rPr>
        <w:t>członkiem</w:t>
      </w:r>
      <w:r w:rsidRPr="005C7C0A">
        <w:rPr>
          <w:rFonts w:eastAsiaTheme="minorHAnsi" w:cstheme="minorHAnsi"/>
          <w:color w:val="000000" w:themeColor="text1"/>
          <w:lang w:eastAsia="pl-PL"/>
        </w:rPr>
        <w:t xml:space="preserve"> </w:t>
      </w:r>
      <w:r w:rsidRPr="005C7C0A">
        <w:rPr>
          <w:rFonts w:eastAsiaTheme="minorHAnsi" w:cstheme="minorHAnsi"/>
          <w:b/>
          <w:bCs/>
          <w:lang w:eastAsia="pl-PL"/>
        </w:rPr>
        <w:t>grupy państw afrykańskich, karaibskich i pacyficznych</w:t>
      </w:r>
      <w:r w:rsidRPr="005C7C0A">
        <w:rPr>
          <w:rFonts w:eastAsiaTheme="minorHAnsi" w:cstheme="minorHAnsi"/>
          <w:lang w:eastAsia="pl-PL"/>
        </w:rPr>
        <w:t xml:space="preserve"> (</w:t>
      </w:r>
      <w:r w:rsidRPr="005C7C0A">
        <w:rPr>
          <w:rFonts w:eastAsiaTheme="minorHAnsi" w:cstheme="minorHAnsi"/>
          <w:b/>
          <w:bCs/>
          <w:lang w:eastAsia="pl-PL"/>
        </w:rPr>
        <w:t xml:space="preserve">OACPS) </w:t>
      </w:r>
      <w:r w:rsidRPr="005C7C0A">
        <w:rPr>
          <w:rFonts w:eastAsiaTheme="minorHAnsi" w:cstheme="minorHAnsi"/>
          <w:color w:val="000000" w:themeColor="text1"/>
          <w:lang w:eastAsia="pl-PL"/>
        </w:rPr>
        <w:t xml:space="preserve">związanych szczególnym partnerstwem z </w:t>
      </w:r>
      <w:r w:rsidRPr="005C7C0A">
        <w:rPr>
          <w:rFonts w:eastAsiaTheme="minorHAnsi" w:cstheme="minorHAnsi"/>
          <w:b/>
          <w:color w:val="000000" w:themeColor="text1"/>
          <w:lang w:eastAsia="pl-PL"/>
        </w:rPr>
        <w:t>Unią Europejską</w:t>
      </w:r>
      <w:r w:rsidRPr="005C7C0A">
        <w:rPr>
          <w:rFonts w:eastAsiaTheme="minorHAnsi" w:cstheme="minorHAnsi"/>
          <w:color w:val="FFC000"/>
          <w:lang w:eastAsia="pl-PL"/>
        </w:rPr>
        <w:t xml:space="preserve"> </w:t>
      </w:r>
      <w:r w:rsidRPr="005C7C0A">
        <w:rPr>
          <w:rFonts w:eastAsia="Calibri" w:cstheme="minorHAnsi"/>
          <w:color w:val="000000" w:themeColor="text1"/>
        </w:rPr>
        <w:t xml:space="preserve">Jako członek organizacji CARICOM i CARIFORUM, </w:t>
      </w:r>
      <w:r w:rsidRPr="007A0567">
        <w:rPr>
          <w:rFonts w:cstheme="minorHAnsi"/>
        </w:rPr>
        <w:t>Bahamy</w:t>
      </w:r>
      <w:r w:rsidRPr="005C7C0A">
        <w:rPr>
          <w:rFonts w:eastAsia="Calibri" w:cstheme="minorHAnsi"/>
          <w:color w:val="000000" w:themeColor="text1"/>
        </w:rPr>
        <w:t xml:space="preserve"> są stroną </w:t>
      </w:r>
      <w:r w:rsidRPr="005C7C0A">
        <w:rPr>
          <w:rFonts w:eastAsia="Calibri" w:cstheme="minorHAnsi"/>
          <w:b/>
          <w:color w:val="000000" w:themeColor="text1"/>
        </w:rPr>
        <w:t>Umowy o Partnerstwie Gospodarczym (</w:t>
      </w:r>
      <w:r w:rsidRPr="005C7C0A">
        <w:rPr>
          <w:rFonts w:eastAsia="Calibri" w:cstheme="minorHAnsi"/>
          <w:b/>
          <w:i/>
          <w:color w:val="000000" w:themeColor="text1"/>
        </w:rPr>
        <w:t>Economic Partnership Agrement</w:t>
      </w:r>
      <w:r w:rsidRPr="005C7C0A">
        <w:rPr>
          <w:rFonts w:eastAsia="Calibri" w:cstheme="minorHAnsi"/>
          <w:b/>
          <w:color w:val="000000" w:themeColor="text1"/>
        </w:rPr>
        <w:t xml:space="preserve"> – EPA)</w:t>
      </w:r>
      <w:r w:rsidRPr="005C7C0A">
        <w:rPr>
          <w:rFonts w:eastAsia="Calibri" w:cstheme="minorHAnsi"/>
          <w:color w:val="000000" w:themeColor="text1"/>
        </w:rPr>
        <w:t xml:space="preserve"> z UE</w:t>
      </w:r>
      <w:r w:rsidRPr="005C7C0A">
        <w:rPr>
          <w:rFonts w:eastAsiaTheme="minorHAnsi" w:cstheme="minorHAnsi"/>
          <w:color w:val="FFC000"/>
          <w:lang w:eastAsia="pl-PL"/>
        </w:rPr>
        <w:t xml:space="preserve"> </w:t>
      </w:r>
      <w:r w:rsidRPr="005C7C0A">
        <w:rPr>
          <w:rFonts w:eastAsia="Calibri" w:cstheme="minorHAnsi"/>
          <w:color w:val="000000" w:themeColor="text1"/>
        </w:rPr>
        <w:t>(</w:t>
      </w:r>
      <w:r w:rsidRPr="005C7C0A">
        <w:rPr>
          <w:rFonts w:eastAsia="Calibri" w:cstheme="minorHAnsi"/>
          <w:i/>
        </w:rPr>
        <w:t>opisan</w:t>
      </w:r>
      <w:r w:rsidR="001D0CA3" w:rsidRPr="005C7C0A">
        <w:rPr>
          <w:rFonts w:eastAsia="Calibri" w:cstheme="minorHAnsi"/>
          <w:i/>
        </w:rPr>
        <w:t>e</w:t>
      </w:r>
      <w:r w:rsidRPr="005C7C0A">
        <w:rPr>
          <w:rFonts w:eastAsia="Calibri" w:cstheme="minorHAnsi"/>
          <w:i/>
        </w:rPr>
        <w:t xml:space="preserve"> w rozdziale –</w:t>
      </w:r>
      <w:r w:rsidR="00AC4A26" w:rsidRPr="005C7C0A">
        <w:rPr>
          <w:rFonts w:eastAsia="Calibri" w:cstheme="minorHAnsi"/>
          <w:i/>
        </w:rPr>
        <w:t xml:space="preserve"> Udział w inicjatywach i organizacjach wielostronnych o charakterze gospodarczym</w:t>
      </w:r>
      <w:r w:rsidR="00AC4A26" w:rsidRPr="005C7C0A">
        <w:rPr>
          <w:rFonts w:eastAsia="Calibri" w:cstheme="minorHAnsi"/>
        </w:rPr>
        <w:t>).</w:t>
      </w:r>
    </w:p>
    <w:p w:rsidR="00486310" w:rsidRPr="005C7C0A" w:rsidRDefault="00486310" w:rsidP="00A47975">
      <w:pPr>
        <w:spacing w:before="120" w:after="120" w:line="240" w:lineRule="auto"/>
        <w:jc w:val="both"/>
        <w:rPr>
          <w:rFonts w:eastAsia="Calibri" w:cstheme="minorHAnsi"/>
        </w:rPr>
      </w:pPr>
      <w:r w:rsidRPr="005C7C0A">
        <w:rPr>
          <w:rFonts w:eastAsia="Calibri" w:cstheme="minorHAnsi"/>
        </w:rPr>
        <w:t xml:space="preserve">Ważną sferą relacji UE-Bahamy jest </w:t>
      </w:r>
      <w:r w:rsidRPr="005C7C0A">
        <w:rPr>
          <w:rFonts w:eastAsia="Calibri" w:cstheme="minorHAnsi"/>
          <w:b/>
        </w:rPr>
        <w:t>współpraca rozwojowa</w:t>
      </w:r>
      <w:r w:rsidRPr="005C7C0A">
        <w:rPr>
          <w:rFonts w:eastAsia="Calibri" w:cstheme="minorHAnsi"/>
        </w:rPr>
        <w:t xml:space="preserve">. Realizowane w jej ramach projekty koncentrują się na rozwoju infrastruktury na zewnętrznych wyspach archipelagu w celu zwiększenia aktywności gospodarczej i poprawie dostępu do tamtejszego rynku. Inne projekty dotyczą zarządzania, praw </w:t>
      </w:r>
      <w:r w:rsidRPr="007A0567">
        <w:rPr>
          <w:rFonts w:cstheme="minorHAnsi"/>
        </w:rPr>
        <w:t>człowieka</w:t>
      </w:r>
      <w:r w:rsidRPr="005C7C0A">
        <w:rPr>
          <w:rFonts w:eastAsia="Calibri" w:cstheme="minorHAnsi"/>
        </w:rPr>
        <w:t>, równości płci oraz ochrony środowiska. Dzięki europejskim funduszom na Bahamach realizowanych jest wiele projektów rozwojowych. Podczas wyboru projektów, które otrzymają finansowanie z UE, odbywają się konsultacje z udziałem organizacji pozarządowych, urzędników państwowych i mieszkańców wysp.</w:t>
      </w:r>
    </w:p>
    <w:p w:rsidR="00C37647" w:rsidRDefault="00486310" w:rsidP="00A47975">
      <w:pPr>
        <w:spacing w:before="120" w:after="120" w:line="240" w:lineRule="auto"/>
        <w:jc w:val="both"/>
        <w:rPr>
          <w:rFonts w:eastAsiaTheme="minorHAnsi" w:cstheme="minorHAnsi"/>
          <w:iCs/>
          <w:lang w:eastAsia="pl-PL"/>
        </w:rPr>
      </w:pPr>
      <w:bookmarkStart w:id="5" w:name="_Hlk174970650"/>
      <w:r w:rsidRPr="005C7C0A">
        <w:rPr>
          <w:rFonts w:eastAsiaTheme="minorHAnsi" w:cstheme="minorHAnsi"/>
          <w:lang w:eastAsia="pl-PL"/>
        </w:rPr>
        <w:t xml:space="preserve">Istotnym tematem w relacjach Bahamów z Unią Europejską jest kwestia </w:t>
      </w:r>
      <w:r w:rsidRPr="005C7C0A">
        <w:rPr>
          <w:rFonts w:eastAsiaTheme="minorHAnsi" w:cstheme="minorHAnsi"/>
          <w:b/>
          <w:lang w:eastAsia="pl-PL"/>
        </w:rPr>
        <w:t>przejrzystości funkcjonowania zarejestrowanych na Bahamach instytucji finansowych</w:t>
      </w:r>
      <w:r w:rsidRPr="005C7C0A">
        <w:rPr>
          <w:rFonts w:eastAsiaTheme="minorHAnsi" w:cstheme="minorHAnsi"/>
          <w:lang w:eastAsia="pl-PL"/>
        </w:rPr>
        <w:t xml:space="preserve">. </w:t>
      </w:r>
      <w:r w:rsidRPr="007A0567">
        <w:rPr>
          <w:rFonts w:cstheme="minorHAnsi"/>
        </w:rPr>
        <w:t>Przedstawiciele</w:t>
      </w:r>
      <w:r w:rsidRPr="005C7C0A">
        <w:rPr>
          <w:rFonts w:eastAsiaTheme="minorHAnsi" w:cstheme="minorHAnsi"/>
          <w:lang w:eastAsia="pl-PL"/>
        </w:rPr>
        <w:t xml:space="preserve"> władz Bahamów odbyli szereg spotkań dot. tej tematyki w czasie wizyt w Europie. W październiku 2018 r. Grupa Zadaniowa ds. Przeciwdziałania Praniu Pieniędzy (</w:t>
      </w:r>
      <w:r w:rsidRPr="005C7C0A">
        <w:rPr>
          <w:rFonts w:eastAsiaTheme="minorHAnsi" w:cstheme="minorHAnsi"/>
          <w:i/>
          <w:lang w:eastAsia="pl-PL"/>
        </w:rPr>
        <w:t>Financial Action Task Force</w:t>
      </w:r>
      <w:r w:rsidRPr="005C7C0A">
        <w:rPr>
          <w:rFonts w:eastAsiaTheme="minorHAnsi" w:cstheme="minorHAnsi"/>
          <w:lang w:eastAsia="pl-PL"/>
        </w:rPr>
        <w:t xml:space="preserve"> – </w:t>
      </w:r>
      <w:r w:rsidRPr="005C7C0A">
        <w:rPr>
          <w:rFonts w:eastAsiaTheme="minorHAnsi" w:cstheme="minorHAnsi"/>
          <w:b/>
          <w:lang w:eastAsia="pl-PL"/>
        </w:rPr>
        <w:t>FATF</w:t>
      </w:r>
      <w:r w:rsidRPr="005C7C0A">
        <w:rPr>
          <w:rFonts w:eastAsiaTheme="minorHAnsi" w:cstheme="minorHAnsi"/>
          <w:lang w:eastAsia="pl-PL"/>
        </w:rPr>
        <w:t xml:space="preserve">) umieściła Bahamy na swojej </w:t>
      </w:r>
      <w:r w:rsidRPr="005C7C0A">
        <w:rPr>
          <w:rFonts w:eastAsiaTheme="minorHAnsi" w:cstheme="minorHAnsi"/>
          <w:i/>
          <w:lang w:eastAsia="pl-PL"/>
        </w:rPr>
        <w:t>watch list</w:t>
      </w:r>
      <w:r w:rsidRPr="005C7C0A">
        <w:rPr>
          <w:rFonts w:eastAsiaTheme="minorHAnsi" w:cstheme="minorHAnsi"/>
          <w:lang w:eastAsia="pl-PL"/>
        </w:rPr>
        <w:t xml:space="preserve">, ponieważ spełniały one tylko 17 z 40 wyznaczonych przez FATF kryteriów. W wyniku rozmów z przedstawicielami UE, OECD i FATF w </w:t>
      </w:r>
      <w:r w:rsidRPr="007A0567">
        <w:rPr>
          <w:rFonts w:cstheme="minorHAnsi"/>
        </w:rPr>
        <w:t>grudniu</w:t>
      </w:r>
      <w:r w:rsidRPr="005C7C0A">
        <w:rPr>
          <w:rFonts w:eastAsiaTheme="minorHAnsi" w:cstheme="minorHAnsi"/>
          <w:lang w:eastAsia="pl-PL"/>
        </w:rPr>
        <w:t xml:space="preserve"> 2018 r. rząd Bahamów przyjął pakiet przepisów obejmujący: </w:t>
      </w:r>
      <w:r w:rsidRPr="005C7C0A">
        <w:rPr>
          <w:rFonts w:eastAsiaTheme="minorHAnsi" w:cstheme="minorHAnsi"/>
          <w:i/>
          <w:lang w:eastAsia="pl-PL"/>
        </w:rPr>
        <w:t>The Removal of Preferential Exemptions Act</w:t>
      </w:r>
      <w:r w:rsidRPr="005C7C0A">
        <w:rPr>
          <w:rFonts w:eastAsiaTheme="minorHAnsi" w:cstheme="minorHAnsi"/>
          <w:lang w:eastAsia="pl-PL"/>
        </w:rPr>
        <w:t xml:space="preserve"> (znoszący preferencje podatkowe dla niektórych kategorii spółek), </w:t>
      </w:r>
      <w:r w:rsidRPr="005C7C0A">
        <w:rPr>
          <w:rFonts w:eastAsiaTheme="minorHAnsi" w:cstheme="minorHAnsi"/>
          <w:i/>
          <w:lang w:eastAsia="pl-PL"/>
        </w:rPr>
        <w:t>The Register of Beneficial Ownership Act</w:t>
      </w:r>
      <w:r w:rsidRPr="005C7C0A">
        <w:rPr>
          <w:rFonts w:eastAsiaTheme="minorHAnsi" w:cstheme="minorHAnsi"/>
          <w:lang w:eastAsia="pl-PL"/>
        </w:rPr>
        <w:t xml:space="preserve"> (ustanawiający bazę danych wszystkich podmiotów prawnych zarejestrowanych na Bahamach) i </w:t>
      </w:r>
      <w:r w:rsidRPr="005C7C0A">
        <w:rPr>
          <w:rFonts w:eastAsiaTheme="minorHAnsi" w:cstheme="minorHAnsi"/>
          <w:i/>
          <w:lang w:eastAsia="pl-PL"/>
        </w:rPr>
        <w:t xml:space="preserve">The Commercial Entities (Substance Requirement) Act </w:t>
      </w:r>
      <w:r w:rsidRPr="005C7C0A">
        <w:rPr>
          <w:rFonts w:eastAsiaTheme="minorHAnsi" w:cstheme="minorHAnsi"/>
          <w:lang w:eastAsia="pl-PL"/>
        </w:rPr>
        <w:t xml:space="preserve">(wprowadzający wymóg, by określone kategorie przedsiębiorstw wykazywały realną obecność gospodarczą na Bahamach). Dzięki dokonanemu postępowi </w:t>
      </w:r>
      <w:r w:rsidRPr="005C7C0A">
        <w:rPr>
          <w:rFonts w:eastAsiaTheme="minorHAnsi" w:cstheme="minorHAnsi"/>
          <w:b/>
          <w:lang w:eastAsia="pl-PL"/>
        </w:rPr>
        <w:t xml:space="preserve">w grudniu 2020 r. FATF skreśliła Bahamy z tzw. szarej listy </w:t>
      </w:r>
      <w:r w:rsidRPr="005C7C0A">
        <w:rPr>
          <w:rFonts w:eastAsiaTheme="minorHAnsi" w:cstheme="minorHAnsi"/>
          <w:lang w:eastAsia="pl-PL"/>
        </w:rPr>
        <w:t>(</w:t>
      </w:r>
      <w:r w:rsidRPr="005C7C0A">
        <w:rPr>
          <w:rFonts w:eastAsiaTheme="minorHAnsi" w:cstheme="minorHAnsi"/>
          <w:i/>
          <w:lang w:eastAsia="pl-PL"/>
        </w:rPr>
        <w:t>List of Jurisdictions Under Increased Monitoring -</w:t>
      </w:r>
      <w:r w:rsidRPr="005C7C0A">
        <w:rPr>
          <w:rFonts w:eastAsiaTheme="minorHAnsi" w:cstheme="minorHAnsi"/>
          <w:b/>
          <w:i/>
          <w:lang w:eastAsia="pl-PL"/>
        </w:rPr>
        <w:t xml:space="preserve"> FATF’s Grey List</w:t>
      </w:r>
      <w:r w:rsidRPr="005C7C0A">
        <w:rPr>
          <w:rFonts w:eastAsiaTheme="minorHAnsi" w:cstheme="minorHAnsi"/>
          <w:b/>
          <w:lang w:eastAsia="pl-PL"/>
        </w:rPr>
        <w:t>)</w:t>
      </w:r>
      <w:r w:rsidRPr="005C7C0A">
        <w:rPr>
          <w:rFonts w:eastAsiaTheme="minorHAnsi" w:cstheme="minorHAnsi"/>
          <w:lang w:eastAsia="pl-PL"/>
        </w:rPr>
        <w:t xml:space="preserve">, a </w:t>
      </w:r>
      <w:r w:rsidRPr="005C7C0A">
        <w:rPr>
          <w:rFonts w:eastAsiaTheme="minorHAnsi" w:cstheme="minorHAnsi"/>
          <w:b/>
          <w:lang w:eastAsia="pl-PL"/>
        </w:rPr>
        <w:t>07.01.2022 r.</w:t>
      </w:r>
      <w:r w:rsidRPr="005C7C0A">
        <w:rPr>
          <w:rFonts w:eastAsiaTheme="minorHAnsi" w:cstheme="minorHAnsi"/>
          <w:lang w:eastAsia="pl-PL"/>
        </w:rPr>
        <w:t xml:space="preserve"> </w:t>
      </w:r>
      <w:r w:rsidRPr="005C7C0A">
        <w:rPr>
          <w:rFonts w:eastAsiaTheme="minorHAnsi" w:cstheme="minorHAnsi"/>
          <w:b/>
          <w:lang w:eastAsia="pl-PL"/>
        </w:rPr>
        <w:t xml:space="preserve">Komisja Europejska przyjęła rozporządzenie w celu usunięcia Bahamów z </w:t>
      </w:r>
      <w:r w:rsidRPr="005C7C0A">
        <w:rPr>
          <w:rFonts w:eastAsiaTheme="minorHAnsi" w:cstheme="minorHAnsi"/>
          <w:b/>
          <w:i/>
          <w:lang w:eastAsia="pl-PL"/>
        </w:rPr>
        <w:t>AML Blacklist</w:t>
      </w:r>
      <w:r w:rsidRPr="005C7C0A">
        <w:rPr>
          <w:rFonts w:eastAsiaTheme="minorHAnsi" w:cstheme="minorHAnsi"/>
          <w:i/>
          <w:lang w:eastAsia="pl-PL"/>
        </w:rPr>
        <w:t xml:space="preserve">. </w:t>
      </w:r>
      <w:r w:rsidRPr="005C7C0A">
        <w:rPr>
          <w:rFonts w:eastAsiaTheme="minorHAnsi" w:cstheme="minorHAnsi"/>
          <w:b/>
          <w:bCs/>
          <w:lang w:eastAsia="pl-PL"/>
        </w:rPr>
        <w:t xml:space="preserve">4.10.2022 r. Bahamy zostały umieszczone na liście UE państw niewspółpracujących dostatecznie w sprawach podatkowych </w:t>
      </w:r>
      <w:r w:rsidRPr="005C7C0A">
        <w:rPr>
          <w:rFonts w:eastAsiaTheme="minorHAnsi" w:cstheme="minorHAnsi"/>
          <w:lang w:eastAsia="pl-PL"/>
        </w:rPr>
        <w:t>(</w:t>
      </w:r>
      <w:hyperlink r:id="rId24" w:history="1">
        <w:r w:rsidRPr="005C7C0A">
          <w:rPr>
            <w:rFonts w:eastAsiaTheme="minorHAnsi" w:cstheme="minorHAnsi"/>
            <w:i/>
            <w:iCs/>
            <w:u w:val="single"/>
            <w:lang w:eastAsia="pl-PL"/>
          </w:rPr>
          <w:t>EU list of non-cooperative jurisdictions for tax purposes</w:t>
        </w:r>
      </w:hyperlink>
      <w:r w:rsidRPr="005C7C0A">
        <w:rPr>
          <w:rFonts w:eastAsiaTheme="minorHAnsi" w:cstheme="minorHAnsi"/>
          <w:i/>
          <w:iCs/>
          <w:lang w:eastAsia="pl-PL"/>
        </w:rPr>
        <w:t xml:space="preserve">). </w:t>
      </w:r>
      <w:r w:rsidRPr="005C7C0A">
        <w:rPr>
          <w:rFonts w:eastAsiaTheme="minorHAnsi" w:cstheme="minorHAnsi"/>
          <w:iCs/>
          <w:lang w:val="en-US" w:eastAsia="pl-PL"/>
        </w:rPr>
        <w:t xml:space="preserve">22.12.2022 r. </w:t>
      </w:r>
      <w:r w:rsidRPr="005C7C0A">
        <w:rPr>
          <w:rFonts w:eastAsiaTheme="minorHAnsi" w:cstheme="minorHAnsi"/>
          <w:i/>
          <w:iCs/>
          <w:lang w:val="en-US" w:eastAsia="pl-PL"/>
        </w:rPr>
        <w:t>Caribbean Financial Action Task Force</w:t>
      </w:r>
      <w:r w:rsidRPr="005C7C0A">
        <w:rPr>
          <w:rFonts w:eastAsiaTheme="minorHAnsi" w:cstheme="minorHAnsi"/>
          <w:iCs/>
          <w:lang w:val="en-US" w:eastAsia="pl-PL"/>
        </w:rPr>
        <w:t xml:space="preserve"> (CFATF) wycofał dwie rekomendacje dot. </w:t>
      </w:r>
      <w:r w:rsidRPr="005C7C0A">
        <w:rPr>
          <w:rFonts w:eastAsiaTheme="minorHAnsi" w:cstheme="minorHAnsi"/>
          <w:iCs/>
          <w:lang w:eastAsia="pl-PL"/>
        </w:rPr>
        <w:t>Bahamów; tym samym kraj ten stał się jednym z tylko dwóch państw regionu, które spełniają wszystkie 40 rekomendacji CFATC.</w:t>
      </w:r>
      <w:bookmarkEnd w:id="5"/>
    </w:p>
    <w:p w:rsidR="00486310" w:rsidRPr="005C7C0A" w:rsidRDefault="00486310" w:rsidP="00A47975">
      <w:pPr>
        <w:spacing w:before="120" w:after="120" w:line="240" w:lineRule="auto"/>
        <w:jc w:val="both"/>
        <w:rPr>
          <w:rFonts w:eastAsia="Calibri" w:cstheme="minorHAnsi"/>
        </w:rPr>
      </w:pPr>
      <w:r w:rsidRPr="005C7C0A">
        <w:rPr>
          <w:rFonts w:eastAsiaTheme="minorHAnsi" w:cstheme="minorHAnsi"/>
          <w:b/>
          <w:bCs/>
          <w:lang w:eastAsia="pl-PL"/>
        </w:rPr>
        <w:t xml:space="preserve">22.10.2023 r. w Nassau odbyła się sesja dialogu politycznego UE-Bahamy (poprzednia miała miejsce w październiku 2022 r.). </w:t>
      </w:r>
      <w:r w:rsidRPr="005C7C0A">
        <w:rPr>
          <w:rFonts w:eastAsiaTheme="minorHAnsi" w:cstheme="minorHAnsi"/>
          <w:bCs/>
          <w:lang w:eastAsia="pl-PL"/>
        </w:rPr>
        <w:t>Sesja została zorganizowana na marginesie „</w:t>
      </w:r>
      <w:r w:rsidRPr="005C7C0A">
        <w:rPr>
          <w:rFonts w:eastAsiaTheme="minorHAnsi" w:cstheme="minorHAnsi"/>
          <w:lang w:eastAsia="pl-PL"/>
        </w:rPr>
        <w:t xml:space="preserve">The Bahamas Diplomatic </w:t>
      </w:r>
      <w:r w:rsidR="005C7C0A">
        <w:rPr>
          <w:rFonts w:eastAsiaTheme="minorHAnsi" w:cstheme="minorHAnsi"/>
          <w:lang w:eastAsia="pl-PL"/>
        </w:rPr>
        <w:t>Week 2023”</w:t>
      </w:r>
      <w:r w:rsidRPr="005C7C0A">
        <w:rPr>
          <w:rFonts w:eastAsiaTheme="minorHAnsi" w:cstheme="minorHAnsi"/>
          <w:lang w:eastAsia="pl-PL"/>
        </w:rPr>
        <w:t>. Obradom przewodniczył minister SZ Bahamów Frederick Mitchell, a ze strony UE – Marianne Van Steen, ambasador UE na Bahamach (rezydująca na Jamajce)</w:t>
      </w:r>
      <w:r w:rsidRPr="005C7C0A">
        <w:rPr>
          <w:rFonts w:eastAsiaTheme="minorHAnsi" w:cstheme="minorHAnsi"/>
          <w:iCs/>
          <w:lang w:eastAsia="pl-PL"/>
        </w:rPr>
        <w:t xml:space="preserve">. </w:t>
      </w:r>
      <w:r w:rsidRPr="005C7C0A">
        <w:rPr>
          <w:rFonts w:eastAsia="Calibri" w:cstheme="minorHAnsi"/>
        </w:rPr>
        <w:t xml:space="preserve">Dialog skupił się na kwestiach priorytetowych będących przedmiotem zainteresowania Bahamów i UE, w tym dotyczących rozwoju politycznego i gospodarczego w zmieniającym się geopolitycznie krajobrazie. </w:t>
      </w:r>
      <w:r w:rsidRPr="007A0567">
        <w:rPr>
          <w:rFonts w:cstheme="minorHAnsi"/>
        </w:rPr>
        <w:t>Bahamy</w:t>
      </w:r>
      <w:r w:rsidRPr="005C7C0A">
        <w:rPr>
          <w:rFonts w:eastAsia="Calibri" w:cstheme="minorHAnsi"/>
        </w:rPr>
        <w:t xml:space="preserve"> i UE ponownie wyraziły swoje poparcie dla zasad multilateralizmu i porządku międzynarodowego opartego na zasadach w zgodzie z Kartą Narodów Zjednoczonych. W oświadczeniu końcowym dialogu, przyjęto zbliżające się podpisanie Porozumienia z Samoa i jego wejście w życie w 2024 r. Delegaci omówili także działania następcze po trzecim szczycie UE-CELAC, który odbył się w lipcu 2023 r. w Brukseli. Spotkania te skupiały się na wysiłkach na rzecz wzmocnienia stosunków międzyregionalnych, dialogu i współpracy, uruchomieniu unijnego programu inwestycyjnego Global Gateway oraz programów współpracy finansowanych przez UE na Bahamach. Dodatkowo uczestnicy wyrazili zaniepokojenie rozwojem sytuacji geopolitycznej – wielowarstwowy kryzys na Haiti, rosyjska agresja na Ukrainę oraz sytuacja humanitarna na Bliskim </w:t>
      </w:r>
      <w:r w:rsidRPr="005C7C0A">
        <w:rPr>
          <w:rFonts w:eastAsia="Calibri" w:cstheme="minorHAnsi"/>
        </w:rPr>
        <w:lastRenderedPageBreak/>
        <w:t>Wschodzie. Delegaci omówili także sprawy dotyczące współpracy rozwojowej, handlu i inwestycji, migracji i przestępczości zorganizowanej. Dyskusja skoncentrowała się także na zagadnieniu prania brudnych pieniędzy, finansowania terroryzmu i zarządzania podatkowego.</w:t>
      </w:r>
    </w:p>
    <w:p w:rsidR="005C7C0A" w:rsidRDefault="00BC0B9D" w:rsidP="00BC0B9D">
      <w:pPr>
        <w:spacing w:before="240" w:after="120" w:line="264" w:lineRule="auto"/>
        <w:ind w:left="360"/>
        <w:outlineLvl w:val="3"/>
        <w:rPr>
          <w:rFonts w:cstheme="minorHAnsi"/>
          <w:b/>
        </w:rPr>
      </w:pPr>
      <w:r>
        <w:rPr>
          <w:rFonts w:cstheme="minorHAnsi"/>
          <w:b/>
        </w:rPr>
        <w:t>7</w:t>
      </w:r>
      <w:r w:rsidR="00F32311" w:rsidRPr="005C7C0A">
        <w:rPr>
          <w:rFonts w:cstheme="minorHAnsi"/>
          <w:b/>
        </w:rPr>
        <w:t>.</w:t>
      </w:r>
      <w:r>
        <w:rPr>
          <w:rFonts w:cstheme="minorHAnsi"/>
          <w:b/>
        </w:rPr>
        <w:t>4.</w:t>
      </w:r>
      <w:r w:rsidR="00F32311" w:rsidRPr="005C7C0A">
        <w:rPr>
          <w:rFonts w:cstheme="minorHAnsi"/>
          <w:b/>
        </w:rPr>
        <w:t xml:space="preserve"> Baza traktatowa </w:t>
      </w:r>
    </w:p>
    <w:p w:rsidR="00F32311" w:rsidRPr="005C7C0A" w:rsidRDefault="00BC0B9D" w:rsidP="00BC0B9D">
      <w:pPr>
        <w:spacing w:before="240" w:after="120" w:line="264" w:lineRule="auto"/>
        <w:ind w:left="360"/>
        <w:outlineLvl w:val="3"/>
        <w:rPr>
          <w:rFonts w:cstheme="minorHAnsi"/>
          <w:b/>
        </w:rPr>
      </w:pPr>
      <w:r>
        <w:rPr>
          <w:rFonts w:cstheme="minorHAnsi"/>
          <w:b/>
        </w:rPr>
        <w:t>7</w:t>
      </w:r>
      <w:r w:rsidR="005C7C0A">
        <w:rPr>
          <w:rFonts w:cstheme="minorHAnsi"/>
          <w:b/>
        </w:rPr>
        <w:t>.</w:t>
      </w:r>
      <w:r>
        <w:rPr>
          <w:rFonts w:cstheme="minorHAnsi"/>
          <w:b/>
        </w:rPr>
        <w:t>4.</w:t>
      </w:r>
      <w:r w:rsidR="005C7C0A">
        <w:rPr>
          <w:rFonts w:cstheme="minorHAnsi"/>
          <w:b/>
        </w:rPr>
        <w:t>1</w:t>
      </w:r>
      <w:r>
        <w:rPr>
          <w:rFonts w:cstheme="minorHAnsi"/>
          <w:b/>
        </w:rPr>
        <w:t>.</w:t>
      </w:r>
      <w:r w:rsidR="005C7C0A">
        <w:rPr>
          <w:rFonts w:cstheme="minorHAnsi"/>
          <w:b/>
        </w:rPr>
        <w:t xml:space="preserve"> Baza traktatowa </w:t>
      </w:r>
      <w:r w:rsidR="00AE6C2F" w:rsidRPr="005C7C0A">
        <w:rPr>
          <w:rFonts w:cstheme="minorHAnsi"/>
          <w:b/>
        </w:rPr>
        <w:t>Bahamy</w:t>
      </w:r>
      <w:r w:rsidR="00CC3CB7" w:rsidRPr="005C7C0A">
        <w:rPr>
          <w:rFonts w:cstheme="minorHAnsi"/>
          <w:b/>
        </w:rPr>
        <w:t xml:space="preserve"> – Polska</w:t>
      </w:r>
      <w:r w:rsidR="00CC3CB7" w:rsidRPr="005C7C0A">
        <w:rPr>
          <w:rFonts w:eastAsia="Times New Roman" w:cstheme="minorHAnsi"/>
          <w:b/>
          <w:bCs/>
          <w:lang w:eastAsia="pl-PL"/>
        </w:rPr>
        <w:t xml:space="preserve"> </w:t>
      </w:r>
    </w:p>
    <w:p w:rsidR="00A47975" w:rsidRPr="005C7C0A" w:rsidRDefault="00AE6C2F" w:rsidP="00A47975">
      <w:pPr>
        <w:spacing w:before="120" w:after="120" w:line="240" w:lineRule="auto"/>
        <w:jc w:val="both"/>
        <w:rPr>
          <w:rFonts w:eastAsia="Calibri" w:cstheme="minorHAnsi"/>
        </w:rPr>
      </w:pPr>
      <w:r w:rsidRPr="005C7C0A">
        <w:rPr>
          <w:rFonts w:eastAsia="Calibri" w:cstheme="minorHAnsi"/>
        </w:rPr>
        <w:t>Dwu</w:t>
      </w:r>
      <w:r w:rsidR="00A47975" w:rsidRPr="005C7C0A">
        <w:rPr>
          <w:rFonts w:eastAsia="Calibri" w:cstheme="minorHAnsi"/>
        </w:rPr>
        <w:t xml:space="preserve">stronna baza prawno-traktatowa </w:t>
      </w:r>
      <w:r w:rsidRPr="005C7C0A">
        <w:rPr>
          <w:rFonts w:eastAsia="Calibri" w:cstheme="minorHAnsi"/>
        </w:rPr>
        <w:t>wynikająca z porozumi</w:t>
      </w:r>
      <w:r w:rsidR="00A47975" w:rsidRPr="005C7C0A">
        <w:rPr>
          <w:rFonts w:eastAsia="Calibri" w:cstheme="minorHAnsi"/>
        </w:rPr>
        <w:t xml:space="preserve">eń </w:t>
      </w:r>
      <w:r w:rsidR="00A47975" w:rsidRPr="007A0567">
        <w:rPr>
          <w:rFonts w:cstheme="minorHAnsi"/>
        </w:rPr>
        <w:t>dwustronnych</w:t>
      </w:r>
      <w:r w:rsidR="00A47975" w:rsidRPr="005C7C0A">
        <w:rPr>
          <w:rFonts w:eastAsia="Calibri" w:cstheme="minorHAnsi"/>
        </w:rPr>
        <w:t>, a nie unijnych</w:t>
      </w:r>
      <w:r w:rsidRPr="005C7C0A">
        <w:rPr>
          <w:rFonts w:eastAsia="Calibri" w:cstheme="minorHAnsi"/>
        </w:rPr>
        <w:t xml:space="preserve"> jest bardzo ograniczona. </w:t>
      </w:r>
    </w:p>
    <w:p w:rsidR="00A47975" w:rsidRPr="005C7C0A" w:rsidRDefault="00AE6C2F" w:rsidP="00A47975">
      <w:pPr>
        <w:spacing w:before="120" w:after="120" w:line="240" w:lineRule="auto"/>
        <w:jc w:val="both"/>
        <w:rPr>
          <w:rFonts w:eastAsia="Calibri" w:cstheme="minorHAnsi"/>
        </w:rPr>
      </w:pPr>
      <w:r w:rsidRPr="005C7C0A">
        <w:rPr>
          <w:rFonts w:eastAsia="Calibri" w:cstheme="minorHAnsi"/>
        </w:rPr>
        <w:t>28 czerwca 2013 r. podpisana została umowa o wymianie informacji ws. podatkowych (</w:t>
      </w:r>
      <w:r w:rsidRPr="005C7C0A">
        <w:rPr>
          <w:rFonts w:eastAsia="Calibri" w:cstheme="minorHAnsi"/>
          <w:i/>
        </w:rPr>
        <w:t>Tax Information Exchange Agreement</w:t>
      </w:r>
      <w:r w:rsidRPr="005C7C0A">
        <w:rPr>
          <w:rFonts w:eastAsia="Calibri" w:cstheme="minorHAnsi"/>
        </w:rPr>
        <w:t xml:space="preserve"> – TIEA), która weszła w życie 29 </w:t>
      </w:r>
      <w:r w:rsidRPr="007A0567">
        <w:rPr>
          <w:rFonts w:cstheme="minorHAnsi"/>
        </w:rPr>
        <w:t>września</w:t>
      </w:r>
      <w:r w:rsidRPr="005C7C0A">
        <w:rPr>
          <w:rFonts w:eastAsia="Calibri" w:cstheme="minorHAnsi"/>
        </w:rPr>
        <w:t xml:space="preserve"> 2014 r. Takie umowy są zawierane między państwami stosującymi podatek dochodowy a państwami lub terytoriami będącymi tzw. „rajami podatkowymi”. Jest to inicjatywa Światowego Forum Podatkowego, które pod auspicjami OECD przyjęło konwencję o wymianie informacji podatkowych. Jej celem jest zwiększenie transparentności przepływów finansowych na świecie. Zgodnie z przewidzianą w umowie procedurą strony mogą wymieniać informacje dot. m.in. wymiaru i poboru podatków, windykacji i egzekucji zaległości podatkowych, dochodzenia w sprawach podatkowych i ścigania w sprawach przestępstw podatkowych. </w:t>
      </w:r>
    </w:p>
    <w:p w:rsidR="00A47975" w:rsidRPr="005C7C0A" w:rsidRDefault="00AE6C2F" w:rsidP="00A47975">
      <w:pPr>
        <w:spacing w:before="120" w:after="120" w:line="240" w:lineRule="auto"/>
        <w:jc w:val="both"/>
        <w:rPr>
          <w:rFonts w:eastAsia="Calibri" w:cstheme="minorHAnsi"/>
        </w:rPr>
      </w:pPr>
      <w:r w:rsidRPr="005C7C0A">
        <w:rPr>
          <w:rFonts w:eastAsia="Calibri" w:cstheme="minorHAnsi"/>
        </w:rPr>
        <w:t xml:space="preserve">W relacjach gospodarczych obowiązuje ponadto porozumienie zawarte w formie wymiany not w sprawie obowiązywania w stosunkach między Polską a Wspólnotą Bahamów Konwencji między RP a Zjednoczonym Królestwem Wielkiej Brytanii i Północnej Irlandii w </w:t>
      </w:r>
      <w:r w:rsidRPr="007A0567">
        <w:rPr>
          <w:rFonts w:cstheme="minorHAnsi"/>
        </w:rPr>
        <w:t>przedmiocie</w:t>
      </w:r>
      <w:r w:rsidRPr="005C7C0A">
        <w:rPr>
          <w:rFonts w:eastAsia="Calibri" w:cstheme="minorHAnsi"/>
        </w:rPr>
        <w:t xml:space="preserve"> postępowania w sprawach cywilnych i handlowych, podpisanej w Warszawie  26 sierpnia 1931 r. (Dz.U. nr 55, poz. 533 z 1932 r.). Porozumienie zostało podpisane i weszło w życie 18 czerwca 1977 r. </w:t>
      </w:r>
    </w:p>
    <w:p w:rsidR="00AE6C2F" w:rsidRPr="005C7C0A" w:rsidRDefault="00AE6C2F" w:rsidP="005C7C0A">
      <w:pPr>
        <w:spacing w:before="120" w:after="120" w:line="240" w:lineRule="auto"/>
        <w:jc w:val="both"/>
        <w:rPr>
          <w:rFonts w:eastAsia="Calibri" w:cstheme="minorHAnsi"/>
        </w:rPr>
      </w:pPr>
      <w:r w:rsidRPr="005C7C0A">
        <w:rPr>
          <w:rFonts w:eastAsia="Calibri" w:cstheme="minorHAnsi"/>
        </w:rPr>
        <w:t>W relacjach dwustronnych obowiązuje też Traktat między RP a Wielką Brytanią o wydawaniu zbiegłych przestępców, podpisany 11 stycznia 1932 r. (wszedł w życie 12 marca 1934 r.).</w:t>
      </w:r>
    </w:p>
    <w:p w:rsidR="00F32311" w:rsidRPr="005C7C0A" w:rsidRDefault="00BC0B9D" w:rsidP="00BC0B9D">
      <w:pPr>
        <w:spacing w:before="240" w:after="120" w:line="264" w:lineRule="auto"/>
        <w:ind w:left="360"/>
        <w:outlineLvl w:val="3"/>
        <w:rPr>
          <w:rFonts w:cstheme="minorHAnsi"/>
          <w:b/>
          <w:lang w:val="en-US"/>
        </w:rPr>
      </w:pPr>
      <w:r>
        <w:rPr>
          <w:rFonts w:cstheme="minorHAnsi"/>
          <w:b/>
          <w:lang w:val="en-US"/>
        </w:rPr>
        <w:t>7.4</w:t>
      </w:r>
      <w:r w:rsidR="00F32311" w:rsidRPr="005C7C0A">
        <w:rPr>
          <w:rFonts w:cstheme="minorHAnsi"/>
          <w:b/>
          <w:lang w:val="en-US"/>
        </w:rPr>
        <w:t xml:space="preserve">.2. Baza </w:t>
      </w:r>
      <w:r w:rsidR="00F32311" w:rsidRPr="00A75A7C">
        <w:rPr>
          <w:rFonts w:cstheme="minorHAnsi"/>
          <w:b/>
          <w:lang w:val="en-US"/>
        </w:rPr>
        <w:t>traktatowa</w:t>
      </w:r>
      <w:r w:rsidR="00F32311" w:rsidRPr="005C7C0A">
        <w:rPr>
          <w:rFonts w:cstheme="minorHAnsi"/>
          <w:b/>
          <w:lang w:val="en-US"/>
        </w:rPr>
        <w:t xml:space="preserve"> </w:t>
      </w:r>
      <w:r w:rsidR="00AE6C2F" w:rsidRPr="005C7C0A">
        <w:rPr>
          <w:rFonts w:cstheme="minorHAnsi"/>
          <w:b/>
          <w:lang w:val="en-US"/>
        </w:rPr>
        <w:t>Bahamy</w:t>
      </w:r>
      <w:r>
        <w:rPr>
          <w:rFonts w:cstheme="minorHAnsi"/>
          <w:b/>
          <w:lang w:val="en-US"/>
        </w:rPr>
        <w:t xml:space="preserve"> </w:t>
      </w:r>
      <w:r w:rsidR="00F32311" w:rsidRPr="005C7C0A">
        <w:rPr>
          <w:rFonts w:cstheme="minorHAnsi"/>
          <w:b/>
          <w:lang w:val="en-US"/>
        </w:rPr>
        <w:t>– UE</w:t>
      </w:r>
    </w:p>
    <w:p w:rsidR="005C7C0A" w:rsidRPr="005C7C0A" w:rsidRDefault="005C7C0A" w:rsidP="005C7C0A">
      <w:pPr>
        <w:shd w:val="clear" w:color="auto" w:fill="FFFFFF"/>
        <w:spacing w:before="120" w:after="120" w:line="240" w:lineRule="auto"/>
        <w:jc w:val="both"/>
        <w:textAlignment w:val="baseline"/>
        <w:rPr>
          <w:rFonts w:eastAsia="Times New Roman" w:cstheme="minorHAnsi"/>
          <w:lang w:val="en-US" w:eastAsia="pl-PL"/>
        </w:rPr>
      </w:pPr>
      <w:r w:rsidRPr="005C7C0A">
        <w:rPr>
          <w:rFonts w:eastAsia="Times New Roman" w:cstheme="minorHAnsi"/>
          <w:lang w:val="en-US" w:eastAsia="pl-PL"/>
        </w:rPr>
        <w:t>Agreement Between the Commonwealth of The Bahamas and the European Union Amending the Agreement Between the Commonwealth of The Bahamas and the European Community on the Short-Stay Visa Waiver/Date of Signature: 25 April 2018</w:t>
      </w:r>
    </w:p>
    <w:p w:rsidR="005C7C0A" w:rsidRPr="005C7C0A" w:rsidRDefault="005C7C0A" w:rsidP="005C7C0A">
      <w:pPr>
        <w:shd w:val="clear" w:color="auto" w:fill="FFFFFF"/>
        <w:spacing w:before="120" w:after="120" w:line="240" w:lineRule="auto"/>
        <w:jc w:val="both"/>
        <w:textAlignment w:val="baseline"/>
        <w:rPr>
          <w:rFonts w:eastAsia="Times New Roman" w:cstheme="minorHAnsi"/>
          <w:lang w:val="en-US" w:eastAsia="pl-PL"/>
        </w:rPr>
      </w:pPr>
      <w:r w:rsidRPr="005C7C0A">
        <w:rPr>
          <w:rFonts w:eastAsia="Times New Roman" w:cstheme="minorHAnsi"/>
          <w:lang w:val="en-US" w:eastAsia="pl-PL"/>
        </w:rPr>
        <w:t>AFRICAN, CARIBBEAN AND PACIFIC GROUP OF COUNTRIES (ACP) AND THE EUROPEAN UNION (EU) CONVENTIONS OF LOME African, Caribbean and Pacific Group of Countries (ACP) and the European Union (EU) Conventions of Lome LOME IV/ Signed: 15 December 1989</w:t>
      </w:r>
    </w:p>
    <w:p w:rsidR="00CC1D6A" w:rsidRPr="005C7C0A" w:rsidRDefault="00796AC1" w:rsidP="00B31571">
      <w:pPr>
        <w:spacing w:before="240" w:after="120" w:line="264" w:lineRule="auto"/>
        <w:outlineLvl w:val="3"/>
        <w:rPr>
          <w:rFonts w:cstheme="minorHAnsi"/>
          <w:b/>
        </w:rPr>
      </w:pPr>
      <w:r>
        <w:rPr>
          <w:rFonts w:cstheme="minorHAnsi"/>
          <w:b/>
        </w:rPr>
        <w:t>Ź</w:t>
      </w:r>
      <w:r w:rsidR="005C7C0A" w:rsidRPr="005C7C0A">
        <w:rPr>
          <w:rFonts w:cstheme="minorHAnsi"/>
          <w:b/>
        </w:rPr>
        <w:t xml:space="preserve">ródło: </w:t>
      </w:r>
      <w:hyperlink r:id="rId25" w:history="1">
        <w:r w:rsidR="005C7C0A" w:rsidRPr="005C7C0A">
          <w:rPr>
            <w:rStyle w:val="Hipercze"/>
            <w:rFonts w:cstheme="minorHAnsi"/>
            <w:b/>
          </w:rPr>
          <w:t>MOFA</w:t>
        </w:r>
      </w:hyperlink>
      <w:r w:rsidR="005C7C0A" w:rsidRPr="005C7C0A">
        <w:rPr>
          <w:rFonts w:cstheme="minorHAnsi"/>
          <w:b/>
        </w:rPr>
        <w:t xml:space="preserve"> </w:t>
      </w:r>
    </w:p>
    <w:p w:rsidR="005C7C0A" w:rsidRPr="005C7C0A" w:rsidRDefault="005C7C0A" w:rsidP="00B31571">
      <w:pPr>
        <w:spacing w:before="240" w:after="120" w:line="264" w:lineRule="auto"/>
        <w:outlineLvl w:val="3"/>
        <w:rPr>
          <w:rFonts w:cstheme="minorHAnsi"/>
          <w:b/>
          <w:highlight w:val="lightGray"/>
        </w:rPr>
      </w:pPr>
    </w:p>
    <w:p w:rsidR="002A381A" w:rsidRPr="005C7C0A" w:rsidRDefault="002A381A" w:rsidP="00AE5BE5">
      <w:pPr>
        <w:spacing w:before="240" w:after="120" w:line="264" w:lineRule="auto"/>
        <w:jc w:val="both"/>
        <w:rPr>
          <w:rFonts w:cstheme="minorHAnsi"/>
          <w:b/>
        </w:rPr>
      </w:pPr>
      <w:r w:rsidRPr="005C7C0A">
        <w:rPr>
          <w:rFonts w:cstheme="minorHAnsi"/>
          <w:b/>
        </w:rPr>
        <w:t xml:space="preserve">Aktualizacja: </w:t>
      </w:r>
      <w:r w:rsidR="005C7C0A" w:rsidRPr="005C7C0A">
        <w:rPr>
          <w:rFonts w:cstheme="minorHAnsi"/>
          <w:b/>
        </w:rPr>
        <w:t>grudzień</w:t>
      </w:r>
      <w:r w:rsidRPr="005C7C0A">
        <w:rPr>
          <w:rFonts w:cstheme="minorHAnsi"/>
          <w:b/>
        </w:rPr>
        <w:t xml:space="preserve"> 202</w:t>
      </w:r>
      <w:r w:rsidR="0064687A" w:rsidRPr="005C7C0A">
        <w:rPr>
          <w:rFonts w:cstheme="minorHAnsi"/>
          <w:b/>
        </w:rPr>
        <w:t>4</w:t>
      </w:r>
      <w:r w:rsidRPr="005C7C0A">
        <w:rPr>
          <w:rFonts w:cstheme="minorHAnsi"/>
          <w:b/>
        </w:rPr>
        <w:t xml:space="preserve"> r.</w:t>
      </w:r>
    </w:p>
    <w:sectPr w:rsidR="002A381A" w:rsidRPr="005C7C0A" w:rsidSect="0087163F">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31E" w:rsidRDefault="002F331E" w:rsidP="000B15B0">
      <w:pPr>
        <w:spacing w:after="0" w:line="240" w:lineRule="auto"/>
      </w:pPr>
      <w:r>
        <w:separator/>
      </w:r>
    </w:p>
  </w:endnote>
  <w:endnote w:type="continuationSeparator" w:id="0">
    <w:p w:rsidR="002F331E" w:rsidRDefault="002F331E" w:rsidP="000B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31E" w:rsidRDefault="002F331E" w:rsidP="000B15B0">
      <w:pPr>
        <w:spacing w:after="0" w:line="240" w:lineRule="auto"/>
      </w:pPr>
      <w:r>
        <w:separator/>
      </w:r>
    </w:p>
  </w:footnote>
  <w:footnote w:type="continuationSeparator" w:id="0">
    <w:p w:rsidR="002F331E" w:rsidRDefault="002F331E" w:rsidP="000B15B0">
      <w:pPr>
        <w:spacing w:after="0" w:line="240" w:lineRule="auto"/>
      </w:pPr>
      <w:r>
        <w:continuationSeparator/>
      </w:r>
    </w:p>
  </w:footnote>
  <w:footnote w:id="1">
    <w:p w:rsidR="004E48B3" w:rsidRDefault="004E48B3" w:rsidP="004E48B3">
      <w:pPr>
        <w:pStyle w:val="Tekstprzypisudolnego"/>
        <w:spacing w:after="60"/>
        <w:jc w:val="both"/>
      </w:pPr>
      <w:r>
        <w:rPr>
          <w:rStyle w:val="Odwoanieprzypisudolnego"/>
        </w:rPr>
        <w:footnoteRef/>
      </w:r>
      <w:r>
        <w:t xml:space="preserve"> </w:t>
      </w:r>
      <w:r w:rsidRPr="000D3EE7">
        <w:rPr>
          <w:sz w:val="19"/>
          <w:szCs w:val="19"/>
        </w:rPr>
        <w:t>Wspólnota Karaibska, czyli CARICOM, powstała w 1973 r. na mocy traktatu z Chaguaramas. Jej członkami są: Antigua i Barbuda, Barbados, Belize, Dominika, Grenada, Guyana, Jamajka, Saint Lucia, Montserrat, Saint Kitts i Nevis, Saint Vincent i Grenadyny, Bahamy, Surinam, Haiti, Trynidad i Tobago.Poza współpracą gospodarczą obejmuje on</w:t>
      </w:r>
      <w:r>
        <w:rPr>
          <w:sz w:val="19"/>
          <w:szCs w:val="19"/>
        </w:rPr>
        <w:t>a</w:t>
      </w:r>
      <w:r w:rsidRPr="000D3EE7">
        <w:rPr>
          <w:sz w:val="19"/>
          <w:szCs w:val="19"/>
        </w:rPr>
        <w:t xml:space="preserve"> koordynację w sferze polityki zagranicznej i współpracę sektorową (zdrowie, edukacja, nauka i podatki). </w:t>
      </w:r>
    </w:p>
  </w:footnote>
  <w:footnote w:id="2">
    <w:p w:rsidR="004E48B3" w:rsidRDefault="004E48B3" w:rsidP="004E48B3">
      <w:pPr>
        <w:pStyle w:val="Tekstprzypisudolnego"/>
        <w:jc w:val="both"/>
      </w:pPr>
      <w:r>
        <w:rPr>
          <w:rStyle w:val="Odwoanieprzypisudolnego"/>
        </w:rPr>
        <w:footnoteRef/>
      </w:r>
      <w:r>
        <w:t xml:space="preserve"> </w:t>
      </w:r>
      <w:r w:rsidRPr="000D3EE7">
        <w:rPr>
          <w:sz w:val="19"/>
          <w:szCs w:val="19"/>
        </w:rPr>
        <w:t>CARIFORUM jest platformą skupiającą państwa CARICOM oraz Dominikanę i Kubę. Powstało w 1992 r. na potrzeby konsultacji międzyregionalnych państw karaibskich z 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816"/>
    <w:multiLevelType w:val="hybridMultilevel"/>
    <w:tmpl w:val="56EE4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60A83"/>
    <w:multiLevelType w:val="hybridMultilevel"/>
    <w:tmpl w:val="00D42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B2F71"/>
    <w:multiLevelType w:val="multilevel"/>
    <w:tmpl w:val="9A3E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63BD"/>
    <w:multiLevelType w:val="hybridMultilevel"/>
    <w:tmpl w:val="385687D8"/>
    <w:lvl w:ilvl="0" w:tplc="BDF01828">
      <w:start w:val="1"/>
      <w:numFmt w:val="decimal"/>
      <w:lvlText w:val="%1."/>
      <w:lvlJc w:val="left"/>
      <w:pPr>
        <w:ind w:left="504" w:hanging="14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84D7F"/>
    <w:multiLevelType w:val="hybridMultilevel"/>
    <w:tmpl w:val="C8609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97D9C"/>
    <w:multiLevelType w:val="multilevel"/>
    <w:tmpl w:val="28E08F80"/>
    <w:lvl w:ilvl="0">
      <w:start w:val="7"/>
      <w:numFmt w:val="decimal"/>
      <w:lvlText w:val="%1."/>
      <w:lvlJc w:val="left"/>
      <w:pPr>
        <w:ind w:left="504" w:hanging="504"/>
      </w:pPr>
      <w:rPr>
        <w:rFonts w:hint="default"/>
        <w:b/>
        <w:color w:val="1B1B1B"/>
      </w:rPr>
    </w:lvl>
    <w:lvl w:ilvl="1">
      <w:start w:val="1"/>
      <w:numFmt w:val="decimal"/>
      <w:lvlText w:val="%1.%2."/>
      <w:lvlJc w:val="left"/>
      <w:pPr>
        <w:ind w:left="504" w:hanging="504"/>
      </w:pPr>
      <w:rPr>
        <w:rFonts w:hint="default"/>
        <w:b/>
        <w:color w:val="1B1B1B"/>
      </w:rPr>
    </w:lvl>
    <w:lvl w:ilvl="2">
      <w:start w:val="3"/>
      <w:numFmt w:val="decimal"/>
      <w:lvlText w:val="%1.%2.%3."/>
      <w:lvlJc w:val="left"/>
      <w:pPr>
        <w:ind w:left="720" w:hanging="720"/>
      </w:pPr>
      <w:rPr>
        <w:rFonts w:hint="default"/>
        <w:b/>
        <w:color w:val="1B1B1B"/>
      </w:rPr>
    </w:lvl>
    <w:lvl w:ilvl="3">
      <w:start w:val="1"/>
      <w:numFmt w:val="decimal"/>
      <w:lvlText w:val="%1.%2.%3.%4."/>
      <w:lvlJc w:val="left"/>
      <w:pPr>
        <w:ind w:left="720" w:hanging="720"/>
      </w:pPr>
      <w:rPr>
        <w:rFonts w:hint="default"/>
        <w:b/>
        <w:color w:val="1B1B1B"/>
      </w:rPr>
    </w:lvl>
    <w:lvl w:ilvl="4">
      <w:start w:val="1"/>
      <w:numFmt w:val="decimal"/>
      <w:lvlText w:val="%1.%2.%3.%4.%5."/>
      <w:lvlJc w:val="left"/>
      <w:pPr>
        <w:ind w:left="1080" w:hanging="1080"/>
      </w:pPr>
      <w:rPr>
        <w:rFonts w:hint="default"/>
        <w:b/>
        <w:color w:val="1B1B1B"/>
      </w:rPr>
    </w:lvl>
    <w:lvl w:ilvl="5">
      <w:start w:val="1"/>
      <w:numFmt w:val="decimal"/>
      <w:lvlText w:val="%1.%2.%3.%4.%5.%6."/>
      <w:lvlJc w:val="left"/>
      <w:pPr>
        <w:ind w:left="1080" w:hanging="1080"/>
      </w:pPr>
      <w:rPr>
        <w:rFonts w:hint="default"/>
        <w:b/>
        <w:color w:val="1B1B1B"/>
      </w:rPr>
    </w:lvl>
    <w:lvl w:ilvl="6">
      <w:start w:val="1"/>
      <w:numFmt w:val="decimal"/>
      <w:lvlText w:val="%1.%2.%3.%4.%5.%6.%7."/>
      <w:lvlJc w:val="left"/>
      <w:pPr>
        <w:ind w:left="1440" w:hanging="1440"/>
      </w:pPr>
      <w:rPr>
        <w:rFonts w:hint="default"/>
        <w:b/>
        <w:color w:val="1B1B1B"/>
      </w:rPr>
    </w:lvl>
    <w:lvl w:ilvl="7">
      <w:start w:val="1"/>
      <w:numFmt w:val="decimal"/>
      <w:lvlText w:val="%1.%2.%3.%4.%5.%6.%7.%8."/>
      <w:lvlJc w:val="left"/>
      <w:pPr>
        <w:ind w:left="1440" w:hanging="1440"/>
      </w:pPr>
      <w:rPr>
        <w:rFonts w:hint="default"/>
        <w:b/>
        <w:color w:val="1B1B1B"/>
      </w:rPr>
    </w:lvl>
    <w:lvl w:ilvl="8">
      <w:start w:val="1"/>
      <w:numFmt w:val="decimal"/>
      <w:lvlText w:val="%1.%2.%3.%4.%5.%6.%7.%8.%9."/>
      <w:lvlJc w:val="left"/>
      <w:pPr>
        <w:ind w:left="1800" w:hanging="1800"/>
      </w:pPr>
      <w:rPr>
        <w:rFonts w:hint="default"/>
        <w:b/>
        <w:color w:val="1B1B1B"/>
      </w:rPr>
    </w:lvl>
  </w:abstractNum>
  <w:abstractNum w:abstractNumId="6" w15:restartNumberingAfterBreak="0">
    <w:nsid w:val="1482775B"/>
    <w:multiLevelType w:val="multilevel"/>
    <w:tmpl w:val="0F8A9A5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7" w15:restartNumberingAfterBreak="0">
    <w:nsid w:val="1A8E74A1"/>
    <w:multiLevelType w:val="hybridMultilevel"/>
    <w:tmpl w:val="2E46B3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B7165E"/>
    <w:multiLevelType w:val="hybridMultilevel"/>
    <w:tmpl w:val="B302C6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F315508"/>
    <w:multiLevelType w:val="hybridMultilevel"/>
    <w:tmpl w:val="9398B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AE12B2"/>
    <w:multiLevelType w:val="hybridMultilevel"/>
    <w:tmpl w:val="E4E021B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7424B74"/>
    <w:multiLevelType w:val="multilevel"/>
    <w:tmpl w:val="D8DC0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B1DD1"/>
    <w:multiLevelType w:val="multilevel"/>
    <w:tmpl w:val="29D40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43F15"/>
    <w:multiLevelType w:val="hybridMultilevel"/>
    <w:tmpl w:val="7F460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A413F5"/>
    <w:multiLevelType w:val="multilevel"/>
    <w:tmpl w:val="A6EAFFC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15A86"/>
    <w:multiLevelType w:val="hybridMultilevel"/>
    <w:tmpl w:val="DF72CB0C"/>
    <w:lvl w:ilvl="0" w:tplc="1CA8C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9A104E"/>
    <w:multiLevelType w:val="multilevel"/>
    <w:tmpl w:val="87F6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C79DE"/>
    <w:multiLevelType w:val="hybridMultilevel"/>
    <w:tmpl w:val="3EB88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FF68D8"/>
    <w:multiLevelType w:val="multilevel"/>
    <w:tmpl w:val="0930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15E66"/>
    <w:multiLevelType w:val="hybridMultilevel"/>
    <w:tmpl w:val="56289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6D6BC5"/>
    <w:multiLevelType w:val="multilevel"/>
    <w:tmpl w:val="18C0C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F0D15"/>
    <w:multiLevelType w:val="multilevel"/>
    <w:tmpl w:val="FCF60256"/>
    <w:lvl w:ilvl="0">
      <w:start w:val="7"/>
      <w:numFmt w:val="decimal"/>
      <w:lvlText w:val="%1."/>
      <w:lvlJc w:val="left"/>
      <w:pPr>
        <w:ind w:left="504" w:hanging="504"/>
      </w:pPr>
      <w:rPr>
        <w:rFonts w:hint="default"/>
        <w:b/>
        <w:color w:val="1B1B1B"/>
      </w:rPr>
    </w:lvl>
    <w:lvl w:ilvl="1">
      <w:start w:val="1"/>
      <w:numFmt w:val="decimal"/>
      <w:lvlText w:val="%1.%2."/>
      <w:lvlJc w:val="left"/>
      <w:pPr>
        <w:ind w:left="684" w:hanging="504"/>
      </w:pPr>
      <w:rPr>
        <w:rFonts w:hint="default"/>
        <w:b/>
        <w:color w:val="1B1B1B"/>
      </w:rPr>
    </w:lvl>
    <w:lvl w:ilvl="2">
      <w:start w:val="2"/>
      <w:numFmt w:val="decimal"/>
      <w:lvlText w:val="%1.%2.%3."/>
      <w:lvlJc w:val="left"/>
      <w:pPr>
        <w:ind w:left="1080" w:hanging="720"/>
      </w:pPr>
      <w:rPr>
        <w:rFonts w:hint="default"/>
        <w:b/>
        <w:color w:val="1B1B1B"/>
      </w:rPr>
    </w:lvl>
    <w:lvl w:ilvl="3">
      <w:start w:val="1"/>
      <w:numFmt w:val="decimal"/>
      <w:lvlText w:val="%1.%2.%3.%4."/>
      <w:lvlJc w:val="left"/>
      <w:pPr>
        <w:ind w:left="1260" w:hanging="720"/>
      </w:pPr>
      <w:rPr>
        <w:rFonts w:hint="default"/>
        <w:b/>
        <w:color w:val="1B1B1B"/>
      </w:rPr>
    </w:lvl>
    <w:lvl w:ilvl="4">
      <w:start w:val="1"/>
      <w:numFmt w:val="decimal"/>
      <w:lvlText w:val="%1.%2.%3.%4.%5."/>
      <w:lvlJc w:val="left"/>
      <w:pPr>
        <w:ind w:left="1800" w:hanging="1080"/>
      </w:pPr>
      <w:rPr>
        <w:rFonts w:hint="default"/>
        <w:b/>
        <w:color w:val="1B1B1B"/>
      </w:rPr>
    </w:lvl>
    <w:lvl w:ilvl="5">
      <w:start w:val="1"/>
      <w:numFmt w:val="decimal"/>
      <w:lvlText w:val="%1.%2.%3.%4.%5.%6."/>
      <w:lvlJc w:val="left"/>
      <w:pPr>
        <w:ind w:left="1980" w:hanging="1080"/>
      </w:pPr>
      <w:rPr>
        <w:rFonts w:hint="default"/>
        <w:b/>
        <w:color w:val="1B1B1B"/>
      </w:rPr>
    </w:lvl>
    <w:lvl w:ilvl="6">
      <w:start w:val="1"/>
      <w:numFmt w:val="decimal"/>
      <w:lvlText w:val="%1.%2.%3.%4.%5.%6.%7."/>
      <w:lvlJc w:val="left"/>
      <w:pPr>
        <w:ind w:left="2520" w:hanging="1440"/>
      </w:pPr>
      <w:rPr>
        <w:rFonts w:hint="default"/>
        <w:b/>
        <w:color w:val="1B1B1B"/>
      </w:rPr>
    </w:lvl>
    <w:lvl w:ilvl="7">
      <w:start w:val="1"/>
      <w:numFmt w:val="decimal"/>
      <w:lvlText w:val="%1.%2.%3.%4.%5.%6.%7.%8."/>
      <w:lvlJc w:val="left"/>
      <w:pPr>
        <w:ind w:left="2700" w:hanging="1440"/>
      </w:pPr>
      <w:rPr>
        <w:rFonts w:hint="default"/>
        <w:b/>
        <w:color w:val="1B1B1B"/>
      </w:rPr>
    </w:lvl>
    <w:lvl w:ilvl="8">
      <w:start w:val="1"/>
      <w:numFmt w:val="decimal"/>
      <w:lvlText w:val="%1.%2.%3.%4.%5.%6.%7.%8.%9."/>
      <w:lvlJc w:val="left"/>
      <w:pPr>
        <w:ind w:left="3240" w:hanging="1800"/>
      </w:pPr>
      <w:rPr>
        <w:rFonts w:hint="default"/>
        <w:b/>
        <w:color w:val="1B1B1B"/>
      </w:rPr>
    </w:lvl>
  </w:abstractNum>
  <w:abstractNum w:abstractNumId="22" w15:restartNumberingAfterBreak="0">
    <w:nsid w:val="3DCC0616"/>
    <w:multiLevelType w:val="hybridMultilevel"/>
    <w:tmpl w:val="3E687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885777"/>
    <w:multiLevelType w:val="multilevel"/>
    <w:tmpl w:val="65EE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80802"/>
    <w:multiLevelType w:val="multilevel"/>
    <w:tmpl w:val="ACCC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774BE"/>
    <w:multiLevelType w:val="multilevel"/>
    <w:tmpl w:val="C288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172B4"/>
    <w:multiLevelType w:val="hybridMultilevel"/>
    <w:tmpl w:val="7848CD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D5C79C7"/>
    <w:multiLevelType w:val="multilevel"/>
    <w:tmpl w:val="31B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3706E7"/>
    <w:multiLevelType w:val="hybridMultilevel"/>
    <w:tmpl w:val="F05ED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443272"/>
    <w:multiLevelType w:val="multilevel"/>
    <w:tmpl w:val="E08041A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773D5"/>
    <w:multiLevelType w:val="multilevel"/>
    <w:tmpl w:val="25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55EAE"/>
    <w:multiLevelType w:val="hybridMultilevel"/>
    <w:tmpl w:val="CC1627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61362236"/>
    <w:multiLevelType w:val="multilevel"/>
    <w:tmpl w:val="6666B8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587152"/>
    <w:multiLevelType w:val="hybridMultilevel"/>
    <w:tmpl w:val="2354929A"/>
    <w:lvl w:ilvl="0" w:tplc="F67225DE">
      <w:start w:val="5"/>
      <w:numFmt w:val="bullet"/>
      <w:lvlText w:val=""/>
      <w:lvlJc w:val="left"/>
      <w:pPr>
        <w:ind w:left="1080" w:hanging="360"/>
      </w:pPr>
      <w:rPr>
        <w:rFonts w:ascii="Symbol" w:eastAsia="Calibri"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6A645861"/>
    <w:multiLevelType w:val="hybridMultilevel"/>
    <w:tmpl w:val="42F89D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0FC4C48"/>
    <w:multiLevelType w:val="hybridMultilevel"/>
    <w:tmpl w:val="49EC6A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12159CE"/>
    <w:multiLevelType w:val="hybridMultilevel"/>
    <w:tmpl w:val="B5CE0F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5F3EE8"/>
    <w:multiLevelType w:val="hybridMultilevel"/>
    <w:tmpl w:val="CFCEB5A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D93F5A"/>
    <w:multiLevelType w:val="hybridMultilevel"/>
    <w:tmpl w:val="2E10A3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27"/>
  </w:num>
  <w:num w:numId="3">
    <w:abstractNumId w:val="19"/>
  </w:num>
  <w:num w:numId="4">
    <w:abstractNumId w:val="35"/>
  </w:num>
  <w:num w:numId="5">
    <w:abstractNumId w:val="36"/>
  </w:num>
  <w:num w:numId="6">
    <w:abstractNumId w:val="28"/>
  </w:num>
  <w:num w:numId="7">
    <w:abstractNumId w:val="22"/>
  </w:num>
  <w:num w:numId="8">
    <w:abstractNumId w:val="17"/>
  </w:num>
  <w:num w:numId="9">
    <w:abstractNumId w:val="4"/>
  </w:num>
  <w:num w:numId="10">
    <w:abstractNumId w:val="32"/>
  </w:num>
  <w:num w:numId="11">
    <w:abstractNumId w:val="14"/>
  </w:num>
  <w:num w:numId="12">
    <w:abstractNumId w:val="0"/>
  </w:num>
  <w:num w:numId="13">
    <w:abstractNumId w:val="33"/>
  </w:num>
  <w:num w:numId="14">
    <w:abstractNumId w:val="31"/>
  </w:num>
  <w:num w:numId="15">
    <w:abstractNumId w:val="8"/>
  </w:num>
  <w:num w:numId="16">
    <w:abstractNumId w:val="10"/>
  </w:num>
  <w:num w:numId="17">
    <w:abstractNumId w:val="7"/>
  </w:num>
  <w:num w:numId="18">
    <w:abstractNumId w:val="21"/>
  </w:num>
  <w:num w:numId="19">
    <w:abstractNumId w:val="20"/>
  </w:num>
  <w:num w:numId="20">
    <w:abstractNumId w:val="5"/>
  </w:num>
  <w:num w:numId="21">
    <w:abstractNumId w:val="23"/>
  </w:num>
  <w:num w:numId="22">
    <w:abstractNumId w:val="11"/>
  </w:num>
  <w:num w:numId="23">
    <w:abstractNumId w:val="24"/>
  </w:num>
  <w:num w:numId="24">
    <w:abstractNumId w:val="16"/>
  </w:num>
  <w:num w:numId="25">
    <w:abstractNumId w:val="18"/>
  </w:num>
  <w:num w:numId="26">
    <w:abstractNumId w:val="29"/>
    <w:lvlOverride w:ilvl="0"/>
    <w:lvlOverride w:ilvl="1">
      <w:startOverride w:val="7"/>
    </w:lvlOverride>
    <w:lvlOverride w:ilvl="2"/>
    <w:lvlOverride w:ilvl="3"/>
    <w:lvlOverride w:ilvl="4"/>
    <w:lvlOverride w:ilvl="5"/>
    <w:lvlOverride w:ilvl="6"/>
    <w:lvlOverride w:ilvl="7"/>
    <w:lvlOverride w:ilvl="8"/>
  </w:num>
  <w:num w:numId="27">
    <w:abstractNumId w:val="25"/>
  </w:num>
  <w:num w:numId="28">
    <w:abstractNumId w:val="5"/>
  </w:num>
  <w:num w:numId="29">
    <w:abstractNumId w:val="12"/>
  </w:num>
  <w:num w:numId="30">
    <w:abstractNumId w:val="2"/>
  </w:num>
  <w:num w:numId="31">
    <w:abstractNumId w:val="3"/>
  </w:num>
  <w:num w:numId="32">
    <w:abstractNumId w:val="15"/>
  </w:num>
  <w:num w:numId="33">
    <w:abstractNumId w:val="30"/>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9"/>
  </w:num>
  <w:num w:numId="37">
    <w:abstractNumId w:val="38"/>
  </w:num>
  <w:num w:numId="38">
    <w:abstractNumId w:val="26"/>
  </w:num>
  <w:num w:numId="39">
    <w:abstractNumId w:val="1"/>
  </w:num>
  <w:num w:numId="40">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55"/>
    <w:rsid w:val="00001766"/>
    <w:rsid w:val="00001B05"/>
    <w:rsid w:val="00001F71"/>
    <w:rsid w:val="000054D7"/>
    <w:rsid w:val="00005DFF"/>
    <w:rsid w:val="0000665B"/>
    <w:rsid w:val="000106B0"/>
    <w:rsid w:val="0001155A"/>
    <w:rsid w:val="00011938"/>
    <w:rsid w:val="0001302A"/>
    <w:rsid w:val="00013B5C"/>
    <w:rsid w:val="000146A9"/>
    <w:rsid w:val="00014DB0"/>
    <w:rsid w:val="000151B6"/>
    <w:rsid w:val="00020919"/>
    <w:rsid w:val="00020A45"/>
    <w:rsid w:val="000223B6"/>
    <w:rsid w:val="0002265B"/>
    <w:rsid w:val="00023907"/>
    <w:rsid w:val="0002729D"/>
    <w:rsid w:val="00031DFA"/>
    <w:rsid w:val="00032359"/>
    <w:rsid w:val="00033881"/>
    <w:rsid w:val="00035D5D"/>
    <w:rsid w:val="00036C38"/>
    <w:rsid w:val="000454F4"/>
    <w:rsid w:val="00046062"/>
    <w:rsid w:val="0005094D"/>
    <w:rsid w:val="000514B2"/>
    <w:rsid w:val="0005793F"/>
    <w:rsid w:val="000616EA"/>
    <w:rsid w:val="00062CB3"/>
    <w:rsid w:val="00064637"/>
    <w:rsid w:val="000707E2"/>
    <w:rsid w:val="00071D1F"/>
    <w:rsid w:val="00072834"/>
    <w:rsid w:val="000745FC"/>
    <w:rsid w:val="00080F3D"/>
    <w:rsid w:val="000813BE"/>
    <w:rsid w:val="0008258C"/>
    <w:rsid w:val="00083F67"/>
    <w:rsid w:val="00085674"/>
    <w:rsid w:val="00091F79"/>
    <w:rsid w:val="00093E6C"/>
    <w:rsid w:val="0009418E"/>
    <w:rsid w:val="00096A96"/>
    <w:rsid w:val="00097C35"/>
    <w:rsid w:val="000A07B9"/>
    <w:rsid w:val="000A0A0B"/>
    <w:rsid w:val="000A1791"/>
    <w:rsid w:val="000A495E"/>
    <w:rsid w:val="000A60B3"/>
    <w:rsid w:val="000A724D"/>
    <w:rsid w:val="000B0716"/>
    <w:rsid w:val="000B0B7D"/>
    <w:rsid w:val="000B15B0"/>
    <w:rsid w:val="000B2817"/>
    <w:rsid w:val="000C147C"/>
    <w:rsid w:val="000C29A5"/>
    <w:rsid w:val="000C507B"/>
    <w:rsid w:val="000C5736"/>
    <w:rsid w:val="000C6871"/>
    <w:rsid w:val="000D15E2"/>
    <w:rsid w:val="000D3172"/>
    <w:rsid w:val="000D6729"/>
    <w:rsid w:val="000E12FE"/>
    <w:rsid w:val="000E5AFE"/>
    <w:rsid w:val="000E7389"/>
    <w:rsid w:val="000F203C"/>
    <w:rsid w:val="000F45B8"/>
    <w:rsid w:val="000F48F5"/>
    <w:rsid w:val="000F565A"/>
    <w:rsid w:val="000F7090"/>
    <w:rsid w:val="00100CD3"/>
    <w:rsid w:val="0010105F"/>
    <w:rsid w:val="00105EF7"/>
    <w:rsid w:val="00110ED3"/>
    <w:rsid w:val="00115A6B"/>
    <w:rsid w:val="0012064C"/>
    <w:rsid w:val="001223D6"/>
    <w:rsid w:val="00123E80"/>
    <w:rsid w:val="00126AA9"/>
    <w:rsid w:val="00127CB1"/>
    <w:rsid w:val="0013183B"/>
    <w:rsid w:val="0013440B"/>
    <w:rsid w:val="00140EDF"/>
    <w:rsid w:val="00141EC8"/>
    <w:rsid w:val="00143269"/>
    <w:rsid w:val="00145755"/>
    <w:rsid w:val="00145FBF"/>
    <w:rsid w:val="001528A9"/>
    <w:rsid w:val="001561AB"/>
    <w:rsid w:val="0015654F"/>
    <w:rsid w:val="001600D0"/>
    <w:rsid w:val="00160F0B"/>
    <w:rsid w:val="001614AE"/>
    <w:rsid w:val="0016162F"/>
    <w:rsid w:val="001646EF"/>
    <w:rsid w:val="00167286"/>
    <w:rsid w:val="001679B4"/>
    <w:rsid w:val="001735B0"/>
    <w:rsid w:val="00173C00"/>
    <w:rsid w:val="00174FDC"/>
    <w:rsid w:val="001757DC"/>
    <w:rsid w:val="0018303D"/>
    <w:rsid w:val="00184A5C"/>
    <w:rsid w:val="0018665D"/>
    <w:rsid w:val="00186830"/>
    <w:rsid w:val="0019359E"/>
    <w:rsid w:val="001936FD"/>
    <w:rsid w:val="00194391"/>
    <w:rsid w:val="0019620D"/>
    <w:rsid w:val="001A0A8B"/>
    <w:rsid w:val="001A18C1"/>
    <w:rsid w:val="001B2F42"/>
    <w:rsid w:val="001B3A15"/>
    <w:rsid w:val="001C141C"/>
    <w:rsid w:val="001C6429"/>
    <w:rsid w:val="001D02B8"/>
    <w:rsid w:val="001D0433"/>
    <w:rsid w:val="001D0CA3"/>
    <w:rsid w:val="001D488C"/>
    <w:rsid w:val="001D638D"/>
    <w:rsid w:val="001D7948"/>
    <w:rsid w:val="001E50CC"/>
    <w:rsid w:val="001F486A"/>
    <w:rsid w:val="001F4E9C"/>
    <w:rsid w:val="001F70ED"/>
    <w:rsid w:val="00202F93"/>
    <w:rsid w:val="002052E9"/>
    <w:rsid w:val="002069C0"/>
    <w:rsid w:val="00211158"/>
    <w:rsid w:val="00211977"/>
    <w:rsid w:val="002148C9"/>
    <w:rsid w:val="00216114"/>
    <w:rsid w:val="00223F95"/>
    <w:rsid w:val="00230060"/>
    <w:rsid w:val="00231025"/>
    <w:rsid w:val="002321D0"/>
    <w:rsid w:val="002334D3"/>
    <w:rsid w:val="002402BE"/>
    <w:rsid w:val="00240820"/>
    <w:rsid w:val="00241747"/>
    <w:rsid w:val="00244B83"/>
    <w:rsid w:val="00244E11"/>
    <w:rsid w:val="00245591"/>
    <w:rsid w:val="00251AAA"/>
    <w:rsid w:val="00255934"/>
    <w:rsid w:val="0025755D"/>
    <w:rsid w:val="0026068D"/>
    <w:rsid w:val="0026086B"/>
    <w:rsid w:val="002626B5"/>
    <w:rsid w:val="00263020"/>
    <w:rsid w:val="00270804"/>
    <w:rsid w:val="00273EF4"/>
    <w:rsid w:val="00276491"/>
    <w:rsid w:val="00277747"/>
    <w:rsid w:val="00280545"/>
    <w:rsid w:val="0028159A"/>
    <w:rsid w:val="00282DCC"/>
    <w:rsid w:val="00283052"/>
    <w:rsid w:val="002835AA"/>
    <w:rsid w:val="00283B26"/>
    <w:rsid w:val="002859ED"/>
    <w:rsid w:val="002874C9"/>
    <w:rsid w:val="00295AB2"/>
    <w:rsid w:val="00296104"/>
    <w:rsid w:val="002A1EDE"/>
    <w:rsid w:val="002A2C5D"/>
    <w:rsid w:val="002A381A"/>
    <w:rsid w:val="002A56B6"/>
    <w:rsid w:val="002A5FB9"/>
    <w:rsid w:val="002A6239"/>
    <w:rsid w:val="002A7DB9"/>
    <w:rsid w:val="002B23D2"/>
    <w:rsid w:val="002C2582"/>
    <w:rsid w:val="002C3F8A"/>
    <w:rsid w:val="002C4ADA"/>
    <w:rsid w:val="002C4BC1"/>
    <w:rsid w:val="002C60DA"/>
    <w:rsid w:val="002C6C2B"/>
    <w:rsid w:val="002D09B3"/>
    <w:rsid w:val="002D132E"/>
    <w:rsid w:val="002D585E"/>
    <w:rsid w:val="002D7374"/>
    <w:rsid w:val="002E4585"/>
    <w:rsid w:val="002E55E0"/>
    <w:rsid w:val="002E61D8"/>
    <w:rsid w:val="002E6609"/>
    <w:rsid w:val="002F29AB"/>
    <w:rsid w:val="002F331E"/>
    <w:rsid w:val="002F48C9"/>
    <w:rsid w:val="0030284F"/>
    <w:rsid w:val="00302E67"/>
    <w:rsid w:val="00305EEF"/>
    <w:rsid w:val="00310B51"/>
    <w:rsid w:val="00310B89"/>
    <w:rsid w:val="00311A65"/>
    <w:rsid w:val="003129AE"/>
    <w:rsid w:val="00312ADD"/>
    <w:rsid w:val="00312D19"/>
    <w:rsid w:val="00312D4D"/>
    <w:rsid w:val="00322858"/>
    <w:rsid w:val="00322DAB"/>
    <w:rsid w:val="00323C24"/>
    <w:rsid w:val="0032534C"/>
    <w:rsid w:val="003255E8"/>
    <w:rsid w:val="00326604"/>
    <w:rsid w:val="003300A6"/>
    <w:rsid w:val="003323D5"/>
    <w:rsid w:val="00333DCD"/>
    <w:rsid w:val="00347A37"/>
    <w:rsid w:val="00347D0F"/>
    <w:rsid w:val="0035037C"/>
    <w:rsid w:val="00352F9B"/>
    <w:rsid w:val="0036131A"/>
    <w:rsid w:val="003650B6"/>
    <w:rsid w:val="00367BE2"/>
    <w:rsid w:val="0037193F"/>
    <w:rsid w:val="0037341D"/>
    <w:rsid w:val="0037362B"/>
    <w:rsid w:val="00377048"/>
    <w:rsid w:val="00384E6F"/>
    <w:rsid w:val="00385B63"/>
    <w:rsid w:val="00390027"/>
    <w:rsid w:val="003902C4"/>
    <w:rsid w:val="0039107E"/>
    <w:rsid w:val="003955BE"/>
    <w:rsid w:val="00395C75"/>
    <w:rsid w:val="00395D25"/>
    <w:rsid w:val="003A10F5"/>
    <w:rsid w:val="003A232A"/>
    <w:rsid w:val="003A3588"/>
    <w:rsid w:val="003A65D9"/>
    <w:rsid w:val="003A7378"/>
    <w:rsid w:val="003A7BFF"/>
    <w:rsid w:val="003B4B29"/>
    <w:rsid w:val="003B4F36"/>
    <w:rsid w:val="003B52D4"/>
    <w:rsid w:val="003B6774"/>
    <w:rsid w:val="003B6D2B"/>
    <w:rsid w:val="003C2FD0"/>
    <w:rsid w:val="003D0BFA"/>
    <w:rsid w:val="003D17AE"/>
    <w:rsid w:val="003D2626"/>
    <w:rsid w:val="003D265E"/>
    <w:rsid w:val="003D41B4"/>
    <w:rsid w:val="003E163B"/>
    <w:rsid w:val="003E6288"/>
    <w:rsid w:val="003E7F8B"/>
    <w:rsid w:val="003F1176"/>
    <w:rsid w:val="003F38F0"/>
    <w:rsid w:val="003F5962"/>
    <w:rsid w:val="003F6403"/>
    <w:rsid w:val="003F7012"/>
    <w:rsid w:val="003F7813"/>
    <w:rsid w:val="00402A0E"/>
    <w:rsid w:val="004033E9"/>
    <w:rsid w:val="0040448D"/>
    <w:rsid w:val="00404515"/>
    <w:rsid w:val="00407726"/>
    <w:rsid w:val="00410EE5"/>
    <w:rsid w:val="00412291"/>
    <w:rsid w:val="004153C3"/>
    <w:rsid w:val="004161B2"/>
    <w:rsid w:val="0041635A"/>
    <w:rsid w:val="00420238"/>
    <w:rsid w:val="00421579"/>
    <w:rsid w:val="00422BA0"/>
    <w:rsid w:val="00422D56"/>
    <w:rsid w:val="00424018"/>
    <w:rsid w:val="00425F61"/>
    <w:rsid w:val="00427548"/>
    <w:rsid w:val="0042788F"/>
    <w:rsid w:val="00430101"/>
    <w:rsid w:val="00431CA4"/>
    <w:rsid w:val="00437145"/>
    <w:rsid w:val="00440F2C"/>
    <w:rsid w:val="00441704"/>
    <w:rsid w:val="004436F9"/>
    <w:rsid w:val="00444005"/>
    <w:rsid w:val="00450A35"/>
    <w:rsid w:val="00450D0C"/>
    <w:rsid w:val="00451B6E"/>
    <w:rsid w:val="00452D82"/>
    <w:rsid w:val="004555C7"/>
    <w:rsid w:val="00455EB1"/>
    <w:rsid w:val="00460FF8"/>
    <w:rsid w:val="00465486"/>
    <w:rsid w:val="00465DFA"/>
    <w:rsid w:val="00467781"/>
    <w:rsid w:val="00474C50"/>
    <w:rsid w:val="00476A7E"/>
    <w:rsid w:val="00477A06"/>
    <w:rsid w:val="00477E32"/>
    <w:rsid w:val="00482958"/>
    <w:rsid w:val="00486310"/>
    <w:rsid w:val="004934EB"/>
    <w:rsid w:val="00494EF5"/>
    <w:rsid w:val="004A0ABE"/>
    <w:rsid w:val="004A102F"/>
    <w:rsid w:val="004A372F"/>
    <w:rsid w:val="004A64A0"/>
    <w:rsid w:val="004A692B"/>
    <w:rsid w:val="004B01A6"/>
    <w:rsid w:val="004B1F92"/>
    <w:rsid w:val="004B2D67"/>
    <w:rsid w:val="004B3055"/>
    <w:rsid w:val="004B4500"/>
    <w:rsid w:val="004B4CF4"/>
    <w:rsid w:val="004B532E"/>
    <w:rsid w:val="004C1A58"/>
    <w:rsid w:val="004C40E9"/>
    <w:rsid w:val="004D0999"/>
    <w:rsid w:val="004D239D"/>
    <w:rsid w:val="004D4230"/>
    <w:rsid w:val="004D4D26"/>
    <w:rsid w:val="004D785F"/>
    <w:rsid w:val="004E0E4B"/>
    <w:rsid w:val="004E1999"/>
    <w:rsid w:val="004E46C4"/>
    <w:rsid w:val="004E48B3"/>
    <w:rsid w:val="004E4F5D"/>
    <w:rsid w:val="004E51FC"/>
    <w:rsid w:val="004E52D4"/>
    <w:rsid w:val="004F22F4"/>
    <w:rsid w:val="004F3DF1"/>
    <w:rsid w:val="004F64B3"/>
    <w:rsid w:val="004F7702"/>
    <w:rsid w:val="00502AC8"/>
    <w:rsid w:val="0050344D"/>
    <w:rsid w:val="00504610"/>
    <w:rsid w:val="0050478F"/>
    <w:rsid w:val="00512FC3"/>
    <w:rsid w:val="00516613"/>
    <w:rsid w:val="00521701"/>
    <w:rsid w:val="0052273A"/>
    <w:rsid w:val="00524D74"/>
    <w:rsid w:val="00526A64"/>
    <w:rsid w:val="00530A77"/>
    <w:rsid w:val="00532AD0"/>
    <w:rsid w:val="00533728"/>
    <w:rsid w:val="005401DB"/>
    <w:rsid w:val="00542AD4"/>
    <w:rsid w:val="00545044"/>
    <w:rsid w:val="00547467"/>
    <w:rsid w:val="00547CE8"/>
    <w:rsid w:val="00547E3A"/>
    <w:rsid w:val="005518EA"/>
    <w:rsid w:val="005551C6"/>
    <w:rsid w:val="00561616"/>
    <w:rsid w:val="00561BA3"/>
    <w:rsid w:val="00563460"/>
    <w:rsid w:val="00564EB7"/>
    <w:rsid w:val="00571B08"/>
    <w:rsid w:val="00572D15"/>
    <w:rsid w:val="005733D1"/>
    <w:rsid w:val="00580581"/>
    <w:rsid w:val="0058105C"/>
    <w:rsid w:val="00582668"/>
    <w:rsid w:val="00582E46"/>
    <w:rsid w:val="005834C4"/>
    <w:rsid w:val="00584595"/>
    <w:rsid w:val="005854F5"/>
    <w:rsid w:val="005867C9"/>
    <w:rsid w:val="00586A05"/>
    <w:rsid w:val="00592240"/>
    <w:rsid w:val="005952E9"/>
    <w:rsid w:val="005972E0"/>
    <w:rsid w:val="005A1060"/>
    <w:rsid w:val="005A11F2"/>
    <w:rsid w:val="005A148C"/>
    <w:rsid w:val="005A4386"/>
    <w:rsid w:val="005A54B5"/>
    <w:rsid w:val="005B015C"/>
    <w:rsid w:val="005B063C"/>
    <w:rsid w:val="005B3845"/>
    <w:rsid w:val="005B6CF4"/>
    <w:rsid w:val="005C20F9"/>
    <w:rsid w:val="005C4B1E"/>
    <w:rsid w:val="005C4DE4"/>
    <w:rsid w:val="005C60F6"/>
    <w:rsid w:val="005C7C0A"/>
    <w:rsid w:val="005D00E9"/>
    <w:rsid w:val="005D016B"/>
    <w:rsid w:val="005D1C52"/>
    <w:rsid w:val="005D2745"/>
    <w:rsid w:val="005D5D5B"/>
    <w:rsid w:val="005D6256"/>
    <w:rsid w:val="005E217A"/>
    <w:rsid w:val="005E5B0D"/>
    <w:rsid w:val="005E794F"/>
    <w:rsid w:val="005F0796"/>
    <w:rsid w:val="005F11A2"/>
    <w:rsid w:val="005F5128"/>
    <w:rsid w:val="005F6AAC"/>
    <w:rsid w:val="00603166"/>
    <w:rsid w:val="00604152"/>
    <w:rsid w:val="00605409"/>
    <w:rsid w:val="00610FD9"/>
    <w:rsid w:val="00611156"/>
    <w:rsid w:val="006137F1"/>
    <w:rsid w:val="00616F3E"/>
    <w:rsid w:val="00617C3B"/>
    <w:rsid w:val="00617D6B"/>
    <w:rsid w:val="00620FAA"/>
    <w:rsid w:val="00625AC8"/>
    <w:rsid w:val="00625EE6"/>
    <w:rsid w:val="00626BEB"/>
    <w:rsid w:val="00636FA3"/>
    <w:rsid w:val="00641149"/>
    <w:rsid w:val="00643F8B"/>
    <w:rsid w:val="0064687A"/>
    <w:rsid w:val="00647DC2"/>
    <w:rsid w:val="006526CE"/>
    <w:rsid w:val="006536C9"/>
    <w:rsid w:val="0065442E"/>
    <w:rsid w:val="006579BD"/>
    <w:rsid w:val="00661A0B"/>
    <w:rsid w:val="0066382A"/>
    <w:rsid w:val="00666704"/>
    <w:rsid w:val="0066674C"/>
    <w:rsid w:val="006677C4"/>
    <w:rsid w:val="00671741"/>
    <w:rsid w:val="006721D8"/>
    <w:rsid w:val="00674A1D"/>
    <w:rsid w:val="00680A8F"/>
    <w:rsid w:val="00682F77"/>
    <w:rsid w:val="0068369D"/>
    <w:rsid w:val="00684CF9"/>
    <w:rsid w:val="00685BCB"/>
    <w:rsid w:val="00691AE6"/>
    <w:rsid w:val="006933EC"/>
    <w:rsid w:val="00696874"/>
    <w:rsid w:val="006978FD"/>
    <w:rsid w:val="00697C4E"/>
    <w:rsid w:val="006A04B2"/>
    <w:rsid w:val="006A0AB0"/>
    <w:rsid w:val="006A0B61"/>
    <w:rsid w:val="006A149A"/>
    <w:rsid w:val="006A564B"/>
    <w:rsid w:val="006A73DC"/>
    <w:rsid w:val="006A7B61"/>
    <w:rsid w:val="006B113A"/>
    <w:rsid w:val="006B1253"/>
    <w:rsid w:val="006B1832"/>
    <w:rsid w:val="006B1C13"/>
    <w:rsid w:val="006B22A4"/>
    <w:rsid w:val="006B28F2"/>
    <w:rsid w:val="006B2BD1"/>
    <w:rsid w:val="006B3628"/>
    <w:rsid w:val="006B3EF0"/>
    <w:rsid w:val="006B79D3"/>
    <w:rsid w:val="006C0909"/>
    <w:rsid w:val="006C1C45"/>
    <w:rsid w:val="006C3D74"/>
    <w:rsid w:val="006C56FB"/>
    <w:rsid w:val="006D0376"/>
    <w:rsid w:val="006D178D"/>
    <w:rsid w:val="006D3617"/>
    <w:rsid w:val="006D541A"/>
    <w:rsid w:val="006D6F98"/>
    <w:rsid w:val="006D7E68"/>
    <w:rsid w:val="006D7F97"/>
    <w:rsid w:val="006E1B0F"/>
    <w:rsid w:val="006E2F1F"/>
    <w:rsid w:val="006E34A6"/>
    <w:rsid w:val="006E771A"/>
    <w:rsid w:val="006F0A25"/>
    <w:rsid w:val="006F2B73"/>
    <w:rsid w:val="006F42CF"/>
    <w:rsid w:val="006F45AE"/>
    <w:rsid w:val="007048DD"/>
    <w:rsid w:val="00707FC3"/>
    <w:rsid w:val="00713BA9"/>
    <w:rsid w:val="00717BA8"/>
    <w:rsid w:val="00721746"/>
    <w:rsid w:val="00722065"/>
    <w:rsid w:val="0072708C"/>
    <w:rsid w:val="007345DA"/>
    <w:rsid w:val="00735331"/>
    <w:rsid w:val="0073569D"/>
    <w:rsid w:val="00736F43"/>
    <w:rsid w:val="0073719F"/>
    <w:rsid w:val="00741120"/>
    <w:rsid w:val="0074243C"/>
    <w:rsid w:val="007430DB"/>
    <w:rsid w:val="00743C03"/>
    <w:rsid w:val="0074402E"/>
    <w:rsid w:val="0074524E"/>
    <w:rsid w:val="0074540A"/>
    <w:rsid w:val="00745940"/>
    <w:rsid w:val="00747380"/>
    <w:rsid w:val="007479B7"/>
    <w:rsid w:val="0075473A"/>
    <w:rsid w:val="00756F98"/>
    <w:rsid w:val="0075732C"/>
    <w:rsid w:val="00761611"/>
    <w:rsid w:val="00763406"/>
    <w:rsid w:val="007641B8"/>
    <w:rsid w:val="00765BC1"/>
    <w:rsid w:val="007719D4"/>
    <w:rsid w:val="00776722"/>
    <w:rsid w:val="00777839"/>
    <w:rsid w:val="00777A6D"/>
    <w:rsid w:val="007804C6"/>
    <w:rsid w:val="00781FA6"/>
    <w:rsid w:val="00784D8D"/>
    <w:rsid w:val="00785166"/>
    <w:rsid w:val="0078716F"/>
    <w:rsid w:val="0079090C"/>
    <w:rsid w:val="00790A6B"/>
    <w:rsid w:val="00790AC5"/>
    <w:rsid w:val="0079247E"/>
    <w:rsid w:val="007933FC"/>
    <w:rsid w:val="007934F1"/>
    <w:rsid w:val="0079446E"/>
    <w:rsid w:val="00795811"/>
    <w:rsid w:val="00796164"/>
    <w:rsid w:val="00796545"/>
    <w:rsid w:val="00796AC1"/>
    <w:rsid w:val="007A0567"/>
    <w:rsid w:val="007A11DB"/>
    <w:rsid w:val="007A1E72"/>
    <w:rsid w:val="007A2754"/>
    <w:rsid w:val="007A2E98"/>
    <w:rsid w:val="007A36A3"/>
    <w:rsid w:val="007A3AB5"/>
    <w:rsid w:val="007A6BCE"/>
    <w:rsid w:val="007B1E5B"/>
    <w:rsid w:val="007B2A0B"/>
    <w:rsid w:val="007B3EAD"/>
    <w:rsid w:val="007B4720"/>
    <w:rsid w:val="007B5FB7"/>
    <w:rsid w:val="007B68D9"/>
    <w:rsid w:val="007B799D"/>
    <w:rsid w:val="007C0170"/>
    <w:rsid w:val="007C209B"/>
    <w:rsid w:val="007C4758"/>
    <w:rsid w:val="007C5BDE"/>
    <w:rsid w:val="007C7521"/>
    <w:rsid w:val="007C7E16"/>
    <w:rsid w:val="007D0977"/>
    <w:rsid w:val="007D3472"/>
    <w:rsid w:val="007D48BB"/>
    <w:rsid w:val="007E0404"/>
    <w:rsid w:val="007E37B4"/>
    <w:rsid w:val="007E46F6"/>
    <w:rsid w:val="007E773F"/>
    <w:rsid w:val="007E7E19"/>
    <w:rsid w:val="007F0ED0"/>
    <w:rsid w:val="007F2F94"/>
    <w:rsid w:val="007F4500"/>
    <w:rsid w:val="007F4872"/>
    <w:rsid w:val="007F64CA"/>
    <w:rsid w:val="007F75E2"/>
    <w:rsid w:val="008046F8"/>
    <w:rsid w:val="00804C9F"/>
    <w:rsid w:val="00804F50"/>
    <w:rsid w:val="0080517D"/>
    <w:rsid w:val="00807600"/>
    <w:rsid w:val="00807BC3"/>
    <w:rsid w:val="008105CA"/>
    <w:rsid w:val="008112B7"/>
    <w:rsid w:val="00811AC0"/>
    <w:rsid w:val="00811D00"/>
    <w:rsid w:val="00811E07"/>
    <w:rsid w:val="00813363"/>
    <w:rsid w:val="00814650"/>
    <w:rsid w:val="00815DE2"/>
    <w:rsid w:val="008212F3"/>
    <w:rsid w:val="0082312C"/>
    <w:rsid w:val="00823922"/>
    <w:rsid w:val="0083138B"/>
    <w:rsid w:val="00831688"/>
    <w:rsid w:val="008338F4"/>
    <w:rsid w:val="008366E5"/>
    <w:rsid w:val="00836CF7"/>
    <w:rsid w:val="00840C9C"/>
    <w:rsid w:val="00842C70"/>
    <w:rsid w:val="00843646"/>
    <w:rsid w:val="00843BB7"/>
    <w:rsid w:val="008447D3"/>
    <w:rsid w:val="00846FCC"/>
    <w:rsid w:val="0086030F"/>
    <w:rsid w:val="00860422"/>
    <w:rsid w:val="008626F6"/>
    <w:rsid w:val="0086427E"/>
    <w:rsid w:val="00865F85"/>
    <w:rsid w:val="008666E8"/>
    <w:rsid w:val="0086756D"/>
    <w:rsid w:val="00867DB1"/>
    <w:rsid w:val="0087025D"/>
    <w:rsid w:val="008706ED"/>
    <w:rsid w:val="0087163F"/>
    <w:rsid w:val="00872054"/>
    <w:rsid w:val="00872444"/>
    <w:rsid w:val="00872868"/>
    <w:rsid w:val="008747D7"/>
    <w:rsid w:val="00875188"/>
    <w:rsid w:val="008777D3"/>
    <w:rsid w:val="00877DD9"/>
    <w:rsid w:val="00880A2C"/>
    <w:rsid w:val="008818CC"/>
    <w:rsid w:val="008840EB"/>
    <w:rsid w:val="00885BF5"/>
    <w:rsid w:val="008862B1"/>
    <w:rsid w:val="00886D30"/>
    <w:rsid w:val="008915A9"/>
    <w:rsid w:val="0089265B"/>
    <w:rsid w:val="008928B1"/>
    <w:rsid w:val="00894319"/>
    <w:rsid w:val="0089562A"/>
    <w:rsid w:val="008A2A0D"/>
    <w:rsid w:val="008A3905"/>
    <w:rsid w:val="008A4593"/>
    <w:rsid w:val="008A46F9"/>
    <w:rsid w:val="008B0041"/>
    <w:rsid w:val="008B191D"/>
    <w:rsid w:val="008B2331"/>
    <w:rsid w:val="008B3C43"/>
    <w:rsid w:val="008B41F6"/>
    <w:rsid w:val="008B58DA"/>
    <w:rsid w:val="008B6F09"/>
    <w:rsid w:val="008C0720"/>
    <w:rsid w:val="008C35C4"/>
    <w:rsid w:val="008C4944"/>
    <w:rsid w:val="008C5E4F"/>
    <w:rsid w:val="008C6F42"/>
    <w:rsid w:val="008C711D"/>
    <w:rsid w:val="008C738A"/>
    <w:rsid w:val="008D3389"/>
    <w:rsid w:val="008D4370"/>
    <w:rsid w:val="008E0993"/>
    <w:rsid w:val="008E36B7"/>
    <w:rsid w:val="008E4017"/>
    <w:rsid w:val="008E4599"/>
    <w:rsid w:val="008E6028"/>
    <w:rsid w:val="008F1C4C"/>
    <w:rsid w:val="008F24B4"/>
    <w:rsid w:val="008F335F"/>
    <w:rsid w:val="008F3E6E"/>
    <w:rsid w:val="008F4BF7"/>
    <w:rsid w:val="00901CFF"/>
    <w:rsid w:val="00904121"/>
    <w:rsid w:val="00905433"/>
    <w:rsid w:val="00910E6F"/>
    <w:rsid w:val="0091285D"/>
    <w:rsid w:val="00912F5E"/>
    <w:rsid w:val="00914836"/>
    <w:rsid w:val="00916DF6"/>
    <w:rsid w:val="009204D4"/>
    <w:rsid w:val="00924411"/>
    <w:rsid w:val="009252B5"/>
    <w:rsid w:val="00925DF5"/>
    <w:rsid w:val="00927926"/>
    <w:rsid w:val="00931514"/>
    <w:rsid w:val="00932213"/>
    <w:rsid w:val="00933EC4"/>
    <w:rsid w:val="00935991"/>
    <w:rsid w:val="0094013E"/>
    <w:rsid w:val="009405F8"/>
    <w:rsid w:val="00941B8A"/>
    <w:rsid w:val="0094518C"/>
    <w:rsid w:val="009475C2"/>
    <w:rsid w:val="00947AAE"/>
    <w:rsid w:val="009508A2"/>
    <w:rsid w:val="00950E51"/>
    <w:rsid w:val="00953D0C"/>
    <w:rsid w:val="009609C0"/>
    <w:rsid w:val="00960EB2"/>
    <w:rsid w:val="00961D67"/>
    <w:rsid w:val="00962F37"/>
    <w:rsid w:val="00963EFD"/>
    <w:rsid w:val="00964F1C"/>
    <w:rsid w:val="00966CB3"/>
    <w:rsid w:val="00980E83"/>
    <w:rsid w:val="00981B6C"/>
    <w:rsid w:val="009831D6"/>
    <w:rsid w:val="009858EE"/>
    <w:rsid w:val="00986440"/>
    <w:rsid w:val="00986F3D"/>
    <w:rsid w:val="00990CFE"/>
    <w:rsid w:val="00992649"/>
    <w:rsid w:val="009932BB"/>
    <w:rsid w:val="009A01CB"/>
    <w:rsid w:val="009A2F7D"/>
    <w:rsid w:val="009A324F"/>
    <w:rsid w:val="009A4913"/>
    <w:rsid w:val="009A4C72"/>
    <w:rsid w:val="009A4EE0"/>
    <w:rsid w:val="009B0ED9"/>
    <w:rsid w:val="009B55B9"/>
    <w:rsid w:val="009B64CE"/>
    <w:rsid w:val="009B651A"/>
    <w:rsid w:val="009B657C"/>
    <w:rsid w:val="009B6BD0"/>
    <w:rsid w:val="009B72AD"/>
    <w:rsid w:val="009B7A2D"/>
    <w:rsid w:val="009C3F2D"/>
    <w:rsid w:val="009C46E2"/>
    <w:rsid w:val="009C49FD"/>
    <w:rsid w:val="009C5C74"/>
    <w:rsid w:val="009C7DF5"/>
    <w:rsid w:val="009D429D"/>
    <w:rsid w:val="009D5E56"/>
    <w:rsid w:val="009D616D"/>
    <w:rsid w:val="009D6292"/>
    <w:rsid w:val="009E2729"/>
    <w:rsid w:val="009E28E5"/>
    <w:rsid w:val="009E2A2F"/>
    <w:rsid w:val="009E4841"/>
    <w:rsid w:val="009E6CB9"/>
    <w:rsid w:val="009E6F9F"/>
    <w:rsid w:val="009F35F4"/>
    <w:rsid w:val="009F4364"/>
    <w:rsid w:val="009F5AF8"/>
    <w:rsid w:val="00A00815"/>
    <w:rsid w:val="00A00D07"/>
    <w:rsid w:val="00A011BF"/>
    <w:rsid w:val="00A06010"/>
    <w:rsid w:val="00A0745F"/>
    <w:rsid w:val="00A111C0"/>
    <w:rsid w:val="00A1184D"/>
    <w:rsid w:val="00A11CE2"/>
    <w:rsid w:val="00A12B7F"/>
    <w:rsid w:val="00A17298"/>
    <w:rsid w:val="00A20859"/>
    <w:rsid w:val="00A225AF"/>
    <w:rsid w:val="00A25775"/>
    <w:rsid w:val="00A323EA"/>
    <w:rsid w:val="00A41369"/>
    <w:rsid w:val="00A425D1"/>
    <w:rsid w:val="00A42BFD"/>
    <w:rsid w:val="00A42E3D"/>
    <w:rsid w:val="00A43BD8"/>
    <w:rsid w:val="00A4718B"/>
    <w:rsid w:val="00A478A8"/>
    <w:rsid w:val="00A47975"/>
    <w:rsid w:val="00A504C9"/>
    <w:rsid w:val="00A546C7"/>
    <w:rsid w:val="00A5525E"/>
    <w:rsid w:val="00A55DE0"/>
    <w:rsid w:val="00A56F33"/>
    <w:rsid w:val="00A579ED"/>
    <w:rsid w:val="00A66420"/>
    <w:rsid w:val="00A70D1D"/>
    <w:rsid w:val="00A71497"/>
    <w:rsid w:val="00A728A7"/>
    <w:rsid w:val="00A7491B"/>
    <w:rsid w:val="00A75A7C"/>
    <w:rsid w:val="00A76876"/>
    <w:rsid w:val="00A77B7E"/>
    <w:rsid w:val="00A8032B"/>
    <w:rsid w:val="00A80BEC"/>
    <w:rsid w:val="00A82723"/>
    <w:rsid w:val="00A8293A"/>
    <w:rsid w:val="00A83797"/>
    <w:rsid w:val="00A83DE5"/>
    <w:rsid w:val="00A84944"/>
    <w:rsid w:val="00A869F6"/>
    <w:rsid w:val="00A86FCE"/>
    <w:rsid w:val="00A91FA6"/>
    <w:rsid w:val="00A93556"/>
    <w:rsid w:val="00A935C8"/>
    <w:rsid w:val="00A93806"/>
    <w:rsid w:val="00A945CF"/>
    <w:rsid w:val="00A95D60"/>
    <w:rsid w:val="00A9637A"/>
    <w:rsid w:val="00AB5102"/>
    <w:rsid w:val="00AB69F1"/>
    <w:rsid w:val="00AC07C8"/>
    <w:rsid w:val="00AC0DC9"/>
    <w:rsid w:val="00AC4A26"/>
    <w:rsid w:val="00AC50D4"/>
    <w:rsid w:val="00AC5538"/>
    <w:rsid w:val="00AC66E7"/>
    <w:rsid w:val="00AC7542"/>
    <w:rsid w:val="00AD05B7"/>
    <w:rsid w:val="00AD2A6E"/>
    <w:rsid w:val="00AD4990"/>
    <w:rsid w:val="00AE05DC"/>
    <w:rsid w:val="00AE08B7"/>
    <w:rsid w:val="00AE1C4C"/>
    <w:rsid w:val="00AE3415"/>
    <w:rsid w:val="00AE5928"/>
    <w:rsid w:val="00AE5BE5"/>
    <w:rsid w:val="00AE6C2F"/>
    <w:rsid w:val="00AE7101"/>
    <w:rsid w:val="00AE7115"/>
    <w:rsid w:val="00AF5B8B"/>
    <w:rsid w:val="00AF694F"/>
    <w:rsid w:val="00AF7371"/>
    <w:rsid w:val="00B02786"/>
    <w:rsid w:val="00B037AE"/>
    <w:rsid w:val="00B04F0F"/>
    <w:rsid w:val="00B07F81"/>
    <w:rsid w:val="00B10111"/>
    <w:rsid w:val="00B10282"/>
    <w:rsid w:val="00B10ABB"/>
    <w:rsid w:val="00B15759"/>
    <w:rsid w:val="00B15B3D"/>
    <w:rsid w:val="00B2072B"/>
    <w:rsid w:val="00B2146D"/>
    <w:rsid w:val="00B22153"/>
    <w:rsid w:val="00B22499"/>
    <w:rsid w:val="00B229EF"/>
    <w:rsid w:val="00B30CE6"/>
    <w:rsid w:val="00B31571"/>
    <w:rsid w:val="00B32B14"/>
    <w:rsid w:val="00B33346"/>
    <w:rsid w:val="00B343A2"/>
    <w:rsid w:val="00B34A49"/>
    <w:rsid w:val="00B363DF"/>
    <w:rsid w:val="00B42360"/>
    <w:rsid w:val="00B50ED6"/>
    <w:rsid w:val="00B52F02"/>
    <w:rsid w:val="00B536F6"/>
    <w:rsid w:val="00B53CD6"/>
    <w:rsid w:val="00B553E8"/>
    <w:rsid w:val="00B56347"/>
    <w:rsid w:val="00B57034"/>
    <w:rsid w:val="00B5736F"/>
    <w:rsid w:val="00B63373"/>
    <w:rsid w:val="00B64789"/>
    <w:rsid w:val="00B64BD1"/>
    <w:rsid w:val="00B64F3A"/>
    <w:rsid w:val="00B652D8"/>
    <w:rsid w:val="00B67BC1"/>
    <w:rsid w:val="00B67E8C"/>
    <w:rsid w:val="00B71049"/>
    <w:rsid w:val="00B721C1"/>
    <w:rsid w:val="00B73CFC"/>
    <w:rsid w:val="00B74345"/>
    <w:rsid w:val="00B74DEE"/>
    <w:rsid w:val="00B76982"/>
    <w:rsid w:val="00B76F92"/>
    <w:rsid w:val="00B82B07"/>
    <w:rsid w:val="00B82F95"/>
    <w:rsid w:val="00B83E35"/>
    <w:rsid w:val="00B845F1"/>
    <w:rsid w:val="00B855F5"/>
    <w:rsid w:val="00B90924"/>
    <w:rsid w:val="00B90E68"/>
    <w:rsid w:val="00B9120F"/>
    <w:rsid w:val="00B91A34"/>
    <w:rsid w:val="00B9427A"/>
    <w:rsid w:val="00B94D8D"/>
    <w:rsid w:val="00B96BD9"/>
    <w:rsid w:val="00B9728A"/>
    <w:rsid w:val="00B97691"/>
    <w:rsid w:val="00B97E58"/>
    <w:rsid w:val="00BA01DB"/>
    <w:rsid w:val="00BA1C01"/>
    <w:rsid w:val="00BA2875"/>
    <w:rsid w:val="00BA36DA"/>
    <w:rsid w:val="00BA738D"/>
    <w:rsid w:val="00BB1D08"/>
    <w:rsid w:val="00BB2C4C"/>
    <w:rsid w:val="00BB320A"/>
    <w:rsid w:val="00BB52D8"/>
    <w:rsid w:val="00BB703B"/>
    <w:rsid w:val="00BB7B61"/>
    <w:rsid w:val="00BB7E5B"/>
    <w:rsid w:val="00BC0B9D"/>
    <w:rsid w:val="00BC2A9F"/>
    <w:rsid w:val="00BC308D"/>
    <w:rsid w:val="00BC69B4"/>
    <w:rsid w:val="00BC6B6B"/>
    <w:rsid w:val="00BC7C33"/>
    <w:rsid w:val="00BC7D82"/>
    <w:rsid w:val="00BD007B"/>
    <w:rsid w:val="00BD36C3"/>
    <w:rsid w:val="00BD6185"/>
    <w:rsid w:val="00BD6596"/>
    <w:rsid w:val="00BD66F2"/>
    <w:rsid w:val="00BE5D5B"/>
    <w:rsid w:val="00BE6151"/>
    <w:rsid w:val="00BF150C"/>
    <w:rsid w:val="00BF526E"/>
    <w:rsid w:val="00C0099D"/>
    <w:rsid w:val="00C03B3D"/>
    <w:rsid w:val="00C03E0F"/>
    <w:rsid w:val="00C05302"/>
    <w:rsid w:val="00C102EB"/>
    <w:rsid w:val="00C149EF"/>
    <w:rsid w:val="00C1595B"/>
    <w:rsid w:val="00C220CD"/>
    <w:rsid w:val="00C22D83"/>
    <w:rsid w:val="00C2304E"/>
    <w:rsid w:val="00C257C0"/>
    <w:rsid w:val="00C279AA"/>
    <w:rsid w:val="00C31B89"/>
    <w:rsid w:val="00C31FD1"/>
    <w:rsid w:val="00C3238C"/>
    <w:rsid w:val="00C33B4F"/>
    <w:rsid w:val="00C33BD7"/>
    <w:rsid w:val="00C341D8"/>
    <w:rsid w:val="00C35E03"/>
    <w:rsid w:val="00C37647"/>
    <w:rsid w:val="00C4030F"/>
    <w:rsid w:val="00C40F0D"/>
    <w:rsid w:val="00C43A1F"/>
    <w:rsid w:val="00C43E0D"/>
    <w:rsid w:val="00C451EC"/>
    <w:rsid w:val="00C45355"/>
    <w:rsid w:val="00C457C2"/>
    <w:rsid w:val="00C46A43"/>
    <w:rsid w:val="00C52CF2"/>
    <w:rsid w:val="00C600A5"/>
    <w:rsid w:val="00C62DEE"/>
    <w:rsid w:val="00C65B83"/>
    <w:rsid w:val="00C67F68"/>
    <w:rsid w:val="00C74615"/>
    <w:rsid w:val="00C748BB"/>
    <w:rsid w:val="00C750C5"/>
    <w:rsid w:val="00C75C17"/>
    <w:rsid w:val="00C80AB8"/>
    <w:rsid w:val="00C84B5A"/>
    <w:rsid w:val="00C863AF"/>
    <w:rsid w:val="00C864F9"/>
    <w:rsid w:val="00C86506"/>
    <w:rsid w:val="00C86928"/>
    <w:rsid w:val="00C8692C"/>
    <w:rsid w:val="00C869DE"/>
    <w:rsid w:val="00C92EEF"/>
    <w:rsid w:val="00C93566"/>
    <w:rsid w:val="00C95251"/>
    <w:rsid w:val="00C96C80"/>
    <w:rsid w:val="00CA1089"/>
    <w:rsid w:val="00CA2171"/>
    <w:rsid w:val="00CA2B4F"/>
    <w:rsid w:val="00CA5736"/>
    <w:rsid w:val="00CA5B66"/>
    <w:rsid w:val="00CA5E69"/>
    <w:rsid w:val="00CA625B"/>
    <w:rsid w:val="00CA6CBC"/>
    <w:rsid w:val="00CA7140"/>
    <w:rsid w:val="00CB12F8"/>
    <w:rsid w:val="00CB1A08"/>
    <w:rsid w:val="00CB6F73"/>
    <w:rsid w:val="00CC1778"/>
    <w:rsid w:val="00CC1D6A"/>
    <w:rsid w:val="00CC2C38"/>
    <w:rsid w:val="00CC3874"/>
    <w:rsid w:val="00CC3CB7"/>
    <w:rsid w:val="00CC4B63"/>
    <w:rsid w:val="00CC5A51"/>
    <w:rsid w:val="00CD2E96"/>
    <w:rsid w:val="00CD38FE"/>
    <w:rsid w:val="00CD5DC7"/>
    <w:rsid w:val="00CE13A6"/>
    <w:rsid w:val="00CE2B51"/>
    <w:rsid w:val="00CE345C"/>
    <w:rsid w:val="00CE4376"/>
    <w:rsid w:val="00CE5B20"/>
    <w:rsid w:val="00CF270D"/>
    <w:rsid w:val="00CF32B5"/>
    <w:rsid w:val="00CF5A5B"/>
    <w:rsid w:val="00CF5ED2"/>
    <w:rsid w:val="00CF65AC"/>
    <w:rsid w:val="00CF77E1"/>
    <w:rsid w:val="00CF7A2E"/>
    <w:rsid w:val="00D00760"/>
    <w:rsid w:val="00D023DB"/>
    <w:rsid w:val="00D0432A"/>
    <w:rsid w:val="00D10DE4"/>
    <w:rsid w:val="00D16296"/>
    <w:rsid w:val="00D16A6D"/>
    <w:rsid w:val="00D16C78"/>
    <w:rsid w:val="00D172D3"/>
    <w:rsid w:val="00D1784B"/>
    <w:rsid w:val="00D200F6"/>
    <w:rsid w:val="00D20D67"/>
    <w:rsid w:val="00D2255C"/>
    <w:rsid w:val="00D229F2"/>
    <w:rsid w:val="00D22E72"/>
    <w:rsid w:val="00D233AB"/>
    <w:rsid w:val="00D249BA"/>
    <w:rsid w:val="00D24CF3"/>
    <w:rsid w:val="00D2752A"/>
    <w:rsid w:val="00D339BF"/>
    <w:rsid w:val="00D348AB"/>
    <w:rsid w:val="00D40DA0"/>
    <w:rsid w:val="00D40F8A"/>
    <w:rsid w:val="00D42054"/>
    <w:rsid w:val="00D42C4E"/>
    <w:rsid w:val="00D432DC"/>
    <w:rsid w:val="00D44163"/>
    <w:rsid w:val="00D50719"/>
    <w:rsid w:val="00D5326E"/>
    <w:rsid w:val="00D61166"/>
    <w:rsid w:val="00D61EA7"/>
    <w:rsid w:val="00D67980"/>
    <w:rsid w:val="00D72515"/>
    <w:rsid w:val="00D736FB"/>
    <w:rsid w:val="00D752BE"/>
    <w:rsid w:val="00D7662F"/>
    <w:rsid w:val="00D802C7"/>
    <w:rsid w:val="00D81AD4"/>
    <w:rsid w:val="00D8262D"/>
    <w:rsid w:val="00D82CF5"/>
    <w:rsid w:val="00D85B75"/>
    <w:rsid w:val="00D930CE"/>
    <w:rsid w:val="00D954F5"/>
    <w:rsid w:val="00D95720"/>
    <w:rsid w:val="00D964F5"/>
    <w:rsid w:val="00D970E6"/>
    <w:rsid w:val="00DA0380"/>
    <w:rsid w:val="00DA2D97"/>
    <w:rsid w:val="00DA4E56"/>
    <w:rsid w:val="00DA6519"/>
    <w:rsid w:val="00DA69B6"/>
    <w:rsid w:val="00DB08DC"/>
    <w:rsid w:val="00DB0DA7"/>
    <w:rsid w:val="00DB26A5"/>
    <w:rsid w:val="00DB3915"/>
    <w:rsid w:val="00DB3FC0"/>
    <w:rsid w:val="00DB5545"/>
    <w:rsid w:val="00DB79EB"/>
    <w:rsid w:val="00DC2C43"/>
    <w:rsid w:val="00DC3ECB"/>
    <w:rsid w:val="00DC5E92"/>
    <w:rsid w:val="00DC698F"/>
    <w:rsid w:val="00DC760B"/>
    <w:rsid w:val="00DC7E4B"/>
    <w:rsid w:val="00DD1DC5"/>
    <w:rsid w:val="00DD594E"/>
    <w:rsid w:val="00DD6A8C"/>
    <w:rsid w:val="00DE0257"/>
    <w:rsid w:val="00DE0341"/>
    <w:rsid w:val="00DE0382"/>
    <w:rsid w:val="00DE0D61"/>
    <w:rsid w:val="00DE49C6"/>
    <w:rsid w:val="00DE53EF"/>
    <w:rsid w:val="00DE59A6"/>
    <w:rsid w:val="00DE77B2"/>
    <w:rsid w:val="00DE7B19"/>
    <w:rsid w:val="00DF6CF8"/>
    <w:rsid w:val="00E008EE"/>
    <w:rsid w:val="00E02343"/>
    <w:rsid w:val="00E10E18"/>
    <w:rsid w:val="00E13347"/>
    <w:rsid w:val="00E15735"/>
    <w:rsid w:val="00E17794"/>
    <w:rsid w:val="00E17ED6"/>
    <w:rsid w:val="00E20C16"/>
    <w:rsid w:val="00E20D4A"/>
    <w:rsid w:val="00E22074"/>
    <w:rsid w:val="00E223B8"/>
    <w:rsid w:val="00E237BB"/>
    <w:rsid w:val="00E2572B"/>
    <w:rsid w:val="00E2601D"/>
    <w:rsid w:val="00E30AA0"/>
    <w:rsid w:val="00E3178A"/>
    <w:rsid w:val="00E3276C"/>
    <w:rsid w:val="00E33414"/>
    <w:rsid w:val="00E33704"/>
    <w:rsid w:val="00E3510D"/>
    <w:rsid w:val="00E37B8E"/>
    <w:rsid w:val="00E41A85"/>
    <w:rsid w:val="00E430CF"/>
    <w:rsid w:val="00E462E0"/>
    <w:rsid w:val="00E51C2C"/>
    <w:rsid w:val="00E53877"/>
    <w:rsid w:val="00E538DE"/>
    <w:rsid w:val="00E54B12"/>
    <w:rsid w:val="00E54C01"/>
    <w:rsid w:val="00E55D37"/>
    <w:rsid w:val="00E56C39"/>
    <w:rsid w:val="00E60BB1"/>
    <w:rsid w:val="00E642A4"/>
    <w:rsid w:val="00E66F2B"/>
    <w:rsid w:val="00E6758D"/>
    <w:rsid w:val="00E729C3"/>
    <w:rsid w:val="00E74348"/>
    <w:rsid w:val="00E76531"/>
    <w:rsid w:val="00E76609"/>
    <w:rsid w:val="00E81E62"/>
    <w:rsid w:val="00E876AE"/>
    <w:rsid w:val="00E87FCC"/>
    <w:rsid w:val="00E91939"/>
    <w:rsid w:val="00E91F70"/>
    <w:rsid w:val="00E93072"/>
    <w:rsid w:val="00E93BC2"/>
    <w:rsid w:val="00E95887"/>
    <w:rsid w:val="00E96D76"/>
    <w:rsid w:val="00EA00A5"/>
    <w:rsid w:val="00EA1001"/>
    <w:rsid w:val="00EA4FA4"/>
    <w:rsid w:val="00EA580A"/>
    <w:rsid w:val="00EA69D9"/>
    <w:rsid w:val="00EB028F"/>
    <w:rsid w:val="00EB1691"/>
    <w:rsid w:val="00EB29E5"/>
    <w:rsid w:val="00EB56C9"/>
    <w:rsid w:val="00EB602A"/>
    <w:rsid w:val="00EB6730"/>
    <w:rsid w:val="00EB6CA2"/>
    <w:rsid w:val="00EB7B7B"/>
    <w:rsid w:val="00EC284F"/>
    <w:rsid w:val="00EC3759"/>
    <w:rsid w:val="00EC615B"/>
    <w:rsid w:val="00ED0D2C"/>
    <w:rsid w:val="00ED14F5"/>
    <w:rsid w:val="00ED1EB8"/>
    <w:rsid w:val="00ED31E7"/>
    <w:rsid w:val="00ED41E2"/>
    <w:rsid w:val="00ED559B"/>
    <w:rsid w:val="00ED5DB2"/>
    <w:rsid w:val="00ED6AF9"/>
    <w:rsid w:val="00EE064C"/>
    <w:rsid w:val="00EE0685"/>
    <w:rsid w:val="00EE17E9"/>
    <w:rsid w:val="00EE1873"/>
    <w:rsid w:val="00EE25CC"/>
    <w:rsid w:val="00EE34C4"/>
    <w:rsid w:val="00EE451D"/>
    <w:rsid w:val="00EF0766"/>
    <w:rsid w:val="00EF4216"/>
    <w:rsid w:val="00EF5620"/>
    <w:rsid w:val="00F00ADA"/>
    <w:rsid w:val="00F0197D"/>
    <w:rsid w:val="00F01DCE"/>
    <w:rsid w:val="00F04E8A"/>
    <w:rsid w:val="00F053B8"/>
    <w:rsid w:val="00F06611"/>
    <w:rsid w:val="00F10357"/>
    <w:rsid w:val="00F11BEE"/>
    <w:rsid w:val="00F20694"/>
    <w:rsid w:val="00F207FF"/>
    <w:rsid w:val="00F226DD"/>
    <w:rsid w:val="00F22A85"/>
    <w:rsid w:val="00F268CB"/>
    <w:rsid w:val="00F26F67"/>
    <w:rsid w:val="00F32311"/>
    <w:rsid w:val="00F324E1"/>
    <w:rsid w:val="00F32BC0"/>
    <w:rsid w:val="00F3301F"/>
    <w:rsid w:val="00F35A93"/>
    <w:rsid w:val="00F40B4F"/>
    <w:rsid w:val="00F41A63"/>
    <w:rsid w:val="00F44BE0"/>
    <w:rsid w:val="00F45208"/>
    <w:rsid w:val="00F4545B"/>
    <w:rsid w:val="00F46FF9"/>
    <w:rsid w:val="00F54DC8"/>
    <w:rsid w:val="00F550AA"/>
    <w:rsid w:val="00F60E78"/>
    <w:rsid w:val="00F61A89"/>
    <w:rsid w:val="00F62BC5"/>
    <w:rsid w:val="00F63558"/>
    <w:rsid w:val="00F63882"/>
    <w:rsid w:val="00F666AB"/>
    <w:rsid w:val="00F666D2"/>
    <w:rsid w:val="00F66D06"/>
    <w:rsid w:val="00F66F5F"/>
    <w:rsid w:val="00F72C76"/>
    <w:rsid w:val="00F73411"/>
    <w:rsid w:val="00F74AF5"/>
    <w:rsid w:val="00F76AF0"/>
    <w:rsid w:val="00F828AA"/>
    <w:rsid w:val="00F83613"/>
    <w:rsid w:val="00F864CD"/>
    <w:rsid w:val="00F870A7"/>
    <w:rsid w:val="00F915CF"/>
    <w:rsid w:val="00F92357"/>
    <w:rsid w:val="00F92DB4"/>
    <w:rsid w:val="00F97A5B"/>
    <w:rsid w:val="00FA098F"/>
    <w:rsid w:val="00FA15E3"/>
    <w:rsid w:val="00FA2B7E"/>
    <w:rsid w:val="00FA33F6"/>
    <w:rsid w:val="00FA4552"/>
    <w:rsid w:val="00FA736B"/>
    <w:rsid w:val="00FB091A"/>
    <w:rsid w:val="00FB2215"/>
    <w:rsid w:val="00FB2B09"/>
    <w:rsid w:val="00FB5336"/>
    <w:rsid w:val="00FB6B0B"/>
    <w:rsid w:val="00FC099B"/>
    <w:rsid w:val="00FC452C"/>
    <w:rsid w:val="00FC4711"/>
    <w:rsid w:val="00FC61AF"/>
    <w:rsid w:val="00FD27A3"/>
    <w:rsid w:val="00FE10F5"/>
    <w:rsid w:val="00FE12E0"/>
    <w:rsid w:val="00FE16EA"/>
    <w:rsid w:val="00FE1CA6"/>
    <w:rsid w:val="00FE3A81"/>
    <w:rsid w:val="00FE3C2A"/>
    <w:rsid w:val="00FE42AA"/>
    <w:rsid w:val="00FE5A83"/>
    <w:rsid w:val="00FE70D4"/>
    <w:rsid w:val="00FE742E"/>
    <w:rsid w:val="00FF070D"/>
    <w:rsid w:val="00FF230C"/>
    <w:rsid w:val="00FF5BCB"/>
    <w:rsid w:val="00FF759A"/>
  </w:rsids>
  <m:mathPr>
    <m:mathFont m:val="Cambria Math"/>
    <m:brkBin m:val="before"/>
    <m:brkBinSub m:val="--"/>
    <m:smallFrac/>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C2B5"/>
  <w15:docId w15:val="{19519381-C754-481E-B223-000FB915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5DC7"/>
  </w:style>
  <w:style w:type="paragraph" w:styleId="Nagwek1">
    <w:name w:val="heading 1"/>
    <w:basedOn w:val="Normalny"/>
    <w:next w:val="Normalny"/>
    <w:link w:val="Nagwek1Znak"/>
    <w:uiPriority w:val="9"/>
    <w:qFormat/>
    <w:rsid w:val="00CD5DC7"/>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CD5DC7"/>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CD5DC7"/>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CD5DC7"/>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CD5DC7"/>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CD5DC7"/>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CD5DC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D5DC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D5DC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D5DC7"/>
    <w:rPr>
      <w:rFonts w:asciiTheme="majorHAnsi" w:eastAsiaTheme="majorEastAsia" w:hAnsiTheme="majorHAnsi" w:cstheme="majorBidi"/>
      <w:b/>
      <w:bCs/>
      <w:smallCaps/>
      <w:color w:val="000000" w:themeColor="text1"/>
      <w:sz w:val="28"/>
      <w:szCs w:val="28"/>
    </w:rPr>
  </w:style>
  <w:style w:type="character" w:customStyle="1" w:styleId="Nagwek4Znak">
    <w:name w:val="Nagłówek 4 Znak"/>
    <w:basedOn w:val="Domylnaczcionkaakapitu"/>
    <w:link w:val="Nagwek4"/>
    <w:uiPriority w:val="9"/>
    <w:rsid w:val="00CD5DC7"/>
    <w:rPr>
      <w:rFonts w:asciiTheme="majorHAnsi" w:eastAsiaTheme="majorEastAsia" w:hAnsiTheme="majorHAnsi" w:cstheme="majorBidi"/>
      <w:b/>
      <w:bCs/>
      <w:i/>
      <w:iCs/>
      <w:color w:val="000000" w:themeColor="text1"/>
    </w:rPr>
  </w:style>
  <w:style w:type="character" w:styleId="Hipercze">
    <w:name w:val="Hyperlink"/>
    <w:basedOn w:val="Domylnaczcionkaakapitu"/>
    <w:uiPriority w:val="99"/>
    <w:unhideWhenUsed/>
    <w:rsid w:val="00115A6B"/>
    <w:rPr>
      <w:strike w:val="0"/>
      <w:dstrike w:val="0"/>
      <w:color w:val="0000FF"/>
      <w:u w:val="none"/>
      <w:effect w:val="none"/>
    </w:rPr>
  </w:style>
  <w:style w:type="character" w:styleId="Pogrubienie">
    <w:name w:val="Strong"/>
    <w:basedOn w:val="Domylnaczcionkaakapitu"/>
    <w:uiPriority w:val="22"/>
    <w:qFormat/>
    <w:rsid w:val="00CD5DC7"/>
    <w:rPr>
      <w:b/>
      <w:bCs/>
      <w:color w:val="000000" w:themeColor="text1"/>
    </w:rPr>
  </w:style>
  <w:style w:type="paragraph" w:styleId="NormalnyWeb">
    <w:name w:val="Normal (Web)"/>
    <w:aliases w:val="webb"/>
    <w:basedOn w:val="Normalny"/>
    <w:uiPriority w:val="99"/>
    <w:semiHidden/>
    <w:unhideWhenUsed/>
    <w:rsid w:val="00115A6B"/>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D5DC7"/>
    <w:rPr>
      <w:i/>
      <w:iCs/>
      <w:color w:val="auto"/>
    </w:rPr>
  </w:style>
  <w:style w:type="paragraph" w:styleId="Bezodstpw">
    <w:name w:val="No Spacing"/>
    <w:uiPriority w:val="1"/>
    <w:qFormat/>
    <w:rsid w:val="00CD5DC7"/>
    <w:pPr>
      <w:spacing w:after="0" w:line="240" w:lineRule="auto"/>
    </w:p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8C711D"/>
    <w:pPr>
      <w:ind w:left="720"/>
      <w:contextualSpacing/>
    </w:pPr>
  </w:style>
  <w:style w:type="paragraph" w:styleId="Tekstprzypisudolnego">
    <w:name w:val="footnote text"/>
    <w:basedOn w:val="Normalny"/>
    <w:link w:val="TekstprzypisudolnegoZnak"/>
    <w:uiPriority w:val="99"/>
    <w:semiHidden/>
    <w:unhideWhenUsed/>
    <w:rsid w:val="000B15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15B0"/>
    <w:rPr>
      <w:sz w:val="20"/>
      <w:szCs w:val="20"/>
    </w:rPr>
  </w:style>
  <w:style w:type="character" w:styleId="Odwoanieprzypisudolnego">
    <w:name w:val="footnote reference"/>
    <w:basedOn w:val="Domylnaczcionkaakapitu"/>
    <w:semiHidden/>
    <w:unhideWhenUsed/>
    <w:rsid w:val="000B15B0"/>
    <w:rPr>
      <w:vertAlign w:val="superscript"/>
    </w:rPr>
  </w:style>
  <w:style w:type="table" w:styleId="Tabela-Siatka">
    <w:name w:val="Table Grid"/>
    <w:basedOn w:val="Standardowy"/>
    <w:uiPriority w:val="39"/>
    <w:rsid w:val="00EE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C2A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2A9F"/>
    <w:rPr>
      <w:rFonts w:ascii="Segoe UI" w:hAnsi="Segoe UI" w:cs="Segoe UI"/>
      <w:sz w:val="18"/>
      <w:szCs w:val="18"/>
    </w:rPr>
  </w:style>
  <w:style w:type="paragraph" w:customStyle="1" w:styleId="articlebodyblock">
    <w:name w:val="articlebodyblock"/>
    <w:basedOn w:val="Normalny"/>
    <w:rsid w:val="00FE3A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ordsection1">
    <w:name w:val="wordsection1"/>
    <w:basedOn w:val="Normalny"/>
    <w:link w:val="NormalWebChar5"/>
    <w:rsid w:val="00B5736F"/>
    <w:pPr>
      <w:spacing w:before="100" w:beforeAutospacing="1" w:after="100" w:afterAutospacing="1" w:line="240" w:lineRule="auto"/>
    </w:pPr>
    <w:rPr>
      <w:rFonts w:ascii="Calibri" w:hAnsi="Calibri" w:cs="Calibri"/>
      <w:lang w:eastAsia="pl-PL"/>
    </w:rPr>
  </w:style>
  <w:style w:type="character" w:customStyle="1" w:styleId="s1">
    <w:name w:val="s1"/>
    <w:basedOn w:val="Domylnaczcionkaakapitu"/>
    <w:rsid w:val="00CC1778"/>
  </w:style>
  <w:style w:type="character" w:customStyle="1" w:styleId="Nagwek1Znak">
    <w:name w:val="Nagłówek 1 Znak"/>
    <w:basedOn w:val="Domylnaczcionkaakapitu"/>
    <w:link w:val="Nagwek1"/>
    <w:uiPriority w:val="9"/>
    <w:rsid w:val="00CD5DC7"/>
    <w:rPr>
      <w:rFonts w:asciiTheme="majorHAnsi" w:eastAsiaTheme="majorEastAsia" w:hAnsiTheme="majorHAnsi" w:cstheme="majorBidi"/>
      <w:b/>
      <w:bCs/>
      <w:smallCaps/>
      <w:color w:val="000000" w:themeColor="text1"/>
      <w:sz w:val="36"/>
      <w:szCs w:val="36"/>
    </w:rPr>
  </w:style>
  <w:style w:type="character" w:customStyle="1" w:styleId="Nagwek3Znak">
    <w:name w:val="Nagłówek 3 Znak"/>
    <w:basedOn w:val="Domylnaczcionkaakapitu"/>
    <w:link w:val="Nagwek3"/>
    <w:uiPriority w:val="9"/>
    <w:semiHidden/>
    <w:rsid w:val="00CD5DC7"/>
    <w:rPr>
      <w:rFonts w:asciiTheme="majorHAnsi" w:eastAsiaTheme="majorEastAsia" w:hAnsiTheme="majorHAnsi" w:cstheme="majorBidi"/>
      <w:b/>
      <w:bCs/>
      <w:color w:val="000000" w:themeColor="text1"/>
    </w:rPr>
  </w:style>
  <w:style w:type="character" w:styleId="UyteHipercze">
    <w:name w:val="FollowedHyperlink"/>
    <w:basedOn w:val="Domylnaczcionkaakapitu"/>
    <w:uiPriority w:val="99"/>
    <w:semiHidden/>
    <w:unhideWhenUsed/>
    <w:rsid w:val="000B2817"/>
    <w:rPr>
      <w:color w:val="954F72" w:themeColor="followedHyperlink"/>
      <w:u w:val="single"/>
    </w:rPr>
  </w:style>
  <w:style w:type="character" w:customStyle="1" w:styleId="y2iqfc">
    <w:name w:val="y2iqfc"/>
    <w:basedOn w:val="Domylnaczcionkaakapitu"/>
    <w:rsid w:val="00CD38FE"/>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BA738D"/>
  </w:style>
  <w:style w:type="character" w:customStyle="1" w:styleId="Nagwek5Znak">
    <w:name w:val="Nagłówek 5 Znak"/>
    <w:basedOn w:val="Domylnaczcionkaakapitu"/>
    <w:link w:val="Nagwek5"/>
    <w:uiPriority w:val="9"/>
    <w:semiHidden/>
    <w:rsid w:val="00CD5DC7"/>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CD5DC7"/>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CD5DC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D5DC7"/>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D5DC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CD5DC7"/>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CD5DC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CD5DC7"/>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CD5DC7"/>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CD5DC7"/>
    <w:rPr>
      <w:color w:val="5A5A5A" w:themeColor="text1" w:themeTint="A5"/>
      <w:spacing w:val="10"/>
    </w:rPr>
  </w:style>
  <w:style w:type="paragraph" w:styleId="Cytat">
    <w:name w:val="Quote"/>
    <w:basedOn w:val="Normalny"/>
    <w:next w:val="Normalny"/>
    <w:link w:val="CytatZnak"/>
    <w:uiPriority w:val="29"/>
    <w:qFormat/>
    <w:rsid w:val="00CD5DC7"/>
    <w:pPr>
      <w:spacing w:before="160"/>
      <w:ind w:left="720" w:right="720"/>
    </w:pPr>
    <w:rPr>
      <w:i/>
      <w:iCs/>
      <w:color w:val="000000" w:themeColor="text1"/>
    </w:rPr>
  </w:style>
  <w:style w:type="character" w:customStyle="1" w:styleId="CytatZnak">
    <w:name w:val="Cytat Znak"/>
    <w:basedOn w:val="Domylnaczcionkaakapitu"/>
    <w:link w:val="Cytat"/>
    <w:uiPriority w:val="29"/>
    <w:rsid w:val="00CD5DC7"/>
    <w:rPr>
      <w:i/>
      <w:iCs/>
      <w:color w:val="000000" w:themeColor="text1"/>
    </w:rPr>
  </w:style>
  <w:style w:type="paragraph" w:styleId="Cytatintensywny">
    <w:name w:val="Intense Quote"/>
    <w:basedOn w:val="Normalny"/>
    <w:next w:val="Normalny"/>
    <w:link w:val="CytatintensywnyZnak"/>
    <w:uiPriority w:val="30"/>
    <w:qFormat/>
    <w:rsid w:val="00CD5DC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CD5DC7"/>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CD5DC7"/>
    <w:rPr>
      <w:i/>
      <w:iCs/>
      <w:color w:val="404040" w:themeColor="text1" w:themeTint="BF"/>
    </w:rPr>
  </w:style>
  <w:style w:type="character" w:styleId="Wyrnienieintensywne">
    <w:name w:val="Intense Emphasis"/>
    <w:basedOn w:val="Domylnaczcionkaakapitu"/>
    <w:uiPriority w:val="21"/>
    <w:qFormat/>
    <w:rsid w:val="00CD5DC7"/>
    <w:rPr>
      <w:b/>
      <w:bCs/>
      <w:i/>
      <w:iCs/>
      <w:caps/>
    </w:rPr>
  </w:style>
  <w:style w:type="character" w:styleId="Odwoaniedelikatne">
    <w:name w:val="Subtle Reference"/>
    <w:basedOn w:val="Domylnaczcionkaakapitu"/>
    <w:uiPriority w:val="31"/>
    <w:qFormat/>
    <w:rsid w:val="00CD5DC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CD5DC7"/>
    <w:rPr>
      <w:b/>
      <w:bCs/>
      <w:smallCaps/>
      <w:u w:val="single"/>
    </w:rPr>
  </w:style>
  <w:style w:type="character" w:styleId="Tytuksiki">
    <w:name w:val="Book Title"/>
    <w:basedOn w:val="Domylnaczcionkaakapitu"/>
    <w:uiPriority w:val="33"/>
    <w:qFormat/>
    <w:rsid w:val="00CD5DC7"/>
    <w:rPr>
      <w:b w:val="0"/>
      <w:bCs w:val="0"/>
      <w:smallCaps/>
      <w:spacing w:val="5"/>
    </w:rPr>
  </w:style>
  <w:style w:type="paragraph" w:styleId="Nagwekspisutreci">
    <w:name w:val="TOC Heading"/>
    <w:basedOn w:val="Nagwek1"/>
    <w:next w:val="Normalny"/>
    <w:uiPriority w:val="39"/>
    <w:semiHidden/>
    <w:unhideWhenUsed/>
    <w:qFormat/>
    <w:rsid w:val="00CD5DC7"/>
    <w:pPr>
      <w:outlineLvl w:val="9"/>
    </w:pPr>
  </w:style>
  <w:style w:type="paragraph" w:styleId="Tekstprzypisukocowego">
    <w:name w:val="endnote text"/>
    <w:basedOn w:val="Normalny"/>
    <w:link w:val="TekstprzypisukocowegoZnak"/>
    <w:uiPriority w:val="99"/>
    <w:semiHidden/>
    <w:unhideWhenUsed/>
    <w:rsid w:val="00B536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36F6"/>
    <w:rPr>
      <w:sz w:val="20"/>
      <w:szCs w:val="20"/>
    </w:rPr>
  </w:style>
  <w:style w:type="character" w:styleId="Odwoanieprzypisukocowego">
    <w:name w:val="endnote reference"/>
    <w:basedOn w:val="Domylnaczcionkaakapitu"/>
    <w:uiPriority w:val="99"/>
    <w:semiHidden/>
    <w:unhideWhenUsed/>
    <w:rsid w:val="00B536F6"/>
    <w:rPr>
      <w:vertAlign w:val="superscript"/>
    </w:rPr>
  </w:style>
  <w:style w:type="table" w:customStyle="1" w:styleId="Tabela-Siatka1">
    <w:name w:val="Tabela - Siatka1"/>
    <w:basedOn w:val="Standardowy"/>
    <w:next w:val="Tabela-Siatka"/>
    <w:uiPriority w:val="39"/>
    <w:rsid w:val="007F2F9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C1D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5">
    <w:name w:val="Normal (Web) Char5"/>
    <w:aliases w:val="Normal (Web) Char Char4"/>
    <w:basedOn w:val="Domylnaczcionkaakapitu"/>
    <w:link w:val="wordsection1"/>
    <w:locked/>
    <w:rsid w:val="004B1F92"/>
    <w:rPr>
      <w:rFonts w:ascii="Calibri" w:hAnsi="Calibri" w:cs="Calibri"/>
      <w:lang w:eastAsia="pl-PL"/>
    </w:rPr>
  </w:style>
  <w:style w:type="table" w:styleId="Tabelasiatki1jasna">
    <w:name w:val="Grid Table 1 Light"/>
    <w:basedOn w:val="Standardowy"/>
    <w:uiPriority w:val="46"/>
    <w:rsid w:val="00616F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616F3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Zwykatabela3">
    <w:name w:val="Plain Table 3"/>
    <w:basedOn w:val="Standardowy"/>
    <w:uiPriority w:val="43"/>
    <w:rsid w:val="00616F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2">
    <w:name w:val="Plain Table 2"/>
    <w:basedOn w:val="Standardowy"/>
    <w:uiPriority w:val="42"/>
    <w:rsid w:val="00616F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0C29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29A5"/>
  </w:style>
  <w:style w:type="paragraph" w:styleId="Stopka">
    <w:name w:val="footer"/>
    <w:basedOn w:val="Normalny"/>
    <w:link w:val="StopkaZnak"/>
    <w:uiPriority w:val="99"/>
    <w:unhideWhenUsed/>
    <w:rsid w:val="000C29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29A5"/>
  </w:style>
  <w:style w:type="character" w:customStyle="1" w:styleId="series-meta-value">
    <w:name w:val="series-meta-value"/>
    <w:basedOn w:val="Domylnaczcionkaakapitu"/>
    <w:rsid w:val="002C4ADA"/>
  </w:style>
  <w:style w:type="character" w:customStyle="1" w:styleId="series-meta-observation-value">
    <w:name w:val="series-meta-observation-value"/>
    <w:basedOn w:val="Domylnaczcionkaakapitu"/>
    <w:rsid w:val="002C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231">
      <w:bodyDiv w:val="1"/>
      <w:marLeft w:val="0"/>
      <w:marRight w:val="0"/>
      <w:marTop w:val="0"/>
      <w:marBottom w:val="0"/>
      <w:divBdr>
        <w:top w:val="none" w:sz="0" w:space="0" w:color="auto"/>
        <w:left w:val="none" w:sz="0" w:space="0" w:color="auto"/>
        <w:bottom w:val="none" w:sz="0" w:space="0" w:color="auto"/>
        <w:right w:val="none" w:sz="0" w:space="0" w:color="auto"/>
      </w:divBdr>
    </w:div>
    <w:div w:id="27872573">
      <w:bodyDiv w:val="1"/>
      <w:marLeft w:val="0"/>
      <w:marRight w:val="0"/>
      <w:marTop w:val="0"/>
      <w:marBottom w:val="0"/>
      <w:divBdr>
        <w:top w:val="none" w:sz="0" w:space="0" w:color="auto"/>
        <w:left w:val="none" w:sz="0" w:space="0" w:color="auto"/>
        <w:bottom w:val="none" w:sz="0" w:space="0" w:color="auto"/>
        <w:right w:val="none" w:sz="0" w:space="0" w:color="auto"/>
      </w:divBdr>
    </w:div>
    <w:div w:id="37055473">
      <w:bodyDiv w:val="1"/>
      <w:marLeft w:val="0"/>
      <w:marRight w:val="0"/>
      <w:marTop w:val="0"/>
      <w:marBottom w:val="0"/>
      <w:divBdr>
        <w:top w:val="none" w:sz="0" w:space="0" w:color="auto"/>
        <w:left w:val="none" w:sz="0" w:space="0" w:color="auto"/>
        <w:bottom w:val="none" w:sz="0" w:space="0" w:color="auto"/>
        <w:right w:val="none" w:sz="0" w:space="0" w:color="auto"/>
      </w:divBdr>
    </w:div>
    <w:div w:id="52430232">
      <w:bodyDiv w:val="1"/>
      <w:marLeft w:val="0"/>
      <w:marRight w:val="0"/>
      <w:marTop w:val="0"/>
      <w:marBottom w:val="0"/>
      <w:divBdr>
        <w:top w:val="none" w:sz="0" w:space="0" w:color="auto"/>
        <w:left w:val="none" w:sz="0" w:space="0" w:color="auto"/>
        <w:bottom w:val="none" w:sz="0" w:space="0" w:color="auto"/>
        <w:right w:val="none" w:sz="0" w:space="0" w:color="auto"/>
      </w:divBdr>
    </w:div>
    <w:div w:id="64575693">
      <w:bodyDiv w:val="1"/>
      <w:marLeft w:val="0"/>
      <w:marRight w:val="0"/>
      <w:marTop w:val="0"/>
      <w:marBottom w:val="0"/>
      <w:divBdr>
        <w:top w:val="none" w:sz="0" w:space="0" w:color="auto"/>
        <w:left w:val="none" w:sz="0" w:space="0" w:color="auto"/>
        <w:bottom w:val="none" w:sz="0" w:space="0" w:color="auto"/>
        <w:right w:val="none" w:sz="0" w:space="0" w:color="auto"/>
      </w:divBdr>
    </w:div>
    <w:div w:id="139032488">
      <w:bodyDiv w:val="1"/>
      <w:marLeft w:val="0"/>
      <w:marRight w:val="0"/>
      <w:marTop w:val="0"/>
      <w:marBottom w:val="0"/>
      <w:divBdr>
        <w:top w:val="none" w:sz="0" w:space="0" w:color="auto"/>
        <w:left w:val="none" w:sz="0" w:space="0" w:color="auto"/>
        <w:bottom w:val="none" w:sz="0" w:space="0" w:color="auto"/>
        <w:right w:val="none" w:sz="0" w:space="0" w:color="auto"/>
      </w:divBdr>
    </w:div>
    <w:div w:id="195582949">
      <w:bodyDiv w:val="1"/>
      <w:marLeft w:val="0"/>
      <w:marRight w:val="0"/>
      <w:marTop w:val="0"/>
      <w:marBottom w:val="0"/>
      <w:divBdr>
        <w:top w:val="none" w:sz="0" w:space="0" w:color="auto"/>
        <w:left w:val="none" w:sz="0" w:space="0" w:color="auto"/>
        <w:bottom w:val="none" w:sz="0" w:space="0" w:color="auto"/>
        <w:right w:val="none" w:sz="0" w:space="0" w:color="auto"/>
      </w:divBdr>
    </w:div>
    <w:div w:id="208340302">
      <w:bodyDiv w:val="1"/>
      <w:marLeft w:val="0"/>
      <w:marRight w:val="0"/>
      <w:marTop w:val="0"/>
      <w:marBottom w:val="0"/>
      <w:divBdr>
        <w:top w:val="none" w:sz="0" w:space="0" w:color="auto"/>
        <w:left w:val="none" w:sz="0" w:space="0" w:color="auto"/>
        <w:bottom w:val="none" w:sz="0" w:space="0" w:color="auto"/>
        <w:right w:val="none" w:sz="0" w:space="0" w:color="auto"/>
      </w:divBdr>
    </w:div>
    <w:div w:id="266735020">
      <w:bodyDiv w:val="1"/>
      <w:marLeft w:val="0"/>
      <w:marRight w:val="0"/>
      <w:marTop w:val="0"/>
      <w:marBottom w:val="0"/>
      <w:divBdr>
        <w:top w:val="none" w:sz="0" w:space="0" w:color="auto"/>
        <w:left w:val="none" w:sz="0" w:space="0" w:color="auto"/>
        <w:bottom w:val="none" w:sz="0" w:space="0" w:color="auto"/>
        <w:right w:val="none" w:sz="0" w:space="0" w:color="auto"/>
      </w:divBdr>
    </w:div>
    <w:div w:id="279990817">
      <w:bodyDiv w:val="1"/>
      <w:marLeft w:val="0"/>
      <w:marRight w:val="0"/>
      <w:marTop w:val="0"/>
      <w:marBottom w:val="0"/>
      <w:divBdr>
        <w:top w:val="none" w:sz="0" w:space="0" w:color="auto"/>
        <w:left w:val="none" w:sz="0" w:space="0" w:color="auto"/>
        <w:bottom w:val="none" w:sz="0" w:space="0" w:color="auto"/>
        <w:right w:val="none" w:sz="0" w:space="0" w:color="auto"/>
      </w:divBdr>
    </w:div>
    <w:div w:id="349913885">
      <w:bodyDiv w:val="1"/>
      <w:marLeft w:val="0"/>
      <w:marRight w:val="0"/>
      <w:marTop w:val="0"/>
      <w:marBottom w:val="0"/>
      <w:divBdr>
        <w:top w:val="none" w:sz="0" w:space="0" w:color="auto"/>
        <w:left w:val="none" w:sz="0" w:space="0" w:color="auto"/>
        <w:bottom w:val="none" w:sz="0" w:space="0" w:color="auto"/>
        <w:right w:val="none" w:sz="0" w:space="0" w:color="auto"/>
      </w:divBdr>
    </w:div>
    <w:div w:id="366106247">
      <w:bodyDiv w:val="1"/>
      <w:marLeft w:val="0"/>
      <w:marRight w:val="0"/>
      <w:marTop w:val="0"/>
      <w:marBottom w:val="0"/>
      <w:divBdr>
        <w:top w:val="none" w:sz="0" w:space="0" w:color="auto"/>
        <w:left w:val="none" w:sz="0" w:space="0" w:color="auto"/>
        <w:bottom w:val="none" w:sz="0" w:space="0" w:color="auto"/>
        <w:right w:val="none" w:sz="0" w:space="0" w:color="auto"/>
      </w:divBdr>
      <w:divsChild>
        <w:div w:id="840848534">
          <w:marLeft w:val="0"/>
          <w:marRight w:val="0"/>
          <w:marTop w:val="0"/>
          <w:marBottom w:val="0"/>
          <w:divBdr>
            <w:top w:val="none" w:sz="0" w:space="0" w:color="auto"/>
            <w:left w:val="none" w:sz="0" w:space="0" w:color="auto"/>
            <w:bottom w:val="none" w:sz="0" w:space="0" w:color="auto"/>
            <w:right w:val="none" w:sz="0" w:space="0" w:color="auto"/>
          </w:divBdr>
        </w:div>
      </w:divsChild>
    </w:div>
    <w:div w:id="445933057">
      <w:bodyDiv w:val="1"/>
      <w:marLeft w:val="0"/>
      <w:marRight w:val="0"/>
      <w:marTop w:val="0"/>
      <w:marBottom w:val="0"/>
      <w:divBdr>
        <w:top w:val="none" w:sz="0" w:space="0" w:color="auto"/>
        <w:left w:val="none" w:sz="0" w:space="0" w:color="auto"/>
        <w:bottom w:val="none" w:sz="0" w:space="0" w:color="auto"/>
        <w:right w:val="none" w:sz="0" w:space="0" w:color="auto"/>
      </w:divBdr>
    </w:div>
    <w:div w:id="449858849">
      <w:bodyDiv w:val="1"/>
      <w:marLeft w:val="0"/>
      <w:marRight w:val="0"/>
      <w:marTop w:val="0"/>
      <w:marBottom w:val="0"/>
      <w:divBdr>
        <w:top w:val="none" w:sz="0" w:space="0" w:color="auto"/>
        <w:left w:val="none" w:sz="0" w:space="0" w:color="auto"/>
        <w:bottom w:val="none" w:sz="0" w:space="0" w:color="auto"/>
        <w:right w:val="none" w:sz="0" w:space="0" w:color="auto"/>
      </w:divBdr>
    </w:div>
    <w:div w:id="460610109">
      <w:bodyDiv w:val="1"/>
      <w:marLeft w:val="0"/>
      <w:marRight w:val="0"/>
      <w:marTop w:val="0"/>
      <w:marBottom w:val="0"/>
      <w:divBdr>
        <w:top w:val="none" w:sz="0" w:space="0" w:color="auto"/>
        <w:left w:val="none" w:sz="0" w:space="0" w:color="auto"/>
        <w:bottom w:val="none" w:sz="0" w:space="0" w:color="auto"/>
        <w:right w:val="none" w:sz="0" w:space="0" w:color="auto"/>
      </w:divBdr>
    </w:div>
    <w:div w:id="496191100">
      <w:bodyDiv w:val="1"/>
      <w:marLeft w:val="0"/>
      <w:marRight w:val="0"/>
      <w:marTop w:val="0"/>
      <w:marBottom w:val="0"/>
      <w:divBdr>
        <w:top w:val="none" w:sz="0" w:space="0" w:color="auto"/>
        <w:left w:val="none" w:sz="0" w:space="0" w:color="auto"/>
        <w:bottom w:val="none" w:sz="0" w:space="0" w:color="auto"/>
        <w:right w:val="none" w:sz="0" w:space="0" w:color="auto"/>
      </w:divBdr>
    </w:div>
    <w:div w:id="534856612">
      <w:bodyDiv w:val="1"/>
      <w:marLeft w:val="0"/>
      <w:marRight w:val="0"/>
      <w:marTop w:val="0"/>
      <w:marBottom w:val="0"/>
      <w:divBdr>
        <w:top w:val="none" w:sz="0" w:space="0" w:color="auto"/>
        <w:left w:val="none" w:sz="0" w:space="0" w:color="auto"/>
        <w:bottom w:val="none" w:sz="0" w:space="0" w:color="auto"/>
        <w:right w:val="none" w:sz="0" w:space="0" w:color="auto"/>
      </w:divBdr>
    </w:div>
    <w:div w:id="558173238">
      <w:bodyDiv w:val="1"/>
      <w:marLeft w:val="0"/>
      <w:marRight w:val="0"/>
      <w:marTop w:val="0"/>
      <w:marBottom w:val="0"/>
      <w:divBdr>
        <w:top w:val="none" w:sz="0" w:space="0" w:color="auto"/>
        <w:left w:val="none" w:sz="0" w:space="0" w:color="auto"/>
        <w:bottom w:val="none" w:sz="0" w:space="0" w:color="auto"/>
        <w:right w:val="none" w:sz="0" w:space="0" w:color="auto"/>
      </w:divBdr>
    </w:div>
    <w:div w:id="568224731">
      <w:bodyDiv w:val="1"/>
      <w:marLeft w:val="0"/>
      <w:marRight w:val="0"/>
      <w:marTop w:val="0"/>
      <w:marBottom w:val="0"/>
      <w:divBdr>
        <w:top w:val="none" w:sz="0" w:space="0" w:color="auto"/>
        <w:left w:val="none" w:sz="0" w:space="0" w:color="auto"/>
        <w:bottom w:val="none" w:sz="0" w:space="0" w:color="auto"/>
        <w:right w:val="none" w:sz="0" w:space="0" w:color="auto"/>
      </w:divBdr>
    </w:div>
    <w:div w:id="587884971">
      <w:bodyDiv w:val="1"/>
      <w:marLeft w:val="0"/>
      <w:marRight w:val="0"/>
      <w:marTop w:val="0"/>
      <w:marBottom w:val="0"/>
      <w:divBdr>
        <w:top w:val="none" w:sz="0" w:space="0" w:color="auto"/>
        <w:left w:val="none" w:sz="0" w:space="0" w:color="auto"/>
        <w:bottom w:val="none" w:sz="0" w:space="0" w:color="auto"/>
        <w:right w:val="none" w:sz="0" w:space="0" w:color="auto"/>
      </w:divBdr>
    </w:div>
    <w:div w:id="605187573">
      <w:bodyDiv w:val="1"/>
      <w:marLeft w:val="0"/>
      <w:marRight w:val="0"/>
      <w:marTop w:val="0"/>
      <w:marBottom w:val="0"/>
      <w:divBdr>
        <w:top w:val="none" w:sz="0" w:space="0" w:color="auto"/>
        <w:left w:val="none" w:sz="0" w:space="0" w:color="auto"/>
        <w:bottom w:val="none" w:sz="0" w:space="0" w:color="auto"/>
        <w:right w:val="none" w:sz="0" w:space="0" w:color="auto"/>
      </w:divBdr>
      <w:divsChild>
        <w:div w:id="1383096014">
          <w:marLeft w:val="300"/>
          <w:marRight w:val="0"/>
          <w:marTop w:val="75"/>
          <w:marBottom w:val="150"/>
          <w:divBdr>
            <w:top w:val="none" w:sz="0" w:space="0" w:color="auto"/>
            <w:left w:val="none" w:sz="0" w:space="0" w:color="auto"/>
            <w:bottom w:val="none" w:sz="0" w:space="0" w:color="auto"/>
            <w:right w:val="none" w:sz="0" w:space="0" w:color="auto"/>
          </w:divBdr>
          <w:divsChild>
            <w:div w:id="1232734117">
              <w:marLeft w:val="0"/>
              <w:marRight w:val="0"/>
              <w:marTop w:val="0"/>
              <w:marBottom w:val="0"/>
              <w:divBdr>
                <w:top w:val="none" w:sz="0" w:space="0" w:color="auto"/>
                <w:left w:val="none" w:sz="0" w:space="0" w:color="auto"/>
                <w:bottom w:val="none" w:sz="0" w:space="0" w:color="auto"/>
                <w:right w:val="none" w:sz="0" w:space="0" w:color="auto"/>
              </w:divBdr>
            </w:div>
            <w:div w:id="1591543116">
              <w:marLeft w:val="0"/>
              <w:marRight w:val="0"/>
              <w:marTop w:val="0"/>
              <w:marBottom w:val="0"/>
              <w:divBdr>
                <w:top w:val="none" w:sz="0" w:space="0" w:color="auto"/>
                <w:left w:val="none" w:sz="0" w:space="0" w:color="auto"/>
                <w:bottom w:val="none" w:sz="0" w:space="0" w:color="auto"/>
                <w:right w:val="none" w:sz="0" w:space="0" w:color="auto"/>
              </w:divBdr>
            </w:div>
            <w:div w:id="16181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6152">
      <w:bodyDiv w:val="1"/>
      <w:marLeft w:val="0"/>
      <w:marRight w:val="0"/>
      <w:marTop w:val="0"/>
      <w:marBottom w:val="0"/>
      <w:divBdr>
        <w:top w:val="none" w:sz="0" w:space="0" w:color="auto"/>
        <w:left w:val="none" w:sz="0" w:space="0" w:color="auto"/>
        <w:bottom w:val="none" w:sz="0" w:space="0" w:color="auto"/>
        <w:right w:val="none" w:sz="0" w:space="0" w:color="auto"/>
      </w:divBdr>
    </w:div>
    <w:div w:id="695665541">
      <w:bodyDiv w:val="1"/>
      <w:marLeft w:val="0"/>
      <w:marRight w:val="0"/>
      <w:marTop w:val="0"/>
      <w:marBottom w:val="0"/>
      <w:divBdr>
        <w:top w:val="none" w:sz="0" w:space="0" w:color="auto"/>
        <w:left w:val="none" w:sz="0" w:space="0" w:color="auto"/>
        <w:bottom w:val="none" w:sz="0" w:space="0" w:color="auto"/>
        <w:right w:val="none" w:sz="0" w:space="0" w:color="auto"/>
      </w:divBdr>
    </w:div>
    <w:div w:id="772551769">
      <w:bodyDiv w:val="1"/>
      <w:marLeft w:val="0"/>
      <w:marRight w:val="0"/>
      <w:marTop w:val="0"/>
      <w:marBottom w:val="0"/>
      <w:divBdr>
        <w:top w:val="none" w:sz="0" w:space="0" w:color="auto"/>
        <w:left w:val="none" w:sz="0" w:space="0" w:color="auto"/>
        <w:bottom w:val="none" w:sz="0" w:space="0" w:color="auto"/>
        <w:right w:val="none" w:sz="0" w:space="0" w:color="auto"/>
      </w:divBdr>
    </w:div>
    <w:div w:id="789207009">
      <w:bodyDiv w:val="1"/>
      <w:marLeft w:val="0"/>
      <w:marRight w:val="0"/>
      <w:marTop w:val="0"/>
      <w:marBottom w:val="0"/>
      <w:divBdr>
        <w:top w:val="none" w:sz="0" w:space="0" w:color="auto"/>
        <w:left w:val="none" w:sz="0" w:space="0" w:color="auto"/>
        <w:bottom w:val="none" w:sz="0" w:space="0" w:color="auto"/>
        <w:right w:val="none" w:sz="0" w:space="0" w:color="auto"/>
      </w:divBdr>
      <w:divsChild>
        <w:div w:id="238639552">
          <w:marLeft w:val="0"/>
          <w:marRight w:val="0"/>
          <w:marTop w:val="0"/>
          <w:marBottom w:val="0"/>
          <w:divBdr>
            <w:top w:val="none" w:sz="0" w:space="0" w:color="auto"/>
            <w:left w:val="none" w:sz="0" w:space="0" w:color="auto"/>
            <w:bottom w:val="none" w:sz="0" w:space="0" w:color="auto"/>
            <w:right w:val="none" w:sz="0" w:space="0" w:color="auto"/>
          </w:divBdr>
        </w:div>
        <w:div w:id="549004268">
          <w:marLeft w:val="0"/>
          <w:marRight w:val="0"/>
          <w:marTop w:val="0"/>
          <w:marBottom w:val="0"/>
          <w:divBdr>
            <w:top w:val="none" w:sz="0" w:space="0" w:color="auto"/>
            <w:left w:val="none" w:sz="0" w:space="0" w:color="auto"/>
            <w:bottom w:val="none" w:sz="0" w:space="0" w:color="auto"/>
            <w:right w:val="none" w:sz="0" w:space="0" w:color="auto"/>
          </w:divBdr>
        </w:div>
        <w:div w:id="749540236">
          <w:marLeft w:val="0"/>
          <w:marRight w:val="0"/>
          <w:marTop w:val="0"/>
          <w:marBottom w:val="0"/>
          <w:divBdr>
            <w:top w:val="none" w:sz="0" w:space="0" w:color="auto"/>
            <w:left w:val="none" w:sz="0" w:space="0" w:color="auto"/>
            <w:bottom w:val="none" w:sz="0" w:space="0" w:color="auto"/>
            <w:right w:val="none" w:sz="0" w:space="0" w:color="auto"/>
          </w:divBdr>
        </w:div>
      </w:divsChild>
    </w:div>
    <w:div w:id="791365893">
      <w:bodyDiv w:val="1"/>
      <w:marLeft w:val="0"/>
      <w:marRight w:val="0"/>
      <w:marTop w:val="0"/>
      <w:marBottom w:val="0"/>
      <w:divBdr>
        <w:top w:val="none" w:sz="0" w:space="0" w:color="auto"/>
        <w:left w:val="none" w:sz="0" w:space="0" w:color="auto"/>
        <w:bottom w:val="none" w:sz="0" w:space="0" w:color="auto"/>
        <w:right w:val="none" w:sz="0" w:space="0" w:color="auto"/>
      </w:divBdr>
    </w:div>
    <w:div w:id="798455408">
      <w:bodyDiv w:val="1"/>
      <w:marLeft w:val="0"/>
      <w:marRight w:val="0"/>
      <w:marTop w:val="0"/>
      <w:marBottom w:val="0"/>
      <w:divBdr>
        <w:top w:val="none" w:sz="0" w:space="0" w:color="auto"/>
        <w:left w:val="none" w:sz="0" w:space="0" w:color="auto"/>
        <w:bottom w:val="none" w:sz="0" w:space="0" w:color="auto"/>
        <w:right w:val="none" w:sz="0" w:space="0" w:color="auto"/>
      </w:divBdr>
    </w:div>
    <w:div w:id="808984524">
      <w:bodyDiv w:val="1"/>
      <w:marLeft w:val="0"/>
      <w:marRight w:val="0"/>
      <w:marTop w:val="0"/>
      <w:marBottom w:val="0"/>
      <w:divBdr>
        <w:top w:val="none" w:sz="0" w:space="0" w:color="auto"/>
        <w:left w:val="none" w:sz="0" w:space="0" w:color="auto"/>
        <w:bottom w:val="none" w:sz="0" w:space="0" w:color="auto"/>
        <w:right w:val="none" w:sz="0" w:space="0" w:color="auto"/>
      </w:divBdr>
    </w:div>
    <w:div w:id="832187582">
      <w:bodyDiv w:val="1"/>
      <w:marLeft w:val="0"/>
      <w:marRight w:val="0"/>
      <w:marTop w:val="0"/>
      <w:marBottom w:val="0"/>
      <w:divBdr>
        <w:top w:val="none" w:sz="0" w:space="0" w:color="auto"/>
        <w:left w:val="none" w:sz="0" w:space="0" w:color="auto"/>
        <w:bottom w:val="none" w:sz="0" w:space="0" w:color="auto"/>
        <w:right w:val="none" w:sz="0" w:space="0" w:color="auto"/>
      </w:divBdr>
    </w:div>
    <w:div w:id="838890570">
      <w:bodyDiv w:val="1"/>
      <w:marLeft w:val="0"/>
      <w:marRight w:val="0"/>
      <w:marTop w:val="0"/>
      <w:marBottom w:val="0"/>
      <w:divBdr>
        <w:top w:val="none" w:sz="0" w:space="0" w:color="auto"/>
        <w:left w:val="none" w:sz="0" w:space="0" w:color="auto"/>
        <w:bottom w:val="none" w:sz="0" w:space="0" w:color="auto"/>
        <w:right w:val="none" w:sz="0" w:space="0" w:color="auto"/>
      </w:divBdr>
    </w:div>
    <w:div w:id="842207980">
      <w:bodyDiv w:val="1"/>
      <w:marLeft w:val="0"/>
      <w:marRight w:val="0"/>
      <w:marTop w:val="0"/>
      <w:marBottom w:val="0"/>
      <w:divBdr>
        <w:top w:val="none" w:sz="0" w:space="0" w:color="auto"/>
        <w:left w:val="none" w:sz="0" w:space="0" w:color="auto"/>
        <w:bottom w:val="none" w:sz="0" w:space="0" w:color="auto"/>
        <w:right w:val="none" w:sz="0" w:space="0" w:color="auto"/>
      </w:divBdr>
    </w:div>
    <w:div w:id="855919387">
      <w:bodyDiv w:val="1"/>
      <w:marLeft w:val="0"/>
      <w:marRight w:val="0"/>
      <w:marTop w:val="0"/>
      <w:marBottom w:val="0"/>
      <w:divBdr>
        <w:top w:val="none" w:sz="0" w:space="0" w:color="auto"/>
        <w:left w:val="none" w:sz="0" w:space="0" w:color="auto"/>
        <w:bottom w:val="none" w:sz="0" w:space="0" w:color="auto"/>
        <w:right w:val="none" w:sz="0" w:space="0" w:color="auto"/>
      </w:divBdr>
    </w:div>
    <w:div w:id="860439562">
      <w:bodyDiv w:val="1"/>
      <w:marLeft w:val="0"/>
      <w:marRight w:val="0"/>
      <w:marTop w:val="0"/>
      <w:marBottom w:val="0"/>
      <w:divBdr>
        <w:top w:val="none" w:sz="0" w:space="0" w:color="auto"/>
        <w:left w:val="none" w:sz="0" w:space="0" w:color="auto"/>
        <w:bottom w:val="none" w:sz="0" w:space="0" w:color="auto"/>
        <w:right w:val="none" w:sz="0" w:space="0" w:color="auto"/>
      </w:divBdr>
    </w:div>
    <w:div w:id="880827018">
      <w:bodyDiv w:val="1"/>
      <w:marLeft w:val="0"/>
      <w:marRight w:val="0"/>
      <w:marTop w:val="0"/>
      <w:marBottom w:val="0"/>
      <w:divBdr>
        <w:top w:val="none" w:sz="0" w:space="0" w:color="auto"/>
        <w:left w:val="none" w:sz="0" w:space="0" w:color="auto"/>
        <w:bottom w:val="none" w:sz="0" w:space="0" w:color="auto"/>
        <w:right w:val="none" w:sz="0" w:space="0" w:color="auto"/>
      </w:divBdr>
    </w:div>
    <w:div w:id="885794561">
      <w:bodyDiv w:val="1"/>
      <w:marLeft w:val="0"/>
      <w:marRight w:val="0"/>
      <w:marTop w:val="0"/>
      <w:marBottom w:val="0"/>
      <w:divBdr>
        <w:top w:val="none" w:sz="0" w:space="0" w:color="auto"/>
        <w:left w:val="none" w:sz="0" w:space="0" w:color="auto"/>
        <w:bottom w:val="none" w:sz="0" w:space="0" w:color="auto"/>
        <w:right w:val="none" w:sz="0" w:space="0" w:color="auto"/>
      </w:divBdr>
    </w:div>
    <w:div w:id="887952863">
      <w:bodyDiv w:val="1"/>
      <w:marLeft w:val="0"/>
      <w:marRight w:val="0"/>
      <w:marTop w:val="0"/>
      <w:marBottom w:val="0"/>
      <w:divBdr>
        <w:top w:val="none" w:sz="0" w:space="0" w:color="auto"/>
        <w:left w:val="none" w:sz="0" w:space="0" w:color="auto"/>
        <w:bottom w:val="none" w:sz="0" w:space="0" w:color="auto"/>
        <w:right w:val="none" w:sz="0" w:space="0" w:color="auto"/>
      </w:divBdr>
    </w:div>
    <w:div w:id="901601427">
      <w:bodyDiv w:val="1"/>
      <w:marLeft w:val="0"/>
      <w:marRight w:val="0"/>
      <w:marTop w:val="0"/>
      <w:marBottom w:val="0"/>
      <w:divBdr>
        <w:top w:val="none" w:sz="0" w:space="0" w:color="auto"/>
        <w:left w:val="none" w:sz="0" w:space="0" w:color="auto"/>
        <w:bottom w:val="none" w:sz="0" w:space="0" w:color="auto"/>
        <w:right w:val="none" w:sz="0" w:space="0" w:color="auto"/>
      </w:divBdr>
    </w:div>
    <w:div w:id="945502779">
      <w:bodyDiv w:val="1"/>
      <w:marLeft w:val="0"/>
      <w:marRight w:val="0"/>
      <w:marTop w:val="0"/>
      <w:marBottom w:val="0"/>
      <w:divBdr>
        <w:top w:val="none" w:sz="0" w:space="0" w:color="auto"/>
        <w:left w:val="none" w:sz="0" w:space="0" w:color="auto"/>
        <w:bottom w:val="none" w:sz="0" w:space="0" w:color="auto"/>
        <w:right w:val="none" w:sz="0" w:space="0" w:color="auto"/>
      </w:divBdr>
    </w:div>
    <w:div w:id="949899926">
      <w:bodyDiv w:val="1"/>
      <w:marLeft w:val="0"/>
      <w:marRight w:val="0"/>
      <w:marTop w:val="0"/>
      <w:marBottom w:val="0"/>
      <w:divBdr>
        <w:top w:val="none" w:sz="0" w:space="0" w:color="auto"/>
        <w:left w:val="none" w:sz="0" w:space="0" w:color="auto"/>
        <w:bottom w:val="none" w:sz="0" w:space="0" w:color="auto"/>
        <w:right w:val="none" w:sz="0" w:space="0" w:color="auto"/>
      </w:divBdr>
    </w:div>
    <w:div w:id="998580130">
      <w:bodyDiv w:val="1"/>
      <w:marLeft w:val="0"/>
      <w:marRight w:val="0"/>
      <w:marTop w:val="0"/>
      <w:marBottom w:val="0"/>
      <w:divBdr>
        <w:top w:val="none" w:sz="0" w:space="0" w:color="auto"/>
        <w:left w:val="none" w:sz="0" w:space="0" w:color="auto"/>
        <w:bottom w:val="none" w:sz="0" w:space="0" w:color="auto"/>
        <w:right w:val="none" w:sz="0" w:space="0" w:color="auto"/>
      </w:divBdr>
    </w:div>
    <w:div w:id="1081172007">
      <w:bodyDiv w:val="1"/>
      <w:marLeft w:val="0"/>
      <w:marRight w:val="0"/>
      <w:marTop w:val="0"/>
      <w:marBottom w:val="0"/>
      <w:divBdr>
        <w:top w:val="none" w:sz="0" w:space="0" w:color="auto"/>
        <w:left w:val="none" w:sz="0" w:space="0" w:color="auto"/>
        <w:bottom w:val="none" w:sz="0" w:space="0" w:color="auto"/>
        <w:right w:val="none" w:sz="0" w:space="0" w:color="auto"/>
      </w:divBdr>
    </w:div>
    <w:div w:id="1092820873">
      <w:bodyDiv w:val="1"/>
      <w:marLeft w:val="0"/>
      <w:marRight w:val="0"/>
      <w:marTop w:val="0"/>
      <w:marBottom w:val="0"/>
      <w:divBdr>
        <w:top w:val="none" w:sz="0" w:space="0" w:color="auto"/>
        <w:left w:val="none" w:sz="0" w:space="0" w:color="auto"/>
        <w:bottom w:val="none" w:sz="0" w:space="0" w:color="auto"/>
        <w:right w:val="none" w:sz="0" w:space="0" w:color="auto"/>
      </w:divBdr>
      <w:divsChild>
        <w:div w:id="937380">
          <w:marLeft w:val="75"/>
          <w:marRight w:val="75"/>
          <w:marTop w:val="75"/>
          <w:marBottom w:val="225"/>
          <w:divBdr>
            <w:top w:val="single" w:sz="6" w:space="4" w:color="990033"/>
            <w:left w:val="single" w:sz="6" w:space="4" w:color="990033"/>
            <w:bottom w:val="single" w:sz="6" w:space="4" w:color="990033"/>
            <w:right w:val="single" w:sz="6" w:space="4" w:color="990033"/>
          </w:divBdr>
        </w:div>
        <w:div w:id="537819446">
          <w:marLeft w:val="75"/>
          <w:marRight w:val="75"/>
          <w:marTop w:val="75"/>
          <w:marBottom w:val="225"/>
          <w:divBdr>
            <w:top w:val="single" w:sz="6" w:space="4" w:color="990033"/>
            <w:left w:val="single" w:sz="6" w:space="4" w:color="990033"/>
            <w:bottom w:val="single" w:sz="6" w:space="4" w:color="990033"/>
            <w:right w:val="single" w:sz="6" w:space="4" w:color="990033"/>
          </w:divBdr>
        </w:div>
        <w:div w:id="1814180062">
          <w:marLeft w:val="75"/>
          <w:marRight w:val="75"/>
          <w:marTop w:val="75"/>
          <w:marBottom w:val="225"/>
          <w:divBdr>
            <w:top w:val="single" w:sz="6" w:space="4" w:color="990033"/>
            <w:left w:val="single" w:sz="6" w:space="4" w:color="990033"/>
            <w:bottom w:val="single" w:sz="6" w:space="4" w:color="990033"/>
            <w:right w:val="single" w:sz="6" w:space="4" w:color="990033"/>
          </w:divBdr>
        </w:div>
      </w:divsChild>
    </w:div>
    <w:div w:id="1098331992">
      <w:bodyDiv w:val="1"/>
      <w:marLeft w:val="0"/>
      <w:marRight w:val="0"/>
      <w:marTop w:val="0"/>
      <w:marBottom w:val="0"/>
      <w:divBdr>
        <w:top w:val="none" w:sz="0" w:space="0" w:color="auto"/>
        <w:left w:val="none" w:sz="0" w:space="0" w:color="auto"/>
        <w:bottom w:val="none" w:sz="0" w:space="0" w:color="auto"/>
        <w:right w:val="none" w:sz="0" w:space="0" w:color="auto"/>
      </w:divBdr>
      <w:divsChild>
        <w:div w:id="643585592">
          <w:marLeft w:val="0"/>
          <w:marRight w:val="0"/>
          <w:marTop w:val="0"/>
          <w:marBottom w:val="0"/>
          <w:divBdr>
            <w:top w:val="none" w:sz="0" w:space="0" w:color="auto"/>
            <w:left w:val="none" w:sz="0" w:space="0" w:color="auto"/>
            <w:bottom w:val="none" w:sz="0" w:space="0" w:color="auto"/>
            <w:right w:val="none" w:sz="0" w:space="0" w:color="auto"/>
          </w:divBdr>
          <w:divsChild>
            <w:div w:id="1202862742">
              <w:marLeft w:val="0"/>
              <w:marRight w:val="0"/>
              <w:marTop w:val="0"/>
              <w:marBottom w:val="0"/>
              <w:divBdr>
                <w:top w:val="none" w:sz="0" w:space="0" w:color="auto"/>
                <w:left w:val="none" w:sz="0" w:space="0" w:color="auto"/>
                <w:bottom w:val="none" w:sz="0" w:space="0" w:color="auto"/>
                <w:right w:val="none" w:sz="0" w:space="0" w:color="auto"/>
              </w:divBdr>
              <w:divsChild>
                <w:div w:id="479885172">
                  <w:marLeft w:val="0"/>
                  <w:marRight w:val="0"/>
                  <w:marTop w:val="0"/>
                  <w:marBottom w:val="0"/>
                  <w:divBdr>
                    <w:top w:val="none" w:sz="0" w:space="0" w:color="auto"/>
                    <w:left w:val="none" w:sz="0" w:space="0" w:color="auto"/>
                    <w:bottom w:val="none" w:sz="0" w:space="0" w:color="auto"/>
                    <w:right w:val="none" w:sz="0" w:space="0" w:color="auto"/>
                  </w:divBdr>
                  <w:divsChild>
                    <w:div w:id="388921837">
                      <w:marLeft w:val="0"/>
                      <w:marRight w:val="0"/>
                      <w:marTop w:val="0"/>
                      <w:marBottom w:val="0"/>
                      <w:divBdr>
                        <w:top w:val="none" w:sz="0" w:space="0" w:color="auto"/>
                        <w:left w:val="none" w:sz="0" w:space="0" w:color="auto"/>
                        <w:bottom w:val="none" w:sz="0" w:space="0" w:color="auto"/>
                        <w:right w:val="none" w:sz="0" w:space="0" w:color="auto"/>
                      </w:divBdr>
                      <w:divsChild>
                        <w:div w:id="1040276510">
                          <w:marLeft w:val="0"/>
                          <w:marRight w:val="0"/>
                          <w:marTop w:val="0"/>
                          <w:marBottom w:val="0"/>
                          <w:divBdr>
                            <w:top w:val="none" w:sz="0" w:space="0" w:color="auto"/>
                            <w:left w:val="none" w:sz="0" w:space="0" w:color="auto"/>
                            <w:bottom w:val="none" w:sz="0" w:space="0" w:color="auto"/>
                            <w:right w:val="none" w:sz="0" w:space="0" w:color="auto"/>
                          </w:divBdr>
                          <w:divsChild>
                            <w:div w:id="242223413">
                              <w:marLeft w:val="0"/>
                              <w:marRight w:val="0"/>
                              <w:marTop w:val="0"/>
                              <w:marBottom w:val="0"/>
                              <w:divBdr>
                                <w:top w:val="none" w:sz="0" w:space="0" w:color="auto"/>
                                <w:left w:val="none" w:sz="0" w:space="0" w:color="auto"/>
                                <w:bottom w:val="none" w:sz="0" w:space="0" w:color="auto"/>
                                <w:right w:val="none" w:sz="0" w:space="0" w:color="auto"/>
                              </w:divBdr>
                              <w:divsChild>
                                <w:div w:id="1442872966">
                                  <w:marLeft w:val="0"/>
                                  <w:marRight w:val="0"/>
                                  <w:marTop w:val="0"/>
                                  <w:marBottom w:val="0"/>
                                  <w:divBdr>
                                    <w:top w:val="none" w:sz="0" w:space="0" w:color="auto"/>
                                    <w:left w:val="none" w:sz="0" w:space="0" w:color="auto"/>
                                    <w:bottom w:val="none" w:sz="0" w:space="0" w:color="auto"/>
                                    <w:right w:val="none" w:sz="0" w:space="0" w:color="auto"/>
                                  </w:divBdr>
                                  <w:divsChild>
                                    <w:div w:id="1760713303">
                                      <w:marLeft w:val="0"/>
                                      <w:marRight w:val="0"/>
                                      <w:marTop w:val="0"/>
                                      <w:marBottom w:val="0"/>
                                      <w:divBdr>
                                        <w:top w:val="none" w:sz="0" w:space="0" w:color="auto"/>
                                        <w:left w:val="none" w:sz="0" w:space="0" w:color="auto"/>
                                        <w:bottom w:val="none" w:sz="0" w:space="0" w:color="auto"/>
                                        <w:right w:val="none" w:sz="0" w:space="0" w:color="auto"/>
                                      </w:divBdr>
                                      <w:divsChild>
                                        <w:div w:id="110974474">
                                          <w:marLeft w:val="0"/>
                                          <w:marRight w:val="0"/>
                                          <w:marTop w:val="0"/>
                                          <w:marBottom w:val="0"/>
                                          <w:divBdr>
                                            <w:top w:val="none" w:sz="0" w:space="0" w:color="auto"/>
                                            <w:left w:val="none" w:sz="0" w:space="0" w:color="auto"/>
                                            <w:bottom w:val="none" w:sz="0" w:space="0" w:color="auto"/>
                                            <w:right w:val="none" w:sz="0" w:space="0" w:color="auto"/>
                                          </w:divBdr>
                                          <w:divsChild>
                                            <w:div w:id="210968421">
                                              <w:marLeft w:val="0"/>
                                              <w:marRight w:val="0"/>
                                              <w:marTop w:val="0"/>
                                              <w:marBottom w:val="0"/>
                                              <w:divBdr>
                                                <w:top w:val="none" w:sz="0" w:space="0" w:color="auto"/>
                                                <w:left w:val="none" w:sz="0" w:space="0" w:color="auto"/>
                                                <w:bottom w:val="none" w:sz="0" w:space="0" w:color="auto"/>
                                                <w:right w:val="none" w:sz="0" w:space="0" w:color="auto"/>
                                              </w:divBdr>
                                              <w:divsChild>
                                                <w:div w:id="552620620">
                                                  <w:marLeft w:val="0"/>
                                                  <w:marRight w:val="0"/>
                                                  <w:marTop w:val="0"/>
                                                  <w:marBottom w:val="0"/>
                                                  <w:divBdr>
                                                    <w:top w:val="none" w:sz="0" w:space="0" w:color="auto"/>
                                                    <w:left w:val="none" w:sz="0" w:space="0" w:color="auto"/>
                                                    <w:bottom w:val="none" w:sz="0" w:space="0" w:color="auto"/>
                                                    <w:right w:val="none" w:sz="0" w:space="0" w:color="auto"/>
                                                  </w:divBdr>
                                                </w:div>
                                                <w:div w:id="933705872">
                                                  <w:marLeft w:val="0"/>
                                                  <w:marRight w:val="0"/>
                                                  <w:marTop w:val="0"/>
                                                  <w:marBottom w:val="0"/>
                                                  <w:divBdr>
                                                    <w:top w:val="none" w:sz="0" w:space="0" w:color="auto"/>
                                                    <w:left w:val="none" w:sz="0" w:space="0" w:color="auto"/>
                                                    <w:bottom w:val="none" w:sz="0" w:space="0" w:color="auto"/>
                                                    <w:right w:val="none" w:sz="0" w:space="0" w:color="auto"/>
                                                  </w:divBdr>
                                                </w:div>
                                                <w:div w:id="1230575044">
                                                  <w:marLeft w:val="0"/>
                                                  <w:marRight w:val="0"/>
                                                  <w:marTop w:val="0"/>
                                                  <w:marBottom w:val="0"/>
                                                  <w:divBdr>
                                                    <w:top w:val="none" w:sz="0" w:space="0" w:color="auto"/>
                                                    <w:left w:val="none" w:sz="0" w:space="0" w:color="auto"/>
                                                    <w:bottom w:val="none" w:sz="0" w:space="0" w:color="auto"/>
                                                    <w:right w:val="none" w:sz="0" w:space="0" w:color="auto"/>
                                                  </w:divBdr>
                                                </w:div>
                                                <w:div w:id="12816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721466">
                              <w:marLeft w:val="0"/>
                              <w:marRight w:val="0"/>
                              <w:marTop w:val="0"/>
                              <w:marBottom w:val="0"/>
                              <w:divBdr>
                                <w:top w:val="none" w:sz="0" w:space="0" w:color="auto"/>
                                <w:left w:val="none" w:sz="0" w:space="0" w:color="auto"/>
                                <w:bottom w:val="none" w:sz="0" w:space="0" w:color="auto"/>
                                <w:right w:val="none" w:sz="0" w:space="0" w:color="auto"/>
                              </w:divBdr>
                              <w:divsChild>
                                <w:div w:id="1334143404">
                                  <w:marLeft w:val="0"/>
                                  <w:marRight w:val="0"/>
                                  <w:marTop w:val="0"/>
                                  <w:marBottom w:val="0"/>
                                  <w:divBdr>
                                    <w:top w:val="none" w:sz="0" w:space="0" w:color="auto"/>
                                    <w:left w:val="none" w:sz="0" w:space="0" w:color="auto"/>
                                    <w:bottom w:val="none" w:sz="0" w:space="0" w:color="auto"/>
                                    <w:right w:val="none" w:sz="0" w:space="0" w:color="auto"/>
                                  </w:divBdr>
                                  <w:divsChild>
                                    <w:div w:id="1539050085">
                                      <w:marLeft w:val="0"/>
                                      <w:marRight w:val="0"/>
                                      <w:marTop w:val="0"/>
                                      <w:marBottom w:val="0"/>
                                      <w:divBdr>
                                        <w:top w:val="none" w:sz="0" w:space="0" w:color="auto"/>
                                        <w:left w:val="none" w:sz="0" w:space="0" w:color="auto"/>
                                        <w:bottom w:val="none" w:sz="0" w:space="0" w:color="auto"/>
                                        <w:right w:val="none" w:sz="0" w:space="0" w:color="auto"/>
                                      </w:divBdr>
                                      <w:divsChild>
                                        <w:div w:id="1254702166">
                                          <w:marLeft w:val="0"/>
                                          <w:marRight w:val="0"/>
                                          <w:marTop w:val="0"/>
                                          <w:marBottom w:val="0"/>
                                          <w:divBdr>
                                            <w:top w:val="none" w:sz="0" w:space="0" w:color="auto"/>
                                            <w:left w:val="none" w:sz="0" w:space="0" w:color="auto"/>
                                            <w:bottom w:val="none" w:sz="0" w:space="0" w:color="auto"/>
                                            <w:right w:val="none" w:sz="0" w:space="0" w:color="auto"/>
                                          </w:divBdr>
                                          <w:divsChild>
                                            <w:div w:id="6919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31196">
                              <w:marLeft w:val="0"/>
                              <w:marRight w:val="0"/>
                              <w:marTop w:val="0"/>
                              <w:marBottom w:val="0"/>
                              <w:divBdr>
                                <w:top w:val="none" w:sz="0" w:space="0" w:color="auto"/>
                                <w:left w:val="none" w:sz="0" w:space="0" w:color="auto"/>
                                <w:bottom w:val="none" w:sz="0" w:space="0" w:color="auto"/>
                                <w:right w:val="none" w:sz="0" w:space="0" w:color="auto"/>
                              </w:divBdr>
                              <w:divsChild>
                                <w:div w:id="1844736592">
                                  <w:marLeft w:val="0"/>
                                  <w:marRight w:val="0"/>
                                  <w:marTop w:val="0"/>
                                  <w:marBottom w:val="0"/>
                                  <w:divBdr>
                                    <w:top w:val="none" w:sz="0" w:space="0" w:color="auto"/>
                                    <w:left w:val="none" w:sz="0" w:space="0" w:color="auto"/>
                                    <w:bottom w:val="none" w:sz="0" w:space="0" w:color="auto"/>
                                    <w:right w:val="none" w:sz="0" w:space="0" w:color="auto"/>
                                  </w:divBdr>
                                  <w:divsChild>
                                    <w:div w:id="163513230">
                                      <w:marLeft w:val="0"/>
                                      <w:marRight w:val="0"/>
                                      <w:marTop w:val="0"/>
                                      <w:marBottom w:val="0"/>
                                      <w:divBdr>
                                        <w:top w:val="none" w:sz="0" w:space="0" w:color="auto"/>
                                        <w:left w:val="none" w:sz="0" w:space="0" w:color="auto"/>
                                        <w:bottom w:val="none" w:sz="0" w:space="0" w:color="auto"/>
                                        <w:right w:val="none" w:sz="0" w:space="0" w:color="auto"/>
                                      </w:divBdr>
                                      <w:divsChild>
                                        <w:div w:id="63843695">
                                          <w:marLeft w:val="0"/>
                                          <w:marRight w:val="0"/>
                                          <w:marTop w:val="0"/>
                                          <w:marBottom w:val="0"/>
                                          <w:divBdr>
                                            <w:top w:val="none" w:sz="0" w:space="0" w:color="auto"/>
                                            <w:left w:val="none" w:sz="0" w:space="0" w:color="auto"/>
                                            <w:bottom w:val="none" w:sz="0" w:space="0" w:color="auto"/>
                                            <w:right w:val="none" w:sz="0" w:space="0" w:color="auto"/>
                                          </w:divBdr>
                                          <w:divsChild>
                                            <w:div w:id="801381568">
                                              <w:marLeft w:val="0"/>
                                              <w:marRight w:val="0"/>
                                              <w:marTop w:val="0"/>
                                              <w:marBottom w:val="0"/>
                                              <w:divBdr>
                                                <w:top w:val="none" w:sz="0" w:space="0" w:color="auto"/>
                                                <w:left w:val="none" w:sz="0" w:space="0" w:color="auto"/>
                                                <w:bottom w:val="none" w:sz="0" w:space="0" w:color="auto"/>
                                                <w:right w:val="none" w:sz="0" w:space="0" w:color="auto"/>
                                              </w:divBdr>
                                              <w:divsChild>
                                                <w:div w:id="142161331">
                                                  <w:marLeft w:val="0"/>
                                                  <w:marRight w:val="0"/>
                                                  <w:marTop w:val="0"/>
                                                  <w:marBottom w:val="0"/>
                                                  <w:divBdr>
                                                    <w:top w:val="none" w:sz="0" w:space="0" w:color="auto"/>
                                                    <w:left w:val="none" w:sz="0" w:space="0" w:color="auto"/>
                                                    <w:bottom w:val="none" w:sz="0" w:space="0" w:color="auto"/>
                                                    <w:right w:val="none" w:sz="0" w:space="0" w:color="auto"/>
                                                  </w:divBdr>
                                                  <w:divsChild>
                                                    <w:div w:id="1978756017">
                                                      <w:marLeft w:val="0"/>
                                                      <w:marRight w:val="0"/>
                                                      <w:marTop w:val="0"/>
                                                      <w:marBottom w:val="0"/>
                                                      <w:divBdr>
                                                        <w:top w:val="none" w:sz="0" w:space="0" w:color="auto"/>
                                                        <w:left w:val="none" w:sz="0" w:space="0" w:color="auto"/>
                                                        <w:bottom w:val="none" w:sz="0" w:space="0" w:color="auto"/>
                                                        <w:right w:val="none" w:sz="0" w:space="0" w:color="auto"/>
                                                      </w:divBdr>
                                                    </w:div>
                                                  </w:divsChild>
                                                </w:div>
                                                <w:div w:id="164445862">
                                                  <w:marLeft w:val="0"/>
                                                  <w:marRight w:val="0"/>
                                                  <w:marTop w:val="0"/>
                                                  <w:marBottom w:val="0"/>
                                                  <w:divBdr>
                                                    <w:top w:val="none" w:sz="0" w:space="0" w:color="auto"/>
                                                    <w:left w:val="none" w:sz="0" w:space="0" w:color="auto"/>
                                                    <w:bottom w:val="none" w:sz="0" w:space="0" w:color="auto"/>
                                                    <w:right w:val="none" w:sz="0" w:space="0" w:color="auto"/>
                                                  </w:divBdr>
                                                </w:div>
                                                <w:div w:id="1644967062">
                                                  <w:marLeft w:val="0"/>
                                                  <w:marRight w:val="0"/>
                                                  <w:marTop w:val="0"/>
                                                  <w:marBottom w:val="0"/>
                                                  <w:divBdr>
                                                    <w:top w:val="none" w:sz="0" w:space="0" w:color="auto"/>
                                                    <w:left w:val="none" w:sz="0" w:space="0" w:color="auto"/>
                                                    <w:bottom w:val="none" w:sz="0" w:space="0" w:color="auto"/>
                                                    <w:right w:val="none" w:sz="0" w:space="0" w:color="auto"/>
                                                  </w:divBdr>
                                                </w:div>
                                                <w:div w:id="1829706547">
                                                  <w:marLeft w:val="0"/>
                                                  <w:marRight w:val="0"/>
                                                  <w:marTop w:val="0"/>
                                                  <w:marBottom w:val="0"/>
                                                  <w:divBdr>
                                                    <w:top w:val="none" w:sz="0" w:space="0" w:color="auto"/>
                                                    <w:left w:val="none" w:sz="0" w:space="0" w:color="auto"/>
                                                    <w:bottom w:val="none" w:sz="0" w:space="0" w:color="auto"/>
                                                    <w:right w:val="none" w:sz="0" w:space="0" w:color="auto"/>
                                                  </w:divBdr>
                                                </w:div>
                                                <w:div w:id="18546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523832">
                              <w:marLeft w:val="0"/>
                              <w:marRight w:val="0"/>
                              <w:marTop w:val="0"/>
                              <w:marBottom w:val="0"/>
                              <w:divBdr>
                                <w:top w:val="none" w:sz="0" w:space="0" w:color="auto"/>
                                <w:left w:val="none" w:sz="0" w:space="0" w:color="auto"/>
                                <w:bottom w:val="none" w:sz="0" w:space="0" w:color="auto"/>
                                <w:right w:val="none" w:sz="0" w:space="0" w:color="auto"/>
                              </w:divBdr>
                              <w:divsChild>
                                <w:div w:id="1864635498">
                                  <w:marLeft w:val="0"/>
                                  <w:marRight w:val="0"/>
                                  <w:marTop w:val="0"/>
                                  <w:marBottom w:val="0"/>
                                  <w:divBdr>
                                    <w:top w:val="none" w:sz="0" w:space="0" w:color="auto"/>
                                    <w:left w:val="none" w:sz="0" w:space="0" w:color="auto"/>
                                    <w:bottom w:val="none" w:sz="0" w:space="0" w:color="auto"/>
                                    <w:right w:val="none" w:sz="0" w:space="0" w:color="auto"/>
                                  </w:divBdr>
                                  <w:divsChild>
                                    <w:div w:id="559942823">
                                      <w:marLeft w:val="0"/>
                                      <w:marRight w:val="0"/>
                                      <w:marTop w:val="0"/>
                                      <w:marBottom w:val="0"/>
                                      <w:divBdr>
                                        <w:top w:val="none" w:sz="0" w:space="0" w:color="auto"/>
                                        <w:left w:val="none" w:sz="0" w:space="0" w:color="auto"/>
                                        <w:bottom w:val="none" w:sz="0" w:space="0" w:color="auto"/>
                                        <w:right w:val="none" w:sz="0" w:space="0" w:color="auto"/>
                                      </w:divBdr>
                                      <w:divsChild>
                                        <w:div w:id="376903209">
                                          <w:marLeft w:val="0"/>
                                          <w:marRight w:val="0"/>
                                          <w:marTop w:val="0"/>
                                          <w:marBottom w:val="0"/>
                                          <w:divBdr>
                                            <w:top w:val="none" w:sz="0" w:space="0" w:color="auto"/>
                                            <w:left w:val="none" w:sz="0" w:space="0" w:color="auto"/>
                                            <w:bottom w:val="none" w:sz="0" w:space="0" w:color="auto"/>
                                            <w:right w:val="none" w:sz="0" w:space="0" w:color="auto"/>
                                          </w:divBdr>
                                          <w:divsChild>
                                            <w:div w:id="308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0063">
                              <w:marLeft w:val="0"/>
                              <w:marRight w:val="0"/>
                              <w:marTop w:val="0"/>
                              <w:marBottom w:val="0"/>
                              <w:divBdr>
                                <w:top w:val="none" w:sz="0" w:space="0" w:color="auto"/>
                                <w:left w:val="none" w:sz="0" w:space="0" w:color="auto"/>
                                <w:bottom w:val="none" w:sz="0" w:space="0" w:color="auto"/>
                                <w:right w:val="none" w:sz="0" w:space="0" w:color="auto"/>
                              </w:divBdr>
                              <w:divsChild>
                                <w:div w:id="602541125">
                                  <w:marLeft w:val="0"/>
                                  <w:marRight w:val="0"/>
                                  <w:marTop w:val="0"/>
                                  <w:marBottom w:val="0"/>
                                  <w:divBdr>
                                    <w:top w:val="none" w:sz="0" w:space="0" w:color="auto"/>
                                    <w:left w:val="none" w:sz="0" w:space="0" w:color="auto"/>
                                    <w:bottom w:val="none" w:sz="0" w:space="0" w:color="auto"/>
                                    <w:right w:val="none" w:sz="0" w:space="0" w:color="auto"/>
                                  </w:divBdr>
                                  <w:divsChild>
                                    <w:div w:id="84617653">
                                      <w:marLeft w:val="0"/>
                                      <w:marRight w:val="0"/>
                                      <w:marTop w:val="0"/>
                                      <w:marBottom w:val="0"/>
                                      <w:divBdr>
                                        <w:top w:val="none" w:sz="0" w:space="0" w:color="auto"/>
                                        <w:left w:val="none" w:sz="0" w:space="0" w:color="auto"/>
                                        <w:bottom w:val="none" w:sz="0" w:space="0" w:color="auto"/>
                                        <w:right w:val="none" w:sz="0" w:space="0" w:color="auto"/>
                                      </w:divBdr>
                                      <w:divsChild>
                                        <w:div w:id="921838975">
                                          <w:marLeft w:val="0"/>
                                          <w:marRight w:val="0"/>
                                          <w:marTop w:val="0"/>
                                          <w:marBottom w:val="0"/>
                                          <w:divBdr>
                                            <w:top w:val="none" w:sz="0" w:space="0" w:color="auto"/>
                                            <w:left w:val="none" w:sz="0" w:space="0" w:color="auto"/>
                                            <w:bottom w:val="none" w:sz="0" w:space="0" w:color="auto"/>
                                            <w:right w:val="none" w:sz="0" w:space="0" w:color="auto"/>
                                          </w:divBdr>
                                          <w:divsChild>
                                            <w:div w:id="4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97526">
                              <w:marLeft w:val="0"/>
                              <w:marRight w:val="0"/>
                              <w:marTop w:val="0"/>
                              <w:marBottom w:val="0"/>
                              <w:divBdr>
                                <w:top w:val="none" w:sz="0" w:space="0" w:color="auto"/>
                                <w:left w:val="none" w:sz="0" w:space="0" w:color="auto"/>
                                <w:bottom w:val="none" w:sz="0" w:space="0" w:color="auto"/>
                                <w:right w:val="none" w:sz="0" w:space="0" w:color="auto"/>
                              </w:divBdr>
                              <w:divsChild>
                                <w:div w:id="749735465">
                                  <w:marLeft w:val="0"/>
                                  <w:marRight w:val="0"/>
                                  <w:marTop w:val="0"/>
                                  <w:marBottom w:val="0"/>
                                  <w:divBdr>
                                    <w:top w:val="none" w:sz="0" w:space="0" w:color="auto"/>
                                    <w:left w:val="none" w:sz="0" w:space="0" w:color="auto"/>
                                    <w:bottom w:val="none" w:sz="0" w:space="0" w:color="auto"/>
                                    <w:right w:val="none" w:sz="0" w:space="0" w:color="auto"/>
                                  </w:divBdr>
                                  <w:divsChild>
                                    <w:div w:id="1841967095">
                                      <w:marLeft w:val="0"/>
                                      <w:marRight w:val="0"/>
                                      <w:marTop w:val="0"/>
                                      <w:marBottom w:val="0"/>
                                      <w:divBdr>
                                        <w:top w:val="none" w:sz="0" w:space="0" w:color="auto"/>
                                        <w:left w:val="none" w:sz="0" w:space="0" w:color="auto"/>
                                        <w:bottom w:val="none" w:sz="0" w:space="0" w:color="auto"/>
                                        <w:right w:val="none" w:sz="0" w:space="0" w:color="auto"/>
                                      </w:divBdr>
                                      <w:divsChild>
                                        <w:div w:id="2168066">
                                          <w:marLeft w:val="0"/>
                                          <w:marRight w:val="0"/>
                                          <w:marTop w:val="0"/>
                                          <w:marBottom w:val="0"/>
                                          <w:divBdr>
                                            <w:top w:val="none" w:sz="0" w:space="0" w:color="auto"/>
                                            <w:left w:val="none" w:sz="0" w:space="0" w:color="auto"/>
                                            <w:bottom w:val="none" w:sz="0" w:space="0" w:color="auto"/>
                                            <w:right w:val="none" w:sz="0" w:space="0" w:color="auto"/>
                                          </w:divBdr>
                                          <w:divsChild>
                                            <w:div w:id="12656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2366">
                              <w:marLeft w:val="0"/>
                              <w:marRight w:val="0"/>
                              <w:marTop w:val="0"/>
                              <w:marBottom w:val="0"/>
                              <w:divBdr>
                                <w:top w:val="none" w:sz="0" w:space="0" w:color="auto"/>
                                <w:left w:val="none" w:sz="0" w:space="0" w:color="auto"/>
                                <w:bottom w:val="none" w:sz="0" w:space="0" w:color="auto"/>
                                <w:right w:val="none" w:sz="0" w:space="0" w:color="auto"/>
                              </w:divBdr>
                              <w:divsChild>
                                <w:div w:id="127280376">
                                  <w:marLeft w:val="0"/>
                                  <w:marRight w:val="0"/>
                                  <w:marTop w:val="0"/>
                                  <w:marBottom w:val="0"/>
                                  <w:divBdr>
                                    <w:top w:val="none" w:sz="0" w:space="0" w:color="auto"/>
                                    <w:left w:val="none" w:sz="0" w:space="0" w:color="auto"/>
                                    <w:bottom w:val="none" w:sz="0" w:space="0" w:color="auto"/>
                                    <w:right w:val="none" w:sz="0" w:space="0" w:color="auto"/>
                                  </w:divBdr>
                                  <w:divsChild>
                                    <w:div w:id="600452172">
                                      <w:marLeft w:val="0"/>
                                      <w:marRight w:val="0"/>
                                      <w:marTop w:val="0"/>
                                      <w:marBottom w:val="0"/>
                                      <w:divBdr>
                                        <w:top w:val="none" w:sz="0" w:space="0" w:color="auto"/>
                                        <w:left w:val="none" w:sz="0" w:space="0" w:color="auto"/>
                                        <w:bottom w:val="none" w:sz="0" w:space="0" w:color="auto"/>
                                        <w:right w:val="none" w:sz="0" w:space="0" w:color="auto"/>
                                      </w:divBdr>
                                      <w:divsChild>
                                        <w:div w:id="2098860414">
                                          <w:marLeft w:val="0"/>
                                          <w:marRight w:val="0"/>
                                          <w:marTop w:val="0"/>
                                          <w:marBottom w:val="0"/>
                                          <w:divBdr>
                                            <w:top w:val="none" w:sz="0" w:space="0" w:color="auto"/>
                                            <w:left w:val="none" w:sz="0" w:space="0" w:color="auto"/>
                                            <w:bottom w:val="none" w:sz="0" w:space="0" w:color="auto"/>
                                            <w:right w:val="none" w:sz="0" w:space="0" w:color="auto"/>
                                          </w:divBdr>
                                          <w:divsChild>
                                            <w:div w:id="5349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90469">
                              <w:marLeft w:val="0"/>
                              <w:marRight w:val="0"/>
                              <w:marTop w:val="0"/>
                              <w:marBottom w:val="0"/>
                              <w:divBdr>
                                <w:top w:val="none" w:sz="0" w:space="0" w:color="auto"/>
                                <w:left w:val="none" w:sz="0" w:space="0" w:color="auto"/>
                                <w:bottom w:val="none" w:sz="0" w:space="0" w:color="auto"/>
                                <w:right w:val="none" w:sz="0" w:space="0" w:color="auto"/>
                              </w:divBdr>
                              <w:divsChild>
                                <w:div w:id="1484859023">
                                  <w:marLeft w:val="0"/>
                                  <w:marRight w:val="0"/>
                                  <w:marTop w:val="0"/>
                                  <w:marBottom w:val="0"/>
                                  <w:divBdr>
                                    <w:top w:val="none" w:sz="0" w:space="0" w:color="auto"/>
                                    <w:left w:val="none" w:sz="0" w:space="0" w:color="auto"/>
                                    <w:bottom w:val="none" w:sz="0" w:space="0" w:color="auto"/>
                                    <w:right w:val="none" w:sz="0" w:space="0" w:color="auto"/>
                                  </w:divBdr>
                                  <w:divsChild>
                                    <w:div w:id="160393019">
                                      <w:marLeft w:val="0"/>
                                      <w:marRight w:val="0"/>
                                      <w:marTop w:val="0"/>
                                      <w:marBottom w:val="0"/>
                                      <w:divBdr>
                                        <w:top w:val="none" w:sz="0" w:space="0" w:color="auto"/>
                                        <w:left w:val="none" w:sz="0" w:space="0" w:color="auto"/>
                                        <w:bottom w:val="none" w:sz="0" w:space="0" w:color="auto"/>
                                        <w:right w:val="none" w:sz="0" w:space="0" w:color="auto"/>
                                      </w:divBdr>
                                      <w:divsChild>
                                        <w:div w:id="1139034864">
                                          <w:marLeft w:val="0"/>
                                          <w:marRight w:val="0"/>
                                          <w:marTop w:val="0"/>
                                          <w:marBottom w:val="0"/>
                                          <w:divBdr>
                                            <w:top w:val="none" w:sz="0" w:space="0" w:color="auto"/>
                                            <w:left w:val="none" w:sz="0" w:space="0" w:color="auto"/>
                                            <w:bottom w:val="none" w:sz="0" w:space="0" w:color="auto"/>
                                            <w:right w:val="none" w:sz="0" w:space="0" w:color="auto"/>
                                          </w:divBdr>
                                          <w:divsChild>
                                            <w:div w:id="2083717582">
                                              <w:marLeft w:val="0"/>
                                              <w:marRight w:val="0"/>
                                              <w:marTop w:val="0"/>
                                              <w:marBottom w:val="0"/>
                                              <w:divBdr>
                                                <w:top w:val="none" w:sz="0" w:space="0" w:color="auto"/>
                                                <w:left w:val="none" w:sz="0" w:space="0" w:color="auto"/>
                                                <w:bottom w:val="none" w:sz="0" w:space="0" w:color="auto"/>
                                                <w:right w:val="none" w:sz="0" w:space="0" w:color="auto"/>
                                              </w:divBdr>
                                              <w:divsChild>
                                                <w:div w:id="908341610">
                                                  <w:marLeft w:val="0"/>
                                                  <w:marRight w:val="0"/>
                                                  <w:marTop w:val="0"/>
                                                  <w:marBottom w:val="0"/>
                                                  <w:divBdr>
                                                    <w:top w:val="none" w:sz="0" w:space="0" w:color="auto"/>
                                                    <w:left w:val="none" w:sz="0" w:space="0" w:color="auto"/>
                                                    <w:bottom w:val="none" w:sz="0" w:space="0" w:color="auto"/>
                                                    <w:right w:val="none" w:sz="0" w:space="0" w:color="auto"/>
                                                  </w:divBdr>
                                                </w:div>
                                                <w:div w:id="911699737">
                                                  <w:marLeft w:val="0"/>
                                                  <w:marRight w:val="0"/>
                                                  <w:marTop w:val="0"/>
                                                  <w:marBottom w:val="0"/>
                                                  <w:divBdr>
                                                    <w:top w:val="none" w:sz="0" w:space="0" w:color="auto"/>
                                                    <w:left w:val="none" w:sz="0" w:space="0" w:color="auto"/>
                                                    <w:bottom w:val="none" w:sz="0" w:space="0" w:color="auto"/>
                                                    <w:right w:val="none" w:sz="0" w:space="0" w:color="auto"/>
                                                  </w:divBdr>
                                                </w:div>
                                                <w:div w:id="978994909">
                                                  <w:marLeft w:val="0"/>
                                                  <w:marRight w:val="0"/>
                                                  <w:marTop w:val="0"/>
                                                  <w:marBottom w:val="0"/>
                                                  <w:divBdr>
                                                    <w:top w:val="none" w:sz="0" w:space="0" w:color="auto"/>
                                                    <w:left w:val="none" w:sz="0" w:space="0" w:color="auto"/>
                                                    <w:bottom w:val="none" w:sz="0" w:space="0" w:color="auto"/>
                                                    <w:right w:val="none" w:sz="0" w:space="0" w:color="auto"/>
                                                  </w:divBdr>
                                                </w:div>
                                                <w:div w:id="992177550">
                                                  <w:marLeft w:val="0"/>
                                                  <w:marRight w:val="0"/>
                                                  <w:marTop w:val="0"/>
                                                  <w:marBottom w:val="0"/>
                                                  <w:divBdr>
                                                    <w:top w:val="none" w:sz="0" w:space="0" w:color="auto"/>
                                                    <w:left w:val="none" w:sz="0" w:space="0" w:color="auto"/>
                                                    <w:bottom w:val="none" w:sz="0" w:space="0" w:color="auto"/>
                                                    <w:right w:val="none" w:sz="0" w:space="0" w:color="auto"/>
                                                  </w:divBdr>
                                                </w:div>
                                                <w:div w:id="20964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00965">
                              <w:marLeft w:val="0"/>
                              <w:marRight w:val="0"/>
                              <w:marTop w:val="0"/>
                              <w:marBottom w:val="0"/>
                              <w:divBdr>
                                <w:top w:val="none" w:sz="0" w:space="0" w:color="auto"/>
                                <w:left w:val="none" w:sz="0" w:space="0" w:color="auto"/>
                                <w:bottom w:val="none" w:sz="0" w:space="0" w:color="auto"/>
                                <w:right w:val="none" w:sz="0" w:space="0" w:color="auto"/>
                              </w:divBdr>
                              <w:divsChild>
                                <w:div w:id="389427199">
                                  <w:marLeft w:val="0"/>
                                  <w:marRight w:val="0"/>
                                  <w:marTop w:val="0"/>
                                  <w:marBottom w:val="0"/>
                                  <w:divBdr>
                                    <w:top w:val="none" w:sz="0" w:space="0" w:color="auto"/>
                                    <w:left w:val="none" w:sz="0" w:space="0" w:color="auto"/>
                                    <w:bottom w:val="none" w:sz="0" w:space="0" w:color="auto"/>
                                    <w:right w:val="none" w:sz="0" w:space="0" w:color="auto"/>
                                  </w:divBdr>
                                  <w:divsChild>
                                    <w:div w:id="2012636097">
                                      <w:marLeft w:val="0"/>
                                      <w:marRight w:val="0"/>
                                      <w:marTop w:val="0"/>
                                      <w:marBottom w:val="0"/>
                                      <w:divBdr>
                                        <w:top w:val="none" w:sz="0" w:space="0" w:color="auto"/>
                                        <w:left w:val="none" w:sz="0" w:space="0" w:color="auto"/>
                                        <w:bottom w:val="none" w:sz="0" w:space="0" w:color="auto"/>
                                        <w:right w:val="none" w:sz="0" w:space="0" w:color="auto"/>
                                      </w:divBdr>
                                      <w:divsChild>
                                        <w:div w:id="1226263547">
                                          <w:marLeft w:val="0"/>
                                          <w:marRight w:val="0"/>
                                          <w:marTop w:val="0"/>
                                          <w:marBottom w:val="0"/>
                                          <w:divBdr>
                                            <w:top w:val="none" w:sz="0" w:space="0" w:color="auto"/>
                                            <w:left w:val="none" w:sz="0" w:space="0" w:color="auto"/>
                                            <w:bottom w:val="none" w:sz="0" w:space="0" w:color="auto"/>
                                            <w:right w:val="none" w:sz="0" w:space="0" w:color="auto"/>
                                          </w:divBdr>
                                          <w:divsChild>
                                            <w:div w:id="17610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52283">
                              <w:marLeft w:val="0"/>
                              <w:marRight w:val="0"/>
                              <w:marTop w:val="0"/>
                              <w:marBottom w:val="0"/>
                              <w:divBdr>
                                <w:top w:val="none" w:sz="0" w:space="0" w:color="auto"/>
                                <w:left w:val="none" w:sz="0" w:space="0" w:color="auto"/>
                                <w:bottom w:val="none" w:sz="0" w:space="0" w:color="auto"/>
                                <w:right w:val="none" w:sz="0" w:space="0" w:color="auto"/>
                              </w:divBdr>
                              <w:divsChild>
                                <w:div w:id="652609195">
                                  <w:marLeft w:val="0"/>
                                  <w:marRight w:val="0"/>
                                  <w:marTop w:val="0"/>
                                  <w:marBottom w:val="0"/>
                                  <w:divBdr>
                                    <w:top w:val="none" w:sz="0" w:space="0" w:color="auto"/>
                                    <w:left w:val="none" w:sz="0" w:space="0" w:color="auto"/>
                                    <w:bottom w:val="none" w:sz="0" w:space="0" w:color="auto"/>
                                    <w:right w:val="none" w:sz="0" w:space="0" w:color="auto"/>
                                  </w:divBdr>
                                  <w:divsChild>
                                    <w:div w:id="1058437339">
                                      <w:marLeft w:val="0"/>
                                      <w:marRight w:val="0"/>
                                      <w:marTop w:val="0"/>
                                      <w:marBottom w:val="0"/>
                                      <w:divBdr>
                                        <w:top w:val="none" w:sz="0" w:space="0" w:color="auto"/>
                                        <w:left w:val="none" w:sz="0" w:space="0" w:color="auto"/>
                                        <w:bottom w:val="none" w:sz="0" w:space="0" w:color="auto"/>
                                        <w:right w:val="none" w:sz="0" w:space="0" w:color="auto"/>
                                      </w:divBdr>
                                      <w:divsChild>
                                        <w:div w:id="771783063">
                                          <w:marLeft w:val="0"/>
                                          <w:marRight w:val="0"/>
                                          <w:marTop w:val="0"/>
                                          <w:marBottom w:val="0"/>
                                          <w:divBdr>
                                            <w:top w:val="none" w:sz="0" w:space="0" w:color="auto"/>
                                            <w:left w:val="none" w:sz="0" w:space="0" w:color="auto"/>
                                            <w:bottom w:val="none" w:sz="0" w:space="0" w:color="auto"/>
                                            <w:right w:val="none" w:sz="0" w:space="0" w:color="auto"/>
                                          </w:divBdr>
                                          <w:divsChild>
                                            <w:div w:id="1233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2279">
                              <w:marLeft w:val="0"/>
                              <w:marRight w:val="0"/>
                              <w:marTop w:val="0"/>
                              <w:marBottom w:val="0"/>
                              <w:divBdr>
                                <w:top w:val="none" w:sz="0" w:space="0" w:color="auto"/>
                                <w:left w:val="none" w:sz="0" w:space="0" w:color="auto"/>
                                <w:bottom w:val="none" w:sz="0" w:space="0" w:color="auto"/>
                                <w:right w:val="none" w:sz="0" w:space="0" w:color="auto"/>
                              </w:divBdr>
                              <w:divsChild>
                                <w:div w:id="1079400123">
                                  <w:marLeft w:val="0"/>
                                  <w:marRight w:val="0"/>
                                  <w:marTop w:val="0"/>
                                  <w:marBottom w:val="0"/>
                                  <w:divBdr>
                                    <w:top w:val="none" w:sz="0" w:space="0" w:color="auto"/>
                                    <w:left w:val="none" w:sz="0" w:space="0" w:color="auto"/>
                                    <w:bottom w:val="none" w:sz="0" w:space="0" w:color="auto"/>
                                    <w:right w:val="none" w:sz="0" w:space="0" w:color="auto"/>
                                  </w:divBdr>
                                  <w:divsChild>
                                    <w:div w:id="589116801">
                                      <w:marLeft w:val="0"/>
                                      <w:marRight w:val="0"/>
                                      <w:marTop w:val="0"/>
                                      <w:marBottom w:val="0"/>
                                      <w:divBdr>
                                        <w:top w:val="none" w:sz="0" w:space="0" w:color="auto"/>
                                        <w:left w:val="none" w:sz="0" w:space="0" w:color="auto"/>
                                        <w:bottom w:val="none" w:sz="0" w:space="0" w:color="auto"/>
                                        <w:right w:val="none" w:sz="0" w:space="0" w:color="auto"/>
                                      </w:divBdr>
                                      <w:divsChild>
                                        <w:div w:id="2146972806">
                                          <w:marLeft w:val="0"/>
                                          <w:marRight w:val="0"/>
                                          <w:marTop w:val="0"/>
                                          <w:marBottom w:val="0"/>
                                          <w:divBdr>
                                            <w:top w:val="none" w:sz="0" w:space="0" w:color="auto"/>
                                            <w:left w:val="none" w:sz="0" w:space="0" w:color="auto"/>
                                            <w:bottom w:val="none" w:sz="0" w:space="0" w:color="auto"/>
                                            <w:right w:val="none" w:sz="0" w:space="0" w:color="auto"/>
                                          </w:divBdr>
                                          <w:divsChild>
                                            <w:div w:id="694884073">
                                              <w:marLeft w:val="0"/>
                                              <w:marRight w:val="0"/>
                                              <w:marTop w:val="0"/>
                                              <w:marBottom w:val="0"/>
                                              <w:divBdr>
                                                <w:top w:val="none" w:sz="0" w:space="0" w:color="auto"/>
                                                <w:left w:val="none" w:sz="0" w:space="0" w:color="auto"/>
                                                <w:bottom w:val="none" w:sz="0" w:space="0" w:color="auto"/>
                                                <w:right w:val="none" w:sz="0" w:space="0" w:color="auto"/>
                                              </w:divBdr>
                                              <w:divsChild>
                                                <w:div w:id="552813926">
                                                  <w:marLeft w:val="0"/>
                                                  <w:marRight w:val="0"/>
                                                  <w:marTop w:val="0"/>
                                                  <w:marBottom w:val="0"/>
                                                  <w:divBdr>
                                                    <w:top w:val="none" w:sz="0" w:space="0" w:color="auto"/>
                                                    <w:left w:val="none" w:sz="0" w:space="0" w:color="auto"/>
                                                    <w:bottom w:val="none" w:sz="0" w:space="0" w:color="auto"/>
                                                    <w:right w:val="none" w:sz="0" w:space="0" w:color="auto"/>
                                                  </w:divBdr>
                                                </w:div>
                                                <w:div w:id="1314915763">
                                                  <w:marLeft w:val="0"/>
                                                  <w:marRight w:val="0"/>
                                                  <w:marTop w:val="0"/>
                                                  <w:marBottom w:val="0"/>
                                                  <w:divBdr>
                                                    <w:top w:val="none" w:sz="0" w:space="0" w:color="auto"/>
                                                    <w:left w:val="none" w:sz="0" w:space="0" w:color="auto"/>
                                                    <w:bottom w:val="none" w:sz="0" w:space="0" w:color="auto"/>
                                                    <w:right w:val="none" w:sz="0" w:space="0" w:color="auto"/>
                                                  </w:divBdr>
                                                </w:div>
                                                <w:div w:id="1360617871">
                                                  <w:marLeft w:val="0"/>
                                                  <w:marRight w:val="0"/>
                                                  <w:marTop w:val="0"/>
                                                  <w:marBottom w:val="0"/>
                                                  <w:divBdr>
                                                    <w:top w:val="none" w:sz="0" w:space="0" w:color="auto"/>
                                                    <w:left w:val="none" w:sz="0" w:space="0" w:color="auto"/>
                                                    <w:bottom w:val="none" w:sz="0" w:space="0" w:color="auto"/>
                                                    <w:right w:val="none" w:sz="0" w:space="0" w:color="auto"/>
                                                  </w:divBdr>
                                                  <w:divsChild>
                                                    <w:div w:id="2114781573">
                                                      <w:marLeft w:val="0"/>
                                                      <w:marRight w:val="0"/>
                                                      <w:marTop w:val="0"/>
                                                      <w:marBottom w:val="0"/>
                                                      <w:divBdr>
                                                        <w:top w:val="none" w:sz="0" w:space="0" w:color="auto"/>
                                                        <w:left w:val="none" w:sz="0" w:space="0" w:color="auto"/>
                                                        <w:bottom w:val="none" w:sz="0" w:space="0" w:color="auto"/>
                                                        <w:right w:val="none" w:sz="0" w:space="0" w:color="auto"/>
                                                      </w:divBdr>
                                                    </w:div>
                                                  </w:divsChild>
                                                </w:div>
                                                <w:div w:id="1521357718">
                                                  <w:marLeft w:val="0"/>
                                                  <w:marRight w:val="0"/>
                                                  <w:marTop w:val="0"/>
                                                  <w:marBottom w:val="0"/>
                                                  <w:divBdr>
                                                    <w:top w:val="none" w:sz="0" w:space="0" w:color="auto"/>
                                                    <w:left w:val="none" w:sz="0" w:space="0" w:color="auto"/>
                                                    <w:bottom w:val="none" w:sz="0" w:space="0" w:color="auto"/>
                                                    <w:right w:val="none" w:sz="0" w:space="0" w:color="auto"/>
                                                  </w:divBdr>
                                                </w:div>
                                                <w:div w:id="1791126945">
                                                  <w:marLeft w:val="0"/>
                                                  <w:marRight w:val="0"/>
                                                  <w:marTop w:val="0"/>
                                                  <w:marBottom w:val="0"/>
                                                  <w:divBdr>
                                                    <w:top w:val="none" w:sz="0" w:space="0" w:color="auto"/>
                                                    <w:left w:val="none" w:sz="0" w:space="0" w:color="auto"/>
                                                    <w:bottom w:val="none" w:sz="0" w:space="0" w:color="auto"/>
                                                    <w:right w:val="none" w:sz="0" w:space="0" w:color="auto"/>
                                                  </w:divBdr>
                                                </w:div>
                                                <w:div w:id="18982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8768">
                              <w:marLeft w:val="0"/>
                              <w:marRight w:val="0"/>
                              <w:marTop w:val="0"/>
                              <w:marBottom w:val="0"/>
                              <w:divBdr>
                                <w:top w:val="none" w:sz="0" w:space="0" w:color="auto"/>
                                <w:left w:val="none" w:sz="0" w:space="0" w:color="auto"/>
                                <w:bottom w:val="none" w:sz="0" w:space="0" w:color="auto"/>
                                <w:right w:val="none" w:sz="0" w:space="0" w:color="auto"/>
                              </w:divBdr>
                              <w:divsChild>
                                <w:div w:id="1095246123">
                                  <w:marLeft w:val="0"/>
                                  <w:marRight w:val="0"/>
                                  <w:marTop w:val="0"/>
                                  <w:marBottom w:val="0"/>
                                  <w:divBdr>
                                    <w:top w:val="none" w:sz="0" w:space="0" w:color="auto"/>
                                    <w:left w:val="none" w:sz="0" w:space="0" w:color="auto"/>
                                    <w:bottom w:val="none" w:sz="0" w:space="0" w:color="auto"/>
                                    <w:right w:val="none" w:sz="0" w:space="0" w:color="auto"/>
                                  </w:divBdr>
                                  <w:divsChild>
                                    <w:div w:id="1639451237">
                                      <w:marLeft w:val="0"/>
                                      <w:marRight w:val="0"/>
                                      <w:marTop w:val="0"/>
                                      <w:marBottom w:val="0"/>
                                      <w:divBdr>
                                        <w:top w:val="none" w:sz="0" w:space="0" w:color="auto"/>
                                        <w:left w:val="none" w:sz="0" w:space="0" w:color="auto"/>
                                        <w:bottom w:val="none" w:sz="0" w:space="0" w:color="auto"/>
                                        <w:right w:val="none" w:sz="0" w:space="0" w:color="auto"/>
                                      </w:divBdr>
                                      <w:divsChild>
                                        <w:div w:id="2027712969">
                                          <w:marLeft w:val="0"/>
                                          <w:marRight w:val="0"/>
                                          <w:marTop w:val="0"/>
                                          <w:marBottom w:val="0"/>
                                          <w:divBdr>
                                            <w:top w:val="none" w:sz="0" w:space="0" w:color="auto"/>
                                            <w:left w:val="none" w:sz="0" w:space="0" w:color="auto"/>
                                            <w:bottom w:val="none" w:sz="0" w:space="0" w:color="auto"/>
                                            <w:right w:val="none" w:sz="0" w:space="0" w:color="auto"/>
                                          </w:divBdr>
                                          <w:divsChild>
                                            <w:div w:id="17092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4078960">
      <w:bodyDiv w:val="1"/>
      <w:marLeft w:val="0"/>
      <w:marRight w:val="0"/>
      <w:marTop w:val="0"/>
      <w:marBottom w:val="0"/>
      <w:divBdr>
        <w:top w:val="none" w:sz="0" w:space="0" w:color="auto"/>
        <w:left w:val="none" w:sz="0" w:space="0" w:color="auto"/>
        <w:bottom w:val="none" w:sz="0" w:space="0" w:color="auto"/>
        <w:right w:val="none" w:sz="0" w:space="0" w:color="auto"/>
      </w:divBdr>
    </w:div>
    <w:div w:id="1143159708">
      <w:bodyDiv w:val="1"/>
      <w:marLeft w:val="0"/>
      <w:marRight w:val="0"/>
      <w:marTop w:val="0"/>
      <w:marBottom w:val="0"/>
      <w:divBdr>
        <w:top w:val="none" w:sz="0" w:space="0" w:color="auto"/>
        <w:left w:val="none" w:sz="0" w:space="0" w:color="auto"/>
        <w:bottom w:val="none" w:sz="0" w:space="0" w:color="auto"/>
        <w:right w:val="none" w:sz="0" w:space="0" w:color="auto"/>
      </w:divBdr>
    </w:div>
    <w:div w:id="1164129372">
      <w:bodyDiv w:val="1"/>
      <w:marLeft w:val="0"/>
      <w:marRight w:val="0"/>
      <w:marTop w:val="0"/>
      <w:marBottom w:val="0"/>
      <w:divBdr>
        <w:top w:val="none" w:sz="0" w:space="0" w:color="auto"/>
        <w:left w:val="none" w:sz="0" w:space="0" w:color="auto"/>
        <w:bottom w:val="none" w:sz="0" w:space="0" w:color="auto"/>
        <w:right w:val="none" w:sz="0" w:space="0" w:color="auto"/>
      </w:divBdr>
    </w:div>
    <w:div w:id="1178009751">
      <w:bodyDiv w:val="1"/>
      <w:marLeft w:val="0"/>
      <w:marRight w:val="0"/>
      <w:marTop w:val="0"/>
      <w:marBottom w:val="0"/>
      <w:divBdr>
        <w:top w:val="none" w:sz="0" w:space="0" w:color="auto"/>
        <w:left w:val="none" w:sz="0" w:space="0" w:color="auto"/>
        <w:bottom w:val="none" w:sz="0" w:space="0" w:color="auto"/>
        <w:right w:val="none" w:sz="0" w:space="0" w:color="auto"/>
      </w:divBdr>
    </w:div>
    <w:div w:id="1178886328">
      <w:bodyDiv w:val="1"/>
      <w:marLeft w:val="0"/>
      <w:marRight w:val="0"/>
      <w:marTop w:val="0"/>
      <w:marBottom w:val="0"/>
      <w:divBdr>
        <w:top w:val="none" w:sz="0" w:space="0" w:color="auto"/>
        <w:left w:val="none" w:sz="0" w:space="0" w:color="auto"/>
        <w:bottom w:val="none" w:sz="0" w:space="0" w:color="auto"/>
        <w:right w:val="none" w:sz="0" w:space="0" w:color="auto"/>
      </w:divBdr>
    </w:div>
    <w:div w:id="1181165728">
      <w:bodyDiv w:val="1"/>
      <w:marLeft w:val="0"/>
      <w:marRight w:val="0"/>
      <w:marTop w:val="0"/>
      <w:marBottom w:val="0"/>
      <w:divBdr>
        <w:top w:val="none" w:sz="0" w:space="0" w:color="auto"/>
        <w:left w:val="none" w:sz="0" w:space="0" w:color="auto"/>
        <w:bottom w:val="none" w:sz="0" w:space="0" w:color="auto"/>
        <w:right w:val="none" w:sz="0" w:space="0" w:color="auto"/>
      </w:divBdr>
    </w:div>
    <w:div w:id="1190029503">
      <w:bodyDiv w:val="1"/>
      <w:marLeft w:val="0"/>
      <w:marRight w:val="0"/>
      <w:marTop w:val="0"/>
      <w:marBottom w:val="0"/>
      <w:divBdr>
        <w:top w:val="none" w:sz="0" w:space="0" w:color="auto"/>
        <w:left w:val="none" w:sz="0" w:space="0" w:color="auto"/>
        <w:bottom w:val="none" w:sz="0" w:space="0" w:color="auto"/>
        <w:right w:val="none" w:sz="0" w:space="0" w:color="auto"/>
      </w:divBdr>
    </w:div>
    <w:div w:id="1254781495">
      <w:bodyDiv w:val="1"/>
      <w:marLeft w:val="0"/>
      <w:marRight w:val="0"/>
      <w:marTop w:val="0"/>
      <w:marBottom w:val="0"/>
      <w:divBdr>
        <w:top w:val="none" w:sz="0" w:space="0" w:color="auto"/>
        <w:left w:val="none" w:sz="0" w:space="0" w:color="auto"/>
        <w:bottom w:val="none" w:sz="0" w:space="0" w:color="auto"/>
        <w:right w:val="none" w:sz="0" w:space="0" w:color="auto"/>
      </w:divBdr>
    </w:div>
    <w:div w:id="1260719640">
      <w:bodyDiv w:val="1"/>
      <w:marLeft w:val="0"/>
      <w:marRight w:val="0"/>
      <w:marTop w:val="0"/>
      <w:marBottom w:val="0"/>
      <w:divBdr>
        <w:top w:val="none" w:sz="0" w:space="0" w:color="auto"/>
        <w:left w:val="none" w:sz="0" w:space="0" w:color="auto"/>
        <w:bottom w:val="none" w:sz="0" w:space="0" w:color="auto"/>
        <w:right w:val="none" w:sz="0" w:space="0" w:color="auto"/>
      </w:divBdr>
    </w:div>
    <w:div w:id="1268855673">
      <w:bodyDiv w:val="1"/>
      <w:marLeft w:val="0"/>
      <w:marRight w:val="0"/>
      <w:marTop w:val="0"/>
      <w:marBottom w:val="0"/>
      <w:divBdr>
        <w:top w:val="none" w:sz="0" w:space="0" w:color="auto"/>
        <w:left w:val="none" w:sz="0" w:space="0" w:color="auto"/>
        <w:bottom w:val="none" w:sz="0" w:space="0" w:color="auto"/>
        <w:right w:val="none" w:sz="0" w:space="0" w:color="auto"/>
      </w:divBdr>
      <w:divsChild>
        <w:div w:id="521671823">
          <w:marLeft w:val="0"/>
          <w:marRight w:val="0"/>
          <w:marTop w:val="0"/>
          <w:marBottom w:val="0"/>
          <w:divBdr>
            <w:top w:val="none" w:sz="0" w:space="0" w:color="auto"/>
            <w:left w:val="none" w:sz="0" w:space="0" w:color="auto"/>
            <w:bottom w:val="none" w:sz="0" w:space="0" w:color="auto"/>
            <w:right w:val="none" w:sz="0" w:space="0" w:color="auto"/>
          </w:divBdr>
        </w:div>
      </w:divsChild>
    </w:div>
    <w:div w:id="1319771637">
      <w:bodyDiv w:val="1"/>
      <w:marLeft w:val="0"/>
      <w:marRight w:val="0"/>
      <w:marTop w:val="0"/>
      <w:marBottom w:val="0"/>
      <w:divBdr>
        <w:top w:val="none" w:sz="0" w:space="0" w:color="auto"/>
        <w:left w:val="none" w:sz="0" w:space="0" w:color="auto"/>
        <w:bottom w:val="none" w:sz="0" w:space="0" w:color="auto"/>
        <w:right w:val="none" w:sz="0" w:space="0" w:color="auto"/>
      </w:divBdr>
      <w:divsChild>
        <w:div w:id="113328146">
          <w:marLeft w:val="0"/>
          <w:marRight w:val="0"/>
          <w:marTop w:val="0"/>
          <w:marBottom w:val="0"/>
          <w:divBdr>
            <w:top w:val="single" w:sz="2" w:space="0" w:color="E5E7EB"/>
            <w:left w:val="single" w:sz="2" w:space="0" w:color="E5E7EB"/>
            <w:bottom w:val="single" w:sz="2" w:space="0" w:color="E5E7EB"/>
            <w:right w:val="single" w:sz="2" w:space="0" w:color="E5E7EB"/>
          </w:divBdr>
        </w:div>
        <w:div w:id="201677691">
          <w:marLeft w:val="0"/>
          <w:marRight w:val="0"/>
          <w:marTop w:val="0"/>
          <w:marBottom w:val="0"/>
          <w:divBdr>
            <w:top w:val="single" w:sz="2" w:space="0" w:color="E5E7EB"/>
            <w:left w:val="single" w:sz="2" w:space="0" w:color="E5E7EB"/>
            <w:bottom w:val="single" w:sz="2" w:space="0" w:color="E5E7EB"/>
            <w:right w:val="single" w:sz="2" w:space="0" w:color="E5E7EB"/>
          </w:divBdr>
        </w:div>
        <w:div w:id="859466931">
          <w:marLeft w:val="0"/>
          <w:marRight w:val="0"/>
          <w:marTop w:val="0"/>
          <w:marBottom w:val="0"/>
          <w:divBdr>
            <w:top w:val="single" w:sz="2" w:space="0" w:color="E5E7EB"/>
            <w:left w:val="single" w:sz="2" w:space="0" w:color="E5E7EB"/>
            <w:bottom w:val="single" w:sz="2" w:space="0" w:color="E5E7EB"/>
            <w:right w:val="single" w:sz="2" w:space="0" w:color="E5E7EB"/>
          </w:divBdr>
        </w:div>
        <w:div w:id="954869181">
          <w:marLeft w:val="0"/>
          <w:marRight w:val="0"/>
          <w:marTop w:val="0"/>
          <w:marBottom w:val="0"/>
          <w:divBdr>
            <w:top w:val="single" w:sz="2" w:space="0" w:color="E5E7EB"/>
            <w:left w:val="single" w:sz="2" w:space="0" w:color="E5E7EB"/>
            <w:bottom w:val="single" w:sz="2" w:space="0" w:color="E5E7EB"/>
            <w:right w:val="single" w:sz="2" w:space="0" w:color="E5E7EB"/>
          </w:divBdr>
        </w:div>
        <w:div w:id="1162503248">
          <w:marLeft w:val="0"/>
          <w:marRight w:val="0"/>
          <w:marTop w:val="0"/>
          <w:marBottom w:val="0"/>
          <w:divBdr>
            <w:top w:val="single" w:sz="2" w:space="0" w:color="E5E7EB"/>
            <w:left w:val="single" w:sz="2" w:space="0" w:color="E5E7EB"/>
            <w:bottom w:val="single" w:sz="2" w:space="0" w:color="E5E7EB"/>
            <w:right w:val="single" w:sz="2" w:space="0" w:color="E5E7EB"/>
          </w:divBdr>
        </w:div>
        <w:div w:id="1313563948">
          <w:marLeft w:val="0"/>
          <w:marRight w:val="0"/>
          <w:marTop w:val="0"/>
          <w:marBottom w:val="0"/>
          <w:divBdr>
            <w:top w:val="single" w:sz="2" w:space="0" w:color="E5E7EB"/>
            <w:left w:val="single" w:sz="2" w:space="0" w:color="E5E7EB"/>
            <w:bottom w:val="single" w:sz="2" w:space="0" w:color="E5E7EB"/>
            <w:right w:val="single" w:sz="2" w:space="0" w:color="E5E7EB"/>
          </w:divBdr>
          <w:divsChild>
            <w:div w:id="2028827232">
              <w:marLeft w:val="0"/>
              <w:marRight w:val="0"/>
              <w:marTop w:val="0"/>
              <w:marBottom w:val="0"/>
              <w:divBdr>
                <w:top w:val="single" w:sz="2" w:space="0" w:color="E5E7EB"/>
                <w:left w:val="single" w:sz="2" w:space="0" w:color="E5E7EB"/>
                <w:bottom w:val="single" w:sz="2" w:space="0" w:color="E5E7EB"/>
                <w:right w:val="single" w:sz="2" w:space="0" w:color="E5E7EB"/>
              </w:divBdr>
            </w:div>
            <w:div w:id="2144998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0544745">
          <w:marLeft w:val="0"/>
          <w:marRight w:val="0"/>
          <w:marTop w:val="0"/>
          <w:marBottom w:val="0"/>
          <w:divBdr>
            <w:top w:val="single" w:sz="2" w:space="0" w:color="E5E7EB"/>
            <w:left w:val="single" w:sz="2" w:space="0" w:color="E5E7EB"/>
            <w:bottom w:val="single" w:sz="2" w:space="0" w:color="E5E7EB"/>
            <w:right w:val="single" w:sz="2" w:space="0" w:color="E5E7EB"/>
          </w:divBdr>
        </w:div>
        <w:div w:id="1801534848">
          <w:marLeft w:val="0"/>
          <w:marRight w:val="0"/>
          <w:marTop w:val="0"/>
          <w:marBottom w:val="0"/>
          <w:divBdr>
            <w:top w:val="single" w:sz="2" w:space="0" w:color="E5E7EB"/>
            <w:left w:val="single" w:sz="2" w:space="0" w:color="E5E7EB"/>
            <w:bottom w:val="single" w:sz="2" w:space="0" w:color="E5E7EB"/>
            <w:right w:val="single" w:sz="2" w:space="0" w:color="E5E7EB"/>
          </w:divBdr>
          <w:divsChild>
            <w:div w:id="698631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92525">
      <w:bodyDiv w:val="1"/>
      <w:marLeft w:val="0"/>
      <w:marRight w:val="0"/>
      <w:marTop w:val="0"/>
      <w:marBottom w:val="0"/>
      <w:divBdr>
        <w:top w:val="none" w:sz="0" w:space="0" w:color="auto"/>
        <w:left w:val="none" w:sz="0" w:space="0" w:color="auto"/>
        <w:bottom w:val="none" w:sz="0" w:space="0" w:color="auto"/>
        <w:right w:val="none" w:sz="0" w:space="0" w:color="auto"/>
      </w:divBdr>
    </w:div>
    <w:div w:id="1349869920">
      <w:bodyDiv w:val="1"/>
      <w:marLeft w:val="0"/>
      <w:marRight w:val="0"/>
      <w:marTop w:val="0"/>
      <w:marBottom w:val="0"/>
      <w:divBdr>
        <w:top w:val="none" w:sz="0" w:space="0" w:color="auto"/>
        <w:left w:val="none" w:sz="0" w:space="0" w:color="auto"/>
        <w:bottom w:val="none" w:sz="0" w:space="0" w:color="auto"/>
        <w:right w:val="none" w:sz="0" w:space="0" w:color="auto"/>
      </w:divBdr>
    </w:div>
    <w:div w:id="1350719681">
      <w:bodyDiv w:val="1"/>
      <w:marLeft w:val="0"/>
      <w:marRight w:val="0"/>
      <w:marTop w:val="0"/>
      <w:marBottom w:val="0"/>
      <w:divBdr>
        <w:top w:val="none" w:sz="0" w:space="0" w:color="auto"/>
        <w:left w:val="none" w:sz="0" w:space="0" w:color="auto"/>
        <w:bottom w:val="none" w:sz="0" w:space="0" w:color="auto"/>
        <w:right w:val="none" w:sz="0" w:space="0" w:color="auto"/>
      </w:divBdr>
    </w:div>
    <w:div w:id="1353726463">
      <w:bodyDiv w:val="1"/>
      <w:marLeft w:val="0"/>
      <w:marRight w:val="0"/>
      <w:marTop w:val="0"/>
      <w:marBottom w:val="0"/>
      <w:divBdr>
        <w:top w:val="none" w:sz="0" w:space="0" w:color="auto"/>
        <w:left w:val="none" w:sz="0" w:space="0" w:color="auto"/>
        <w:bottom w:val="none" w:sz="0" w:space="0" w:color="auto"/>
        <w:right w:val="none" w:sz="0" w:space="0" w:color="auto"/>
      </w:divBdr>
    </w:div>
    <w:div w:id="1361005548">
      <w:bodyDiv w:val="1"/>
      <w:marLeft w:val="0"/>
      <w:marRight w:val="0"/>
      <w:marTop w:val="0"/>
      <w:marBottom w:val="0"/>
      <w:divBdr>
        <w:top w:val="none" w:sz="0" w:space="0" w:color="auto"/>
        <w:left w:val="none" w:sz="0" w:space="0" w:color="auto"/>
        <w:bottom w:val="none" w:sz="0" w:space="0" w:color="auto"/>
        <w:right w:val="none" w:sz="0" w:space="0" w:color="auto"/>
      </w:divBdr>
    </w:div>
    <w:div w:id="1371149830">
      <w:bodyDiv w:val="1"/>
      <w:marLeft w:val="0"/>
      <w:marRight w:val="0"/>
      <w:marTop w:val="0"/>
      <w:marBottom w:val="0"/>
      <w:divBdr>
        <w:top w:val="none" w:sz="0" w:space="0" w:color="auto"/>
        <w:left w:val="none" w:sz="0" w:space="0" w:color="auto"/>
        <w:bottom w:val="none" w:sz="0" w:space="0" w:color="auto"/>
        <w:right w:val="none" w:sz="0" w:space="0" w:color="auto"/>
      </w:divBdr>
    </w:div>
    <w:div w:id="1401639712">
      <w:bodyDiv w:val="1"/>
      <w:marLeft w:val="0"/>
      <w:marRight w:val="0"/>
      <w:marTop w:val="0"/>
      <w:marBottom w:val="0"/>
      <w:divBdr>
        <w:top w:val="none" w:sz="0" w:space="0" w:color="auto"/>
        <w:left w:val="none" w:sz="0" w:space="0" w:color="auto"/>
        <w:bottom w:val="none" w:sz="0" w:space="0" w:color="auto"/>
        <w:right w:val="none" w:sz="0" w:space="0" w:color="auto"/>
      </w:divBdr>
    </w:div>
    <w:div w:id="1455366817">
      <w:bodyDiv w:val="1"/>
      <w:marLeft w:val="0"/>
      <w:marRight w:val="0"/>
      <w:marTop w:val="0"/>
      <w:marBottom w:val="0"/>
      <w:divBdr>
        <w:top w:val="none" w:sz="0" w:space="0" w:color="auto"/>
        <w:left w:val="none" w:sz="0" w:space="0" w:color="auto"/>
        <w:bottom w:val="none" w:sz="0" w:space="0" w:color="auto"/>
        <w:right w:val="none" w:sz="0" w:space="0" w:color="auto"/>
      </w:divBdr>
    </w:div>
    <w:div w:id="1466385671">
      <w:bodyDiv w:val="1"/>
      <w:marLeft w:val="0"/>
      <w:marRight w:val="0"/>
      <w:marTop w:val="0"/>
      <w:marBottom w:val="0"/>
      <w:divBdr>
        <w:top w:val="none" w:sz="0" w:space="0" w:color="auto"/>
        <w:left w:val="none" w:sz="0" w:space="0" w:color="auto"/>
        <w:bottom w:val="none" w:sz="0" w:space="0" w:color="auto"/>
        <w:right w:val="none" w:sz="0" w:space="0" w:color="auto"/>
      </w:divBdr>
      <w:divsChild>
        <w:div w:id="492254938">
          <w:marLeft w:val="0"/>
          <w:marRight w:val="0"/>
          <w:marTop w:val="0"/>
          <w:marBottom w:val="0"/>
          <w:divBdr>
            <w:top w:val="none" w:sz="0" w:space="0" w:color="auto"/>
            <w:left w:val="none" w:sz="0" w:space="0" w:color="auto"/>
            <w:bottom w:val="none" w:sz="0" w:space="0" w:color="auto"/>
            <w:right w:val="none" w:sz="0" w:space="0" w:color="auto"/>
          </w:divBdr>
          <w:divsChild>
            <w:div w:id="1842888612">
              <w:marLeft w:val="0"/>
              <w:marRight w:val="0"/>
              <w:marTop w:val="0"/>
              <w:marBottom w:val="0"/>
              <w:divBdr>
                <w:top w:val="none" w:sz="0" w:space="0" w:color="auto"/>
                <w:left w:val="none" w:sz="0" w:space="0" w:color="auto"/>
                <w:bottom w:val="none" w:sz="0" w:space="0" w:color="auto"/>
                <w:right w:val="none" w:sz="0" w:space="0" w:color="auto"/>
              </w:divBdr>
            </w:div>
          </w:divsChild>
        </w:div>
        <w:div w:id="2002076663">
          <w:marLeft w:val="0"/>
          <w:marRight w:val="0"/>
          <w:marTop w:val="0"/>
          <w:marBottom w:val="270"/>
          <w:divBdr>
            <w:top w:val="none" w:sz="0" w:space="0" w:color="auto"/>
            <w:left w:val="none" w:sz="0" w:space="0" w:color="auto"/>
            <w:bottom w:val="none" w:sz="0" w:space="0" w:color="auto"/>
            <w:right w:val="none" w:sz="0" w:space="0" w:color="auto"/>
          </w:divBdr>
        </w:div>
      </w:divsChild>
    </w:div>
    <w:div w:id="1512065869">
      <w:bodyDiv w:val="1"/>
      <w:marLeft w:val="0"/>
      <w:marRight w:val="0"/>
      <w:marTop w:val="0"/>
      <w:marBottom w:val="0"/>
      <w:divBdr>
        <w:top w:val="none" w:sz="0" w:space="0" w:color="auto"/>
        <w:left w:val="none" w:sz="0" w:space="0" w:color="auto"/>
        <w:bottom w:val="none" w:sz="0" w:space="0" w:color="auto"/>
        <w:right w:val="none" w:sz="0" w:space="0" w:color="auto"/>
      </w:divBdr>
    </w:div>
    <w:div w:id="1576089680">
      <w:bodyDiv w:val="1"/>
      <w:marLeft w:val="0"/>
      <w:marRight w:val="0"/>
      <w:marTop w:val="0"/>
      <w:marBottom w:val="0"/>
      <w:divBdr>
        <w:top w:val="none" w:sz="0" w:space="0" w:color="auto"/>
        <w:left w:val="none" w:sz="0" w:space="0" w:color="auto"/>
        <w:bottom w:val="none" w:sz="0" w:space="0" w:color="auto"/>
        <w:right w:val="none" w:sz="0" w:space="0" w:color="auto"/>
      </w:divBdr>
    </w:div>
    <w:div w:id="1577284627">
      <w:bodyDiv w:val="1"/>
      <w:marLeft w:val="0"/>
      <w:marRight w:val="0"/>
      <w:marTop w:val="0"/>
      <w:marBottom w:val="0"/>
      <w:divBdr>
        <w:top w:val="none" w:sz="0" w:space="0" w:color="auto"/>
        <w:left w:val="none" w:sz="0" w:space="0" w:color="auto"/>
        <w:bottom w:val="none" w:sz="0" w:space="0" w:color="auto"/>
        <w:right w:val="none" w:sz="0" w:space="0" w:color="auto"/>
      </w:divBdr>
    </w:div>
    <w:div w:id="1578053497">
      <w:bodyDiv w:val="1"/>
      <w:marLeft w:val="0"/>
      <w:marRight w:val="0"/>
      <w:marTop w:val="0"/>
      <w:marBottom w:val="0"/>
      <w:divBdr>
        <w:top w:val="none" w:sz="0" w:space="0" w:color="auto"/>
        <w:left w:val="none" w:sz="0" w:space="0" w:color="auto"/>
        <w:bottom w:val="none" w:sz="0" w:space="0" w:color="auto"/>
        <w:right w:val="none" w:sz="0" w:space="0" w:color="auto"/>
      </w:divBdr>
    </w:div>
    <w:div w:id="1594431410">
      <w:bodyDiv w:val="1"/>
      <w:marLeft w:val="0"/>
      <w:marRight w:val="0"/>
      <w:marTop w:val="0"/>
      <w:marBottom w:val="0"/>
      <w:divBdr>
        <w:top w:val="none" w:sz="0" w:space="0" w:color="auto"/>
        <w:left w:val="none" w:sz="0" w:space="0" w:color="auto"/>
        <w:bottom w:val="none" w:sz="0" w:space="0" w:color="auto"/>
        <w:right w:val="none" w:sz="0" w:space="0" w:color="auto"/>
      </w:divBdr>
    </w:div>
    <w:div w:id="1595435581">
      <w:bodyDiv w:val="1"/>
      <w:marLeft w:val="0"/>
      <w:marRight w:val="0"/>
      <w:marTop w:val="0"/>
      <w:marBottom w:val="0"/>
      <w:divBdr>
        <w:top w:val="none" w:sz="0" w:space="0" w:color="auto"/>
        <w:left w:val="none" w:sz="0" w:space="0" w:color="auto"/>
        <w:bottom w:val="none" w:sz="0" w:space="0" w:color="auto"/>
        <w:right w:val="none" w:sz="0" w:space="0" w:color="auto"/>
      </w:divBdr>
    </w:div>
    <w:div w:id="1595936794">
      <w:bodyDiv w:val="1"/>
      <w:marLeft w:val="0"/>
      <w:marRight w:val="0"/>
      <w:marTop w:val="0"/>
      <w:marBottom w:val="0"/>
      <w:divBdr>
        <w:top w:val="none" w:sz="0" w:space="0" w:color="auto"/>
        <w:left w:val="none" w:sz="0" w:space="0" w:color="auto"/>
        <w:bottom w:val="none" w:sz="0" w:space="0" w:color="auto"/>
        <w:right w:val="none" w:sz="0" w:space="0" w:color="auto"/>
      </w:divBdr>
    </w:div>
    <w:div w:id="1605304630">
      <w:bodyDiv w:val="1"/>
      <w:marLeft w:val="0"/>
      <w:marRight w:val="0"/>
      <w:marTop w:val="0"/>
      <w:marBottom w:val="0"/>
      <w:divBdr>
        <w:top w:val="none" w:sz="0" w:space="0" w:color="auto"/>
        <w:left w:val="none" w:sz="0" w:space="0" w:color="auto"/>
        <w:bottom w:val="none" w:sz="0" w:space="0" w:color="auto"/>
        <w:right w:val="none" w:sz="0" w:space="0" w:color="auto"/>
      </w:divBdr>
    </w:div>
    <w:div w:id="1628776142">
      <w:bodyDiv w:val="1"/>
      <w:marLeft w:val="0"/>
      <w:marRight w:val="0"/>
      <w:marTop w:val="0"/>
      <w:marBottom w:val="0"/>
      <w:divBdr>
        <w:top w:val="none" w:sz="0" w:space="0" w:color="auto"/>
        <w:left w:val="none" w:sz="0" w:space="0" w:color="auto"/>
        <w:bottom w:val="none" w:sz="0" w:space="0" w:color="auto"/>
        <w:right w:val="none" w:sz="0" w:space="0" w:color="auto"/>
      </w:divBdr>
    </w:div>
    <w:div w:id="1689914673">
      <w:bodyDiv w:val="1"/>
      <w:marLeft w:val="0"/>
      <w:marRight w:val="0"/>
      <w:marTop w:val="0"/>
      <w:marBottom w:val="0"/>
      <w:divBdr>
        <w:top w:val="none" w:sz="0" w:space="0" w:color="auto"/>
        <w:left w:val="none" w:sz="0" w:space="0" w:color="auto"/>
        <w:bottom w:val="none" w:sz="0" w:space="0" w:color="auto"/>
        <w:right w:val="none" w:sz="0" w:space="0" w:color="auto"/>
      </w:divBdr>
    </w:div>
    <w:div w:id="1692880075">
      <w:bodyDiv w:val="1"/>
      <w:marLeft w:val="0"/>
      <w:marRight w:val="0"/>
      <w:marTop w:val="0"/>
      <w:marBottom w:val="0"/>
      <w:divBdr>
        <w:top w:val="none" w:sz="0" w:space="0" w:color="auto"/>
        <w:left w:val="none" w:sz="0" w:space="0" w:color="auto"/>
        <w:bottom w:val="none" w:sz="0" w:space="0" w:color="auto"/>
        <w:right w:val="none" w:sz="0" w:space="0" w:color="auto"/>
      </w:divBdr>
    </w:div>
    <w:div w:id="1707826522">
      <w:bodyDiv w:val="1"/>
      <w:marLeft w:val="0"/>
      <w:marRight w:val="0"/>
      <w:marTop w:val="0"/>
      <w:marBottom w:val="0"/>
      <w:divBdr>
        <w:top w:val="none" w:sz="0" w:space="0" w:color="auto"/>
        <w:left w:val="none" w:sz="0" w:space="0" w:color="auto"/>
        <w:bottom w:val="none" w:sz="0" w:space="0" w:color="auto"/>
        <w:right w:val="none" w:sz="0" w:space="0" w:color="auto"/>
      </w:divBdr>
    </w:div>
    <w:div w:id="1716344654">
      <w:bodyDiv w:val="1"/>
      <w:marLeft w:val="0"/>
      <w:marRight w:val="0"/>
      <w:marTop w:val="0"/>
      <w:marBottom w:val="0"/>
      <w:divBdr>
        <w:top w:val="none" w:sz="0" w:space="0" w:color="auto"/>
        <w:left w:val="none" w:sz="0" w:space="0" w:color="auto"/>
        <w:bottom w:val="none" w:sz="0" w:space="0" w:color="auto"/>
        <w:right w:val="none" w:sz="0" w:space="0" w:color="auto"/>
      </w:divBdr>
      <w:divsChild>
        <w:div w:id="76757849">
          <w:marLeft w:val="0"/>
          <w:marRight w:val="0"/>
          <w:marTop w:val="0"/>
          <w:marBottom w:val="300"/>
          <w:divBdr>
            <w:top w:val="none" w:sz="0" w:space="0" w:color="auto"/>
            <w:left w:val="none" w:sz="0" w:space="0" w:color="auto"/>
            <w:bottom w:val="none" w:sz="0" w:space="0" w:color="auto"/>
            <w:right w:val="none" w:sz="0" w:space="0" w:color="auto"/>
          </w:divBdr>
          <w:divsChild>
            <w:div w:id="415977754">
              <w:marLeft w:val="0"/>
              <w:marRight w:val="0"/>
              <w:marTop w:val="0"/>
              <w:marBottom w:val="0"/>
              <w:divBdr>
                <w:top w:val="none" w:sz="0" w:space="0" w:color="auto"/>
                <w:left w:val="none" w:sz="0" w:space="0" w:color="auto"/>
                <w:bottom w:val="none" w:sz="0" w:space="0" w:color="auto"/>
                <w:right w:val="none" w:sz="0" w:space="0" w:color="auto"/>
              </w:divBdr>
            </w:div>
            <w:div w:id="19486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2512">
      <w:bodyDiv w:val="1"/>
      <w:marLeft w:val="0"/>
      <w:marRight w:val="0"/>
      <w:marTop w:val="0"/>
      <w:marBottom w:val="0"/>
      <w:divBdr>
        <w:top w:val="none" w:sz="0" w:space="0" w:color="auto"/>
        <w:left w:val="none" w:sz="0" w:space="0" w:color="auto"/>
        <w:bottom w:val="none" w:sz="0" w:space="0" w:color="auto"/>
        <w:right w:val="none" w:sz="0" w:space="0" w:color="auto"/>
      </w:divBdr>
    </w:div>
    <w:div w:id="1780297627">
      <w:bodyDiv w:val="1"/>
      <w:marLeft w:val="0"/>
      <w:marRight w:val="0"/>
      <w:marTop w:val="0"/>
      <w:marBottom w:val="0"/>
      <w:divBdr>
        <w:top w:val="none" w:sz="0" w:space="0" w:color="auto"/>
        <w:left w:val="none" w:sz="0" w:space="0" w:color="auto"/>
        <w:bottom w:val="none" w:sz="0" w:space="0" w:color="auto"/>
        <w:right w:val="none" w:sz="0" w:space="0" w:color="auto"/>
      </w:divBdr>
    </w:div>
    <w:div w:id="1816528032">
      <w:bodyDiv w:val="1"/>
      <w:marLeft w:val="0"/>
      <w:marRight w:val="0"/>
      <w:marTop w:val="0"/>
      <w:marBottom w:val="0"/>
      <w:divBdr>
        <w:top w:val="none" w:sz="0" w:space="0" w:color="auto"/>
        <w:left w:val="none" w:sz="0" w:space="0" w:color="auto"/>
        <w:bottom w:val="none" w:sz="0" w:space="0" w:color="auto"/>
        <w:right w:val="none" w:sz="0" w:space="0" w:color="auto"/>
      </w:divBdr>
    </w:div>
    <w:div w:id="1829593345">
      <w:bodyDiv w:val="1"/>
      <w:marLeft w:val="0"/>
      <w:marRight w:val="0"/>
      <w:marTop w:val="0"/>
      <w:marBottom w:val="0"/>
      <w:divBdr>
        <w:top w:val="none" w:sz="0" w:space="0" w:color="auto"/>
        <w:left w:val="none" w:sz="0" w:space="0" w:color="auto"/>
        <w:bottom w:val="none" w:sz="0" w:space="0" w:color="auto"/>
        <w:right w:val="none" w:sz="0" w:space="0" w:color="auto"/>
      </w:divBdr>
    </w:div>
    <w:div w:id="1874952133">
      <w:bodyDiv w:val="1"/>
      <w:marLeft w:val="0"/>
      <w:marRight w:val="0"/>
      <w:marTop w:val="0"/>
      <w:marBottom w:val="0"/>
      <w:divBdr>
        <w:top w:val="none" w:sz="0" w:space="0" w:color="auto"/>
        <w:left w:val="none" w:sz="0" w:space="0" w:color="auto"/>
        <w:bottom w:val="none" w:sz="0" w:space="0" w:color="auto"/>
        <w:right w:val="none" w:sz="0" w:space="0" w:color="auto"/>
      </w:divBdr>
    </w:div>
    <w:div w:id="1905527301">
      <w:bodyDiv w:val="1"/>
      <w:marLeft w:val="0"/>
      <w:marRight w:val="0"/>
      <w:marTop w:val="0"/>
      <w:marBottom w:val="0"/>
      <w:divBdr>
        <w:top w:val="none" w:sz="0" w:space="0" w:color="auto"/>
        <w:left w:val="none" w:sz="0" w:space="0" w:color="auto"/>
        <w:bottom w:val="none" w:sz="0" w:space="0" w:color="auto"/>
        <w:right w:val="none" w:sz="0" w:space="0" w:color="auto"/>
      </w:divBdr>
    </w:div>
    <w:div w:id="1920748603">
      <w:bodyDiv w:val="1"/>
      <w:marLeft w:val="0"/>
      <w:marRight w:val="0"/>
      <w:marTop w:val="0"/>
      <w:marBottom w:val="0"/>
      <w:divBdr>
        <w:top w:val="none" w:sz="0" w:space="0" w:color="auto"/>
        <w:left w:val="none" w:sz="0" w:space="0" w:color="auto"/>
        <w:bottom w:val="none" w:sz="0" w:space="0" w:color="auto"/>
        <w:right w:val="none" w:sz="0" w:space="0" w:color="auto"/>
      </w:divBdr>
    </w:div>
    <w:div w:id="1964458228">
      <w:bodyDiv w:val="1"/>
      <w:marLeft w:val="0"/>
      <w:marRight w:val="0"/>
      <w:marTop w:val="0"/>
      <w:marBottom w:val="0"/>
      <w:divBdr>
        <w:top w:val="none" w:sz="0" w:space="0" w:color="auto"/>
        <w:left w:val="none" w:sz="0" w:space="0" w:color="auto"/>
        <w:bottom w:val="none" w:sz="0" w:space="0" w:color="auto"/>
        <w:right w:val="none" w:sz="0" w:space="0" w:color="auto"/>
      </w:divBdr>
    </w:div>
    <w:div w:id="1981105817">
      <w:bodyDiv w:val="1"/>
      <w:marLeft w:val="0"/>
      <w:marRight w:val="0"/>
      <w:marTop w:val="0"/>
      <w:marBottom w:val="0"/>
      <w:divBdr>
        <w:top w:val="none" w:sz="0" w:space="0" w:color="auto"/>
        <w:left w:val="none" w:sz="0" w:space="0" w:color="auto"/>
        <w:bottom w:val="none" w:sz="0" w:space="0" w:color="auto"/>
        <w:right w:val="none" w:sz="0" w:space="0" w:color="auto"/>
      </w:divBdr>
    </w:div>
    <w:div w:id="2000190496">
      <w:bodyDiv w:val="1"/>
      <w:marLeft w:val="0"/>
      <w:marRight w:val="0"/>
      <w:marTop w:val="0"/>
      <w:marBottom w:val="0"/>
      <w:divBdr>
        <w:top w:val="none" w:sz="0" w:space="0" w:color="auto"/>
        <w:left w:val="none" w:sz="0" w:space="0" w:color="auto"/>
        <w:bottom w:val="none" w:sz="0" w:space="0" w:color="auto"/>
        <w:right w:val="none" w:sz="0" w:space="0" w:color="auto"/>
      </w:divBdr>
    </w:div>
    <w:div w:id="2023163820">
      <w:bodyDiv w:val="1"/>
      <w:marLeft w:val="0"/>
      <w:marRight w:val="0"/>
      <w:marTop w:val="0"/>
      <w:marBottom w:val="0"/>
      <w:divBdr>
        <w:top w:val="none" w:sz="0" w:space="0" w:color="auto"/>
        <w:left w:val="none" w:sz="0" w:space="0" w:color="auto"/>
        <w:bottom w:val="none" w:sz="0" w:space="0" w:color="auto"/>
        <w:right w:val="none" w:sz="0" w:space="0" w:color="auto"/>
      </w:divBdr>
    </w:div>
    <w:div w:id="2105957721">
      <w:bodyDiv w:val="1"/>
      <w:marLeft w:val="0"/>
      <w:marRight w:val="0"/>
      <w:marTop w:val="0"/>
      <w:marBottom w:val="0"/>
      <w:divBdr>
        <w:top w:val="none" w:sz="0" w:space="0" w:color="auto"/>
        <w:left w:val="none" w:sz="0" w:space="0" w:color="auto"/>
        <w:bottom w:val="none" w:sz="0" w:space="0" w:color="auto"/>
        <w:right w:val="none" w:sz="0" w:space="0" w:color="auto"/>
      </w:divBdr>
    </w:div>
    <w:div w:id="21404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_Peter_Turnquest" TargetMode="External"/><Relationship Id="rId13" Type="http://schemas.openxmlformats.org/officeDocument/2006/relationships/hyperlink" Target="https://www.worldbank.org/ext/en/home" TargetMode="External"/><Relationship Id="rId18" Type="http://schemas.openxmlformats.org/officeDocument/2006/relationships/hyperlink" Target="https://data.worldbank.org/indicator/si.pov.gini?most_recent_value_desc=fal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ransparency.org/en/countries/united-states" TargetMode="External"/><Relationship Id="rId7" Type="http://schemas.openxmlformats.org/officeDocument/2006/relationships/endnotes" Target="endnotes.xml"/><Relationship Id="rId12" Type="http://schemas.openxmlformats.org/officeDocument/2006/relationships/hyperlink" Target="https://www.imf.org/en/Publications/WEO/weo-database/2024/October/select-subjects?c=111," TargetMode="External"/><Relationship Id="rId17" Type="http://schemas.openxmlformats.org/officeDocument/2006/relationships/hyperlink" Target="https://www.census.gov/library/publications/2024/demo/p60-282.html" TargetMode="External"/><Relationship Id="rId25" Type="http://schemas.openxmlformats.org/officeDocument/2006/relationships/hyperlink" Target="https://mofa.gov.bs/wp-content/uploads/2021/12/FINAL.Multilateral-Treaty-Register.-Revised-as-of-31-December-2021.pdf" TargetMode="External"/><Relationship Id="rId2" Type="http://schemas.openxmlformats.org/officeDocument/2006/relationships/numbering" Target="numbering.xml"/><Relationship Id="rId16" Type="http://schemas.openxmlformats.org/officeDocument/2006/relationships/hyperlink" Target="https://data.worldbank.org/indicator/SP.POP.TOTL?locations=US&amp;view=map" TargetMode="External"/><Relationship Id="rId20" Type="http://schemas.openxmlformats.org/officeDocument/2006/relationships/hyperlink" Target="https://comtradeplus.u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ext/en/home" TargetMode="External"/><Relationship Id="rId24" Type="http://schemas.openxmlformats.org/officeDocument/2006/relationships/hyperlink" Target="https://www.consilium.europa.eu/pt/policies/eu-list-of-non-cooperative-jurisdictions/" TargetMode="External"/><Relationship Id="rId5" Type="http://schemas.openxmlformats.org/officeDocument/2006/relationships/webSettings" Target="webSettings.xml"/><Relationship Id="rId15" Type="http://schemas.openxmlformats.org/officeDocument/2006/relationships/hyperlink" Target="https://www.imf.org/en/News/Articles/2024/06/27/cs62724-united-states-concluding-statement-of-the-2024-article-iv" TargetMode="External"/><Relationship Id="rId23" Type="http://schemas.openxmlformats.org/officeDocument/2006/relationships/hyperlink" Target="https://www.heritage.org/index/pages/country-pages/united-states" TargetMode="External"/><Relationship Id="rId10" Type="http://schemas.openxmlformats.org/officeDocument/2006/relationships/hyperlink" Target="https://www.imf.org/en/Publications/WEO/weo-database/2024/October/select-subjects?c=111," TargetMode="External"/><Relationship Id="rId19" Type="http://schemas.openxmlformats.org/officeDocument/2006/relationships/hyperlink" Target="https://hdr.undp.org/data-center/human-development-index" TargetMode="External"/><Relationship Id="rId4" Type="http://schemas.openxmlformats.org/officeDocument/2006/relationships/settings" Target="settings.xml"/><Relationship Id="rId9" Type="http://schemas.openxmlformats.org/officeDocument/2006/relationships/hyperlink" Target="https://data.worldbank.org/country/BS" TargetMode="External"/><Relationship Id="rId14" Type="http://schemas.openxmlformats.org/officeDocument/2006/relationships/hyperlink" Target="https://www.worldbank.org/ext/en/home" TargetMode="External"/><Relationship Id="rId22" Type="http://schemas.openxmlformats.org/officeDocument/2006/relationships/hyperlink" Target="https://www.wipo.int/web-publications/global-innovation-index-2024/en/gii-2024-at-a-glance.htm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B503-53CA-49A4-8F26-F53CAC57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4683</Words>
  <Characters>28099</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Folusiak Bartosz</dc:creator>
  <cp:keywords/>
  <dc:description/>
  <cp:lastModifiedBy>Szachewicz Aleksandra</cp:lastModifiedBy>
  <cp:revision>10</cp:revision>
  <cp:lastPrinted>2025-02-10T16:27:00Z</cp:lastPrinted>
  <dcterms:created xsi:type="dcterms:W3CDTF">2025-02-10T16:16:00Z</dcterms:created>
  <dcterms:modified xsi:type="dcterms:W3CDTF">2025-02-12T16:31:00Z</dcterms:modified>
</cp:coreProperties>
</file>