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4278" w14:textId="4B3BF8AE" w:rsidR="008A4C15" w:rsidRPr="00FA433F" w:rsidRDefault="00345169" w:rsidP="007E5C27">
      <w:pPr>
        <w:pStyle w:val="Pagedecouverture"/>
        <w:rPr>
          <w:noProof/>
        </w:rPr>
      </w:pPr>
      <w:r>
        <w:rPr>
          <w:noProof/>
        </w:rPr>
        <w:drawing>
          <wp:inline distT="0" distB="0" distL="0" distR="0" wp14:anchorId="0BFBCD5A" wp14:editId="3AC5A447">
            <wp:extent cx="5783580" cy="4351020"/>
            <wp:effectExtent l="0" t="0" r="0" b="0"/>
            <wp:docPr id="1" name="Obraz 1" descr="4E3A61B4-DFB9-4D22-B553-2EFD28FC3B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E3A61B4-DFB9-4D22-B553-2EFD28FC3B5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3580" cy="4351020"/>
                    </a:xfrm>
                    <a:prstGeom prst="rect">
                      <a:avLst/>
                    </a:prstGeom>
                    <a:noFill/>
                    <a:ln>
                      <a:noFill/>
                    </a:ln>
                  </pic:spPr>
                </pic:pic>
              </a:graphicData>
            </a:graphic>
          </wp:inline>
        </w:drawing>
      </w:r>
    </w:p>
    <w:p w14:paraId="2EBCEF34" w14:textId="77777777" w:rsidR="008A4C15" w:rsidRPr="00FA433F" w:rsidRDefault="008A4C15" w:rsidP="008A4C15">
      <w:pPr>
        <w:rPr>
          <w:noProof/>
        </w:rPr>
        <w:sectPr w:rsidR="008A4C15" w:rsidRPr="00FA433F" w:rsidSect="007E5C27">
          <w:footerReference w:type="even" r:id="rId9"/>
          <w:footerReference w:type="default" r:id="rId10"/>
          <w:pgSz w:w="11907" w:h="16839"/>
          <w:pgMar w:top="1134" w:right="1417" w:bottom="1134" w:left="1417" w:header="709" w:footer="709" w:gutter="0"/>
          <w:pgNumType w:start="0"/>
          <w:cols w:space="720"/>
          <w:docGrid w:linePitch="360"/>
        </w:sectPr>
      </w:pPr>
    </w:p>
    <w:p w14:paraId="2131702A" w14:textId="77777777" w:rsidR="008A4C15" w:rsidRPr="00FA433F" w:rsidRDefault="008A4C15">
      <w:pPr>
        <w:pStyle w:val="Exposdesmotifstitre"/>
        <w:rPr>
          <w:noProof/>
        </w:rPr>
      </w:pPr>
      <w:r w:rsidRPr="00FA433F">
        <w:rPr>
          <w:noProof/>
        </w:rPr>
        <w:lastRenderedPageBreak/>
        <w:t>UZASADNIENIE</w:t>
      </w:r>
    </w:p>
    <w:p w14:paraId="00A8BFAC" w14:textId="77777777" w:rsidR="008A4C15" w:rsidRPr="00FA433F" w:rsidRDefault="008A4C15">
      <w:pPr>
        <w:pStyle w:val="ManualHeading1"/>
        <w:rPr>
          <w:noProof/>
        </w:rPr>
      </w:pPr>
      <w:r w:rsidRPr="00FA433F">
        <w:rPr>
          <w:noProof/>
        </w:rPr>
        <w:t>1.</w:t>
      </w:r>
      <w:r w:rsidRPr="00FA433F">
        <w:rPr>
          <w:noProof/>
        </w:rPr>
        <w:tab/>
        <w:t>KONTEKST WNIOSKU</w:t>
      </w:r>
    </w:p>
    <w:p w14:paraId="64CDD6BD" w14:textId="48E74536" w:rsidR="008A4C15" w:rsidRPr="00FA433F" w:rsidRDefault="008A4C15">
      <w:pPr>
        <w:pStyle w:val="ManualHeading2"/>
        <w:rPr>
          <w:rFonts w:eastAsia="Arial Unicode MS"/>
          <w:noProof/>
        </w:rPr>
      </w:pPr>
      <w:r w:rsidRPr="00FA433F">
        <w:rPr>
          <w:noProof/>
          <w:u w:color="000000"/>
          <w:bdr w:val="nil"/>
        </w:rPr>
        <w:t>•</w:t>
      </w:r>
      <w:r w:rsidRPr="00FA433F">
        <w:rPr>
          <w:noProof/>
        </w:rPr>
        <w:tab/>
        <w:t>Przyczyny</w:t>
      </w:r>
      <w:r w:rsidR="00FA433F" w:rsidRPr="00FA433F">
        <w:rPr>
          <w:noProof/>
        </w:rPr>
        <w:t xml:space="preserve"> i</w:t>
      </w:r>
      <w:r w:rsidR="00FA433F">
        <w:rPr>
          <w:noProof/>
        </w:rPr>
        <w:t> </w:t>
      </w:r>
      <w:r w:rsidR="00FA433F" w:rsidRPr="00FA433F">
        <w:rPr>
          <w:noProof/>
        </w:rPr>
        <w:t>cel</w:t>
      </w:r>
      <w:r w:rsidRPr="00FA433F">
        <w:rPr>
          <w:noProof/>
        </w:rPr>
        <w:t>e wniosku</w:t>
      </w:r>
    </w:p>
    <w:p w14:paraId="47B405C6" w14:textId="05B26964" w:rsidR="00165522" w:rsidRPr="00FA433F" w:rsidRDefault="00165522" w:rsidP="00165522">
      <w:pPr>
        <w:pBdr>
          <w:top w:val="nil"/>
          <w:left w:val="nil"/>
          <w:bottom w:val="nil"/>
          <w:right w:val="nil"/>
          <w:between w:val="nil"/>
          <w:bar w:val="nil"/>
        </w:pBdr>
        <w:spacing w:before="0" w:after="240"/>
        <w:rPr>
          <w:noProof/>
        </w:rPr>
      </w:pPr>
      <w:r w:rsidRPr="00FA433F">
        <w:rPr>
          <w:noProof/>
        </w:rPr>
        <w:t>W Europejskim Zielonym Ładzie wyznaczono cel, jakim jest osiągnięcie neutralności Unii Europejskiej dla klimatu do</w:t>
      </w:r>
      <w:r w:rsidR="00FA433F" w:rsidRPr="00FA433F">
        <w:rPr>
          <w:noProof/>
        </w:rPr>
        <w:t> </w:t>
      </w:r>
      <w:r w:rsidRPr="00FA433F">
        <w:rPr>
          <w:noProof/>
        </w:rPr>
        <w:t>2050 r. W 2025 r. Komisja Europejska zaproponowała cel redukcji emisji gazów cieplarnianych netto</w:t>
      </w:r>
      <w:r w:rsidR="00FA433F" w:rsidRPr="00FA433F">
        <w:rPr>
          <w:noProof/>
        </w:rPr>
        <w:t xml:space="preserve"> o</w:t>
      </w:r>
      <w:r w:rsidR="00FA433F">
        <w:rPr>
          <w:noProof/>
        </w:rPr>
        <w:t> </w:t>
      </w:r>
      <w:r w:rsidR="00FA433F" w:rsidRPr="00FA433F">
        <w:rPr>
          <w:noProof/>
        </w:rPr>
        <w:t>9</w:t>
      </w:r>
      <w:r w:rsidRPr="00FA433F">
        <w:rPr>
          <w:noProof/>
        </w:rPr>
        <w:t>0 % do</w:t>
      </w:r>
      <w:r w:rsidR="00FA433F" w:rsidRPr="00FA433F">
        <w:rPr>
          <w:noProof/>
        </w:rPr>
        <w:t> </w:t>
      </w:r>
      <w:r w:rsidRPr="00FA433F">
        <w:rPr>
          <w:noProof/>
        </w:rPr>
        <w:t>2040 r.</w:t>
      </w:r>
      <w:r w:rsidR="00FA433F" w:rsidRPr="00FA433F">
        <w:rPr>
          <w:noProof/>
        </w:rPr>
        <w:t xml:space="preserve"> w</w:t>
      </w:r>
      <w:r w:rsidR="00FA433F">
        <w:rPr>
          <w:noProof/>
        </w:rPr>
        <w:t> </w:t>
      </w:r>
      <w:r w:rsidR="00FA433F" w:rsidRPr="00FA433F">
        <w:rPr>
          <w:noProof/>
        </w:rPr>
        <w:t>por</w:t>
      </w:r>
      <w:r w:rsidRPr="00FA433F">
        <w:rPr>
          <w:noProof/>
        </w:rPr>
        <w:t>ównaniu</w:t>
      </w:r>
      <w:r w:rsidR="00FA433F" w:rsidRPr="00FA433F">
        <w:rPr>
          <w:noProof/>
        </w:rPr>
        <w:t xml:space="preserve"> z</w:t>
      </w:r>
      <w:r w:rsidR="00FA433F">
        <w:rPr>
          <w:noProof/>
        </w:rPr>
        <w:t> </w:t>
      </w:r>
      <w:r w:rsidR="00FA433F" w:rsidRPr="00FA433F">
        <w:rPr>
          <w:noProof/>
        </w:rPr>
        <w:t>poz</w:t>
      </w:r>
      <w:r w:rsidRPr="00FA433F">
        <w:rPr>
          <w:noProof/>
        </w:rPr>
        <w:t>iomami</w:t>
      </w:r>
      <w:r w:rsidR="00FA433F" w:rsidRPr="00FA433F">
        <w:rPr>
          <w:noProof/>
        </w:rPr>
        <w:t xml:space="preserve"> z</w:t>
      </w:r>
      <w:r w:rsidR="00FA433F">
        <w:rPr>
          <w:noProof/>
        </w:rPr>
        <w:t> </w:t>
      </w:r>
      <w:r w:rsidR="00FA433F" w:rsidRPr="00FA433F">
        <w:rPr>
          <w:noProof/>
        </w:rPr>
        <w:t>1</w:t>
      </w:r>
      <w:r w:rsidRPr="00FA433F">
        <w:rPr>
          <w:noProof/>
        </w:rPr>
        <w:t>990 r.  Proponowany cel</w:t>
      </w:r>
      <w:r w:rsidR="00FA433F" w:rsidRPr="00FA433F">
        <w:rPr>
          <w:noProof/>
        </w:rPr>
        <w:t xml:space="preserve"> w</w:t>
      </w:r>
      <w:r w:rsidR="00FA433F">
        <w:rPr>
          <w:noProof/>
        </w:rPr>
        <w:t> </w:t>
      </w:r>
      <w:r w:rsidR="00FA433F" w:rsidRPr="00FA433F">
        <w:rPr>
          <w:noProof/>
        </w:rPr>
        <w:t>peł</w:t>
      </w:r>
      <w:r w:rsidRPr="00FA433F">
        <w:rPr>
          <w:noProof/>
        </w:rPr>
        <w:t>ni uwzględnia obecną sytuację gospodarczą</w:t>
      </w:r>
      <w:r w:rsidR="00FA433F" w:rsidRPr="00FA433F">
        <w:rPr>
          <w:noProof/>
        </w:rPr>
        <w:t xml:space="preserve"> i</w:t>
      </w:r>
      <w:r w:rsidR="00FA433F">
        <w:rPr>
          <w:noProof/>
        </w:rPr>
        <w:t> </w:t>
      </w:r>
      <w:r w:rsidR="00FA433F" w:rsidRPr="00FA433F">
        <w:rPr>
          <w:noProof/>
        </w:rPr>
        <w:t>geo</w:t>
      </w:r>
      <w:r w:rsidRPr="00FA433F">
        <w:rPr>
          <w:noProof/>
        </w:rPr>
        <w:t>polityczną oraz sytuację</w:t>
      </w:r>
      <w:r w:rsidR="00FA433F" w:rsidRPr="00FA433F">
        <w:rPr>
          <w:noProof/>
        </w:rPr>
        <w:t xml:space="preserve"> w</w:t>
      </w:r>
      <w:r w:rsidR="00FA433F">
        <w:rPr>
          <w:noProof/>
        </w:rPr>
        <w:t> </w:t>
      </w:r>
      <w:r w:rsidR="00FA433F" w:rsidRPr="00FA433F">
        <w:rPr>
          <w:noProof/>
        </w:rPr>
        <w:t>zak</w:t>
      </w:r>
      <w:r w:rsidRPr="00FA433F">
        <w:rPr>
          <w:noProof/>
        </w:rPr>
        <w:t>resie bezpieczeństwa zgodnie</w:t>
      </w:r>
      <w:r w:rsidR="00FA433F" w:rsidRPr="00FA433F">
        <w:rPr>
          <w:noProof/>
        </w:rPr>
        <w:t xml:space="preserve"> z</w:t>
      </w:r>
      <w:r w:rsidR="00FA433F">
        <w:rPr>
          <w:noProof/>
        </w:rPr>
        <w:t> </w:t>
      </w:r>
      <w:r w:rsidR="00FA433F" w:rsidRPr="00FA433F">
        <w:rPr>
          <w:noProof/>
        </w:rPr>
        <w:t>Kom</w:t>
      </w:r>
      <w:r w:rsidRPr="00FA433F">
        <w:rPr>
          <w:noProof/>
        </w:rPr>
        <w:t>pasem konkurencyjności dla UE</w:t>
      </w:r>
      <w:r w:rsidRPr="00FA433F">
        <w:rPr>
          <w:noProof/>
          <w:vertAlign w:val="superscript"/>
        </w:rPr>
        <w:t>3</w:t>
      </w:r>
      <w:r w:rsidR="00FA433F" w:rsidRPr="00FA433F">
        <w:rPr>
          <w:noProof/>
        </w:rPr>
        <w:t xml:space="preserve"> i</w:t>
      </w:r>
      <w:r w:rsidR="00FA433F">
        <w:rPr>
          <w:noProof/>
        </w:rPr>
        <w:t> </w:t>
      </w:r>
      <w:r w:rsidR="00FA433F" w:rsidRPr="00FA433F">
        <w:rPr>
          <w:noProof/>
        </w:rPr>
        <w:t>Pak</w:t>
      </w:r>
      <w:r w:rsidRPr="00FA433F">
        <w:rPr>
          <w:noProof/>
        </w:rPr>
        <w:t>tem dla czystego przemysłu</w:t>
      </w:r>
      <w:r w:rsidRPr="00FA433F">
        <w:rPr>
          <w:noProof/>
          <w:vertAlign w:val="superscript"/>
        </w:rPr>
        <w:t>4</w:t>
      </w:r>
      <w:r w:rsidR="00FA433F" w:rsidRPr="00FA433F">
        <w:rPr>
          <w:noProof/>
        </w:rPr>
        <w:t>. W</w:t>
      </w:r>
      <w:r w:rsidR="00FA433F">
        <w:rPr>
          <w:noProof/>
        </w:rPr>
        <w:t> </w:t>
      </w:r>
      <w:r w:rsidR="00FA433F" w:rsidRPr="00FA433F">
        <w:rPr>
          <w:noProof/>
        </w:rPr>
        <w:t>zam</w:t>
      </w:r>
      <w:r w:rsidRPr="00FA433F">
        <w:rPr>
          <w:noProof/>
        </w:rPr>
        <w:t>ierzeniu ma to zapewnić niezbędną przewidywalność</w:t>
      </w:r>
      <w:r w:rsidR="00FA433F" w:rsidRPr="00FA433F">
        <w:rPr>
          <w:noProof/>
        </w:rPr>
        <w:t xml:space="preserve"> i</w:t>
      </w:r>
      <w:r w:rsidR="00FA433F">
        <w:rPr>
          <w:noProof/>
        </w:rPr>
        <w:t> </w:t>
      </w:r>
      <w:r w:rsidR="00FA433F" w:rsidRPr="00FA433F">
        <w:rPr>
          <w:noProof/>
        </w:rPr>
        <w:t>sta</w:t>
      </w:r>
      <w:r w:rsidRPr="00FA433F">
        <w:rPr>
          <w:noProof/>
        </w:rPr>
        <w:t>bilność, które będą sprzyjać inwestycjom</w:t>
      </w:r>
      <w:r w:rsidR="00FA433F" w:rsidRPr="00FA433F">
        <w:rPr>
          <w:noProof/>
        </w:rPr>
        <w:t xml:space="preserve"> w</w:t>
      </w:r>
      <w:r w:rsidR="00FA433F">
        <w:rPr>
          <w:noProof/>
        </w:rPr>
        <w:t> </w:t>
      </w:r>
      <w:r w:rsidR="00FA433F" w:rsidRPr="00FA433F">
        <w:rPr>
          <w:noProof/>
        </w:rPr>
        <w:t>prz</w:t>
      </w:r>
      <w:r w:rsidRPr="00FA433F">
        <w:rPr>
          <w:noProof/>
        </w:rPr>
        <w:t>ejście UE na czystą energię oraz napędzaniu konkurencyjności przemysłu.  </w:t>
      </w:r>
    </w:p>
    <w:p w14:paraId="604E5E8F" w14:textId="6965AE40" w:rsidR="00165522" w:rsidRPr="00FA433F" w:rsidRDefault="00165522" w:rsidP="00165522">
      <w:pPr>
        <w:pBdr>
          <w:top w:val="nil"/>
          <w:left w:val="nil"/>
          <w:bottom w:val="nil"/>
          <w:right w:val="nil"/>
          <w:between w:val="nil"/>
          <w:bar w:val="nil"/>
        </w:pBdr>
        <w:spacing w:before="0" w:after="240"/>
        <w:rPr>
          <w:noProof/>
        </w:rPr>
      </w:pPr>
      <w:r w:rsidRPr="00FA433F">
        <w:rPr>
          <w:noProof/>
        </w:rPr>
        <w:t>Dyrektywa 2003/87/WE Parlamentu Europejskiego</w:t>
      </w:r>
      <w:r w:rsidR="00FA433F" w:rsidRPr="00FA433F">
        <w:rPr>
          <w:noProof/>
        </w:rPr>
        <w:t xml:space="preserve"> i</w:t>
      </w:r>
      <w:r w:rsidR="00FA433F">
        <w:rPr>
          <w:noProof/>
        </w:rPr>
        <w:t> </w:t>
      </w:r>
      <w:r w:rsidR="00FA433F" w:rsidRPr="00FA433F">
        <w:rPr>
          <w:noProof/>
        </w:rPr>
        <w:t>Rad</w:t>
      </w:r>
      <w:r w:rsidRPr="00FA433F">
        <w:rPr>
          <w:noProof/>
        </w:rPr>
        <w:t>y</w:t>
      </w:r>
      <w:r w:rsidR="00FA433F" w:rsidRPr="00FA433F">
        <w:rPr>
          <w:noProof/>
        </w:rPr>
        <w:t xml:space="preserve"> z</w:t>
      </w:r>
      <w:r w:rsidR="00FA433F">
        <w:rPr>
          <w:noProof/>
        </w:rPr>
        <w:t> </w:t>
      </w:r>
      <w:r w:rsidR="00FA433F" w:rsidRPr="00FA433F">
        <w:rPr>
          <w:noProof/>
        </w:rPr>
        <w:t>dni</w:t>
      </w:r>
      <w:r w:rsidRPr="00FA433F">
        <w:rPr>
          <w:noProof/>
        </w:rPr>
        <w:t>a 13 października 2003 r. ustanawiająca system handlu przydziałami emisji gazów cieplarnianych</w:t>
      </w:r>
      <w:r w:rsidR="00FA433F" w:rsidRPr="00FA433F">
        <w:rPr>
          <w:noProof/>
        </w:rPr>
        <w:t xml:space="preserve"> w</w:t>
      </w:r>
      <w:r w:rsidR="00FA433F">
        <w:rPr>
          <w:noProof/>
        </w:rPr>
        <w:t> </w:t>
      </w:r>
      <w:r w:rsidR="00FA433F" w:rsidRPr="00FA433F">
        <w:rPr>
          <w:noProof/>
        </w:rPr>
        <w:t>Uni</w:t>
      </w:r>
      <w:r w:rsidRPr="00FA433F">
        <w:rPr>
          <w:noProof/>
        </w:rPr>
        <w:t>i oraz zmieniająca dyrektywę Rady 96/61/WE („dyrektywa EU ETS”) nadal jest głównym instrumentem ograniczania przemysłowych emisji gazów cieplarnianych poprzez ustalanie opłat za emisję tych gazów</w:t>
      </w:r>
      <w:r w:rsidR="00FA433F" w:rsidRPr="00FA433F">
        <w:rPr>
          <w:noProof/>
        </w:rPr>
        <w:t xml:space="preserve"> i</w:t>
      </w:r>
      <w:r w:rsidR="00FA433F">
        <w:rPr>
          <w:noProof/>
        </w:rPr>
        <w:t> </w:t>
      </w:r>
      <w:r w:rsidR="00FA433F" w:rsidRPr="00FA433F">
        <w:rPr>
          <w:noProof/>
        </w:rPr>
        <w:t>sto</w:t>
      </w:r>
      <w:r w:rsidRPr="00FA433F">
        <w:rPr>
          <w:noProof/>
        </w:rPr>
        <w:t>pniowe obniżanie ogólnounijnego pułapu emisji. Rozporządzenie (UE) 2023/956 ustanawiające mechanizm dostosowywania cen na granicach</w:t>
      </w:r>
      <w:r w:rsidR="00FA433F" w:rsidRPr="00FA433F">
        <w:rPr>
          <w:noProof/>
        </w:rPr>
        <w:t xml:space="preserve"> z</w:t>
      </w:r>
      <w:r w:rsidR="00FA433F">
        <w:rPr>
          <w:noProof/>
        </w:rPr>
        <w:t> </w:t>
      </w:r>
      <w:r w:rsidR="00FA433F" w:rsidRPr="00FA433F">
        <w:rPr>
          <w:noProof/>
        </w:rPr>
        <w:t>uwz</w:t>
      </w:r>
      <w:r w:rsidRPr="00FA433F">
        <w:rPr>
          <w:noProof/>
        </w:rPr>
        <w:t>ględnieniem emisji CO</w:t>
      </w:r>
      <w:r w:rsidRPr="00FA433F">
        <w:rPr>
          <w:noProof/>
          <w:vertAlign w:val="subscript"/>
        </w:rPr>
        <w:t>2</w:t>
      </w:r>
      <w:r w:rsidRPr="00FA433F">
        <w:rPr>
          <w:noProof/>
        </w:rPr>
        <w:t xml:space="preserve"> („CBAM”) uzupełnia te ramy działania poprzez ograniczenie ryzyka ucieczki emisji</w:t>
      </w:r>
      <w:r w:rsidR="00FA433F" w:rsidRPr="00FA433F">
        <w:rPr>
          <w:noProof/>
        </w:rPr>
        <w:t xml:space="preserve"> w</w:t>
      </w:r>
      <w:r w:rsidR="00FA433F">
        <w:rPr>
          <w:noProof/>
        </w:rPr>
        <w:t> </w:t>
      </w:r>
      <w:r w:rsidR="00FA433F" w:rsidRPr="00FA433F">
        <w:rPr>
          <w:noProof/>
        </w:rPr>
        <w:t>zwi</w:t>
      </w:r>
      <w:r w:rsidRPr="00FA433F">
        <w:rPr>
          <w:noProof/>
        </w:rPr>
        <w:t>ązku</w:t>
      </w:r>
      <w:r w:rsidR="00FA433F" w:rsidRPr="00FA433F">
        <w:rPr>
          <w:noProof/>
        </w:rPr>
        <w:t xml:space="preserve"> z</w:t>
      </w:r>
      <w:r w:rsidR="00FA433F">
        <w:rPr>
          <w:noProof/>
        </w:rPr>
        <w:t> </w:t>
      </w:r>
      <w:r w:rsidR="00FA433F" w:rsidRPr="00FA433F">
        <w:rPr>
          <w:noProof/>
        </w:rPr>
        <w:t>prz</w:t>
      </w:r>
      <w:r w:rsidRPr="00FA433F">
        <w:rPr>
          <w:noProof/>
        </w:rPr>
        <w:t>ywozem do Unii niektórych towarów</w:t>
      </w:r>
      <w:r w:rsidR="00FA433F" w:rsidRPr="00FA433F">
        <w:rPr>
          <w:noProof/>
        </w:rPr>
        <w:t xml:space="preserve"> o</w:t>
      </w:r>
      <w:r w:rsidR="00FA433F">
        <w:rPr>
          <w:noProof/>
        </w:rPr>
        <w:t> </w:t>
      </w:r>
      <w:r w:rsidR="00FA433F" w:rsidRPr="00FA433F">
        <w:rPr>
          <w:noProof/>
        </w:rPr>
        <w:t>wys</w:t>
      </w:r>
      <w:r w:rsidRPr="00FA433F">
        <w:rPr>
          <w:noProof/>
        </w:rPr>
        <w:t>okiej intensywności emisji.</w:t>
      </w:r>
    </w:p>
    <w:p w14:paraId="398E87CA" w14:textId="47847358" w:rsidR="00165522" w:rsidRPr="00FA433F" w:rsidRDefault="00165522" w:rsidP="00165522">
      <w:pPr>
        <w:pBdr>
          <w:top w:val="nil"/>
          <w:left w:val="nil"/>
          <w:bottom w:val="nil"/>
          <w:right w:val="nil"/>
          <w:between w:val="nil"/>
          <w:bar w:val="nil"/>
        </w:pBdr>
        <w:spacing w:before="0" w:after="240"/>
        <w:rPr>
          <w:noProof/>
        </w:rPr>
      </w:pPr>
      <w:r w:rsidRPr="00FA433F">
        <w:rPr>
          <w:noProof/>
        </w:rPr>
        <w:t>W miarę stopniowego wycofywania bezpłatnych przydziałów</w:t>
      </w:r>
      <w:r w:rsidR="00FA433F" w:rsidRPr="00FA433F">
        <w:rPr>
          <w:noProof/>
        </w:rPr>
        <w:t xml:space="preserve"> w</w:t>
      </w:r>
      <w:r w:rsidR="00FA433F">
        <w:rPr>
          <w:noProof/>
        </w:rPr>
        <w:t> </w:t>
      </w:r>
      <w:r w:rsidR="00FA433F" w:rsidRPr="00FA433F">
        <w:rPr>
          <w:noProof/>
        </w:rPr>
        <w:t>ram</w:t>
      </w:r>
      <w:r w:rsidRPr="00FA433F">
        <w:rPr>
          <w:noProof/>
        </w:rPr>
        <w:t>ach systemu EU ETS</w:t>
      </w:r>
      <w:r w:rsidR="00FA433F" w:rsidRPr="00FA433F">
        <w:rPr>
          <w:noProof/>
        </w:rPr>
        <w:t xml:space="preserve"> w</w:t>
      </w:r>
      <w:r w:rsidR="00FA433F">
        <w:rPr>
          <w:noProof/>
        </w:rPr>
        <w:t> </w:t>
      </w:r>
      <w:r w:rsidR="00FA433F" w:rsidRPr="00FA433F">
        <w:rPr>
          <w:noProof/>
        </w:rPr>
        <w:t>lat</w:t>
      </w:r>
      <w:r w:rsidRPr="00FA433F">
        <w:rPr>
          <w:noProof/>
        </w:rPr>
        <w:t>ach 2026–2034 ryzyko ucieczki emisji może</w:t>
      </w:r>
      <w:r w:rsidR="00FA433F" w:rsidRPr="00FA433F">
        <w:rPr>
          <w:noProof/>
        </w:rPr>
        <w:t xml:space="preserve"> w</w:t>
      </w:r>
      <w:r w:rsidR="00FA433F">
        <w:rPr>
          <w:noProof/>
        </w:rPr>
        <w:t> </w:t>
      </w:r>
      <w:r w:rsidR="00FA433F" w:rsidRPr="00FA433F">
        <w:rPr>
          <w:noProof/>
        </w:rPr>
        <w:t>nie</w:t>
      </w:r>
      <w:r w:rsidRPr="00FA433F">
        <w:rPr>
          <w:noProof/>
        </w:rPr>
        <w:t>których przypadkach</w:t>
      </w:r>
      <w:r w:rsidR="00FA433F" w:rsidRPr="00FA433F">
        <w:rPr>
          <w:noProof/>
        </w:rPr>
        <w:t xml:space="preserve"> i</w:t>
      </w:r>
      <w:r w:rsidR="00FA433F">
        <w:rPr>
          <w:noProof/>
        </w:rPr>
        <w:t> </w:t>
      </w:r>
      <w:r w:rsidR="00FA433F" w:rsidRPr="00FA433F">
        <w:rPr>
          <w:noProof/>
        </w:rPr>
        <w:t>w</w:t>
      </w:r>
      <w:r w:rsidR="00FA433F">
        <w:rPr>
          <w:noProof/>
        </w:rPr>
        <w:t> </w:t>
      </w:r>
      <w:r w:rsidR="00FA433F" w:rsidRPr="00FA433F">
        <w:rPr>
          <w:noProof/>
        </w:rPr>
        <w:t>odn</w:t>
      </w:r>
      <w:r w:rsidRPr="00FA433F">
        <w:rPr>
          <w:noProof/>
        </w:rPr>
        <w:t>iesieniu do niektórych towarów nadal występować. To pozostałe ryzyko ucieczki emisji mogłoby zmniejszyć wpływ unijnej polityki klimatycznej na środowisko, gdyby spadek emisji</w:t>
      </w:r>
      <w:r w:rsidR="00FA433F" w:rsidRPr="00FA433F">
        <w:rPr>
          <w:noProof/>
        </w:rPr>
        <w:t xml:space="preserve"> w</w:t>
      </w:r>
      <w:r w:rsidR="00FA433F">
        <w:rPr>
          <w:noProof/>
        </w:rPr>
        <w:t> </w:t>
      </w:r>
      <w:r w:rsidR="00FA433F" w:rsidRPr="00FA433F">
        <w:rPr>
          <w:noProof/>
        </w:rPr>
        <w:t>Uni</w:t>
      </w:r>
      <w:r w:rsidRPr="00FA433F">
        <w:rPr>
          <w:noProof/>
        </w:rPr>
        <w:t>i doprowadził do większego wzrostu emisji poza Unią.</w:t>
      </w:r>
    </w:p>
    <w:p w14:paraId="2BFC232E" w14:textId="4695992C" w:rsidR="00165522" w:rsidRPr="00FA433F" w:rsidRDefault="00165522" w:rsidP="00165522">
      <w:pPr>
        <w:pBdr>
          <w:top w:val="nil"/>
          <w:left w:val="nil"/>
          <w:bottom w:val="nil"/>
          <w:right w:val="nil"/>
          <w:between w:val="nil"/>
          <w:bar w:val="nil"/>
        </w:pBdr>
        <w:spacing w:before="0" w:after="240"/>
        <w:rPr>
          <w:noProof/>
        </w:rPr>
      </w:pPr>
      <w:r w:rsidRPr="00FA433F">
        <w:rPr>
          <w:noProof/>
        </w:rPr>
        <w:t>W niniejszym wniosku ustawodawczym ustanawia się unijny fundusz zapewniający ukierunkowane wsparcie finansowe dla energochłonnych gałęzi przemysłu narażonych na zwiększone pozostałe ryzyko ucieczki emisji. Fundusz wspiera transformację przemysłu Unii</w:t>
      </w:r>
      <w:r w:rsidR="00FA433F" w:rsidRPr="00FA433F">
        <w:rPr>
          <w:noProof/>
        </w:rPr>
        <w:t xml:space="preserve"> w</w:t>
      </w:r>
      <w:r w:rsidR="00FA433F">
        <w:rPr>
          <w:noProof/>
        </w:rPr>
        <w:t> </w:t>
      </w:r>
      <w:r w:rsidR="00FA433F" w:rsidRPr="00FA433F">
        <w:rPr>
          <w:noProof/>
        </w:rPr>
        <w:t>kie</w:t>
      </w:r>
      <w:r w:rsidRPr="00FA433F">
        <w:rPr>
          <w:noProof/>
        </w:rPr>
        <w:t>runku procesów produkcyjnych neutralnych dla klimatu</w:t>
      </w:r>
      <w:r w:rsidR="00FA433F" w:rsidRPr="00FA433F">
        <w:rPr>
          <w:noProof/>
        </w:rPr>
        <w:t xml:space="preserve"> i</w:t>
      </w:r>
      <w:r w:rsidR="00FA433F">
        <w:rPr>
          <w:noProof/>
        </w:rPr>
        <w:t> </w:t>
      </w:r>
      <w:r w:rsidR="00FA433F" w:rsidRPr="00FA433F">
        <w:rPr>
          <w:noProof/>
        </w:rPr>
        <w:t>zmn</w:t>
      </w:r>
      <w:r w:rsidRPr="00FA433F">
        <w:rPr>
          <w:noProof/>
        </w:rPr>
        <w:t>iejsza tym samym jego narażenie na ucieczkę emisji, przyczyniając się do utrzymania integralności środowiskowej systemu EU ETS poprzez zapewnienie, aby ustalanie opłat za emisję gazów cieplarnianych skutecznie prowadziło do rzeczywistej redukcji emisji. Wsparcie udzielane</w:t>
      </w:r>
      <w:r w:rsidR="00FA433F" w:rsidRPr="00FA433F">
        <w:rPr>
          <w:noProof/>
        </w:rPr>
        <w:t xml:space="preserve"> z</w:t>
      </w:r>
      <w:r w:rsidR="00FA433F">
        <w:rPr>
          <w:noProof/>
        </w:rPr>
        <w:t> </w:t>
      </w:r>
      <w:r w:rsidR="00FA433F" w:rsidRPr="00FA433F">
        <w:rPr>
          <w:noProof/>
        </w:rPr>
        <w:t>fun</w:t>
      </w:r>
      <w:r w:rsidRPr="00FA433F">
        <w:rPr>
          <w:noProof/>
        </w:rPr>
        <w:t>duszu będzie uzależnione od inwestycji</w:t>
      </w:r>
      <w:r w:rsidR="00FA433F" w:rsidRPr="00FA433F">
        <w:rPr>
          <w:noProof/>
        </w:rPr>
        <w:t xml:space="preserve"> w</w:t>
      </w:r>
      <w:r w:rsidR="00FA433F">
        <w:rPr>
          <w:noProof/>
        </w:rPr>
        <w:t> </w:t>
      </w:r>
      <w:r w:rsidR="00FA433F" w:rsidRPr="00FA433F">
        <w:rPr>
          <w:noProof/>
        </w:rPr>
        <w:t>dek</w:t>
      </w:r>
      <w:r w:rsidRPr="00FA433F">
        <w:rPr>
          <w:noProof/>
        </w:rPr>
        <w:t>arbonizację.</w:t>
      </w:r>
    </w:p>
    <w:p w14:paraId="02DE6A8A" w14:textId="1ADEA4D9" w:rsidR="00165522" w:rsidRPr="00FA433F" w:rsidRDefault="00165522" w:rsidP="00165522">
      <w:pPr>
        <w:pBdr>
          <w:top w:val="nil"/>
          <w:left w:val="nil"/>
          <w:bottom w:val="nil"/>
          <w:right w:val="nil"/>
          <w:between w:val="nil"/>
          <w:bar w:val="nil"/>
        </w:pBdr>
        <w:spacing w:before="0" w:after="240"/>
        <w:rPr>
          <w:noProof/>
        </w:rPr>
      </w:pPr>
      <w:r w:rsidRPr="00FA433F">
        <w:rPr>
          <w:noProof/>
        </w:rPr>
        <w:t>Fundusz przyczynia się tym samym do realizacji celów określonych</w:t>
      </w:r>
      <w:r w:rsidR="00FA433F" w:rsidRPr="00FA433F">
        <w:rPr>
          <w:noProof/>
        </w:rPr>
        <w:t xml:space="preserve"> w</w:t>
      </w:r>
      <w:r w:rsidR="00FA433F">
        <w:rPr>
          <w:noProof/>
        </w:rPr>
        <w:t> </w:t>
      </w:r>
      <w:r w:rsidR="00FA433F" w:rsidRPr="00FA433F">
        <w:rPr>
          <w:noProof/>
        </w:rPr>
        <w:t>art</w:t>
      </w:r>
      <w:r w:rsidRPr="00FA433F">
        <w:rPr>
          <w:noProof/>
        </w:rPr>
        <w:t>. 191 TFUE,</w:t>
      </w:r>
      <w:r w:rsidR="00FA433F" w:rsidRPr="00FA433F">
        <w:rPr>
          <w:noProof/>
        </w:rPr>
        <w:t xml:space="preserve"> w</w:t>
      </w:r>
      <w:r w:rsidR="00FA433F">
        <w:rPr>
          <w:noProof/>
        </w:rPr>
        <w:t> </w:t>
      </w:r>
      <w:r w:rsidR="00FA433F" w:rsidRPr="00FA433F">
        <w:rPr>
          <w:noProof/>
        </w:rPr>
        <w:t>szc</w:t>
      </w:r>
      <w:r w:rsidRPr="00FA433F">
        <w:rPr>
          <w:noProof/>
        </w:rPr>
        <w:t>zególności</w:t>
      </w:r>
      <w:r w:rsidR="00FA433F" w:rsidRPr="00FA433F">
        <w:rPr>
          <w:noProof/>
        </w:rPr>
        <w:t xml:space="preserve"> w</w:t>
      </w:r>
      <w:r w:rsidR="00FA433F">
        <w:rPr>
          <w:noProof/>
        </w:rPr>
        <w:t> </w:t>
      </w:r>
      <w:r w:rsidR="00FA433F" w:rsidRPr="00FA433F">
        <w:rPr>
          <w:noProof/>
        </w:rPr>
        <w:t>zak</w:t>
      </w:r>
      <w:r w:rsidRPr="00FA433F">
        <w:rPr>
          <w:noProof/>
        </w:rPr>
        <w:t>resie zapobiegania szkodom</w:t>
      </w:r>
      <w:r w:rsidR="00FA433F" w:rsidRPr="00FA433F">
        <w:rPr>
          <w:noProof/>
        </w:rPr>
        <w:t xml:space="preserve"> w</w:t>
      </w:r>
      <w:r w:rsidR="00FA433F">
        <w:rPr>
          <w:noProof/>
        </w:rPr>
        <w:t> </w:t>
      </w:r>
      <w:r w:rsidR="00FA433F" w:rsidRPr="00FA433F">
        <w:rPr>
          <w:noProof/>
        </w:rPr>
        <w:t>śro</w:t>
      </w:r>
      <w:r w:rsidRPr="00FA433F">
        <w:rPr>
          <w:noProof/>
        </w:rPr>
        <w:t>dowisku oraz do promowania środków podejmowanych na szczeblu Unii</w:t>
      </w:r>
      <w:r w:rsidR="00FA433F" w:rsidRPr="00FA433F">
        <w:rPr>
          <w:noProof/>
        </w:rPr>
        <w:t xml:space="preserve"> w</w:t>
      </w:r>
      <w:r w:rsidR="00FA433F">
        <w:rPr>
          <w:noProof/>
        </w:rPr>
        <w:t> </w:t>
      </w:r>
      <w:r w:rsidR="00FA433F" w:rsidRPr="00FA433F">
        <w:rPr>
          <w:noProof/>
        </w:rPr>
        <w:t>cel</w:t>
      </w:r>
      <w:r w:rsidRPr="00FA433F">
        <w:rPr>
          <w:noProof/>
        </w:rPr>
        <w:t>u przeciwdziałania transgranicznym problemom środowiskowym, takim jak zmiana klimatu.</w:t>
      </w:r>
    </w:p>
    <w:p w14:paraId="29A9E6E8" w14:textId="70E3B968"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t>Spójność</w:t>
      </w:r>
      <w:r w:rsidR="00FA433F" w:rsidRPr="00FA433F">
        <w:rPr>
          <w:noProof/>
        </w:rPr>
        <w:t xml:space="preserve"> z</w:t>
      </w:r>
      <w:r w:rsidR="00FA433F">
        <w:rPr>
          <w:noProof/>
        </w:rPr>
        <w:t> </w:t>
      </w:r>
      <w:r w:rsidR="00FA433F" w:rsidRPr="00FA433F">
        <w:rPr>
          <w:noProof/>
        </w:rPr>
        <w:t>prz</w:t>
      </w:r>
      <w:r w:rsidRPr="00FA433F">
        <w:rPr>
          <w:noProof/>
        </w:rPr>
        <w:t>episami obowiązującymi</w:t>
      </w:r>
      <w:r w:rsidR="00FA433F" w:rsidRPr="00FA433F">
        <w:rPr>
          <w:noProof/>
        </w:rPr>
        <w:t xml:space="preserve"> w</w:t>
      </w:r>
      <w:r w:rsidR="00FA433F">
        <w:rPr>
          <w:noProof/>
        </w:rPr>
        <w:t> </w:t>
      </w:r>
      <w:r w:rsidR="00FA433F" w:rsidRPr="00FA433F">
        <w:rPr>
          <w:noProof/>
        </w:rPr>
        <w:t>tej</w:t>
      </w:r>
      <w:r w:rsidRPr="00FA433F">
        <w:rPr>
          <w:noProof/>
        </w:rPr>
        <w:t xml:space="preserve"> dziedzinie polityki</w:t>
      </w:r>
    </w:p>
    <w:p w14:paraId="760C23A7" w14:textId="39913863" w:rsidR="004D55FB" w:rsidRPr="00FA433F" w:rsidRDefault="004D55FB" w:rsidP="004D55FB">
      <w:pPr>
        <w:pBdr>
          <w:top w:val="nil"/>
          <w:left w:val="nil"/>
          <w:bottom w:val="nil"/>
          <w:right w:val="nil"/>
          <w:between w:val="nil"/>
          <w:bar w:val="nil"/>
        </w:pBdr>
        <w:spacing w:before="0" w:after="240"/>
        <w:rPr>
          <w:noProof/>
        </w:rPr>
      </w:pPr>
      <w:r w:rsidRPr="00FA433F">
        <w:rPr>
          <w:noProof/>
        </w:rPr>
        <w:t>Wniosek uzupełnia ramy działania określone w EU ETS i CBAM. Nie zmienia mechanizmów ustanowionych tymi instrumentami, lecz je uzupełnia, przewidując przejściowy, ukierunkowany środek finansowy służący zaradzeniu określonym zagrożeniom do czasu wypracowania rozwiązania długoterminowego, które zostanie przedstawione we wniosku dotyczącym zmiany dyrektywy EU ETS</w:t>
      </w:r>
      <w:r w:rsidR="00FA433F" w:rsidRPr="00FA433F">
        <w:rPr>
          <w:noProof/>
        </w:rPr>
        <w:t xml:space="preserve"> w</w:t>
      </w:r>
      <w:r w:rsidR="00FA433F">
        <w:rPr>
          <w:noProof/>
        </w:rPr>
        <w:t> </w:t>
      </w:r>
      <w:r w:rsidR="00FA433F" w:rsidRPr="00FA433F">
        <w:rPr>
          <w:noProof/>
        </w:rPr>
        <w:t>2</w:t>
      </w:r>
      <w:r w:rsidRPr="00FA433F">
        <w:rPr>
          <w:noProof/>
        </w:rPr>
        <w:t>026 r. Zakres</w:t>
      </w:r>
      <w:r w:rsidR="00FA433F" w:rsidRPr="00FA433F">
        <w:rPr>
          <w:noProof/>
        </w:rPr>
        <w:t xml:space="preserve"> i</w:t>
      </w:r>
      <w:r w:rsidR="00FA433F">
        <w:rPr>
          <w:noProof/>
        </w:rPr>
        <w:t> </w:t>
      </w:r>
      <w:r w:rsidR="00FA433F" w:rsidRPr="00FA433F">
        <w:rPr>
          <w:noProof/>
        </w:rPr>
        <w:t>cza</w:t>
      </w:r>
      <w:r w:rsidRPr="00FA433F">
        <w:rPr>
          <w:noProof/>
        </w:rPr>
        <w:t xml:space="preserve">s obowiązywania wniosku są </w:t>
      </w:r>
      <w:r w:rsidRPr="00FA433F">
        <w:rPr>
          <w:noProof/>
        </w:rPr>
        <w:lastRenderedPageBreak/>
        <w:t>ograniczone, aby uniknąć pokrywania się</w:t>
      </w:r>
      <w:r w:rsidR="00FA433F" w:rsidRPr="00FA433F">
        <w:rPr>
          <w:noProof/>
        </w:rPr>
        <w:t xml:space="preserve"> z</w:t>
      </w:r>
      <w:r w:rsidR="00FA433F">
        <w:rPr>
          <w:noProof/>
        </w:rPr>
        <w:t> </w:t>
      </w:r>
      <w:r w:rsidR="00FA433F" w:rsidRPr="00FA433F">
        <w:rPr>
          <w:noProof/>
        </w:rPr>
        <w:t>wni</w:t>
      </w:r>
      <w:r w:rsidRPr="00FA433F">
        <w:rPr>
          <w:noProof/>
        </w:rPr>
        <w:t>oskiem dotyczącym zmiany dyrektywy EU ETS planowanym na</w:t>
      </w:r>
      <w:r w:rsidR="00FA433F" w:rsidRPr="00FA433F">
        <w:rPr>
          <w:noProof/>
        </w:rPr>
        <w:t> </w:t>
      </w:r>
      <w:r w:rsidRPr="00FA433F">
        <w:rPr>
          <w:noProof/>
        </w:rPr>
        <w:t>2026 r. oraz aby zapewnić dyscyplinę budżetową.</w:t>
      </w:r>
    </w:p>
    <w:p w14:paraId="4AC0B88D" w14:textId="272847E2" w:rsidR="008A4C15" w:rsidRPr="00FA433F" w:rsidRDefault="004D55FB" w:rsidP="004D55FB">
      <w:pPr>
        <w:pBdr>
          <w:top w:val="nil"/>
          <w:left w:val="nil"/>
          <w:bottom w:val="nil"/>
          <w:right w:val="nil"/>
          <w:between w:val="nil"/>
          <w:bar w:val="nil"/>
        </w:pBdr>
        <w:spacing w:before="0" w:after="240"/>
        <w:rPr>
          <w:rFonts w:eastAsia="Arial Unicode MS"/>
          <w:noProof/>
        </w:rPr>
      </w:pPr>
      <w:r w:rsidRPr="00FA433F">
        <w:rPr>
          <w:noProof/>
        </w:rPr>
        <w:t>Jest on również spójny</w:t>
      </w:r>
      <w:r w:rsidR="00FA433F" w:rsidRPr="00FA433F">
        <w:rPr>
          <w:noProof/>
        </w:rPr>
        <w:t xml:space="preserve"> z</w:t>
      </w:r>
      <w:r w:rsidR="00FA433F">
        <w:rPr>
          <w:noProof/>
        </w:rPr>
        <w:t> </w:t>
      </w:r>
      <w:r w:rsidR="00FA433F" w:rsidRPr="00FA433F">
        <w:rPr>
          <w:noProof/>
        </w:rPr>
        <w:t>cel</w:t>
      </w:r>
      <w:r w:rsidRPr="00FA433F">
        <w:rPr>
          <w:noProof/>
        </w:rPr>
        <w:t>ami innych funduszy unijnych, takich jak Fundusz Innowacyjny</w:t>
      </w:r>
      <w:r w:rsidR="00FA433F" w:rsidRPr="00FA433F">
        <w:rPr>
          <w:noProof/>
        </w:rPr>
        <w:t xml:space="preserve"> i</w:t>
      </w:r>
      <w:r w:rsidR="00FA433F">
        <w:rPr>
          <w:noProof/>
        </w:rPr>
        <w:t> </w:t>
      </w:r>
      <w:r w:rsidR="00FA433F" w:rsidRPr="00FA433F">
        <w:rPr>
          <w:noProof/>
        </w:rPr>
        <w:t>Spo</w:t>
      </w:r>
      <w:r w:rsidRPr="00FA433F">
        <w:rPr>
          <w:noProof/>
        </w:rPr>
        <w:t>łeczny Fundusz Klimatyczny, które wspierają dekarbonizację procesów produkcyjnych</w:t>
      </w:r>
      <w:r w:rsidR="00FA433F" w:rsidRPr="00FA433F">
        <w:rPr>
          <w:noProof/>
        </w:rPr>
        <w:t xml:space="preserve"> w</w:t>
      </w:r>
      <w:r w:rsidR="00FA433F">
        <w:rPr>
          <w:noProof/>
        </w:rPr>
        <w:t> </w:t>
      </w:r>
      <w:r w:rsidR="00FA433F" w:rsidRPr="00FA433F">
        <w:rPr>
          <w:noProof/>
        </w:rPr>
        <w:t>Uni</w:t>
      </w:r>
      <w:r w:rsidRPr="00FA433F">
        <w:rPr>
          <w:noProof/>
        </w:rPr>
        <w:t>i.</w:t>
      </w:r>
    </w:p>
    <w:p w14:paraId="5E74CEDD" w14:textId="73460A75" w:rsidR="008A4C15" w:rsidRPr="00FA433F" w:rsidRDefault="008A4C15">
      <w:pPr>
        <w:pStyle w:val="ManualHeading2"/>
        <w:rPr>
          <w:rFonts w:eastAsia="Arial Unicode MS"/>
          <w:noProof/>
        </w:rPr>
      </w:pPr>
      <w:r w:rsidRPr="00FA433F">
        <w:rPr>
          <w:noProof/>
          <w:u w:color="000000"/>
          <w:bdr w:val="nil"/>
        </w:rPr>
        <w:t>•</w:t>
      </w:r>
      <w:r w:rsidRPr="00FA433F">
        <w:rPr>
          <w:noProof/>
        </w:rPr>
        <w:tab/>
        <w:t>Spójność</w:t>
      </w:r>
      <w:r w:rsidR="00FA433F" w:rsidRPr="00FA433F">
        <w:rPr>
          <w:noProof/>
        </w:rPr>
        <w:t xml:space="preserve"> z</w:t>
      </w:r>
      <w:r w:rsidR="00FA433F">
        <w:rPr>
          <w:noProof/>
        </w:rPr>
        <w:t> </w:t>
      </w:r>
      <w:r w:rsidR="00FA433F" w:rsidRPr="00FA433F">
        <w:rPr>
          <w:noProof/>
        </w:rPr>
        <w:t>inn</w:t>
      </w:r>
      <w:r w:rsidRPr="00FA433F">
        <w:rPr>
          <w:noProof/>
        </w:rPr>
        <w:t>ymi politykami Unii</w:t>
      </w:r>
    </w:p>
    <w:p w14:paraId="4230E5BA" w14:textId="2F4E7987" w:rsidR="009C2688" w:rsidRPr="00FA433F" w:rsidRDefault="009C2688" w:rsidP="009C2688">
      <w:pPr>
        <w:pBdr>
          <w:top w:val="nil"/>
          <w:left w:val="nil"/>
          <w:bottom w:val="nil"/>
          <w:right w:val="nil"/>
          <w:between w:val="nil"/>
          <w:bar w:val="nil"/>
        </w:pBdr>
        <w:spacing w:before="0" w:after="240"/>
        <w:rPr>
          <w:noProof/>
        </w:rPr>
      </w:pPr>
      <w:r w:rsidRPr="00FA433F">
        <w:rPr>
          <w:noProof/>
        </w:rPr>
        <w:t>Wymogi administracyjne,</w:t>
      </w:r>
      <w:r w:rsidR="00FA433F" w:rsidRPr="00FA433F">
        <w:rPr>
          <w:noProof/>
        </w:rPr>
        <w:t xml:space="preserve"> w</w:t>
      </w:r>
      <w:r w:rsidR="00FA433F">
        <w:rPr>
          <w:noProof/>
        </w:rPr>
        <w:t> </w:t>
      </w:r>
      <w:r w:rsidR="00FA433F" w:rsidRPr="00FA433F">
        <w:rPr>
          <w:noProof/>
        </w:rPr>
        <w:t>tym</w:t>
      </w:r>
      <w:r w:rsidRPr="00FA433F">
        <w:rPr>
          <w:noProof/>
        </w:rPr>
        <w:t xml:space="preserve"> wymogi</w:t>
      </w:r>
      <w:r w:rsidR="00FA433F" w:rsidRPr="00FA433F">
        <w:rPr>
          <w:noProof/>
        </w:rPr>
        <w:t xml:space="preserve"> w</w:t>
      </w:r>
      <w:r w:rsidR="00FA433F">
        <w:rPr>
          <w:noProof/>
        </w:rPr>
        <w:t> </w:t>
      </w:r>
      <w:r w:rsidR="00FA433F" w:rsidRPr="00FA433F">
        <w:rPr>
          <w:noProof/>
        </w:rPr>
        <w:t>zak</w:t>
      </w:r>
      <w:r w:rsidRPr="00FA433F">
        <w:rPr>
          <w:noProof/>
        </w:rPr>
        <w:t>resie sprawozdawczości, są kluczowe, aby zapewnić prawidłowe egzekwowanie przepisów</w:t>
      </w:r>
      <w:r w:rsidR="00FA433F" w:rsidRPr="00FA433F">
        <w:rPr>
          <w:noProof/>
        </w:rPr>
        <w:t xml:space="preserve"> i</w:t>
      </w:r>
      <w:r w:rsidR="00FA433F">
        <w:rPr>
          <w:noProof/>
        </w:rPr>
        <w:t> </w:t>
      </w:r>
      <w:r w:rsidR="00FA433F" w:rsidRPr="00FA433F">
        <w:rPr>
          <w:noProof/>
        </w:rPr>
        <w:t>ich</w:t>
      </w:r>
      <w:r w:rsidRPr="00FA433F">
        <w:rPr>
          <w:noProof/>
        </w:rPr>
        <w:t xml:space="preserve"> należyte monitorowanie. Co do zasady, koszty związane</w:t>
      </w:r>
      <w:r w:rsidR="00FA433F" w:rsidRPr="00FA433F">
        <w:rPr>
          <w:noProof/>
        </w:rPr>
        <w:t xml:space="preserve"> z</w:t>
      </w:r>
      <w:r w:rsidR="00FA433F">
        <w:rPr>
          <w:noProof/>
        </w:rPr>
        <w:t> </w:t>
      </w:r>
      <w:r w:rsidR="00FA433F" w:rsidRPr="00FA433F">
        <w:rPr>
          <w:noProof/>
        </w:rPr>
        <w:t>tym</w:t>
      </w:r>
      <w:r w:rsidRPr="00FA433F">
        <w:rPr>
          <w:noProof/>
        </w:rPr>
        <w:t>i wymogami są</w:t>
      </w:r>
      <w:r w:rsidR="00FA433F" w:rsidRPr="00FA433F">
        <w:rPr>
          <w:noProof/>
        </w:rPr>
        <w:t xml:space="preserve"> w</w:t>
      </w:r>
      <w:r w:rsidR="00FA433F">
        <w:rPr>
          <w:noProof/>
        </w:rPr>
        <w:t> </w:t>
      </w:r>
      <w:r w:rsidR="00FA433F" w:rsidRPr="00FA433F">
        <w:rPr>
          <w:noProof/>
        </w:rPr>
        <w:t>duż</w:t>
      </w:r>
      <w:r w:rsidRPr="00FA433F">
        <w:rPr>
          <w:noProof/>
        </w:rPr>
        <w:t>ej mierze zrównoważone płynącymi</w:t>
      </w:r>
      <w:r w:rsidR="00FA433F" w:rsidRPr="00FA433F">
        <w:rPr>
          <w:noProof/>
        </w:rPr>
        <w:t xml:space="preserve"> z</w:t>
      </w:r>
      <w:r w:rsidR="00FA433F">
        <w:rPr>
          <w:noProof/>
        </w:rPr>
        <w:t> </w:t>
      </w:r>
      <w:r w:rsidR="00FA433F" w:rsidRPr="00FA433F">
        <w:rPr>
          <w:noProof/>
        </w:rPr>
        <w:t>nic</w:t>
      </w:r>
      <w:r w:rsidRPr="00FA433F">
        <w:rPr>
          <w:noProof/>
        </w:rPr>
        <w:t>h korzyściami. Wymogi sprawozdawcze mogą jednak również powodować nieproporcjonalne obciążenia dla zainteresowanych podmiotów,</w:t>
      </w:r>
      <w:r w:rsidR="00FA433F" w:rsidRPr="00FA433F">
        <w:rPr>
          <w:noProof/>
        </w:rPr>
        <w:t xml:space="preserve"> w</w:t>
      </w:r>
      <w:r w:rsidR="00FA433F">
        <w:rPr>
          <w:noProof/>
        </w:rPr>
        <w:t> </w:t>
      </w:r>
      <w:r w:rsidR="00FA433F" w:rsidRPr="00FA433F">
        <w:rPr>
          <w:noProof/>
        </w:rPr>
        <w:t>szc</w:t>
      </w:r>
      <w:r w:rsidRPr="00FA433F">
        <w:rPr>
          <w:noProof/>
        </w:rPr>
        <w:t>zególności dla małych</w:t>
      </w:r>
      <w:r w:rsidR="00FA433F" w:rsidRPr="00FA433F">
        <w:rPr>
          <w:noProof/>
        </w:rPr>
        <w:t xml:space="preserve"> i</w:t>
      </w:r>
      <w:r w:rsidR="00FA433F">
        <w:rPr>
          <w:noProof/>
        </w:rPr>
        <w:t> </w:t>
      </w:r>
      <w:r w:rsidR="00FA433F" w:rsidRPr="00FA433F">
        <w:rPr>
          <w:noProof/>
        </w:rPr>
        <w:t>śre</w:t>
      </w:r>
      <w:r w:rsidRPr="00FA433F">
        <w:rPr>
          <w:noProof/>
        </w:rPr>
        <w:t>dnich przedsiębiorstw oraz mikroprzedsiębiorstw.</w:t>
      </w:r>
    </w:p>
    <w:p w14:paraId="68E9EA8F" w14:textId="42960233" w:rsidR="009C2688" w:rsidRPr="00FA433F" w:rsidRDefault="009C2688" w:rsidP="009C2688">
      <w:pPr>
        <w:pBdr>
          <w:top w:val="nil"/>
          <w:left w:val="nil"/>
          <w:bottom w:val="nil"/>
          <w:right w:val="nil"/>
          <w:between w:val="nil"/>
          <w:bar w:val="nil"/>
        </w:pBdr>
        <w:spacing w:before="0" w:after="240"/>
        <w:rPr>
          <w:noProof/>
        </w:rPr>
      </w:pPr>
      <w:r w:rsidRPr="00FA433F">
        <w:rPr>
          <w:noProof/>
        </w:rPr>
        <w:t>Komisja określiła program uproszczenia</w:t>
      </w:r>
      <w:r w:rsidR="00FA433F" w:rsidRPr="00FA433F">
        <w:rPr>
          <w:noProof/>
        </w:rPr>
        <w:t xml:space="preserve"> w</w:t>
      </w:r>
      <w:r w:rsidR="00FA433F">
        <w:rPr>
          <w:noProof/>
        </w:rPr>
        <w:t> </w:t>
      </w:r>
      <w:r w:rsidR="00FA433F" w:rsidRPr="00FA433F">
        <w:rPr>
          <w:noProof/>
        </w:rPr>
        <w:t>kil</w:t>
      </w:r>
      <w:r w:rsidRPr="00FA433F">
        <w:rPr>
          <w:noProof/>
        </w:rPr>
        <w:t>ku swoich komunikatach</w:t>
      </w:r>
      <w:r w:rsidR="00FA433F" w:rsidRPr="00FA433F">
        <w:rPr>
          <w:noProof/>
        </w:rPr>
        <w:t xml:space="preserve"> w</w:t>
      </w:r>
      <w:r w:rsidR="00FA433F">
        <w:rPr>
          <w:noProof/>
        </w:rPr>
        <w:t> </w:t>
      </w:r>
      <w:r w:rsidR="00FA433F" w:rsidRPr="00FA433F">
        <w:rPr>
          <w:noProof/>
        </w:rPr>
        <w:t>2</w:t>
      </w:r>
      <w:r w:rsidRPr="00FA433F">
        <w:rPr>
          <w:noProof/>
        </w:rPr>
        <w:t>025 r.</w:t>
      </w:r>
      <w:r w:rsidRPr="00FA433F">
        <w:rPr>
          <w:rStyle w:val="Odwoanieprzypisudolnego"/>
          <w:rFonts w:eastAsia="Arial Unicode MS"/>
          <w:noProof/>
        </w:rPr>
        <w:footnoteReference w:id="2"/>
      </w:r>
      <w:r w:rsidRPr="00FA433F">
        <w:rPr>
          <w:noProof/>
        </w:rPr>
        <w:t xml:space="preserve"> po opublikowaniu raportu Draghiego. Komisja podejmuje bezprecedensowe działania na rzecz uproszczenia, aby osiągnąć uzgodnione cele polityczne</w:t>
      </w:r>
      <w:r w:rsidR="00FA433F" w:rsidRPr="00FA433F">
        <w:rPr>
          <w:noProof/>
        </w:rPr>
        <w:t xml:space="preserve"> w</w:t>
      </w:r>
      <w:r w:rsidR="00FA433F">
        <w:rPr>
          <w:noProof/>
        </w:rPr>
        <w:t> </w:t>
      </w:r>
      <w:r w:rsidR="00FA433F" w:rsidRPr="00FA433F">
        <w:rPr>
          <w:noProof/>
        </w:rPr>
        <w:t>naj</w:t>
      </w:r>
      <w:r w:rsidRPr="00FA433F">
        <w:rPr>
          <w:noProof/>
        </w:rPr>
        <w:t>prostszy, najbardziej ukierunkowany, najskuteczniejszy</w:t>
      </w:r>
      <w:r w:rsidR="00FA433F" w:rsidRPr="00FA433F">
        <w:rPr>
          <w:noProof/>
        </w:rPr>
        <w:t xml:space="preserve"> i</w:t>
      </w:r>
      <w:r w:rsidR="00FA433F">
        <w:rPr>
          <w:noProof/>
        </w:rPr>
        <w:t> </w:t>
      </w:r>
      <w:r w:rsidR="00FA433F" w:rsidRPr="00FA433F">
        <w:rPr>
          <w:noProof/>
        </w:rPr>
        <w:t>naj</w:t>
      </w:r>
      <w:r w:rsidRPr="00FA433F">
        <w:rPr>
          <w:noProof/>
        </w:rPr>
        <w:t xml:space="preserve">mniej uciążliwy sposób. </w:t>
      </w:r>
    </w:p>
    <w:p w14:paraId="70D84F8E" w14:textId="7B59222E" w:rsidR="009C2688" w:rsidRPr="00FA433F" w:rsidRDefault="009C2688" w:rsidP="009C2688">
      <w:pPr>
        <w:pBdr>
          <w:top w:val="nil"/>
          <w:left w:val="nil"/>
          <w:bottom w:val="nil"/>
          <w:right w:val="nil"/>
          <w:between w:val="nil"/>
          <w:bar w:val="nil"/>
        </w:pBdr>
        <w:spacing w:before="0" w:after="240"/>
        <w:rPr>
          <w:noProof/>
        </w:rPr>
      </w:pPr>
      <w:r w:rsidRPr="00FA433F">
        <w:rPr>
          <w:noProof/>
        </w:rPr>
        <w:t>Niniejszy wniosek jest spójny</w:t>
      </w:r>
      <w:r w:rsidR="00FA433F" w:rsidRPr="00FA433F">
        <w:rPr>
          <w:noProof/>
        </w:rPr>
        <w:t xml:space="preserve"> z</w:t>
      </w:r>
      <w:r w:rsidR="00FA433F">
        <w:rPr>
          <w:noProof/>
        </w:rPr>
        <w:t> </w:t>
      </w:r>
      <w:r w:rsidR="00FA433F" w:rsidRPr="00FA433F">
        <w:rPr>
          <w:noProof/>
        </w:rPr>
        <w:t>uni</w:t>
      </w:r>
      <w:r w:rsidRPr="00FA433F">
        <w:rPr>
          <w:noProof/>
        </w:rPr>
        <w:t>jnym programem uproszczenia oraz zobowiązaniem do zmniejszenia niepotrzebnych obciążeń administracyjnych dla organów publicznych</w:t>
      </w:r>
      <w:r w:rsidR="00FA433F" w:rsidRPr="00FA433F">
        <w:rPr>
          <w:noProof/>
        </w:rPr>
        <w:t xml:space="preserve"> i</w:t>
      </w:r>
      <w:r w:rsidR="00FA433F">
        <w:rPr>
          <w:noProof/>
        </w:rPr>
        <w:t> </w:t>
      </w:r>
      <w:r w:rsidR="00FA433F" w:rsidRPr="00FA433F">
        <w:rPr>
          <w:noProof/>
        </w:rPr>
        <w:t>ben</w:t>
      </w:r>
      <w:r w:rsidRPr="00FA433F">
        <w:rPr>
          <w:noProof/>
        </w:rPr>
        <w:t>eficjentów. Struktura zarządzania funduszem ma na celu zminimalizowanie powielania istniejących instrumentów unijnych,</w:t>
      </w:r>
      <w:r w:rsidR="00FA433F" w:rsidRPr="00FA433F">
        <w:rPr>
          <w:noProof/>
        </w:rPr>
        <w:t xml:space="preserve"> w</w:t>
      </w:r>
      <w:r w:rsidR="00FA433F">
        <w:rPr>
          <w:noProof/>
        </w:rPr>
        <w:t> </w:t>
      </w:r>
      <w:r w:rsidR="00FA433F" w:rsidRPr="00FA433F">
        <w:rPr>
          <w:noProof/>
        </w:rPr>
        <w:t>szc</w:t>
      </w:r>
      <w:r w:rsidRPr="00FA433F">
        <w:rPr>
          <w:noProof/>
        </w:rPr>
        <w:t>zególności EU ETS, oraz pełne wykorzystanie istniejących zdolności administracyjnych na szczeblu unijnym</w:t>
      </w:r>
      <w:r w:rsidR="00FA433F" w:rsidRPr="00FA433F">
        <w:rPr>
          <w:noProof/>
        </w:rPr>
        <w:t xml:space="preserve"> i</w:t>
      </w:r>
      <w:r w:rsidR="00FA433F">
        <w:rPr>
          <w:noProof/>
        </w:rPr>
        <w:t> </w:t>
      </w:r>
      <w:r w:rsidR="00FA433F" w:rsidRPr="00FA433F">
        <w:rPr>
          <w:noProof/>
        </w:rPr>
        <w:t>kra</w:t>
      </w:r>
      <w:r w:rsidRPr="00FA433F">
        <w:rPr>
          <w:noProof/>
        </w:rPr>
        <w:t xml:space="preserve">jowym. Usprawnia również procedury dzięki wprowadzeniu jednego zaproszenia do składania wniosków. </w:t>
      </w:r>
    </w:p>
    <w:p w14:paraId="3570F219" w14:textId="65054348" w:rsidR="008A4C15" w:rsidRPr="00FA433F" w:rsidRDefault="009C2688" w:rsidP="009C2688">
      <w:pPr>
        <w:pBdr>
          <w:top w:val="nil"/>
          <w:left w:val="nil"/>
          <w:bottom w:val="nil"/>
          <w:right w:val="nil"/>
          <w:between w:val="nil"/>
          <w:bar w:val="nil"/>
        </w:pBdr>
        <w:spacing w:before="0" w:after="240"/>
        <w:rPr>
          <w:rFonts w:eastAsia="Arial Unicode MS"/>
          <w:noProof/>
        </w:rPr>
      </w:pPr>
      <w:r w:rsidRPr="00FA433F">
        <w:rPr>
          <w:noProof/>
        </w:rPr>
        <w:t>Ponadto wniosek ma na celu zapewnienie ochrony interesów finansowych Unii zgodnie</w:t>
      </w:r>
      <w:r w:rsidR="00FA433F" w:rsidRPr="00FA433F">
        <w:rPr>
          <w:noProof/>
        </w:rPr>
        <w:t xml:space="preserve"> z</w:t>
      </w:r>
      <w:r w:rsidR="00FA433F">
        <w:rPr>
          <w:noProof/>
        </w:rPr>
        <w:t> </w:t>
      </w:r>
      <w:r w:rsidR="00FA433F" w:rsidRPr="00FA433F">
        <w:rPr>
          <w:noProof/>
        </w:rPr>
        <w:t>roz</w:t>
      </w:r>
      <w:r w:rsidRPr="00FA433F">
        <w:rPr>
          <w:noProof/>
        </w:rPr>
        <w:t>porządzeniem (UE, Euratom) 2024/2509 („rozporządzenie finansowe”)</w:t>
      </w:r>
      <w:r w:rsidRPr="00FA433F">
        <w:rPr>
          <w:rStyle w:val="Odwoanieprzypisudolnego"/>
          <w:rFonts w:eastAsia="Arial Unicode MS"/>
          <w:noProof/>
        </w:rPr>
        <w:footnoteReference w:id="3"/>
      </w:r>
      <w:r w:rsidRPr="00FA433F">
        <w:rPr>
          <w:noProof/>
        </w:rPr>
        <w:t>. Komisja, Europejski Urząd ds. Zwalczania Nadużyć Finansowych (OLAF), Europejski Trybunał Obrachunkowy (ETO) oraz,</w:t>
      </w:r>
      <w:r w:rsidR="00FA433F" w:rsidRPr="00FA433F">
        <w:rPr>
          <w:noProof/>
        </w:rPr>
        <w:t xml:space="preserve"> w</w:t>
      </w:r>
      <w:r w:rsidR="00FA433F">
        <w:rPr>
          <w:noProof/>
        </w:rPr>
        <w:t> </w:t>
      </w:r>
      <w:r w:rsidR="00FA433F" w:rsidRPr="00FA433F">
        <w:rPr>
          <w:noProof/>
        </w:rPr>
        <w:t>sto</w:t>
      </w:r>
      <w:r w:rsidRPr="00FA433F">
        <w:rPr>
          <w:noProof/>
        </w:rPr>
        <w:t>sownych przypadkach, Prokuratura Europejska (EPPO) będą uprawnione do realizowania swoich uprawnień dochodzeniowych</w:t>
      </w:r>
      <w:r w:rsidR="00FA433F" w:rsidRPr="00FA433F">
        <w:rPr>
          <w:noProof/>
        </w:rPr>
        <w:t xml:space="preserve"> i</w:t>
      </w:r>
      <w:r w:rsidR="00FA433F">
        <w:rPr>
          <w:noProof/>
        </w:rPr>
        <w:t> </w:t>
      </w:r>
      <w:r w:rsidR="00FA433F" w:rsidRPr="00FA433F">
        <w:rPr>
          <w:noProof/>
        </w:rPr>
        <w:t>w</w:t>
      </w:r>
      <w:r w:rsidR="00FA433F">
        <w:rPr>
          <w:noProof/>
        </w:rPr>
        <w:t> </w:t>
      </w:r>
      <w:r w:rsidR="00FA433F" w:rsidRPr="00FA433F">
        <w:rPr>
          <w:noProof/>
        </w:rPr>
        <w:t>zak</w:t>
      </w:r>
      <w:r w:rsidRPr="00FA433F">
        <w:rPr>
          <w:noProof/>
        </w:rPr>
        <w:t>resie ścigania</w:t>
      </w:r>
      <w:r w:rsidR="00FA433F" w:rsidRPr="00FA433F">
        <w:rPr>
          <w:noProof/>
        </w:rPr>
        <w:t xml:space="preserve"> w</w:t>
      </w:r>
      <w:r w:rsidR="00FA433F">
        <w:rPr>
          <w:noProof/>
        </w:rPr>
        <w:t> </w:t>
      </w:r>
      <w:r w:rsidR="00FA433F" w:rsidRPr="00FA433F">
        <w:rPr>
          <w:noProof/>
        </w:rPr>
        <w:t>odn</w:t>
      </w:r>
      <w:r w:rsidRPr="00FA433F">
        <w:rPr>
          <w:noProof/>
        </w:rPr>
        <w:t>iesieniu do wykorzystania zasobów funduszu.</w:t>
      </w:r>
    </w:p>
    <w:p w14:paraId="49047822" w14:textId="77777777" w:rsidR="008A4C15" w:rsidRPr="00FA433F" w:rsidRDefault="008A4C15">
      <w:pPr>
        <w:pStyle w:val="ManualHeading1"/>
        <w:rPr>
          <w:noProof/>
        </w:rPr>
      </w:pPr>
      <w:r w:rsidRPr="00FA433F">
        <w:rPr>
          <w:noProof/>
        </w:rPr>
        <w:t>2.</w:t>
      </w:r>
      <w:r w:rsidRPr="00FA433F">
        <w:rPr>
          <w:noProof/>
        </w:rPr>
        <w:tab/>
        <w:t>PODSTAWA PRAWNA, POMOCNICZOŚĆ I PROPORCJONALNOŚĆ</w:t>
      </w:r>
    </w:p>
    <w:p w14:paraId="4B817C07" w14:textId="77777777"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r>
      <w:r w:rsidRPr="00FA433F">
        <w:rPr>
          <w:noProof/>
          <w:u w:color="000000"/>
          <w:bdr w:val="nil"/>
        </w:rPr>
        <w:t>Podstawa prawna</w:t>
      </w:r>
    </w:p>
    <w:p w14:paraId="418003EA" w14:textId="31037097" w:rsidR="00A532E6" w:rsidRPr="00FA433F" w:rsidRDefault="00A532E6" w:rsidP="00A532E6">
      <w:pPr>
        <w:pBdr>
          <w:top w:val="nil"/>
          <w:left w:val="nil"/>
          <w:bottom w:val="nil"/>
          <w:right w:val="nil"/>
          <w:between w:val="nil"/>
          <w:bar w:val="nil"/>
        </w:pBdr>
        <w:spacing w:before="0" w:after="240"/>
        <w:rPr>
          <w:noProof/>
        </w:rPr>
      </w:pPr>
      <w:r w:rsidRPr="00FA433F">
        <w:rPr>
          <w:noProof/>
        </w:rPr>
        <w:t>Podstawą wniosku jest art. 192 ust. 1 Traktatu</w:t>
      </w:r>
      <w:r w:rsidR="00FA433F" w:rsidRPr="00FA433F">
        <w:rPr>
          <w:noProof/>
        </w:rPr>
        <w:t xml:space="preserve"> o</w:t>
      </w:r>
      <w:r w:rsidR="00FA433F">
        <w:rPr>
          <w:noProof/>
        </w:rPr>
        <w:t> </w:t>
      </w:r>
      <w:r w:rsidR="00FA433F" w:rsidRPr="00FA433F">
        <w:rPr>
          <w:noProof/>
        </w:rPr>
        <w:t>fun</w:t>
      </w:r>
      <w:r w:rsidRPr="00FA433F">
        <w:rPr>
          <w:noProof/>
        </w:rPr>
        <w:t>kcjonowaniu Unii Europejskiej („TFUE”)</w:t>
      </w:r>
      <w:r w:rsidR="00FA433F" w:rsidRPr="00FA433F">
        <w:rPr>
          <w:noProof/>
        </w:rPr>
        <w:t xml:space="preserve"> w</w:t>
      </w:r>
      <w:r w:rsidR="00FA433F">
        <w:rPr>
          <w:noProof/>
        </w:rPr>
        <w:t> </w:t>
      </w:r>
      <w:r w:rsidR="00FA433F" w:rsidRPr="00FA433F">
        <w:rPr>
          <w:noProof/>
        </w:rPr>
        <w:t>zak</w:t>
      </w:r>
      <w:r w:rsidRPr="00FA433F">
        <w:rPr>
          <w:noProof/>
        </w:rPr>
        <w:t>resie ochrony środowiska. Zgodnie</w:t>
      </w:r>
      <w:r w:rsidR="00FA433F" w:rsidRPr="00FA433F">
        <w:rPr>
          <w:noProof/>
        </w:rPr>
        <w:t xml:space="preserve"> z</w:t>
      </w:r>
      <w:r w:rsidR="00FA433F">
        <w:rPr>
          <w:noProof/>
        </w:rPr>
        <w:t> </w:t>
      </w:r>
      <w:r w:rsidR="00FA433F" w:rsidRPr="00FA433F">
        <w:rPr>
          <w:noProof/>
        </w:rPr>
        <w:t>tym</w:t>
      </w:r>
      <w:r w:rsidRPr="00FA433F">
        <w:rPr>
          <w:noProof/>
        </w:rPr>
        <w:t xml:space="preserve"> artykułem Unia przyczynia się do osiągnięcia m.in. następujących celów: zachowanie, ochrona</w:t>
      </w:r>
      <w:r w:rsidR="00FA433F" w:rsidRPr="00FA433F">
        <w:rPr>
          <w:noProof/>
        </w:rPr>
        <w:t xml:space="preserve"> i</w:t>
      </w:r>
      <w:r w:rsidR="00FA433F">
        <w:rPr>
          <w:noProof/>
        </w:rPr>
        <w:t> </w:t>
      </w:r>
      <w:r w:rsidR="00FA433F" w:rsidRPr="00FA433F">
        <w:rPr>
          <w:noProof/>
        </w:rPr>
        <w:t>pop</w:t>
      </w:r>
      <w:r w:rsidRPr="00FA433F">
        <w:rPr>
          <w:noProof/>
        </w:rPr>
        <w:t>rawa jakości środowiska oraz promowanie na płaszczyźnie międzynarodowej środków zmierzających do rozwiązywania regionalnych lub światowych problemów</w:t>
      </w:r>
      <w:r w:rsidR="00FA433F" w:rsidRPr="00FA433F">
        <w:rPr>
          <w:noProof/>
        </w:rPr>
        <w:t xml:space="preserve"> w</w:t>
      </w:r>
      <w:r w:rsidR="00FA433F">
        <w:rPr>
          <w:noProof/>
        </w:rPr>
        <w:t> </w:t>
      </w:r>
      <w:r w:rsidR="00FA433F" w:rsidRPr="00FA433F">
        <w:rPr>
          <w:noProof/>
        </w:rPr>
        <w:t>dzi</w:t>
      </w:r>
      <w:r w:rsidRPr="00FA433F">
        <w:rPr>
          <w:noProof/>
        </w:rPr>
        <w:t>edzinie środowiska naturalnego,</w:t>
      </w:r>
      <w:r w:rsidR="00FA433F" w:rsidRPr="00FA433F">
        <w:rPr>
          <w:noProof/>
        </w:rPr>
        <w:t xml:space="preserve"> a</w:t>
      </w:r>
      <w:r w:rsidR="00FA433F">
        <w:rPr>
          <w:noProof/>
        </w:rPr>
        <w:t> </w:t>
      </w:r>
      <w:r w:rsidR="00FA433F" w:rsidRPr="00FA433F">
        <w:rPr>
          <w:noProof/>
        </w:rPr>
        <w:t>w</w:t>
      </w:r>
      <w:r w:rsidR="00FA433F">
        <w:rPr>
          <w:noProof/>
        </w:rPr>
        <w:t> </w:t>
      </w:r>
      <w:r w:rsidR="00FA433F" w:rsidRPr="00FA433F">
        <w:rPr>
          <w:noProof/>
        </w:rPr>
        <w:t>szc</w:t>
      </w:r>
      <w:r w:rsidRPr="00FA433F">
        <w:rPr>
          <w:noProof/>
        </w:rPr>
        <w:t>zególności przeciwdziałanie zmianie klimatu. Wniosek służy realizacji tych celów środowiskowych poprzez wspieranie obniżania emisyjności, zapobieganie ucieczce emisji,</w:t>
      </w:r>
      <w:r w:rsidR="00FA433F" w:rsidRPr="00FA433F">
        <w:rPr>
          <w:noProof/>
        </w:rPr>
        <w:t xml:space="preserve"> a</w:t>
      </w:r>
      <w:r w:rsidR="00FA433F">
        <w:rPr>
          <w:noProof/>
        </w:rPr>
        <w:t> </w:t>
      </w:r>
      <w:r w:rsidR="00FA433F" w:rsidRPr="00FA433F">
        <w:rPr>
          <w:noProof/>
        </w:rPr>
        <w:t>tym</w:t>
      </w:r>
      <w:r w:rsidRPr="00FA433F">
        <w:rPr>
          <w:noProof/>
        </w:rPr>
        <w:t xml:space="preserve"> samym zapewnienie efektywności środowiskowej unijnej polityki klimatycznej.</w:t>
      </w:r>
    </w:p>
    <w:p w14:paraId="67230D02" w14:textId="5A9BC385" w:rsidR="008A4C15" w:rsidRPr="00FA433F" w:rsidRDefault="00A532E6">
      <w:pPr>
        <w:pBdr>
          <w:top w:val="nil"/>
          <w:left w:val="nil"/>
          <w:bottom w:val="nil"/>
          <w:right w:val="nil"/>
          <w:between w:val="nil"/>
          <w:bar w:val="nil"/>
        </w:pBdr>
        <w:spacing w:before="0" w:after="240"/>
        <w:rPr>
          <w:rFonts w:eastAsia="Arial Unicode MS"/>
          <w:noProof/>
        </w:rPr>
      </w:pPr>
      <w:r w:rsidRPr="00FA433F">
        <w:rPr>
          <w:noProof/>
        </w:rPr>
        <w:t>Wniosek opiera się również na art. 322 ust. 1 TFUE, który stanowi podstawę prawną do przyjęcia przepisów finansowych określających procedurę uchwalania</w:t>
      </w:r>
      <w:r w:rsidR="00FA433F" w:rsidRPr="00FA433F">
        <w:rPr>
          <w:noProof/>
        </w:rPr>
        <w:t xml:space="preserve"> i</w:t>
      </w:r>
      <w:r w:rsidR="00FA433F">
        <w:rPr>
          <w:noProof/>
        </w:rPr>
        <w:t> </w:t>
      </w:r>
      <w:r w:rsidR="00FA433F" w:rsidRPr="00FA433F">
        <w:rPr>
          <w:noProof/>
        </w:rPr>
        <w:t>wyk</w:t>
      </w:r>
      <w:r w:rsidRPr="00FA433F">
        <w:rPr>
          <w:noProof/>
        </w:rPr>
        <w:t xml:space="preserve">onywania budżetu </w:t>
      </w:r>
      <w:r w:rsidRPr="00FA433F">
        <w:rPr>
          <w:noProof/>
        </w:rPr>
        <w:lastRenderedPageBreak/>
        <w:t>Unii oraz kontroli jego wykonania. Ponieważ wniosek ustanawia przepisy dotyczące finansowania</w:t>
      </w:r>
      <w:r w:rsidR="00FA433F" w:rsidRPr="00FA433F">
        <w:rPr>
          <w:noProof/>
        </w:rPr>
        <w:t xml:space="preserve"> i</w:t>
      </w:r>
      <w:r w:rsidR="00FA433F">
        <w:rPr>
          <w:noProof/>
        </w:rPr>
        <w:t> </w:t>
      </w:r>
      <w:r w:rsidR="00FA433F" w:rsidRPr="00FA433F">
        <w:rPr>
          <w:noProof/>
        </w:rPr>
        <w:t>kon</w:t>
      </w:r>
      <w:r w:rsidRPr="00FA433F">
        <w:rPr>
          <w:noProof/>
        </w:rPr>
        <w:t>trolowania unijnego funduszu oraz zarządzania nim, należy włączyć art. 322 ust. 1 TFUE.</w:t>
      </w:r>
    </w:p>
    <w:p w14:paraId="46B7003C" w14:textId="77777777"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r>
      <w:r w:rsidRPr="00FA433F">
        <w:rPr>
          <w:noProof/>
          <w:u w:color="000000"/>
          <w:bdr w:val="nil"/>
        </w:rPr>
        <w:t xml:space="preserve">Pomocniczość (w przypadku kompetencji niewyłącznych) </w:t>
      </w:r>
    </w:p>
    <w:p w14:paraId="7590D6F5" w14:textId="16C0AAD0" w:rsidR="008A4C15" w:rsidRPr="00FA433F" w:rsidRDefault="009227F9">
      <w:pPr>
        <w:pBdr>
          <w:top w:val="nil"/>
          <w:left w:val="nil"/>
          <w:bottom w:val="nil"/>
          <w:right w:val="nil"/>
          <w:between w:val="nil"/>
          <w:bar w:val="nil"/>
        </w:pBdr>
        <w:spacing w:before="0" w:after="240"/>
        <w:rPr>
          <w:rFonts w:eastAsia="Arial Unicode MS"/>
          <w:noProof/>
        </w:rPr>
      </w:pPr>
      <w:r w:rsidRPr="00FA433F">
        <w:rPr>
          <w:noProof/>
        </w:rPr>
        <w:t>Działanie na szczeblu Unii jest konieczne, aby przeciwdziałać wyżej wymienionym zagrożeniom</w:t>
      </w:r>
      <w:r w:rsidR="00FA433F" w:rsidRPr="00FA433F">
        <w:rPr>
          <w:noProof/>
        </w:rPr>
        <w:t xml:space="preserve"> w</w:t>
      </w:r>
      <w:r w:rsidR="00FA433F">
        <w:rPr>
          <w:noProof/>
        </w:rPr>
        <w:t> </w:t>
      </w:r>
      <w:r w:rsidR="00FA433F" w:rsidRPr="00FA433F">
        <w:rPr>
          <w:noProof/>
        </w:rPr>
        <w:t>spó</w:t>
      </w:r>
      <w:r w:rsidRPr="00FA433F">
        <w:rPr>
          <w:noProof/>
        </w:rPr>
        <w:t>jny sposób we wszystkich państwach członkowskich. Środki na szczeblu krajowym mogą prowadzić do nieskoordynowanego wsparcia</w:t>
      </w:r>
      <w:r w:rsidR="00FA433F" w:rsidRPr="00FA433F">
        <w:rPr>
          <w:noProof/>
        </w:rPr>
        <w:t xml:space="preserve"> w</w:t>
      </w:r>
      <w:r w:rsidR="00FA433F">
        <w:rPr>
          <w:noProof/>
        </w:rPr>
        <w:t> </w:t>
      </w:r>
      <w:r w:rsidR="00FA433F" w:rsidRPr="00FA433F">
        <w:rPr>
          <w:noProof/>
        </w:rPr>
        <w:t>cał</w:t>
      </w:r>
      <w:r w:rsidRPr="00FA433F">
        <w:rPr>
          <w:noProof/>
        </w:rPr>
        <w:t>ej Unii,</w:t>
      </w:r>
      <w:r w:rsidR="00FA433F" w:rsidRPr="00FA433F">
        <w:rPr>
          <w:noProof/>
        </w:rPr>
        <w:t xml:space="preserve"> a</w:t>
      </w:r>
      <w:r w:rsidR="00FA433F">
        <w:rPr>
          <w:noProof/>
        </w:rPr>
        <w:t> </w:t>
      </w:r>
      <w:r w:rsidR="00FA433F" w:rsidRPr="00FA433F">
        <w:rPr>
          <w:noProof/>
        </w:rPr>
        <w:t>tym</w:t>
      </w:r>
      <w:r w:rsidRPr="00FA433F">
        <w:rPr>
          <w:noProof/>
        </w:rPr>
        <w:t xml:space="preserve"> samym do zakłóceń na rynku wewnętrznym</w:t>
      </w:r>
      <w:r w:rsidR="00FA433F" w:rsidRPr="00FA433F">
        <w:rPr>
          <w:noProof/>
        </w:rPr>
        <w:t xml:space="preserve"> i</w:t>
      </w:r>
      <w:r w:rsidR="00FA433F">
        <w:rPr>
          <w:noProof/>
        </w:rPr>
        <w:t> </w:t>
      </w:r>
      <w:r w:rsidR="00FA433F" w:rsidRPr="00FA433F">
        <w:rPr>
          <w:noProof/>
        </w:rPr>
        <w:t>osł</w:t>
      </w:r>
      <w:r w:rsidRPr="00FA433F">
        <w:rPr>
          <w:noProof/>
        </w:rPr>
        <w:t>abienia ogólnej skuteczności EU ETS.</w:t>
      </w:r>
    </w:p>
    <w:p w14:paraId="50937B0D" w14:textId="77777777"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r>
      <w:r w:rsidRPr="00FA433F">
        <w:rPr>
          <w:noProof/>
          <w:u w:color="000000"/>
          <w:bdr w:val="nil"/>
        </w:rPr>
        <w:t>Proporcjonalność</w:t>
      </w:r>
    </w:p>
    <w:p w14:paraId="44E479EA" w14:textId="39303048" w:rsidR="008A4C15" w:rsidRPr="00FA433F" w:rsidRDefault="006F3BA6">
      <w:pPr>
        <w:pBdr>
          <w:top w:val="nil"/>
          <w:left w:val="nil"/>
          <w:bottom w:val="nil"/>
          <w:right w:val="nil"/>
          <w:between w:val="nil"/>
          <w:bar w:val="nil"/>
        </w:pBdr>
        <w:spacing w:before="0" w:after="240"/>
        <w:rPr>
          <w:rFonts w:eastAsia="Arial Unicode MS"/>
          <w:noProof/>
        </w:rPr>
      </w:pPr>
      <w:r w:rsidRPr="00FA433F">
        <w:rPr>
          <w:noProof/>
        </w:rPr>
        <w:t>Biorąc pod uwagę transgraniczny charakter działań</w:t>
      </w:r>
      <w:r w:rsidR="00FA433F" w:rsidRPr="00FA433F">
        <w:rPr>
          <w:noProof/>
        </w:rPr>
        <w:t xml:space="preserve"> w</w:t>
      </w:r>
      <w:r w:rsidR="00FA433F">
        <w:rPr>
          <w:noProof/>
        </w:rPr>
        <w:t> </w:t>
      </w:r>
      <w:r w:rsidR="00FA433F" w:rsidRPr="00FA433F">
        <w:rPr>
          <w:noProof/>
        </w:rPr>
        <w:t>dzi</w:t>
      </w:r>
      <w:r w:rsidRPr="00FA433F">
        <w:rPr>
          <w:noProof/>
        </w:rPr>
        <w:t>edzinie klimatu oraz potrzebę spójnej reakcji Unii, wniosek jest proporcjonalny do zamierzonego celu. Wprowadza unijny ukierunkowany</w:t>
      </w:r>
      <w:r w:rsidR="00FA433F" w:rsidRPr="00FA433F">
        <w:rPr>
          <w:noProof/>
        </w:rPr>
        <w:t xml:space="preserve"> i</w:t>
      </w:r>
      <w:r w:rsidR="00FA433F">
        <w:rPr>
          <w:noProof/>
        </w:rPr>
        <w:t> </w:t>
      </w:r>
      <w:r w:rsidR="00FA433F" w:rsidRPr="00FA433F">
        <w:rPr>
          <w:noProof/>
        </w:rPr>
        <w:t>ogr</w:t>
      </w:r>
      <w:r w:rsidRPr="00FA433F">
        <w:rPr>
          <w:noProof/>
        </w:rPr>
        <w:t>aniczony mechanizm wsparcia, który ma służyć wyłącznie realizacji wyżej wymienionych celów. Nie wykracza poza to, co jest konieczne do ochrony integralności środowiskowej unijnej polityki klimatycznej oraz do zapewnienia, aby redukcje emisji osiągnięte</w:t>
      </w:r>
      <w:r w:rsidR="00FA433F" w:rsidRPr="00FA433F">
        <w:rPr>
          <w:noProof/>
        </w:rPr>
        <w:t xml:space="preserve"> w</w:t>
      </w:r>
      <w:r w:rsidR="00FA433F">
        <w:rPr>
          <w:noProof/>
        </w:rPr>
        <w:t> </w:t>
      </w:r>
      <w:r w:rsidR="00FA433F" w:rsidRPr="00FA433F">
        <w:rPr>
          <w:noProof/>
        </w:rPr>
        <w:t>Uni</w:t>
      </w:r>
      <w:r w:rsidRPr="00FA433F">
        <w:rPr>
          <w:noProof/>
        </w:rPr>
        <w:t>i nie były kompensowane ich wzrostem</w:t>
      </w:r>
      <w:r w:rsidR="00FA433F" w:rsidRPr="00FA433F">
        <w:rPr>
          <w:noProof/>
        </w:rPr>
        <w:t xml:space="preserve"> w</w:t>
      </w:r>
      <w:r w:rsidR="00FA433F">
        <w:rPr>
          <w:noProof/>
        </w:rPr>
        <w:t> </w:t>
      </w:r>
      <w:r w:rsidR="00FA433F" w:rsidRPr="00FA433F">
        <w:rPr>
          <w:noProof/>
        </w:rPr>
        <w:t>pań</w:t>
      </w:r>
      <w:r w:rsidRPr="00FA433F">
        <w:rPr>
          <w:noProof/>
        </w:rPr>
        <w:t>stwach trzecich. Zakres jest ograniczony do sektorów objętych rozporządzeniem</w:t>
      </w:r>
      <w:r w:rsidR="00FA433F" w:rsidRPr="00FA433F">
        <w:rPr>
          <w:noProof/>
        </w:rPr>
        <w:t xml:space="preserve"> w</w:t>
      </w:r>
      <w:r w:rsidR="00FA433F">
        <w:rPr>
          <w:noProof/>
        </w:rPr>
        <w:t> </w:t>
      </w:r>
      <w:r w:rsidR="00FA433F" w:rsidRPr="00FA433F">
        <w:rPr>
          <w:noProof/>
        </w:rPr>
        <w:t>spr</w:t>
      </w:r>
      <w:r w:rsidRPr="00FA433F">
        <w:rPr>
          <w:noProof/>
        </w:rPr>
        <w:t>awie CBAM. Wsparcie jest uzależnione od tego, czy projekty wykazują wyraźny wkład</w:t>
      </w:r>
      <w:r w:rsidR="00FA433F" w:rsidRPr="00FA433F">
        <w:rPr>
          <w:noProof/>
        </w:rPr>
        <w:t xml:space="preserve"> w</w:t>
      </w:r>
      <w:r w:rsidR="00FA433F">
        <w:rPr>
          <w:noProof/>
        </w:rPr>
        <w:t> </w:t>
      </w:r>
      <w:r w:rsidR="00FA433F" w:rsidRPr="00FA433F">
        <w:rPr>
          <w:noProof/>
        </w:rPr>
        <w:t>dek</w:t>
      </w:r>
      <w:r w:rsidRPr="00FA433F">
        <w:rPr>
          <w:noProof/>
        </w:rPr>
        <w:t>arbonizację przemysłu. Pula środków finansowych jest ograniczona</w:t>
      </w:r>
      <w:r w:rsidR="00FA433F" w:rsidRPr="00FA433F">
        <w:rPr>
          <w:noProof/>
        </w:rPr>
        <w:t xml:space="preserve"> i</w:t>
      </w:r>
      <w:r w:rsidR="00FA433F">
        <w:rPr>
          <w:noProof/>
        </w:rPr>
        <w:t> </w:t>
      </w:r>
      <w:r w:rsidR="00FA433F" w:rsidRPr="00FA433F">
        <w:rPr>
          <w:noProof/>
        </w:rPr>
        <w:t>pow</w:t>
      </w:r>
      <w:r w:rsidRPr="00FA433F">
        <w:rPr>
          <w:noProof/>
        </w:rPr>
        <w:t>iązana</w:t>
      </w:r>
      <w:r w:rsidR="00FA433F" w:rsidRPr="00FA433F">
        <w:rPr>
          <w:noProof/>
        </w:rPr>
        <w:t xml:space="preserve"> z</w:t>
      </w:r>
      <w:r w:rsidR="00FA433F">
        <w:rPr>
          <w:noProof/>
        </w:rPr>
        <w:t> </w:t>
      </w:r>
      <w:r w:rsidR="00FA433F" w:rsidRPr="00FA433F">
        <w:rPr>
          <w:noProof/>
        </w:rPr>
        <w:t>ogr</w:t>
      </w:r>
      <w:r w:rsidRPr="00FA433F">
        <w:rPr>
          <w:noProof/>
        </w:rPr>
        <w:t>aniczonym budżetem</w:t>
      </w:r>
      <w:r w:rsidR="00FA433F" w:rsidRPr="00FA433F">
        <w:rPr>
          <w:noProof/>
        </w:rPr>
        <w:t xml:space="preserve"> w</w:t>
      </w:r>
      <w:r w:rsidR="00FA433F">
        <w:rPr>
          <w:noProof/>
        </w:rPr>
        <w:t> </w:t>
      </w:r>
      <w:r w:rsidR="00FA433F" w:rsidRPr="00FA433F">
        <w:rPr>
          <w:noProof/>
        </w:rPr>
        <w:t>odn</w:t>
      </w:r>
      <w:r w:rsidRPr="00FA433F">
        <w:rPr>
          <w:noProof/>
        </w:rPr>
        <w:t>iesieniu do dochodów z CBAM, co zapewnia dyscyplinę budżetową. Wniosek opiera się również na istniejących strukturach administracyjnych</w:t>
      </w:r>
      <w:r w:rsidR="00FA433F" w:rsidRPr="00FA433F">
        <w:rPr>
          <w:noProof/>
        </w:rPr>
        <w:t xml:space="preserve"> i</w:t>
      </w:r>
      <w:r w:rsidR="00FA433F">
        <w:rPr>
          <w:noProof/>
        </w:rPr>
        <w:t> </w:t>
      </w:r>
      <w:r w:rsidR="00FA433F" w:rsidRPr="00FA433F">
        <w:rPr>
          <w:noProof/>
        </w:rPr>
        <w:t>ust</w:t>
      </w:r>
      <w:r w:rsidRPr="00FA433F">
        <w:rPr>
          <w:noProof/>
        </w:rPr>
        <w:t>aleniach dotyczących monitorowania, ograniczając tym samym obciążenie administracyjne do minimum niezbędnego dla wszystkich stron (Komisji, właściwych organów państw członkowskich</w:t>
      </w:r>
      <w:r w:rsidR="00FA433F" w:rsidRPr="00FA433F">
        <w:rPr>
          <w:noProof/>
        </w:rPr>
        <w:t xml:space="preserve"> i</w:t>
      </w:r>
      <w:r w:rsidR="00FA433F">
        <w:rPr>
          <w:noProof/>
        </w:rPr>
        <w:t> </w:t>
      </w:r>
      <w:r w:rsidR="00FA433F" w:rsidRPr="00FA433F">
        <w:rPr>
          <w:noProof/>
        </w:rPr>
        <w:t>spó</w:t>
      </w:r>
      <w:r w:rsidRPr="00FA433F">
        <w:rPr>
          <w:noProof/>
        </w:rPr>
        <w:t>łek unijnych).</w:t>
      </w:r>
    </w:p>
    <w:p w14:paraId="0C25D7D5" w14:textId="77777777"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r>
      <w:r w:rsidRPr="00FA433F">
        <w:rPr>
          <w:noProof/>
          <w:u w:color="000000"/>
          <w:bdr w:val="nil"/>
        </w:rPr>
        <w:t>Wybór instrumentu</w:t>
      </w:r>
    </w:p>
    <w:p w14:paraId="22D5C758" w14:textId="1F49F3FC" w:rsidR="008A4C15" w:rsidRPr="00FA433F" w:rsidRDefault="00020015">
      <w:pPr>
        <w:pBdr>
          <w:top w:val="nil"/>
          <w:left w:val="nil"/>
          <w:bottom w:val="nil"/>
          <w:right w:val="nil"/>
          <w:between w:val="nil"/>
          <w:bar w:val="nil"/>
        </w:pBdr>
        <w:spacing w:before="0" w:after="240"/>
        <w:rPr>
          <w:noProof/>
        </w:rPr>
      </w:pPr>
      <w:r w:rsidRPr="00FA433F">
        <w:rPr>
          <w:noProof/>
        </w:rPr>
        <w:t>Rozporządzenie jest najwłaściwszym instrumentem zapewniającym jednolite wdrażanie systemu wsparcia we wszystkich państwach członkowskich</w:t>
      </w:r>
      <w:r w:rsidR="00FA433F" w:rsidRPr="00FA433F">
        <w:rPr>
          <w:noProof/>
        </w:rPr>
        <w:t xml:space="preserve"> i</w:t>
      </w:r>
      <w:r w:rsidR="00FA433F">
        <w:rPr>
          <w:noProof/>
        </w:rPr>
        <w:t> </w:t>
      </w:r>
      <w:r w:rsidR="00FA433F" w:rsidRPr="00FA433F">
        <w:rPr>
          <w:noProof/>
        </w:rPr>
        <w:t>zap</w:t>
      </w:r>
      <w:r w:rsidRPr="00FA433F">
        <w:rPr>
          <w:noProof/>
        </w:rPr>
        <w:t>obiegającym rozbieżnym podejściom krajowym, które mogłyby zagrozić spójnemu funkcjonowaniu EU ETS. Rozporządzenie ustanawia bezpośrednio stosowane przepisy dotyczące kwalifikowalności, finansowania, zarządzania</w:t>
      </w:r>
      <w:r w:rsidR="00FA433F" w:rsidRPr="00FA433F">
        <w:rPr>
          <w:noProof/>
        </w:rPr>
        <w:t xml:space="preserve"> i</w:t>
      </w:r>
      <w:r w:rsidR="00FA433F">
        <w:rPr>
          <w:noProof/>
        </w:rPr>
        <w:t> </w:t>
      </w:r>
      <w:r w:rsidR="00FA433F" w:rsidRPr="00FA433F">
        <w:rPr>
          <w:noProof/>
        </w:rPr>
        <w:t>mon</w:t>
      </w:r>
      <w:r w:rsidRPr="00FA433F">
        <w:rPr>
          <w:noProof/>
        </w:rPr>
        <w:t>itorowania, zapewniając tym samym pewność prawa zarówno państwom członkowskim jako beneficjentom, jak</w:t>
      </w:r>
      <w:r w:rsidR="00FA433F" w:rsidRPr="00FA433F">
        <w:rPr>
          <w:noProof/>
        </w:rPr>
        <w:t xml:space="preserve"> i</w:t>
      </w:r>
      <w:r w:rsidR="00FA433F">
        <w:rPr>
          <w:noProof/>
        </w:rPr>
        <w:t> </w:t>
      </w:r>
      <w:r w:rsidR="00FA433F" w:rsidRPr="00FA433F">
        <w:rPr>
          <w:noProof/>
        </w:rPr>
        <w:t>ope</w:t>
      </w:r>
      <w:r w:rsidRPr="00FA433F">
        <w:rPr>
          <w:noProof/>
        </w:rPr>
        <w:t>ratorom jako beneficjentom końcowym, natomiast alternatywne instrumenty takie jak zalecenia lub dyrektywy nie zapewniłyby wymaganego poziomu harmonizacji lub terminowości.</w:t>
      </w:r>
    </w:p>
    <w:p w14:paraId="7E4D40F3" w14:textId="77777777" w:rsidR="00020015" w:rsidRPr="00FA433F" w:rsidRDefault="00020015">
      <w:pPr>
        <w:pBdr>
          <w:top w:val="nil"/>
          <w:left w:val="nil"/>
          <w:bottom w:val="nil"/>
          <w:right w:val="nil"/>
          <w:between w:val="nil"/>
          <w:bar w:val="nil"/>
        </w:pBdr>
        <w:spacing w:before="0" w:after="240"/>
        <w:rPr>
          <w:rFonts w:eastAsia="Arial Unicode MS"/>
          <w:noProof/>
        </w:rPr>
      </w:pPr>
      <w:r w:rsidRPr="00FA433F">
        <w:rPr>
          <w:noProof/>
        </w:rPr>
        <w:t>Ponadto celów niniejszego wniosku nie można osiągnąć poprzez przyjęcie środków wykonawczych bez odpowiedniej podstawy prawnej do działania.</w:t>
      </w:r>
    </w:p>
    <w:p w14:paraId="74C19D24" w14:textId="77777777" w:rsidR="008A4C15" w:rsidRPr="00FA433F" w:rsidRDefault="008A4C15">
      <w:pPr>
        <w:pStyle w:val="ManualHeading1"/>
        <w:rPr>
          <w:noProof/>
        </w:rPr>
      </w:pPr>
      <w:r w:rsidRPr="00FA433F">
        <w:rPr>
          <w:noProof/>
        </w:rPr>
        <w:t>3.</w:t>
      </w:r>
      <w:r w:rsidRPr="00FA433F">
        <w:rPr>
          <w:noProof/>
        </w:rPr>
        <w:tab/>
        <w:t xml:space="preserve">WYNIKI OCEN </w:t>
      </w:r>
      <w:r w:rsidRPr="00FA433F">
        <w:rPr>
          <w:i/>
          <w:iCs/>
          <w:noProof/>
        </w:rPr>
        <w:t>EX POST</w:t>
      </w:r>
      <w:r w:rsidRPr="00FA433F">
        <w:rPr>
          <w:noProof/>
        </w:rPr>
        <w:t>, KONSULTACJI Z ZAINTERESOWANYMI STRONAMI I OCEN SKUTKÓW</w:t>
      </w:r>
    </w:p>
    <w:p w14:paraId="42B65973" w14:textId="77777777"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r>
      <w:r w:rsidRPr="00FA433F">
        <w:rPr>
          <w:noProof/>
          <w:u w:color="000000"/>
          <w:bdr w:val="nil"/>
        </w:rPr>
        <w:t xml:space="preserve">Oceny </w:t>
      </w:r>
      <w:r w:rsidRPr="00FA433F">
        <w:rPr>
          <w:i/>
          <w:iCs/>
          <w:noProof/>
          <w:u w:color="000000"/>
          <w:bdr w:val="nil"/>
        </w:rPr>
        <w:t>ex post</w:t>
      </w:r>
      <w:r w:rsidRPr="00FA433F">
        <w:rPr>
          <w:noProof/>
          <w:u w:color="000000"/>
          <w:bdr w:val="nil"/>
        </w:rPr>
        <w:t>/oceny adekwatności obowiązującego prawodawstwa</w:t>
      </w:r>
    </w:p>
    <w:p w14:paraId="689275DA" w14:textId="77777777" w:rsidR="008A4C15" w:rsidRPr="00FA433F" w:rsidRDefault="00D92CBC">
      <w:pPr>
        <w:pBdr>
          <w:top w:val="nil"/>
          <w:left w:val="nil"/>
          <w:bottom w:val="nil"/>
          <w:right w:val="nil"/>
          <w:between w:val="nil"/>
          <w:bar w:val="nil"/>
        </w:pBdr>
        <w:spacing w:before="0" w:after="240"/>
        <w:rPr>
          <w:rFonts w:eastAsia="Arial Unicode MS"/>
          <w:noProof/>
        </w:rPr>
      </w:pPr>
      <w:r w:rsidRPr="00FA433F">
        <w:rPr>
          <w:noProof/>
        </w:rPr>
        <w:t>Wniosek oparto na doświadczeniach zdobytych podczas wdrażania instrumentów EU ETS i CBAM.</w:t>
      </w:r>
    </w:p>
    <w:p w14:paraId="55C02DAC" w14:textId="2CB25C59"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r>
      <w:r w:rsidRPr="00FA433F">
        <w:rPr>
          <w:noProof/>
          <w:u w:color="000000"/>
          <w:bdr w:val="nil"/>
        </w:rPr>
        <w:t>Konsultacje</w:t>
      </w:r>
      <w:r w:rsidR="00FA433F" w:rsidRPr="00FA433F">
        <w:rPr>
          <w:noProof/>
          <w:u w:color="000000"/>
          <w:bdr w:val="nil"/>
        </w:rPr>
        <w:t xml:space="preserve"> z</w:t>
      </w:r>
      <w:r w:rsidR="00FA433F">
        <w:rPr>
          <w:noProof/>
          <w:u w:color="000000"/>
          <w:bdr w:val="nil"/>
        </w:rPr>
        <w:t> </w:t>
      </w:r>
      <w:r w:rsidR="00FA433F" w:rsidRPr="00FA433F">
        <w:rPr>
          <w:noProof/>
          <w:u w:color="000000"/>
          <w:bdr w:val="nil"/>
        </w:rPr>
        <w:t>zai</w:t>
      </w:r>
      <w:r w:rsidRPr="00FA433F">
        <w:rPr>
          <w:noProof/>
          <w:u w:color="000000"/>
          <w:bdr w:val="nil"/>
        </w:rPr>
        <w:t>nteresowanymi stronami</w:t>
      </w:r>
    </w:p>
    <w:p w14:paraId="48A4F487" w14:textId="3FC5D69E" w:rsidR="008A4C15" w:rsidRPr="00FA433F" w:rsidRDefault="00D92CBC">
      <w:pPr>
        <w:pBdr>
          <w:top w:val="nil"/>
          <w:left w:val="nil"/>
          <w:bottom w:val="nil"/>
          <w:right w:val="nil"/>
          <w:between w:val="nil"/>
          <w:bar w:val="nil"/>
        </w:pBdr>
        <w:spacing w:before="0" w:after="240"/>
        <w:rPr>
          <w:rFonts w:eastAsia="Arial Unicode MS"/>
          <w:noProof/>
        </w:rPr>
      </w:pPr>
      <w:r w:rsidRPr="00FA433F">
        <w:rPr>
          <w:noProof/>
        </w:rPr>
        <w:t>Przed przedstawieniem wniosku Komisja skonsultowała się</w:t>
      </w:r>
      <w:r w:rsidR="00FA433F" w:rsidRPr="00FA433F">
        <w:rPr>
          <w:noProof/>
        </w:rPr>
        <w:t xml:space="preserve"> z</w:t>
      </w:r>
      <w:r w:rsidR="00FA433F">
        <w:rPr>
          <w:noProof/>
        </w:rPr>
        <w:t> </w:t>
      </w:r>
      <w:r w:rsidR="00FA433F" w:rsidRPr="00FA433F">
        <w:rPr>
          <w:noProof/>
        </w:rPr>
        <w:t>prz</w:t>
      </w:r>
      <w:r w:rsidRPr="00FA433F">
        <w:rPr>
          <w:noProof/>
        </w:rPr>
        <w:t>edstawicielami branży</w:t>
      </w:r>
      <w:r w:rsidR="00FA433F" w:rsidRPr="00FA433F">
        <w:rPr>
          <w:noProof/>
        </w:rPr>
        <w:t xml:space="preserve"> w</w:t>
      </w:r>
      <w:r w:rsidR="00FA433F">
        <w:rPr>
          <w:noProof/>
        </w:rPr>
        <w:t> </w:t>
      </w:r>
      <w:r w:rsidR="00FA433F" w:rsidRPr="00FA433F">
        <w:rPr>
          <w:noProof/>
        </w:rPr>
        <w:t>spr</w:t>
      </w:r>
      <w:r w:rsidRPr="00FA433F">
        <w:rPr>
          <w:noProof/>
        </w:rPr>
        <w:t>awie planu środka wsparcia,</w:t>
      </w:r>
      <w:r w:rsidR="00FA433F" w:rsidRPr="00FA433F">
        <w:rPr>
          <w:noProof/>
        </w:rPr>
        <w:t xml:space="preserve"> w</w:t>
      </w:r>
      <w:r w:rsidR="00FA433F">
        <w:rPr>
          <w:noProof/>
        </w:rPr>
        <w:t> </w:t>
      </w:r>
      <w:r w:rsidR="00FA433F" w:rsidRPr="00FA433F">
        <w:rPr>
          <w:noProof/>
        </w:rPr>
        <w:t>tym w</w:t>
      </w:r>
      <w:r w:rsidR="00FA433F">
        <w:rPr>
          <w:noProof/>
        </w:rPr>
        <w:t> </w:t>
      </w:r>
      <w:r w:rsidR="00FA433F" w:rsidRPr="00FA433F">
        <w:rPr>
          <w:noProof/>
        </w:rPr>
        <w:t>ram</w:t>
      </w:r>
      <w:r w:rsidRPr="00FA433F">
        <w:rPr>
          <w:noProof/>
        </w:rPr>
        <w:t>ach dialogu na wysokim szczeblu</w:t>
      </w:r>
      <w:r w:rsidR="00FA433F" w:rsidRPr="00FA433F">
        <w:rPr>
          <w:noProof/>
        </w:rPr>
        <w:t>. W</w:t>
      </w:r>
      <w:r w:rsidR="00FA433F">
        <w:rPr>
          <w:noProof/>
        </w:rPr>
        <w:t> </w:t>
      </w:r>
      <w:r w:rsidR="00FA433F" w:rsidRPr="00FA433F">
        <w:rPr>
          <w:noProof/>
        </w:rPr>
        <w:t>ram</w:t>
      </w:r>
      <w:r w:rsidRPr="00FA433F">
        <w:rPr>
          <w:noProof/>
        </w:rPr>
        <w:t>ach działań konsultacyjnych Komisja poinformowała zainteresowane strony</w:t>
      </w:r>
      <w:r w:rsidR="00FA433F" w:rsidRPr="00FA433F">
        <w:rPr>
          <w:noProof/>
        </w:rPr>
        <w:t xml:space="preserve"> o</w:t>
      </w:r>
      <w:r w:rsidR="00FA433F">
        <w:rPr>
          <w:noProof/>
        </w:rPr>
        <w:t> </w:t>
      </w:r>
      <w:r w:rsidR="00FA433F" w:rsidRPr="00FA433F">
        <w:rPr>
          <w:noProof/>
        </w:rPr>
        <w:t>pla</w:t>
      </w:r>
      <w:r w:rsidRPr="00FA433F">
        <w:rPr>
          <w:noProof/>
        </w:rPr>
        <w:t xml:space="preserve">nowanym środku </w:t>
      </w:r>
      <w:r w:rsidRPr="00FA433F">
        <w:rPr>
          <w:noProof/>
        </w:rPr>
        <w:lastRenderedPageBreak/>
        <w:t>wsparcia,</w:t>
      </w:r>
      <w:r w:rsidR="00FA433F" w:rsidRPr="00FA433F">
        <w:rPr>
          <w:noProof/>
        </w:rPr>
        <w:t xml:space="preserve"> w</w:t>
      </w:r>
      <w:r w:rsidR="00FA433F">
        <w:rPr>
          <w:noProof/>
        </w:rPr>
        <w:t> </w:t>
      </w:r>
      <w:r w:rsidR="00FA433F" w:rsidRPr="00FA433F">
        <w:rPr>
          <w:noProof/>
        </w:rPr>
        <w:t>tym o</w:t>
      </w:r>
      <w:r w:rsidR="00FA433F">
        <w:rPr>
          <w:noProof/>
        </w:rPr>
        <w:t> </w:t>
      </w:r>
      <w:r w:rsidR="00FA433F" w:rsidRPr="00FA433F">
        <w:rPr>
          <w:noProof/>
        </w:rPr>
        <w:t>pla</w:t>
      </w:r>
      <w:r w:rsidRPr="00FA433F">
        <w:rPr>
          <w:noProof/>
        </w:rPr>
        <w:t>nach dotyczących jego ogólnego kształtu</w:t>
      </w:r>
      <w:r w:rsidR="00FA433F" w:rsidRPr="00FA433F">
        <w:rPr>
          <w:noProof/>
        </w:rPr>
        <w:t xml:space="preserve"> i</w:t>
      </w:r>
      <w:r w:rsidR="00FA433F">
        <w:rPr>
          <w:noProof/>
        </w:rPr>
        <w:t> </w:t>
      </w:r>
      <w:r w:rsidR="00FA433F" w:rsidRPr="00FA433F">
        <w:rPr>
          <w:noProof/>
        </w:rPr>
        <w:t>ref</w:t>
      </w:r>
      <w:r w:rsidRPr="00FA433F">
        <w:rPr>
          <w:noProof/>
        </w:rPr>
        <w:t>leksjach na temat kwalifikowalności do wsparcia oraz warunków, które musiałyby zostać spełnione, aby je otrzymać.</w:t>
      </w:r>
    </w:p>
    <w:p w14:paraId="7B45BF19" w14:textId="0221D9A8"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r>
      <w:r w:rsidRPr="00FA433F">
        <w:rPr>
          <w:noProof/>
          <w:u w:color="000000"/>
          <w:bdr w:val="nil"/>
        </w:rPr>
        <w:t>Gromadzenie</w:t>
      </w:r>
      <w:r w:rsidR="00FA433F" w:rsidRPr="00FA433F">
        <w:rPr>
          <w:noProof/>
          <w:u w:color="000000"/>
          <w:bdr w:val="nil"/>
        </w:rPr>
        <w:t xml:space="preserve"> i</w:t>
      </w:r>
      <w:r w:rsidR="00FA433F">
        <w:rPr>
          <w:noProof/>
          <w:u w:color="000000"/>
          <w:bdr w:val="nil"/>
        </w:rPr>
        <w:t> </w:t>
      </w:r>
      <w:r w:rsidR="00FA433F" w:rsidRPr="00FA433F">
        <w:rPr>
          <w:noProof/>
          <w:u w:color="000000"/>
          <w:bdr w:val="nil"/>
        </w:rPr>
        <w:t>wyk</w:t>
      </w:r>
      <w:r w:rsidRPr="00FA433F">
        <w:rPr>
          <w:noProof/>
          <w:u w:color="000000"/>
          <w:bdr w:val="nil"/>
        </w:rPr>
        <w:t>orzystanie wiedzy eksperckiej</w:t>
      </w:r>
    </w:p>
    <w:p w14:paraId="3DC11D0A" w14:textId="1132F877" w:rsidR="008A4C15" w:rsidRPr="00FA433F" w:rsidRDefault="00D92CBC">
      <w:pPr>
        <w:pBdr>
          <w:top w:val="nil"/>
          <w:left w:val="nil"/>
          <w:bottom w:val="nil"/>
          <w:right w:val="nil"/>
          <w:between w:val="nil"/>
          <w:bar w:val="nil"/>
        </w:pBdr>
        <w:spacing w:before="0" w:after="240"/>
        <w:rPr>
          <w:rFonts w:eastAsia="Arial Unicode MS"/>
          <w:noProof/>
        </w:rPr>
      </w:pPr>
      <w:r w:rsidRPr="00FA433F">
        <w:rPr>
          <w:noProof/>
        </w:rPr>
        <w:t>Wniosek opracowano</w:t>
      </w:r>
      <w:r w:rsidR="00FA433F" w:rsidRPr="00FA433F">
        <w:rPr>
          <w:noProof/>
        </w:rPr>
        <w:t xml:space="preserve"> w</w:t>
      </w:r>
      <w:r w:rsidR="00FA433F">
        <w:rPr>
          <w:noProof/>
        </w:rPr>
        <w:t> </w:t>
      </w:r>
      <w:r w:rsidR="00FA433F" w:rsidRPr="00FA433F">
        <w:rPr>
          <w:noProof/>
        </w:rPr>
        <w:t>nas</w:t>
      </w:r>
      <w:r w:rsidRPr="00FA433F">
        <w:rPr>
          <w:noProof/>
        </w:rPr>
        <w:t>tępstwie procesu wewnętrznej kontroli obowiązujących przepisów</w:t>
      </w:r>
      <w:r w:rsidR="00FA433F" w:rsidRPr="00FA433F">
        <w:rPr>
          <w:noProof/>
        </w:rPr>
        <w:t xml:space="preserve"> i</w:t>
      </w:r>
      <w:r w:rsidR="00FA433F">
        <w:rPr>
          <w:noProof/>
        </w:rPr>
        <w:t> </w:t>
      </w:r>
      <w:r w:rsidR="00FA433F" w:rsidRPr="00FA433F">
        <w:rPr>
          <w:noProof/>
        </w:rPr>
        <w:t>ins</w:t>
      </w:r>
      <w:r w:rsidRPr="00FA433F">
        <w:rPr>
          <w:noProof/>
        </w:rPr>
        <w:t>trumentów. Opiera się on na doświadczeniu we wdrażaniu przepisów prawa Unii dotyczących ochrony środowiska,</w:t>
      </w:r>
      <w:r w:rsidR="00FA433F" w:rsidRPr="00FA433F">
        <w:rPr>
          <w:noProof/>
        </w:rPr>
        <w:t xml:space="preserve"> w</w:t>
      </w:r>
      <w:r w:rsidR="00FA433F">
        <w:rPr>
          <w:noProof/>
        </w:rPr>
        <w:t> </w:t>
      </w:r>
      <w:r w:rsidR="00FA433F" w:rsidRPr="00FA433F">
        <w:rPr>
          <w:noProof/>
        </w:rPr>
        <w:t>szc</w:t>
      </w:r>
      <w:r w:rsidRPr="00FA433F">
        <w:rPr>
          <w:noProof/>
        </w:rPr>
        <w:t>zególności EU ETS.</w:t>
      </w:r>
    </w:p>
    <w:p w14:paraId="3483E552" w14:textId="77777777"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r>
      <w:r w:rsidRPr="00FA433F">
        <w:rPr>
          <w:noProof/>
          <w:u w:color="000000"/>
          <w:bdr w:val="nil"/>
        </w:rPr>
        <w:t>Ocena skutków</w:t>
      </w:r>
    </w:p>
    <w:p w14:paraId="430148B7" w14:textId="669212C0" w:rsidR="008A4C15" w:rsidRPr="00FA433F" w:rsidRDefault="00D92CBC">
      <w:pPr>
        <w:pBdr>
          <w:top w:val="nil"/>
          <w:left w:val="nil"/>
          <w:bottom w:val="nil"/>
          <w:right w:val="nil"/>
          <w:between w:val="nil"/>
          <w:bar w:val="nil"/>
        </w:pBdr>
        <w:spacing w:before="0" w:after="240"/>
        <w:rPr>
          <w:rFonts w:eastAsia="Arial Unicode MS"/>
          <w:noProof/>
        </w:rPr>
      </w:pPr>
      <w:r w:rsidRPr="00FA433F">
        <w:rPr>
          <w:noProof/>
        </w:rPr>
        <w:t>Do wniosku dołączono dokument analityczny – dokument roboczy służb Komisji towarzyszący wnioskowi</w:t>
      </w:r>
      <w:r w:rsidRPr="00FA433F">
        <w:rPr>
          <w:rStyle w:val="Odwoanieprzypisudolnego"/>
          <w:rFonts w:eastAsia="Arial Unicode MS"/>
          <w:noProof/>
        </w:rPr>
        <w:footnoteReference w:id="4"/>
      </w:r>
      <w:r w:rsidRPr="00FA433F">
        <w:rPr>
          <w:noProof/>
        </w:rPr>
        <w:t>. Zawiera on opis sposobu,</w:t>
      </w:r>
      <w:r w:rsidR="00FA433F" w:rsidRPr="00FA433F">
        <w:rPr>
          <w:noProof/>
        </w:rPr>
        <w:t xml:space="preserve"> w</w:t>
      </w:r>
      <w:r w:rsidR="00FA433F">
        <w:rPr>
          <w:noProof/>
        </w:rPr>
        <w:t> </w:t>
      </w:r>
      <w:r w:rsidR="00FA433F" w:rsidRPr="00FA433F">
        <w:rPr>
          <w:noProof/>
        </w:rPr>
        <w:t>jak</w:t>
      </w:r>
      <w:r w:rsidRPr="00FA433F">
        <w:rPr>
          <w:noProof/>
        </w:rPr>
        <w:t>i kwalifikowalność do proponowanego tymczasowego wsparcia inwestycyjnego na rzecz dekarbonizacji została precyzyjnie ukierunkowana na produkcję towarów</w:t>
      </w:r>
      <w:r w:rsidR="00FA433F" w:rsidRPr="00FA433F">
        <w:rPr>
          <w:noProof/>
        </w:rPr>
        <w:t xml:space="preserve"> o</w:t>
      </w:r>
      <w:r w:rsidR="00FA433F">
        <w:rPr>
          <w:noProof/>
        </w:rPr>
        <w:t> </w:t>
      </w:r>
      <w:r w:rsidR="00FA433F" w:rsidRPr="00FA433F">
        <w:rPr>
          <w:noProof/>
        </w:rPr>
        <w:t>pod</w:t>
      </w:r>
      <w:r w:rsidRPr="00FA433F">
        <w:rPr>
          <w:noProof/>
        </w:rPr>
        <w:t>wyższonym poziomie pozostałego ryzyka ucieczki emisji</w:t>
      </w:r>
      <w:r w:rsidR="00FA433F" w:rsidRPr="00FA433F">
        <w:rPr>
          <w:noProof/>
        </w:rPr>
        <w:t xml:space="preserve"> w</w:t>
      </w:r>
      <w:r w:rsidR="00FA433F">
        <w:rPr>
          <w:noProof/>
        </w:rPr>
        <w:t> </w:t>
      </w:r>
      <w:r w:rsidR="00FA433F" w:rsidRPr="00FA433F">
        <w:rPr>
          <w:noProof/>
        </w:rPr>
        <w:t>cel</w:t>
      </w:r>
      <w:r w:rsidRPr="00FA433F">
        <w:rPr>
          <w:noProof/>
        </w:rPr>
        <w:t>u zapewnienia proporcjonalności</w:t>
      </w:r>
      <w:r w:rsidR="00FA433F" w:rsidRPr="00FA433F">
        <w:rPr>
          <w:noProof/>
        </w:rPr>
        <w:t xml:space="preserve"> i</w:t>
      </w:r>
      <w:r w:rsidR="00FA433F">
        <w:rPr>
          <w:noProof/>
        </w:rPr>
        <w:t> </w:t>
      </w:r>
      <w:r w:rsidR="00FA433F" w:rsidRPr="00FA433F">
        <w:rPr>
          <w:noProof/>
        </w:rPr>
        <w:t>uni</w:t>
      </w:r>
      <w:r w:rsidRPr="00FA433F">
        <w:rPr>
          <w:noProof/>
        </w:rPr>
        <w:t>knięcia zakłóceń na rynku. Ponadto</w:t>
      </w:r>
      <w:r w:rsidR="00FA433F" w:rsidRPr="00FA433F">
        <w:rPr>
          <w:noProof/>
        </w:rPr>
        <w:t xml:space="preserve"> w</w:t>
      </w:r>
      <w:r w:rsidR="00FA433F">
        <w:rPr>
          <w:noProof/>
        </w:rPr>
        <w:t> </w:t>
      </w:r>
      <w:r w:rsidR="00FA433F" w:rsidRPr="00FA433F">
        <w:rPr>
          <w:noProof/>
        </w:rPr>
        <w:t>dok</w:t>
      </w:r>
      <w:r w:rsidRPr="00FA433F">
        <w:rPr>
          <w:noProof/>
        </w:rPr>
        <w:t>umencie tym przeanalizowano warunki dekarbonizacji, które ograniczają obciążenie administracyjne związane</w:t>
      </w:r>
      <w:r w:rsidR="00FA433F" w:rsidRPr="00FA433F">
        <w:rPr>
          <w:noProof/>
        </w:rPr>
        <w:t xml:space="preserve"> z</w:t>
      </w:r>
      <w:r w:rsidR="00FA433F">
        <w:rPr>
          <w:noProof/>
        </w:rPr>
        <w:t> </w:t>
      </w:r>
      <w:r w:rsidR="00FA433F" w:rsidRPr="00FA433F">
        <w:rPr>
          <w:noProof/>
        </w:rPr>
        <w:t>now</w:t>
      </w:r>
      <w:r w:rsidRPr="00FA433F">
        <w:rPr>
          <w:noProof/>
        </w:rPr>
        <w:t>ym środkiem,</w:t>
      </w:r>
      <w:r w:rsidR="00FA433F" w:rsidRPr="00FA433F">
        <w:rPr>
          <w:noProof/>
        </w:rPr>
        <w:t xml:space="preserve"> w</w:t>
      </w:r>
      <w:r w:rsidR="00FA433F">
        <w:rPr>
          <w:noProof/>
        </w:rPr>
        <w:t> </w:t>
      </w:r>
      <w:r w:rsidR="00FA433F" w:rsidRPr="00FA433F">
        <w:rPr>
          <w:noProof/>
        </w:rPr>
        <w:t>tym</w:t>
      </w:r>
      <w:r w:rsidRPr="00FA433F">
        <w:rPr>
          <w:noProof/>
        </w:rPr>
        <w:t xml:space="preserve"> poprzez wykorzystanie już istniejącej infrastruktury administracyjnej</w:t>
      </w:r>
      <w:r w:rsidR="00FA433F" w:rsidRPr="00FA433F">
        <w:rPr>
          <w:noProof/>
        </w:rPr>
        <w:t xml:space="preserve"> i</w:t>
      </w:r>
      <w:r w:rsidR="00FA433F">
        <w:rPr>
          <w:noProof/>
        </w:rPr>
        <w:t> </w:t>
      </w:r>
      <w:r w:rsidR="00FA433F" w:rsidRPr="00FA433F">
        <w:rPr>
          <w:noProof/>
        </w:rPr>
        <w:t>dan</w:t>
      </w:r>
      <w:r w:rsidRPr="00FA433F">
        <w:rPr>
          <w:noProof/>
        </w:rPr>
        <w:t>ych zgłoszonych do celów przydziału bezpłatnych uprawnień</w:t>
      </w:r>
      <w:r w:rsidR="00FA433F" w:rsidRPr="00FA433F">
        <w:rPr>
          <w:noProof/>
        </w:rPr>
        <w:t xml:space="preserve"> w</w:t>
      </w:r>
      <w:r w:rsidR="00FA433F">
        <w:rPr>
          <w:noProof/>
        </w:rPr>
        <w:t> </w:t>
      </w:r>
      <w:r w:rsidR="00FA433F" w:rsidRPr="00FA433F">
        <w:rPr>
          <w:noProof/>
        </w:rPr>
        <w:t>ram</w:t>
      </w:r>
      <w:r w:rsidRPr="00FA433F">
        <w:rPr>
          <w:noProof/>
        </w:rPr>
        <w:t>ach EU ETS.</w:t>
      </w:r>
    </w:p>
    <w:p w14:paraId="234F6ABA" w14:textId="4B8ADA3D"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r>
      <w:r w:rsidRPr="00FA433F">
        <w:rPr>
          <w:noProof/>
          <w:u w:color="000000"/>
          <w:bdr w:val="nil"/>
        </w:rPr>
        <w:t>Sprawność regulacyjna</w:t>
      </w:r>
      <w:r w:rsidR="00FA433F" w:rsidRPr="00FA433F">
        <w:rPr>
          <w:noProof/>
          <w:u w:color="000000"/>
          <w:bdr w:val="nil"/>
        </w:rPr>
        <w:t xml:space="preserve"> i</w:t>
      </w:r>
      <w:r w:rsidR="00FA433F">
        <w:rPr>
          <w:noProof/>
          <w:u w:color="000000"/>
          <w:bdr w:val="nil"/>
        </w:rPr>
        <w:t> </w:t>
      </w:r>
      <w:r w:rsidR="00FA433F" w:rsidRPr="00FA433F">
        <w:rPr>
          <w:noProof/>
          <w:u w:color="000000"/>
          <w:bdr w:val="nil"/>
        </w:rPr>
        <w:t>upr</w:t>
      </w:r>
      <w:r w:rsidRPr="00FA433F">
        <w:rPr>
          <w:noProof/>
          <w:u w:color="000000"/>
          <w:bdr w:val="nil"/>
        </w:rPr>
        <w:t>oszczenie</w:t>
      </w:r>
    </w:p>
    <w:p w14:paraId="38BE17AB" w14:textId="531DEF2B" w:rsidR="00D92CBC" w:rsidRPr="00FA433F" w:rsidRDefault="00D92CBC" w:rsidP="00D92CBC">
      <w:pPr>
        <w:pBdr>
          <w:top w:val="nil"/>
          <w:left w:val="nil"/>
          <w:bottom w:val="nil"/>
          <w:right w:val="nil"/>
          <w:between w:val="nil"/>
          <w:bar w:val="nil"/>
        </w:pBdr>
        <w:spacing w:before="0" w:after="240"/>
        <w:rPr>
          <w:noProof/>
        </w:rPr>
      </w:pPr>
      <w:r w:rsidRPr="00FA433F">
        <w:rPr>
          <w:noProof/>
        </w:rPr>
        <w:t>Jak wspomniano powyżej, wniosek jest</w:t>
      </w:r>
      <w:r w:rsidR="00FA433F" w:rsidRPr="00FA433F">
        <w:rPr>
          <w:noProof/>
        </w:rPr>
        <w:t xml:space="preserve"> w</w:t>
      </w:r>
      <w:r w:rsidR="00FA433F">
        <w:rPr>
          <w:noProof/>
        </w:rPr>
        <w:t> </w:t>
      </w:r>
      <w:r w:rsidR="00FA433F" w:rsidRPr="00FA433F">
        <w:rPr>
          <w:noProof/>
        </w:rPr>
        <w:t>peł</w:t>
      </w:r>
      <w:r w:rsidRPr="00FA433F">
        <w:rPr>
          <w:noProof/>
        </w:rPr>
        <w:t>ni zgodny</w:t>
      </w:r>
      <w:r w:rsidR="00FA433F" w:rsidRPr="00FA433F">
        <w:rPr>
          <w:noProof/>
        </w:rPr>
        <w:t xml:space="preserve"> z</w:t>
      </w:r>
      <w:r w:rsidR="00FA433F">
        <w:rPr>
          <w:noProof/>
        </w:rPr>
        <w:t> </w:t>
      </w:r>
      <w:r w:rsidR="00FA433F" w:rsidRPr="00FA433F">
        <w:rPr>
          <w:noProof/>
        </w:rPr>
        <w:t>opr</w:t>
      </w:r>
      <w:r w:rsidRPr="00FA433F">
        <w:rPr>
          <w:noProof/>
        </w:rPr>
        <w:t>acowanym przez Komisję programem uproszczenia. Dzięki uniknięciu zbędnych obciążeń wniosek odzwierciedla tymczasowy charakter</w:t>
      </w:r>
      <w:r w:rsidR="00FA433F" w:rsidRPr="00FA433F">
        <w:rPr>
          <w:noProof/>
        </w:rPr>
        <w:t xml:space="preserve"> i</w:t>
      </w:r>
      <w:r w:rsidR="00FA433F">
        <w:rPr>
          <w:noProof/>
        </w:rPr>
        <w:t> </w:t>
      </w:r>
      <w:r w:rsidR="00FA433F" w:rsidRPr="00FA433F">
        <w:rPr>
          <w:noProof/>
        </w:rPr>
        <w:t>ogr</w:t>
      </w:r>
      <w:r w:rsidRPr="00FA433F">
        <w:rPr>
          <w:noProof/>
        </w:rPr>
        <w:t>aniczony zakres wsparcia. Przyczynia się zatem do skuteczniejszego wdrażania, większej jasności prawa</w:t>
      </w:r>
      <w:r w:rsidR="00FA433F" w:rsidRPr="00FA433F">
        <w:rPr>
          <w:noProof/>
        </w:rPr>
        <w:t xml:space="preserve"> i</w:t>
      </w:r>
      <w:r w:rsidR="00FA433F">
        <w:rPr>
          <w:noProof/>
        </w:rPr>
        <w:t> </w:t>
      </w:r>
      <w:r w:rsidR="00FA433F" w:rsidRPr="00FA433F">
        <w:rPr>
          <w:noProof/>
        </w:rPr>
        <w:t>zmn</w:t>
      </w:r>
      <w:r w:rsidRPr="00FA433F">
        <w:rPr>
          <w:noProof/>
        </w:rPr>
        <w:t>iejszenia kosztów przestrzegania przepisów, zgodnie</w:t>
      </w:r>
      <w:r w:rsidR="00FA433F" w:rsidRPr="00FA433F">
        <w:rPr>
          <w:noProof/>
        </w:rPr>
        <w:t xml:space="preserve"> z</w:t>
      </w:r>
      <w:r w:rsidR="00FA433F">
        <w:rPr>
          <w:noProof/>
        </w:rPr>
        <w:t> </w:t>
      </w:r>
      <w:r w:rsidR="00FA433F" w:rsidRPr="00FA433F">
        <w:rPr>
          <w:noProof/>
        </w:rPr>
        <w:t>zas</w:t>
      </w:r>
      <w:r w:rsidRPr="00FA433F">
        <w:rPr>
          <w:noProof/>
        </w:rPr>
        <w:t>adami określonymi</w:t>
      </w:r>
      <w:r w:rsidR="00FA433F" w:rsidRPr="00FA433F">
        <w:rPr>
          <w:noProof/>
        </w:rPr>
        <w:t xml:space="preserve"> w</w:t>
      </w:r>
      <w:r w:rsidR="00FA433F">
        <w:rPr>
          <w:noProof/>
        </w:rPr>
        <w:t> </w:t>
      </w:r>
      <w:r w:rsidR="00FA433F" w:rsidRPr="00FA433F">
        <w:rPr>
          <w:noProof/>
        </w:rPr>
        <w:t>Por</w:t>
      </w:r>
      <w:r w:rsidRPr="00FA433F">
        <w:rPr>
          <w:noProof/>
        </w:rPr>
        <w:t>ozumieniu międzyinstytucjonalnym</w:t>
      </w:r>
      <w:r w:rsidR="00FA433F" w:rsidRPr="00FA433F">
        <w:rPr>
          <w:noProof/>
        </w:rPr>
        <w:t xml:space="preserve"> w</w:t>
      </w:r>
      <w:r w:rsidR="00FA433F">
        <w:rPr>
          <w:noProof/>
        </w:rPr>
        <w:t> </w:t>
      </w:r>
      <w:r w:rsidR="00FA433F" w:rsidRPr="00FA433F">
        <w:rPr>
          <w:noProof/>
        </w:rPr>
        <w:t>spr</w:t>
      </w:r>
      <w:r w:rsidRPr="00FA433F">
        <w:rPr>
          <w:noProof/>
        </w:rPr>
        <w:t>awie lepszego stanowienia prawa</w:t>
      </w:r>
      <w:r w:rsidR="00FA433F" w:rsidRPr="00FA433F">
        <w:rPr>
          <w:noProof/>
        </w:rPr>
        <w:t xml:space="preserve"> i</w:t>
      </w:r>
      <w:r w:rsidR="00FA433F">
        <w:rPr>
          <w:noProof/>
        </w:rPr>
        <w:t> </w:t>
      </w:r>
      <w:r w:rsidR="00FA433F" w:rsidRPr="00FA433F">
        <w:rPr>
          <w:noProof/>
        </w:rPr>
        <w:t>w</w:t>
      </w:r>
      <w:r w:rsidR="00FA433F">
        <w:rPr>
          <w:noProof/>
        </w:rPr>
        <w:t> </w:t>
      </w:r>
      <w:r w:rsidR="00FA433F" w:rsidRPr="00FA433F">
        <w:rPr>
          <w:noProof/>
        </w:rPr>
        <w:t>wyt</w:t>
      </w:r>
      <w:r w:rsidRPr="00FA433F">
        <w:rPr>
          <w:noProof/>
        </w:rPr>
        <w:t>ycznych Komisji dotyczących lepszego stanowienia prawa.</w:t>
      </w:r>
    </w:p>
    <w:p w14:paraId="6F9EDA81" w14:textId="79033AE7" w:rsidR="008A4C15" w:rsidRPr="00FA433F" w:rsidRDefault="00D92CBC" w:rsidP="00D92CBC">
      <w:pPr>
        <w:pBdr>
          <w:top w:val="nil"/>
          <w:left w:val="nil"/>
          <w:bottom w:val="nil"/>
          <w:right w:val="nil"/>
          <w:between w:val="nil"/>
          <w:bar w:val="nil"/>
        </w:pBdr>
        <w:spacing w:before="0" w:after="240"/>
        <w:rPr>
          <w:rFonts w:eastAsia="Arial Unicode MS"/>
          <w:noProof/>
        </w:rPr>
      </w:pPr>
      <w:r w:rsidRPr="00FA433F">
        <w:rPr>
          <w:noProof/>
        </w:rPr>
        <w:t>Wniosek jest zgodny</w:t>
      </w:r>
      <w:r w:rsidR="00FA433F" w:rsidRPr="00FA433F">
        <w:rPr>
          <w:noProof/>
        </w:rPr>
        <w:t xml:space="preserve"> z</w:t>
      </w:r>
      <w:r w:rsidR="00FA433F">
        <w:rPr>
          <w:noProof/>
        </w:rPr>
        <w:t> </w:t>
      </w:r>
      <w:r w:rsidR="00FA433F" w:rsidRPr="00FA433F">
        <w:rPr>
          <w:noProof/>
        </w:rPr>
        <w:t>cel</w:t>
      </w:r>
      <w:r w:rsidRPr="00FA433F">
        <w:rPr>
          <w:noProof/>
        </w:rPr>
        <w:t>ami programu sprawności</w:t>
      </w:r>
      <w:r w:rsidR="00FA433F" w:rsidRPr="00FA433F">
        <w:rPr>
          <w:noProof/>
        </w:rPr>
        <w:t xml:space="preserve"> i</w:t>
      </w:r>
      <w:r w:rsidR="00FA433F">
        <w:rPr>
          <w:noProof/>
        </w:rPr>
        <w:t> </w:t>
      </w:r>
      <w:r w:rsidR="00FA433F" w:rsidRPr="00FA433F">
        <w:rPr>
          <w:noProof/>
        </w:rPr>
        <w:t>wyd</w:t>
      </w:r>
      <w:r w:rsidRPr="00FA433F">
        <w:rPr>
          <w:noProof/>
        </w:rPr>
        <w:t>ajności regulacyjnej (REFIT) Komisji. Został opracowany</w:t>
      </w:r>
      <w:r w:rsidR="00FA433F" w:rsidRPr="00FA433F">
        <w:rPr>
          <w:noProof/>
        </w:rPr>
        <w:t xml:space="preserve"> w</w:t>
      </w:r>
      <w:r w:rsidR="00FA433F">
        <w:rPr>
          <w:noProof/>
        </w:rPr>
        <w:t> </w:t>
      </w:r>
      <w:r w:rsidR="00FA433F" w:rsidRPr="00FA433F">
        <w:rPr>
          <w:noProof/>
        </w:rPr>
        <w:t>cel</w:t>
      </w:r>
      <w:r w:rsidRPr="00FA433F">
        <w:rPr>
          <w:noProof/>
        </w:rPr>
        <w:t>u zminimalizowania obciążeń regulacyjnych poprzez wykorzystanie</w:t>
      </w:r>
      <w:r w:rsidR="00FA433F" w:rsidRPr="00FA433F">
        <w:rPr>
          <w:noProof/>
        </w:rPr>
        <w:t xml:space="preserve"> w</w:t>
      </w:r>
      <w:r w:rsidR="00FA433F">
        <w:rPr>
          <w:noProof/>
        </w:rPr>
        <w:t> </w:t>
      </w:r>
      <w:r w:rsidR="00FA433F" w:rsidRPr="00FA433F">
        <w:rPr>
          <w:noProof/>
        </w:rPr>
        <w:t>mia</w:t>
      </w:r>
      <w:r w:rsidRPr="00FA433F">
        <w:rPr>
          <w:noProof/>
        </w:rPr>
        <w:t>rę możliwości istniejących struktur,</w:t>
      </w:r>
      <w:r w:rsidR="00FA433F" w:rsidRPr="00FA433F">
        <w:rPr>
          <w:noProof/>
        </w:rPr>
        <w:t xml:space="preserve"> w</w:t>
      </w:r>
      <w:r w:rsidR="00FA433F">
        <w:rPr>
          <w:noProof/>
        </w:rPr>
        <w:t> </w:t>
      </w:r>
      <w:r w:rsidR="00FA433F" w:rsidRPr="00FA433F">
        <w:rPr>
          <w:noProof/>
        </w:rPr>
        <w:t>tym</w:t>
      </w:r>
      <w:r w:rsidRPr="00FA433F">
        <w:rPr>
          <w:noProof/>
        </w:rPr>
        <w:t xml:space="preserve"> EU ETS. Nie tworzy nowych stałych struktur ani organów administracyjnych. Wniosek zwiększa zatem spójność przepisów</w:t>
      </w:r>
      <w:r w:rsidR="00FA433F" w:rsidRPr="00FA433F">
        <w:rPr>
          <w:noProof/>
        </w:rPr>
        <w:t xml:space="preserve"> i</w:t>
      </w:r>
      <w:r w:rsidR="00FA433F">
        <w:rPr>
          <w:noProof/>
        </w:rPr>
        <w:t> </w:t>
      </w:r>
      <w:r w:rsidR="00FA433F" w:rsidRPr="00FA433F">
        <w:rPr>
          <w:noProof/>
        </w:rPr>
        <w:t>wpł</w:t>
      </w:r>
      <w:r w:rsidRPr="00FA433F">
        <w:rPr>
          <w:noProof/>
        </w:rPr>
        <w:t>yw na środowiskowo oraz ogranicza koszty administracyjne ponoszone przez organy publiczne</w:t>
      </w:r>
      <w:r w:rsidR="00FA433F" w:rsidRPr="00FA433F">
        <w:rPr>
          <w:noProof/>
        </w:rPr>
        <w:t xml:space="preserve"> i</w:t>
      </w:r>
      <w:r w:rsidR="00FA433F">
        <w:rPr>
          <w:noProof/>
        </w:rPr>
        <w:t> </w:t>
      </w:r>
      <w:r w:rsidR="00FA433F" w:rsidRPr="00FA433F">
        <w:rPr>
          <w:noProof/>
        </w:rPr>
        <w:t>ben</w:t>
      </w:r>
      <w:r w:rsidRPr="00FA433F">
        <w:rPr>
          <w:noProof/>
        </w:rPr>
        <w:t>eficjentów.</w:t>
      </w:r>
    </w:p>
    <w:p w14:paraId="3C316978" w14:textId="77777777"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r>
      <w:r w:rsidRPr="00FA433F">
        <w:rPr>
          <w:noProof/>
          <w:u w:color="000000"/>
          <w:bdr w:val="nil"/>
        </w:rPr>
        <w:t>Prawa podstawowe</w:t>
      </w:r>
    </w:p>
    <w:p w14:paraId="4EA7FBEE" w14:textId="3424778B" w:rsidR="008A4C15" w:rsidRPr="00FA433F" w:rsidRDefault="00D92CBC">
      <w:pPr>
        <w:pBdr>
          <w:top w:val="nil"/>
          <w:left w:val="nil"/>
          <w:bottom w:val="nil"/>
          <w:right w:val="nil"/>
          <w:between w:val="nil"/>
          <w:bar w:val="nil"/>
        </w:pBdr>
        <w:spacing w:before="0" w:after="240"/>
        <w:rPr>
          <w:rFonts w:eastAsia="Arial Unicode MS"/>
          <w:noProof/>
        </w:rPr>
      </w:pPr>
      <w:r w:rsidRPr="00FA433F">
        <w:rPr>
          <w:noProof/>
        </w:rPr>
        <w:t>Wniosek przygotowano</w:t>
      </w:r>
      <w:r w:rsidR="00FA433F" w:rsidRPr="00FA433F">
        <w:rPr>
          <w:noProof/>
        </w:rPr>
        <w:t xml:space="preserve"> z</w:t>
      </w:r>
      <w:r w:rsidR="00FA433F">
        <w:rPr>
          <w:noProof/>
        </w:rPr>
        <w:t> </w:t>
      </w:r>
      <w:r w:rsidR="00FA433F" w:rsidRPr="00FA433F">
        <w:rPr>
          <w:noProof/>
        </w:rPr>
        <w:t>pos</w:t>
      </w:r>
      <w:r w:rsidRPr="00FA433F">
        <w:rPr>
          <w:noProof/>
        </w:rPr>
        <w:t>zanowaniem praw podstawowych</w:t>
      </w:r>
      <w:r w:rsidR="00FA433F" w:rsidRPr="00FA433F">
        <w:rPr>
          <w:noProof/>
        </w:rPr>
        <w:t xml:space="preserve"> i</w:t>
      </w:r>
      <w:r w:rsidR="00FA433F">
        <w:rPr>
          <w:noProof/>
        </w:rPr>
        <w:t> </w:t>
      </w:r>
      <w:r w:rsidR="00FA433F" w:rsidRPr="00FA433F">
        <w:rPr>
          <w:noProof/>
        </w:rPr>
        <w:t>zas</w:t>
      </w:r>
      <w:r w:rsidRPr="00FA433F">
        <w:rPr>
          <w:noProof/>
        </w:rPr>
        <w:t>ad uznanych</w:t>
      </w:r>
      <w:r w:rsidR="00FA433F" w:rsidRPr="00FA433F">
        <w:rPr>
          <w:noProof/>
        </w:rPr>
        <w:t xml:space="preserve"> w</w:t>
      </w:r>
      <w:r w:rsidR="00FA433F">
        <w:rPr>
          <w:noProof/>
        </w:rPr>
        <w:t> </w:t>
      </w:r>
      <w:r w:rsidR="00FA433F" w:rsidRPr="00FA433F">
        <w:rPr>
          <w:noProof/>
        </w:rPr>
        <w:t>szc</w:t>
      </w:r>
      <w:r w:rsidRPr="00FA433F">
        <w:rPr>
          <w:noProof/>
        </w:rPr>
        <w:t>zególności</w:t>
      </w:r>
      <w:r w:rsidR="00FA433F" w:rsidRPr="00FA433F">
        <w:rPr>
          <w:noProof/>
        </w:rPr>
        <w:t xml:space="preserve"> w</w:t>
      </w:r>
      <w:r w:rsidR="00FA433F">
        <w:rPr>
          <w:noProof/>
        </w:rPr>
        <w:t> </w:t>
      </w:r>
      <w:r w:rsidR="00FA433F" w:rsidRPr="00FA433F">
        <w:rPr>
          <w:noProof/>
        </w:rPr>
        <w:t>Kar</w:t>
      </w:r>
      <w:r w:rsidRPr="00FA433F">
        <w:rPr>
          <w:noProof/>
        </w:rPr>
        <w:t>cie praw podstawowych Unii Europejskiej</w:t>
      </w:r>
      <w:r w:rsidR="00FA433F" w:rsidRPr="00FA433F">
        <w:rPr>
          <w:noProof/>
        </w:rPr>
        <w:t>. W</w:t>
      </w:r>
      <w:r w:rsidR="00FA433F">
        <w:rPr>
          <w:noProof/>
        </w:rPr>
        <w:t> </w:t>
      </w:r>
      <w:r w:rsidR="00FA433F" w:rsidRPr="00FA433F">
        <w:rPr>
          <w:noProof/>
        </w:rPr>
        <w:t>szc</w:t>
      </w:r>
      <w:r w:rsidRPr="00FA433F">
        <w:rPr>
          <w:noProof/>
        </w:rPr>
        <w:t>zególności przyczynia się on do osiągnięcia celu dotyczącego wysokiego poziomu ochrony środowiska zgodnie</w:t>
      </w:r>
      <w:r w:rsidR="00FA433F" w:rsidRPr="00FA433F">
        <w:rPr>
          <w:noProof/>
        </w:rPr>
        <w:t xml:space="preserve"> z</w:t>
      </w:r>
      <w:r w:rsidR="00FA433F">
        <w:rPr>
          <w:noProof/>
        </w:rPr>
        <w:t> </w:t>
      </w:r>
      <w:r w:rsidR="00FA433F" w:rsidRPr="00FA433F">
        <w:rPr>
          <w:noProof/>
        </w:rPr>
        <w:t>zas</w:t>
      </w:r>
      <w:r w:rsidRPr="00FA433F">
        <w:rPr>
          <w:noProof/>
        </w:rPr>
        <w:t>adą zrównoważonego rozwoju,</w:t>
      </w:r>
      <w:r w:rsidR="00FA433F" w:rsidRPr="00FA433F">
        <w:rPr>
          <w:noProof/>
        </w:rPr>
        <w:t xml:space="preserve"> o</w:t>
      </w:r>
      <w:r w:rsidR="00FA433F">
        <w:rPr>
          <w:noProof/>
        </w:rPr>
        <w:t> </w:t>
      </w:r>
      <w:r w:rsidR="00FA433F" w:rsidRPr="00FA433F">
        <w:rPr>
          <w:noProof/>
        </w:rPr>
        <w:t>któ</w:t>
      </w:r>
      <w:r w:rsidRPr="00FA433F">
        <w:rPr>
          <w:noProof/>
        </w:rPr>
        <w:t>rej mowa</w:t>
      </w:r>
      <w:r w:rsidR="00FA433F" w:rsidRPr="00FA433F">
        <w:rPr>
          <w:noProof/>
        </w:rPr>
        <w:t xml:space="preserve"> w</w:t>
      </w:r>
      <w:r w:rsidR="00FA433F">
        <w:rPr>
          <w:noProof/>
        </w:rPr>
        <w:t> </w:t>
      </w:r>
      <w:r w:rsidR="00FA433F" w:rsidRPr="00FA433F">
        <w:rPr>
          <w:noProof/>
        </w:rPr>
        <w:t>art</w:t>
      </w:r>
      <w:r w:rsidRPr="00FA433F">
        <w:rPr>
          <w:noProof/>
        </w:rPr>
        <w:t>.</w:t>
      </w:r>
      <w:r w:rsidR="00FA433F" w:rsidRPr="00FA433F">
        <w:rPr>
          <w:noProof/>
        </w:rPr>
        <w:t> </w:t>
      </w:r>
      <w:r w:rsidRPr="00FA433F">
        <w:rPr>
          <w:noProof/>
        </w:rPr>
        <w:t>37 Karty.</w:t>
      </w:r>
    </w:p>
    <w:p w14:paraId="1D78C369" w14:textId="77777777" w:rsidR="008A4C15" w:rsidRPr="00FA433F" w:rsidRDefault="008A4C15">
      <w:pPr>
        <w:pStyle w:val="ManualHeading1"/>
        <w:rPr>
          <w:noProof/>
        </w:rPr>
      </w:pPr>
      <w:r w:rsidRPr="00FA433F">
        <w:rPr>
          <w:noProof/>
        </w:rPr>
        <w:t>4.</w:t>
      </w:r>
      <w:r w:rsidRPr="00FA433F">
        <w:rPr>
          <w:noProof/>
        </w:rPr>
        <w:tab/>
        <w:t>WPŁYW NA BUDŻET</w:t>
      </w:r>
    </w:p>
    <w:p w14:paraId="3CED66D7" w14:textId="32416405" w:rsidR="00E10D4C" w:rsidRPr="00FA433F" w:rsidRDefault="00E10D4C" w:rsidP="00E10D4C">
      <w:pPr>
        <w:pBdr>
          <w:top w:val="nil"/>
          <w:left w:val="nil"/>
          <w:bottom w:val="nil"/>
          <w:right w:val="nil"/>
          <w:between w:val="nil"/>
          <w:bar w:val="nil"/>
        </w:pBdr>
        <w:spacing w:before="0" w:after="240"/>
        <w:rPr>
          <w:noProof/>
        </w:rPr>
      </w:pPr>
      <w:r w:rsidRPr="00FA433F">
        <w:rPr>
          <w:noProof/>
        </w:rPr>
        <w:t>Fundusz będzie finansowany</w:t>
      </w:r>
      <w:r w:rsidR="00FA433F" w:rsidRPr="00FA433F">
        <w:rPr>
          <w:noProof/>
        </w:rPr>
        <w:t xml:space="preserve"> z</w:t>
      </w:r>
      <w:r w:rsidR="00FA433F">
        <w:rPr>
          <w:noProof/>
        </w:rPr>
        <w:t> </w:t>
      </w:r>
      <w:r w:rsidR="00FA433F" w:rsidRPr="00FA433F">
        <w:rPr>
          <w:noProof/>
        </w:rPr>
        <w:t>wkł</w:t>
      </w:r>
      <w:r w:rsidRPr="00FA433F">
        <w:rPr>
          <w:noProof/>
        </w:rPr>
        <w:t xml:space="preserve">adów państw członkowskich. Każdy wkład będzie odpowiadać 25 % dochodów, które państwo członkowskie uzyskało ze sprzedaży certyfikatów CBAM upoważnionym zgłaszającym CBAM mającym siedzibę na jego terytorium </w:t>
      </w:r>
      <w:r w:rsidRPr="00FA433F">
        <w:rPr>
          <w:noProof/>
        </w:rPr>
        <w:lastRenderedPageBreak/>
        <w:t>od</w:t>
      </w:r>
      <w:r w:rsidR="00FA433F" w:rsidRPr="00FA433F">
        <w:rPr>
          <w:noProof/>
        </w:rPr>
        <w:t> </w:t>
      </w:r>
      <w:r w:rsidRPr="00FA433F">
        <w:rPr>
          <w:noProof/>
        </w:rPr>
        <w:t>1 lutego 2027 r. Odpowiada to udziałowi, który państwa członkowskie zachowają,</w:t>
      </w:r>
      <w:r w:rsidR="00FA433F" w:rsidRPr="00FA433F">
        <w:rPr>
          <w:noProof/>
        </w:rPr>
        <w:t xml:space="preserve"> i</w:t>
      </w:r>
      <w:r w:rsidR="00FA433F">
        <w:rPr>
          <w:noProof/>
        </w:rPr>
        <w:t> </w:t>
      </w:r>
      <w:r w:rsidR="00FA433F" w:rsidRPr="00FA433F">
        <w:rPr>
          <w:noProof/>
        </w:rPr>
        <w:t>poz</w:t>
      </w:r>
      <w:r w:rsidRPr="00FA433F">
        <w:rPr>
          <w:noProof/>
        </w:rPr>
        <w:t>ostaje bez uszczerbku dla wniosku Komisji dotyczącego traktowania 75 % dochodów z CBAM jako nowych zasobów własnych budżetu Unii</w:t>
      </w:r>
      <w:r w:rsidRPr="00FA433F">
        <w:rPr>
          <w:rStyle w:val="Odwoanieprzypisudolnego"/>
          <w:noProof/>
        </w:rPr>
        <w:footnoteReference w:id="5"/>
      </w:r>
      <w:r w:rsidRPr="00FA433F">
        <w:rPr>
          <w:noProof/>
        </w:rPr>
        <w:t>. Rozwiązanie to jest zatem zgodne</w:t>
      </w:r>
      <w:r w:rsidR="00FA433F" w:rsidRPr="00FA433F">
        <w:rPr>
          <w:noProof/>
        </w:rPr>
        <w:t xml:space="preserve"> z</w:t>
      </w:r>
      <w:r w:rsidR="00FA433F">
        <w:rPr>
          <w:noProof/>
        </w:rPr>
        <w:t> </w:t>
      </w:r>
      <w:r w:rsidR="00FA433F" w:rsidRPr="00FA433F">
        <w:rPr>
          <w:noProof/>
        </w:rPr>
        <w:t>trw</w:t>
      </w:r>
      <w:r w:rsidRPr="00FA433F">
        <w:rPr>
          <w:noProof/>
        </w:rPr>
        <w:t>ającym procesem legislacyjnym dotyczącym zasobów własnych.</w:t>
      </w:r>
    </w:p>
    <w:p w14:paraId="7A8F1BD2" w14:textId="6AC610E3" w:rsidR="008A4C15" w:rsidRPr="00FA433F" w:rsidRDefault="00E10D4C" w:rsidP="00E10D4C">
      <w:pPr>
        <w:pBdr>
          <w:top w:val="nil"/>
          <w:left w:val="nil"/>
          <w:bottom w:val="nil"/>
          <w:right w:val="nil"/>
          <w:between w:val="nil"/>
          <w:bar w:val="nil"/>
        </w:pBdr>
        <w:spacing w:before="0" w:after="240"/>
        <w:rPr>
          <w:rFonts w:eastAsia="Arial Unicode MS"/>
          <w:noProof/>
        </w:rPr>
      </w:pPr>
      <w:r w:rsidRPr="00FA433F">
        <w:rPr>
          <w:noProof/>
        </w:rPr>
        <w:t>Fundusz będzie realizowany</w:t>
      </w:r>
      <w:r w:rsidR="00FA433F" w:rsidRPr="00FA433F">
        <w:rPr>
          <w:noProof/>
        </w:rPr>
        <w:t xml:space="preserve"> w</w:t>
      </w:r>
      <w:r w:rsidR="00FA433F">
        <w:rPr>
          <w:noProof/>
        </w:rPr>
        <w:t> </w:t>
      </w:r>
      <w:r w:rsidR="00FA433F" w:rsidRPr="00FA433F">
        <w:rPr>
          <w:noProof/>
        </w:rPr>
        <w:t>ram</w:t>
      </w:r>
      <w:r w:rsidRPr="00FA433F">
        <w:rPr>
          <w:noProof/>
        </w:rPr>
        <w:t>ach zarządzania bezpośredniego przez Komisję</w:t>
      </w:r>
      <w:r w:rsidR="00FA433F" w:rsidRPr="00FA433F">
        <w:rPr>
          <w:noProof/>
        </w:rPr>
        <w:t xml:space="preserve"> w</w:t>
      </w:r>
      <w:r w:rsidR="00FA433F">
        <w:rPr>
          <w:noProof/>
        </w:rPr>
        <w:t> </w:t>
      </w:r>
      <w:r w:rsidR="00FA433F" w:rsidRPr="00FA433F">
        <w:rPr>
          <w:noProof/>
        </w:rPr>
        <w:t>ści</w:t>
      </w:r>
      <w:r w:rsidRPr="00FA433F">
        <w:rPr>
          <w:noProof/>
        </w:rPr>
        <w:t>słej współpracy</w:t>
      </w:r>
      <w:r w:rsidR="00FA433F" w:rsidRPr="00FA433F">
        <w:rPr>
          <w:noProof/>
        </w:rPr>
        <w:t xml:space="preserve"> z</w:t>
      </w:r>
      <w:r w:rsidR="00FA433F">
        <w:rPr>
          <w:noProof/>
        </w:rPr>
        <w:t> </w:t>
      </w:r>
      <w:r w:rsidR="00FA433F" w:rsidRPr="00FA433F">
        <w:rPr>
          <w:noProof/>
        </w:rPr>
        <w:t>pań</w:t>
      </w:r>
      <w:r w:rsidRPr="00FA433F">
        <w:rPr>
          <w:noProof/>
        </w:rPr>
        <w:t>stwami członkowskimi. Środki pochodzące</w:t>
      </w:r>
      <w:r w:rsidR="00FA433F" w:rsidRPr="00FA433F">
        <w:rPr>
          <w:noProof/>
        </w:rPr>
        <w:t xml:space="preserve"> z</w:t>
      </w:r>
      <w:r w:rsidR="00FA433F">
        <w:rPr>
          <w:noProof/>
        </w:rPr>
        <w:t> </w:t>
      </w:r>
      <w:r w:rsidR="00FA433F" w:rsidRPr="00FA433F">
        <w:rPr>
          <w:noProof/>
        </w:rPr>
        <w:t>wkł</w:t>
      </w:r>
      <w:r w:rsidRPr="00FA433F">
        <w:rPr>
          <w:noProof/>
        </w:rPr>
        <w:t>adów państw członkowskich pokryją koszty wdrażania funduszu. Wpływ niniejszego wniosku na budżet Unii przeanalizowano</w:t>
      </w:r>
      <w:r w:rsidR="00FA433F" w:rsidRPr="00FA433F">
        <w:rPr>
          <w:noProof/>
        </w:rPr>
        <w:t xml:space="preserve"> w</w:t>
      </w:r>
      <w:r w:rsidR="00FA433F">
        <w:rPr>
          <w:noProof/>
        </w:rPr>
        <w:t> </w:t>
      </w:r>
      <w:r w:rsidR="00FA433F" w:rsidRPr="00FA433F">
        <w:rPr>
          <w:noProof/>
        </w:rPr>
        <w:t>oce</w:t>
      </w:r>
      <w:r w:rsidRPr="00FA433F">
        <w:rPr>
          <w:noProof/>
        </w:rPr>
        <w:t>nie skutków finansowych</w:t>
      </w:r>
      <w:r w:rsidR="00FA433F" w:rsidRPr="00FA433F">
        <w:rPr>
          <w:noProof/>
        </w:rPr>
        <w:t xml:space="preserve"> i</w:t>
      </w:r>
      <w:r w:rsidR="00FA433F">
        <w:rPr>
          <w:noProof/>
        </w:rPr>
        <w:t> </w:t>
      </w:r>
      <w:r w:rsidR="00FA433F" w:rsidRPr="00FA433F">
        <w:rPr>
          <w:noProof/>
        </w:rPr>
        <w:t>cyf</w:t>
      </w:r>
      <w:r w:rsidRPr="00FA433F">
        <w:rPr>
          <w:noProof/>
        </w:rPr>
        <w:t>rowych regulacji towarzyszącej niniejszemu wnioskowi.</w:t>
      </w:r>
    </w:p>
    <w:p w14:paraId="5F2B3FB2" w14:textId="77777777" w:rsidR="008A4C15" w:rsidRPr="00FA433F" w:rsidRDefault="008A4C15">
      <w:pPr>
        <w:pStyle w:val="ManualHeading1"/>
        <w:rPr>
          <w:noProof/>
        </w:rPr>
      </w:pPr>
      <w:r w:rsidRPr="00FA433F">
        <w:rPr>
          <w:noProof/>
        </w:rPr>
        <w:t>5.</w:t>
      </w:r>
      <w:r w:rsidRPr="00FA433F">
        <w:rPr>
          <w:noProof/>
        </w:rPr>
        <w:tab/>
        <w:t>ELEMENTY FAKULTATYWNE</w:t>
      </w:r>
    </w:p>
    <w:p w14:paraId="19378BF9" w14:textId="3AA2973F"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r>
      <w:r w:rsidRPr="00FA433F">
        <w:rPr>
          <w:noProof/>
          <w:u w:color="000000"/>
          <w:bdr w:val="nil"/>
        </w:rPr>
        <w:t>Plany wdrożenia</w:t>
      </w:r>
      <w:r w:rsidR="00FA433F" w:rsidRPr="00FA433F">
        <w:rPr>
          <w:noProof/>
          <w:u w:color="000000"/>
          <w:bdr w:val="nil"/>
        </w:rPr>
        <w:t xml:space="preserve"> i</w:t>
      </w:r>
      <w:r w:rsidR="00FA433F">
        <w:rPr>
          <w:noProof/>
          <w:u w:color="000000"/>
          <w:bdr w:val="nil"/>
        </w:rPr>
        <w:t> </w:t>
      </w:r>
      <w:r w:rsidR="00FA433F" w:rsidRPr="00FA433F">
        <w:rPr>
          <w:noProof/>
          <w:u w:color="000000"/>
          <w:bdr w:val="nil"/>
        </w:rPr>
        <w:t>mon</w:t>
      </w:r>
      <w:r w:rsidRPr="00FA433F">
        <w:rPr>
          <w:noProof/>
          <w:u w:color="000000"/>
          <w:bdr w:val="nil"/>
        </w:rPr>
        <w:t>itorowanie, ocena</w:t>
      </w:r>
      <w:r w:rsidR="00FA433F" w:rsidRPr="00FA433F">
        <w:rPr>
          <w:noProof/>
          <w:u w:color="000000"/>
          <w:bdr w:val="nil"/>
        </w:rPr>
        <w:t xml:space="preserve"> i</w:t>
      </w:r>
      <w:r w:rsidR="00FA433F">
        <w:rPr>
          <w:noProof/>
          <w:u w:color="000000"/>
          <w:bdr w:val="nil"/>
        </w:rPr>
        <w:t> </w:t>
      </w:r>
      <w:r w:rsidR="00FA433F" w:rsidRPr="00FA433F">
        <w:rPr>
          <w:noProof/>
          <w:u w:color="000000"/>
          <w:bdr w:val="nil"/>
        </w:rPr>
        <w:t>spr</w:t>
      </w:r>
      <w:r w:rsidRPr="00FA433F">
        <w:rPr>
          <w:noProof/>
          <w:u w:color="000000"/>
          <w:bdr w:val="nil"/>
        </w:rPr>
        <w:t>awozdania</w:t>
      </w:r>
    </w:p>
    <w:p w14:paraId="0301900D" w14:textId="7A60900D" w:rsidR="008A4C15" w:rsidRPr="00FA433F" w:rsidRDefault="00CB32EB">
      <w:pPr>
        <w:pBdr>
          <w:top w:val="nil"/>
          <w:left w:val="nil"/>
          <w:bottom w:val="nil"/>
          <w:right w:val="nil"/>
          <w:between w:val="nil"/>
          <w:bar w:val="nil"/>
        </w:pBdr>
        <w:spacing w:before="0" w:after="240"/>
        <w:rPr>
          <w:rFonts w:eastAsia="Arial Unicode MS"/>
          <w:noProof/>
        </w:rPr>
      </w:pPr>
      <w:r w:rsidRPr="00FA433F">
        <w:rPr>
          <w:noProof/>
        </w:rPr>
        <w:t>Wprowadzanie funduszu będzie podlegać monitorowaniu, które ma zapewnić, by fundusz realizował zamierzone cele środowiskowe</w:t>
      </w:r>
      <w:r w:rsidR="00FA433F" w:rsidRPr="00FA433F">
        <w:rPr>
          <w:noProof/>
        </w:rPr>
        <w:t xml:space="preserve"> i</w:t>
      </w:r>
      <w:r w:rsidR="00FA433F">
        <w:rPr>
          <w:noProof/>
        </w:rPr>
        <w:t> </w:t>
      </w:r>
      <w:r w:rsidR="00FA433F" w:rsidRPr="00FA433F">
        <w:rPr>
          <w:noProof/>
        </w:rPr>
        <w:t>dzi</w:t>
      </w:r>
      <w:r w:rsidRPr="00FA433F">
        <w:rPr>
          <w:noProof/>
        </w:rPr>
        <w:t>ałał zgodnie</w:t>
      </w:r>
      <w:r w:rsidR="00FA433F" w:rsidRPr="00FA433F">
        <w:rPr>
          <w:noProof/>
        </w:rPr>
        <w:t xml:space="preserve"> z</w:t>
      </w:r>
      <w:r w:rsidR="00FA433F">
        <w:rPr>
          <w:noProof/>
        </w:rPr>
        <w:t> </w:t>
      </w:r>
      <w:r w:rsidR="00FA433F" w:rsidRPr="00FA433F">
        <w:rPr>
          <w:noProof/>
        </w:rPr>
        <w:t>zas</w:t>
      </w:r>
      <w:r w:rsidRPr="00FA433F">
        <w:rPr>
          <w:noProof/>
        </w:rPr>
        <w:t>adami należytego zarządzania finansami. Komisja będzie gromadzić</w:t>
      </w:r>
      <w:r w:rsidR="00FA433F" w:rsidRPr="00FA433F">
        <w:rPr>
          <w:noProof/>
        </w:rPr>
        <w:t xml:space="preserve"> i</w:t>
      </w:r>
      <w:r w:rsidR="00FA433F">
        <w:rPr>
          <w:noProof/>
        </w:rPr>
        <w:t> </w:t>
      </w:r>
      <w:r w:rsidR="00FA433F" w:rsidRPr="00FA433F">
        <w:rPr>
          <w:noProof/>
        </w:rPr>
        <w:t>ana</w:t>
      </w:r>
      <w:r w:rsidRPr="00FA433F">
        <w:rPr>
          <w:noProof/>
        </w:rPr>
        <w:t>lizować dane przekazywane przez państwa członkowskie</w:t>
      </w:r>
      <w:r w:rsidR="00FA433F" w:rsidRPr="00FA433F">
        <w:rPr>
          <w:noProof/>
        </w:rPr>
        <w:t xml:space="preserve"> i</w:t>
      </w:r>
      <w:r w:rsidR="00FA433F">
        <w:rPr>
          <w:noProof/>
        </w:rPr>
        <w:t> </w:t>
      </w:r>
      <w:r w:rsidR="00FA433F" w:rsidRPr="00FA433F">
        <w:rPr>
          <w:noProof/>
        </w:rPr>
        <w:t>ben</w:t>
      </w:r>
      <w:r w:rsidRPr="00FA433F">
        <w:rPr>
          <w:noProof/>
        </w:rPr>
        <w:t>eficjentów na temat wniosków</w:t>
      </w:r>
      <w:r w:rsidR="00FA433F" w:rsidRPr="00FA433F">
        <w:rPr>
          <w:noProof/>
        </w:rPr>
        <w:t xml:space="preserve"> i</w:t>
      </w:r>
      <w:r w:rsidR="00FA433F">
        <w:rPr>
          <w:noProof/>
        </w:rPr>
        <w:t> </w:t>
      </w:r>
      <w:r w:rsidR="00FA433F" w:rsidRPr="00FA433F">
        <w:rPr>
          <w:noProof/>
        </w:rPr>
        <w:t>wyp</w:t>
      </w:r>
      <w:r w:rsidRPr="00FA433F">
        <w:rPr>
          <w:noProof/>
        </w:rPr>
        <w:t>łat środków finansowych</w:t>
      </w:r>
      <w:r w:rsidR="00FA433F" w:rsidRPr="00FA433F">
        <w:rPr>
          <w:noProof/>
        </w:rPr>
        <w:t xml:space="preserve"> w</w:t>
      </w:r>
      <w:r w:rsidR="00FA433F">
        <w:rPr>
          <w:noProof/>
        </w:rPr>
        <w:t> </w:t>
      </w:r>
      <w:r w:rsidR="00FA433F" w:rsidRPr="00FA433F">
        <w:rPr>
          <w:noProof/>
        </w:rPr>
        <w:t>pod</w:t>
      </w:r>
      <w:r w:rsidRPr="00FA433F">
        <w:rPr>
          <w:noProof/>
        </w:rPr>
        <w:t>ziale na państwa członkowskie, sektory, towary</w:t>
      </w:r>
      <w:r w:rsidR="00FA433F" w:rsidRPr="00FA433F">
        <w:rPr>
          <w:noProof/>
        </w:rPr>
        <w:t xml:space="preserve"> i</w:t>
      </w:r>
      <w:r w:rsidR="00FA433F">
        <w:rPr>
          <w:noProof/>
        </w:rPr>
        <w:t> </w:t>
      </w:r>
      <w:r w:rsidR="00FA433F" w:rsidRPr="00FA433F">
        <w:rPr>
          <w:noProof/>
        </w:rPr>
        <w:t>ins</w:t>
      </w:r>
      <w:r w:rsidRPr="00FA433F">
        <w:rPr>
          <w:noProof/>
        </w:rPr>
        <w:t>talacje,</w:t>
      </w:r>
      <w:r w:rsidR="00FA433F" w:rsidRPr="00FA433F">
        <w:rPr>
          <w:noProof/>
        </w:rPr>
        <w:t xml:space="preserve"> a</w:t>
      </w:r>
      <w:r w:rsidR="00FA433F">
        <w:rPr>
          <w:noProof/>
        </w:rPr>
        <w:t> </w:t>
      </w:r>
      <w:r w:rsidR="00FA433F" w:rsidRPr="00FA433F">
        <w:rPr>
          <w:noProof/>
        </w:rPr>
        <w:t>tak</w:t>
      </w:r>
      <w:r w:rsidRPr="00FA433F">
        <w:rPr>
          <w:noProof/>
        </w:rPr>
        <w:t>że na temat zgodności</w:t>
      </w:r>
      <w:r w:rsidR="00FA433F" w:rsidRPr="00FA433F">
        <w:rPr>
          <w:noProof/>
        </w:rPr>
        <w:t xml:space="preserve"> z</w:t>
      </w:r>
      <w:r w:rsidR="00FA433F">
        <w:rPr>
          <w:noProof/>
        </w:rPr>
        <w:t> </w:t>
      </w:r>
      <w:r w:rsidR="00FA433F" w:rsidRPr="00FA433F">
        <w:rPr>
          <w:noProof/>
        </w:rPr>
        <w:t>wym</w:t>
      </w:r>
      <w:r w:rsidRPr="00FA433F">
        <w:rPr>
          <w:noProof/>
        </w:rPr>
        <w:t>ogami dotyczącymi środków na rzecz dekarbonizacji. Komisja przyjmie akty wykonawcze ustanawiające przepisy dotyczące monitorowania</w:t>
      </w:r>
      <w:r w:rsidR="00FA433F" w:rsidRPr="00FA433F">
        <w:rPr>
          <w:noProof/>
        </w:rPr>
        <w:t xml:space="preserve"> w</w:t>
      </w:r>
      <w:r w:rsidR="00FA433F">
        <w:rPr>
          <w:noProof/>
        </w:rPr>
        <w:t> </w:t>
      </w:r>
      <w:r w:rsidR="00FA433F" w:rsidRPr="00FA433F">
        <w:rPr>
          <w:noProof/>
        </w:rPr>
        <w:t>cel</w:t>
      </w:r>
      <w:r w:rsidRPr="00FA433F">
        <w:rPr>
          <w:noProof/>
        </w:rPr>
        <w:t>u zapewnienia spójności</w:t>
      </w:r>
      <w:r w:rsidR="00FA433F" w:rsidRPr="00FA433F">
        <w:rPr>
          <w:noProof/>
        </w:rPr>
        <w:t xml:space="preserve"> w</w:t>
      </w:r>
      <w:r w:rsidR="00FA433F">
        <w:rPr>
          <w:noProof/>
        </w:rPr>
        <w:t> </w:t>
      </w:r>
      <w:r w:rsidR="00FA433F" w:rsidRPr="00FA433F">
        <w:rPr>
          <w:noProof/>
        </w:rPr>
        <w:t>cał</w:t>
      </w:r>
      <w:r w:rsidRPr="00FA433F">
        <w:rPr>
          <w:noProof/>
        </w:rPr>
        <w:t>ej Unii. Zgodnie</w:t>
      </w:r>
      <w:r w:rsidR="00FA433F" w:rsidRPr="00FA433F">
        <w:rPr>
          <w:noProof/>
        </w:rPr>
        <w:t xml:space="preserve"> z</w:t>
      </w:r>
      <w:r w:rsidR="00FA433F">
        <w:rPr>
          <w:noProof/>
        </w:rPr>
        <w:t> </w:t>
      </w:r>
      <w:r w:rsidR="00FA433F" w:rsidRPr="00FA433F">
        <w:rPr>
          <w:noProof/>
        </w:rPr>
        <w:t>roz</w:t>
      </w:r>
      <w:r w:rsidRPr="00FA433F">
        <w:rPr>
          <w:noProof/>
        </w:rPr>
        <w:t>porządzeniem finansowym</w:t>
      </w:r>
      <w:r w:rsidR="00FA433F" w:rsidRPr="00FA433F">
        <w:rPr>
          <w:noProof/>
        </w:rPr>
        <w:t xml:space="preserve"> i</w:t>
      </w:r>
      <w:r w:rsidR="00FA433F">
        <w:rPr>
          <w:noProof/>
        </w:rPr>
        <w:t> </w:t>
      </w:r>
      <w:r w:rsidR="00FA433F" w:rsidRPr="00FA433F">
        <w:rPr>
          <w:noProof/>
        </w:rPr>
        <w:t>uni</w:t>
      </w:r>
      <w:r w:rsidRPr="00FA433F">
        <w:rPr>
          <w:noProof/>
        </w:rPr>
        <w:t>jnymi zasadami lepszego stanowienia prawa wyniki monitorowania zostaną uwzględnione</w:t>
      </w:r>
      <w:r w:rsidR="00FA433F" w:rsidRPr="00FA433F">
        <w:rPr>
          <w:noProof/>
        </w:rPr>
        <w:t xml:space="preserve"> w</w:t>
      </w:r>
      <w:r w:rsidR="00FA433F">
        <w:rPr>
          <w:noProof/>
        </w:rPr>
        <w:t> </w:t>
      </w:r>
      <w:r w:rsidR="00FA433F" w:rsidRPr="00FA433F">
        <w:rPr>
          <w:noProof/>
        </w:rPr>
        <w:t>oce</w:t>
      </w:r>
      <w:r w:rsidRPr="00FA433F">
        <w:rPr>
          <w:noProof/>
        </w:rPr>
        <w:t>nie funduszu, którą Komisja przedstawi Radzie UE</w:t>
      </w:r>
      <w:r w:rsidR="00FA433F" w:rsidRPr="00FA433F">
        <w:rPr>
          <w:noProof/>
        </w:rPr>
        <w:t xml:space="preserve"> i</w:t>
      </w:r>
      <w:r w:rsidR="00FA433F">
        <w:rPr>
          <w:noProof/>
        </w:rPr>
        <w:t> </w:t>
      </w:r>
      <w:r w:rsidR="00FA433F" w:rsidRPr="00FA433F">
        <w:rPr>
          <w:noProof/>
        </w:rPr>
        <w:t>Par</w:t>
      </w:r>
      <w:r w:rsidRPr="00FA433F">
        <w:rPr>
          <w:noProof/>
        </w:rPr>
        <w:t>lamentowi Europejskiemu.</w:t>
      </w:r>
    </w:p>
    <w:p w14:paraId="6DFFE5DD" w14:textId="77777777"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r>
      <w:r w:rsidRPr="00FA433F">
        <w:rPr>
          <w:noProof/>
          <w:u w:color="000000"/>
          <w:bdr w:val="nil"/>
        </w:rPr>
        <w:t>Dokumenty wyjaśniające (w przypadku dyrektyw)</w:t>
      </w:r>
    </w:p>
    <w:p w14:paraId="0D223066" w14:textId="77777777" w:rsidR="008A4C15" w:rsidRPr="00FA433F" w:rsidRDefault="00CB5258">
      <w:pPr>
        <w:pBdr>
          <w:top w:val="nil"/>
          <w:left w:val="nil"/>
          <w:bottom w:val="nil"/>
          <w:right w:val="nil"/>
          <w:between w:val="nil"/>
          <w:bar w:val="nil"/>
        </w:pBdr>
        <w:spacing w:before="0" w:after="240"/>
        <w:rPr>
          <w:rFonts w:eastAsia="Arial Unicode MS"/>
          <w:noProof/>
        </w:rPr>
      </w:pPr>
      <w:r w:rsidRPr="00FA433F">
        <w:rPr>
          <w:noProof/>
        </w:rPr>
        <w:t>Nie dotyczy.</w:t>
      </w:r>
    </w:p>
    <w:p w14:paraId="73A76CD4" w14:textId="77777777" w:rsidR="008A4C15" w:rsidRPr="00FA433F" w:rsidRDefault="008A4C15">
      <w:pPr>
        <w:pStyle w:val="ManualHeading2"/>
        <w:rPr>
          <w:rFonts w:eastAsia="Arial Unicode MS"/>
          <w:noProof/>
          <w:u w:color="000000"/>
          <w:bdr w:val="nil"/>
        </w:rPr>
      </w:pPr>
      <w:r w:rsidRPr="00FA433F">
        <w:rPr>
          <w:noProof/>
          <w:u w:color="000000"/>
          <w:bdr w:val="nil"/>
        </w:rPr>
        <w:t>•</w:t>
      </w:r>
      <w:r w:rsidRPr="00FA433F">
        <w:rPr>
          <w:noProof/>
        </w:rPr>
        <w:tab/>
      </w:r>
      <w:r w:rsidRPr="00FA433F">
        <w:rPr>
          <w:noProof/>
          <w:u w:color="000000"/>
          <w:bdr w:val="nil"/>
        </w:rPr>
        <w:t>Szczegółowe objaśnienia poszczególnych przepisów wniosku</w:t>
      </w:r>
    </w:p>
    <w:p w14:paraId="7906EE8F" w14:textId="500AAD66" w:rsidR="00CB5258" w:rsidRPr="00FA433F" w:rsidRDefault="00CB5258" w:rsidP="00CB5258">
      <w:pPr>
        <w:pBdr>
          <w:top w:val="nil"/>
          <w:left w:val="nil"/>
          <w:bottom w:val="nil"/>
          <w:right w:val="nil"/>
          <w:between w:val="nil"/>
          <w:bar w:val="nil"/>
        </w:pBdr>
        <w:spacing w:before="0" w:after="240"/>
        <w:rPr>
          <w:noProof/>
        </w:rPr>
      </w:pPr>
      <w:r w:rsidRPr="00FA433F">
        <w:rPr>
          <w:noProof/>
        </w:rPr>
        <w:t>W niniejszej sekcji przedstawiono zwięzły przegląd każdego</w:t>
      </w:r>
      <w:r w:rsidR="00FA433F" w:rsidRPr="00FA433F">
        <w:rPr>
          <w:noProof/>
        </w:rPr>
        <w:t xml:space="preserve"> z</w:t>
      </w:r>
      <w:r w:rsidR="00FA433F">
        <w:rPr>
          <w:noProof/>
        </w:rPr>
        <w:t> </w:t>
      </w:r>
      <w:r w:rsidR="00FA433F" w:rsidRPr="00FA433F">
        <w:rPr>
          <w:noProof/>
        </w:rPr>
        <w:t>naj</w:t>
      </w:r>
      <w:r w:rsidRPr="00FA433F">
        <w:rPr>
          <w:noProof/>
        </w:rPr>
        <w:t>ważniejszych przepisów wniosku.</w:t>
      </w:r>
    </w:p>
    <w:p w14:paraId="19FAD35F" w14:textId="234D3B7F" w:rsidR="00CB5258" w:rsidRPr="00FA433F" w:rsidRDefault="00CB5258" w:rsidP="00CB5258">
      <w:pPr>
        <w:pBdr>
          <w:top w:val="nil"/>
          <w:left w:val="nil"/>
          <w:bottom w:val="nil"/>
          <w:right w:val="nil"/>
          <w:between w:val="nil"/>
          <w:bar w:val="nil"/>
        </w:pBdr>
        <w:spacing w:before="0" w:after="240"/>
        <w:rPr>
          <w:noProof/>
        </w:rPr>
      </w:pPr>
      <w:r w:rsidRPr="00FA433F">
        <w:rPr>
          <w:noProof/>
        </w:rPr>
        <w:t>W art.</w:t>
      </w:r>
      <w:r w:rsidR="00FA433F" w:rsidRPr="00FA433F">
        <w:rPr>
          <w:noProof/>
        </w:rPr>
        <w:t> </w:t>
      </w:r>
      <w:r w:rsidRPr="00FA433F">
        <w:rPr>
          <w:noProof/>
        </w:rPr>
        <w:t>1 ustanawia się fundusz</w:t>
      </w:r>
      <w:r w:rsidR="00FA433F" w:rsidRPr="00FA433F">
        <w:rPr>
          <w:noProof/>
        </w:rPr>
        <w:t xml:space="preserve"> i</w:t>
      </w:r>
      <w:r w:rsidR="00FA433F">
        <w:rPr>
          <w:noProof/>
        </w:rPr>
        <w:t> </w:t>
      </w:r>
      <w:r w:rsidR="00FA433F" w:rsidRPr="00FA433F">
        <w:rPr>
          <w:noProof/>
        </w:rPr>
        <w:t>okr</w:t>
      </w:r>
      <w:r w:rsidRPr="00FA433F">
        <w:rPr>
          <w:noProof/>
        </w:rPr>
        <w:t>eśla okres, na jaki będzie on udzielał wsparcia finansowego.</w:t>
      </w:r>
    </w:p>
    <w:p w14:paraId="468B9AE2" w14:textId="1FD5FAFA" w:rsidR="00CB5258" w:rsidRPr="00FA433F" w:rsidRDefault="00CB5258" w:rsidP="00CB5258">
      <w:pPr>
        <w:pBdr>
          <w:top w:val="nil"/>
          <w:left w:val="nil"/>
          <w:bottom w:val="nil"/>
          <w:right w:val="nil"/>
          <w:between w:val="nil"/>
          <w:bar w:val="nil"/>
        </w:pBdr>
        <w:spacing w:before="0" w:after="240"/>
        <w:rPr>
          <w:noProof/>
        </w:rPr>
      </w:pPr>
      <w:r w:rsidRPr="00FA433F">
        <w:rPr>
          <w:noProof/>
        </w:rPr>
        <w:t>W art.</w:t>
      </w:r>
      <w:r w:rsidR="00FA433F" w:rsidRPr="00FA433F">
        <w:rPr>
          <w:noProof/>
        </w:rPr>
        <w:t> </w:t>
      </w:r>
      <w:r w:rsidRPr="00FA433F">
        <w:rPr>
          <w:noProof/>
        </w:rPr>
        <w:t>2 określono odpowiednie definicje stosowane</w:t>
      </w:r>
      <w:r w:rsidR="00FA433F" w:rsidRPr="00FA433F">
        <w:rPr>
          <w:noProof/>
        </w:rPr>
        <w:t xml:space="preserve"> w</w:t>
      </w:r>
      <w:r w:rsidR="00FA433F">
        <w:rPr>
          <w:noProof/>
        </w:rPr>
        <w:t> </w:t>
      </w:r>
      <w:r w:rsidR="00FA433F" w:rsidRPr="00FA433F">
        <w:rPr>
          <w:noProof/>
        </w:rPr>
        <w:t>roz</w:t>
      </w:r>
      <w:r w:rsidRPr="00FA433F">
        <w:rPr>
          <w:noProof/>
        </w:rPr>
        <w:t>porządzeniu</w:t>
      </w:r>
      <w:r w:rsidR="00FA433F" w:rsidRPr="00FA433F">
        <w:rPr>
          <w:noProof/>
        </w:rPr>
        <w:t xml:space="preserve"> w</w:t>
      </w:r>
      <w:r w:rsidR="00FA433F">
        <w:rPr>
          <w:noProof/>
        </w:rPr>
        <w:t> </w:t>
      </w:r>
      <w:r w:rsidR="00FA433F" w:rsidRPr="00FA433F">
        <w:rPr>
          <w:noProof/>
        </w:rPr>
        <w:t>cel</w:t>
      </w:r>
      <w:r w:rsidRPr="00FA433F">
        <w:rPr>
          <w:noProof/>
        </w:rPr>
        <w:t>u zapewnienia pewności prawa</w:t>
      </w:r>
      <w:r w:rsidR="00FA433F" w:rsidRPr="00FA433F">
        <w:rPr>
          <w:noProof/>
        </w:rPr>
        <w:t xml:space="preserve"> i</w:t>
      </w:r>
      <w:r w:rsidR="00FA433F">
        <w:rPr>
          <w:noProof/>
        </w:rPr>
        <w:t> </w:t>
      </w:r>
      <w:r w:rsidR="00FA433F" w:rsidRPr="00FA433F">
        <w:rPr>
          <w:noProof/>
        </w:rPr>
        <w:t>spó</w:t>
      </w:r>
      <w:r w:rsidRPr="00FA433F">
        <w:rPr>
          <w:noProof/>
        </w:rPr>
        <w:t>jności.</w:t>
      </w:r>
    </w:p>
    <w:p w14:paraId="74C1B2DB" w14:textId="2791F5A7" w:rsidR="00CB5258" w:rsidRPr="00FA433F" w:rsidRDefault="00CB5258" w:rsidP="00CB5258">
      <w:pPr>
        <w:pBdr>
          <w:top w:val="nil"/>
          <w:left w:val="nil"/>
          <w:bottom w:val="nil"/>
          <w:right w:val="nil"/>
          <w:between w:val="nil"/>
          <w:bar w:val="nil"/>
        </w:pBdr>
        <w:spacing w:before="0" w:after="240"/>
        <w:rPr>
          <w:noProof/>
        </w:rPr>
      </w:pPr>
      <w:r w:rsidRPr="00FA433F">
        <w:rPr>
          <w:noProof/>
        </w:rPr>
        <w:t>W art.</w:t>
      </w:r>
      <w:r w:rsidR="00FA433F" w:rsidRPr="00FA433F">
        <w:rPr>
          <w:noProof/>
        </w:rPr>
        <w:t> </w:t>
      </w:r>
      <w:r w:rsidRPr="00FA433F">
        <w:rPr>
          <w:noProof/>
        </w:rPr>
        <w:t>3 określono, że fundusz ma być finansowany</w:t>
      </w:r>
      <w:r w:rsidR="00FA433F" w:rsidRPr="00FA433F">
        <w:rPr>
          <w:noProof/>
        </w:rPr>
        <w:t xml:space="preserve"> z</w:t>
      </w:r>
      <w:r w:rsidR="00FA433F">
        <w:rPr>
          <w:noProof/>
        </w:rPr>
        <w:t> </w:t>
      </w:r>
      <w:r w:rsidR="00FA433F" w:rsidRPr="00FA433F">
        <w:rPr>
          <w:noProof/>
        </w:rPr>
        <w:t>wkł</w:t>
      </w:r>
      <w:r w:rsidRPr="00FA433F">
        <w:rPr>
          <w:noProof/>
        </w:rPr>
        <w:t>adów państw członkowskich oraz że wkłady te będą odpowiadały 25 % dochodów z CBAM uzyskanych przez państwa członkowskie ze sprzedaży certyfikatów CBAM upoważnionym zgłaszającym CBAM zgodnie</w:t>
      </w:r>
      <w:r w:rsidR="00FA433F" w:rsidRPr="00FA433F">
        <w:rPr>
          <w:noProof/>
        </w:rPr>
        <w:t xml:space="preserve"> z</w:t>
      </w:r>
      <w:r w:rsidR="00FA433F">
        <w:rPr>
          <w:noProof/>
        </w:rPr>
        <w:t> </w:t>
      </w:r>
      <w:r w:rsidR="00FA433F" w:rsidRPr="00FA433F">
        <w:rPr>
          <w:noProof/>
        </w:rPr>
        <w:t>art</w:t>
      </w:r>
      <w:r w:rsidRPr="00FA433F">
        <w:rPr>
          <w:noProof/>
        </w:rPr>
        <w:t>.</w:t>
      </w:r>
      <w:r w:rsidR="00FA433F" w:rsidRPr="00FA433F">
        <w:rPr>
          <w:noProof/>
        </w:rPr>
        <w:t> </w:t>
      </w:r>
      <w:r w:rsidRPr="00FA433F">
        <w:rPr>
          <w:noProof/>
        </w:rPr>
        <w:t>20 rozporządzenia</w:t>
      </w:r>
      <w:r w:rsidR="00FA433F" w:rsidRPr="00FA433F">
        <w:rPr>
          <w:noProof/>
        </w:rPr>
        <w:t xml:space="preserve"> w</w:t>
      </w:r>
      <w:r w:rsidR="00FA433F">
        <w:rPr>
          <w:noProof/>
        </w:rPr>
        <w:t> </w:t>
      </w:r>
      <w:r w:rsidR="00FA433F" w:rsidRPr="00FA433F">
        <w:rPr>
          <w:noProof/>
        </w:rPr>
        <w:t>spr</w:t>
      </w:r>
      <w:r w:rsidRPr="00FA433F">
        <w:rPr>
          <w:noProof/>
        </w:rPr>
        <w:t>awie CBAM. Klauzula redukcji wartości ogranicza wykorzystanie dochodów do rzeczywistych potrzeb finansowych funduszu.</w:t>
      </w:r>
    </w:p>
    <w:p w14:paraId="45F764D5" w14:textId="542B709A" w:rsidR="00CB5258" w:rsidRPr="00FA433F" w:rsidRDefault="00CB5258" w:rsidP="00CB5258">
      <w:pPr>
        <w:pBdr>
          <w:top w:val="nil"/>
          <w:left w:val="nil"/>
          <w:bottom w:val="nil"/>
          <w:right w:val="nil"/>
          <w:between w:val="nil"/>
          <w:bar w:val="nil"/>
        </w:pBdr>
        <w:spacing w:before="0" w:after="240"/>
        <w:rPr>
          <w:noProof/>
        </w:rPr>
      </w:pPr>
      <w:r w:rsidRPr="00FA433F">
        <w:rPr>
          <w:noProof/>
        </w:rPr>
        <w:t>W art.</w:t>
      </w:r>
      <w:r w:rsidR="00FA433F" w:rsidRPr="00FA433F">
        <w:rPr>
          <w:noProof/>
        </w:rPr>
        <w:t> </w:t>
      </w:r>
      <w:r w:rsidRPr="00FA433F">
        <w:rPr>
          <w:noProof/>
        </w:rPr>
        <w:t>4 określono strukturę zarządzania funduszem. Artykuł ten stanowi, że Komisja wdraża fundusz, zapewniając jego spójne stosowanie</w:t>
      </w:r>
      <w:r w:rsidR="00FA433F" w:rsidRPr="00FA433F">
        <w:rPr>
          <w:noProof/>
        </w:rPr>
        <w:t xml:space="preserve"> w</w:t>
      </w:r>
      <w:r w:rsidR="00FA433F">
        <w:rPr>
          <w:noProof/>
        </w:rPr>
        <w:t> </w:t>
      </w:r>
      <w:r w:rsidR="00FA433F" w:rsidRPr="00FA433F">
        <w:rPr>
          <w:noProof/>
        </w:rPr>
        <w:t>cał</w:t>
      </w:r>
      <w:r w:rsidRPr="00FA433F">
        <w:rPr>
          <w:noProof/>
        </w:rPr>
        <w:t>ej Unii. Określono</w:t>
      </w:r>
      <w:r w:rsidR="00FA433F" w:rsidRPr="00FA433F">
        <w:rPr>
          <w:noProof/>
        </w:rPr>
        <w:t xml:space="preserve"> w</w:t>
      </w:r>
      <w:r w:rsidR="00FA433F">
        <w:rPr>
          <w:noProof/>
        </w:rPr>
        <w:t> </w:t>
      </w:r>
      <w:r w:rsidR="00FA433F" w:rsidRPr="00FA433F">
        <w:rPr>
          <w:noProof/>
        </w:rPr>
        <w:t>nim</w:t>
      </w:r>
      <w:r w:rsidRPr="00FA433F">
        <w:rPr>
          <w:noProof/>
        </w:rPr>
        <w:t xml:space="preserve"> również treść</w:t>
      </w:r>
      <w:r w:rsidR="00FA433F" w:rsidRPr="00FA433F">
        <w:rPr>
          <w:noProof/>
        </w:rPr>
        <w:t xml:space="preserve"> i</w:t>
      </w:r>
      <w:r w:rsidR="00FA433F">
        <w:rPr>
          <w:noProof/>
        </w:rPr>
        <w:t> </w:t>
      </w:r>
      <w:r w:rsidR="00FA433F" w:rsidRPr="00FA433F">
        <w:rPr>
          <w:noProof/>
        </w:rPr>
        <w:t>ter</w:t>
      </w:r>
      <w:r w:rsidRPr="00FA433F">
        <w:rPr>
          <w:noProof/>
        </w:rPr>
        <w:t>min przeglądu funduszu przez Komisję.</w:t>
      </w:r>
    </w:p>
    <w:p w14:paraId="3EE42129" w14:textId="4BEE8273" w:rsidR="00CB5258" w:rsidRPr="00FA433F" w:rsidRDefault="00CB5258" w:rsidP="00CB5258">
      <w:pPr>
        <w:pBdr>
          <w:top w:val="nil"/>
          <w:left w:val="nil"/>
          <w:bottom w:val="nil"/>
          <w:right w:val="nil"/>
          <w:between w:val="nil"/>
          <w:bar w:val="nil"/>
        </w:pBdr>
        <w:spacing w:before="0" w:after="240"/>
        <w:rPr>
          <w:noProof/>
        </w:rPr>
      </w:pPr>
      <w:r w:rsidRPr="00FA433F">
        <w:rPr>
          <w:noProof/>
        </w:rPr>
        <w:lastRenderedPageBreak/>
        <w:t>W art.</w:t>
      </w:r>
      <w:r w:rsidR="00FA433F" w:rsidRPr="00FA433F">
        <w:rPr>
          <w:noProof/>
        </w:rPr>
        <w:t> </w:t>
      </w:r>
      <w:r w:rsidRPr="00FA433F">
        <w:rPr>
          <w:noProof/>
        </w:rPr>
        <w:t>5 przewidziano wyznaczenie organów państw członkowskich odpowiedzialnych za wdrożenie środka na szczeblu krajowym.</w:t>
      </w:r>
    </w:p>
    <w:p w14:paraId="50D8FD4E" w14:textId="2F1B8DC3" w:rsidR="00CB5258" w:rsidRPr="00FA433F" w:rsidRDefault="00CB5258" w:rsidP="00CB5258">
      <w:pPr>
        <w:pBdr>
          <w:top w:val="nil"/>
          <w:left w:val="nil"/>
          <w:bottom w:val="nil"/>
          <w:right w:val="nil"/>
          <w:between w:val="nil"/>
          <w:bar w:val="nil"/>
        </w:pBdr>
        <w:spacing w:before="0" w:after="240"/>
        <w:rPr>
          <w:noProof/>
        </w:rPr>
      </w:pPr>
      <w:r w:rsidRPr="00FA433F">
        <w:rPr>
          <w:noProof/>
        </w:rPr>
        <w:t>W art.</w:t>
      </w:r>
      <w:r w:rsidR="00FA433F" w:rsidRPr="00FA433F">
        <w:rPr>
          <w:noProof/>
        </w:rPr>
        <w:t> </w:t>
      </w:r>
      <w:r w:rsidRPr="00FA433F">
        <w:rPr>
          <w:noProof/>
        </w:rPr>
        <w:t>6 określono, które towary mają korzystać ze wsparcia. Ogranicza on kwalifikowalność do produkcji określonych towarów,</w:t>
      </w:r>
      <w:r w:rsidR="00FA433F" w:rsidRPr="00FA433F">
        <w:rPr>
          <w:noProof/>
        </w:rPr>
        <w:t xml:space="preserve"> w</w:t>
      </w:r>
      <w:r w:rsidR="00FA433F">
        <w:rPr>
          <w:noProof/>
        </w:rPr>
        <w:t> </w:t>
      </w:r>
      <w:r w:rsidR="00FA433F" w:rsidRPr="00FA433F">
        <w:rPr>
          <w:noProof/>
        </w:rPr>
        <w:t>prz</w:t>
      </w:r>
      <w:r w:rsidRPr="00FA433F">
        <w:rPr>
          <w:noProof/>
        </w:rPr>
        <w:t>ypadku których istnieje zwiększone pozostałe ryzyko ucieczki emisji. Określono</w:t>
      </w:r>
      <w:r w:rsidR="00FA433F" w:rsidRPr="00FA433F">
        <w:rPr>
          <w:noProof/>
        </w:rPr>
        <w:t xml:space="preserve"> w</w:t>
      </w:r>
      <w:r w:rsidR="00FA433F">
        <w:rPr>
          <w:noProof/>
        </w:rPr>
        <w:t> </w:t>
      </w:r>
      <w:r w:rsidR="00FA433F" w:rsidRPr="00FA433F">
        <w:rPr>
          <w:noProof/>
        </w:rPr>
        <w:t>nim</w:t>
      </w:r>
      <w:r w:rsidRPr="00FA433F">
        <w:rPr>
          <w:noProof/>
        </w:rPr>
        <w:t xml:space="preserve"> również warunki, na jakich państwa członkowskie mogą wystąpić</w:t>
      </w:r>
      <w:r w:rsidR="00FA433F" w:rsidRPr="00FA433F">
        <w:rPr>
          <w:noProof/>
        </w:rPr>
        <w:t xml:space="preserve"> z</w:t>
      </w:r>
      <w:r w:rsidR="00FA433F">
        <w:rPr>
          <w:noProof/>
        </w:rPr>
        <w:t> </w:t>
      </w:r>
      <w:r w:rsidR="00FA433F" w:rsidRPr="00FA433F">
        <w:rPr>
          <w:noProof/>
        </w:rPr>
        <w:t>wni</w:t>
      </w:r>
      <w:r w:rsidRPr="00FA433F">
        <w:rPr>
          <w:noProof/>
        </w:rPr>
        <w:t>oskiem</w:t>
      </w:r>
      <w:r w:rsidR="00FA433F" w:rsidRPr="00FA433F">
        <w:rPr>
          <w:noProof/>
        </w:rPr>
        <w:t xml:space="preserve"> o</w:t>
      </w:r>
      <w:r w:rsidR="00FA433F">
        <w:rPr>
          <w:noProof/>
        </w:rPr>
        <w:t> </w:t>
      </w:r>
      <w:r w:rsidR="00FA433F" w:rsidRPr="00FA433F">
        <w:rPr>
          <w:noProof/>
        </w:rPr>
        <w:t>prz</w:t>
      </w:r>
      <w:r w:rsidRPr="00FA433F">
        <w:rPr>
          <w:noProof/>
        </w:rPr>
        <w:t>yznanie wsparcia na produkcję kolejnych towarów.</w:t>
      </w:r>
    </w:p>
    <w:p w14:paraId="2F7A8A41" w14:textId="1A85A255" w:rsidR="00CB5258" w:rsidRPr="00FA433F" w:rsidRDefault="00CB5258" w:rsidP="00CB5258">
      <w:pPr>
        <w:pBdr>
          <w:top w:val="nil"/>
          <w:left w:val="nil"/>
          <w:bottom w:val="nil"/>
          <w:right w:val="nil"/>
          <w:between w:val="nil"/>
          <w:bar w:val="nil"/>
        </w:pBdr>
        <w:spacing w:before="0" w:after="240"/>
        <w:rPr>
          <w:noProof/>
        </w:rPr>
      </w:pPr>
      <w:r w:rsidRPr="00FA433F">
        <w:rPr>
          <w:noProof/>
        </w:rPr>
        <w:t>W art.</w:t>
      </w:r>
      <w:r w:rsidR="00FA433F" w:rsidRPr="00FA433F">
        <w:rPr>
          <w:noProof/>
        </w:rPr>
        <w:t> </w:t>
      </w:r>
      <w:r w:rsidRPr="00FA433F">
        <w:rPr>
          <w:noProof/>
        </w:rPr>
        <w:t>7 opisano rodzaje działań</w:t>
      </w:r>
      <w:r w:rsidR="00FA433F" w:rsidRPr="00FA433F">
        <w:rPr>
          <w:noProof/>
        </w:rPr>
        <w:t xml:space="preserve"> w</w:t>
      </w:r>
      <w:r w:rsidR="00FA433F">
        <w:rPr>
          <w:noProof/>
        </w:rPr>
        <w:t> </w:t>
      </w:r>
      <w:r w:rsidR="00FA433F" w:rsidRPr="00FA433F">
        <w:rPr>
          <w:noProof/>
        </w:rPr>
        <w:t>zak</w:t>
      </w:r>
      <w:r w:rsidRPr="00FA433F">
        <w:rPr>
          <w:noProof/>
        </w:rPr>
        <w:t>resie dekarbonizacji, które kwalifikujący się operator będzie musiał przeprowadzić, aby otrzymać wsparcie, takie jak inwestycje</w:t>
      </w:r>
      <w:r w:rsidR="00FA433F" w:rsidRPr="00FA433F">
        <w:rPr>
          <w:noProof/>
        </w:rPr>
        <w:t xml:space="preserve"> w</w:t>
      </w:r>
      <w:r w:rsidR="00FA433F">
        <w:rPr>
          <w:noProof/>
        </w:rPr>
        <w:t> </w:t>
      </w:r>
      <w:r w:rsidR="00FA433F" w:rsidRPr="00FA433F">
        <w:rPr>
          <w:noProof/>
        </w:rPr>
        <w:t>tec</w:t>
      </w:r>
      <w:r w:rsidRPr="00FA433F">
        <w:rPr>
          <w:noProof/>
        </w:rPr>
        <w:t xml:space="preserve">hnologie niskoemisyjne. </w:t>
      </w:r>
    </w:p>
    <w:p w14:paraId="0B16AF31" w14:textId="02ED443E" w:rsidR="00CB5258" w:rsidRPr="00FA433F" w:rsidRDefault="00CB5258" w:rsidP="00CB5258">
      <w:pPr>
        <w:pBdr>
          <w:top w:val="nil"/>
          <w:left w:val="nil"/>
          <w:bottom w:val="nil"/>
          <w:right w:val="nil"/>
          <w:between w:val="nil"/>
          <w:bar w:val="nil"/>
        </w:pBdr>
        <w:spacing w:before="0" w:after="240"/>
        <w:rPr>
          <w:noProof/>
        </w:rPr>
      </w:pPr>
      <w:r w:rsidRPr="00FA433F">
        <w:rPr>
          <w:noProof/>
        </w:rPr>
        <w:t>W art.</w:t>
      </w:r>
      <w:r w:rsidR="00FA433F" w:rsidRPr="00FA433F">
        <w:rPr>
          <w:noProof/>
        </w:rPr>
        <w:t> </w:t>
      </w:r>
      <w:r w:rsidRPr="00FA433F">
        <w:rPr>
          <w:noProof/>
        </w:rPr>
        <w:t>8</w:t>
      </w:r>
      <w:r w:rsidR="00FA433F" w:rsidRPr="00FA433F">
        <w:rPr>
          <w:noProof/>
        </w:rPr>
        <w:t xml:space="preserve"> i</w:t>
      </w:r>
      <w:r w:rsidR="00FA433F">
        <w:rPr>
          <w:noProof/>
        </w:rPr>
        <w:t> </w:t>
      </w:r>
      <w:r w:rsidR="00FA433F" w:rsidRPr="00FA433F">
        <w:rPr>
          <w:noProof/>
        </w:rPr>
        <w:t>9</w:t>
      </w:r>
      <w:r w:rsidRPr="00FA433F">
        <w:rPr>
          <w:noProof/>
        </w:rPr>
        <w:t xml:space="preserve"> określono zasady</w:t>
      </w:r>
      <w:r w:rsidR="00FA433F" w:rsidRPr="00FA433F">
        <w:rPr>
          <w:noProof/>
        </w:rPr>
        <w:t xml:space="preserve"> i</w:t>
      </w:r>
      <w:r w:rsidR="00FA433F">
        <w:rPr>
          <w:noProof/>
        </w:rPr>
        <w:t> </w:t>
      </w:r>
      <w:r w:rsidR="00FA433F" w:rsidRPr="00FA433F">
        <w:rPr>
          <w:noProof/>
        </w:rPr>
        <w:t>pro</w:t>
      </w:r>
      <w:r w:rsidRPr="00FA433F">
        <w:rPr>
          <w:noProof/>
        </w:rPr>
        <w:t>cedury przyznawania wsparcia. Wskazano</w:t>
      </w:r>
      <w:r w:rsidR="00FA433F" w:rsidRPr="00FA433F">
        <w:rPr>
          <w:noProof/>
        </w:rPr>
        <w:t xml:space="preserve"> w</w:t>
      </w:r>
      <w:r w:rsidR="00FA433F">
        <w:rPr>
          <w:noProof/>
        </w:rPr>
        <w:t> </w:t>
      </w:r>
      <w:r w:rsidR="00FA433F" w:rsidRPr="00FA433F">
        <w:rPr>
          <w:noProof/>
        </w:rPr>
        <w:t>nic</w:t>
      </w:r>
      <w:r w:rsidR="00BA0202" w:rsidRPr="00FA433F">
        <w:rPr>
          <w:noProof/>
        </w:rPr>
        <w:t>h</w:t>
      </w:r>
      <w:r w:rsidRPr="00FA433F">
        <w:rPr>
          <w:noProof/>
        </w:rPr>
        <w:t xml:space="preserve"> również obowiązki</w:t>
      </w:r>
      <w:r w:rsidR="00FA433F" w:rsidRPr="00FA433F">
        <w:rPr>
          <w:noProof/>
        </w:rPr>
        <w:t xml:space="preserve"> i</w:t>
      </w:r>
      <w:r w:rsidR="00FA433F">
        <w:rPr>
          <w:noProof/>
        </w:rPr>
        <w:t> </w:t>
      </w:r>
      <w:r w:rsidR="00FA433F" w:rsidRPr="00FA433F">
        <w:rPr>
          <w:noProof/>
        </w:rPr>
        <w:t>zas</w:t>
      </w:r>
      <w:r w:rsidRPr="00FA433F">
        <w:rPr>
          <w:noProof/>
        </w:rPr>
        <w:t>ady, które mają być stosowane przez właściwe organy krajowe przy rozpatrywaniu wniosków,</w:t>
      </w:r>
      <w:r w:rsidR="00FA433F" w:rsidRPr="00FA433F">
        <w:rPr>
          <w:noProof/>
        </w:rPr>
        <w:t xml:space="preserve"> w</w:t>
      </w:r>
      <w:r w:rsidR="00FA433F">
        <w:rPr>
          <w:noProof/>
        </w:rPr>
        <w:t> </w:t>
      </w:r>
      <w:r w:rsidR="00FA433F" w:rsidRPr="00FA433F">
        <w:rPr>
          <w:noProof/>
        </w:rPr>
        <w:t>tym</w:t>
      </w:r>
      <w:r w:rsidRPr="00FA433F">
        <w:rPr>
          <w:noProof/>
        </w:rPr>
        <w:t xml:space="preserve"> sposób obliczania wsparcia dla każdego beneficjenta końcowego. </w:t>
      </w:r>
    </w:p>
    <w:p w14:paraId="004B9A89" w14:textId="7EA35C0C" w:rsidR="00CB5258" w:rsidRPr="00FA433F" w:rsidRDefault="00CB5258" w:rsidP="00CB5258">
      <w:pPr>
        <w:pBdr>
          <w:top w:val="nil"/>
          <w:left w:val="nil"/>
          <w:bottom w:val="nil"/>
          <w:right w:val="nil"/>
          <w:between w:val="nil"/>
          <w:bar w:val="nil"/>
        </w:pBdr>
        <w:spacing w:before="0" w:after="240"/>
        <w:rPr>
          <w:noProof/>
        </w:rPr>
      </w:pPr>
      <w:r w:rsidRPr="00FA433F">
        <w:rPr>
          <w:noProof/>
        </w:rPr>
        <w:t>W art.</w:t>
      </w:r>
      <w:r w:rsidR="00FA433F" w:rsidRPr="00FA433F">
        <w:rPr>
          <w:noProof/>
        </w:rPr>
        <w:t> </w:t>
      </w:r>
      <w:r w:rsidRPr="00FA433F">
        <w:rPr>
          <w:noProof/>
        </w:rPr>
        <w:t>10</w:t>
      </w:r>
      <w:r w:rsidR="00FA433F" w:rsidRPr="00FA433F">
        <w:rPr>
          <w:noProof/>
        </w:rPr>
        <w:t xml:space="preserve"> i</w:t>
      </w:r>
      <w:r w:rsidR="00FA433F">
        <w:rPr>
          <w:noProof/>
        </w:rPr>
        <w:t> </w:t>
      </w:r>
      <w:r w:rsidR="00FA433F" w:rsidRPr="00FA433F">
        <w:rPr>
          <w:noProof/>
        </w:rPr>
        <w:t>1</w:t>
      </w:r>
      <w:r w:rsidRPr="00FA433F">
        <w:rPr>
          <w:noProof/>
        </w:rPr>
        <w:t>1 określono obowiązki</w:t>
      </w:r>
      <w:r w:rsidR="00FA433F" w:rsidRPr="00FA433F">
        <w:rPr>
          <w:noProof/>
        </w:rPr>
        <w:t xml:space="preserve"> i</w:t>
      </w:r>
      <w:r w:rsidR="00FA433F">
        <w:rPr>
          <w:noProof/>
        </w:rPr>
        <w:t> </w:t>
      </w:r>
      <w:r w:rsidR="00FA433F" w:rsidRPr="00FA433F">
        <w:rPr>
          <w:noProof/>
        </w:rPr>
        <w:t>zas</w:t>
      </w:r>
      <w:r w:rsidRPr="00FA433F">
        <w:rPr>
          <w:noProof/>
        </w:rPr>
        <w:t>ady, które Komisja ma stosować przy przeglądzie informacji</w:t>
      </w:r>
      <w:r w:rsidR="00FA433F" w:rsidRPr="00FA433F">
        <w:rPr>
          <w:noProof/>
        </w:rPr>
        <w:t xml:space="preserve"> i</w:t>
      </w:r>
      <w:r w:rsidR="00FA433F">
        <w:rPr>
          <w:noProof/>
        </w:rPr>
        <w:t> </w:t>
      </w:r>
      <w:r w:rsidR="00FA433F" w:rsidRPr="00FA433F">
        <w:rPr>
          <w:noProof/>
        </w:rPr>
        <w:t>obl</w:t>
      </w:r>
      <w:r w:rsidRPr="00FA433F">
        <w:rPr>
          <w:noProof/>
        </w:rPr>
        <w:t>iczeń przekazywanych przez właściwe organy krajowe,</w:t>
      </w:r>
      <w:r w:rsidR="00FA433F" w:rsidRPr="00FA433F">
        <w:rPr>
          <w:noProof/>
        </w:rPr>
        <w:t xml:space="preserve"> w</w:t>
      </w:r>
      <w:r w:rsidR="00FA433F">
        <w:rPr>
          <w:noProof/>
        </w:rPr>
        <w:t> </w:t>
      </w:r>
      <w:r w:rsidR="00FA433F" w:rsidRPr="00FA433F">
        <w:rPr>
          <w:noProof/>
        </w:rPr>
        <w:t>tym w</w:t>
      </w:r>
      <w:r w:rsidR="00FA433F">
        <w:rPr>
          <w:noProof/>
        </w:rPr>
        <w:t> </w:t>
      </w:r>
      <w:r w:rsidR="00FA433F" w:rsidRPr="00FA433F">
        <w:rPr>
          <w:noProof/>
        </w:rPr>
        <w:t>odn</w:t>
      </w:r>
      <w:r w:rsidRPr="00FA433F">
        <w:rPr>
          <w:noProof/>
        </w:rPr>
        <w:t>iesieniu do decyzji</w:t>
      </w:r>
      <w:r w:rsidR="00FA433F" w:rsidRPr="00FA433F">
        <w:rPr>
          <w:noProof/>
        </w:rPr>
        <w:t xml:space="preserve"> o</w:t>
      </w:r>
      <w:r w:rsidR="00FA433F">
        <w:rPr>
          <w:noProof/>
        </w:rPr>
        <w:t> </w:t>
      </w:r>
      <w:r w:rsidR="00FA433F" w:rsidRPr="00FA433F">
        <w:rPr>
          <w:noProof/>
        </w:rPr>
        <w:t>wyp</w:t>
      </w:r>
      <w:r w:rsidRPr="00FA433F">
        <w:rPr>
          <w:noProof/>
        </w:rPr>
        <w:t xml:space="preserve">łacie wsparcia. </w:t>
      </w:r>
    </w:p>
    <w:p w14:paraId="6F7421EE" w14:textId="044FF671" w:rsidR="00CB5258" w:rsidRPr="00FA433F" w:rsidRDefault="00CB5258" w:rsidP="00CB5258">
      <w:pPr>
        <w:pBdr>
          <w:top w:val="nil"/>
          <w:left w:val="nil"/>
          <w:bottom w:val="nil"/>
          <w:right w:val="nil"/>
          <w:between w:val="nil"/>
          <w:bar w:val="nil"/>
        </w:pBdr>
        <w:spacing w:before="0" w:after="240"/>
        <w:rPr>
          <w:noProof/>
        </w:rPr>
      </w:pPr>
      <w:r w:rsidRPr="00FA433F">
        <w:rPr>
          <w:noProof/>
        </w:rPr>
        <w:t>Art. 12 zapewnia, by fundusz podlegał zabezpieczeniom określonym</w:t>
      </w:r>
      <w:r w:rsidR="00FA433F" w:rsidRPr="00FA433F">
        <w:rPr>
          <w:noProof/>
        </w:rPr>
        <w:t xml:space="preserve"> w</w:t>
      </w:r>
      <w:r w:rsidR="00FA433F">
        <w:rPr>
          <w:noProof/>
        </w:rPr>
        <w:t> </w:t>
      </w:r>
      <w:r w:rsidR="00FA433F" w:rsidRPr="00FA433F">
        <w:rPr>
          <w:noProof/>
        </w:rPr>
        <w:t>roz</w:t>
      </w:r>
      <w:r w:rsidRPr="00FA433F">
        <w:rPr>
          <w:noProof/>
        </w:rPr>
        <w:t>porządzeniu finansowym. Zawiera potwierdzenie kompetencji Komisji, OLAF-u, Trybunału Obrachunkowego oraz,</w:t>
      </w:r>
      <w:r w:rsidR="00FA433F" w:rsidRPr="00FA433F">
        <w:rPr>
          <w:noProof/>
        </w:rPr>
        <w:t xml:space="preserve"> w</w:t>
      </w:r>
      <w:r w:rsidR="00FA433F">
        <w:rPr>
          <w:noProof/>
        </w:rPr>
        <w:t> </w:t>
      </w:r>
      <w:r w:rsidR="00FA433F" w:rsidRPr="00FA433F">
        <w:rPr>
          <w:noProof/>
        </w:rPr>
        <w:t>sto</w:t>
      </w:r>
      <w:r w:rsidRPr="00FA433F">
        <w:rPr>
          <w:noProof/>
        </w:rPr>
        <w:t>sownych przypadkach, EPPO</w:t>
      </w:r>
      <w:r w:rsidR="00FA433F" w:rsidRPr="00FA433F">
        <w:rPr>
          <w:noProof/>
        </w:rPr>
        <w:t xml:space="preserve"> w</w:t>
      </w:r>
      <w:r w:rsidR="00FA433F">
        <w:rPr>
          <w:noProof/>
        </w:rPr>
        <w:t> </w:t>
      </w:r>
      <w:r w:rsidR="00FA433F" w:rsidRPr="00FA433F">
        <w:rPr>
          <w:noProof/>
        </w:rPr>
        <w:t>zak</w:t>
      </w:r>
      <w:r w:rsidRPr="00FA433F">
        <w:rPr>
          <w:noProof/>
        </w:rPr>
        <w:t>resie prowadzenia audytów</w:t>
      </w:r>
      <w:r w:rsidR="00FA433F" w:rsidRPr="00FA433F">
        <w:rPr>
          <w:noProof/>
        </w:rPr>
        <w:t xml:space="preserve"> i</w:t>
      </w:r>
      <w:r w:rsidR="00FA433F">
        <w:rPr>
          <w:noProof/>
        </w:rPr>
        <w:t> </w:t>
      </w:r>
      <w:r w:rsidR="00FA433F" w:rsidRPr="00FA433F">
        <w:rPr>
          <w:noProof/>
        </w:rPr>
        <w:t>doc</w:t>
      </w:r>
      <w:r w:rsidRPr="00FA433F">
        <w:rPr>
          <w:noProof/>
        </w:rPr>
        <w:t>hodzeń lub postępowań przygotowawczych oraz wnoszenia</w:t>
      </w:r>
      <w:r w:rsidR="00FA433F" w:rsidRPr="00FA433F">
        <w:rPr>
          <w:noProof/>
        </w:rPr>
        <w:t xml:space="preserve"> i</w:t>
      </w:r>
      <w:r w:rsidR="00FA433F">
        <w:rPr>
          <w:noProof/>
        </w:rPr>
        <w:t> </w:t>
      </w:r>
      <w:r w:rsidR="00FA433F" w:rsidRPr="00FA433F">
        <w:rPr>
          <w:noProof/>
        </w:rPr>
        <w:t>pop</w:t>
      </w:r>
      <w:r w:rsidRPr="00FA433F">
        <w:rPr>
          <w:noProof/>
        </w:rPr>
        <w:t>ierania oskarżeń.</w:t>
      </w:r>
    </w:p>
    <w:p w14:paraId="55468F16" w14:textId="0B839B54" w:rsidR="00CB5258" w:rsidRPr="00FA433F" w:rsidRDefault="00CB5258" w:rsidP="00CB5258">
      <w:pPr>
        <w:pBdr>
          <w:top w:val="nil"/>
          <w:left w:val="nil"/>
          <w:bottom w:val="nil"/>
          <w:right w:val="nil"/>
          <w:between w:val="nil"/>
          <w:bar w:val="nil"/>
        </w:pBdr>
        <w:spacing w:before="0" w:after="240"/>
        <w:rPr>
          <w:noProof/>
        </w:rPr>
      </w:pPr>
      <w:r w:rsidRPr="00FA433F">
        <w:rPr>
          <w:noProof/>
        </w:rPr>
        <w:t>W art.</w:t>
      </w:r>
      <w:r w:rsidR="00FA433F" w:rsidRPr="00FA433F">
        <w:rPr>
          <w:noProof/>
        </w:rPr>
        <w:t> </w:t>
      </w:r>
      <w:r w:rsidRPr="00FA433F">
        <w:rPr>
          <w:noProof/>
        </w:rPr>
        <w:t xml:space="preserve">13 określono zasady, które mają być stosowane przez beneficjentów wsparcia. </w:t>
      </w:r>
    </w:p>
    <w:p w14:paraId="0EEC2F50" w14:textId="70B35B24" w:rsidR="00CB5258" w:rsidRPr="00FA433F" w:rsidRDefault="00CB5258" w:rsidP="00CB5258">
      <w:pPr>
        <w:pBdr>
          <w:top w:val="nil"/>
          <w:left w:val="nil"/>
          <w:bottom w:val="nil"/>
          <w:right w:val="nil"/>
          <w:between w:val="nil"/>
          <w:bar w:val="nil"/>
        </w:pBdr>
        <w:spacing w:before="0" w:after="240"/>
        <w:rPr>
          <w:noProof/>
        </w:rPr>
      </w:pPr>
      <w:r w:rsidRPr="00FA433F">
        <w:rPr>
          <w:noProof/>
        </w:rPr>
        <w:t>W art.</w:t>
      </w:r>
      <w:r w:rsidR="00FA433F" w:rsidRPr="00FA433F">
        <w:rPr>
          <w:noProof/>
        </w:rPr>
        <w:t> </w:t>
      </w:r>
      <w:r w:rsidRPr="00FA433F">
        <w:rPr>
          <w:noProof/>
        </w:rPr>
        <w:t>14 uprawniono Komisję do przyjmowania aktów delegowanych</w:t>
      </w:r>
      <w:r w:rsidR="00FA433F" w:rsidRPr="00FA433F">
        <w:rPr>
          <w:noProof/>
        </w:rPr>
        <w:t xml:space="preserve"> w</w:t>
      </w:r>
      <w:r w:rsidR="00FA433F">
        <w:rPr>
          <w:noProof/>
        </w:rPr>
        <w:t> </w:t>
      </w:r>
      <w:r w:rsidR="00FA433F" w:rsidRPr="00FA433F">
        <w:rPr>
          <w:noProof/>
        </w:rPr>
        <w:t>cel</w:t>
      </w:r>
      <w:r w:rsidRPr="00FA433F">
        <w:rPr>
          <w:noProof/>
        </w:rPr>
        <w:t>u uzupełnienia lub zmiany innych niż istotne elementów rozporządzenia,</w:t>
      </w:r>
      <w:r w:rsidR="00FA433F" w:rsidRPr="00FA433F">
        <w:rPr>
          <w:noProof/>
        </w:rPr>
        <w:t xml:space="preserve"> w</w:t>
      </w:r>
      <w:r w:rsidR="00FA433F">
        <w:rPr>
          <w:noProof/>
        </w:rPr>
        <w:t> </w:t>
      </w:r>
      <w:r w:rsidR="00FA433F" w:rsidRPr="00FA433F">
        <w:rPr>
          <w:noProof/>
        </w:rPr>
        <w:t>szc</w:t>
      </w:r>
      <w:r w:rsidRPr="00FA433F">
        <w:rPr>
          <w:noProof/>
        </w:rPr>
        <w:t>zególności</w:t>
      </w:r>
      <w:r w:rsidR="00FA433F" w:rsidRPr="00FA433F">
        <w:rPr>
          <w:noProof/>
        </w:rPr>
        <w:t xml:space="preserve"> w</w:t>
      </w:r>
      <w:r w:rsidR="00FA433F">
        <w:rPr>
          <w:noProof/>
        </w:rPr>
        <w:t> </w:t>
      </w:r>
      <w:r w:rsidR="00FA433F" w:rsidRPr="00FA433F">
        <w:rPr>
          <w:noProof/>
        </w:rPr>
        <w:t>odn</w:t>
      </w:r>
      <w:r w:rsidRPr="00FA433F">
        <w:rPr>
          <w:noProof/>
        </w:rPr>
        <w:t>iesieniu do szczegółowych zasad kwalifikowalności, metod technicznych oraz wymogów dotyczących monitorowania</w:t>
      </w:r>
      <w:r w:rsidR="00FA433F" w:rsidRPr="00FA433F">
        <w:rPr>
          <w:noProof/>
        </w:rPr>
        <w:t xml:space="preserve"> i</w:t>
      </w:r>
      <w:r w:rsidR="00FA433F">
        <w:rPr>
          <w:noProof/>
        </w:rPr>
        <w:t> </w:t>
      </w:r>
      <w:r w:rsidR="00FA433F" w:rsidRPr="00FA433F">
        <w:rPr>
          <w:noProof/>
        </w:rPr>
        <w:t>wer</w:t>
      </w:r>
      <w:r w:rsidRPr="00FA433F">
        <w:rPr>
          <w:noProof/>
        </w:rPr>
        <w:t>yfikacji, zgodnie</w:t>
      </w:r>
      <w:r w:rsidR="00FA433F" w:rsidRPr="00FA433F">
        <w:rPr>
          <w:noProof/>
        </w:rPr>
        <w:t xml:space="preserve"> z</w:t>
      </w:r>
      <w:r w:rsidR="00FA433F">
        <w:rPr>
          <w:noProof/>
        </w:rPr>
        <w:t> </w:t>
      </w:r>
      <w:r w:rsidR="00FA433F" w:rsidRPr="00FA433F">
        <w:rPr>
          <w:noProof/>
        </w:rPr>
        <w:t>art</w:t>
      </w:r>
      <w:r w:rsidRPr="00FA433F">
        <w:rPr>
          <w:noProof/>
        </w:rPr>
        <w:t>. 290 TFUE.</w:t>
      </w:r>
    </w:p>
    <w:p w14:paraId="15DFCE42" w14:textId="45FF0C53" w:rsidR="00CB5258" w:rsidRPr="00FA433F" w:rsidRDefault="00CB5258" w:rsidP="00CB5258">
      <w:pPr>
        <w:pBdr>
          <w:top w:val="nil"/>
          <w:left w:val="nil"/>
          <w:bottom w:val="nil"/>
          <w:right w:val="nil"/>
          <w:between w:val="nil"/>
          <w:bar w:val="nil"/>
        </w:pBdr>
        <w:spacing w:before="0" w:after="240"/>
        <w:rPr>
          <w:noProof/>
        </w:rPr>
      </w:pPr>
      <w:r w:rsidRPr="00FA433F">
        <w:rPr>
          <w:noProof/>
        </w:rPr>
        <w:t>W art.</w:t>
      </w:r>
      <w:r w:rsidR="00FA433F" w:rsidRPr="00FA433F">
        <w:rPr>
          <w:noProof/>
        </w:rPr>
        <w:t> </w:t>
      </w:r>
      <w:r w:rsidRPr="00FA433F">
        <w:rPr>
          <w:noProof/>
        </w:rPr>
        <w:t>15 uprawniono Komisję do przyjmowania aktów wykonawczych zgodnie</w:t>
      </w:r>
      <w:r w:rsidR="00FA433F" w:rsidRPr="00FA433F">
        <w:rPr>
          <w:noProof/>
        </w:rPr>
        <w:t xml:space="preserve"> z</w:t>
      </w:r>
      <w:r w:rsidR="00FA433F">
        <w:rPr>
          <w:noProof/>
        </w:rPr>
        <w:t> </w:t>
      </w:r>
      <w:r w:rsidR="00FA433F" w:rsidRPr="00FA433F">
        <w:rPr>
          <w:noProof/>
        </w:rPr>
        <w:t>roz</w:t>
      </w:r>
      <w:r w:rsidRPr="00FA433F">
        <w:rPr>
          <w:noProof/>
        </w:rPr>
        <w:t>porządzeniem (UE) nr 182/2011. Akty te określą szczegółowe przepisy dotyczące wdrażania funduszu</w:t>
      </w:r>
      <w:r w:rsidR="00FA433F" w:rsidRPr="00FA433F">
        <w:rPr>
          <w:noProof/>
        </w:rPr>
        <w:t xml:space="preserve"> i</w:t>
      </w:r>
      <w:r w:rsidR="00FA433F">
        <w:rPr>
          <w:noProof/>
        </w:rPr>
        <w:t> </w:t>
      </w:r>
      <w:r w:rsidR="00FA433F" w:rsidRPr="00FA433F">
        <w:rPr>
          <w:noProof/>
        </w:rPr>
        <w:t>zar</w:t>
      </w:r>
      <w:r w:rsidRPr="00FA433F">
        <w:rPr>
          <w:noProof/>
        </w:rPr>
        <w:t>ządzania nim, oceny, monitorowania, sprawozdawczości</w:t>
      </w:r>
      <w:r w:rsidR="00FA433F" w:rsidRPr="00FA433F">
        <w:rPr>
          <w:noProof/>
        </w:rPr>
        <w:t xml:space="preserve"> i</w:t>
      </w:r>
      <w:r w:rsidR="00FA433F">
        <w:rPr>
          <w:noProof/>
        </w:rPr>
        <w:t> </w:t>
      </w:r>
      <w:r w:rsidR="00FA433F" w:rsidRPr="00FA433F">
        <w:rPr>
          <w:noProof/>
        </w:rPr>
        <w:t>kon</w:t>
      </w:r>
      <w:r w:rsidRPr="00FA433F">
        <w:rPr>
          <w:noProof/>
        </w:rPr>
        <w:t>troli.</w:t>
      </w:r>
    </w:p>
    <w:p w14:paraId="45F86450" w14:textId="1A6AAA0F" w:rsidR="008A4C15" w:rsidRPr="00FA433F" w:rsidRDefault="00CB5258" w:rsidP="00CB5258">
      <w:pPr>
        <w:pBdr>
          <w:top w:val="nil"/>
          <w:left w:val="nil"/>
          <w:bottom w:val="nil"/>
          <w:right w:val="nil"/>
          <w:between w:val="nil"/>
          <w:bar w:val="nil"/>
        </w:pBdr>
        <w:spacing w:before="0" w:after="240"/>
        <w:rPr>
          <w:noProof/>
        </w:rPr>
      </w:pPr>
      <w:r w:rsidRPr="00FA433F">
        <w:rPr>
          <w:noProof/>
        </w:rPr>
        <w:t>W art.</w:t>
      </w:r>
      <w:r w:rsidR="00FA433F" w:rsidRPr="00FA433F">
        <w:rPr>
          <w:noProof/>
        </w:rPr>
        <w:t> </w:t>
      </w:r>
      <w:r w:rsidRPr="00FA433F">
        <w:rPr>
          <w:noProof/>
        </w:rPr>
        <w:t>16 określono datę wejścia</w:t>
      </w:r>
      <w:r w:rsidR="00FA433F" w:rsidRPr="00FA433F">
        <w:rPr>
          <w:noProof/>
        </w:rPr>
        <w:t xml:space="preserve"> w</w:t>
      </w:r>
      <w:r w:rsidR="00FA433F">
        <w:rPr>
          <w:noProof/>
        </w:rPr>
        <w:t> </w:t>
      </w:r>
      <w:r w:rsidR="00FA433F" w:rsidRPr="00FA433F">
        <w:rPr>
          <w:noProof/>
        </w:rPr>
        <w:t>życ</w:t>
      </w:r>
      <w:r w:rsidRPr="00FA433F">
        <w:rPr>
          <w:noProof/>
        </w:rPr>
        <w:t>ie</w:t>
      </w:r>
      <w:r w:rsidR="00FA433F" w:rsidRPr="00FA433F">
        <w:rPr>
          <w:noProof/>
        </w:rPr>
        <w:t xml:space="preserve"> i</w:t>
      </w:r>
      <w:r w:rsidR="00FA433F">
        <w:rPr>
          <w:noProof/>
        </w:rPr>
        <w:t> </w:t>
      </w:r>
      <w:r w:rsidR="00FA433F" w:rsidRPr="00FA433F">
        <w:rPr>
          <w:noProof/>
        </w:rPr>
        <w:t>dat</w:t>
      </w:r>
      <w:r w:rsidRPr="00FA433F">
        <w:rPr>
          <w:noProof/>
        </w:rPr>
        <w:t>ę rozpoczęcia stosowania przepisów.</w:t>
      </w:r>
    </w:p>
    <w:p w14:paraId="652D1C97" w14:textId="77777777" w:rsidR="008A4C15" w:rsidRPr="00FA433F" w:rsidRDefault="008A4C15">
      <w:pPr>
        <w:rPr>
          <w:noProof/>
        </w:rPr>
        <w:sectPr w:rsidR="008A4C15" w:rsidRPr="00FA433F" w:rsidSect="007E5C27">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14:paraId="711D2AAF" w14:textId="02619A97" w:rsidR="00214E77" w:rsidRPr="00FA433F" w:rsidRDefault="00C003A7" w:rsidP="00C003A7">
      <w:pPr>
        <w:pStyle w:val="Rfrenceinterinstitutionnelle"/>
        <w:rPr>
          <w:noProof/>
        </w:rPr>
      </w:pPr>
      <w:r>
        <w:rPr>
          <w:noProof/>
        </w:rPr>
        <w:lastRenderedPageBreak/>
        <w:t>2025/0418 (COD)</w:t>
      </w:r>
    </w:p>
    <w:p w14:paraId="0EAEAA4B" w14:textId="07C9876C" w:rsidR="008A4C15" w:rsidRPr="00FA433F" w:rsidRDefault="00C003A7" w:rsidP="00C003A7">
      <w:pPr>
        <w:pStyle w:val="Statut"/>
        <w:rPr>
          <w:noProof/>
        </w:rPr>
      </w:pPr>
      <w:r w:rsidRPr="00C003A7">
        <w:rPr>
          <w:noProof/>
        </w:rPr>
        <w:t>Wniosek</w:t>
      </w:r>
    </w:p>
    <w:p w14:paraId="5DC7C620" w14:textId="5ADF0A65" w:rsidR="008A4C15" w:rsidRPr="00FA433F" w:rsidRDefault="00C003A7" w:rsidP="00C003A7">
      <w:pPr>
        <w:pStyle w:val="Typedudocument"/>
        <w:rPr>
          <w:noProof/>
        </w:rPr>
      </w:pPr>
      <w:r w:rsidRPr="00C003A7">
        <w:rPr>
          <w:noProof/>
        </w:rPr>
        <w:t>ROZPORZĄDZENIE PARLAMENTU EUROPEJSKIEGO I RADY</w:t>
      </w:r>
    </w:p>
    <w:p w14:paraId="5408B362" w14:textId="16B00803" w:rsidR="008A4C15" w:rsidRPr="00FA433F" w:rsidRDefault="00C003A7" w:rsidP="00C003A7">
      <w:pPr>
        <w:pStyle w:val="Titreobjet"/>
        <w:rPr>
          <w:noProof/>
        </w:rPr>
      </w:pPr>
      <w:r w:rsidRPr="00C003A7">
        <w:rPr>
          <w:noProof/>
        </w:rPr>
        <w:t>ustanawiające Tymczasowy Fundusz Dekarbonizacji</w:t>
      </w:r>
    </w:p>
    <w:p w14:paraId="6CD696CF" w14:textId="1F91EF06" w:rsidR="008A4C15" w:rsidRPr="00FA433F" w:rsidRDefault="00C003A7" w:rsidP="00C003A7">
      <w:pPr>
        <w:pStyle w:val="IntrtEEE"/>
        <w:rPr>
          <w:noProof/>
        </w:rPr>
      </w:pPr>
      <w:r w:rsidRPr="00C003A7">
        <w:rPr>
          <w:noProof/>
        </w:rPr>
        <w:t>(Tekst mający znaczenie dla EOG)</w:t>
      </w:r>
    </w:p>
    <w:p w14:paraId="7F6465BA" w14:textId="77777777" w:rsidR="008A4C15" w:rsidRPr="00FA433F" w:rsidRDefault="008A4C15">
      <w:pPr>
        <w:pStyle w:val="Institutionquiagit"/>
        <w:rPr>
          <w:noProof/>
        </w:rPr>
      </w:pPr>
      <w:r w:rsidRPr="00FA433F">
        <w:rPr>
          <w:noProof/>
        </w:rPr>
        <w:t>PARLAMENT EUROPEJSKI I RADA UNII EUROPEJSKIEJ,</w:t>
      </w:r>
    </w:p>
    <w:p w14:paraId="499F8B61" w14:textId="46A725BE" w:rsidR="008A4C15" w:rsidRPr="00FA433F" w:rsidRDefault="008A4C15">
      <w:pPr>
        <w:rPr>
          <w:noProof/>
        </w:rPr>
      </w:pPr>
      <w:r w:rsidRPr="00FA433F">
        <w:rPr>
          <w:noProof/>
        </w:rPr>
        <w:t>uwzględniając Traktat</w:t>
      </w:r>
      <w:r w:rsidR="00FA433F" w:rsidRPr="00FA433F">
        <w:rPr>
          <w:noProof/>
        </w:rPr>
        <w:t xml:space="preserve"> o</w:t>
      </w:r>
      <w:r w:rsidR="00FA433F">
        <w:rPr>
          <w:noProof/>
        </w:rPr>
        <w:t> </w:t>
      </w:r>
      <w:r w:rsidR="00FA433F" w:rsidRPr="00FA433F">
        <w:rPr>
          <w:noProof/>
        </w:rPr>
        <w:t>fun</w:t>
      </w:r>
      <w:r w:rsidRPr="00FA433F">
        <w:rPr>
          <w:noProof/>
        </w:rPr>
        <w:t>kcjonowaniu Unii Europejskiej,</w:t>
      </w:r>
      <w:r w:rsidR="00FA433F" w:rsidRPr="00FA433F">
        <w:rPr>
          <w:noProof/>
        </w:rPr>
        <w:t xml:space="preserve"> w</w:t>
      </w:r>
      <w:r w:rsidR="00FA433F">
        <w:rPr>
          <w:noProof/>
        </w:rPr>
        <w:t> </w:t>
      </w:r>
      <w:r w:rsidR="00FA433F" w:rsidRPr="00FA433F">
        <w:rPr>
          <w:noProof/>
        </w:rPr>
        <w:t>szc</w:t>
      </w:r>
      <w:r w:rsidRPr="00FA433F">
        <w:rPr>
          <w:noProof/>
        </w:rPr>
        <w:t>zególności jego art.</w:t>
      </w:r>
      <w:r w:rsidR="00FA433F" w:rsidRPr="00FA433F">
        <w:rPr>
          <w:noProof/>
        </w:rPr>
        <w:t> </w:t>
      </w:r>
      <w:r w:rsidRPr="00FA433F">
        <w:rPr>
          <w:noProof/>
        </w:rPr>
        <w:t>192 ust.</w:t>
      </w:r>
      <w:r w:rsidR="00FA433F" w:rsidRPr="00FA433F">
        <w:rPr>
          <w:noProof/>
        </w:rPr>
        <w:t> </w:t>
      </w:r>
      <w:r w:rsidRPr="00FA433F">
        <w:rPr>
          <w:noProof/>
        </w:rPr>
        <w:t>1</w:t>
      </w:r>
      <w:r w:rsidR="00FA433F" w:rsidRPr="00FA433F">
        <w:rPr>
          <w:noProof/>
        </w:rPr>
        <w:t xml:space="preserve"> i</w:t>
      </w:r>
      <w:r w:rsidR="00FA433F">
        <w:rPr>
          <w:noProof/>
        </w:rPr>
        <w:t> </w:t>
      </w:r>
      <w:r w:rsidR="00FA433F" w:rsidRPr="00FA433F">
        <w:rPr>
          <w:noProof/>
        </w:rPr>
        <w:t>art</w:t>
      </w:r>
      <w:r w:rsidRPr="00FA433F">
        <w:rPr>
          <w:noProof/>
        </w:rPr>
        <w:t>.</w:t>
      </w:r>
      <w:r w:rsidR="00FA433F" w:rsidRPr="00FA433F">
        <w:rPr>
          <w:noProof/>
        </w:rPr>
        <w:t> </w:t>
      </w:r>
      <w:r w:rsidRPr="00FA433F">
        <w:rPr>
          <w:noProof/>
        </w:rPr>
        <w:t>322 ust.</w:t>
      </w:r>
      <w:r w:rsidR="00FA433F" w:rsidRPr="00FA433F">
        <w:rPr>
          <w:noProof/>
        </w:rPr>
        <w:t> </w:t>
      </w:r>
      <w:r w:rsidRPr="00FA433F">
        <w:rPr>
          <w:noProof/>
        </w:rPr>
        <w:t>1 lit.</w:t>
      </w:r>
      <w:r w:rsidR="00FA433F" w:rsidRPr="00FA433F">
        <w:rPr>
          <w:noProof/>
        </w:rPr>
        <w:t> </w:t>
      </w:r>
      <w:r w:rsidRPr="00FA433F">
        <w:rPr>
          <w:noProof/>
        </w:rPr>
        <w:t>a),</w:t>
      </w:r>
    </w:p>
    <w:p w14:paraId="08B2D6FE" w14:textId="77777777" w:rsidR="008A4C15" w:rsidRPr="00FA433F" w:rsidRDefault="008A4C15">
      <w:pPr>
        <w:rPr>
          <w:noProof/>
        </w:rPr>
      </w:pPr>
      <w:r w:rsidRPr="00FA433F">
        <w:rPr>
          <w:noProof/>
        </w:rPr>
        <w:t>uwzględniając wniosek Komisji Europejskiej,</w:t>
      </w:r>
    </w:p>
    <w:p w14:paraId="4FEE7E14" w14:textId="77777777" w:rsidR="008A4C15" w:rsidRPr="00FA433F" w:rsidRDefault="008A4C15">
      <w:pPr>
        <w:rPr>
          <w:noProof/>
        </w:rPr>
      </w:pPr>
      <w:r w:rsidRPr="00FA433F">
        <w:rPr>
          <w:noProof/>
        </w:rPr>
        <w:t>po przekazaniu projektu aktu ustawodawczego parlamentom narodowym,</w:t>
      </w:r>
    </w:p>
    <w:p w14:paraId="0B679AC3" w14:textId="77777777" w:rsidR="008A4C15" w:rsidRPr="00FA433F" w:rsidRDefault="008A4C15">
      <w:pPr>
        <w:rPr>
          <w:noProof/>
        </w:rPr>
      </w:pPr>
      <w:r w:rsidRPr="00FA433F">
        <w:rPr>
          <w:noProof/>
        </w:rPr>
        <w:t>uwzględniając opinię Europejskiego Komitetu Ekonomiczno-Społecznego</w:t>
      </w:r>
      <w:r w:rsidRPr="00FA433F">
        <w:rPr>
          <w:rStyle w:val="Odwoanieprzypisudolnego"/>
          <w:noProof/>
        </w:rPr>
        <w:footnoteReference w:id="6"/>
      </w:r>
      <w:r w:rsidRPr="00FA433F">
        <w:rPr>
          <w:noProof/>
        </w:rPr>
        <w:t>,</w:t>
      </w:r>
    </w:p>
    <w:p w14:paraId="20A8E7FC" w14:textId="77777777" w:rsidR="008A4C15" w:rsidRPr="00FA433F" w:rsidRDefault="008A4C15">
      <w:pPr>
        <w:rPr>
          <w:noProof/>
        </w:rPr>
      </w:pPr>
      <w:r w:rsidRPr="00FA433F">
        <w:rPr>
          <w:noProof/>
        </w:rPr>
        <w:t>uwzględniając opinię Komitetu Regionów</w:t>
      </w:r>
      <w:r w:rsidRPr="00FA433F">
        <w:rPr>
          <w:rStyle w:val="Odwoanieprzypisudolnego"/>
          <w:noProof/>
        </w:rPr>
        <w:footnoteReference w:id="7"/>
      </w:r>
      <w:r w:rsidRPr="00FA433F">
        <w:rPr>
          <w:noProof/>
        </w:rPr>
        <w:t>,</w:t>
      </w:r>
    </w:p>
    <w:p w14:paraId="0AD86A6B" w14:textId="77777777" w:rsidR="00741278" w:rsidRPr="00FA433F" w:rsidRDefault="00741278">
      <w:pPr>
        <w:rPr>
          <w:noProof/>
        </w:rPr>
      </w:pPr>
      <w:r w:rsidRPr="00FA433F">
        <w:rPr>
          <w:noProof/>
        </w:rPr>
        <w:t>uwzględniając opinię Trybunału Obrachunkowego,</w:t>
      </w:r>
    </w:p>
    <w:p w14:paraId="2B77435E" w14:textId="77777777" w:rsidR="008A4C15" w:rsidRPr="00FA433F" w:rsidRDefault="008A4C15">
      <w:pPr>
        <w:rPr>
          <w:noProof/>
        </w:rPr>
      </w:pPr>
      <w:r w:rsidRPr="00FA433F">
        <w:rPr>
          <w:noProof/>
        </w:rPr>
        <w:t>stanowiąc zgodnie ze zwykłą procedurą ustawodawczą</w:t>
      </w:r>
      <w:r w:rsidRPr="00FA433F">
        <w:rPr>
          <w:rStyle w:val="Odwoanieprzypisudolnego"/>
          <w:noProof/>
        </w:rPr>
        <w:footnoteReference w:id="8"/>
      </w:r>
      <w:r w:rsidRPr="00FA433F">
        <w:rPr>
          <w:noProof/>
        </w:rPr>
        <w:t>,</w:t>
      </w:r>
    </w:p>
    <w:p w14:paraId="19604557" w14:textId="77777777" w:rsidR="008A4C15" w:rsidRPr="00FA433F" w:rsidRDefault="008A4C15">
      <w:pPr>
        <w:rPr>
          <w:noProof/>
        </w:rPr>
      </w:pPr>
      <w:r w:rsidRPr="00FA433F">
        <w:rPr>
          <w:noProof/>
        </w:rPr>
        <w:t>a także mając na uwadze, co następuje:</w:t>
      </w:r>
    </w:p>
    <w:p w14:paraId="1D50EC6E" w14:textId="051DBA7B" w:rsidR="008A4C15" w:rsidRPr="00FA433F" w:rsidRDefault="00742AD9" w:rsidP="00742AD9">
      <w:pPr>
        <w:pStyle w:val="ManualConsidrant"/>
        <w:rPr>
          <w:noProof/>
        </w:rPr>
      </w:pPr>
      <w:r w:rsidRPr="00FA433F">
        <w:rPr>
          <w:noProof/>
        </w:rPr>
        <w:t>(1)</w:t>
      </w:r>
      <w:r w:rsidRPr="00FA433F">
        <w:rPr>
          <w:noProof/>
        </w:rPr>
        <w:tab/>
        <w:t>Unia zobowiązała się do osiągnięcia neutralności klimatycznej do</w:t>
      </w:r>
      <w:r w:rsidR="00FA433F" w:rsidRPr="00FA433F">
        <w:rPr>
          <w:noProof/>
        </w:rPr>
        <w:t> </w:t>
      </w:r>
      <w:r w:rsidRPr="00FA433F">
        <w:rPr>
          <w:noProof/>
        </w:rPr>
        <w:t>2050 r. oraz redukcji emisji gazów cieplarnianych netto o co najmniej 55 % do</w:t>
      </w:r>
      <w:r w:rsidR="00FA433F" w:rsidRPr="00FA433F">
        <w:rPr>
          <w:noProof/>
        </w:rPr>
        <w:t> </w:t>
      </w:r>
      <w:r w:rsidRPr="00FA433F">
        <w:rPr>
          <w:noProof/>
        </w:rPr>
        <w:t>2030 r., zgodnie</w:t>
      </w:r>
      <w:r w:rsidR="00FA433F" w:rsidRPr="00FA433F">
        <w:rPr>
          <w:noProof/>
        </w:rPr>
        <w:t xml:space="preserve"> z</w:t>
      </w:r>
      <w:r w:rsidR="00FA433F">
        <w:rPr>
          <w:noProof/>
        </w:rPr>
        <w:t> </w:t>
      </w:r>
      <w:r w:rsidR="00FA433F" w:rsidRPr="00FA433F">
        <w:rPr>
          <w:noProof/>
        </w:rPr>
        <w:t>Eur</w:t>
      </w:r>
      <w:r w:rsidRPr="00FA433F">
        <w:rPr>
          <w:noProof/>
        </w:rPr>
        <w:t>opejskim Zielonym Ładem</w:t>
      </w:r>
      <w:r w:rsidRPr="00FA433F">
        <w:rPr>
          <w:rStyle w:val="Odwoanieprzypisudolnego"/>
          <w:noProof/>
        </w:rPr>
        <w:footnoteReference w:id="9"/>
      </w:r>
      <w:r w:rsidR="00FA433F" w:rsidRPr="00FA433F">
        <w:rPr>
          <w:noProof/>
        </w:rPr>
        <w:t xml:space="preserve"> i</w:t>
      </w:r>
      <w:r w:rsidR="00FA433F">
        <w:rPr>
          <w:noProof/>
        </w:rPr>
        <w:t> </w:t>
      </w:r>
      <w:r w:rsidR="00FA433F" w:rsidRPr="00FA433F">
        <w:rPr>
          <w:noProof/>
        </w:rPr>
        <w:t>Eur</w:t>
      </w:r>
      <w:r w:rsidRPr="00FA433F">
        <w:rPr>
          <w:noProof/>
        </w:rPr>
        <w:t>opejskim prawem</w:t>
      </w:r>
      <w:r w:rsidR="00FA433F" w:rsidRPr="00FA433F">
        <w:rPr>
          <w:noProof/>
        </w:rPr>
        <w:t xml:space="preserve"> o</w:t>
      </w:r>
      <w:r w:rsidR="00FA433F">
        <w:rPr>
          <w:noProof/>
        </w:rPr>
        <w:t> </w:t>
      </w:r>
      <w:r w:rsidR="00FA433F" w:rsidRPr="00FA433F">
        <w:rPr>
          <w:noProof/>
        </w:rPr>
        <w:t>kli</w:t>
      </w:r>
      <w:r w:rsidRPr="00FA433F">
        <w:rPr>
          <w:noProof/>
        </w:rPr>
        <w:t>macie</w:t>
      </w:r>
      <w:r w:rsidRPr="00FA433F">
        <w:rPr>
          <w:rStyle w:val="Odwoanieprzypisudolnego"/>
          <w:noProof/>
        </w:rPr>
        <w:footnoteReference w:id="10"/>
      </w:r>
      <w:r w:rsidRPr="00FA433F">
        <w:rPr>
          <w:noProof/>
        </w:rPr>
        <w:t>. W Pakcie dla czystego przemysłu, określonym</w:t>
      </w:r>
      <w:r w:rsidR="00FA433F" w:rsidRPr="00FA433F">
        <w:rPr>
          <w:noProof/>
        </w:rPr>
        <w:t xml:space="preserve"> w</w:t>
      </w:r>
      <w:r w:rsidR="00FA433F">
        <w:rPr>
          <w:noProof/>
        </w:rPr>
        <w:t> </w:t>
      </w:r>
      <w:r w:rsidR="00FA433F" w:rsidRPr="00FA433F">
        <w:rPr>
          <w:noProof/>
        </w:rPr>
        <w:t>kom</w:t>
      </w:r>
      <w:r w:rsidRPr="00FA433F">
        <w:rPr>
          <w:noProof/>
        </w:rPr>
        <w:t>unikacie Komisji</w:t>
      </w:r>
      <w:r w:rsidR="00FA433F" w:rsidRPr="00FA433F">
        <w:rPr>
          <w:noProof/>
        </w:rPr>
        <w:t xml:space="preserve"> z</w:t>
      </w:r>
      <w:r w:rsidR="00FA433F">
        <w:rPr>
          <w:noProof/>
        </w:rPr>
        <w:t> </w:t>
      </w:r>
      <w:r w:rsidR="00FA433F" w:rsidRPr="00FA433F">
        <w:rPr>
          <w:noProof/>
        </w:rPr>
        <w:t>dni</w:t>
      </w:r>
      <w:r w:rsidRPr="00FA433F">
        <w:rPr>
          <w:noProof/>
        </w:rPr>
        <w:t>a 26 lutego 2025 r.</w:t>
      </w:r>
      <w:r w:rsidRPr="00FA433F">
        <w:rPr>
          <w:rStyle w:val="Odwoanieprzypisudolnego"/>
          <w:noProof/>
        </w:rPr>
        <w:footnoteReference w:id="11"/>
      </w:r>
      <w:r w:rsidRPr="00FA433F">
        <w:rPr>
          <w:noProof/>
        </w:rPr>
        <w:t>, podkreślono potrzebę dostosowania konkurencyjności przemysłu do ambitnych celów klimatycznych, przy zapewnieniu, aby przejście na gospodarkę neutralną dla klimatu było zarówno sprawiedliwe, jak</w:t>
      </w:r>
      <w:r w:rsidR="00FA433F" w:rsidRPr="00FA433F">
        <w:rPr>
          <w:noProof/>
        </w:rPr>
        <w:t xml:space="preserve"> i</w:t>
      </w:r>
      <w:r w:rsidR="00FA433F">
        <w:rPr>
          <w:noProof/>
        </w:rPr>
        <w:t> </w:t>
      </w:r>
      <w:r w:rsidR="00FA433F" w:rsidRPr="00FA433F">
        <w:rPr>
          <w:noProof/>
        </w:rPr>
        <w:t>odp</w:t>
      </w:r>
      <w:r w:rsidRPr="00FA433F">
        <w:rPr>
          <w:noProof/>
        </w:rPr>
        <w:t>orne pod względem gospodarczym.</w:t>
      </w:r>
    </w:p>
    <w:p w14:paraId="448AF8EC" w14:textId="1AC7997D" w:rsidR="008A4C15" w:rsidRPr="00FA433F" w:rsidRDefault="00742AD9" w:rsidP="00742AD9">
      <w:pPr>
        <w:pStyle w:val="ManualConsidrant"/>
        <w:rPr>
          <w:noProof/>
        </w:rPr>
      </w:pPr>
      <w:r w:rsidRPr="00FA433F">
        <w:rPr>
          <w:noProof/>
        </w:rPr>
        <w:t>(2)</w:t>
      </w:r>
      <w:r w:rsidRPr="00FA433F">
        <w:rPr>
          <w:noProof/>
        </w:rPr>
        <w:tab/>
        <w:t>Cele środowiskowe Unii określone</w:t>
      </w:r>
      <w:r w:rsidR="00FA433F" w:rsidRPr="00FA433F">
        <w:rPr>
          <w:noProof/>
        </w:rPr>
        <w:t xml:space="preserve"> w</w:t>
      </w:r>
      <w:r w:rsidR="00FA433F">
        <w:rPr>
          <w:noProof/>
        </w:rPr>
        <w:t> </w:t>
      </w:r>
      <w:r w:rsidR="00FA433F" w:rsidRPr="00FA433F">
        <w:rPr>
          <w:noProof/>
        </w:rPr>
        <w:t>art</w:t>
      </w:r>
      <w:r w:rsidRPr="00FA433F">
        <w:rPr>
          <w:noProof/>
        </w:rPr>
        <w:t>. 191 Traktatu obejmują zachowanie</w:t>
      </w:r>
      <w:r w:rsidR="00FA433F" w:rsidRPr="00FA433F">
        <w:rPr>
          <w:noProof/>
        </w:rPr>
        <w:t xml:space="preserve"> i</w:t>
      </w:r>
      <w:r w:rsidR="00FA433F">
        <w:rPr>
          <w:noProof/>
        </w:rPr>
        <w:t> </w:t>
      </w:r>
      <w:r w:rsidR="00FA433F" w:rsidRPr="00FA433F">
        <w:rPr>
          <w:noProof/>
        </w:rPr>
        <w:t>pop</w:t>
      </w:r>
      <w:r w:rsidRPr="00FA433F">
        <w:rPr>
          <w:noProof/>
        </w:rPr>
        <w:t xml:space="preserve">rawę jakości środowiska oraz promowanie na płaszczyźnie międzynarodowej środków mających na celu sprostanie globalnym wyzwaniom środowiskowym. Cele te są realizowane m.in. za pomocą instrumentów ustalania opłat za emisję dwutlenku węgla, takich jak unijny system handlu uprawnieniami do emisji („EU ETS”) ustanowiony </w:t>
      </w:r>
      <w:r w:rsidRPr="00FA433F">
        <w:rPr>
          <w:noProof/>
        </w:rPr>
        <w:lastRenderedPageBreak/>
        <w:t>dyrektywą 2003/87/WE</w:t>
      </w:r>
      <w:r w:rsidRPr="00FA433F">
        <w:rPr>
          <w:rStyle w:val="Odwoanieprzypisudolnego"/>
          <w:noProof/>
        </w:rPr>
        <w:footnoteReference w:id="12"/>
      </w:r>
      <w:r w:rsidR="00FA433F" w:rsidRPr="00FA433F">
        <w:rPr>
          <w:noProof/>
        </w:rPr>
        <w:t>. W</w:t>
      </w:r>
      <w:r w:rsidR="00FA433F">
        <w:rPr>
          <w:noProof/>
        </w:rPr>
        <w:t> </w:t>
      </w:r>
      <w:r w:rsidR="00FA433F" w:rsidRPr="00FA433F">
        <w:rPr>
          <w:noProof/>
        </w:rPr>
        <w:t>prz</w:t>
      </w:r>
      <w:r w:rsidRPr="00FA433F">
        <w:rPr>
          <w:noProof/>
        </w:rPr>
        <w:t>ypadku gdy podejścia międzynarodowych partnerów Unii do polityki klimatycznej są znacznie poniżej poziomu ambicji unijnych, produkcja</w:t>
      </w:r>
      <w:r w:rsidR="00FA433F" w:rsidRPr="00FA433F">
        <w:rPr>
          <w:noProof/>
        </w:rPr>
        <w:t xml:space="preserve"> w</w:t>
      </w:r>
      <w:r w:rsidR="00FA433F">
        <w:rPr>
          <w:noProof/>
        </w:rPr>
        <w:t> </w:t>
      </w:r>
      <w:r w:rsidR="00FA433F" w:rsidRPr="00FA433F">
        <w:rPr>
          <w:noProof/>
        </w:rPr>
        <w:t>pań</w:t>
      </w:r>
      <w:r w:rsidRPr="00FA433F">
        <w:rPr>
          <w:noProof/>
        </w:rPr>
        <w:t>stwach trzecich nie podlega porównywalnym ograniczeniom</w:t>
      </w:r>
      <w:r w:rsidR="00FA433F" w:rsidRPr="00FA433F">
        <w:rPr>
          <w:noProof/>
        </w:rPr>
        <w:t xml:space="preserve"> w</w:t>
      </w:r>
      <w:r w:rsidR="00FA433F">
        <w:rPr>
          <w:noProof/>
        </w:rPr>
        <w:t> </w:t>
      </w:r>
      <w:r w:rsidR="00FA433F" w:rsidRPr="00FA433F">
        <w:rPr>
          <w:noProof/>
        </w:rPr>
        <w:t>zak</w:t>
      </w:r>
      <w:r w:rsidRPr="00FA433F">
        <w:rPr>
          <w:noProof/>
        </w:rPr>
        <w:t>resie emisji dwutlenku węgla. Ta asymetria może zachęcać do przenoszenia produkcji wysokoemisyjnych towarów – zjawiska znanego jako ucieczka emisji – co zagroziłoby osiągnięciu celów</w:t>
      </w:r>
      <w:r w:rsidR="00FA433F" w:rsidRPr="00FA433F">
        <w:rPr>
          <w:noProof/>
        </w:rPr>
        <w:t xml:space="preserve"> w</w:t>
      </w:r>
      <w:r w:rsidR="00FA433F">
        <w:rPr>
          <w:noProof/>
        </w:rPr>
        <w:t> </w:t>
      </w:r>
      <w:r w:rsidR="00FA433F" w:rsidRPr="00FA433F">
        <w:rPr>
          <w:noProof/>
        </w:rPr>
        <w:t>zak</w:t>
      </w:r>
      <w:r w:rsidRPr="00FA433F">
        <w:rPr>
          <w:noProof/>
        </w:rPr>
        <w:t>resie redukcji emisji określonych</w:t>
      </w:r>
      <w:r w:rsidR="00FA433F" w:rsidRPr="00FA433F">
        <w:rPr>
          <w:noProof/>
        </w:rPr>
        <w:t xml:space="preserve"> w</w:t>
      </w:r>
      <w:r w:rsidR="00FA433F">
        <w:rPr>
          <w:noProof/>
        </w:rPr>
        <w:t> </w:t>
      </w:r>
      <w:r w:rsidR="00FA433F" w:rsidRPr="00FA433F">
        <w:rPr>
          <w:noProof/>
        </w:rPr>
        <w:t>dyr</w:t>
      </w:r>
      <w:r w:rsidRPr="00FA433F">
        <w:rPr>
          <w:noProof/>
        </w:rPr>
        <w:t>ektywie 2003/87/WE. Takie przenoszenie może ostatecznie doprowadzić do ogólnego wzrostu globalnych emisji gazów cieplarnianych, zagrażając tym samym integralności środowiskowej</w:t>
      </w:r>
      <w:r w:rsidR="00FA433F" w:rsidRPr="00FA433F">
        <w:rPr>
          <w:noProof/>
        </w:rPr>
        <w:t xml:space="preserve"> i</w:t>
      </w:r>
      <w:r w:rsidR="00FA433F">
        <w:rPr>
          <w:noProof/>
        </w:rPr>
        <w:t> </w:t>
      </w:r>
      <w:r w:rsidR="00FA433F" w:rsidRPr="00FA433F">
        <w:rPr>
          <w:noProof/>
        </w:rPr>
        <w:t>sku</w:t>
      </w:r>
      <w:r w:rsidRPr="00FA433F">
        <w:rPr>
          <w:noProof/>
        </w:rPr>
        <w:t>teczności unijnej polityki klimatycznej.</w:t>
      </w:r>
    </w:p>
    <w:p w14:paraId="227C6215" w14:textId="52E24635" w:rsidR="007E2E0C" w:rsidRPr="00FA433F" w:rsidRDefault="00742AD9" w:rsidP="00742AD9">
      <w:pPr>
        <w:pStyle w:val="ManualConsidrant"/>
        <w:rPr>
          <w:noProof/>
        </w:rPr>
      </w:pPr>
      <w:r w:rsidRPr="00FA433F">
        <w:rPr>
          <w:noProof/>
        </w:rPr>
        <w:t>(3)</w:t>
      </w:r>
      <w:r w:rsidRPr="00FA433F">
        <w:rPr>
          <w:noProof/>
        </w:rPr>
        <w:tab/>
        <w:t>W Pakcie dla czystego przemysłu podkreślono potrzebę wsparcia finansowego, przewidywalności regulacyjnej</w:t>
      </w:r>
      <w:r w:rsidR="00FA433F" w:rsidRPr="00FA433F">
        <w:rPr>
          <w:noProof/>
        </w:rPr>
        <w:t xml:space="preserve"> i</w:t>
      </w:r>
      <w:r w:rsidR="00FA433F">
        <w:rPr>
          <w:noProof/>
        </w:rPr>
        <w:t> </w:t>
      </w:r>
      <w:r w:rsidR="00FA433F" w:rsidRPr="00FA433F">
        <w:rPr>
          <w:noProof/>
        </w:rPr>
        <w:t>inn</w:t>
      </w:r>
      <w:r w:rsidRPr="00FA433F">
        <w:rPr>
          <w:noProof/>
        </w:rPr>
        <w:t>owacji, aby umożliwić energochłonnym gałęziom przemysłu dekarbonizację bez uszczerbku dla ich konkurencyjności, zwłaszcza</w:t>
      </w:r>
      <w:r w:rsidR="00FA433F" w:rsidRPr="00FA433F">
        <w:rPr>
          <w:noProof/>
        </w:rPr>
        <w:t xml:space="preserve"> w</w:t>
      </w:r>
      <w:r w:rsidR="00FA433F">
        <w:rPr>
          <w:noProof/>
        </w:rPr>
        <w:t> </w:t>
      </w:r>
      <w:r w:rsidR="00FA433F" w:rsidRPr="00FA433F">
        <w:rPr>
          <w:noProof/>
        </w:rPr>
        <w:t>sek</w:t>
      </w:r>
      <w:r w:rsidRPr="00FA433F">
        <w:rPr>
          <w:noProof/>
        </w:rPr>
        <w:t>torach narażonych na ryzyko ucieczki emisji. Zapobieganie ucieczce emisji stanowi cel środowiskowy bezpośrednio powiązany ze skutecznością instrumentów redukcji emisji, na których opiera się polityka klimatyczna Unii. Ukierunkowane wsparcie finansowe może pomóc</w:t>
      </w:r>
      <w:r w:rsidR="00FA433F" w:rsidRPr="00FA433F">
        <w:rPr>
          <w:noProof/>
        </w:rPr>
        <w:t xml:space="preserve"> w</w:t>
      </w:r>
      <w:r w:rsidR="00FA433F">
        <w:rPr>
          <w:noProof/>
        </w:rPr>
        <w:t> </w:t>
      </w:r>
      <w:r w:rsidR="00FA433F" w:rsidRPr="00FA433F">
        <w:rPr>
          <w:noProof/>
        </w:rPr>
        <w:t>zap</w:t>
      </w:r>
      <w:r w:rsidRPr="00FA433F">
        <w:rPr>
          <w:noProof/>
        </w:rPr>
        <w:t>ewnieniu redukcji emisji</w:t>
      </w:r>
      <w:r w:rsidR="00FA433F" w:rsidRPr="00FA433F">
        <w:rPr>
          <w:noProof/>
        </w:rPr>
        <w:t xml:space="preserve"> w</w:t>
      </w:r>
      <w:r w:rsidR="00FA433F">
        <w:rPr>
          <w:noProof/>
        </w:rPr>
        <w:t> </w:t>
      </w:r>
      <w:r w:rsidR="00FA433F" w:rsidRPr="00FA433F">
        <w:rPr>
          <w:noProof/>
        </w:rPr>
        <w:t>Uni</w:t>
      </w:r>
      <w:r w:rsidRPr="00FA433F">
        <w:rPr>
          <w:noProof/>
        </w:rPr>
        <w:t>i poprzez dekarbonizację działalności przemysłowej,</w:t>
      </w:r>
      <w:r w:rsidR="00FA433F" w:rsidRPr="00FA433F">
        <w:rPr>
          <w:noProof/>
        </w:rPr>
        <w:t xml:space="preserve"> a</w:t>
      </w:r>
      <w:r w:rsidR="00FA433F">
        <w:rPr>
          <w:noProof/>
        </w:rPr>
        <w:t> </w:t>
      </w:r>
      <w:r w:rsidR="00FA433F" w:rsidRPr="00FA433F">
        <w:rPr>
          <w:noProof/>
        </w:rPr>
        <w:t>nie</w:t>
      </w:r>
      <w:r w:rsidRPr="00FA433F">
        <w:rPr>
          <w:noProof/>
        </w:rPr>
        <w:t xml:space="preserve"> przenoszenie produkcji do jurysdykcji</w:t>
      </w:r>
      <w:r w:rsidR="00FA433F" w:rsidRPr="00FA433F">
        <w:rPr>
          <w:noProof/>
        </w:rPr>
        <w:t xml:space="preserve"> o</w:t>
      </w:r>
      <w:r w:rsidR="00FA433F">
        <w:rPr>
          <w:noProof/>
        </w:rPr>
        <w:t> </w:t>
      </w:r>
      <w:r w:rsidR="00FA433F" w:rsidRPr="00FA433F">
        <w:rPr>
          <w:noProof/>
        </w:rPr>
        <w:t>niż</w:t>
      </w:r>
      <w:r w:rsidRPr="00FA433F">
        <w:rPr>
          <w:noProof/>
        </w:rPr>
        <w:t>szych wymogach środowiskowych, które stwarza ryzyko ucieczki emisji.</w:t>
      </w:r>
    </w:p>
    <w:p w14:paraId="18CB8C22" w14:textId="77F0C9E9" w:rsidR="003E66A9" w:rsidRPr="00FA433F" w:rsidRDefault="00742AD9" w:rsidP="00742AD9">
      <w:pPr>
        <w:pStyle w:val="ManualConsidrant"/>
        <w:rPr>
          <w:noProof/>
        </w:rPr>
      </w:pPr>
      <w:r w:rsidRPr="00FA433F">
        <w:rPr>
          <w:noProof/>
        </w:rPr>
        <w:t>(4)</w:t>
      </w:r>
      <w:r w:rsidRPr="00FA433F">
        <w:rPr>
          <w:noProof/>
        </w:rPr>
        <w:tab/>
        <w:t>Energochłonne gałęzie przemysłu objęte dyrektywą 2003/87/WE stopniowo internalizują koszty swoich emisji gazów cieplarnianych. Obniżony ogólnounijny pułap emisji,</w:t>
      </w:r>
      <w:r w:rsidR="00FA433F" w:rsidRPr="00FA433F">
        <w:rPr>
          <w:noProof/>
        </w:rPr>
        <w:t xml:space="preserve"> w</w:t>
      </w:r>
      <w:r w:rsidR="00FA433F">
        <w:rPr>
          <w:noProof/>
        </w:rPr>
        <w:t> </w:t>
      </w:r>
      <w:r w:rsidR="00FA433F" w:rsidRPr="00FA433F">
        <w:rPr>
          <w:noProof/>
        </w:rPr>
        <w:t>poł</w:t>
      </w:r>
      <w:r w:rsidRPr="00FA433F">
        <w:rPr>
          <w:noProof/>
        </w:rPr>
        <w:t>ączeniu ze stopniowym wycofywaniem przydziału bezpłatnych uprawnień przewidzianym</w:t>
      </w:r>
      <w:r w:rsidR="00FA433F" w:rsidRPr="00FA433F">
        <w:rPr>
          <w:noProof/>
        </w:rPr>
        <w:t xml:space="preserve"> w</w:t>
      </w:r>
      <w:r w:rsidR="00FA433F">
        <w:rPr>
          <w:noProof/>
        </w:rPr>
        <w:t> </w:t>
      </w:r>
      <w:r w:rsidR="00FA433F" w:rsidRPr="00FA433F">
        <w:rPr>
          <w:noProof/>
        </w:rPr>
        <w:t>tej</w:t>
      </w:r>
      <w:r w:rsidRPr="00FA433F">
        <w:rPr>
          <w:noProof/>
        </w:rPr>
        <w:t xml:space="preserve"> dyrektywie, wymaga kosztownych</w:t>
      </w:r>
      <w:r w:rsidR="00FA433F" w:rsidRPr="00FA433F">
        <w:rPr>
          <w:noProof/>
        </w:rPr>
        <w:t xml:space="preserve"> i</w:t>
      </w:r>
      <w:r w:rsidR="00FA433F">
        <w:rPr>
          <w:noProof/>
        </w:rPr>
        <w:t> </w:t>
      </w:r>
      <w:r w:rsidR="00FA433F" w:rsidRPr="00FA433F">
        <w:rPr>
          <w:noProof/>
        </w:rPr>
        <w:t>szy</w:t>
      </w:r>
      <w:r w:rsidRPr="00FA433F">
        <w:rPr>
          <w:noProof/>
        </w:rPr>
        <w:t>bkich dostosowań</w:t>
      </w:r>
      <w:r w:rsidR="00FA433F" w:rsidRPr="00FA433F">
        <w:rPr>
          <w:noProof/>
        </w:rPr>
        <w:t xml:space="preserve"> w</w:t>
      </w:r>
      <w:r w:rsidR="00FA433F">
        <w:rPr>
          <w:noProof/>
        </w:rPr>
        <w:t> </w:t>
      </w:r>
      <w:r w:rsidR="00FA433F" w:rsidRPr="00FA433F">
        <w:rPr>
          <w:noProof/>
        </w:rPr>
        <w:t>sek</w:t>
      </w:r>
      <w:r w:rsidRPr="00FA433F">
        <w:rPr>
          <w:noProof/>
        </w:rPr>
        <w:t>torach objętych dyrektywą 2003/87/WE, zwiększając tym samym krótkoterminowe ryzyko ucieczki emisji. Temu pozostałemu ryzyku ucieczki emisji nie zapobiega</w:t>
      </w:r>
      <w:r w:rsidR="00FA433F" w:rsidRPr="00FA433F">
        <w:rPr>
          <w:noProof/>
        </w:rPr>
        <w:t xml:space="preserve"> w</w:t>
      </w:r>
      <w:r w:rsidR="00FA433F">
        <w:rPr>
          <w:noProof/>
        </w:rPr>
        <w:t> </w:t>
      </w:r>
      <w:r w:rsidR="00FA433F" w:rsidRPr="00FA433F">
        <w:rPr>
          <w:noProof/>
        </w:rPr>
        <w:t>peł</w:t>
      </w:r>
      <w:r w:rsidRPr="00FA433F">
        <w:rPr>
          <w:noProof/>
        </w:rPr>
        <w:t>ni rozporządzenie Parlamentu Europejskiego</w:t>
      </w:r>
      <w:r w:rsidR="00FA433F" w:rsidRPr="00FA433F">
        <w:rPr>
          <w:noProof/>
        </w:rPr>
        <w:t xml:space="preserve"> i</w:t>
      </w:r>
      <w:r w:rsidR="00FA433F">
        <w:rPr>
          <w:noProof/>
        </w:rPr>
        <w:t> </w:t>
      </w:r>
      <w:r w:rsidR="00FA433F" w:rsidRPr="00FA433F">
        <w:rPr>
          <w:noProof/>
        </w:rPr>
        <w:t>Rad</w:t>
      </w:r>
      <w:r w:rsidRPr="00FA433F">
        <w:rPr>
          <w:noProof/>
        </w:rPr>
        <w:t>y (UE) 2023/956</w:t>
      </w:r>
      <w:r w:rsidRPr="00FA433F">
        <w:rPr>
          <w:rStyle w:val="Odwoanieprzypisudolnego"/>
          <w:noProof/>
        </w:rPr>
        <w:footnoteReference w:id="13"/>
      </w:r>
      <w:r w:rsidRPr="00FA433F">
        <w:rPr>
          <w:noProof/>
        </w:rPr>
        <w:t>,</w:t>
      </w:r>
      <w:r w:rsidR="00FA433F" w:rsidRPr="00FA433F">
        <w:rPr>
          <w:noProof/>
        </w:rPr>
        <w:t xml:space="preserve"> w</w:t>
      </w:r>
      <w:r w:rsidR="00FA433F">
        <w:rPr>
          <w:noProof/>
        </w:rPr>
        <w:t> </w:t>
      </w:r>
      <w:r w:rsidR="00FA433F" w:rsidRPr="00FA433F">
        <w:rPr>
          <w:noProof/>
        </w:rPr>
        <w:t>zwi</w:t>
      </w:r>
      <w:r w:rsidRPr="00FA433F">
        <w:rPr>
          <w:noProof/>
        </w:rPr>
        <w:t>ązku</w:t>
      </w:r>
      <w:r w:rsidR="00FA433F" w:rsidRPr="00FA433F">
        <w:rPr>
          <w:noProof/>
        </w:rPr>
        <w:t xml:space="preserve"> z</w:t>
      </w:r>
      <w:r w:rsidR="00FA433F">
        <w:rPr>
          <w:noProof/>
        </w:rPr>
        <w:t> </w:t>
      </w:r>
      <w:r w:rsidR="00FA433F" w:rsidRPr="00FA433F">
        <w:rPr>
          <w:noProof/>
        </w:rPr>
        <w:t>czy</w:t>
      </w:r>
      <w:r w:rsidRPr="00FA433F">
        <w:rPr>
          <w:noProof/>
        </w:rPr>
        <w:t>m należy mu przeciwdziałać za pomocą dodatkowych środków wspierających transformację</w:t>
      </w:r>
      <w:r w:rsidR="00FA433F" w:rsidRPr="00FA433F">
        <w:rPr>
          <w:noProof/>
        </w:rPr>
        <w:t xml:space="preserve"> i</w:t>
      </w:r>
      <w:r w:rsidR="00FA433F">
        <w:rPr>
          <w:noProof/>
        </w:rPr>
        <w:t> </w:t>
      </w:r>
      <w:r w:rsidR="00FA433F" w:rsidRPr="00FA433F">
        <w:rPr>
          <w:noProof/>
        </w:rPr>
        <w:t>pro</w:t>
      </w:r>
      <w:r w:rsidRPr="00FA433F">
        <w:rPr>
          <w:noProof/>
        </w:rPr>
        <w:t>mujących dekarbonizację sektorów przemysłowych.</w:t>
      </w:r>
    </w:p>
    <w:p w14:paraId="53CBB949" w14:textId="2F210A8A" w:rsidR="003E66A9" w:rsidRPr="00FA433F" w:rsidRDefault="00742AD9" w:rsidP="00742AD9">
      <w:pPr>
        <w:pStyle w:val="ManualConsidrant"/>
        <w:rPr>
          <w:noProof/>
        </w:rPr>
      </w:pPr>
      <w:r w:rsidRPr="00FA433F">
        <w:rPr>
          <w:noProof/>
        </w:rPr>
        <w:t>(5)</w:t>
      </w:r>
      <w:r w:rsidRPr="00FA433F">
        <w:rPr>
          <w:noProof/>
        </w:rPr>
        <w:tab/>
        <w:t>Aby zachęcić do działań na rzecz dekarbonizacji przemysłu, należy ustanowić unijny instrument finansowania – Tymczasowy Fundusz Dekarbonizacji („Fundusz”) – zapewniający tymczasowe wsparcie finansowe operatorom działającym</w:t>
      </w:r>
      <w:r w:rsidR="00FA433F" w:rsidRPr="00FA433F">
        <w:rPr>
          <w:noProof/>
        </w:rPr>
        <w:t xml:space="preserve"> w</w:t>
      </w:r>
      <w:r w:rsidR="00FA433F">
        <w:rPr>
          <w:noProof/>
        </w:rPr>
        <w:t> </w:t>
      </w:r>
      <w:r w:rsidR="00FA433F" w:rsidRPr="00FA433F">
        <w:rPr>
          <w:noProof/>
        </w:rPr>
        <w:t>sek</w:t>
      </w:r>
      <w:r w:rsidRPr="00FA433F">
        <w:rPr>
          <w:noProof/>
        </w:rPr>
        <w:t>torach wysokoemisyjnych, którzy są narażeni na pozostałe ryzyko ucieczki emisji, co pozwoli utrzymać wysiłki na rzecz dekarbonizacji</w:t>
      </w:r>
      <w:r w:rsidR="00FA433F" w:rsidRPr="00FA433F">
        <w:rPr>
          <w:noProof/>
        </w:rPr>
        <w:t xml:space="preserve"> w</w:t>
      </w:r>
      <w:r w:rsidR="00FA433F">
        <w:rPr>
          <w:noProof/>
        </w:rPr>
        <w:t> </w:t>
      </w:r>
      <w:r w:rsidR="00FA433F" w:rsidRPr="00FA433F">
        <w:rPr>
          <w:noProof/>
        </w:rPr>
        <w:t>Uni</w:t>
      </w:r>
      <w:r w:rsidRPr="00FA433F">
        <w:rPr>
          <w:noProof/>
        </w:rPr>
        <w:t>i oraz skuteczność zachęt do redukcji emisji. Takie wsparcie powinno być ściśle ograniczone do tego, co jest konieczne do złagodzenia pozostałego ryzyka ucieczki emisji, być proporcjonalne</w:t>
      </w:r>
      <w:r w:rsidR="00FA433F" w:rsidRPr="00FA433F">
        <w:rPr>
          <w:noProof/>
        </w:rPr>
        <w:t xml:space="preserve"> i</w:t>
      </w:r>
      <w:r w:rsidR="00FA433F">
        <w:rPr>
          <w:noProof/>
        </w:rPr>
        <w:t> </w:t>
      </w:r>
      <w:r w:rsidR="00FA433F" w:rsidRPr="00FA433F">
        <w:rPr>
          <w:noProof/>
        </w:rPr>
        <w:t>uza</w:t>
      </w:r>
      <w:r w:rsidRPr="00FA433F">
        <w:rPr>
          <w:noProof/>
        </w:rPr>
        <w:t>leżnione od wyraźnych postępów</w:t>
      </w:r>
      <w:r w:rsidR="00FA433F" w:rsidRPr="00FA433F">
        <w:rPr>
          <w:noProof/>
        </w:rPr>
        <w:t xml:space="preserve"> w</w:t>
      </w:r>
      <w:r w:rsidR="00FA433F">
        <w:rPr>
          <w:noProof/>
        </w:rPr>
        <w:t> </w:t>
      </w:r>
      <w:r w:rsidR="00FA433F" w:rsidRPr="00FA433F">
        <w:rPr>
          <w:noProof/>
        </w:rPr>
        <w:t>ogr</w:t>
      </w:r>
      <w:r w:rsidRPr="00FA433F">
        <w:rPr>
          <w:noProof/>
        </w:rPr>
        <w:t>aniczaniu emisji gazów cieplarnianych.</w:t>
      </w:r>
    </w:p>
    <w:p w14:paraId="4990038E" w14:textId="1E0BE405" w:rsidR="00AD1318" w:rsidRPr="00FA433F" w:rsidRDefault="00742AD9" w:rsidP="00742AD9">
      <w:pPr>
        <w:pStyle w:val="ManualConsidrant"/>
        <w:rPr>
          <w:noProof/>
        </w:rPr>
      </w:pPr>
      <w:r w:rsidRPr="00FA433F">
        <w:rPr>
          <w:noProof/>
        </w:rPr>
        <w:t>(6)</w:t>
      </w:r>
      <w:r w:rsidRPr="00FA433F">
        <w:rPr>
          <w:noProof/>
        </w:rPr>
        <w:tab/>
        <w:t>Dochody ze sprzedaży certyfikatów CBAM zgodnie</w:t>
      </w:r>
      <w:r w:rsidR="00FA433F" w:rsidRPr="00FA433F">
        <w:rPr>
          <w:noProof/>
        </w:rPr>
        <w:t xml:space="preserve"> z</w:t>
      </w:r>
      <w:r w:rsidR="00FA433F">
        <w:rPr>
          <w:noProof/>
        </w:rPr>
        <w:t> </w:t>
      </w:r>
      <w:r w:rsidR="00FA433F" w:rsidRPr="00FA433F">
        <w:rPr>
          <w:noProof/>
        </w:rPr>
        <w:t>roz</w:t>
      </w:r>
      <w:r w:rsidRPr="00FA433F">
        <w:rPr>
          <w:noProof/>
        </w:rPr>
        <w:t>porządzeniem (UE) 2023/956 będą pobierane przez państwa członkowskie</w:t>
      </w:r>
      <w:r w:rsidR="00FA433F" w:rsidRPr="00FA433F">
        <w:rPr>
          <w:noProof/>
        </w:rPr>
        <w:t>. W</w:t>
      </w:r>
      <w:r w:rsidR="00FA433F">
        <w:rPr>
          <w:noProof/>
        </w:rPr>
        <w:t> </w:t>
      </w:r>
      <w:r w:rsidR="00FA433F" w:rsidRPr="00FA433F">
        <w:rPr>
          <w:noProof/>
        </w:rPr>
        <w:t>swo</w:t>
      </w:r>
      <w:r w:rsidRPr="00FA433F">
        <w:rPr>
          <w:noProof/>
        </w:rPr>
        <w:t>im wniosku dotyczącym nowej decyzji</w:t>
      </w:r>
      <w:r w:rsidR="00FA433F" w:rsidRPr="00FA433F">
        <w:rPr>
          <w:noProof/>
        </w:rPr>
        <w:t xml:space="preserve"> w</w:t>
      </w:r>
      <w:r w:rsidR="00FA433F">
        <w:rPr>
          <w:noProof/>
        </w:rPr>
        <w:t> </w:t>
      </w:r>
      <w:r w:rsidR="00FA433F" w:rsidRPr="00FA433F">
        <w:rPr>
          <w:noProof/>
        </w:rPr>
        <w:t>spr</w:t>
      </w:r>
      <w:r w:rsidRPr="00FA433F">
        <w:rPr>
          <w:noProof/>
        </w:rPr>
        <w:t>awie zasobów własnych</w:t>
      </w:r>
      <w:r w:rsidRPr="00FA433F">
        <w:rPr>
          <w:rStyle w:val="Odwoanieprzypisudolnego"/>
          <w:noProof/>
        </w:rPr>
        <w:footnoteReference w:id="14"/>
      </w:r>
      <w:r w:rsidRPr="00FA433F">
        <w:rPr>
          <w:noProof/>
        </w:rPr>
        <w:t xml:space="preserve"> Komisja zaproponowała, aby</w:t>
      </w:r>
      <w:r w:rsidR="00FA433F" w:rsidRPr="00FA433F">
        <w:rPr>
          <w:noProof/>
        </w:rPr>
        <w:t xml:space="preserve"> w</w:t>
      </w:r>
      <w:r w:rsidR="00FA433F">
        <w:rPr>
          <w:noProof/>
        </w:rPr>
        <w:t> </w:t>
      </w:r>
      <w:r w:rsidR="00FA433F" w:rsidRPr="00FA433F">
        <w:rPr>
          <w:noProof/>
        </w:rPr>
        <w:t>kol</w:t>
      </w:r>
      <w:r w:rsidRPr="00FA433F">
        <w:rPr>
          <w:noProof/>
        </w:rPr>
        <w:t xml:space="preserve">ejnych wieloletnich ramach finansowych na lata 2028–2034 75 % dochodów ze sprzedaży </w:t>
      </w:r>
      <w:r w:rsidRPr="00FA433F">
        <w:rPr>
          <w:noProof/>
        </w:rPr>
        <w:lastRenderedPageBreak/>
        <w:t>certyfikatów CBAM trafiło do budżetu UE jako zasoby własne</w:t>
      </w:r>
      <w:r w:rsidRPr="00FA433F">
        <w:rPr>
          <w:rStyle w:val="Odwoanieprzypisudolnego"/>
          <w:noProof/>
        </w:rPr>
        <w:footnoteReference w:id="15"/>
      </w:r>
      <w:r w:rsidRPr="00FA433F">
        <w:rPr>
          <w:noProof/>
        </w:rPr>
        <w:t>. Aby zapewnić niezbędne finansowanie, Fundusz powinien być finansowany</w:t>
      </w:r>
      <w:r w:rsidR="00FA433F" w:rsidRPr="00FA433F">
        <w:rPr>
          <w:noProof/>
        </w:rPr>
        <w:t xml:space="preserve"> z</w:t>
      </w:r>
      <w:r w:rsidR="00FA433F">
        <w:rPr>
          <w:noProof/>
        </w:rPr>
        <w:t> </w:t>
      </w:r>
      <w:r w:rsidR="00FA433F" w:rsidRPr="00FA433F">
        <w:rPr>
          <w:noProof/>
        </w:rPr>
        <w:t>poz</w:t>
      </w:r>
      <w:r w:rsidRPr="00FA433F">
        <w:rPr>
          <w:noProof/>
        </w:rPr>
        <w:t>ostałych 25 % dochodów ze sprzedaży certyfikatów, które powinny stanowić zewnętrzne dochody przeznaczone na określony cel służące pokryciu zobowiązań do wypłaty wsparcia finansowego beneficjentom końcowym Funduszu oraz kosztów administracyjnych Komisji ponoszonych</w:t>
      </w:r>
      <w:r w:rsidR="00FA433F" w:rsidRPr="00FA433F">
        <w:rPr>
          <w:noProof/>
        </w:rPr>
        <w:t xml:space="preserve"> w</w:t>
      </w:r>
      <w:r w:rsidR="00FA433F">
        <w:rPr>
          <w:noProof/>
        </w:rPr>
        <w:t> </w:t>
      </w:r>
      <w:r w:rsidR="00FA433F" w:rsidRPr="00FA433F">
        <w:rPr>
          <w:noProof/>
        </w:rPr>
        <w:t>zwi</w:t>
      </w:r>
      <w:r w:rsidRPr="00FA433F">
        <w:rPr>
          <w:noProof/>
        </w:rPr>
        <w:t>ązku</w:t>
      </w:r>
      <w:r w:rsidR="00FA433F" w:rsidRPr="00FA433F">
        <w:rPr>
          <w:noProof/>
        </w:rPr>
        <w:t xml:space="preserve"> z</w:t>
      </w:r>
      <w:r w:rsidR="00FA433F">
        <w:rPr>
          <w:noProof/>
        </w:rPr>
        <w:t> </w:t>
      </w:r>
      <w:r w:rsidR="00FA433F" w:rsidRPr="00FA433F">
        <w:rPr>
          <w:noProof/>
        </w:rPr>
        <w:t>zar</w:t>
      </w:r>
      <w:r w:rsidRPr="00FA433F">
        <w:rPr>
          <w:noProof/>
        </w:rPr>
        <w:t>ządzaniem Funduszem. Należy przewidzieć odstępstwo od art. 21 ust. 5 rozporządzenia Parlamentu Europejskiego</w:t>
      </w:r>
      <w:r w:rsidR="00FA433F" w:rsidRPr="00FA433F">
        <w:rPr>
          <w:noProof/>
        </w:rPr>
        <w:t xml:space="preserve"> i</w:t>
      </w:r>
      <w:r w:rsidR="00FA433F">
        <w:rPr>
          <w:noProof/>
        </w:rPr>
        <w:t> </w:t>
      </w:r>
      <w:r w:rsidR="00FA433F" w:rsidRPr="00FA433F">
        <w:rPr>
          <w:noProof/>
        </w:rPr>
        <w:t>Rad</w:t>
      </w:r>
      <w:r w:rsidRPr="00FA433F">
        <w:rPr>
          <w:noProof/>
        </w:rPr>
        <w:t>y (UE, Euratom) 2024/2509</w:t>
      </w:r>
      <w:r w:rsidRPr="00FA433F">
        <w:rPr>
          <w:rStyle w:val="Odwoanieprzypisudolnego"/>
          <w:noProof/>
        </w:rPr>
        <w:footnoteReference w:id="16"/>
      </w:r>
      <w:r w:rsidR="00FA433F" w:rsidRPr="00FA433F">
        <w:rPr>
          <w:noProof/>
        </w:rPr>
        <w:t xml:space="preserve"> w</w:t>
      </w:r>
      <w:r w:rsidR="00FA433F">
        <w:rPr>
          <w:noProof/>
        </w:rPr>
        <w:t> </w:t>
      </w:r>
      <w:r w:rsidR="00FA433F" w:rsidRPr="00FA433F">
        <w:rPr>
          <w:noProof/>
        </w:rPr>
        <w:t>cel</w:t>
      </w:r>
      <w:r w:rsidRPr="00FA433F">
        <w:rPr>
          <w:noProof/>
        </w:rPr>
        <w:t>u przydzielenia Funduszowi odpowiedniej części dochodów uzyskanych ze sprzedaży certyfikatów CBAM na podstawie rozporządzenia (UE) 2023/956 jako zewnętrznych dochodów przeznaczonych na określony cel.</w:t>
      </w:r>
    </w:p>
    <w:p w14:paraId="34E536DA" w14:textId="6665F871" w:rsidR="007D48D3" w:rsidRPr="00FA433F" w:rsidRDefault="00742AD9" w:rsidP="00742AD9">
      <w:pPr>
        <w:pStyle w:val="ManualConsidrant"/>
        <w:rPr>
          <w:noProof/>
        </w:rPr>
      </w:pPr>
      <w:r w:rsidRPr="00FA433F">
        <w:rPr>
          <w:noProof/>
        </w:rPr>
        <w:t>(7)</w:t>
      </w:r>
      <w:r w:rsidRPr="00FA433F">
        <w:rPr>
          <w:noProof/>
        </w:rPr>
        <w:tab/>
        <w:t>Zasoby Funduszu powinny być wykorzystywane wyłącznie na pokrycie zobowiązań do wypłaty wsparcia finansowego na rzecz beneficjentów końcowych oraz kosztów administracyjnych Funduszu. Wszelkie niewykorzystane dochody powinny zostać zwrócone państwom członkowskim proporcjonalnie do ich wkładu do Funduszu</w:t>
      </w:r>
      <w:r w:rsidR="00FA433F" w:rsidRPr="00FA433F">
        <w:rPr>
          <w:noProof/>
        </w:rPr>
        <w:t>. W</w:t>
      </w:r>
      <w:r w:rsidR="00FA433F">
        <w:rPr>
          <w:noProof/>
        </w:rPr>
        <w:t> </w:t>
      </w:r>
      <w:r w:rsidR="00FA433F" w:rsidRPr="00FA433F">
        <w:rPr>
          <w:noProof/>
        </w:rPr>
        <w:t>tym</w:t>
      </w:r>
      <w:r w:rsidRPr="00FA433F">
        <w:rPr>
          <w:noProof/>
        </w:rPr>
        <w:t xml:space="preserve"> celu należy przewidzieć odstępstwo od art. 12 ust. 4 lit. c) rozporządzenia (UE, Euratom) 2024/2509.</w:t>
      </w:r>
    </w:p>
    <w:p w14:paraId="587621FC" w14:textId="15C0C896" w:rsidR="00EF59AA" w:rsidRPr="00FA433F" w:rsidRDefault="00742AD9" w:rsidP="00742AD9">
      <w:pPr>
        <w:pStyle w:val="ManualConsidrant"/>
        <w:rPr>
          <w:noProof/>
        </w:rPr>
      </w:pPr>
      <w:r w:rsidRPr="00FA433F">
        <w:rPr>
          <w:noProof/>
        </w:rPr>
        <w:t>(8)</w:t>
      </w:r>
      <w:r w:rsidRPr="00FA433F">
        <w:rPr>
          <w:noProof/>
        </w:rPr>
        <w:tab/>
        <w:t>Fundusz powinien zapewnić beneficjentom końcowym wsparcie finansowe</w:t>
      </w:r>
      <w:r w:rsidR="00FA433F" w:rsidRPr="00FA433F">
        <w:rPr>
          <w:noProof/>
        </w:rPr>
        <w:t xml:space="preserve"> w</w:t>
      </w:r>
      <w:r w:rsidR="00FA433F">
        <w:rPr>
          <w:noProof/>
        </w:rPr>
        <w:t> </w:t>
      </w:r>
      <w:r w:rsidR="00FA433F" w:rsidRPr="00FA433F">
        <w:rPr>
          <w:noProof/>
        </w:rPr>
        <w:t>lat</w:t>
      </w:r>
      <w:r w:rsidRPr="00FA433F">
        <w:rPr>
          <w:noProof/>
        </w:rPr>
        <w:t>ach 2028</w:t>
      </w:r>
      <w:r w:rsidR="00FA433F" w:rsidRPr="00FA433F">
        <w:rPr>
          <w:noProof/>
        </w:rPr>
        <w:t xml:space="preserve"> i</w:t>
      </w:r>
      <w:r w:rsidR="00FA433F">
        <w:rPr>
          <w:noProof/>
        </w:rPr>
        <w:t> </w:t>
      </w:r>
      <w:r w:rsidR="00FA433F" w:rsidRPr="00FA433F">
        <w:rPr>
          <w:noProof/>
        </w:rPr>
        <w:t>2</w:t>
      </w:r>
      <w:r w:rsidRPr="00FA433F">
        <w:rPr>
          <w:noProof/>
        </w:rPr>
        <w:t>029, aby ograniczyć ich narażenie na pozostałe ryzyko ucieczki emisji, które można określić na podstawie dwuletniego referencyjnego okresu produkcji 2026–2027. Biorąc pod uwagę potrzebę zapewnienia ciągłości działań na rzecz dekarbonizacji</w:t>
      </w:r>
      <w:r w:rsidR="00FA433F" w:rsidRPr="00FA433F">
        <w:rPr>
          <w:noProof/>
        </w:rPr>
        <w:t xml:space="preserve"> i</w:t>
      </w:r>
      <w:r w:rsidR="00FA433F">
        <w:rPr>
          <w:noProof/>
        </w:rPr>
        <w:t> </w:t>
      </w:r>
      <w:r w:rsidR="00FA433F" w:rsidRPr="00FA433F">
        <w:rPr>
          <w:noProof/>
        </w:rPr>
        <w:t>wye</w:t>
      </w:r>
      <w:r w:rsidRPr="00FA433F">
        <w:rPr>
          <w:noProof/>
        </w:rPr>
        <w:t>liminowania pozostałego ryzyka ucieczki emisji oraz fakt, że dochody z CBAM będą dostępne dopiero</w:t>
      </w:r>
      <w:r w:rsidR="00FA433F" w:rsidRPr="00FA433F">
        <w:rPr>
          <w:noProof/>
        </w:rPr>
        <w:t xml:space="preserve"> w</w:t>
      </w:r>
      <w:r w:rsidR="00FA433F">
        <w:rPr>
          <w:noProof/>
        </w:rPr>
        <w:t> </w:t>
      </w:r>
      <w:r w:rsidR="00FA433F" w:rsidRPr="00FA433F">
        <w:rPr>
          <w:noProof/>
        </w:rPr>
        <w:t>2</w:t>
      </w:r>
      <w:r w:rsidRPr="00FA433F">
        <w:rPr>
          <w:noProof/>
        </w:rPr>
        <w:t>028 r., należy zezwolić, aby wsparcie na podstawie niniejszego rozporządzenia obejmowało działania przed wejściem</w:t>
      </w:r>
      <w:r w:rsidR="00FA433F" w:rsidRPr="00FA433F">
        <w:rPr>
          <w:noProof/>
        </w:rPr>
        <w:t xml:space="preserve"> w</w:t>
      </w:r>
      <w:r w:rsidR="00FA433F">
        <w:rPr>
          <w:noProof/>
        </w:rPr>
        <w:t> </w:t>
      </w:r>
      <w:r w:rsidR="00FA433F" w:rsidRPr="00FA433F">
        <w:rPr>
          <w:noProof/>
        </w:rPr>
        <w:t>życ</w:t>
      </w:r>
      <w:r w:rsidRPr="00FA433F">
        <w:rPr>
          <w:noProof/>
        </w:rPr>
        <w:t>ie niniejszego rozporządzenia, zgodnie</w:t>
      </w:r>
      <w:r w:rsidR="00FA433F" w:rsidRPr="00FA433F">
        <w:rPr>
          <w:noProof/>
        </w:rPr>
        <w:t xml:space="preserve"> z</w:t>
      </w:r>
      <w:r w:rsidR="00FA433F">
        <w:rPr>
          <w:noProof/>
        </w:rPr>
        <w:t> </w:t>
      </w:r>
      <w:r w:rsidR="00FA433F" w:rsidRPr="00FA433F">
        <w:rPr>
          <w:noProof/>
        </w:rPr>
        <w:t>art</w:t>
      </w:r>
      <w:r w:rsidRPr="00FA433F">
        <w:rPr>
          <w:noProof/>
        </w:rPr>
        <w:t>. 3 ust. 2 rozporządzenia 2024/2509. Taka kwalifikowalność</w:t>
      </w:r>
      <w:r w:rsidR="00FA433F" w:rsidRPr="00FA433F">
        <w:rPr>
          <w:noProof/>
        </w:rPr>
        <w:t xml:space="preserve"> z</w:t>
      </w:r>
      <w:r w:rsidR="00FA433F">
        <w:rPr>
          <w:noProof/>
        </w:rPr>
        <w:t> </w:t>
      </w:r>
      <w:r w:rsidR="00FA433F" w:rsidRPr="00FA433F">
        <w:rPr>
          <w:noProof/>
        </w:rPr>
        <w:t>moc</w:t>
      </w:r>
      <w:r w:rsidRPr="00FA433F">
        <w:rPr>
          <w:noProof/>
        </w:rPr>
        <w:t>ą wsteczną jest ściśle ograniczona do działań, które przyczyniają się do realizacji celów środowiskowych niniejszego rozporządzenia.</w:t>
      </w:r>
    </w:p>
    <w:p w14:paraId="4702A3C0" w14:textId="48563696" w:rsidR="007D48D3" w:rsidRPr="00FA433F" w:rsidRDefault="00742AD9" w:rsidP="00742AD9">
      <w:pPr>
        <w:pStyle w:val="ManualConsidrant"/>
        <w:rPr>
          <w:noProof/>
        </w:rPr>
      </w:pPr>
      <w:r w:rsidRPr="00FA433F">
        <w:rPr>
          <w:noProof/>
        </w:rPr>
        <w:t>(9)</w:t>
      </w:r>
      <w:r w:rsidRPr="00FA433F">
        <w:rPr>
          <w:noProof/>
        </w:rPr>
        <w:tab/>
        <w:t>Ograniczając początkowy okres wsparcia do dwóch lat, Fundusz powinien zapewniać wsparcie krótkoterminowe</w:t>
      </w:r>
      <w:r w:rsidR="00FA433F" w:rsidRPr="00FA433F">
        <w:rPr>
          <w:noProof/>
        </w:rPr>
        <w:t xml:space="preserve"> w</w:t>
      </w:r>
      <w:r w:rsidR="00FA433F">
        <w:rPr>
          <w:noProof/>
        </w:rPr>
        <w:t> </w:t>
      </w:r>
      <w:r w:rsidR="00FA433F" w:rsidRPr="00FA433F">
        <w:rPr>
          <w:noProof/>
        </w:rPr>
        <w:t>ocz</w:t>
      </w:r>
      <w:r w:rsidRPr="00FA433F">
        <w:rPr>
          <w:noProof/>
        </w:rPr>
        <w:t>ekiwaniu na kompleksowy przegląd najlepszych sposobów rozwiązania problemu pozostałego ryzyka ucieczki emisji od</w:t>
      </w:r>
      <w:r w:rsidR="00FA433F" w:rsidRPr="00FA433F">
        <w:rPr>
          <w:noProof/>
        </w:rPr>
        <w:t> </w:t>
      </w:r>
      <w:r w:rsidRPr="00FA433F">
        <w:rPr>
          <w:noProof/>
        </w:rPr>
        <w:t>2028 r.</w:t>
      </w:r>
      <w:r w:rsidR="00FA433F" w:rsidRPr="00FA433F">
        <w:rPr>
          <w:noProof/>
        </w:rPr>
        <w:t xml:space="preserve"> w</w:t>
      </w:r>
      <w:r w:rsidR="00FA433F">
        <w:rPr>
          <w:noProof/>
        </w:rPr>
        <w:t> </w:t>
      </w:r>
      <w:r w:rsidR="00FA433F" w:rsidRPr="00FA433F">
        <w:rPr>
          <w:noProof/>
        </w:rPr>
        <w:t>kon</w:t>
      </w:r>
      <w:r w:rsidRPr="00FA433F">
        <w:rPr>
          <w:noProof/>
        </w:rPr>
        <w:t>tekście zaplanowanego przeglądu EU ETS. Przejściowy charakter Funduszu wyklucza interpretację, zgodnie</w:t>
      </w:r>
      <w:r w:rsidR="00FA433F" w:rsidRPr="00FA433F">
        <w:rPr>
          <w:noProof/>
        </w:rPr>
        <w:t xml:space="preserve"> z</w:t>
      </w:r>
      <w:r w:rsidR="00FA433F">
        <w:rPr>
          <w:noProof/>
        </w:rPr>
        <w:t> </w:t>
      </w:r>
      <w:r w:rsidR="00FA433F" w:rsidRPr="00FA433F">
        <w:rPr>
          <w:noProof/>
        </w:rPr>
        <w:t>któ</w:t>
      </w:r>
      <w:r w:rsidRPr="00FA433F">
        <w:rPr>
          <w:noProof/>
        </w:rPr>
        <w:t>rą może on stanowić precedens, model lub punkt odniesienia dla przeglądu EU ETS</w:t>
      </w:r>
      <w:r w:rsidR="00FA433F" w:rsidRPr="00FA433F">
        <w:rPr>
          <w:noProof/>
        </w:rPr>
        <w:t>. W</w:t>
      </w:r>
      <w:r w:rsidR="00FA433F">
        <w:rPr>
          <w:noProof/>
        </w:rPr>
        <w:t> </w:t>
      </w:r>
      <w:r w:rsidR="00FA433F" w:rsidRPr="00FA433F">
        <w:rPr>
          <w:noProof/>
        </w:rPr>
        <w:t>zwi</w:t>
      </w:r>
      <w:r w:rsidRPr="00FA433F">
        <w:rPr>
          <w:noProof/>
        </w:rPr>
        <w:t>ązku</w:t>
      </w:r>
      <w:r w:rsidR="00FA433F" w:rsidRPr="00FA433F">
        <w:rPr>
          <w:noProof/>
        </w:rPr>
        <w:t xml:space="preserve"> z</w:t>
      </w:r>
      <w:r w:rsidR="00FA433F">
        <w:rPr>
          <w:noProof/>
        </w:rPr>
        <w:t> </w:t>
      </w:r>
      <w:r w:rsidR="00FA433F" w:rsidRPr="00FA433F">
        <w:rPr>
          <w:noProof/>
        </w:rPr>
        <w:t>tym</w:t>
      </w:r>
      <w:r w:rsidRPr="00FA433F">
        <w:rPr>
          <w:noProof/>
        </w:rPr>
        <w:t xml:space="preserve"> istnienie, funkcjonowanie lub zaprzestanie funkcjonowania Funduszu nie może powodować żadnych oczekiwań, prawnych ani innych, co do przeglądu EU ETS. </w:t>
      </w:r>
    </w:p>
    <w:p w14:paraId="4B50E978" w14:textId="433E012D" w:rsidR="007D48D3" w:rsidRPr="00FA433F" w:rsidRDefault="00742AD9" w:rsidP="00742AD9">
      <w:pPr>
        <w:pStyle w:val="ManualConsidrant"/>
        <w:rPr>
          <w:noProof/>
        </w:rPr>
      </w:pPr>
      <w:r w:rsidRPr="00FA433F">
        <w:rPr>
          <w:noProof/>
        </w:rPr>
        <w:t>(10)</w:t>
      </w:r>
      <w:r w:rsidRPr="00FA433F">
        <w:rPr>
          <w:noProof/>
        </w:rPr>
        <w:tab/>
        <w:t>Biorąc pod uwagę tymczasowy charakter Funduszu, zarządzanie nim powinno być racjonalne pod względem kosztów</w:t>
      </w:r>
      <w:r w:rsidR="00FA433F" w:rsidRPr="00FA433F">
        <w:rPr>
          <w:noProof/>
        </w:rPr>
        <w:t xml:space="preserve"> i</w:t>
      </w:r>
      <w:r w:rsidR="00FA433F">
        <w:rPr>
          <w:noProof/>
        </w:rPr>
        <w:t> </w:t>
      </w:r>
      <w:r w:rsidR="00FA433F" w:rsidRPr="00FA433F">
        <w:rPr>
          <w:noProof/>
        </w:rPr>
        <w:t>w</w:t>
      </w:r>
      <w:r w:rsidR="00FA433F">
        <w:rPr>
          <w:noProof/>
        </w:rPr>
        <w:t> </w:t>
      </w:r>
      <w:r w:rsidR="00FA433F" w:rsidRPr="00FA433F">
        <w:rPr>
          <w:noProof/>
        </w:rPr>
        <w:t>jak</w:t>
      </w:r>
      <w:r w:rsidRPr="00FA433F">
        <w:rPr>
          <w:noProof/>
        </w:rPr>
        <w:t xml:space="preserve"> największym stopniu minimalizować obciążenie administracyjne zarówno dla beneficjentów końcowych wsparcia finansowego, jak</w:t>
      </w:r>
      <w:r w:rsidR="00FA433F" w:rsidRPr="00FA433F">
        <w:rPr>
          <w:noProof/>
        </w:rPr>
        <w:t xml:space="preserve"> i</w:t>
      </w:r>
      <w:r w:rsidR="00FA433F">
        <w:rPr>
          <w:noProof/>
        </w:rPr>
        <w:t> </w:t>
      </w:r>
      <w:r w:rsidR="00FA433F" w:rsidRPr="00FA433F">
        <w:rPr>
          <w:noProof/>
        </w:rPr>
        <w:t>wła</w:t>
      </w:r>
      <w:r w:rsidRPr="00FA433F">
        <w:rPr>
          <w:noProof/>
        </w:rPr>
        <w:t>ściwych organów państw członkowskich</w:t>
      </w:r>
      <w:r w:rsidR="00FA433F" w:rsidRPr="00FA433F">
        <w:rPr>
          <w:noProof/>
        </w:rPr>
        <w:t>. W</w:t>
      </w:r>
      <w:r w:rsidR="00FA433F">
        <w:rPr>
          <w:noProof/>
        </w:rPr>
        <w:t> </w:t>
      </w:r>
      <w:r w:rsidR="00FA433F" w:rsidRPr="00FA433F">
        <w:rPr>
          <w:noProof/>
        </w:rPr>
        <w:t>zwi</w:t>
      </w:r>
      <w:r w:rsidRPr="00FA433F">
        <w:rPr>
          <w:noProof/>
        </w:rPr>
        <w:t>ązku</w:t>
      </w:r>
      <w:r w:rsidR="00FA433F" w:rsidRPr="00FA433F">
        <w:rPr>
          <w:noProof/>
        </w:rPr>
        <w:t xml:space="preserve"> z</w:t>
      </w:r>
      <w:r w:rsidR="00FA433F">
        <w:rPr>
          <w:noProof/>
        </w:rPr>
        <w:t> </w:t>
      </w:r>
      <w:r w:rsidR="00FA433F" w:rsidRPr="00FA433F">
        <w:rPr>
          <w:noProof/>
        </w:rPr>
        <w:t>tym</w:t>
      </w:r>
      <w:r w:rsidRPr="00FA433F">
        <w:rPr>
          <w:noProof/>
        </w:rPr>
        <w:t xml:space="preserve"> należy przewidzieć jedno zaproszenie do składania wniosków</w:t>
      </w:r>
      <w:r w:rsidR="00FA433F" w:rsidRPr="00FA433F">
        <w:rPr>
          <w:noProof/>
        </w:rPr>
        <w:t xml:space="preserve"> w</w:t>
      </w:r>
      <w:r w:rsidR="00FA433F">
        <w:rPr>
          <w:noProof/>
        </w:rPr>
        <w:t> </w:t>
      </w:r>
      <w:r w:rsidR="00FA433F" w:rsidRPr="00FA433F">
        <w:rPr>
          <w:noProof/>
        </w:rPr>
        <w:t>2</w:t>
      </w:r>
      <w:r w:rsidRPr="00FA433F">
        <w:rPr>
          <w:noProof/>
        </w:rPr>
        <w:t>028 r. na referencyjny okres produkcji 2026–2027.</w:t>
      </w:r>
    </w:p>
    <w:p w14:paraId="7A198FEF" w14:textId="648D06EF" w:rsidR="00542DB3" w:rsidRPr="00FA433F" w:rsidRDefault="00742AD9" w:rsidP="00742AD9">
      <w:pPr>
        <w:pStyle w:val="ManualConsidrant"/>
        <w:rPr>
          <w:noProof/>
        </w:rPr>
      </w:pPr>
      <w:r w:rsidRPr="00FA433F">
        <w:rPr>
          <w:noProof/>
        </w:rPr>
        <w:t>(11)</w:t>
      </w:r>
      <w:r w:rsidRPr="00FA433F">
        <w:rPr>
          <w:noProof/>
        </w:rPr>
        <w:tab/>
        <w:t>Aby umożliwić usprawnioną</w:t>
      </w:r>
      <w:r w:rsidR="00FA433F" w:rsidRPr="00FA433F">
        <w:rPr>
          <w:noProof/>
        </w:rPr>
        <w:t xml:space="preserve"> i</w:t>
      </w:r>
      <w:r w:rsidR="00FA433F">
        <w:rPr>
          <w:noProof/>
        </w:rPr>
        <w:t> </w:t>
      </w:r>
      <w:r w:rsidR="00FA433F" w:rsidRPr="00FA433F">
        <w:rPr>
          <w:noProof/>
        </w:rPr>
        <w:t>sku</w:t>
      </w:r>
      <w:r w:rsidRPr="00FA433F">
        <w:rPr>
          <w:noProof/>
        </w:rPr>
        <w:t>teczną procedurę, Fundusz powinien być wdrażany przez Komisję</w:t>
      </w:r>
      <w:r w:rsidR="00FA433F" w:rsidRPr="00FA433F">
        <w:rPr>
          <w:noProof/>
        </w:rPr>
        <w:t xml:space="preserve"> w</w:t>
      </w:r>
      <w:r w:rsidR="00FA433F">
        <w:rPr>
          <w:noProof/>
        </w:rPr>
        <w:t> </w:t>
      </w:r>
      <w:r w:rsidR="00FA433F" w:rsidRPr="00FA433F">
        <w:rPr>
          <w:noProof/>
        </w:rPr>
        <w:t>try</w:t>
      </w:r>
      <w:r w:rsidRPr="00FA433F">
        <w:rPr>
          <w:noProof/>
        </w:rPr>
        <w:t>bie zarządzania bezpośredniego,</w:t>
      </w:r>
      <w:r w:rsidR="00FA433F" w:rsidRPr="00FA433F">
        <w:rPr>
          <w:noProof/>
        </w:rPr>
        <w:t xml:space="preserve"> w</w:t>
      </w:r>
      <w:r w:rsidR="00FA433F">
        <w:rPr>
          <w:noProof/>
        </w:rPr>
        <w:t> </w:t>
      </w:r>
      <w:r w:rsidR="00FA433F" w:rsidRPr="00FA433F">
        <w:rPr>
          <w:noProof/>
        </w:rPr>
        <w:t>ści</w:t>
      </w:r>
      <w:r w:rsidRPr="00FA433F">
        <w:rPr>
          <w:noProof/>
        </w:rPr>
        <w:t>słej współpracy</w:t>
      </w:r>
      <w:r w:rsidR="00FA433F" w:rsidRPr="00FA433F">
        <w:rPr>
          <w:noProof/>
        </w:rPr>
        <w:t xml:space="preserve"> z</w:t>
      </w:r>
      <w:r w:rsidR="00FA433F">
        <w:rPr>
          <w:noProof/>
        </w:rPr>
        <w:t> </w:t>
      </w:r>
      <w:r w:rsidR="00FA433F" w:rsidRPr="00FA433F">
        <w:rPr>
          <w:noProof/>
        </w:rPr>
        <w:t>pań</w:t>
      </w:r>
      <w:r w:rsidRPr="00FA433F">
        <w:rPr>
          <w:noProof/>
        </w:rPr>
        <w:t xml:space="preserve">stwami </w:t>
      </w:r>
      <w:r w:rsidRPr="00FA433F">
        <w:rPr>
          <w:noProof/>
        </w:rPr>
        <w:lastRenderedPageBreak/>
        <w:t>członkowskimi, zgodnie</w:t>
      </w:r>
      <w:r w:rsidR="00FA433F" w:rsidRPr="00FA433F">
        <w:rPr>
          <w:noProof/>
        </w:rPr>
        <w:t xml:space="preserve"> z</w:t>
      </w:r>
      <w:r w:rsidR="00FA433F">
        <w:rPr>
          <w:noProof/>
        </w:rPr>
        <w:t> </w:t>
      </w:r>
      <w:r w:rsidR="00FA433F" w:rsidRPr="00FA433F">
        <w:rPr>
          <w:noProof/>
        </w:rPr>
        <w:t>roz</w:t>
      </w:r>
      <w:r w:rsidRPr="00FA433F">
        <w:rPr>
          <w:noProof/>
        </w:rPr>
        <w:t>porządzeniem Parlamentu Europejskiego</w:t>
      </w:r>
      <w:r w:rsidR="00FA433F" w:rsidRPr="00FA433F">
        <w:rPr>
          <w:noProof/>
        </w:rPr>
        <w:t xml:space="preserve"> i</w:t>
      </w:r>
      <w:r w:rsidR="00FA433F">
        <w:rPr>
          <w:noProof/>
        </w:rPr>
        <w:t> </w:t>
      </w:r>
      <w:r w:rsidR="00FA433F" w:rsidRPr="00FA433F">
        <w:rPr>
          <w:noProof/>
        </w:rPr>
        <w:t>Rad</w:t>
      </w:r>
      <w:r w:rsidRPr="00FA433F">
        <w:rPr>
          <w:noProof/>
        </w:rPr>
        <w:t>y (UE, Euratom) 2020/2092</w:t>
      </w:r>
      <w:r w:rsidRPr="00FA433F">
        <w:rPr>
          <w:rStyle w:val="Odwoanieprzypisudolnego"/>
          <w:noProof/>
        </w:rPr>
        <w:footnoteReference w:id="17"/>
      </w:r>
      <w:r w:rsidR="00FA433F" w:rsidRPr="00FA433F">
        <w:rPr>
          <w:noProof/>
        </w:rPr>
        <w:t>. W</w:t>
      </w:r>
      <w:r w:rsidR="00FA433F">
        <w:rPr>
          <w:noProof/>
        </w:rPr>
        <w:t> </w:t>
      </w:r>
      <w:r w:rsidR="00FA433F" w:rsidRPr="00FA433F">
        <w:rPr>
          <w:noProof/>
        </w:rPr>
        <w:t>pod</w:t>
      </w:r>
      <w:r w:rsidRPr="00FA433F">
        <w:rPr>
          <w:noProof/>
        </w:rPr>
        <w:t>ejściu tym powinno się wykorzystywać nawiązane relacje między państwami członkowskimi</w:t>
      </w:r>
      <w:r w:rsidR="00FA433F" w:rsidRPr="00FA433F">
        <w:rPr>
          <w:noProof/>
        </w:rPr>
        <w:t xml:space="preserve"> a</w:t>
      </w:r>
      <w:r w:rsidR="00FA433F">
        <w:rPr>
          <w:noProof/>
        </w:rPr>
        <w:t> </w:t>
      </w:r>
      <w:r w:rsidR="00FA433F" w:rsidRPr="00FA433F">
        <w:rPr>
          <w:noProof/>
        </w:rPr>
        <w:t>ope</w:t>
      </w:r>
      <w:r w:rsidRPr="00FA433F">
        <w:rPr>
          <w:noProof/>
        </w:rPr>
        <w:t>ratorami,</w:t>
      </w:r>
      <w:r w:rsidR="00FA433F" w:rsidRPr="00FA433F">
        <w:rPr>
          <w:noProof/>
        </w:rPr>
        <w:t xml:space="preserve"> z</w:t>
      </w:r>
      <w:r w:rsidR="00FA433F">
        <w:rPr>
          <w:noProof/>
        </w:rPr>
        <w:t> </w:t>
      </w:r>
      <w:r w:rsidR="00FA433F" w:rsidRPr="00FA433F">
        <w:rPr>
          <w:noProof/>
        </w:rPr>
        <w:t>uwz</w:t>
      </w:r>
      <w:r w:rsidRPr="00FA433F">
        <w:rPr>
          <w:noProof/>
        </w:rPr>
        <w:t>ględnieniem specyfiki lokalnej</w:t>
      </w:r>
      <w:r w:rsidR="00FA433F" w:rsidRPr="00FA433F">
        <w:rPr>
          <w:noProof/>
        </w:rPr>
        <w:t xml:space="preserve"> i</w:t>
      </w:r>
      <w:r w:rsidR="00FA433F">
        <w:rPr>
          <w:noProof/>
        </w:rPr>
        <w:t> </w:t>
      </w:r>
      <w:r w:rsidR="00FA433F" w:rsidRPr="00FA433F">
        <w:rPr>
          <w:noProof/>
        </w:rPr>
        <w:t>obo</w:t>
      </w:r>
      <w:r w:rsidRPr="00FA433F">
        <w:rPr>
          <w:noProof/>
        </w:rPr>
        <w:t>wiązujących ustaleń, aby zapewnić zarówno terminową ocenę wniosków, jak</w:t>
      </w:r>
      <w:r w:rsidR="00FA433F" w:rsidRPr="00FA433F">
        <w:rPr>
          <w:noProof/>
        </w:rPr>
        <w:t xml:space="preserve"> i</w:t>
      </w:r>
      <w:r w:rsidR="00FA433F">
        <w:rPr>
          <w:noProof/>
        </w:rPr>
        <w:t> </w:t>
      </w:r>
      <w:r w:rsidR="00FA433F" w:rsidRPr="00FA433F">
        <w:rPr>
          <w:noProof/>
        </w:rPr>
        <w:t>sku</w:t>
      </w:r>
      <w:r w:rsidRPr="00FA433F">
        <w:rPr>
          <w:noProof/>
        </w:rPr>
        <w:t>teczną wypłatę wsparcia finansowego na rzecz beneficjentów końcowych. Ponadto termin składania wniosków oraz dokumenty, które należy przedłożyć, powinny być dostosowane do obowiązków spoczywających już na operatorach otrzymujących przydział bezpłatnych uprawnień na mocy art. 22a</w:t>
      </w:r>
      <w:r w:rsidR="00FA433F" w:rsidRPr="00FA433F">
        <w:rPr>
          <w:noProof/>
        </w:rPr>
        <w:t xml:space="preserve"> i</w:t>
      </w:r>
      <w:r w:rsidR="00FA433F">
        <w:rPr>
          <w:noProof/>
        </w:rPr>
        <w:t> </w:t>
      </w:r>
      <w:r w:rsidR="00FA433F" w:rsidRPr="00FA433F">
        <w:rPr>
          <w:noProof/>
        </w:rPr>
        <w:t>2</w:t>
      </w:r>
      <w:r w:rsidRPr="00FA433F">
        <w:rPr>
          <w:noProof/>
        </w:rPr>
        <w:t>2b rozporządzenia delegowanego Komisji (UE) 2019/331</w:t>
      </w:r>
      <w:r w:rsidRPr="00FA433F">
        <w:rPr>
          <w:rStyle w:val="Odwoanieprzypisudolnego"/>
          <w:noProof/>
        </w:rPr>
        <w:footnoteReference w:id="18"/>
      </w:r>
      <w:r w:rsidRPr="00FA433F">
        <w:rPr>
          <w:noProof/>
        </w:rPr>
        <w:t xml:space="preserve"> oraz art. 3</w:t>
      </w:r>
      <w:r w:rsidR="00FA433F" w:rsidRPr="00FA433F">
        <w:rPr>
          <w:noProof/>
        </w:rPr>
        <w:t xml:space="preserve"> i</w:t>
      </w:r>
      <w:r w:rsidR="00FA433F">
        <w:rPr>
          <w:noProof/>
        </w:rPr>
        <w:t> </w:t>
      </w:r>
      <w:r w:rsidR="00FA433F" w:rsidRPr="00FA433F">
        <w:rPr>
          <w:noProof/>
        </w:rPr>
        <w:t>3</w:t>
      </w:r>
      <w:r w:rsidRPr="00FA433F">
        <w:rPr>
          <w:noProof/>
        </w:rPr>
        <w:t>d rozporządzenia wykonawczego Komisji (UE) 2019/1842</w:t>
      </w:r>
      <w:r w:rsidRPr="00FA433F">
        <w:rPr>
          <w:rStyle w:val="Odwoanieprzypisudolnego"/>
          <w:noProof/>
        </w:rPr>
        <w:footnoteReference w:id="19"/>
      </w:r>
      <w:r w:rsidRPr="00FA433F">
        <w:rPr>
          <w:noProof/>
        </w:rPr>
        <w:t>.</w:t>
      </w:r>
    </w:p>
    <w:p w14:paraId="41B3C0E1" w14:textId="0EFC77BC" w:rsidR="008B14A5" w:rsidRPr="00FA433F" w:rsidRDefault="00742AD9" w:rsidP="00742AD9">
      <w:pPr>
        <w:pStyle w:val="ManualConsidrant"/>
        <w:rPr>
          <w:noProof/>
        </w:rPr>
      </w:pPr>
      <w:r w:rsidRPr="00FA433F">
        <w:rPr>
          <w:noProof/>
        </w:rPr>
        <w:t>(12)</w:t>
      </w:r>
      <w:r w:rsidRPr="00FA433F">
        <w:rPr>
          <w:noProof/>
        </w:rPr>
        <w:tab/>
        <w:t>Fundusz powinien</w:t>
      </w:r>
      <w:r w:rsidR="00FA433F" w:rsidRPr="00FA433F">
        <w:rPr>
          <w:noProof/>
        </w:rPr>
        <w:t xml:space="preserve"> w</w:t>
      </w:r>
      <w:r w:rsidR="00FA433F">
        <w:rPr>
          <w:noProof/>
        </w:rPr>
        <w:t> </w:t>
      </w:r>
      <w:r w:rsidR="00FA433F" w:rsidRPr="00FA433F">
        <w:rPr>
          <w:noProof/>
        </w:rPr>
        <w:t>szc</w:t>
      </w:r>
      <w:r w:rsidRPr="00FA433F">
        <w:rPr>
          <w:noProof/>
        </w:rPr>
        <w:t>zególności przyczyniać się do osiągnięcia celu</w:t>
      </w:r>
      <w:r w:rsidR="00FA433F" w:rsidRPr="00FA433F">
        <w:rPr>
          <w:noProof/>
        </w:rPr>
        <w:t xml:space="preserve"> w</w:t>
      </w:r>
      <w:r w:rsidR="00FA433F">
        <w:rPr>
          <w:noProof/>
        </w:rPr>
        <w:t> </w:t>
      </w:r>
      <w:r w:rsidR="00FA433F" w:rsidRPr="00FA433F">
        <w:rPr>
          <w:noProof/>
        </w:rPr>
        <w:t>zak</w:t>
      </w:r>
      <w:r w:rsidRPr="00FA433F">
        <w:rPr>
          <w:noProof/>
        </w:rPr>
        <w:t>resie obniżenia emisyjności poprzez udzielanie wsparcia operatorom instalacji EU ETS, którzy wytwarzają towary narażone na największe pozostałe ryzyko ucieczki emisji</w:t>
      </w:r>
      <w:r w:rsidR="00FA433F" w:rsidRPr="00FA433F">
        <w:rPr>
          <w:noProof/>
        </w:rPr>
        <w:t xml:space="preserve"> w</w:t>
      </w:r>
      <w:r w:rsidR="00FA433F">
        <w:rPr>
          <w:noProof/>
        </w:rPr>
        <w:t> </w:t>
      </w:r>
      <w:r w:rsidR="00FA433F" w:rsidRPr="00FA433F">
        <w:rPr>
          <w:noProof/>
        </w:rPr>
        <w:t>per</w:t>
      </w:r>
      <w:r w:rsidRPr="00FA433F">
        <w:rPr>
          <w:noProof/>
        </w:rPr>
        <w:t>spektywie krótkoterminowej. Towary te należy wybierać</w:t>
      </w:r>
      <w:r w:rsidR="00FA433F" w:rsidRPr="00FA433F">
        <w:rPr>
          <w:noProof/>
        </w:rPr>
        <w:t xml:space="preserve"> z</w:t>
      </w:r>
      <w:r w:rsidR="00FA433F">
        <w:rPr>
          <w:noProof/>
        </w:rPr>
        <w:t> </w:t>
      </w:r>
      <w:r w:rsidR="00FA433F" w:rsidRPr="00FA433F">
        <w:rPr>
          <w:noProof/>
        </w:rPr>
        <w:t>uwz</w:t>
      </w:r>
      <w:r w:rsidRPr="00FA433F">
        <w:rPr>
          <w:noProof/>
        </w:rPr>
        <w:t>ględnieniem zarówno ich emisji, jak</w:t>
      </w:r>
      <w:r w:rsidR="00FA433F" w:rsidRPr="00FA433F">
        <w:rPr>
          <w:noProof/>
        </w:rPr>
        <w:t xml:space="preserve"> i</w:t>
      </w:r>
      <w:r w:rsidR="00FA433F">
        <w:rPr>
          <w:noProof/>
        </w:rPr>
        <w:t> </w:t>
      </w:r>
      <w:r w:rsidR="00FA433F" w:rsidRPr="00FA433F">
        <w:rPr>
          <w:noProof/>
        </w:rPr>
        <w:t>nar</w:t>
      </w:r>
      <w:r w:rsidRPr="00FA433F">
        <w:rPr>
          <w:noProof/>
        </w:rPr>
        <w:t>ażenia na ucieczkę emisji, przy zastosowaniu podejścia mającego na celu określenie jako punktu wyjścia wykazu sektorów</w:t>
      </w:r>
      <w:r w:rsidR="00FA433F" w:rsidRPr="00FA433F">
        <w:rPr>
          <w:noProof/>
        </w:rPr>
        <w:t xml:space="preserve"> i</w:t>
      </w:r>
      <w:r w:rsidR="00FA433F">
        <w:rPr>
          <w:noProof/>
        </w:rPr>
        <w:t> </w:t>
      </w:r>
      <w:r w:rsidR="00FA433F" w:rsidRPr="00FA433F">
        <w:rPr>
          <w:noProof/>
        </w:rPr>
        <w:t>pod</w:t>
      </w:r>
      <w:r w:rsidRPr="00FA433F">
        <w:rPr>
          <w:noProof/>
        </w:rPr>
        <w:t>sektorów narażonych na znaczące ryzyko ucieczki emisji</w:t>
      </w:r>
      <w:r w:rsidR="00FA433F" w:rsidRPr="00FA433F">
        <w:rPr>
          <w:noProof/>
        </w:rPr>
        <w:t xml:space="preserve"> w</w:t>
      </w:r>
      <w:r w:rsidR="00FA433F">
        <w:rPr>
          <w:noProof/>
        </w:rPr>
        <w:t> </w:t>
      </w:r>
      <w:r w:rsidR="00FA433F" w:rsidRPr="00FA433F">
        <w:rPr>
          <w:noProof/>
        </w:rPr>
        <w:t>ram</w:t>
      </w:r>
      <w:r w:rsidRPr="00FA433F">
        <w:rPr>
          <w:noProof/>
        </w:rPr>
        <w:t>ach EU ETS oraz ukierunkowanie środka na te towary, które na podstawie obiektywnego wskaźnika pozostają najbardziej narażone na ucieczkę emisji.</w:t>
      </w:r>
    </w:p>
    <w:p w14:paraId="27FB57B9" w14:textId="264AD913" w:rsidR="008B14A5" w:rsidRPr="00FA433F" w:rsidRDefault="00742AD9" w:rsidP="00742AD9">
      <w:pPr>
        <w:pStyle w:val="ManualConsidrant"/>
        <w:rPr>
          <w:noProof/>
        </w:rPr>
      </w:pPr>
      <w:r w:rsidRPr="00FA433F">
        <w:rPr>
          <w:noProof/>
        </w:rPr>
        <w:t>(13)</w:t>
      </w:r>
      <w:r w:rsidRPr="00FA433F">
        <w:rPr>
          <w:noProof/>
        </w:rPr>
        <w:tab/>
        <w:t>Narażenie na ryzyko związane</w:t>
      </w:r>
      <w:r w:rsidR="00FA433F" w:rsidRPr="00FA433F">
        <w:rPr>
          <w:noProof/>
        </w:rPr>
        <w:t xml:space="preserve"> z</w:t>
      </w:r>
      <w:r w:rsidR="00FA433F">
        <w:rPr>
          <w:noProof/>
        </w:rPr>
        <w:t> </w:t>
      </w:r>
      <w:r w:rsidR="00FA433F" w:rsidRPr="00FA433F">
        <w:rPr>
          <w:noProof/>
        </w:rPr>
        <w:t>tow</w:t>
      </w:r>
      <w:r w:rsidRPr="00FA433F">
        <w:rPr>
          <w:noProof/>
        </w:rPr>
        <w:t>arami</w:t>
      </w:r>
      <w:r w:rsidR="00FA433F" w:rsidRPr="00FA433F">
        <w:rPr>
          <w:noProof/>
        </w:rPr>
        <w:t xml:space="preserve"> o</w:t>
      </w:r>
      <w:r w:rsidR="00FA433F">
        <w:rPr>
          <w:noProof/>
        </w:rPr>
        <w:t> </w:t>
      </w:r>
      <w:r w:rsidR="00FA433F" w:rsidRPr="00FA433F">
        <w:rPr>
          <w:noProof/>
        </w:rPr>
        <w:t>nis</w:t>
      </w:r>
      <w:r w:rsidRPr="00FA433F">
        <w:rPr>
          <w:noProof/>
        </w:rPr>
        <w:t>kim stosunku wartości do masy może się znacznie różnić</w:t>
      </w:r>
      <w:r w:rsidR="00FA433F" w:rsidRPr="00FA433F">
        <w:rPr>
          <w:noProof/>
        </w:rPr>
        <w:t xml:space="preserve"> w</w:t>
      </w:r>
      <w:r w:rsidR="00FA433F">
        <w:rPr>
          <w:noProof/>
        </w:rPr>
        <w:t> </w:t>
      </w:r>
      <w:r w:rsidR="00FA433F" w:rsidRPr="00FA433F">
        <w:rPr>
          <w:noProof/>
        </w:rPr>
        <w:t>pos</w:t>
      </w:r>
      <w:r w:rsidRPr="00FA433F">
        <w:rPr>
          <w:noProof/>
        </w:rPr>
        <w:t>zczególnych państwach członkowskich. Aby uwzględnić szczególne cechy towarów</w:t>
      </w:r>
      <w:r w:rsidR="00FA433F" w:rsidRPr="00FA433F">
        <w:rPr>
          <w:noProof/>
        </w:rPr>
        <w:t xml:space="preserve"> o</w:t>
      </w:r>
      <w:r w:rsidR="00FA433F">
        <w:rPr>
          <w:noProof/>
        </w:rPr>
        <w:t> </w:t>
      </w:r>
      <w:r w:rsidR="00FA433F" w:rsidRPr="00FA433F">
        <w:rPr>
          <w:noProof/>
        </w:rPr>
        <w:t>nis</w:t>
      </w:r>
      <w:r w:rsidRPr="00FA433F">
        <w:rPr>
          <w:noProof/>
        </w:rPr>
        <w:t>kim stosunku wartości do masy</w:t>
      </w:r>
      <w:r w:rsidR="00FA433F" w:rsidRPr="00FA433F">
        <w:rPr>
          <w:noProof/>
        </w:rPr>
        <w:t xml:space="preserve"> w</w:t>
      </w:r>
      <w:r w:rsidR="00FA433F">
        <w:rPr>
          <w:noProof/>
        </w:rPr>
        <w:t> </w:t>
      </w:r>
      <w:r w:rsidR="00FA433F" w:rsidRPr="00FA433F">
        <w:rPr>
          <w:noProof/>
        </w:rPr>
        <w:t>odn</w:t>
      </w:r>
      <w:r w:rsidRPr="00FA433F">
        <w:rPr>
          <w:noProof/>
        </w:rPr>
        <w:t xml:space="preserve">iesieniu do pozostałego ryzyka ucieczki emisji, należy ustanowić mechanizm </w:t>
      </w:r>
      <w:r w:rsidRPr="00FA433F">
        <w:rPr>
          <w:i/>
          <w:iCs/>
          <w:noProof/>
        </w:rPr>
        <w:t>opt-in</w:t>
      </w:r>
      <w:r w:rsidRPr="00FA433F">
        <w:rPr>
          <w:noProof/>
        </w:rPr>
        <w:t>. Chociaż towary określone</w:t>
      </w:r>
      <w:r w:rsidR="00FA433F" w:rsidRPr="00FA433F">
        <w:rPr>
          <w:noProof/>
        </w:rPr>
        <w:t xml:space="preserve"> w</w:t>
      </w:r>
      <w:r w:rsidR="00FA433F">
        <w:rPr>
          <w:noProof/>
        </w:rPr>
        <w:t> </w:t>
      </w:r>
      <w:r w:rsidR="00FA433F" w:rsidRPr="00FA433F">
        <w:rPr>
          <w:noProof/>
        </w:rPr>
        <w:t>zał</w:t>
      </w:r>
      <w:r w:rsidRPr="00FA433F">
        <w:rPr>
          <w:noProof/>
        </w:rPr>
        <w:t>ączniku są szczególnie narażone</w:t>
      </w:r>
      <w:r w:rsidR="00FA433F" w:rsidRPr="00FA433F">
        <w:rPr>
          <w:noProof/>
        </w:rPr>
        <w:t xml:space="preserve"> w</w:t>
      </w:r>
      <w:r w:rsidR="00FA433F">
        <w:rPr>
          <w:noProof/>
        </w:rPr>
        <w:t> </w:t>
      </w:r>
      <w:r w:rsidR="00FA433F" w:rsidRPr="00FA433F">
        <w:rPr>
          <w:noProof/>
        </w:rPr>
        <w:t>cał</w:t>
      </w:r>
      <w:r w:rsidRPr="00FA433F">
        <w:rPr>
          <w:noProof/>
        </w:rPr>
        <w:t xml:space="preserve">ej Unii, powyższy mechanizm </w:t>
      </w:r>
      <w:r w:rsidRPr="00FA433F">
        <w:rPr>
          <w:i/>
          <w:iCs/>
          <w:noProof/>
        </w:rPr>
        <w:t>opt-in</w:t>
      </w:r>
      <w:r w:rsidRPr="00FA433F">
        <w:rPr>
          <w:noProof/>
        </w:rPr>
        <w:t xml:space="preserve"> powinien uwzględniać uwarunkowania krajowe. Powinien istnieć mechanizm </w:t>
      </w:r>
      <w:r w:rsidRPr="00FA433F">
        <w:rPr>
          <w:i/>
          <w:iCs/>
          <w:noProof/>
        </w:rPr>
        <w:t>opt-in</w:t>
      </w:r>
      <w:r w:rsidRPr="00FA433F">
        <w:rPr>
          <w:noProof/>
        </w:rPr>
        <w:t xml:space="preserve"> umożliwiający państwom członkowskim objęcie proponowanym środkiem niektórych kodów Nomenklatury scalonej („kody CN”) zgodnie</w:t>
      </w:r>
      <w:r w:rsidR="00FA433F" w:rsidRPr="00FA433F">
        <w:rPr>
          <w:noProof/>
        </w:rPr>
        <w:t xml:space="preserve"> z</w:t>
      </w:r>
      <w:r w:rsidR="00FA433F">
        <w:rPr>
          <w:noProof/>
        </w:rPr>
        <w:t> </w:t>
      </w:r>
      <w:r w:rsidR="00FA433F" w:rsidRPr="00FA433F">
        <w:rPr>
          <w:noProof/>
        </w:rPr>
        <w:t>roz</w:t>
      </w:r>
      <w:r w:rsidRPr="00FA433F">
        <w:rPr>
          <w:noProof/>
        </w:rPr>
        <w:t>porządzeniem Rady (EWG) nr</w:t>
      </w:r>
      <w:r w:rsidR="00FA433F" w:rsidRPr="00FA433F">
        <w:rPr>
          <w:noProof/>
        </w:rPr>
        <w:t> </w:t>
      </w:r>
      <w:r w:rsidRPr="00FA433F">
        <w:rPr>
          <w:noProof/>
        </w:rPr>
        <w:t>2658/87</w:t>
      </w:r>
      <w:r w:rsidRPr="00FA433F">
        <w:rPr>
          <w:rStyle w:val="Odwoanieprzypisudolnego"/>
          <w:noProof/>
        </w:rPr>
        <w:footnoteReference w:id="20"/>
      </w:r>
      <w:r w:rsidRPr="00FA433F">
        <w:rPr>
          <w:noProof/>
        </w:rPr>
        <w:t>, pod warunkiem wykazania, że kryteria doboru zastosowane do określenia towarów wymienionych</w:t>
      </w:r>
      <w:r w:rsidR="00FA433F" w:rsidRPr="00FA433F">
        <w:rPr>
          <w:noProof/>
        </w:rPr>
        <w:t xml:space="preserve"> w</w:t>
      </w:r>
      <w:r w:rsidR="00FA433F">
        <w:rPr>
          <w:noProof/>
        </w:rPr>
        <w:t> </w:t>
      </w:r>
      <w:r w:rsidR="00FA433F" w:rsidRPr="00FA433F">
        <w:rPr>
          <w:noProof/>
        </w:rPr>
        <w:t>zał</w:t>
      </w:r>
      <w:r w:rsidRPr="00FA433F">
        <w:rPr>
          <w:noProof/>
        </w:rPr>
        <w:t xml:space="preserve">ączniku do niniejszego rozporządzenia są spełnione na szczeblu krajowym. </w:t>
      </w:r>
    </w:p>
    <w:p w14:paraId="706121D5" w14:textId="3CD6CB35" w:rsidR="008B14A5" w:rsidRPr="00FA433F" w:rsidRDefault="00742AD9" w:rsidP="00742AD9">
      <w:pPr>
        <w:pStyle w:val="ManualConsidrant"/>
        <w:rPr>
          <w:noProof/>
        </w:rPr>
      </w:pPr>
      <w:r w:rsidRPr="00FA433F">
        <w:rPr>
          <w:noProof/>
        </w:rPr>
        <w:t>(14)</w:t>
      </w:r>
      <w:r w:rsidRPr="00FA433F">
        <w:rPr>
          <w:noProof/>
        </w:rPr>
        <w:tab/>
        <w:t>W celu zapewnienia, aby skutkiem wsparcia finansowego było zachęcanie do redukcji emisji gazów cieplarnianych, wsparcie to powinno podlegać obiektywnym, niedyskryminacyjnym</w:t>
      </w:r>
      <w:r w:rsidR="00FA433F" w:rsidRPr="00FA433F">
        <w:rPr>
          <w:noProof/>
        </w:rPr>
        <w:t xml:space="preserve"> i</w:t>
      </w:r>
      <w:r w:rsidR="00FA433F">
        <w:rPr>
          <w:noProof/>
        </w:rPr>
        <w:t> </w:t>
      </w:r>
      <w:r w:rsidR="00FA433F" w:rsidRPr="00FA433F">
        <w:rPr>
          <w:noProof/>
        </w:rPr>
        <w:t>wcz</w:t>
      </w:r>
      <w:r w:rsidRPr="00FA433F">
        <w:rPr>
          <w:noProof/>
        </w:rPr>
        <w:t>eśniej ustalonym warunkom. Aby zmniejszyć obciążenie administracyjne, warunki powinny opierać się na istniejących ramach administracyjnych ustanowionych</w:t>
      </w:r>
      <w:r w:rsidR="00FA433F" w:rsidRPr="00FA433F">
        <w:rPr>
          <w:noProof/>
        </w:rPr>
        <w:t xml:space="preserve"> w</w:t>
      </w:r>
      <w:r w:rsidR="00FA433F">
        <w:rPr>
          <w:noProof/>
        </w:rPr>
        <w:t> </w:t>
      </w:r>
      <w:r w:rsidR="00FA433F" w:rsidRPr="00FA433F">
        <w:rPr>
          <w:noProof/>
        </w:rPr>
        <w:t>odn</w:t>
      </w:r>
      <w:r w:rsidRPr="00FA433F">
        <w:rPr>
          <w:noProof/>
        </w:rPr>
        <w:t>iesieniu do przydziału bezpłatnych uprawnień</w:t>
      </w:r>
      <w:r w:rsidR="00FA433F" w:rsidRPr="00FA433F">
        <w:rPr>
          <w:noProof/>
        </w:rPr>
        <w:t xml:space="preserve"> w</w:t>
      </w:r>
      <w:r w:rsidR="00FA433F">
        <w:rPr>
          <w:noProof/>
        </w:rPr>
        <w:t> </w:t>
      </w:r>
      <w:r w:rsidR="00FA433F" w:rsidRPr="00FA433F">
        <w:rPr>
          <w:noProof/>
        </w:rPr>
        <w:t>ram</w:t>
      </w:r>
      <w:r w:rsidRPr="00FA433F">
        <w:rPr>
          <w:noProof/>
        </w:rPr>
        <w:t xml:space="preserve">ach EU ETS. Aby dostosować warunki do obowiązującej procedury składania </w:t>
      </w:r>
      <w:r w:rsidRPr="00FA433F">
        <w:rPr>
          <w:noProof/>
        </w:rPr>
        <w:lastRenderedPageBreak/>
        <w:t>wniosków</w:t>
      </w:r>
      <w:r w:rsidR="00FA433F" w:rsidRPr="00FA433F">
        <w:rPr>
          <w:noProof/>
        </w:rPr>
        <w:t xml:space="preserve"> o</w:t>
      </w:r>
      <w:r w:rsidR="00FA433F">
        <w:rPr>
          <w:noProof/>
        </w:rPr>
        <w:t> </w:t>
      </w:r>
      <w:r w:rsidR="00FA433F" w:rsidRPr="00FA433F">
        <w:rPr>
          <w:noProof/>
        </w:rPr>
        <w:t>prz</w:t>
      </w:r>
      <w:r w:rsidRPr="00FA433F">
        <w:rPr>
          <w:noProof/>
        </w:rPr>
        <w:t>ydział bezpłatnych uprawnień, wsparcie finansowe powinno być uzależnione od wykazania wdrożenia zaleceń zawartych</w:t>
      </w:r>
      <w:r w:rsidR="00FA433F" w:rsidRPr="00FA433F">
        <w:rPr>
          <w:noProof/>
        </w:rPr>
        <w:t xml:space="preserve"> w</w:t>
      </w:r>
      <w:r w:rsidR="00FA433F">
        <w:rPr>
          <w:noProof/>
        </w:rPr>
        <w:t> </w:t>
      </w:r>
      <w:r w:rsidR="00FA433F" w:rsidRPr="00FA433F">
        <w:rPr>
          <w:noProof/>
        </w:rPr>
        <w:t>aud</w:t>
      </w:r>
      <w:r w:rsidRPr="00FA433F">
        <w:rPr>
          <w:noProof/>
        </w:rPr>
        <w:t>ytach energetycznych lub równoważnych środkach bądź zobowiązania prawnego dotyczącego inwestycji służących osiągnięciu wartości docelowych</w:t>
      </w:r>
      <w:r w:rsidR="00FA433F" w:rsidRPr="00FA433F">
        <w:rPr>
          <w:noProof/>
        </w:rPr>
        <w:t xml:space="preserve"> i</w:t>
      </w:r>
      <w:r w:rsidR="00FA433F">
        <w:rPr>
          <w:noProof/>
        </w:rPr>
        <w:t> </w:t>
      </w:r>
      <w:r w:rsidR="00FA433F" w:rsidRPr="00FA433F">
        <w:rPr>
          <w:noProof/>
        </w:rPr>
        <w:t>kam</w:t>
      </w:r>
      <w:r w:rsidRPr="00FA433F">
        <w:rPr>
          <w:noProof/>
        </w:rPr>
        <w:t>ieni milowych,</w:t>
      </w:r>
      <w:r w:rsidR="00FA433F" w:rsidRPr="00FA433F">
        <w:rPr>
          <w:noProof/>
        </w:rPr>
        <w:t xml:space="preserve"> o</w:t>
      </w:r>
      <w:r w:rsidR="00FA433F">
        <w:rPr>
          <w:noProof/>
        </w:rPr>
        <w:t> </w:t>
      </w:r>
      <w:r w:rsidR="00FA433F" w:rsidRPr="00FA433F">
        <w:rPr>
          <w:noProof/>
        </w:rPr>
        <w:t>któ</w:t>
      </w:r>
      <w:r w:rsidRPr="00FA433F">
        <w:rPr>
          <w:noProof/>
        </w:rPr>
        <w:t>rych mowa</w:t>
      </w:r>
      <w:r w:rsidR="00FA433F" w:rsidRPr="00FA433F">
        <w:rPr>
          <w:noProof/>
        </w:rPr>
        <w:t xml:space="preserve"> w</w:t>
      </w:r>
      <w:r w:rsidR="00FA433F">
        <w:rPr>
          <w:noProof/>
        </w:rPr>
        <w:t> </w:t>
      </w:r>
      <w:r w:rsidR="00FA433F" w:rsidRPr="00FA433F">
        <w:rPr>
          <w:noProof/>
        </w:rPr>
        <w:t>pla</w:t>
      </w:r>
      <w:r w:rsidRPr="00FA433F">
        <w:rPr>
          <w:noProof/>
        </w:rPr>
        <w:t>nie neutralności klimatycznej. Aby umożliwić najskuteczniejszą</w:t>
      </w:r>
      <w:r w:rsidR="00FA433F" w:rsidRPr="00FA433F">
        <w:rPr>
          <w:noProof/>
        </w:rPr>
        <w:t xml:space="preserve"> i</w:t>
      </w:r>
      <w:r w:rsidR="00FA433F">
        <w:rPr>
          <w:noProof/>
        </w:rPr>
        <w:t> </w:t>
      </w:r>
      <w:r w:rsidR="00FA433F" w:rsidRPr="00FA433F">
        <w:rPr>
          <w:noProof/>
        </w:rPr>
        <w:t>naj</w:t>
      </w:r>
      <w:r w:rsidRPr="00FA433F">
        <w:rPr>
          <w:noProof/>
        </w:rPr>
        <w:t>bardziej opłacalną redukcję emisji, beneficjenci powinni mieć możliwość zainwestowania wsparcia</w:t>
      </w:r>
      <w:r w:rsidR="00FA433F" w:rsidRPr="00FA433F">
        <w:rPr>
          <w:noProof/>
        </w:rPr>
        <w:t xml:space="preserve"> w</w:t>
      </w:r>
      <w:r w:rsidR="00FA433F">
        <w:rPr>
          <w:noProof/>
        </w:rPr>
        <w:t> </w:t>
      </w:r>
      <w:r w:rsidR="00FA433F" w:rsidRPr="00FA433F">
        <w:rPr>
          <w:noProof/>
        </w:rPr>
        <w:t>pro</w:t>
      </w:r>
      <w:r w:rsidRPr="00FA433F">
        <w:rPr>
          <w:noProof/>
        </w:rPr>
        <w:t>jekty, które najlepiej odpowiadają ich indywidualnej sytuacji.</w:t>
      </w:r>
    </w:p>
    <w:p w14:paraId="595BC91C" w14:textId="22B14CF8" w:rsidR="008B14A5" w:rsidRPr="00FA433F" w:rsidRDefault="00742AD9" w:rsidP="00742AD9">
      <w:pPr>
        <w:pStyle w:val="ManualConsidrant"/>
        <w:rPr>
          <w:noProof/>
        </w:rPr>
      </w:pPr>
      <w:r w:rsidRPr="00FA433F">
        <w:rPr>
          <w:noProof/>
        </w:rPr>
        <w:t>(15)</w:t>
      </w:r>
      <w:r w:rsidRPr="00FA433F">
        <w:rPr>
          <w:noProof/>
        </w:rPr>
        <w:tab/>
        <w:t>Po złożeniu wniosków należy ustanowić metodykę obliczania wsparcia finansowego przez właściwe organy wyznaczone przez państwa członkowskie</w:t>
      </w:r>
      <w:r w:rsidR="00FA433F" w:rsidRPr="00FA433F">
        <w:rPr>
          <w:noProof/>
        </w:rPr>
        <w:t>. W</w:t>
      </w:r>
      <w:r w:rsidR="00FA433F">
        <w:rPr>
          <w:noProof/>
        </w:rPr>
        <w:t> </w:t>
      </w:r>
      <w:r w:rsidR="00FA433F" w:rsidRPr="00FA433F">
        <w:rPr>
          <w:noProof/>
        </w:rPr>
        <w:t>obl</w:t>
      </w:r>
      <w:r w:rsidRPr="00FA433F">
        <w:rPr>
          <w:noProof/>
        </w:rPr>
        <w:t>iczeniach tych należy uwzględnić roczną średnią cen rozliczenia aukcji uprawnień</w:t>
      </w:r>
      <w:r w:rsidR="00FA433F" w:rsidRPr="00FA433F">
        <w:rPr>
          <w:noProof/>
        </w:rPr>
        <w:t xml:space="preserve"> w</w:t>
      </w:r>
      <w:r w:rsidR="00FA433F">
        <w:rPr>
          <w:noProof/>
        </w:rPr>
        <w:t> </w:t>
      </w:r>
      <w:r w:rsidR="00FA433F" w:rsidRPr="00FA433F">
        <w:rPr>
          <w:noProof/>
        </w:rPr>
        <w:t>ram</w:t>
      </w:r>
      <w:r w:rsidRPr="00FA433F">
        <w:rPr>
          <w:noProof/>
        </w:rPr>
        <w:t>ach EU ETS na platformie aukcyjnej</w:t>
      </w:r>
      <w:r w:rsidR="00FA433F" w:rsidRPr="00FA433F">
        <w:rPr>
          <w:noProof/>
        </w:rPr>
        <w:t xml:space="preserve"> w</w:t>
      </w:r>
      <w:r w:rsidR="00FA433F">
        <w:rPr>
          <w:noProof/>
        </w:rPr>
        <w:t> </w:t>
      </w:r>
      <w:r w:rsidR="00FA433F" w:rsidRPr="00FA433F">
        <w:rPr>
          <w:noProof/>
        </w:rPr>
        <w:t>lat</w:t>
      </w:r>
      <w:r w:rsidRPr="00FA433F">
        <w:rPr>
          <w:noProof/>
        </w:rPr>
        <w:t>ach 2026</w:t>
      </w:r>
      <w:r w:rsidR="00FA433F" w:rsidRPr="00FA433F">
        <w:rPr>
          <w:noProof/>
        </w:rPr>
        <w:t xml:space="preserve"> i</w:t>
      </w:r>
      <w:r w:rsidR="00FA433F">
        <w:rPr>
          <w:noProof/>
        </w:rPr>
        <w:t> </w:t>
      </w:r>
      <w:r w:rsidR="00FA433F" w:rsidRPr="00FA433F">
        <w:rPr>
          <w:noProof/>
        </w:rPr>
        <w:t>2</w:t>
      </w:r>
      <w:r w:rsidRPr="00FA433F">
        <w:rPr>
          <w:noProof/>
        </w:rPr>
        <w:t>027, ponieważ lata te są latami referencyjnymi, na które przyznano wsparcie,</w:t>
      </w:r>
      <w:r w:rsidR="00FA433F" w:rsidRPr="00FA433F">
        <w:rPr>
          <w:noProof/>
        </w:rPr>
        <w:t xml:space="preserve"> i</w:t>
      </w:r>
      <w:r w:rsidR="00FA433F">
        <w:rPr>
          <w:noProof/>
        </w:rPr>
        <w:t> </w:t>
      </w:r>
      <w:r w:rsidR="00FA433F" w:rsidRPr="00FA433F">
        <w:rPr>
          <w:noProof/>
        </w:rPr>
        <w:t>lep</w:t>
      </w:r>
      <w:r w:rsidRPr="00FA433F">
        <w:rPr>
          <w:noProof/>
        </w:rPr>
        <w:t>iej odzwierciedlają koszty rozwiązania problemu pozostałego ryzyka ucieczki emisji. Po dokonaniu obliczeń właściwe organy powinny przekazać Komisji wykaz obejmujący wszystkich beneficjentów oraz wysokość przysługującego im obliczonego wsparcia finansowego.</w:t>
      </w:r>
    </w:p>
    <w:p w14:paraId="313F2432" w14:textId="65873901" w:rsidR="000D3974" w:rsidRPr="00FA433F" w:rsidRDefault="00742AD9" w:rsidP="00742AD9">
      <w:pPr>
        <w:pStyle w:val="ManualConsidrant"/>
        <w:rPr>
          <w:noProof/>
        </w:rPr>
      </w:pPr>
      <w:r w:rsidRPr="00FA433F">
        <w:rPr>
          <w:noProof/>
        </w:rPr>
        <w:t>(16)</w:t>
      </w:r>
      <w:r w:rsidRPr="00FA433F">
        <w:rPr>
          <w:noProof/>
        </w:rPr>
        <w:tab/>
        <w:t>Po zweryfikowaniu obliczeń przedstawionych przez właściwe organy krajowe Komisja powinna podjąć decyzję określającą kwotę przydzieloną każdemu państwu członkowskiemu, ze wskazaniem kwot należnych poszczególnym beneficjentom końcowym</w:t>
      </w:r>
      <w:r w:rsidR="00FA433F" w:rsidRPr="00FA433F">
        <w:rPr>
          <w:noProof/>
        </w:rPr>
        <w:t xml:space="preserve"> w</w:t>
      </w:r>
      <w:r w:rsidR="00FA433F">
        <w:rPr>
          <w:noProof/>
        </w:rPr>
        <w:t> </w:t>
      </w:r>
      <w:r w:rsidR="00FA433F" w:rsidRPr="00FA433F">
        <w:rPr>
          <w:noProof/>
        </w:rPr>
        <w:t>dan</w:t>
      </w:r>
      <w:r w:rsidRPr="00FA433F">
        <w:rPr>
          <w:noProof/>
        </w:rPr>
        <w:t>ym państwie członkowskim. Decyzja ta powinna stanowić zobowiązanie prawne</w:t>
      </w:r>
      <w:r w:rsidR="00FA433F" w:rsidRPr="00FA433F">
        <w:rPr>
          <w:noProof/>
        </w:rPr>
        <w:t xml:space="preserve"> w</w:t>
      </w:r>
      <w:r w:rsidR="00FA433F">
        <w:rPr>
          <w:noProof/>
        </w:rPr>
        <w:t> </w:t>
      </w:r>
      <w:r w:rsidR="00FA433F" w:rsidRPr="00FA433F">
        <w:rPr>
          <w:noProof/>
        </w:rPr>
        <w:t>odn</w:t>
      </w:r>
      <w:r w:rsidRPr="00FA433F">
        <w:rPr>
          <w:noProof/>
        </w:rPr>
        <w:t>iesieniu do beneficjentów końcowych</w:t>
      </w:r>
      <w:r w:rsidR="00FA433F" w:rsidRPr="00FA433F">
        <w:rPr>
          <w:noProof/>
        </w:rPr>
        <w:t xml:space="preserve"> w</w:t>
      </w:r>
      <w:r w:rsidR="00FA433F">
        <w:rPr>
          <w:noProof/>
        </w:rPr>
        <w:t> </w:t>
      </w:r>
      <w:r w:rsidR="00FA433F" w:rsidRPr="00FA433F">
        <w:rPr>
          <w:noProof/>
        </w:rPr>
        <w:t>roz</w:t>
      </w:r>
      <w:r w:rsidRPr="00FA433F">
        <w:rPr>
          <w:noProof/>
        </w:rPr>
        <w:t>umieniu rozporządzenia Parlamentu Europejskiego</w:t>
      </w:r>
      <w:r w:rsidR="00FA433F" w:rsidRPr="00FA433F">
        <w:rPr>
          <w:noProof/>
        </w:rPr>
        <w:t xml:space="preserve"> i</w:t>
      </w:r>
      <w:r w:rsidR="00FA433F">
        <w:rPr>
          <w:noProof/>
        </w:rPr>
        <w:t> </w:t>
      </w:r>
      <w:r w:rsidR="00FA433F" w:rsidRPr="00FA433F">
        <w:rPr>
          <w:noProof/>
        </w:rPr>
        <w:t>Rad</w:t>
      </w:r>
      <w:r w:rsidRPr="00FA433F">
        <w:rPr>
          <w:noProof/>
        </w:rPr>
        <w:t>y (UE, Euratom) 2024/25</w:t>
      </w:r>
      <w:r w:rsidR="0031595E" w:rsidRPr="00FA433F">
        <w:rPr>
          <w:noProof/>
        </w:rPr>
        <w:t>0</w:t>
      </w:r>
      <w:r w:rsidRPr="00FA433F">
        <w:rPr>
          <w:noProof/>
        </w:rPr>
        <w:t>9</w:t>
      </w:r>
      <w:r w:rsidRPr="00FA433F">
        <w:rPr>
          <w:rStyle w:val="Odwoanieprzypisudolnego"/>
          <w:noProof/>
        </w:rPr>
        <w:footnoteReference w:id="21"/>
      </w:r>
      <w:r w:rsidRPr="00FA433F">
        <w:rPr>
          <w:noProof/>
        </w:rPr>
        <w:t>. Komisja powinna wypłacić właściwym organom krajowym kwotę przydzieloną każdemu państwu członkowskiemu, odpowiadającą wsparciu finansowemu udzielonemu beneficjentom końcowym</w:t>
      </w:r>
      <w:r w:rsidR="00FA433F" w:rsidRPr="00FA433F">
        <w:rPr>
          <w:noProof/>
        </w:rPr>
        <w:t xml:space="preserve"> w</w:t>
      </w:r>
      <w:r w:rsidR="00FA433F">
        <w:rPr>
          <w:noProof/>
        </w:rPr>
        <w:t> </w:t>
      </w:r>
      <w:r w:rsidR="00FA433F" w:rsidRPr="00FA433F">
        <w:rPr>
          <w:noProof/>
        </w:rPr>
        <w:t>dan</w:t>
      </w:r>
      <w:r w:rsidRPr="00FA433F">
        <w:rPr>
          <w:noProof/>
        </w:rPr>
        <w:t>ym państwie członkowskim. Właściwe organy powinny następnie terminowo wypłacić wsparcie odpowiednim beneficjentom końcowym.</w:t>
      </w:r>
    </w:p>
    <w:p w14:paraId="5E5C50A7" w14:textId="55BCC988" w:rsidR="000D3974" w:rsidRPr="00FA433F" w:rsidRDefault="00742AD9" w:rsidP="00742AD9">
      <w:pPr>
        <w:pStyle w:val="ManualConsidrant"/>
        <w:rPr>
          <w:noProof/>
        </w:rPr>
      </w:pPr>
      <w:r w:rsidRPr="00FA433F">
        <w:rPr>
          <w:noProof/>
        </w:rPr>
        <w:t>(17)</w:t>
      </w:r>
      <w:r w:rsidRPr="00FA433F">
        <w:rPr>
          <w:noProof/>
        </w:rPr>
        <w:tab/>
        <w:t>Aby zapewniać zapobieganie nadużyciom finansowym, korupcji, konfliktom interesów</w:t>
      </w:r>
      <w:r w:rsidR="00FA433F" w:rsidRPr="00FA433F">
        <w:rPr>
          <w:noProof/>
        </w:rPr>
        <w:t xml:space="preserve"> i</w:t>
      </w:r>
      <w:r w:rsidR="00FA433F">
        <w:rPr>
          <w:noProof/>
        </w:rPr>
        <w:t> </w:t>
      </w:r>
      <w:r w:rsidR="00FA433F" w:rsidRPr="00FA433F">
        <w:rPr>
          <w:noProof/>
        </w:rPr>
        <w:t>inn</w:t>
      </w:r>
      <w:r w:rsidRPr="00FA433F">
        <w:rPr>
          <w:noProof/>
        </w:rPr>
        <w:t>ym nieprawidłowościom mającym wpływ na interesy finansowe Unii oraz ich wykrywanie</w:t>
      </w:r>
      <w:r w:rsidR="00FA433F" w:rsidRPr="00FA433F">
        <w:rPr>
          <w:noProof/>
        </w:rPr>
        <w:t xml:space="preserve"> i</w:t>
      </w:r>
      <w:r w:rsidR="00FA433F">
        <w:rPr>
          <w:noProof/>
        </w:rPr>
        <w:t> </w:t>
      </w:r>
      <w:r w:rsidR="00FA433F" w:rsidRPr="00FA433F">
        <w:rPr>
          <w:noProof/>
        </w:rPr>
        <w:t>zwa</w:t>
      </w:r>
      <w:r w:rsidRPr="00FA433F">
        <w:rPr>
          <w:noProof/>
        </w:rPr>
        <w:t>lczanie, Komisja, Europejski Trybunał Obrachunkowy</w:t>
      </w:r>
      <w:r w:rsidR="00FA433F" w:rsidRPr="00FA433F">
        <w:rPr>
          <w:noProof/>
        </w:rPr>
        <w:t xml:space="preserve"> i</w:t>
      </w:r>
      <w:r w:rsidR="00FA433F">
        <w:rPr>
          <w:noProof/>
        </w:rPr>
        <w:t> </w:t>
      </w:r>
      <w:r w:rsidR="00FA433F" w:rsidRPr="00FA433F">
        <w:rPr>
          <w:noProof/>
        </w:rPr>
        <w:t>Eur</w:t>
      </w:r>
      <w:r w:rsidRPr="00FA433F">
        <w:rPr>
          <w:noProof/>
        </w:rPr>
        <w:t>opejski Urząd ds. Zwalczania Nadużyć Finansowych (OLAF) powinny posiadać uprawnienia powierzone im rozporządzeniem Parlamentu Europejskiego</w:t>
      </w:r>
      <w:r w:rsidR="00FA433F" w:rsidRPr="00FA433F">
        <w:rPr>
          <w:noProof/>
        </w:rPr>
        <w:t xml:space="preserve"> i</w:t>
      </w:r>
      <w:r w:rsidR="00FA433F">
        <w:rPr>
          <w:noProof/>
        </w:rPr>
        <w:t> </w:t>
      </w:r>
      <w:r w:rsidR="00FA433F" w:rsidRPr="00FA433F">
        <w:rPr>
          <w:noProof/>
        </w:rPr>
        <w:t>Rad</w:t>
      </w:r>
      <w:r w:rsidRPr="00FA433F">
        <w:rPr>
          <w:noProof/>
        </w:rPr>
        <w:t>y (UE, Euratom) nr</w:t>
      </w:r>
      <w:r w:rsidR="00FA433F" w:rsidRPr="00FA433F">
        <w:rPr>
          <w:noProof/>
        </w:rPr>
        <w:t> </w:t>
      </w:r>
      <w:r w:rsidRPr="00FA433F">
        <w:rPr>
          <w:noProof/>
        </w:rPr>
        <w:t>883/2013</w:t>
      </w:r>
      <w:r w:rsidRPr="00FA433F">
        <w:rPr>
          <w:rStyle w:val="Odwoanieprzypisudolnego"/>
          <w:noProof/>
        </w:rPr>
        <w:footnoteReference w:id="22"/>
      </w:r>
      <w:r w:rsidR="00FA433F" w:rsidRPr="00FA433F">
        <w:rPr>
          <w:noProof/>
        </w:rPr>
        <w:t xml:space="preserve"> i</w:t>
      </w:r>
      <w:r w:rsidR="00FA433F">
        <w:rPr>
          <w:noProof/>
        </w:rPr>
        <w:t> </w:t>
      </w:r>
      <w:r w:rsidR="00FA433F" w:rsidRPr="00FA433F">
        <w:rPr>
          <w:noProof/>
        </w:rPr>
        <w:t>roz</w:t>
      </w:r>
      <w:r w:rsidRPr="00FA433F">
        <w:rPr>
          <w:noProof/>
        </w:rPr>
        <w:t>porządzeniem (UE, Euratom) 2024/2509 do przeprowadzania audytów</w:t>
      </w:r>
      <w:r w:rsidR="00FA433F" w:rsidRPr="00FA433F">
        <w:rPr>
          <w:noProof/>
        </w:rPr>
        <w:t xml:space="preserve"> i</w:t>
      </w:r>
      <w:r w:rsidR="00FA433F">
        <w:rPr>
          <w:noProof/>
        </w:rPr>
        <w:t> </w:t>
      </w:r>
      <w:r w:rsidR="00FA433F" w:rsidRPr="00FA433F">
        <w:rPr>
          <w:noProof/>
        </w:rPr>
        <w:t>doc</w:t>
      </w:r>
      <w:r w:rsidRPr="00FA433F">
        <w:rPr>
          <w:noProof/>
        </w:rPr>
        <w:t>hodzeń dotyczących wykorzystania środków finansowych Unii na podstawie niniejszego rozporządzenia</w:t>
      </w:r>
      <w:r w:rsidR="00FA433F" w:rsidRPr="00FA433F">
        <w:rPr>
          <w:noProof/>
        </w:rPr>
        <w:t>. W</w:t>
      </w:r>
      <w:r w:rsidR="00FA433F">
        <w:rPr>
          <w:noProof/>
        </w:rPr>
        <w:t> </w:t>
      </w:r>
      <w:r w:rsidR="00FA433F" w:rsidRPr="00FA433F">
        <w:rPr>
          <w:noProof/>
        </w:rPr>
        <w:t>prz</w:t>
      </w:r>
      <w:r w:rsidRPr="00FA433F">
        <w:rPr>
          <w:noProof/>
        </w:rPr>
        <w:t>ypadku państw członkowskich uczestniczących we wzmocnionej współpracy zgodnie</w:t>
      </w:r>
      <w:r w:rsidR="00FA433F" w:rsidRPr="00FA433F">
        <w:rPr>
          <w:noProof/>
        </w:rPr>
        <w:t xml:space="preserve"> z</w:t>
      </w:r>
      <w:r w:rsidR="00FA433F">
        <w:rPr>
          <w:noProof/>
        </w:rPr>
        <w:t> </w:t>
      </w:r>
      <w:r w:rsidR="00FA433F" w:rsidRPr="00FA433F">
        <w:rPr>
          <w:noProof/>
        </w:rPr>
        <w:t>roz</w:t>
      </w:r>
      <w:r w:rsidRPr="00FA433F">
        <w:rPr>
          <w:noProof/>
        </w:rPr>
        <w:t>porządzeniem Rady (UE) 2017/1939</w:t>
      </w:r>
      <w:r w:rsidRPr="00FA433F">
        <w:rPr>
          <w:rStyle w:val="Odwoanieprzypisudolnego"/>
          <w:noProof/>
        </w:rPr>
        <w:footnoteReference w:id="23"/>
      </w:r>
      <w:r w:rsidRPr="00FA433F">
        <w:rPr>
          <w:noProof/>
        </w:rPr>
        <w:t xml:space="preserve"> Prokuratura Europejska (EPPO) powinna prowadzić postępowania przygotowawcze oraz wnosić</w:t>
      </w:r>
      <w:r w:rsidR="00FA433F" w:rsidRPr="00FA433F">
        <w:rPr>
          <w:noProof/>
        </w:rPr>
        <w:t xml:space="preserve"> i</w:t>
      </w:r>
      <w:r w:rsidR="00FA433F">
        <w:rPr>
          <w:noProof/>
        </w:rPr>
        <w:t> </w:t>
      </w:r>
      <w:r w:rsidR="00FA433F" w:rsidRPr="00FA433F">
        <w:rPr>
          <w:noProof/>
        </w:rPr>
        <w:t>pop</w:t>
      </w:r>
      <w:r w:rsidRPr="00FA433F">
        <w:rPr>
          <w:noProof/>
        </w:rPr>
        <w:t>ierać oskarżenia</w:t>
      </w:r>
      <w:r w:rsidR="00FA433F" w:rsidRPr="00FA433F">
        <w:rPr>
          <w:noProof/>
        </w:rPr>
        <w:t xml:space="preserve"> w</w:t>
      </w:r>
      <w:r w:rsidR="00FA433F">
        <w:rPr>
          <w:noProof/>
        </w:rPr>
        <w:t> </w:t>
      </w:r>
      <w:r w:rsidR="00FA433F" w:rsidRPr="00FA433F">
        <w:rPr>
          <w:noProof/>
        </w:rPr>
        <w:t>spr</w:t>
      </w:r>
      <w:r w:rsidRPr="00FA433F">
        <w:rPr>
          <w:noProof/>
        </w:rPr>
        <w:t>awie przestępstw naruszających interesy finansowe Unii.</w:t>
      </w:r>
    </w:p>
    <w:p w14:paraId="168F033E" w14:textId="75B47BBB" w:rsidR="000D3974" w:rsidRPr="00FA433F" w:rsidRDefault="00742AD9" w:rsidP="00742AD9">
      <w:pPr>
        <w:pStyle w:val="ManualConsidrant"/>
        <w:rPr>
          <w:noProof/>
        </w:rPr>
      </w:pPr>
      <w:r w:rsidRPr="00FA433F">
        <w:rPr>
          <w:noProof/>
        </w:rPr>
        <w:lastRenderedPageBreak/>
        <w:t>(18)</w:t>
      </w:r>
      <w:r w:rsidRPr="00FA433F">
        <w:rPr>
          <w:noProof/>
        </w:rPr>
        <w:tab/>
        <w:t>W celu uzupełnienia innych niż istotne elementów niniejszego rozporządzenia Komisji powinny zostać przekazane uprawnienia do przyjmowania aktów zgodnie</w:t>
      </w:r>
      <w:r w:rsidR="00FA433F" w:rsidRPr="00FA433F">
        <w:rPr>
          <w:noProof/>
        </w:rPr>
        <w:t xml:space="preserve"> z</w:t>
      </w:r>
      <w:r w:rsidR="00FA433F">
        <w:rPr>
          <w:noProof/>
        </w:rPr>
        <w:t> </w:t>
      </w:r>
      <w:r w:rsidR="00FA433F" w:rsidRPr="00FA433F">
        <w:rPr>
          <w:noProof/>
        </w:rPr>
        <w:t>art</w:t>
      </w:r>
      <w:r w:rsidRPr="00FA433F">
        <w:rPr>
          <w:noProof/>
        </w:rPr>
        <w:t>. 290 Traktatu powinny</w:t>
      </w:r>
      <w:r w:rsidR="00FA433F" w:rsidRPr="00FA433F">
        <w:rPr>
          <w:noProof/>
        </w:rPr>
        <w:t xml:space="preserve"> w</w:t>
      </w:r>
      <w:r w:rsidR="00FA433F">
        <w:rPr>
          <w:noProof/>
        </w:rPr>
        <w:t> </w:t>
      </w:r>
      <w:r w:rsidR="00FA433F" w:rsidRPr="00FA433F">
        <w:rPr>
          <w:noProof/>
        </w:rPr>
        <w:t>odn</w:t>
      </w:r>
      <w:r w:rsidRPr="00FA433F">
        <w:rPr>
          <w:noProof/>
        </w:rPr>
        <w:t>iesieniu do ustanawiania przepisów dotyczących obliczania</w:t>
      </w:r>
      <w:r w:rsidR="00FA433F" w:rsidRPr="00FA433F">
        <w:rPr>
          <w:noProof/>
        </w:rPr>
        <w:t xml:space="preserve"> i</w:t>
      </w:r>
      <w:r w:rsidR="00FA433F">
        <w:rPr>
          <w:noProof/>
        </w:rPr>
        <w:t> </w:t>
      </w:r>
      <w:r w:rsidR="00FA433F" w:rsidRPr="00FA433F">
        <w:rPr>
          <w:noProof/>
        </w:rPr>
        <w:t>pob</w:t>
      </w:r>
      <w:r w:rsidRPr="00FA433F">
        <w:rPr>
          <w:noProof/>
        </w:rPr>
        <w:t>ierania wkładu każdego państwa członkowskiego do zasobów przeznaczonych na Fundusz, wdrażania Funduszu,</w:t>
      </w:r>
      <w:r w:rsidR="00FA433F" w:rsidRPr="00FA433F">
        <w:rPr>
          <w:noProof/>
        </w:rPr>
        <w:t xml:space="preserve"> w</w:t>
      </w:r>
      <w:r w:rsidR="00FA433F">
        <w:rPr>
          <w:noProof/>
        </w:rPr>
        <w:t> </w:t>
      </w:r>
      <w:r w:rsidR="00FA433F" w:rsidRPr="00FA433F">
        <w:rPr>
          <w:noProof/>
        </w:rPr>
        <w:t>tym</w:t>
      </w:r>
      <w:r w:rsidRPr="00FA433F">
        <w:rPr>
          <w:noProof/>
        </w:rPr>
        <w:t xml:space="preserve"> wymogów</w:t>
      </w:r>
      <w:r w:rsidR="00FA433F" w:rsidRPr="00FA433F">
        <w:rPr>
          <w:noProof/>
        </w:rPr>
        <w:t xml:space="preserve"> w</w:t>
      </w:r>
      <w:r w:rsidR="00FA433F">
        <w:rPr>
          <w:noProof/>
        </w:rPr>
        <w:t> </w:t>
      </w:r>
      <w:r w:rsidR="00FA433F" w:rsidRPr="00FA433F">
        <w:rPr>
          <w:noProof/>
        </w:rPr>
        <w:t>zak</w:t>
      </w:r>
      <w:r w:rsidRPr="00FA433F">
        <w:rPr>
          <w:noProof/>
        </w:rPr>
        <w:t>resie sprawozdawczości</w:t>
      </w:r>
      <w:r w:rsidR="00FA433F" w:rsidRPr="00FA433F">
        <w:rPr>
          <w:noProof/>
        </w:rPr>
        <w:t xml:space="preserve"> i</w:t>
      </w:r>
      <w:r w:rsidR="00FA433F">
        <w:rPr>
          <w:noProof/>
        </w:rPr>
        <w:t> </w:t>
      </w:r>
      <w:r w:rsidR="00FA433F" w:rsidRPr="00FA433F">
        <w:rPr>
          <w:noProof/>
        </w:rPr>
        <w:t>mon</w:t>
      </w:r>
      <w:r w:rsidRPr="00FA433F">
        <w:rPr>
          <w:noProof/>
        </w:rPr>
        <w:t>itorowania, oraz warunków kwalifikowalności towarów, które mają niski stosunek wartości do masy</w:t>
      </w:r>
      <w:r w:rsidR="00FA433F" w:rsidRPr="00FA433F">
        <w:rPr>
          <w:noProof/>
        </w:rPr>
        <w:t xml:space="preserve"> i</w:t>
      </w:r>
      <w:r w:rsidR="00FA433F">
        <w:rPr>
          <w:noProof/>
        </w:rPr>
        <w:t> </w:t>
      </w:r>
      <w:r w:rsidR="00FA433F" w:rsidRPr="00FA433F">
        <w:rPr>
          <w:noProof/>
        </w:rPr>
        <w:t>pod</w:t>
      </w:r>
      <w:r w:rsidRPr="00FA433F">
        <w:rPr>
          <w:noProof/>
        </w:rPr>
        <w:t>legają zwiększonemu pozostałemu ryzyku ucieczki emisji na poziomie krajowym. Szczególnie ważne jest, aby</w:t>
      </w:r>
      <w:r w:rsidR="00FA433F" w:rsidRPr="00FA433F">
        <w:rPr>
          <w:noProof/>
        </w:rPr>
        <w:t xml:space="preserve"> w</w:t>
      </w:r>
      <w:r w:rsidR="00FA433F">
        <w:rPr>
          <w:noProof/>
        </w:rPr>
        <w:t> </w:t>
      </w:r>
      <w:r w:rsidR="00FA433F" w:rsidRPr="00FA433F">
        <w:rPr>
          <w:noProof/>
        </w:rPr>
        <w:t>cza</w:t>
      </w:r>
      <w:r w:rsidRPr="00FA433F">
        <w:rPr>
          <w:noProof/>
        </w:rPr>
        <w:t>sie prac przygotowawczych Komisja prowadziła stosowne konsultacje,</w:t>
      </w:r>
      <w:r w:rsidR="00FA433F" w:rsidRPr="00FA433F">
        <w:rPr>
          <w:noProof/>
        </w:rPr>
        <w:t xml:space="preserve"> w</w:t>
      </w:r>
      <w:r w:rsidR="00FA433F">
        <w:rPr>
          <w:noProof/>
        </w:rPr>
        <w:t> </w:t>
      </w:r>
      <w:r w:rsidR="00FA433F" w:rsidRPr="00FA433F">
        <w:rPr>
          <w:noProof/>
        </w:rPr>
        <w:t>tym</w:t>
      </w:r>
      <w:r w:rsidRPr="00FA433F">
        <w:rPr>
          <w:noProof/>
        </w:rPr>
        <w:t xml:space="preserve"> na poziomie ekspertów, oraz aby konsultacje te prowadzone były zgodnie</w:t>
      </w:r>
      <w:r w:rsidR="00FA433F" w:rsidRPr="00FA433F">
        <w:rPr>
          <w:noProof/>
        </w:rPr>
        <w:t xml:space="preserve"> z</w:t>
      </w:r>
      <w:r w:rsidR="00FA433F">
        <w:rPr>
          <w:noProof/>
        </w:rPr>
        <w:t> </w:t>
      </w:r>
      <w:r w:rsidR="00FA433F" w:rsidRPr="00FA433F">
        <w:rPr>
          <w:noProof/>
        </w:rPr>
        <w:t>zas</w:t>
      </w:r>
      <w:r w:rsidRPr="00FA433F">
        <w:rPr>
          <w:noProof/>
        </w:rPr>
        <w:t>adami określonymi</w:t>
      </w:r>
      <w:r w:rsidR="00FA433F" w:rsidRPr="00FA433F">
        <w:rPr>
          <w:noProof/>
        </w:rPr>
        <w:t xml:space="preserve"> w</w:t>
      </w:r>
      <w:r w:rsidR="00FA433F">
        <w:rPr>
          <w:noProof/>
        </w:rPr>
        <w:t> </w:t>
      </w:r>
      <w:r w:rsidR="00FA433F" w:rsidRPr="00FA433F">
        <w:rPr>
          <w:noProof/>
        </w:rPr>
        <w:t>Por</w:t>
      </w:r>
      <w:r w:rsidRPr="00FA433F">
        <w:rPr>
          <w:noProof/>
        </w:rPr>
        <w:t>ozumieniu międzyinstytucjonalnym</w:t>
      </w:r>
      <w:r w:rsidR="00FA433F" w:rsidRPr="00FA433F">
        <w:rPr>
          <w:noProof/>
        </w:rPr>
        <w:t xml:space="preserve"> z</w:t>
      </w:r>
      <w:r w:rsidR="00FA433F">
        <w:rPr>
          <w:noProof/>
        </w:rPr>
        <w:t> </w:t>
      </w:r>
      <w:r w:rsidR="00FA433F" w:rsidRPr="00FA433F">
        <w:rPr>
          <w:noProof/>
        </w:rPr>
        <w:t>dni</w:t>
      </w:r>
      <w:r w:rsidRPr="00FA433F">
        <w:rPr>
          <w:noProof/>
        </w:rPr>
        <w:t>a 13 kwietnia 2016</w:t>
      </w:r>
      <w:r w:rsidR="00FA433F" w:rsidRPr="00FA433F">
        <w:rPr>
          <w:noProof/>
        </w:rPr>
        <w:t> </w:t>
      </w:r>
      <w:r w:rsidRPr="00FA433F">
        <w:rPr>
          <w:noProof/>
        </w:rPr>
        <w:t>r.</w:t>
      </w:r>
      <w:r w:rsidR="00FA433F" w:rsidRPr="00FA433F">
        <w:rPr>
          <w:noProof/>
        </w:rPr>
        <w:t xml:space="preserve"> w</w:t>
      </w:r>
      <w:r w:rsidR="00FA433F">
        <w:rPr>
          <w:noProof/>
        </w:rPr>
        <w:t> </w:t>
      </w:r>
      <w:r w:rsidR="00FA433F" w:rsidRPr="00FA433F">
        <w:rPr>
          <w:noProof/>
        </w:rPr>
        <w:t>spr</w:t>
      </w:r>
      <w:r w:rsidRPr="00FA433F">
        <w:rPr>
          <w:noProof/>
        </w:rPr>
        <w:t>awie lepszego stanowienia prawa</w:t>
      </w:r>
      <w:r w:rsidRPr="00FA433F">
        <w:rPr>
          <w:rStyle w:val="Odwoanieprzypisudolnego"/>
          <w:noProof/>
        </w:rPr>
        <w:footnoteReference w:id="24"/>
      </w:r>
      <w:r w:rsidR="00FA433F" w:rsidRPr="00FA433F">
        <w:rPr>
          <w:noProof/>
        </w:rPr>
        <w:t>. W</w:t>
      </w:r>
      <w:r w:rsidR="00FA433F">
        <w:rPr>
          <w:noProof/>
        </w:rPr>
        <w:t> </w:t>
      </w:r>
      <w:r w:rsidR="00FA433F" w:rsidRPr="00FA433F">
        <w:rPr>
          <w:noProof/>
        </w:rPr>
        <w:t>szc</w:t>
      </w:r>
      <w:r w:rsidRPr="00FA433F">
        <w:rPr>
          <w:noProof/>
        </w:rPr>
        <w:t>zególności, aby zapewnić Parlamentowi Europejskiemu</w:t>
      </w:r>
      <w:r w:rsidR="00FA433F" w:rsidRPr="00FA433F">
        <w:rPr>
          <w:noProof/>
        </w:rPr>
        <w:t xml:space="preserve"> i</w:t>
      </w:r>
      <w:r w:rsidR="00FA433F">
        <w:rPr>
          <w:noProof/>
        </w:rPr>
        <w:t> </w:t>
      </w:r>
      <w:r w:rsidR="00FA433F" w:rsidRPr="00FA433F">
        <w:rPr>
          <w:noProof/>
        </w:rPr>
        <w:t>Rad</w:t>
      </w:r>
      <w:r w:rsidRPr="00FA433F">
        <w:rPr>
          <w:noProof/>
        </w:rPr>
        <w:t>zie udział na równych zasadach</w:t>
      </w:r>
      <w:r w:rsidR="00FA433F" w:rsidRPr="00FA433F">
        <w:rPr>
          <w:noProof/>
        </w:rPr>
        <w:t xml:space="preserve"> w</w:t>
      </w:r>
      <w:r w:rsidR="00FA433F">
        <w:rPr>
          <w:noProof/>
        </w:rPr>
        <w:t> </w:t>
      </w:r>
      <w:r w:rsidR="00FA433F" w:rsidRPr="00FA433F">
        <w:rPr>
          <w:noProof/>
        </w:rPr>
        <w:t>prz</w:t>
      </w:r>
      <w:r w:rsidRPr="00FA433F">
        <w:rPr>
          <w:noProof/>
        </w:rPr>
        <w:t>ygotowaniu aktów delegowanych, instytucje te otrzymują wszelkie dokumenty</w:t>
      </w:r>
      <w:r w:rsidR="00FA433F" w:rsidRPr="00FA433F">
        <w:rPr>
          <w:noProof/>
        </w:rPr>
        <w:t xml:space="preserve"> w</w:t>
      </w:r>
      <w:r w:rsidR="00FA433F">
        <w:rPr>
          <w:noProof/>
        </w:rPr>
        <w:t> </w:t>
      </w:r>
      <w:r w:rsidR="00FA433F" w:rsidRPr="00FA433F">
        <w:rPr>
          <w:noProof/>
        </w:rPr>
        <w:t>tym</w:t>
      </w:r>
      <w:r w:rsidRPr="00FA433F">
        <w:rPr>
          <w:noProof/>
        </w:rPr>
        <w:t xml:space="preserve"> samym czasie co eksperci państw członkowskich,</w:t>
      </w:r>
      <w:r w:rsidR="00FA433F" w:rsidRPr="00FA433F">
        <w:rPr>
          <w:noProof/>
        </w:rPr>
        <w:t xml:space="preserve"> a</w:t>
      </w:r>
      <w:r w:rsidR="00FA433F">
        <w:rPr>
          <w:noProof/>
        </w:rPr>
        <w:t> </w:t>
      </w:r>
      <w:r w:rsidR="00FA433F" w:rsidRPr="00FA433F">
        <w:rPr>
          <w:noProof/>
        </w:rPr>
        <w:t>eks</w:t>
      </w:r>
      <w:r w:rsidRPr="00FA433F">
        <w:rPr>
          <w:noProof/>
        </w:rPr>
        <w:t>perci tych instytucji mogą systematycznie brać udział</w:t>
      </w:r>
      <w:r w:rsidR="00FA433F" w:rsidRPr="00FA433F">
        <w:rPr>
          <w:noProof/>
        </w:rPr>
        <w:t xml:space="preserve"> w</w:t>
      </w:r>
      <w:r w:rsidR="00FA433F">
        <w:rPr>
          <w:noProof/>
        </w:rPr>
        <w:t> </w:t>
      </w:r>
      <w:r w:rsidR="00FA433F" w:rsidRPr="00FA433F">
        <w:rPr>
          <w:noProof/>
        </w:rPr>
        <w:t>pos</w:t>
      </w:r>
      <w:r w:rsidRPr="00FA433F">
        <w:rPr>
          <w:noProof/>
        </w:rPr>
        <w:t>iedzeniach grup eksperckich Komisji zajmujących się przygotowaniem aktów delegowanych.</w:t>
      </w:r>
    </w:p>
    <w:p w14:paraId="077C1C92" w14:textId="701D614E" w:rsidR="003B297C" w:rsidRPr="00FA433F" w:rsidRDefault="00742AD9" w:rsidP="00742AD9">
      <w:pPr>
        <w:pStyle w:val="ManualConsidrant"/>
        <w:rPr>
          <w:noProof/>
        </w:rPr>
      </w:pPr>
      <w:r w:rsidRPr="00FA433F">
        <w:rPr>
          <w:noProof/>
        </w:rPr>
        <w:t>(19)</w:t>
      </w:r>
      <w:r w:rsidRPr="00FA433F">
        <w:rPr>
          <w:noProof/>
        </w:rPr>
        <w:tab/>
        <w:t>W celu zapewnienia jednolitych warunków wykonywania niniejszego rozporządzenia należy powierzyć Komisji uprawnienia wykonawcze</w:t>
      </w:r>
      <w:r w:rsidR="00FA433F" w:rsidRPr="00FA433F">
        <w:rPr>
          <w:noProof/>
        </w:rPr>
        <w:t xml:space="preserve"> w</w:t>
      </w:r>
      <w:r w:rsidR="00FA433F">
        <w:rPr>
          <w:noProof/>
        </w:rPr>
        <w:t> </w:t>
      </w:r>
      <w:r w:rsidR="00FA433F" w:rsidRPr="00FA433F">
        <w:rPr>
          <w:noProof/>
        </w:rPr>
        <w:t>odn</w:t>
      </w:r>
      <w:r w:rsidRPr="00FA433F">
        <w:rPr>
          <w:noProof/>
        </w:rPr>
        <w:t>iesieniu do ustanawiania przepisów dotyczących wymogów proceduralnych</w:t>
      </w:r>
      <w:r w:rsidR="00FA433F" w:rsidRPr="00FA433F">
        <w:rPr>
          <w:noProof/>
        </w:rPr>
        <w:t xml:space="preserve"> i</w:t>
      </w:r>
      <w:r w:rsidR="00FA433F">
        <w:rPr>
          <w:noProof/>
        </w:rPr>
        <w:t> </w:t>
      </w:r>
      <w:r w:rsidR="00FA433F" w:rsidRPr="00FA433F">
        <w:rPr>
          <w:noProof/>
        </w:rPr>
        <w:t>dow</w:t>
      </w:r>
      <w:r w:rsidRPr="00FA433F">
        <w:rPr>
          <w:noProof/>
        </w:rPr>
        <w:t>odów, które mają być przedkładane przez wnioskodawców, procedury składania wniosków oraz odpowiedzialności beneficjentów końcowych</w:t>
      </w:r>
      <w:r w:rsidR="00FA433F" w:rsidRPr="00FA433F">
        <w:rPr>
          <w:noProof/>
        </w:rPr>
        <w:t xml:space="preserve"> i</w:t>
      </w:r>
      <w:r w:rsidR="00FA433F">
        <w:rPr>
          <w:noProof/>
        </w:rPr>
        <w:t> </w:t>
      </w:r>
      <w:r w:rsidR="00FA433F" w:rsidRPr="00FA433F">
        <w:rPr>
          <w:noProof/>
        </w:rPr>
        <w:t>ich</w:t>
      </w:r>
      <w:r w:rsidRPr="00FA433F">
        <w:rPr>
          <w:noProof/>
        </w:rPr>
        <w:t xml:space="preserve"> obowiązków</w:t>
      </w:r>
      <w:r w:rsidR="00FA433F" w:rsidRPr="00FA433F">
        <w:rPr>
          <w:noProof/>
        </w:rPr>
        <w:t xml:space="preserve"> w</w:t>
      </w:r>
      <w:r w:rsidR="00FA433F">
        <w:rPr>
          <w:noProof/>
        </w:rPr>
        <w:t> </w:t>
      </w:r>
      <w:r w:rsidR="00FA433F" w:rsidRPr="00FA433F">
        <w:rPr>
          <w:noProof/>
        </w:rPr>
        <w:t>zak</w:t>
      </w:r>
      <w:r w:rsidRPr="00FA433F">
        <w:rPr>
          <w:noProof/>
        </w:rPr>
        <w:t>resie monitorowania</w:t>
      </w:r>
      <w:r w:rsidR="00FA433F" w:rsidRPr="00FA433F">
        <w:rPr>
          <w:noProof/>
        </w:rPr>
        <w:t xml:space="preserve"> i</w:t>
      </w:r>
      <w:r w:rsidR="00FA433F">
        <w:rPr>
          <w:noProof/>
        </w:rPr>
        <w:t> </w:t>
      </w:r>
      <w:r w:rsidR="00FA433F" w:rsidRPr="00FA433F">
        <w:rPr>
          <w:noProof/>
        </w:rPr>
        <w:t>spr</w:t>
      </w:r>
      <w:r w:rsidRPr="00FA433F">
        <w:rPr>
          <w:noProof/>
        </w:rPr>
        <w:t xml:space="preserve">awozdawczości. </w:t>
      </w:r>
    </w:p>
    <w:p w14:paraId="1E54519D" w14:textId="6B337813" w:rsidR="004D6CB0" w:rsidRPr="00FA433F" w:rsidRDefault="00742AD9" w:rsidP="00742AD9">
      <w:pPr>
        <w:pStyle w:val="ManualConsidrant"/>
        <w:rPr>
          <w:noProof/>
        </w:rPr>
      </w:pPr>
      <w:r w:rsidRPr="00FA433F">
        <w:rPr>
          <w:noProof/>
        </w:rPr>
        <w:t>(20)</w:t>
      </w:r>
      <w:r w:rsidRPr="00FA433F">
        <w:rPr>
          <w:noProof/>
        </w:rPr>
        <w:tab/>
        <w:t>Uprawnienia dotyczące wymogów proceduralnych</w:t>
      </w:r>
      <w:r w:rsidR="00FA433F" w:rsidRPr="00FA433F">
        <w:rPr>
          <w:noProof/>
        </w:rPr>
        <w:t xml:space="preserve"> i</w:t>
      </w:r>
      <w:r w:rsidR="00FA433F">
        <w:rPr>
          <w:noProof/>
        </w:rPr>
        <w:t> </w:t>
      </w:r>
      <w:r w:rsidR="00FA433F" w:rsidRPr="00FA433F">
        <w:rPr>
          <w:noProof/>
        </w:rPr>
        <w:t>dow</w:t>
      </w:r>
      <w:r w:rsidRPr="00FA433F">
        <w:rPr>
          <w:noProof/>
        </w:rPr>
        <w:t>odów, które mają być przedkładane przez wnioskodawców, procedury składania wniosków oraz odpowiedzialności beneficjentów końcowych</w:t>
      </w:r>
      <w:r w:rsidR="00FA433F" w:rsidRPr="00FA433F">
        <w:rPr>
          <w:noProof/>
        </w:rPr>
        <w:t xml:space="preserve"> i</w:t>
      </w:r>
      <w:r w:rsidR="00FA433F">
        <w:rPr>
          <w:noProof/>
        </w:rPr>
        <w:t> </w:t>
      </w:r>
      <w:r w:rsidR="00FA433F" w:rsidRPr="00FA433F">
        <w:rPr>
          <w:noProof/>
        </w:rPr>
        <w:t>ich</w:t>
      </w:r>
      <w:r w:rsidRPr="00FA433F">
        <w:rPr>
          <w:noProof/>
        </w:rPr>
        <w:t xml:space="preserve"> obowiązków</w:t>
      </w:r>
      <w:r w:rsidR="00FA433F" w:rsidRPr="00FA433F">
        <w:rPr>
          <w:noProof/>
        </w:rPr>
        <w:t xml:space="preserve"> w</w:t>
      </w:r>
      <w:r w:rsidR="00FA433F">
        <w:rPr>
          <w:noProof/>
        </w:rPr>
        <w:t> </w:t>
      </w:r>
      <w:r w:rsidR="00FA433F" w:rsidRPr="00FA433F">
        <w:rPr>
          <w:noProof/>
        </w:rPr>
        <w:t>zak</w:t>
      </w:r>
      <w:r w:rsidRPr="00FA433F">
        <w:rPr>
          <w:noProof/>
        </w:rPr>
        <w:t>resie monitorowania powinny być wykonywane zgodnie</w:t>
      </w:r>
      <w:r w:rsidR="00FA433F" w:rsidRPr="00FA433F">
        <w:rPr>
          <w:noProof/>
        </w:rPr>
        <w:t xml:space="preserve"> z</w:t>
      </w:r>
      <w:r w:rsidR="00FA433F">
        <w:rPr>
          <w:noProof/>
        </w:rPr>
        <w:t> </w:t>
      </w:r>
      <w:r w:rsidR="00FA433F" w:rsidRPr="00FA433F">
        <w:rPr>
          <w:noProof/>
        </w:rPr>
        <w:t>roz</w:t>
      </w:r>
      <w:r w:rsidRPr="00FA433F">
        <w:rPr>
          <w:noProof/>
        </w:rPr>
        <w:t>porządzeniem Parlamentu Europejskiego</w:t>
      </w:r>
      <w:r w:rsidR="00FA433F" w:rsidRPr="00FA433F">
        <w:rPr>
          <w:noProof/>
        </w:rPr>
        <w:t xml:space="preserve"> i</w:t>
      </w:r>
      <w:r w:rsidR="00FA433F">
        <w:rPr>
          <w:noProof/>
        </w:rPr>
        <w:t> </w:t>
      </w:r>
      <w:r w:rsidR="00FA433F" w:rsidRPr="00FA433F">
        <w:rPr>
          <w:noProof/>
        </w:rPr>
        <w:t>Rad</w:t>
      </w:r>
      <w:r w:rsidRPr="00FA433F">
        <w:rPr>
          <w:noProof/>
        </w:rPr>
        <w:t>y (UE) nr</w:t>
      </w:r>
      <w:r w:rsidR="00FA433F" w:rsidRPr="00FA433F">
        <w:rPr>
          <w:noProof/>
        </w:rPr>
        <w:t> </w:t>
      </w:r>
      <w:r w:rsidRPr="00FA433F">
        <w:rPr>
          <w:noProof/>
        </w:rPr>
        <w:t>182/2011</w:t>
      </w:r>
      <w:r w:rsidRPr="00FA433F">
        <w:rPr>
          <w:rStyle w:val="Odwoanieprzypisudolnego"/>
          <w:noProof/>
        </w:rPr>
        <w:footnoteReference w:id="25"/>
      </w:r>
      <w:r w:rsidR="00FA433F" w:rsidRPr="00FA433F">
        <w:rPr>
          <w:noProof/>
        </w:rPr>
        <w:t>. W</w:t>
      </w:r>
      <w:r w:rsidR="00FA433F">
        <w:rPr>
          <w:noProof/>
        </w:rPr>
        <w:t> </w:t>
      </w:r>
      <w:r w:rsidR="00FA433F" w:rsidRPr="00FA433F">
        <w:rPr>
          <w:noProof/>
        </w:rPr>
        <w:t>prz</w:t>
      </w:r>
      <w:r w:rsidRPr="00FA433F">
        <w:rPr>
          <w:noProof/>
        </w:rPr>
        <w:t xml:space="preserve">ypadku przyjmowania tych aktów wykonawczych należy stosować procedurę sprawdzającą. </w:t>
      </w:r>
    </w:p>
    <w:p w14:paraId="7E89D0D4" w14:textId="33C71EC7" w:rsidR="00B52BE7" w:rsidRPr="00FA433F" w:rsidRDefault="00742AD9" w:rsidP="00742AD9">
      <w:pPr>
        <w:pStyle w:val="ManualConsidrant"/>
        <w:rPr>
          <w:noProof/>
        </w:rPr>
      </w:pPr>
      <w:r w:rsidRPr="00FA433F">
        <w:rPr>
          <w:noProof/>
        </w:rPr>
        <w:t>(21)</w:t>
      </w:r>
      <w:r w:rsidRPr="00FA433F">
        <w:rPr>
          <w:noProof/>
        </w:rPr>
        <w:tab/>
        <w:t>Ponieważ cele niniejszego rozporządzenia polegające na ograniczeniu pozostałego ryzyka ucieczki emisji nie mogą zostać</w:t>
      </w:r>
      <w:r w:rsidR="00FA433F" w:rsidRPr="00FA433F">
        <w:rPr>
          <w:noProof/>
        </w:rPr>
        <w:t xml:space="preserve"> w</w:t>
      </w:r>
      <w:r w:rsidR="00FA433F">
        <w:rPr>
          <w:noProof/>
        </w:rPr>
        <w:t> </w:t>
      </w:r>
      <w:r w:rsidR="00FA433F" w:rsidRPr="00FA433F">
        <w:rPr>
          <w:noProof/>
        </w:rPr>
        <w:t>spo</w:t>
      </w:r>
      <w:r w:rsidRPr="00FA433F">
        <w:rPr>
          <w:noProof/>
        </w:rPr>
        <w:t>sób spójny</w:t>
      </w:r>
      <w:r w:rsidR="00FA433F" w:rsidRPr="00FA433F">
        <w:rPr>
          <w:noProof/>
        </w:rPr>
        <w:t xml:space="preserve"> i</w:t>
      </w:r>
      <w:r w:rsidR="00FA433F">
        <w:rPr>
          <w:noProof/>
        </w:rPr>
        <w:t> </w:t>
      </w:r>
      <w:r w:rsidR="00FA433F" w:rsidRPr="00FA433F">
        <w:rPr>
          <w:noProof/>
        </w:rPr>
        <w:t>w</w:t>
      </w:r>
      <w:r w:rsidR="00FA433F">
        <w:rPr>
          <w:noProof/>
        </w:rPr>
        <w:t> </w:t>
      </w:r>
      <w:r w:rsidR="00FA433F" w:rsidRPr="00FA433F">
        <w:rPr>
          <w:noProof/>
        </w:rPr>
        <w:t>wys</w:t>
      </w:r>
      <w:r w:rsidRPr="00FA433F">
        <w:rPr>
          <w:noProof/>
        </w:rPr>
        <w:t>tarczającym stopniu osiągnięte przez państwa członkowskie, natomiast możliwe jest ich lepsze osiągnięcie na poziomie Unii, aby uniknąć nieskoordynowanego wsparcia</w:t>
      </w:r>
      <w:r w:rsidR="00FA433F" w:rsidRPr="00FA433F">
        <w:rPr>
          <w:noProof/>
        </w:rPr>
        <w:t xml:space="preserve"> w</w:t>
      </w:r>
      <w:r w:rsidR="00FA433F">
        <w:rPr>
          <w:noProof/>
        </w:rPr>
        <w:t> </w:t>
      </w:r>
      <w:r w:rsidR="00FA433F" w:rsidRPr="00FA433F">
        <w:rPr>
          <w:noProof/>
        </w:rPr>
        <w:t>cał</w:t>
      </w:r>
      <w:r w:rsidRPr="00FA433F">
        <w:rPr>
          <w:noProof/>
        </w:rPr>
        <w:t>ej Unii,</w:t>
      </w:r>
      <w:r w:rsidR="00FA433F" w:rsidRPr="00FA433F">
        <w:rPr>
          <w:noProof/>
        </w:rPr>
        <w:t xml:space="preserve"> a</w:t>
      </w:r>
      <w:r w:rsidR="00FA433F">
        <w:rPr>
          <w:noProof/>
        </w:rPr>
        <w:t> </w:t>
      </w:r>
      <w:r w:rsidR="00FA433F" w:rsidRPr="00FA433F">
        <w:rPr>
          <w:noProof/>
        </w:rPr>
        <w:t>tym</w:t>
      </w:r>
      <w:r w:rsidRPr="00FA433F">
        <w:rPr>
          <w:noProof/>
        </w:rPr>
        <w:t xml:space="preserve"> samym zakłóceń na rynku wewnętrznym</w:t>
      </w:r>
      <w:r w:rsidR="00FA433F" w:rsidRPr="00FA433F">
        <w:rPr>
          <w:noProof/>
        </w:rPr>
        <w:t xml:space="preserve"> i</w:t>
      </w:r>
      <w:r w:rsidR="00FA433F">
        <w:rPr>
          <w:noProof/>
        </w:rPr>
        <w:t> </w:t>
      </w:r>
      <w:r w:rsidR="00FA433F" w:rsidRPr="00FA433F">
        <w:rPr>
          <w:noProof/>
        </w:rPr>
        <w:t>osł</w:t>
      </w:r>
      <w:r w:rsidRPr="00FA433F">
        <w:rPr>
          <w:noProof/>
        </w:rPr>
        <w:t>abienia ogólnej skuteczności EU ETS, Unia może przyjąć środki zgodnie</w:t>
      </w:r>
      <w:r w:rsidR="00FA433F" w:rsidRPr="00FA433F">
        <w:rPr>
          <w:noProof/>
        </w:rPr>
        <w:t xml:space="preserve"> z</w:t>
      </w:r>
      <w:r w:rsidR="00FA433F">
        <w:rPr>
          <w:noProof/>
        </w:rPr>
        <w:t> </w:t>
      </w:r>
      <w:r w:rsidR="00FA433F" w:rsidRPr="00FA433F">
        <w:rPr>
          <w:noProof/>
        </w:rPr>
        <w:t>zas</w:t>
      </w:r>
      <w:r w:rsidRPr="00FA433F">
        <w:rPr>
          <w:noProof/>
        </w:rPr>
        <w:t>adą pomocniczości określoną</w:t>
      </w:r>
      <w:r w:rsidR="00FA433F" w:rsidRPr="00FA433F">
        <w:rPr>
          <w:noProof/>
        </w:rPr>
        <w:t xml:space="preserve"> w</w:t>
      </w:r>
      <w:r w:rsidR="00FA433F">
        <w:rPr>
          <w:noProof/>
        </w:rPr>
        <w:t> </w:t>
      </w:r>
      <w:r w:rsidR="00FA433F" w:rsidRPr="00FA433F">
        <w:rPr>
          <w:noProof/>
        </w:rPr>
        <w:t>art</w:t>
      </w:r>
      <w:r w:rsidRPr="00FA433F">
        <w:rPr>
          <w:noProof/>
        </w:rPr>
        <w:t>. 5 Traktatu</w:t>
      </w:r>
      <w:r w:rsidR="00FA433F" w:rsidRPr="00FA433F">
        <w:rPr>
          <w:noProof/>
        </w:rPr>
        <w:t xml:space="preserve"> o</w:t>
      </w:r>
      <w:r w:rsidR="00FA433F">
        <w:rPr>
          <w:noProof/>
        </w:rPr>
        <w:t> </w:t>
      </w:r>
      <w:r w:rsidR="00FA433F" w:rsidRPr="00FA433F">
        <w:rPr>
          <w:noProof/>
        </w:rPr>
        <w:t>Uni</w:t>
      </w:r>
      <w:r w:rsidRPr="00FA433F">
        <w:rPr>
          <w:noProof/>
        </w:rPr>
        <w:t>i Europejskiej. Zgodnie</w:t>
      </w:r>
      <w:r w:rsidR="00FA433F" w:rsidRPr="00FA433F">
        <w:rPr>
          <w:noProof/>
        </w:rPr>
        <w:t xml:space="preserve"> z</w:t>
      </w:r>
      <w:r w:rsidR="00FA433F">
        <w:rPr>
          <w:noProof/>
        </w:rPr>
        <w:t> </w:t>
      </w:r>
      <w:r w:rsidR="00FA433F" w:rsidRPr="00FA433F">
        <w:rPr>
          <w:noProof/>
        </w:rPr>
        <w:t>zas</w:t>
      </w:r>
      <w:r w:rsidRPr="00FA433F">
        <w:rPr>
          <w:noProof/>
        </w:rPr>
        <w:t>adą proporcjonalności określoną</w:t>
      </w:r>
      <w:r w:rsidR="00FA433F" w:rsidRPr="00FA433F">
        <w:rPr>
          <w:noProof/>
        </w:rPr>
        <w:t xml:space="preserve"> w</w:t>
      </w:r>
      <w:r w:rsidR="00FA433F">
        <w:rPr>
          <w:noProof/>
        </w:rPr>
        <w:t> </w:t>
      </w:r>
      <w:r w:rsidR="00FA433F" w:rsidRPr="00FA433F">
        <w:rPr>
          <w:noProof/>
        </w:rPr>
        <w:t>tym</w:t>
      </w:r>
      <w:r w:rsidRPr="00FA433F">
        <w:rPr>
          <w:noProof/>
        </w:rPr>
        <w:t xml:space="preserve"> artykule niniejsze rozporządzenie nie wykracza poza to, co jest konieczne do osiągnięcia tych celów</w:t>
      </w:r>
      <w:r w:rsidR="00C70E53">
        <w:rPr>
          <w:noProof/>
        </w:rPr>
        <w:t>,</w:t>
      </w:r>
    </w:p>
    <w:p w14:paraId="72FD0C74" w14:textId="77777777" w:rsidR="00BF3A98" w:rsidRPr="00FA433F" w:rsidRDefault="00270DA7">
      <w:pPr>
        <w:pStyle w:val="Formuledadoption"/>
        <w:rPr>
          <w:noProof/>
        </w:rPr>
      </w:pPr>
      <w:r w:rsidRPr="00FA433F">
        <w:rPr>
          <w:noProof/>
        </w:rPr>
        <w:t>PRZYJMUJĄ NINIEJSZE ROZPORZĄDZENIE:</w:t>
      </w:r>
    </w:p>
    <w:p w14:paraId="4102AB6D" w14:textId="77777777" w:rsidR="008A4C15" w:rsidRPr="00FA433F" w:rsidRDefault="008A4C15">
      <w:pPr>
        <w:pStyle w:val="Titrearticle"/>
        <w:rPr>
          <w:noProof/>
        </w:rPr>
      </w:pPr>
      <w:r w:rsidRPr="00FA433F">
        <w:rPr>
          <w:noProof/>
        </w:rPr>
        <w:t>Artykuł 1</w:t>
      </w:r>
    </w:p>
    <w:p w14:paraId="1E774EBD" w14:textId="77777777" w:rsidR="006A6CD6" w:rsidRPr="00FA433F" w:rsidRDefault="006A6CD6" w:rsidP="006A6CD6">
      <w:pPr>
        <w:pStyle w:val="NormalCentered"/>
        <w:rPr>
          <w:b/>
          <w:bCs/>
          <w:noProof/>
        </w:rPr>
      </w:pPr>
      <w:r w:rsidRPr="00FA433F">
        <w:rPr>
          <w:b/>
          <w:noProof/>
        </w:rPr>
        <w:t xml:space="preserve">Przedmiot </w:t>
      </w:r>
    </w:p>
    <w:p w14:paraId="62146FD7" w14:textId="7E7AB8A7" w:rsidR="002D67C8" w:rsidRPr="00FA433F" w:rsidRDefault="00742AD9" w:rsidP="00742AD9">
      <w:pPr>
        <w:pStyle w:val="ManualNumPar1"/>
        <w:rPr>
          <w:noProof/>
        </w:rPr>
      </w:pPr>
      <w:r w:rsidRPr="00FA433F">
        <w:rPr>
          <w:noProof/>
        </w:rPr>
        <w:lastRenderedPageBreak/>
        <w:t>1.</w:t>
      </w:r>
      <w:r w:rsidRPr="00FA433F">
        <w:rPr>
          <w:noProof/>
        </w:rPr>
        <w:tab/>
        <w:t>W niniejszym rozporządzeniu ustanawia się Tymczasowy Fundusz Dekarbonizacji („Fundusz”)</w:t>
      </w:r>
      <w:r w:rsidR="00FA433F" w:rsidRPr="00FA433F">
        <w:rPr>
          <w:noProof/>
        </w:rPr>
        <w:t xml:space="preserve"> i</w:t>
      </w:r>
      <w:r w:rsidR="00FA433F">
        <w:rPr>
          <w:noProof/>
        </w:rPr>
        <w:t> </w:t>
      </w:r>
      <w:r w:rsidR="00FA433F" w:rsidRPr="00FA433F">
        <w:rPr>
          <w:noProof/>
        </w:rPr>
        <w:t>okr</w:t>
      </w:r>
      <w:r w:rsidRPr="00FA433F">
        <w:rPr>
          <w:noProof/>
        </w:rPr>
        <w:t>eśla się zarządzanie nim, zasady finansowe jego wdrażania, jego zasoby oraz zakres wsparcia</w:t>
      </w:r>
      <w:r w:rsidR="00FA433F" w:rsidRPr="00FA433F">
        <w:rPr>
          <w:noProof/>
        </w:rPr>
        <w:t xml:space="preserve"> z</w:t>
      </w:r>
      <w:r w:rsidR="00FA433F">
        <w:rPr>
          <w:noProof/>
        </w:rPr>
        <w:t> </w:t>
      </w:r>
      <w:r w:rsidR="00FA433F" w:rsidRPr="00FA433F">
        <w:rPr>
          <w:noProof/>
        </w:rPr>
        <w:t>Fun</w:t>
      </w:r>
      <w:r w:rsidRPr="00FA433F">
        <w:rPr>
          <w:noProof/>
        </w:rPr>
        <w:t>duszu.</w:t>
      </w:r>
    </w:p>
    <w:p w14:paraId="45137A60" w14:textId="625CCA29" w:rsidR="00EC1A67" w:rsidRPr="00FA433F" w:rsidRDefault="00742AD9" w:rsidP="00742AD9">
      <w:pPr>
        <w:pStyle w:val="ManualNumPar1"/>
        <w:rPr>
          <w:noProof/>
        </w:rPr>
      </w:pPr>
      <w:r w:rsidRPr="00FA433F">
        <w:rPr>
          <w:noProof/>
        </w:rPr>
        <w:t>2.</w:t>
      </w:r>
      <w:r w:rsidRPr="00FA433F">
        <w:rPr>
          <w:noProof/>
        </w:rPr>
        <w:tab/>
        <w:t>Fundusz zapewnia wsparcie finansowe</w:t>
      </w:r>
      <w:r w:rsidR="00FA433F" w:rsidRPr="00FA433F">
        <w:rPr>
          <w:noProof/>
        </w:rPr>
        <w:t xml:space="preserve"> w</w:t>
      </w:r>
      <w:r w:rsidR="00FA433F">
        <w:rPr>
          <w:noProof/>
        </w:rPr>
        <w:t> </w:t>
      </w:r>
      <w:r w:rsidR="00FA433F" w:rsidRPr="00FA433F">
        <w:rPr>
          <w:noProof/>
        </w:rPr>
        <w:t>lat</w:t>
      </w:r>
      <w:r w:rsidRPr="00FA433F">
        <w:rPr>
          <w:noProof/>
        </w:rPr>
        <w:t>ach 2028–2029</w:t>
      </w:r>
      <w:r w:rsidR="00FA433F" w:rsidRPr="00FA433F">
        <w:rPr>
          <w:noProof/>
        </w:rPr>
        <w:t xml:space="preserve"> w</w:t>
      </w:r>
      <w:r w:rsidR="00FA433F">
        <w:rPr>
          <w:noProof/>
        </w:rPr>
        <w:t> </w:t>
      </w:r>
      <w:r w:rsidR="00FA433F" w:rsidRPr="00FA433F">
        <w:rPr>
          <w:noProof/>
        </w:rPr>
        <w:t>cel</w:t>
      </w:r>
      <w:r w:rsidRPr="00FA433F">
        <w:rPr>
          <w:noProof/>
        </w:rPr>
        <w:t>u przeciwdziałania pozostałemu ryzyku ucieczki emisji związanemu</w:t>
      </w:r>
      <w:r w:rsidR="00FA433F" w:rsidRPr="00FA433F">
        <w:rPr>
          <w:noProof/>
        </w:rPr>
        <w:t xml:space="preserve"> z</w:t>
      </w:r>
      <w:r w:rsidR="00FA433F">
        <w:rPr>
          <w:noProof/>
        </w:rPr>
        <w:t> </w:t>
      </w:r>
      <w:r w:rsidR="00FA433F" w:rsidRPr="00FA433F">
        <w:rPr>
          <w:noProof/>
        </w:rPr>
        <w:t>tow</w:t>
      </w:r>
      <w:r w:rsidRPr="00FA433F">
        <w:rPr>
          <w:noProof/>
        </w:rPr>
        <w:t>arami wysokoemisyjnymi produkowanymi przez kwalifikujących się operatorów instalacji</w:t>
      </w:r>
      <w:r w:rsidR="00FA433F" w:rsidRPr="00FA433F">
        <w:rPr>
          <w:noProof/>
        </w:rPr>
        <w:t xml:space="preserve"> w</w:t>
      </w:r>
      <w:r w:rsidR="00FA433F">
        <w:rPr>
          <w:noProof/>
        </w:rPr>
        <w:t> </w:t>
      </w:r>
      <w:r w:rsidR="00FA433F" w:rsidRPr="00FA433F">
        <w:rPr>
          <w:noProof/>
        </w:rPr>
        <w:t>lat</w:t>
      </w:r>
      <w:r w:rsidRPr="00FA433F">
        <w:rPr>
          <w:noProof/>
        </w:rPr>
        <w:t xml:space="preserve">ach </w:t>
      </w:r>
      <w:r w:rsidR="0082347B">
        <w:rPr>
          <w:noProof/>
        </w:rPr>
        <w:br/>
      </w:r>
      <w:r w:rsidRPr="00FA433F">
        <w:rPr>
          <w:noProof/>
        </w:rPr>
        <w:t>2026–2027.</w:t>
      </w:r>
    </w:p>
    <w:p w14:paraId="174A849A" w14:textId="77777777" w:rsidR="008A4C15" w:rsidRPr="00FA433F" w:rsidRDefault="008A4C15">
      <w:pPr>
        <w:pStyle w:val="Titrearticle"/>
        <w:rPr>
          <w:noProof/>
        </w:rPr>
      </w:pPr>
      <w:r w:rsidRPr="00FA433F">
        <w:rPr>
          <w:noProof/>
        </w:rPr>
        <w:t>Artykuł 2</w:t>
      </w:r>
    </w:p>
    <w:p w14:paraId="20CDC59D" w14:textId="77777777" w:rsidR="006A6CD6" w:rsidRPr="00FA433F" w:rsidRDefault="006A6CD6" w:rsidP="006A6CD6">
      <w:pPr>
        <w:pStyle w:val="NormalCentered"/>
        <w:rPr>
          <w:b/>
          <w:bCs/>
          <w:noProof/>
        </w:rPr>
      </w:pPr>
      <w:r w:rsidRPr="00FA433F">
        <w:rPr>
          <w:b/>
          <w:noProof/>
        </w:rPr>
        <w:t>Definicje</w:t>
      </w:r>
    </w:p>
    <w:p w14:paraId="1122DE52" w14:textId="77777777" w:rsidR="006A6CD6" w:rsidRPr="00FA433F" w:rsidRDefault="006A6CD6">
      <w:pPr>
        <w:rPr>
          <w:noProof/>
        </w:rPr>
      </w:pPr>
      <w:r w:rsidRPr="00FA433F">
        <w:rPr>
          <w:noProof/>
        </w:rPr>
        <w:t>Do celów niniejszego rozporządzenia stosuje się następujące definicje:</w:t>
      </w:r>
    </w:p>
    <w:p w14:paraId="01B7B1CE" w14:textId="06818143" w:rsidR="006A6CD6" w:rsidRPr="00FA433F" w:rsidRDefault="00742AD9" w:rsidP="00742AD9">
      <w:pPr>
        <w:pStyle w:val="Point0"/>
        <w:rPr>
          <w:noProof/>
        </w:rPr>
      </w:pPr>
      <w:r w:rsidRPr="00FA433F">
        <w:rPr>
          <w:noProof/>
        </w:rPr>
        <w:t>a)</w:t>
      </w:r>
      <w:r w:rsidRPr="00FA433F">
        <w:rPr>
          <w:noProof/>
        </w:rPr>
        <w:tab/>
        <w:t>„instalacja” oznacza urządzenie zdefiniowane</w:t>
      </w:r>
      <w:r w:rsidR="00FA433F" w:rsidRPr="00FA433F">
        <w:rPr>
          <w:noProof/>
        </w:rPr>
        <w:t xml:space="preserve"> w</w:t>
      </w:r>
      <w:r w:rsidR="00FA433F">
        <w:rPr>
          <w:noProof/>
        </w:rPr>
        <w:t> </w:t>
      </w:r>
      <w:r w:rsidR="00FA433F" w:rsidRPr="00FA433F">
        <w:rPr>
          <w:noProof/>
        </w:rPr>
        <w:t>art</w:t>
      </w:r>
      <w:r w:rsidRPr="00FA433F">
        <w:rPr>
          <w:noProof/>
        </w:rPr>
        <w:t>. 3 lit. e) dyrektywy 2003/87/WE;</w:t>
      </w:r>
    </w:p>
    <w:p w14:paraId="7F2CE048" w14:textId="6D548756" w:rsidR="00541A6C" w:rsidRPr="00FA433F" w:rsidRDefault="00742AD9" w:rsidP="00742AD9">
      <w:pPr>
        <w:pStyle w:val="Point0"/>
        <w:rPr>
          <w:noProof/>
        </w:rPr>
      </w:pPr>
      <w:r w:rsidRPr="00FA433F">
        <w:rPr>
          <w:noProof/>
        </w:rPr>
        <w:t>b)</w:t>
      </w:r>
      <w:r w:rsidRPr="00FA433F">
        <w:rPr>
          <w:noProof/>
        </w:rPr>
        <w:tab/>
        <w:t>„operator” oznacza każdą osobę zdefiniowaną</w:t>
      </w:r>
      <w:r w:rsidR="00FA433F" w:rsidRPr="00FA433F">
        <w:rPr>
          <w:noProof/>
        </w:rPr>
        <w:t xml:space="preserve"> w</w:t>
      </w:r>
      <w:r w:rsidR="00FA433F">
        <w:rPr>
          <w:noProof/>
        </w:rPr>
        <w:t> </w:t>
      </w:r>
      <w:r w:rsidR="00FA433F" w:rsidRPr="00FA433F">
        <w:rPr>
          <w:noProof/>
        </w:rPr>
        <w:t>art</w:t>
      </w:r>
      <w:r w:rsidRPr="00FA433F">
        <w:rPr>
          <w:noProof/>
        </w:rPr>
        <w:t>. 3 lit. f) dyrektywy 2003/87/WE, prowadzącą co najmniej jedno działanie wymienione</w:t>
      </w:r>
      <w:r w:rsidR="00FA433F" w:rsidRPr="00FA433F">
        <w:rPr>
          <w:noProof/>
        </w:rPr>
        <w:t xml:space="preserve"> w</w:t>
      </w:r>
      <w:r w:rsidR="00FA433F">
        <w:rPr>
          <w:noProof/>
        </w:rPr>
        <w:t> </w:t>
      </w:r>
      <w:r w:rsidR="00FA433F" w:rsidRPr="00FA433F">
        <w:rPr>
          <w:noProof/>
        </w:rPr>
        <w:t>zał</w:t>
      </w:r>
      <w:r w:rsidRPr="00FA433F">
        <w:rPr>
          <w:noProof/>
        </w:rPr>
        <w:t>ączniku I do tej dyrektywy</w:t>
      </w:r>
      <w:r w:rsidR="00FA433F" w:rsidRPr="00FA433F">
        <w:rPr>
          <w:noProof/>
        </w:rPr>
        <w:t xml:space="preserve"> i</w:t>
      </w:r>
      <w:r w:rsidR="00FA433F">
        <w:rPr>
          <w:noProof/>
        </w:rPr>
        <w:t> </w:t>
      </w:r>
      <w:r w:rsidR="00FA433F" w:rsidRPr="00FA433F">
        <w:rPr>
          <w:noProof/>
        </w:rPr>
        <w:t>pro</w:t>
      </w:r>
      <w:r w:rsidRPr="00FA433F">
        <w:rPr>
          <w:noProof/>
        </w:rPr>
        <w:t>dukującą towary,</w:t>
      </w:r>
      <w:r w:rsidR="00FA433F" w:rsidRPr="00FA433F">
        <w:rPr>
          <w:noProof/>
        </w:rPr>
        <w:t xml:space="preserve"> o</w:t>
      </w:r>
      <w:r w:rsidR="00FA433F">
        <w:rPr>
          <w:noProof/>
        </w:rPr>
        <w:t> </w:t>
      </w:r>
      <w:r w:rsidR="00FA433F" w:rsidRPr="00FA433F">
        <w:rPr>
          <w:noProof/>
        </w:rPr>
        <w:t>któ</w:t>
      </w:r>
      <w:r w:rsidRPr="00FA433F">
        <w:rPr>
          <w:noProof/>
        </w:rPr>
        <w:t>rych mowa</w:t>
      </w:r>
      <w:r w:rsidR="00FA433F" w:rsidRPr="00FA433F">
        <w:rPr>
          <w:noProof/>
        </w:rPr>
        <w:t xml:space="preserve"> w</w:t>
      </w:r>
      <w:r w:rsidR="00FA433F">
        <w:rPr>
          <w:noProof/>
        </w:rPr>
        <w:t> </w:t>
      </w:r>
      <w:r w:rsidR="00FA433F" w:rsidRPr="00FA433F">
        <w:rPr>
          <w:noProof/>
        </w:rPr>
        <w:t>zał</w:t>
      </w:r>
      <w:r w:rsidRPr="00FA433F">
        <w:rPr>
          <w:noProof/>
        </w:rPr>
        <w:t>ączniku I do rozporządzenia (UE) 2023/956;</w:t>
      </w:r>
    </w:p>
    <w:p w14:paraId="77A5300D" w14:textId="1FC509E8" w:rsidR="00541A6C" w:rsidRPr="00FA433F" w:rsidRDefault="00742AD9" w:rsidP="00742AD9">
      <w:pPr>
        <w:pStyle w:val="Point0"/>
        <w:rPr>
          <w:noProof/>
        </w:rPr>
      </w:pPr>
      <w:r w:rsidRPr="00FA433F">
        <w:rPr>
          <w:noProof/>
        </w:rPr>
        <w:t>c)</w:t>
      </w:r>
      <w:r w:rsidRPr="00FA433F">
        <w:rPr>
          <w:noProof/>
        </w:rPr>
        <w:tab/>
        <w:t>„kwalifikujący się towar” oznacza którykolwiek</w:t>
      </w:r>
      <w:r w:rsidR="00FA433F" w:rsidRPr="00FA433F">
        <w:rPr>
          <w:noProof/>
        </w:rPr>
        <w:t xml:space="preserve"> z</w:t>
      </w:r>
      <w:r w:rsidR="00FA433F">
        <w:rPr>
          <w:noProof/>
        </w:rPr>
        <w:t> </w:t>
      </w:r>
      <w:r w:rsidR="00FA433F" w:rsidRPr="00FA433F">
        <w:rPr>
          <w:noProof/>
        </w:rPr>
        <w:t>tow</w:t>
      </w:r>
      <w:r w:rsidRPr="00FA433F">
        <w:rPr>
          <w:noProof/>
        </w:rPr>
        <w:t>arów wymienionych</w:t>
      </w:r>
      <w:r w:rsidR="00FA433F" w:rsidRPr="00FA433F">
        <w:rPr>
          <w:noProof/>
        </w:rPr>
        <w:t xml:space="preserve"> w</w:t>
      </w:r>
      <w:r w:rsidR="00FA433F">
        <w:rPr>
          <w:noProof/>
        </w:rPr>
        <w:t> </w:t>
      </w:r>
      <w:r w:rsidR="00FA433F" w:rsidRPr="00FA433F">
        <w:rPr>
          <w:noProof/>
        </w:rPr>
        <w:t>zał</w:t>
      </w:r>
      <w:r w:rsidRPr="00FA433F">
        <w:rPr>
          <w:noProof/>
        </w:rPr>
        <w:t xml:space="preserve">ączniku; </w:t>
      </w:r>
    </w:p>
    <w:p w14:paraId="17316A45" w14:textId="7B4A547A" w:rsidR="00541A6C" w:rsidRPr="00FA433F" w:rsidRDefault="00742AD9" w:rsidP="00742AD9">
      <w:pPr>
        <w:pStyle w:val="Point0"/>
        <w:rPr>
          <w:noProof/>
        </w:rPr>
      </w:pPr>
      <w:r w:rsidRPr="00FA433F">
        <w:rPr>
          <w:noProof/>
        </w:rPr>
        <w:t>d)</w:t>
      </w:r>
      <w:r w:rsidRPr="00FA433F">
        <w:rPr>
          <w:noProof/>
        </w:rPr>
        <w:tab/>
        <w:t>„właściwy organ” oznacza organ wyznaczony przez państwo członkowskie zgodnie</w:t>
      </w:r>
      <w:r w:rsidR="00FA433F" w:rsidRPr="00FA433F">
        <w:rPr>
          <w:noProof/>
        </w:rPr>
        <w:t xml:space="preserve"> z</w:t>
      </w:r>
      <w:r w:rsidR="00FA433F">
        <w:rPr>
          <w:noProof/>
        </w:rPr>
        <w:t> </w:t>
      </w:r>
      <w:r w:rsidR="00FA433F" w:rsidRPr="00FA433F">
        <w:rPr>
          <w:noProof/>
        </w:rPr>
        <w:t>art</w:t>
      </w:r>
      <w:r w:rsidRPr="00FA433F">
        <w:rPr>
          <w:noProof/>
        </w:rPr>
        <w:t>. 18 dyrektywy 2003/87/WE;</w:t>
      </w:r>
    </w:p>
    <w:p w14:paraId="5DC6A32B" w14:textId="3AD168BF" w:rsidR="00541A6C" w:rsidRPr="00FA433F" w:rsidRDefault="00742AD9" w:rsidP="00742AD9">
      <w:pPr>
        <w:pStyle w:val="Point0"/>
        <w:rPr>
          <w:noProof/>
        </w:rPr>
      </w:pPr>
      <w:r w:rsidRPr="00FA433F">
        <w:rPr>
          <w:noProof/>
        </w:rPr>
        <w:t>e)</w:t>
      </w:r>
      <w:r w:rsidRPr="00FA433F">
        <w:rPr>
          <w:noProof/>
        </w:rPr>
        <w:tab/>
        <w:t>„beneficjent końcowy” oznacza podmiot otrzymujący wsparcie finansowe na podstawie niniejszego rozporządzenia.</w:t>
      </w:r>
    </w:p>
    <w:p w14:paraId="286E9B1D" w14:textId="77777777" w:rsidR="00541A6C" w:rsidRPr="00FA433F" w:rsidRDefault="00541A6C" w:rsidP="00541A6C">
      <w:pPr>
        <w:pStyle w:val="Titrearticle"/>
        <w:rPr>
          <w:noProof/>
        </w:rPr>
      </w:pPr>
      <w:r w:rsidRPr="00FA433F">
        <w:rPr>
          <w:noProof/>
        </w:rPr>
        <w:t>Artykuł 3</w:t>
      </w:r>
    </w:p>
    <w:p w14:paraId="36416FFE" w14:textId="77777777" w:rsidR="00541A6C" w:rsidRPr="00FA433F" w:rsidRDefault="00541A6C" w:rsidP="00541A6C">
      <w:pPr>
        <w:pStyle w:val="NormalCentered"/>
        <w:rPr>
          <w:b/>
          <w:bCs/>
          <w:noProof/>
        </w:rPr>
      </w:pPr>
      <w:r w:rsidRPr="00FA433F">
        <w:rPr>
          <w:b/>
          <w:noProof/>
        </w:rPr>
        <w:t>Zasoby Funduszu</w:t>
      </w:r>
    </w:p>
    <w:p w14:paraId="07722F8E" w14:textId="3B349AE2" w:rsidR="00541A6C" w:rsidRPr="00FA433F" w:rsidRDefault="00742AD9" w:rsidP="00742AD9">
      <w:pPr>
        <w:pStyle w:val="ManualNumPar1"/>
        <w:rPr>
          <w:noProof/>
        </w:rPr>
      </w:pPr>
      <w:r w:rsidRPr="00FA433F">
        <w:rPr>
          <w:noProof/>
        </w:rPr>
        <w:t>1.</w:t>
      </w:r>
      <w:r w:rsidRPr="00FA433F">
        <w:rPr>
          <w:noProof/>
        </w:rPr>
        <w:tab/>
        <w:t>Fundusz jest finansowany</w:t>
      </w:r>
      <w:r w:rsidR="00FA433F" w:rsidRPr="00FA433F">
        <w:rPr>
          <w:noProof/>
        </w:rPr>
        <w:t xml:space="preserve"> z</w:t>
      </w:r>
      <w:r w:rsidR="00FA433F">
        <w:rPr>
          <w:noProof/>
        </w:rPr>
        <w:t> </w:t>
      </w:r>
      <w:r w:rsidR="00FA433F" w:rsidRPr="00FA433F">
        <w:rPr>
          <w:noProof/>
        </w:rPr>
        <w:t>wkł</w:t>
      </w:r>
      <w:r w:rsidRPr="00FA433F">
        <w:rPr>
          <w:noProof/>
        </w:rPr>
        <w:t>adów państw członkowskich.</w:t>
      </w:r>
    </w:p>
    <w:p w14:paraId="42970A9D" w14:textId="4EFE9975" w:rsidR="00541A6C" w:rsidRPr="00FA433F" w:rsidRDefault="00742AD9" w:rsidP="00742AD9">
      <w:pPr>
        <w:pStyle w:val="ManualNumPar1"/>
        <w:rPr>
          <w:noProof/>
        </w:rPr>
      </w:pPr>
      <w:r w:rsidRPr="00FA433F">
        <w:rPr>
          <w:noProof/>
        </w:rPr>
        <w:t>2.</w:t>
      </w:r>
      <w:r w:rsidRPr="00FA433F">
        <w:rPr>
          <w:noProof/>
        </w:rPr>
        <w:tab/>
        <w:t>Wkłady te odpowiadają 25 % dochodów, które każde państwo członkowskie uzyskało ze sprzedaży certyfikatów CBAM zgodnie</w:t>
      </w:r>
      <w:r w:rsidR="00FA433F" w:rsidRPr="00FA433F">
        <w:rPr>
          <w:noProof/>
        </w:rPr>
        <w:t xml:space="preserve"> z</w:t>
      </w:r>
      <w:r w:rsidR="00FA433F">
        <w:rPr>
          <w:noProof/>
        </w:rPr>
        <w:t> </w:t>
      </w:r>
      <w:r w:rsidR="00FA433F" w:rsidRPr="00FA433F">
        <w:rPr>
          <w:noProof/>
        </w:rPr>
        <w:t>art</w:t>
      </w:r>
      <w:r w:rsidRPr="00FA433F">
        <w:rPr>
          <w:noProof/>
        </w:rPr>
        <w:t>. 20 rozporządzenia (UE) 2023/956</w:t>
      </w:r>
      <w:r w:rsidR="00FA433F" w:rsidRPr="00FA433F">
        <w:rPr>
          <w:noProof/>
        </w:rPr>
        <w:t xml:space="preserve"> w</w:t>
      </w:r>
      <w:r w:rsidR="00FA433F">
        <w:rPr>
          <w:noProof/>
        </w:rPr>
        <w:t> </w:t>
      </w:r>
      <w:r w:rsidR="00FA433F" w:rsidRPr="00FA433F">
        <w:rPr>
          <w:noProof/>
        </w:rPr>
        <w:t>odn</w:t>
      </w:r>
      <w:r w:rsidRPr="00FA433F">
        <w:rPr>
          <w:noProof/>
        </w:rPr>
        <w:t>iesieniu do emisji wbudowanych zadeklarowanych na lata 2026</w:t>
      </w:r>
      <w:r w:rsidR="00FA433F" w:rsidRPr="00FA433F">
        <w:rPr>
          <w:noProof/>
        </w:rPr>
        <w:t xml:space="preserve"> i</w:t>
      </w:r>
      <w:r w:rsidR="00FA433F">
        <w:rPr>
          <w:noProof/>
        </w:rPr>
        <w:t> </w:t>
      </w:r>
      <w:r w:rsidR="00FA433F" w:rsidRPr="00FA433F">
        <w:rPr>
          <w:noProof/>
        </w:rPr>
        <w:t>2</w:t>
      </w:r>
      <w:r w:rsidRPr="00FA433F">
        <w:rPr>
          <w:noProof/>
        </w:rPr>
        <w:t>027.</w:t>
      </w:r>
    </w:p>
    <w:p w14:paraId="377F136F" w14:textId="04FCDAC1" w:rsidR="00541A6C" w:rsidRPr="00FA433F" w:rsidRDefault="00742AD9" w:rsidP="00742AD9">
      <w:pPr>
        <w:pStyle w:val="ManualNumPar1"/>
        <w:rPr>
          <w:noProof/>
        </w:rPr>
      </w:pPr>
      <w:r w:rsidRPr="00FA433F">
        <w:rPr>
          <w:noProof/>
        </w:rPr>
        <w:t>3.</w:t>
      </w:r>
      <w:r w:rsidRPr="00FA433F">
        <w:rPr>
          <w:noProof/>
        </w:rPr>
        <w:tab/>
        <w:t>Każde państwo członkowskie przekazuje Komisji dokładne roczne kwoty wkładu na rzecz Funduszu na lata 2026</w:t>
      </w:r>
      <w:r w:rsidR="00FA433F" w:rsidRPr="00FA433F">
        <w:rPr>
          <w:noProof/>
        </w:rPr>
        <w:t xml:space="preserve"> i</w:t>
      </w:r>
      <w:r w:rsidR="00FA433F">
        <w:rPr>
          <w:noProof/>
        </w:rPr>
        <w:t> </w:t>
      </w:r>
      <w:r w:rsidR="00FA433F" w:rsidRPr="00FA433F">
        <w:rPr>
          <w:noProof/>
        </w:rPr>
        <w:t>2</w:t>
      </w:r>
      <w:r w:rsidRPr="00FA433F">
        <w:rPr>
          <w:noProof/>
        </w:rPr>
        <w:t>027 odpowiednio do dnia 31 grudnia 2027 r.</w:t>
      </w:r>
      <w:r w:rsidR="00FA433F" w:rsidRPr="00FA433F">
        <w:rPr>
          <w:noProof/>
        </w:rPr>
        <w:t xml:space="preserve"> i</w:t>
      </w:r>
      <w:r w:rsidR="00FA433F">
        <w:rPr>
          <w:noProof/>
        </w:rPr>
        <w:t> </w:t>
      </w:r>
      <w:r w:rsidR="00FA433F" w:rsidRPr="00FA433F">
        <w:rPr>
          <w:noProof/>
        </w:rPr>
        <w:t>3</w:t>
      </w:r>
      <w:r w:rsidRPr="00FA433F">
        <w:rPr>
          <w:noProof/>
        </w:rPr>
        <w:t>1 grudnia 2028 r. Państwa członkowskie przekazują do Funduszu kwotę odpowiadającą kwocie,</w:t>
      </w:r>
      <w:r w:rsidR="00FA433F" w:rsidRPr="00FA433F">
        <w:rPr>
          <w:noProof/>
        </w:rPr>
        <w:t xml:space="preserve"> o</w:t>
      </w:r>
      <w:r w:rsidR="00FA433F">
        <w:rPr>
          <w:noProof/>
        </w:rPr>
        <w:t> </w:t>
      </w:r>
      <w:r w:rsidR="00FA433F" w:rsidRPr="00FA433F">
        <w:rPr>
          <w:noProof/>
        </w:rPr>
        <w:t>któ</w:t>
      </w:r>
      <w:r w:rsidRPr="00FA433F">
        <w:rPr>
          <w:noProof/>
        </w:rPr>
        <w:t>rej mowa</w:t>
      </w:r>
      <w:r w:rsidR="00FA433F" w:rsidRPr="00FA433F">
        <w:rPr>
          <w:noProof/>
        </w:rPr>
        <w:t xml:space="preserve"> w</w:t>
      </w:r>
      <w:r w:rsidR="00FA433F">
        <w:rPr>
          <w:noProof/>
        </w:rPr>
        <w:t> </w:t>
      </w:r>
      <w:r w:rsidR="00FA433F" w:rsidRPr="00FA433F">
        <w:rPr>
          <w:noProof/>
        </w:rPr>
        <w:t>ust</w:t>
      </w:r>
      <w:r w:rsidRPr="00FA433F">
        <w:rPr>
          <w:noProof/>
        </w:rPr>
        <w:t>. 2 niniejszego artykułu, odpowiednio do dnia 31 marca 2028</w:t>
      </w:r>
      <w:r w:rsidR="00FA433F" w:rsidRPr="00FA433F">
        <w:rPr>
          <w:noProof/>
        </w:rPr>
        <w:t> </w:t>
      </w:r>
      <w:r w:rsidRPr="00FA433F">
        <w:rPr>
          <w:noProof/>
        </w:rPr>
        <w:t>r.</w:t>
      </w:r>
      <w:r w:rsidR="00FA433F" w:rsidRPr="00FA433F">
        <w:rPr>
          <w:noProof/>
        </w:rPr>
        <w:t xml:space="preserve"> i</w:t>
      </w:r>
      <w:r w:rsidR="00FA433F">
        <w:rPr>
          <w:noProof/>
        </w:rPr>
        <w:t> </w:t>
      </w:r>
      <w:r w:rsidR="00FA433F" w:rsidRPr="00FA433F">
        <w:rPr>
          <w:noProof/>
        </w:rPr>
        <w:t>3</w:t>
      </w:r>
      <w:r w:rsidRPr="00FA433F">
        <w:rPr>
          <w:noProof/>
        </w:rPr>
        <w:t>1 marca 2029</w:t>
      </w:r>
      <w:r w:rsidR="00FA433F" w:rsidRPr="00FA433F">
        <w:rPr>
          <w:noProof/>
        </w:rPr>
        <w:t> </w:t>
      </w:r>
      <w:r w:rsidRPr="00FA433F">
        <w:rPr>
          <w:noProof/>
        </w:rPr>
        <w:t>r. Wniesione kwoty stanowią dochody przeznaczone na Fundusz zgodnie</w:t>
      </w:r>
      <w:r w:rsidR="00FA433F" w:rsidRPr="00FA433F">
        <w:rPr>
          <w:noProof/>
        </w:rPr>
        <w:t xml:space="preserve"> z</w:t>
      </w:r>
      <w:r w:rsidR="00FA433F">
        <w:rPr>
          <w:noProof/>
        </w:rPr>
        <w:t> </w:t>
      </w:r>
      <w:r w:rsidR="00FA433F" w:rsidRPr="00FA433F">
        <w:rPr>
          <w:noProof/>
        </w:rPr>
        <w:t>art</w:t>
      </w:r>
      <w:r w:rsidRPr="00FA433F">
        <w:rPr>
          <w:noProof/>
        </w:rPr>
        <w:t>. 21 ust. 5 rozporządzenia (UE, Euratom) 2024/2509. Na zasadzie odstępstwa od tego przepisu wniesione kwoty stanowią zewnętrzne dochody przeznaczone na określony cel.</w:t>
      </w:r>
    </w:p>
    <w:p w14:paraId="21196078" w14:textId="599F9D76" w:rsidR="00541A6C" w:rsidRPr="00FA433F" w:rsidRDefault="00742AD9" w:rsidP="00742AD9">
      <w:pPr>
        <w:pStyle w:val="ManualNumPar1"/>
        <w:rPr>
          <w:noProof/>
        </w:rPr>
      </w:pPr>
      <w:r w:rsidRPr="00FA433F">
        <w:rPr>
          <w:noProof/>
        </w:rPr>
        <w:t>4.</w:t>
      </w:r>
      <w:r w:rsidRPr="00FA433F">
        <w:rPr>
          <w:noProof/>
        </w:rPr>
        <w:tab/>
        <w:t>Dochody pozostałe po pełnej wypłacie środków beneficjentom końcowym i po opłaceniu kosztów administracyjnych Funduszu nie są automatycznie przenoszone do wykorzystania przez Fundusz. Na zasadzie odstępstwa od art. 12 ust. 4 lit. c) rozporządzenia (UE, Euratom) 2024/2509 Komisja zwraca państwom członkowskim nadwyżkę dochodów proporcjonalnie do ich wkładu finansowego na rzecz Funduszu.</w:t>
      </w:r>
    </w:p>
    <w:p w14:paraId="65969895" w14:textId="78232C60" w:rsidR="00541A6C" w:rsidRPr="00FA433F" w:rsidRDefault="00742AD9" w:rsidP="00742AD9">
      <w:pPr>
        <w:pStyle w:val="ManualNumPar1"/>
        <w:rPr>
          <w:noProof/>
        </w:rPr>
      </w:pPr>
      <w:r w:rsidRPr="00FA433F">
        <w:rPr>
          <w:noProof/>
        </w:rPr>
        <w:t>5.</w:t>
      </w:r>
      <w:r w:rsidRPr="00FA433F">
        <w:rPr>
          <w:noProof/>
        </w:rPr>
        <w:tab/>
        <w:t>Koszty administracyjne poniesione przez Komisję</w:t>
      </w:r>
      <w:r w:rsidR="00FA433F" w:rsidRPr="00FA433F">
        <w:rPr>
          <w:noProof/>
        </w:rPr>
        <w:t xml:space="preserve"> w</w:t>
      </w:r>
      <w:r w:rsidR="00FA433F">
        <w:rPr>
          <w:noProof/>
        </w:rPr>
        <w:t> </w:t>
      </w:r>
      <w:r w:rsidR="00FA433F" w:rsidRPr="00FA433F">
        <w:rPr>
          <w:noProof/>
        </w:rPr>
        <w:t>zwi</w:t>
      </w:r>
      <w:r w:rsidRPr="00FA433F">
        <w:rPr>
          <w:noProof/>
        </w:rPr>
        <w:t>ązku</w:t>
      </w:r>
      <w:r w:rsidR="00FA433F" w:rsidRPr="00FA433F">
        <w:rPr>
          <w:noProof/>
        </w:rPr>
        <w:t xml:space="preserve"> z</w:t>
      </w:r>
      <w:r w:rsidR="00FA433F">
        <w:rPr>
          <w:noProof/>
        </w:rPr>
        <w:t> </w:t>
      </w:r>
      <w:r w:rsidR="00FA433F" w:rsidRPr="00FA433F">
        <w:rPr>
          <w:noProof/>
        </w:rPr>
        <w:t>wdr</w:t>
      </w:r>
      <w:r w:rsidRPr="00FA433F">
        <w:rPr>
          <w:noProof/>
        </w:rPr>
        <w:t>ażaniem Funduszu pokrywane są</w:t>
      </w:r>
      <w:r w:rsidR="00FA433F" w:rsidRPr="00FA433F">
        <w:rPr>
          <w:noProof/>
        </w:rPr>
        <w:t xml:space="preserve"> z</w:t>
      </w:r>
      <w:r w:rsidR="00FA433F">
        <w:rPr>
          <w:noProof/>
        </w:rPr>
        <w:t> </w:t>
      </w:r>
      <w:r w:rsidR="00FA433F" w:rsidRPr="00FA433F">
        <w:rPr>
          <w:noProof/>
        </w:rPr>
        <w:t>zas</w:t>
      </w:r>
      <w:r w:rsidRPr="00FA433F">
        <w:rPr>
          <w:noProof/>
        </w:rPr>
        <w:t>obów,</w:t>
      </w:r>
      <w:r w:rsidR="00FA433F" w:rsidRPr="00FA433F">
        <w:rPr>
          <w:noProof/>
        </w:rPr>
        <w:t xml:space="preserve"> o</w:t>
      </w:r>
      <w:r w:rsidR="00FA433F">
        <w:rPr>
          <w:noProof/>
        </w:rPr>
        <w:t> </w:t>
      </w:r>
      <w:r w:rsidR="00FA433F" w:rsidRPr="00FA433F">
        <w:rPr>
          <w:noProof/>
        </w:rPr>
        <w:t>któ</w:t>
      </w:r>
      <w:r w:rsidRPr="00FA433F">
        <w:rPr>
          <w:noProof/>
        </w:rPr>
        <w:t>rych mowa</w:t>
      </w:r>
      <w:r w:rsidR="00FA433F" w:rsidRPr="00FA433F">
        <w:rPr>
          <w:noProof/>
        </w:rPr>
        <w:t xml:space="preserve"> w</w:t>
      </w:r>
      <w:r w:rsidR="00FA433F">
        <w:rPr>
          <w:noProof/>
        </w:rPr>
        <w:t> </w:t>
      </w:r>
      <w:r w:rsidR="00FA433F" w:rsidRPr="00FA433F">
        <w:rPr>
          <w:noProof/>
        </w:rPr>
        <w:t>ust</w:t>
      </w:r>
      <w:r w:rsidRPr="00FA433F">
        <w:rPr>
          <w:noProof/>
        </w:rPr>
        <w:t>. 1.</w:t>
      </w:r>
    </w:p>
    <w:p w14:paraId="5D6886C9" w14:textId="7EAD5E19" w:rsidR="00541A6C" w:rsidRPr="00FA433F" w:rsidRDefault="00742AD9" w:rsidP="00742AD9">
      <w:pPr>
        <w:pStyle w:val="ManualNumPar1"/>
        <w:rPr>
          <w:noProof/>
        </w:rPr>
      </w:pPr>
      <w:r w:rsidRPr="00FA433F">
        <w:rPr>
          <w:noProof/>
        </w:rPr>
        <w:lastRenderedPageBreak/>
        <w:t>6.</w:t>
      </w:r>
      <w:r w:rsidRPr="00FA433F">
        <w:rPr>
          <w:noProof/>
        </w:rPr>
        <w:tab/>
        <w:t>Komisja jest uprawniona do przyjmowania aktów delegowanych zgodnie</w:t>
      </w:r>
      <w:r w:rsidR="00FA433F" w:rsidRPr="00FA433F">
        <w:rPr>
          <w:noProof/>
        </w:rPr>
        <w:t xml:space="preserve"> z</w:t>
      </w:r>
      <w:r w:rsidR="00FA433F">
        <w:rPr>
          <w:noProof/>
        </w:rPr>
        <w:t> </w:t>
      </w:r>
      <w:r w:rsidR="00FA433F" w:rsidRPr="00FA433F">
        <w:rPr>
          <w:noProof/>
        </w:rPr>
        <w:t>art</w:t>
      </w:r>
      <w:r w:rsidRPr="00FA433F">
        <w:rPr>
          <w:noProof/>
        </w:rPr>
        <w:t>. 14</w:t>
      </w:r>
      <w:r w:rsidR="00FA433F" w:rsidRPr="00FA433F">
        <w:rPr>
          <w:noProof/>
        </w:rPr>
        <w:t xml:space="preserve"> w</w:t>
      </w:r>
      <w:r w:rsidR="00FA433F">
        <w:rPr>
          <w:noProof/>
        </w:rPr>
        <w:t> </w:t>
      </w:r>
      <w:r w:rsidR="00FA433F" w:rsidRPr="00FA433F">
        <w:rPr>
          <w:noProof/>
        </w:rPr>
        <w:t>cel</w:t>
      </w:r>
      <w:r w:rsidRPr="00FA433F">
        <w:rPr>
          <w:noProof/>
        </w:rPr>
        <w:t>u uzupełnienia niniejszego rozporządzenia przez ustanowienie przepisów</w:t>
      </w:r>
      <w:r w:rsidR="00FA433F" w:rsidRPr="00FA433F">
        <w:rPr>
          <w:noProof/>
        </w:rPr>
        <w:t xml:space="preserve"> i</w:t>
      </w:r>
      <w:r w:rsidR="00FA433F">
        <w:rPr>
          <w:noProof/>
        </w:rPr>
        <w:t> </w:t>
      </w:r>
      <w:r w:rsidR="00FA433F" w:rsidRPr="00FA433F">
        <w:rPr>
          <w:noProof/>
        </w:rPr>
        <w:t>ust</w:t>
      </w:r>
      <w:r w:rsidRPr="00FA433F">
        <w:rPr>
          <w:noProof/>
        </w:rPr>
        <w:t>aleń niezbędnych do obliczenia</w:t>
      </w:r>
      <w:r w:rsidR="00FA433F" w:rsidRPr="00FA433F">
        <w:rPr>
          <w:noProof/>
        </w:rPr>
        <w:t xml:space="preserve"> i</w:t>
      </w:r>
      <w:r w:rsidR="00FA433F">
        <w:rPr>
          <w:noProof/>
        </w:rPr>
        <w:t> </w:t>
      </w:r>
      <w:r w:rsidR="00FA433F" w:rsidRPr="00FA433F">
        <w:rPr>
          <w:noProof/>
        </w:rPr>
        <w:t>pob</w:t>
      </w:r>
      <w:r w:rsidRPr="00FA433F">
        <w:rPr>
          <w:noProof/>
        </w:rPr>
        <w:t>rania wkładu każdego państwa członkowskiego do zasobów przeznaczonych na działalność Funduszu zgodnie</w:t>
      </w:r>
      <w:r w:rsidR="00FA433F" w:rsidRPr="00FA433F">
        <w:rPr>
          <w:noProof/>
        </w:rPr>
        <w:t xml:space="preserve"> z</w:t>
      </w:r>
      <w:r w:rsidR="00FA433F">
        <w:rPr>
          <w:noProof/>
        </w:rPr>
        <w:t> </w:t>
      </w:r>
      <w:r w:rsidR="00FA433F" w:rsidRPr="00FA433F">
        <w:rPr>
          <w:noProof/>
        </w:rPr>
        <w:t>nin</w:t>
      </w:r>
      <w:r w:rsidRPr="00FA433F">
        <w:rPr>
          <w:noProof/>
        </w:rPr>
        <w:t>iejszym artykułem,</w:t>
      </w:r>
      <w:r w:rsidR="00FA433F" w:rsidRPr="00FA433F">
        <w:rPr>
          <w:noProof/>
        </w:rPr>
        <w:t xml:space="preserve"> w</w:t>
      </w:r>
      <w:r w:rsidR="00FA433F">
        <w:rPr>
          <w:noProof/>
        </w:rPr>
        <w:t> </w:t>
      </w:r>
      <w:r w:rsidR="00FA433F" w:rsidRPr="00FA433F">
        <w:rPr>
          <w:noProof/>
        </w:rPr>
        <w:t>tym</w:t>
      </w:r>
      <w:r w:rsidRPr="00FA433F">
        <w:rPr>
          <w:noProof/>
        </w:rPr>
        <w:t xml:space="preserve"> wszelkich odpowiednich wymogów sprawozdawczych.</w:t>
      </w:r>
    </w:p>
    <w:p w14:paraId="0E07B420" w14:textId="77777777" w:rsidR="00541A6C" w:rsidRPr="00FA433F" w:rsidRDefault="00541A6C" w:rsidP="00541A6C">
      <w:pPr>
        <w:pStyle w:val="Titrearticle"/>
        <w:rPr>
          <w:noProof/>
        </w:rPr>
      </w:pPr>
      <w:r w:rsidRPr="00FA433F">
        <w:rPr>
          <w:noProof/>
        </w:rPr>
        <w:t>Artykuł 4</w:t>
      </w:r>
    </w:p>
    <w:p w14:paraId="5895E0B4" w14:textId="77777777" w:rsidR="00541A6C" w:rsidRPr="00FA433F" w:rsidRDefault="00541A6C" w:rsidP="00541A6C">
      <w:pPr>
        <w:pStyle w:val="NormalCentered"/>
        <w:rPr>
          <w:b/>
          <w:bCs/>
          <w:noProof/>
        </w:rPr>
      </w:pPr>
      <w:r w:rsidRPr="00FA433F">
        <w:rPr>
          <w:b/>
          <w:noProof/>
        </w:rPr>
        <w:t>Wdrażanie Funduszu</w:t>
      </w:r>
    </w:p>
    <w:p w14:paraId="08DA3242" w14:textId="29CBDA59" w:rsidR="00541A6C" w:rsidRPr="00FA433F" w:rsidRDefault="00742AD9" w:rsidP="00742AD9">
      <w:pPr>
        <w:pStyle w:val="ManualNumPar1"/>
        <w:rPr>
          <w:noProof/>
        </w:rPr>
      </w:pPr>
      <w:r w:rsidRPr="00FA433F">
        <w:rPr>
          <w:noProof/>
        </w:rPr>
        <w:t>1.</w:t>
      </w:r>
      <w:r w:rsidRPr="00FA433F">
        <w:rPr>
          <w:noProof/>
        </w:rPr>
        <w:tab/>
        <w:t>Fundusz jest wdrażany przez Komisję</w:t>
      </w:r>
      <w:r w:rsidR="00FA433F" w:rsidRPr="00FA433F">
        <w:rPr>
          <w:noProof/>
        </w:rPr>
        <w:t xml:space="preserve"> w</w:t>
      </w:r>
      <w:r w:rsidR="00FA433F">
        <w:rPr>
          <w:noProof/>
        </w:rPr>
        <w:t> </w:t>
      </w:r>
      <w:r w:rsidR="00FA433F" w:rsidRPr="00FA433F">
        <w:rPr>
          <w:noProof/>
        </w:rPr>
        <w:t>ram</w:t>
      </w:r>
      <w:r w:rsidRPr="00FA433F">
        <w:rPr>
          <w:noProof/>
        </w:rPr>
        <w:t>ach zarządzania bezpośredniego</w:t>
      </w:r>
      <w:r w:rsidR="00FA433F" w:rsidRPr="00FA433F">
        <w:rPr>
          <w:noProof/>
        </w:rPr>
        <w:t xml:space="preserve"> w</w:t>
      </w:r>
      <w:r w:rsidR="00FA433F">
        <w:rPr>
          <w:noProof/>
        </w:rPr>
        <w:t> </w:t>
      </w:r>
      <w:r w:rsidR="00FA433F" w:rsidRPr="00FA433F">
        <w:rPr>
          <w:noProof/>
        </w:rPr>
        <w:t>roz</w:t>
      </w:r>
      <w:r w:rsidRPr="00FA433F">
        <w:rPr>
          <w:noProof/>
        </w:rPr>
        <w:t>umieniu art. 62 ust. 1 akapit pierwszy lit. a) rozporządzenia (UE, Euratom) 2024/2509 oraz zgodnie</w:t>
      </w:r>
      <w:r w:rsidR="00FA433F" w:rsidRPr="00FA433F">
        <w:rPr>
          <w:noProof/>
        </w:rPr>
        <w:t xml:space="preserve"> z</w:t>
      </w:r>
      <w:r w:rsidR="00FA433F">
        <w:rPr>
          <w:noProof/>
        </w:rPr>
        <w:t> </w:t>
      </w:r>
      <w:r w:rsidR="00FA433F" w:rsidRPr="00FA433F">
        <w:rPr>
          <w:noProof/>
        </w:rPr>
        <w:t>inn</w:t>
      </w:r>
      <w:r w:rsidRPr="00FA433F">
        <w:rPr>
          <w:noProof/>
        </w:rPr>
        <w:t>ymi odpowiednimi przepisami przyjętymi na podstawie art. 322 TFUE,</w:t>
      </w:r>
      <w:r w:rsidR="00FA433F" w:rsidRPr="00FA433F">
        <w:rPr>
          <w:noProof/>
        </w:rPr>
        <w:t xml:space="preserve"> w</w:t>
      </w:r>
      <w:r w:rsidR="00FA433F">
        <w:rPr>
          <w:noProof/>
        </w:rPr>
        <w:t> </w:t>
      </w:r>
      <w:r w:rsidR="00FA433F" w:rsidRPr="00FA433F">
        <w:rPr>
          <w:noProof/>
        </w:rPr>
        <w:t>tym</w:t>
      </w:r>
      <w:r w:rsidRPr="00FA433F">
        <w:rPr>
          <w:noProof/>
        </w:rPr>
        <w:t xml:space="preserve"> rozporządzeniem (UE, Euratom) 2020/2092.</w:t>
      </w:r>
    </w:p>
    <w:p w14:paraId="35C6D1CA" w14:textId="296C831B" w:rsidR="00541A6C" w:rsidRPr="00FA433F" w:rsidRDefault="00742AD9" w:rsidP="00742AD9">
      <w:pPr>
        <w:pStyle w:val="ManualNumPar1"/>
        <w:rPr>
          <w:noProof/>
        </w:rPr>
      </w:pPr>
      <w:r w:rsidRPr="00FA433F">
        <w:rPr>
          <w:noProof/>
        </w:rPr>
        <w:t>2.</w:t>
      </w:r>
      <w:r w:rsidRPr="00FA433F">
        <w:rPr>
          <w:noProof/>
        </w:rPr>
        <w:tab/>
        <w:t>Komisja jest uprawniona do przyjmowania aktów delegowanych zgodnie</w:t>
      </w:r>
      <w:r w:rsidR="00FA433F" w:rsidRPr="00FA433F">
        <w:rPr>
          <w:noProof/>
        </w:rPr>
        <w:t xml:space="preserve"> z</w:t>
      </w:r>
      <w:r w:rsidR="00FA433F">
        <w:rPr>
          <w:noProof/>
        </w:rPr>
        <w:t> </w:t>
      </w:r>
      <w:r w:rsidR="00FA433F" w:rsidRPr="00FA433F">
        <w:rPr>
          <w:noProof/>
        </w:rPr>
        <w:t>art</w:t>
      </w:r>
      <w:r w:rsidRPr="00FA433F">
        <w:rPr>
          <w:noProof/>
        </w:rPr>
        <w:t>. 14</w:t>
      </w:r>
      <w:r w:rsidR="00FA433F" w:rsidRPr="00FA433F">
        <w:rPr>
          <w:noProof/>
        </w:rPr>
        <w:t xml:space="preserve"> w</w:t>
      </w:r>
      <w:r w:rsidR="00FA433F">
        <w:rPr>
          <w:noProof/>
        </w:rPr>
        <w:t> </w:t>
      </w:r>
      <w:r w:rsidR="00FA433F" w:rsidRPr="00FA433F">
        <w:rPr>
          <w:noProof/>
        </w:rPr>
        <w:t>cel</w:t>
      </w:r>
      <w:r w:rsidRPr="00FA433F">
        <w:rPr>
          <w:noProof/>
        </w:rPr>
        <w:t>u uzupełnienia niniejszego rozporządzenia przez ustanowienie przepisów</w:t>
      </w:r>
      <w:r w:rsidR="00FA433F" w:rsidRPr="00FA433F">
        <w:rPr>
          <w:noProof/>
        </w:rPr>
        <w:t xml:space="preserve"> i</w:t>
      </w:r>
      <w:r w:rsidR="00FA433F">
        <w:rPr>
          <w:noProof/>
        </w:rPr>
        <w:t> </w:t>
      </w:r>
      <w:r w:rsidR="00FA433F" w:rsidRPr="00FA433F">
        <w:rPr>
          <w:noProof/>
        </w:rPr>
        <w:t>ust</w:t>
      </w:r>
      <w:r w:rsidRPr="00FA433F">
        <w:rPr>
          <w:noProof/>
        </w:rPr>
        <w:t>aleń dotyczących wdrażania Funduszu,</w:t>
      </w:r>
      <w:r w:rsidR="00FA433F" w:rsidRPr="00FA433F">
        <w:rPr>
          <w:noProof/>
        </w:rPr>
        <w:t xml:space="preserve"> w</w:t>
      </w:r>
      <w:r w:rsidR="00FA433F">
        <w:rPr>
          <w:noProof/>
        </w:rPr>
        <w:t> </w:t>
      </w:r>
      <w:r w:rsidR="00FA433F" w:rsidRPr="00FA433F">
        <w:rPr>
          <w:noProof/>
        </w:rPr>
        <w:t>tym</w:t>
      </w:r>
      <w:r w:rsidRPr="00FA433F">
        <w:rPr>
          <w:noProof/>
        </w:rPr>
        <w:t xml:space="preserve"> wymogów</w:t>
      </w:r>
      <w:r w:rsidR="00FA433F" w:rsidRPr="00FA433F">
        <w:rPr>
          <w:noProof/>
        </w:rPr>
        <w:t xml:space="preserve"> w</w:t>
      </w:r>
      <w:r w:rsidR="00FA433F">
        <w:rPr>
          <w:noProof/>
        </w:rPr>
        <w:t> </w:t>
      </w:r>
      <w:r w:rsidR="00FA433F" w:rsidRPr="00FA433F">
        <w:rPr>
          <w:noProof/>
        </w:rPr>
        <w:t>zak</w:t>
      </w:r>
      <w:r w:rsidRPr="00FA433F">
        <w:rPr>
          <w:noProof/>
        </w:rPr>
        <w:t>resie sprawozdawczości</w:t>
      </w:r>
      <w:r w:rsidR="00FA433F" w:rsidRPr="00FA433F">
        <w:rPr>
          <w:noProof/>
        </w:rPr>
        <w:t xml:space="preserve"> i</w:t>
      </w:r>
      <w:r w:rsidR="00FA433F">
        <w:rPr>
          <w:noProof/>
        </w:rPr>
        <w:t> </w:t>
      </w:r>
      <w:r w:rsidR="00FA433F" w:rsidRPr="00FA433F">
        <w:rPr>
          <w:noProof/>
        </w:rPr>
        <w:t>mon</w:t>
      </w:r>
      <w:r w:rsidRPr="00FA433F">
        <w:rPr>
          <w:noProof/>
        </w:rPr>
        <w:t>itorowania.</w:t>
      </w:r>
    </w:p>
    <w:p w14:paraId="276AF49F" w14:textId="67BB9A09" w:rsidR="00570FC1" w:rsidRPr="00FA433F" w:rsidRDefault="00742AD9" w:rsidP="00742AD9">
      <w:pPr>
        <w:pStyle w:val="ManualNumPar1"/>
        <w:rPr>
          <w:noProof/>
        </w:rPr>
      </w:pPr>
      <w:r w:rsidRPr="00FA433F">
        <w:rPr>
          <w:noProof/>
        </w:rPr>
        <w:t>3.</w:t>
      </w:r>
      <w:r w:rsidRPr="00FA433F">
        <w:rPr>
          <w:noProof/>
        </w:rPr>
        <w:tab/>
        <w:t>Do dnia 31 grudnia 2030 r. Komisja przedstawi Parlamentowi Europejskiemu</w:t>
      </w:r>
      <w:r w:rsidR="00FA433F" w:rsidRPr="00FA433F">
        <w:rPr>
          <w:noProof/>
        </w:rPr>
        <w:t xml:space="preserve"> i</w:t>
      </w:r>
      <w:r w:rsidR="00FA433F">
        <w:rPr>
          <w:noProof/>
        </w:rPr>
        <w:t> </w:t>
      </w:r>
      <w:r w:rsidR="00FA433F" w:rsidRPr="00FA433F">
        <w:rPr>
          <w:noProof/>
        </w:rPr>
        <w:t>Rad</w:t>
      </w:r>
      <w:r w:rsidRPr="00FA433F">
        <w:rPr>
          <w:noProof/>
        </w:rPr>
        <w:t>zie sprawozdanie dotyczące wydatków finansowanych</w:t>
      </w:r>
      <w:r w:rsidR="00FA433F" w:rsidRPr="00FA433F">
        <w:rPr>
          <w:noProof/>
        </w:rPr>
        <w:t xml:space="preserve"> z</w:t>
      </w:r>
      <w:r w:rsidR="00FA433F">
        <w:rPr>
          <w:noProof/>
        </w:rPr>
        <w:t> </w:t>
      </w:r>
      <w:r w:rsidR="00FA433F" w:rsidRPr="00FA433F">
        <w:rPr>
          <w:noProof/>
        </w:rPr>
        <w:t>Fun</w:t>
      </w:r>
      <w:r w:rsidRPr="00FA433F">
        <w:rPr>
          <w:noProof/>
        </w:rPr>
        <w:t>duszu. Sprawozdanie to będzie zawierało co najmniej szczegółowy podział środków wydatkowanych przez Fundusz oraz wnioski</w:t>
      </w:r>
      <w:r w:rsidR="00FA433F" w:rsidRPr="00FA433F">
        <w:rPr>
          <w:noProof/>
        </w:rPr>
        <w:t xml:space="preserve"> w</w:t>
      </w:r>
      <w:r w:rsidR="00FA433F">
        <w:rPr>
          <w:noProof/>
        </w:rPr>
        <w:t> </w:t>
      </w:r>
      <w:r w:rsidR="00FA433F" w:rsidRPr="00FA433F">
        <w:rPr>
          <w:noProof/>
        </w:rPr>
        <w:t>pod</w:t>
      </w:r>
      <w:r w:rsidRPr="00FA433F">
        <w:rPr>
          <w:noProof/>
        </w:rPr>
        <w:t>ziale na państwa członkowskie, sektory, towary</w:t>
      </w:r>
      <w:r w:rsidR="00FA433F" w:rsidRPr="00FA433F">
        <w:rPr>
          <w:noProof/>
        </w:rPr>
        <w:t xml:space="preserve"> i</w:t>
      </w:r>
      <w:r w:rsidR="00FA433F">
        <w:rPr>
          <w:noProof/>
        </w:rPr>
        <w:t> </w:t>
      </w:r>
      <w:r w:rsidR="00FA433F" w:rsidRPr="00FA433F">
        <w:rPr>
          <w:noProof/>
        </w:rPr>
        <w:t>ins</w:t>
      </w:r>
      <w:r w:rsidRPr="00FA433F">
        <w:rPr>
          <w:noProof/>
        </w:rPr>
        <w:t>talacje,</w:t>
      </w:r>
      <w:r w:rsidR="00FA433F" w:rsidRPr="00FA433F">
        <w:rPr>
          <w:noProof/>
        </w:rPr>
        <w:t xml:space="preserve"> a</w:t>
      </w:r>
      <w:r w:rsidR="00FA433F">
        <w:rPr>
          <w:noProof/>
        </w:rPr>
        <w:t> </w:t>
      </w:r>
      <w:r w:rsidR="00FA433F" w:rsidRPr="00FA433F">
        <w:rPr>
          <w:noProof/>
        </w:rPr>
        <w:t>tak</w:t>
      </w:r>
      <w:r w:rsidRPr="00FA433F">
        <w:rPr>
          <w:noProof/>
        </w:rPr>
        <w:t>że ocenę Funduszu.</w:t>
      </w:r>
    </w:p>
    <w:p w14:paraId="4D37411E" w14:textId="77777777" w:rsidR="00541A6C" w:rsidRPr="00FA433F" w:rsidRDefault="00541A6C" w:rsidP="00541A6C">
      <w:pPr>
        <w:pStyle w:val="Titrearticle"/>
        <w:rPr>
          <w:noProof/>
        </w:rPr>
      </w:pPr>
      <w:r w:rsidRPr="00FA433F">
        <w:rPr>
          <w:noProof/>
        </w:rPr>
        <w:t>Artykuł 5</w:t>
      </w:r>
    </w:p>
    <w:p w14:paraId="5BC9EF11" w14:textId="77777777" w:rsidR="00541A6C" w:rsidRPr="00FA433F" w:rsidRDefault="00911D15" w:rsidP="00541A6C">
      <w:pPr>
        <w:pStyle w:val="NormalCentered"/>
        <w:rPr>
          <w:b/>
          <w:bCs/>
          <w:noProof/>
        </w:rPr>
      </w:pPr>
      <w:r w:rsidRPr="00FA433F">
        <w:rPr>
          <w:b/>
          <w:noProof/>
        </w:rPr>
        <w:t>Właściwe organy</w:t>
      </w:r>
    </w:p>
    <w:p w14:paraId="6CE550D7" w14:textId="7047DE99" w:rsidR="00911D15" w:rsidRPr="00FA433F" w:rsidRDefault="00911D15" w:rsidP="00911D15">
      <w:pPr>
        <w:rPr>
          <w:noProof/>
        </w:rPr>
      </w:pPr>
      <w:r w:rsidRPr="00FA433F">
        <w:rPr>
          <w:noProof/>
        </w:rPr>
        <w:t>Każde państwo członkowskie wyznacza właściwy organ do wypełniania funkcji</w:t>
      </w:r>
      <w:r w:rsidR="00FA433F" w:rsidRPr="00FA433F">
        <w:rPr>
          <w:noProof/>
        </w:rPr>
        <w:t xml:space="preserve"> i</w:t>
      </w:r>
      <w:r w:rsidR="00FA433F">
        <w:rPr>
          <w:noProof/>
        </w:rPr>
        <w:t> </w:t>
      </w:r>
      <w:r w:rsidR="00FA433F" w:rsidRPr="00FA433F">
        <w:rPr>
          <w:noProof/>
        </w:rPr>
        <w:t>obo</w:t>
      </w:r>
      <w:r w:rsidRPr="00FA433F">
        <w:rPr>
          <w:noProof/>
        </w:rPr>
        <w:t>wiązków wynikających</w:t>
      </w:r>
      <w:r w:rsidR="00FA433F" w:rsidRPr="00FA433F">
        <w:rPr>
          <w:noProof/>
        </w:rPr>
        <w:t xml:space="preserve"> z</w:t>
      </w:r>
      <w:r w:rsidR="00FA433F">
        <w:rPr>
          <w:noProof/>
        </w:rPr>
        <w:t> </w:t>
      </w:r>
      <w:r w:rsidR="00FA433F" w:rsidRPr="00FA433F">
        <w:rPr>
          <w:noProof/>
        </w:rPr>
        <w:t>nin</w:t>
      </w:r>
      <w:r w:rsidRPr="00FA433F">
        <w:rPr>
          <w:noProof/>
        </w:rPr>
        <w:t>iejszego rozporządzenia</w:t>
      </w:r>
      <w:r w:rsidR="00FA433F" w:rsidRPr="00FA433F">
        <w:rPr>
          <w:noProof/>
        </w:rPr>
        <w:t xml:space="preserve"> i</w:t>
      </w:r>
      <w:r w:rsidR="00FA433F">
        <w:rPr>
          <w:noProof/>
        </w:rPr>
        <w:t> </w:t>
      </w:r>
      <w:r w:rsidR="00FA433F" w:rsidRPr="00FA433F">
        <w:rPr>
          <w:noProof/>
        </w:rPr>
        <w:t>pow</w:t>
      </w:r>
      <w:r w:rsidRPr="00FA433F">
        <w:rPr>
          <w:noProof/>
        </w:rPr>
        <w:t>iadamia</w:t>
      </w:r>
      <w:r w:rsidR="00FA433F" w:rsidRPr="00FA433F">
        <w:rPr>
          <w:noProof/>
        </w:rPr>
        <w:t xml:space="preserve"> o</w:t>
      </w:r>
      <w:r w:rsidR="00FA433F">
        <w:rPr>
          <w:noProof/>
        </w:rPr>
        <w:t> </w:t>
      </w:r>
      <w:r w:rsidR="00FA433F" w:rsidRPr="00FA433F">
        <w:rPr>
          <w:noProof/>
        </w:rPr>
        <w:t>tym</w:t>
      </w:r>
      <w:r w:rsidRPr="00FA433F">
        <w:rPr>
          <w:noProof/>
        </w:rPr>
        <w:t xml:space="preserve"> fakcie Komisję. </w:t>
      </w:r>
    </w:p>
    <w:p w14:paraId="345B3700" w14:textId="77777777" w:rsidR="00541A6C" w:rsidRPr="00FA433F" w:rsidRDefault="00911D15" w:rsidP="00911D15">
      <w:pPr>
        <w:rPr>
          <w:noProof/>
        </w:rPr>
      </w:pPr>
      <w:r w:rsidRPr="00FA433F">
        <w:rPr>
          <w:noProof/>
        </w:rPr>
        <w:t>Komisja podaje do wiadomości publicznej wykaz wszystkich właściwych organów.</w:t>
      </w:r>
    </w:p>
    <w:p w14:paraId="2A59CE3F" w14:textId="77777777" w:rsidR="00541A6C" w:rsidRPr="00FA433F" w:rsidRDefault="00541A6C" w:rsidP="00541A6C">
      <w:pPr>
        <w:pStyle w:val="Titrearticle"/>
        <w:rPr>
          <w:noProof/>
        </w:rPr>
      </w:pPr>
      <w:r w:rsidRPr="00FA433F">
        <w:rPr>
          <w:noProof/>
        </w:rPr>
        <w:t>Artykuł 6</w:t>
      </w:r>
    </w:p>
    <w:p w14:paraId="524A1928" w14:textId="77777777" w:rsidR="00541A6C" w:rsidRPr="00FA433F" w:rsidRDefault="00911D15" w:rsidP="00541A6C">
      <w:pPr>
        <w:pStyle w:val="NormalCentered"/>
        <w:rPr>
          <w:b/>
          <w:bCs/>
          <w:noProof/>
        </w:rPr>
      </w:pPr>
      <w:r w:rsidRPr="00FA433F">
        <w:rPr>
          <w:b/>
          <w:noProof/>
        </w:rPr>
        <w:t>Kwalifikowalność</w:t>
      </w:r>
    </w:p>
    <w:p w14:paraId="7FB3FE4D" w14:textId="1B5FD803" w:rsidR="00541A6C" w:rsidRPr="00FA433F" w:rsidRDefault="00742AD9" w:rsidP="00742AD9">
      <w:pPr>
        <w:pStyle w:val="ManualNumPar1"/>
        <w:rPr>
          <w:noProof/>
        </w:rPr>
      </w:pPr>
      <w:r w:rsidRPr="00FA433F">
        <w:rPr>
          <w:noProof/>
        </w:rPr>
        <w:t>1.</w:t>
      </w:r>
      <w:r w:rsidRPr="00FA433F">
        <w:rPr>
          <w:noProof/>
        </w:rPr>
        <w:tab/>
        <w:t>Operator instalacji produkującej towary wymienione</w:t>
      </w:r>
      <w:r w:rsidR="00FA433F" w:rsidRPr="00FA433F">
        <w:rPr>
          <w:noProof/>
        </w:rPr>
        <w:t xml:space="preserve"> w</w:t>
      </w:r>
      <w:r w:rsidR="00FA433F">
        <w:rPr>
          <w:noProof/>
        </w:rPr>
        <w:t> </w:t>
      </w:r>
      <w:r w:rsidR="00FA433F" w:rsidRPr="00FA433F">
        <w:rPr>
          <w:noProof/>
        </w:rPr>
        <w:t>zał</w:t>
      </w:r>
      <w:r w:rsidRPr="00FA433F">
        <w:rPr>
          <w:noProof/>
        </w:rPr>
        <w:t>ączniku, które są objęte kodami Nomenklatury scalonej („CN”) określonymi</w:t>
      </w:r>
      <w:r w:rsidR="00FA433F" w:rsidRPr="00FA433F">
        <w:rPr>
          <w:noProof/>
        </w:rPr>
        <w:t xml:space="preserve"> w</w:t>
      </w:r>
      <w:r w:rsidR="00FA433F">
        <w:rPr>
          <w:noProof/>
        </w:rPr>
        <w:t> </w:t>
      </w:r>
      <w:r w:rsidR="00FA433F" w:rsidRPr="00FA433F">
        <w:rPr>
          <w:noProof/>
        </w:rPr>
        <w:t>roz</w:t>
      </w:r>
      <w:r w:rsidRPr="00FA433F">
        <w:rPr>
          <w:noProof/>
        </w:rPr>
        <w:t>porządzeniu (EWG) nr 2658/87, kwalifikuje się do otrzymania wsparcia finansowego zgodnie</w:t>
      </w:r>
      <w:r w:rsidR="00FA433F" w:rsidRPr="00FA433F">
        <w:rPr>
          <w:noProof/>
        </w:rPr>
        <w:t xml:space="preserve"> z</w:t>
      </w:r>
      <w:r w:rsidR="00FA433F">
        <w:rPr>
          <w:noProof/>
        </w:rPr>
        <w:t> </w:t>
      </w:r>
      <w:r w:rsidR="00FA433F" w:rsidRPr="00FA433F">
        <w:rPr>
          <w:noProof/>
        </w:rPr>
        <w:t>art</w:t>
      </w:r>
      <w:r w:rsidRPr="00FA433F">
        <w:rPr>
          <w:noProof/>
        </w:rPr>
        <w:t>. 9</w:t>
      </w:r>
      <w:r w:rsidR="00FA433F" w:rsidRPr="00FA433F">
        <w:rPr>
          <w:noProof/>
        </w:rPr>
        <w:t xml:space="preserve"> i</w:t>
      </w:r>
      <w:r w:rsidR="00FA433F">
        <w:rPr>
          <w:noProof/>
        </w:rPr>
        <w:t> </w:t>
      </w:r>
      <w:r w:rsidR="00FA433F" w:rsidRPr="00FA433F">
        <w:rPr>
          <w:noProof/>
        </w:rPr>
        <w:t>z</w:t>
      </w:r>
      <w:r w:rsidR="00FA433F">
        <w:rPr>
          <w:noProof/>
        </w:rPr>
        <w:t> </w:t>
      </w:r>
      <w:r w:rsidR="00FA433F" w:rsidRPr="00FA433F">
        <w:rPr>
          <w:noProof/>
        </w:rPr>
        <w:t>zas</w:t>
      </w:r>
      <w:r w:rsidRPr="00FA433F">
        <w:rPr>
          <w:noProof/>
        </w:rPr>
        <w:t>trzeżeniem warunków określonych</w:t>
      </w:r>
      <w:r w:rsidR="00FA433F" w:rsidRPr="00FA433F">
        <w:rPr>
          <w:noProof/>
        </w:rPr>
        <w:t xml:space="preserve"> w</w:t>
      </w:r>
      <w:r w:rsidR="00FA433F">
        <w:rPr>
          <w:noProof/>
        </w:rPr>
        <w:t> </w:t>
      </w:r>
      <w:r w:rsidR="00FA433F" w:rsidRPr="00FA433F">
        <w:rPr>
          <w:noProof/>
        </w:rPr>
        <w:t>art</w:t>
      </w:r>
      <w:r w:rsidRPr="00FA433F">
        <w:rPr>
          <w:noProof/>
        </w:rPr>
        <w:t>. 7.</w:t>
      </w:r>
    </w:p>
    <w:p w14:paraId="372FC9F5" w14:textId="17AC078E" w:rsidR="00541A6C" w:rsidRPr="00FA433F" w:rsidRDefault="00742AD9" w:rsidP="00742AD9">
      <w:pPr>
        <w:pStyle w:val="ManualNumPar1"/>
        <w:rPr>
          <w:noProof/>
        </w:rPr>
      </w:pPr>
      <w:r w:rsidRPr="00FA433F">
        <w:rPr>
          <w:noProof/>
        </w:rPr>
        <w:t>2.</w:t>
      </w:r>
      <w:r w:rsidRPr="00FA433F">
        <w:rPr>
          <w:noProof/>
        </w:rPr>
        <w:tab/>
        <w:t>Operator instalacji produkującej towary niewymienione</w:t>
      </w:r>
      <w:r w:rsidR="00FA433F" w:rsidRPr="00FA433F">
        <w:rPr>
          <w:noProof/>
        </w:rPr>
        <w:t xml:space="preserve"> w</w:t>
      </w:r>
      <w:r w:rsidR="00FA433F">
        <w:rPr>
          <w:noProof/>
        </w:rPr>
        <w:t> </w:t>
      </w:r>
      <w:r w:rsidR="00FA433F" w:rsidRPr="00FA433F">
        <w:rPr>
          <w:noProof/>
        </w:rPr>
        <w:t>zał</w:t>
      </w:r>
      <w:r w:rsidRPr="00FA433F">
        <w:rPr>
          <w:noProof/>
        </w:rPr>
        <w:t>ączniku, które mają niski stosunek wartości do masy i są narażone na zwiększone pozostałe ryzyko ucieczki emisji na poziomie krajowym, jak określono</w:t>
      </w:r>
      <w:r w:rsidR="00FA433F" w:rsidRPr="00FA433F">
        <w:rPr>
          <w:noProof/>
        </w:rPr>
        <w:t xml:space="preserve"> w</w:t>
      </w:r>
      <w:r w:rsidR="00FA433F">
        <w:rPr>
          <w:noProof/>
        </w:rPr>
        <w:t> </w:t>
      </w:r>
      <w:r w:rsidR="00FA433F" w:rsidRPr="00FA433F">
        <w:rPr>
          <w:noProof/>
        </w:rPr>
        <w:t>akc</w:t>
      </w:r>
      <w:r w:rsidRPr="00FA433F">
        <w:rPr>
          <w:noProof/>
        </w:rPr>
        <w:t>ie delegowanym przyjętym zgodnie</w:t>
      </w:r>
      <w:r w:rsidR="00FA433F" w:rsidRPr="00FA433F">
        <w:rPr>
          <w:noProof/>
        </w:rPr>
        <w:t xml:space="preserve"> z</w:t>
      </w:r>
      <w:r w:rsidR="00FA433F">
        <w:rPr>
          <w:noProof/>
        </w:rPr>
        <w:t> </w:t>
      </w:r>
      <w:r w:rsidR="00FA433F" w:rsidRPr="00FA433F">
        <w:rPr>
          <w:noProof/>
        </w:rPr>
        <w:t>ust</w:t>
      </w:r>
      <w:r w:rsidRPr="00FA433F">
        <w:rPr>
          <w:noProof/>
        </w:rPr>
        <w:t>. 3, kwalifikuje się do otrzymania wsparcia finansowego zgodnie</w:t>
      </w:r>
      <w:r w:rsidR="00FA433F" w:rsidRPr="00FA433F">
        <w:rPr>
          <w:noProof/>
        </w:rPr>
        <w:t xml:space="preserve"> z</w:t>
      </w:r>
      <w:r w:rsidR="00FA433F">
        <w:rPr>
          <w:noProof/>
        </w:rPr>
        <w:t> </w:t>
      </w:r>
      <w:r w:rsidR="00FA433F" w:rsidRPr="00FA433F">
        <w:rPr>
          <w:noProof/>
        </w:rPr>
        <w:t>art</w:t>
      </w:r>
      <w:r w:rsidRPr="00FA433F">
        <w:rPr>
          <w:noProof/>
        </w:rPr>
        <w:t>. 9</w:t>
      </w:r>
      <w:r w:rsidR="00FA433F" w:rsidRPr="00FA433F">
        <w:rPr>
          <w:noProof/>
        </w:rPr>
        <w:t xml:space="preserve"> i</w:t>
      </w:r>
      <w:r w:rsidR="00FA433F">
        <w:rPr>
          <w:noProof/>
        </w:rPr>
        <w:t> </w:t>
      </w:r>
      <w:r w:rsidR="00FA433F" w:rsidRPr="00FA433F">
        <w:rPr>
          <w:noProof/>
        </w:rPr>
        <w:t>pod</w:t>
      </w:r>
      <w:r w:rsidRPr="00FA433F">
        <w:rPr>
          <w:noProof/>
        </w:rPr>
        <w:t>lega warunkom określonym</w:t>
      </w:r>
      <w:r w:rsidR="00FA433F" w:rsidRPr="00FA433F">
        <w:rPr>
          <w:noProof/>
        </w:rPr>
        <w:t xml:space="preserve"> w</w:t>
      </w:r>
      <w:r w:rsidR="00FA433F">
        <w:rPr>
          <w:noProof/>
        </w:rPr>
        <w:t> </w:t>
      </w:r>
      <w:r w:rsidR="00FA433F" w:rsidRPr="00FA433F">
        <w:rPr>
          <w:noProof/>
        </w:rPr>
        <w:t>art</w:t>
      </w:r>
      <w:r w:rsidRPr="00FA433F">
        <w:rPr>
          <w:noProof/>
        </w:rPr>
        <w:t xml:space="preserve">. 7 na podstawie decyzji Komisji podjętej na uzasadniony wniosek państwa członkowskiego. </w:t>
      </w:r>
    </w:p>
    <w:p w14:paraId="3F638AC1" w14:textId="00CE6373" w:rsidR="00911D15" w:rsidRPr="00FA433F" w:rsidRDefault="00742AD9" w:rsidP="00742AD9">
      <w:pPr>
        <w:pStyle w:val="ManualNumPar1"/>
        <w:rPr>
          <w:noProof/>
        </w:rPr>
      </w:pPr>
      <w:r w:rsidRPr="00FA433F">
        <w:rPr>
          <w:noProof/>
        </w:rPr>
        <w:t>3.</w:t>
      </w:r>
      <w:r w:rsidRPr="00FA433F">
        <w:rPr>
          <w:noProof/>
        </w:rPr>
        <w:tab/>
        <w:t>Komisja jest uprawniona do przyjmowania aktów delegowanych zgodnie</w:t>
      </w:r>
      <w:r w:rsidR="00FA433F" w:rsidRPr="00FA433F">
        <w:rPr>
          <w:noProof/>
        </w:rPr>
        <w:t xml:space="preserve"> z</w:t>
      </w:r>
      <w:r w:rsidR="00FA433F">
        <w:rPr>
          <w:noProof/>
        </w:rPr>
        <w:t> </w:t>
      </w:r>
      <w:r w:rsidR="00FA433F" w:rsidRPr="00FA433F">
        <w:rPr>
          <w:noProof/>
        </w:rPr>
        <w:t>art</w:t>
      </w:r>
      <w:r w:rsidRPr="00FA433F">
        <w:rPr>
          <w:noProof/>
        </w:rPr>
        <w:t>. 14</w:t>
      </w:r>
      <w:r w:rsidR="00FA433F" w:rsidRPr="00FA433F">
        <w:rPr>
          <w:noProof/>
        </w:rPr>
        <w:t xml:space="preserve"> w</w:t>
      </w:r>
      <w:r w:rsidR="00FA433F">
        <w:rPr>
          <w:noProof/>
        </w:rPr>
        <w:t> </w:t>
      </w:r>
      <w:r w:rsidR="00FA433F" w:rsidRPr="00FA433F">
        <w:rPr>
          <w:noProof/>
        </w:rPr>
        <w:t>cel</w:t>
      </w:r>
      <w:r w:rsidRPr="00FA433F">
        <w:rPr>
          <w:noProof/>
        </w:rPr>
        <w:t>u uzupełnienia niniejszego rozporządzenia przez ustanowienie wskaźnika określającego zwiększone pozostałe ryzyko ucieczki emisji,</w:t>
      </w:r>
      <w:r w:rsidR="00FA433F" w:rsidRPr="00FA433F">
        <w:rPr>
          <w:noProof/>
        </w:rPr>
        <w:t xml:space="preserve"> o</w:t>
      </w:r>
      <w:r w:rsidR="00FA433F">
        <w:rPr>
          <w:noProof/>
        </w:rPr>
        <w:t> </w:t>
      </w:r>
      <w:r w:rsidR="00FA433F" w:rsidRPr="00FA433F">
        <w:rPr>
          <w:noProof/>
        </w:rPr>
        <w:t>któ</w:t>
      </w:r>
      <w:r w:rsidRPr="00FA433F">
        <w:rPr>
          <w:noProof/>
        </w:rPr>
        <w:t>rym to ryzyku mowa</w:t>
      </w:r>
      <w:r w:rsidR="00FA433F" w:rsidRPr="00FA433F">
        <w:rPr>
          <w:noProof/>
        </w:rPr>
        <w:t xml:space="preserve"> w</w:t>
      </w:r>
      <w:r w:rsidR="00FA433F">
        <w:rPr>
          <w:noProof/>
        </w:rPr>
        <w:t> </w:t>
      </w:r>
      <w:r w:rsidR="00FA433F" w:rsidRPr="00FA433F">
        <w:rPr>
          <w:noProof/>
        </w:rPr>
        <w:t>ust</w:t>
      </w:r>
      <w:r w:rsidRPr="00FA433F">
        <w:rPr>
          <w:noProof/>
        </w:rPr>
        <w:t xml:space="preserve">. 2, oraz wykazu towarów określonego na podstawie tego wskaźnika, warunków, </w:t>
      </w:r>
      <w:r w:rsidRPr="00FA433F">
        <w:rPr>
          <w:noProof/>
        </w:rPr>
        <w:lastRenderedPageBreak/>
        <w:t>które operatorzy muszą spełnić, aby otrzymać wsparcie finansowe, oprócz warunków określonych</w:t>
      </w:r>
      <w:r w:rsidR="00FA433F" w:rsidRPr="00FA433F">
        <w:rPr>
          <w:noProof/>
        </w:rPr>
        <w:t xml:space="preserve"> w</w:t>
      </w:r>
      <w:r w:rsidR="00FA433F">
        <w:rPr>
          <w:noProof/>
        </w:rPr>
        <w:t> </w:t>
      </w:r>
      <w:r w:rsidR="00FA433F" w:rsidRPr="00FA433F">
        <w:rPr>
          <w:noProof/>
        </w:rPr>
        <w:t>art</w:t>
      </w:r>
      <w:r w:rsidRPr="00FA433F">
        <w:rPr>
          <w:noProof/>
        </w:rPr>
        <w:t>. 7, oraz procedury składania wniosku,</w:t>
      </w:r>
      <w:r w:rsidR="00FA433F" w:rsidRPr="00FA433F">
        <w:rPr>
          <w:noProof/>
        </w:rPr>
        <w:t xml:space="preserve"> o</w:t>
      </w:r>
      <w:r w:rsidR="00FA433F">
        <w:rPr>
          <w:noProof/>
        </w:rPr>
        <w:t> </w:t>
      </w:r>
      <w:r w:rsidR="00FA433F" w:rsidRPr="00FA433F">
        <w:rPr>
          <w:noProof/>
        </w:rPr>
        <w:t>któ</w:t>
      </w:r>
      <w:r w:rsidRPr="00FA433F">
        <w:rPr>
          <w:noProof/>
        </w:rPr>
        <w:t>rym mowa</w:t>
      </w:r>
      <w:r w:rsidR="00FA433F" w:rsidRPr="00FA433F">
        <w:rPr>
          <w:noProof/>
        </w:rPr>
        <w:t xml:space="preserve"> w</w:t>
      </w:r>
      <w:r w:rsidR="00FA433F">
        <w:rPr>
          <w:noProof/>
        </w:rPr>
        <w:t> </w:t>
      </w:r>
      <w:r w:rsidR="00FA433F" w:rsidRPr="00FA433F">
        <w:rPr>
          <w:noProof/>
        </w:rPr>
        <w:t>aka</w:t>
      </w:r>
      <w:r w:rsidRPr="00FA433F">
        <w:rPr>
          <w:noProof/>
        </w:rPr>
        <w:t xml:space="preserve">picie </w:t>
      </w:r>
      <w:r w:rsidR="0031595E" w:rsidRPr="00FA433F">
        <w:rPr>
          <w:noProof/>
        </w:rPr>
        <w:t>drugi</w:t>
      </w:r>
      <w:r w:rsidRPr="00FA433F">
        <w:rPr>
          <w:noProof/>
        </w:rPr>
        <w:t>m.</w:t>
      </w:r>
    </w:p>
    <w:p w14:paraId="68CEE447" w14:textId="77777777" w:rsidR="00541A6C" w:rsidRPr="00FA433F" w:rsidRDefault="00541A6C" w:rsidP="00541A6C">
      <w:pPr>
        <w:pStyle w:val="Titrearticle"/>
        <w:rPr>
          <w:noProof/>
        </w:rPr>
      </w:pPr>
      <w:r w:rsidRPr="00FA433F">
        <w:rPr>
          <w:noProof/>
        </w:rPr>
        <w:t>Artykuł 7</w:t>
      </w:r>
    </w:p>
    <w:p w14:paraId="641873A6" w14:textId="77777777" w:rsidR="00541A6C" w:rsidRPr="00FA433F" w:rsidRDefault="00911D15" w:rsidP="00541A6C">
      <w:pPr>
        <w:pStyle w:val="NormalCentered"/>
        <w:rPr>
          <w:b/>
          <w:bCs/>
          <w:noProof/>
        </w:rPr>
      </w:pPr>
      <w:r w:rsidRPr="00FA433F">
        <w:rPr>
          <w:b/>
          <w:noProof/>
        </w:rPr>
        <w:t>Warunkowość</w:t>
      </w:r>
    </w:p>
    <w:p w14:paraId="19198AD0" w14:textId="770BDE80" w:rsidR="00541A6C" w:rsidRPr="00FA433F" w:rsidRDefault="00742AD9" w:rsidP="00742AD9">
      <w:pPr>
        <w:pStyle w:val="ManualNumPar1"/>
        <w:rPr>
          <w:noProof/>
        </w:rPr>
      </w:pPr>
      <w:r w:rsidRPr="00FA433F">
        <w:rPr>
          <w:noProof/>
        </w:rPr>
        <w:t>1.</w:t>
      </w:r>
      <w:r w:rsidRPr="00FA433F">
        <w:rPr>
          <w:noProof/>
        </w:rPr>
        <w:tab/>
        <w:t>W przypadku gdy operator podlega obowiązkowi przeprowadzenia audytu energetycznego jako samodzielnego audytu energetycznego lub</w:t>
      </w:r>
      <w:r w:rsidR="00FA433F" w:rsidRPr="00FA433F">
        <w:rPr>
          <w:noProof/>
        </w:rPr>
        <w:t xml:space="preserve"> w</w:t>
      </w:r>
      <w:r w:rsidR="00FA433F">
        <w:rPr>
          <w:noProof/>
        </w:rPr>
        <w:t> </w:t>
      </w:r>
      <w:r w:rsidR="00FA433F" w:rsidRPr="00FA433F">
        <w:rPr>
          <w:noProof/>
        </w:rPr>
        <w:t>ram</w:t>
      </w:r>
      <w:r w:rsidRPr="00FA433F">
        <w:rPr>
          <w:noProof/>
        </w:rPr>
        <w:t>ach certyfikowanego systemu zarządzania energią lub systemu zarządzania środowiskowego, operator otrzymuje wsparcie finansowe</w:t>
      </w:r>
      <w:r w:rsidR="00FA433F" w:rsidRPr="00FA433F">
        <w:rPr>
          <w:noProof/>
        </w:rPr>
        <w:t xml:space="preserve"> z</w:t>
      </w:r>
      <w:r w:rsidR="00FA433F">
        <w:rPr>
          <w:noProof/>
        </w:rPr>
        <w:t> </w:t>
      </w:r>
      <w:r w:rsidR="00FA433F" w:rsidRPr="00FA433F">
        <w:rPr>
          <w:noProof/>
        </w:rPr>
        <w:t>Fun</w:t>
      </w:r>
      <w:r w:rsidRPr="00FA433F">
        <w:rPr>
          <w:noProof/>
        </w:rPr>
        <w:t>duszu, pod warunkiem że wykaże</w:t>
      </w:r>
      <w:r w:rsidR="00FA433F" w:rsidRPr="00FA433F">
        <w:rPr>
          <w:noProof/>
        </w:rPr>
        <w:t xml:space="preserve"> w</w:t>
      </w:r>
      <w:r w:rsidR="00FA433F">
        <w:rPr>
          <w:noProof/>
        </w:rPr>
        <w:t> </w:t>
      </w:r>
      <w:r w:rsidR="00FA433F" w:rsidRPr="00FA433F">
        <w:rPr>
          <w:noProof/>
        </w:rPr>
        <w:t>spo</w:t>
      </w:r>
      <w:r w:rsidRPr="00FA433F">
        <w:rPr>
          <w:noProof/>
        </w:rPr>
        <w:t>sób wymagany przez właściwy organ, że spełniony jest jeden</w:t>
      </w:r>
      <w:r w:rsidR="00FA433F" w:rsidRPr="00FA433F">
        <w:rPr>
          <w:noProof/>
        </w:rPr>
        <w:t xml:space="preserve"> z</w:t>
      </w:r>
      <w:r w:rsidR="00FA433F">
        <w:rPr>
          <w:noProof/>
        </w:rPr>
        <w:t> </w:t>
      </w:r>
      <w:r w:rsidR="00FA433F" w:rsidRPr="00FA433F">
        <w:rPr>
          <w:noProof/>
        </w:rPr>
        <w:t>nas</w:t>
      </w:r>
      <w:r w:rsidRPr="00FA433F">
        <w:rPr>
          <w:noProof/>
        </w:rPr>
        <w:t>tępujących warunków:</w:t>
      </w:r>
    </w:p>
    <w:p w14:paraId="03EF096F" w14:textId="0B7A4A61" w:rsidR="00911D15" w:rsidRPr="00FA433F" w:rsidRDefault="00742AD9" w:rsidP="00742AD9">
      <w:pPr>
        <w:pStyle w:val="Point1"/>
        <w:rPr>
          <w:noProof/>
        </w:rPr>
      </w:pPr>
      <w:r w:rsidRPr="00FA433F">
        <w:rPr>
          <w:noProof/>
        </w:rPr>
        <w:t>a)</w:t>
      </w:r>
      <w:r w:rsidRPr="00FA433F">
        <w:rPr>
          <w:noProof/>
        </w:rPr>
        <w:tab/>
        <w:t>wszystkie zalecenia wynikające</w:t>
      </w:r>
      <w:r w:rsidR="00FA433F" w:rsidRPr="00FA433F">
        <w:rPr>
          <w:noProof/>
        </w:rPr>
        <w:t xml:space="preserve"> z</w:t>
      </w:r>
      <w:r w:rsidR="00FA433F">
        <w:rPr>
          <w:noProof/>
        </w:rPr>
        <w:t> </w:t>
      </w:r>
      <w:r w:rsidR="00FA433F" w:rsidRPr="00FA433F">
        <w:rPr>
          <w:noProof/>
        </w:rPr>
        <w:t>art</w:t>
      </w:r>
      <w:r w:rsidRPr="00FA433F">
        <w:rPr>
          <w:noProof/>
        </w:rPr>
        <w:t>. 11 dyrektywy Parlamentu Europejskiego</w:t>
      </w:r>
      <w:r w:rsidR="00FA433F" w:rsidRPr="00FA433F">
        <w:rPr>
          <w:noProof/>
        </w:rPr>
        <w:t xml:space="preserve"> i</w:t>
      </w:r>
      <w:r w:rsidR="00FA433F">
        <w:rPr>
          <w:noProof/>
        </w:rPr>
        <w:t> </w:t>
      </w:r>
      <w:r w:rsidR="00FA433F" w:rsidRPr="00FA433F">
        <w:rPr>
          <w:noProof/>
        </w:rPr>
        <w:t>Rad</w:t>
      </w:r>
      <w:r w:rsidRPr="00FA433F">
        <w:rPr>
          <w:noProof/>
        </w:rPr>
        <w:t>y 2023/1791/WE</w:t>
      </w:r>
      <w:r w:rsidRPr="00FA433F">
        <w:rPr>
          <w:rStyle w:val="Odwoanieprzypisudolnego"/>
          <w:noProof/>
        </w:rPr>
        <w:footnoteReference w:id="26"/>
      </w:r>
      <w:r w:rsidRPr="00FA433F">
        <w:rPr>
          <w:noProof/>
        </w:rPr>
        <w:t xml:space="preserve"> zostały wdrożone;</w:t>
      </w:r>
    </w:p>
    <w:p w14:paraId="04499FD3" w14:textId="1BFD9328" w:rsidR="00911D15" w:rsidRPr="00FA433F" w:rsidRDefault="00742AD9" w:rsidP="00742AD9">
      <w:pPr>
        <w:pStyle w:val="Point1"/>
        <w:rPr>
          <w:noProof/>
        </w:rPr>
      </w:pPr>
      <w:r w:rsidRPr="00FA433F">
        <w:rPr>
          <w:noProof/>
        </w:rPr>
        <w:t>b)</w:t>
      </w:r>
      <w:r w:rsidRPr="00FA433F">
        <w:rPr>
          <w:noProof/>
        </w:rPr>
        <w:tab/>
        <w:t>okres zwrotu</w:t>
      </w:r>
      <w:r w:rsidR="00FA433F" w:rsidRPr="00FA433F">
        <w:rPr>
          <w:noProof/>
        </w:rPr>
        <w:t xml:space="preserve"> w</w:t>
      </w:r>
      <w:r w:rsidR="00FA433F">
        <w:rPr>
          <w:noProof/>
        </w:rPr>
        <w:t> </w:t>
      </w:r>
      <w:r w:rsidR="00FA433F" w:rsidRPr="00FA433F">
        <w:rPr>
          <w:noProof/>
        </w:rPr>
        <w:t>prz</w:t>
      </w:r>
      <w:r w:rsidRPr="00FA433F">
        <w:rPr>
          <w:noProof/>
        </w:rPr>
        <w:t>ypadku pozostałych odpowiednich inwestycji jest dłuższy niż pięć lat;</w:t>
      </w:r>
    </w:p>
    <w:p w14:paraId="1785137C" w14:textId="31FE4C89" w:rsidR="0004251E" w:rsidRPr="00FA433F" w:rsidRDefault="00742AD9" w:rsidP="00742AD9">
      <w:pPr>
        <w:pStyle w:val="Point1"/>
        <w:rPr>
          <w:noProof/>
        </w:rPr>
      </w:pPr>
      <w:r w:rsidRPr="00FA433F">
        <w:rPr>
          <w:noProof/>
        </w:rPr>
        <w:t>c)</w:t>
      </w:r>
      <w:r w:rsidRPr="00FA433F">
        <w:rPr>
          <w:noProof/>
        </w:rPr>
        <w:tab/>
        <w:t>koszt wdrożenia zaleceń,</w:t>
      </w:r>
      <w:r w:rsidR="00FA433F" w:rsidRPr="00FA433F">
        <w:rPr>
          <w:noProof/>
        </w:rPr>
        <w:t xml:space="preserve"> o</w:t>
      </w:r>
      <w:r w:rsidR="00FA433F">
        <w:rPr>
          <w:noProof/>
        </w:rPr>
        <w:t> </w:t>
      </w:r>
      <w:r w:rsidR="00FA433F" w:rsidRPr="00FA433F">
        <w:rPr>
          <w:noProof/>
        </w:rPr>
        <w:t>któ</w:t>
      </w:r>
      <w:r w:rsidRPr="00FA433F">
        <w:rPr>
          <w:noProof/>
        </w:rPr>
        <w:t>rych mowa</w:t>
      </w:r>
      <w:r w:rsidR="00FA433F" w:rsidRPr="00FA433F">
        <w:rPr>
          <w:noProof/>
        </w:rPr>
        <w:t xml:space="preserve"> w</w:t>
      </w:r>
      <w:r w:rsidR="00FA433F">
        <w:rPr>
          <w:noProof/>
        </w:rPr>
        <w:t> </w:t>
      </w:r>
      <w:r w:rsidR="00FA433F" w:rsidRPr="00FA433F">
        <w:rPr>
          <w:noProof/>
        </w:rPr>
        <w:t>lit</w:t>
      </w:r>
      <w:r w:rsidRPr="00FA433F">
        <w:rPr>
          <w:noProof/>
        </w:rPr>
        <w:t>. a), jest nieproporcjonalny,</w:t>
      </w:r>
      <w:r w:rsidR="00FA433F" w:rsidRPr="00FA433F">
        <w:rPr>
          <w:noProof/>
        </w:rPr>
        <w:t xml:space="preserve"> a</w:t>
      </w:r>
      <w:r w:rsidR="00FA433F">
        <w:rPr>
          <w:noProof/>
        </w:rPr>
        <w:t> </w:t>
      </w:r>
      <w:r w:rsidR="00FA433F" w:rsidRPr="00FA433F">
        <w:rPr>
          <w:noProof/>
        </w:rPr>
        <w:t>ope</w:t>
      </w:r>
      <w:r w:rsidRPr="00FA433F">
        <w:rPr>
          <w:noProof/>
        </w:rPr>
        <w:t>rator wykaże zobowiązanie prawne</w:t>
      </w:r>
      <w:r w:rsidR="00FA433F" w:rsidRPr="00FA433F">
        <w:rPr>
          <w:noProof/>
        </w:rPr>
        <w:t xml:space="preserve"> w</w:t>
      </w:r>
      <w:r w:rsidR="00FA433F">
        <w:rPr>
          <w:noProof/>
        </w:rPr>
        <w:t> </w:t>
      </w:r>
      <w:r w:rsidR="00FA433F" w:rsidRPr="00FA433F">
        <w:rPr>
          <w:noProof/>
        </w:rPr>
        <w:t>roz</w:t>
      </w:r>
      <w:r w:rsidRPr="00FA433F">
        <w:rPr>
          <w:noProof/>
        </w:rPr>
        <w:t>umieniu art. 3d rozporządzenia wykonawczego (UE) 2019/1842</w:t>
      </w:r>
      <w:r w:rsidR="00FA433F" w:rsidRPr="00FA433F">
        <w:rPr>
          <w:noProof/>
        </w:rPr>
        <w:t xml:space="preserve"> w</w:t>
      </w:r>
      <w:r w:rsidR="00FA433F">
        <w:rPr>
          <w:noProof/>
        </w:rPr>
        <w:t> </w:t>
      </w:r>
      <w:r w:rsidR="00FA433F" w:rsidRPr="00FA433F">
        <w:rPr>
          <w:noProof/>
        </w:rPr>
        <w:t>odn</w:t>
      </w:r>
      <w:r w:rsidRPr="00FA433F">
        <w:rPr>
          <w:noProof/>
        </w:rPr>
        <w:t>iesieniu do inwestycji wdrażających inne środki, które doprowadzą do redukcji emisji gazów cieplarnianych równoważnych zaleceniom zawartym</w:t>
      </w:r>
      <w:r w:rsidR="00FA433F" w:rsidRPr="00FA433F">
        <w:rPr>
          <w:noProof/>
        </w:rPr>
        <w:t xml:space="preserve"> w</w:t>
      </w:r>
      <w:r w:rsidR="00FA433F">
        <w:rPr>
          <w:noProof/>
        </w:rPr>
        <w:t> </w:t>
      </w:r>
      <w:r w:rsidR="00FA433F" w:rsidRPr="00FA433F">
        <w:rPr>
          <w:noProof/>
        </w:rPr>
        <w:t>spr</w:t>
      </w:r>
      <w:r w:rsidRPr="00FA433F">
        <w:rPr>
          <w:noProof/>
        </w:rPr>
        <w:t>awozdaniu</w:t>
      </w:r>
      <w:r w:rsidR="00FA433F" w:rsidRPr="00FA433F">
        <w:rPr>
          <w:noProof/>
        </w:rPr>
        <w:t xml:space="preserve"> z</w:t>
      </w:r>
      <w:r w:rsidR="00FA433F">
        <w:rPr>
          <w:noProof/>
        </w:rPr>
        <w:t> </w:t>
      </w:r>
      <w:r w:rsidR="00FA433F" w:rsidRPr="00FA433F">
        <w:rPr>
          <w:noProof/>
        </w:rPr>
        <w:t>aud</w:t>
      </w:r>
      <w:r w:rsidRPr="00FA433F">
        <w:rPr>
          <w:noProof/>
        </w:rPr>
        <w:t>ytu lub</w:t>
      </w:r>
      <w:r w:rsidR="00FA433F" w:rsidRPr="00FA433F">
        <w:rPr>
          <w:noProof/>
        </w:rPr>
        <w:t xml:space="preserve"> w</w:t>
      </w:r>
      <w:r w:rsidR="00FA433F">
        <w:rPr>
          <w:noProof/>
        </w:rPr>
        <w:t> </w:t>
      </w:r>
      <w:r w:rsidR="00FA433F" w:rsidRPr="00FA433F">
        <w:rPr>
          <w:noProof/>
        </w:rPr>
        <w:t>cer</w:t>
      </w:r>
      <w:r w:rsidRPr="00FA433F">
        <w:rPr>
          <w:noProof/>
        </w:rPr>
        <w:t>tyfikowanym systemie zarządzania energią dla danej instalacji.</w:t>
      </w:r>
    </w:p>
    <w:p w14:paraId="67492781" w14:textId="26CED56E" w:rsidR="00541A6C" w:rsidRPr="00FA433F" w:rsidRDefault="00742AD9" w:rsidP="00742AD9">
      <w:pPr>
        <w:pStyle w:val="ManualNumPar1"/>
        <w:rPr>
          <w:noProof/>
        </w:rPr>
      </w:pPr>
      <w:r w:rsidRPr="00FA433F">
        <w:rPr>
          <w:noProof/>
        </w:rPr>
        <w:t>2.</w:t>
      </w:r>
      <w:r w:rsidRPr="00FA433F">
        <w:rPr>
          <w:noProof/>
        </w:rPr>
        <w:tab/>
        <w:t>Warunki określone</w:t>
      </w:r>
      <w:r w:rsidR="00FA433F" w:rsidRPr="00FA433F">
        <w:rPr>
          <w:noProof/>
        </w:rPr>
        <w:t xml:space="preserve"> w</w:t>
      </w:r>
      <w:r w:rsidR="00FA433F">
        <w:rPr>
          <w:noProof/>
        </w:rPr>
        <w:t> </w:t>
      </w:r>
      <w:r w:rsidR="00FA433F" w:rsidRPr="00FA433F">
        <w:rPr>
          <w:noProof/>
        </w:rPr>
        <w:t>ust</w:t>
      </w:r>
      <w:r w:rsidRPr="00FA433F">
        <w:rPr>
          <w:noProof/>
        </w:rPr>
        <w:t>. 1 lit. a), b) i c) mają również zastosowanie do operatorów, którzy nie podlegają obowiązkowi przeprowadzenia audytu energetycznego, pod warunkiem że ich audyt energetyczny jest zgodny</w:t>
      </w:r>
      <w:r w:rsidR="00FA433F" w:rsidRPr="00FA433F">
        <w:rPr>
          <w:noProof/>
        </w:rPr>
        <w:t xml:space="preserve"> z</w:t>
      </w:r>
      <w:r w:rsidR="00FA433F">
        <w:rPr>
          <w:noProof/>
        </w:rPr>
        <w:t> </w:t>
      </w:r>
      <w:r w:rsidR="00FA433F" w:rsidRPr="00FA433F">
        <w:rPr>
          <w:noProof/>
        </w:rPr>
        <w:t>min</w:t>
      </w:r>
      <w:r w:rsidRPr="00FA433F">
        <w:rPr>
          <w:noProof/>
        </w:rPr>
        <w:t>imalnymi kryteriami określonymi</w:t>
      </w:r>
      <w:r w:rsidR="00FA433F" w:rsidRPr="00FA433F">
        <w:rPr>
          <w:noProof/>
        </w:rPr>
        <w:t xml:space="preserve"> w</w:t>
      </w:r>
      <w:r w:rsidR="00FA433F">
        <w:rPr>
          <w:noProof/>
        </w:rPr>
        <w:t> </w:t>
      </w:r>
      <w:r w:rsidR="00FA433F" w:rsidRPr="00FA433F">
        <w:rPr>
          <w:noProof/>
        </w:rPr>
        <w:t>zał</w:t>
      </w:r>
      <w:r w:rsidRPr="00FA433F">
        <w:rPr>
          <w:noProof/>
        </w:rPr>
        <w:t>ączniku VI do dyrektywy (UE) 2023/1791.</w:t>
      </w:r>
    </w:p>
    <w:p w14:paraId="7C7D6730" w14:textId="156376D0" w:rsidR="002B56D7" w:rsidRPr="00FA433F" w:rsidRDefault="00742AD9" w:rsidP="00742AD9">
      <w:pPr>
        <w:pStyle w:val="ManualNumPar1"/>
        <w:rPr>
          <w:noProof/>
        </w:rPr>
      </w:pPr>
      <w:r w:rsidRPr="00FA433F">
        <w:rPr>
          <w:noProof/>
        </w:rPr>
        <w:t>3.</w:t>
      </w:r>
      <w:r w:rsidRPr="00FA433F">
        <w:rPr>
          <w:noProof/>
        </w:rPr>
        <w:tab/>
        <w:t>Alternatywnie do ust. 1</w:t>
      </w:r>
      <w:r w:rsidR="00FA433F" w:rsidRPr="00FA433F">
        <w:rPr>
          <w:noProof/>
        </w:rPr>
        <w:t xml:space="preserve"> i</w:t>
      </w:r>
      <w:r w:rsidR="00FA433F">
        <w:rPr>
          <w:noProof/>
        </w:rPr>
        <w:t> </w:t>
      </w:r>
      <w:r w:rsidR="00FA433F" w:rsidRPr="00FA433F">
        <w:rPr>
          <w:noProof/>
        </w:rPr>
        <w:t>2</w:t>
      </w:r>
      <w:r w:rsidRPr="00FA433F">
        <w:rPr>
          <w:noProof/>
        </w:rPr>
        <w:t xml:space="preserve"> operator otrzymuje wsparcie finansowe</w:t>
      </w:r>
      <w:r w:rsidR="00FA433F" w:rsidRPr="00FA433F">
        <w:rPr>
          <w:noProof/>
        </w:rPr>
        <w:t xml:space="preserve"> z</w:t>
      </w:r>
      <w:r w:rsidR="00FA433F">
        <w:rPr>
          <w:noProof/>
        </w:rPr>
        <w:t> </w:t>
      </w:r>
      <w:r w:rsidR="00FA433F" w:rsidRPr="00FA433F">
        <w:rPr>
          <w:noProof/>
        </w:rPr>
        <w:t>Fun</w:t>
      </w:r>
      <w:r w:rsidRPr="00FA433F">
        <w:rPr>
          <w:noProof/>
        </w:rPr>
        <w:t>duszu pod warunkiem, że wykaże zobowiązanie prawne</w:t>
      </w:r>
      <w:r w:rsidR="00FA433F" w:rsidRPr="00FA433F">
        <w:rPr>
          <w:noProof/>
        </w:rPr>
        <w:t xml:space="preserve"> w</w:t>
      </w:r>
      <w:r w:rsidR="00FA433F">
        <w:rPr>
          <w:noProof/>
        </w:rPr>
        <w:t> </w:t>
      </w:r>
      <w:r w:rsidR="00FA433F" w:rsidRPr="00FA433F">
        <w:rPr>
          <w:noProof/>
        </w:rPr>
        <w:t>roz</w:t>
      </w:r>
      <w:r w:rsidRPr="00FA433F">
        <w:rPr>
          <w:noProof/>
        </w:rPr>
        <w:t>umieniu art. 3d rozporządzenia wykonawczego (UE) 2019/1842 podjęte</w:t>
      </w:r>
      <w:r w:rsidR="00FA433F" w:rsidRPr="00FA433F">
        <w:rPr>
          <w:noProof/>
        </w:rPr>
        <w:t xml:space="preserve"> w</w:t>
      </w:r>
      <w:r w:rsidR="00FA433F">
        <w:rPr>
          <w:noProof/>
        </w:rPr>
        <w:t> </w:t>
      </w:r>
      <w:r w:rsidR="00FA433F" w:rsidRPr="00FA433F">
        <w:rPr>
          <w:noProof/>
        </w:rPr>
        <w:t>odn</w:t>
      </w:r>
      <w:r w:rsidRPr="00FA433F">
        <w:rPr>
          <w:noProof/>
        </w:rPr>
        <w:t>iesieniu do inwestycji służących osiągnięciu wartości docelowych</w:t>
      </w:r>
      <w:r w:rsidR="00FA433F" w:rsidRPr="00FA433F">
        <w:rPr>
          <w:noProof/>
        </w:rPr>
        <w:t xml:space="preserve"> i</w:t>
      </w:r>
      <w:r w:rsidR="00FA433F">
        <w:rPr>
          <w:noProof/>
        </w:rPr>
        <w:t> </w:t>
      </w:r>
      <w:r w:rsidR="00FA433F" w:rsidRPr="00FA433F">
        <w:rPr>
          <w:noProof/>
        </w:rPr>
        <w:t>kam</w:t>
      </w:r>
      <w:r w:rsidRPr="00FA433F">
        <w:rPr>
          <w:noProof/>
        </w:rPr>
        <w:t>ieni milowych,</w:t>
      </w:r>
      <w:r w:rsidR="00FA433F" w:rsidRPr="00FA433F">
        <w:rPr>
          <w:noProof/>
        </w:rPr>
        <w:t xml:space="preserve"> o</w:t>
      </w:r>
      <w:r w:rsidR="00FA433F">
        <w:rPr>
          <w:noProof/>
        </w:rPr>
        <w:t> </w:t>
      </w:r>
      <w:r w:rsidR="00FA433F" w:rsidRPr="00FA433F">
        <w:rPr>
          <w:noProof/>
        </w:rPr>
        <w:t>któ</w:t>
      </w:r>
      <w:r w:rsidRPr="00FA433F">
        <w:rPr>
          <w:noProof/>
        </w:rPr>
        <w:t>rych mowa</w:t>
      </w:r>
      <w:r w:rsidR="00FA433F" w:rsidRPr="00FA433F">
        <w:rPr>
          <w:noProof/>
        </w:rPr>
        <w:t xml:space="preserve"> w</w:t>
      </w:r>
      <w:r w:rsidR="00FA433F">
        <w:rPr>
          <w:noProof/>
        </w:rPr>
        <w:t> </w:t>
      </w:r>
      <w:r w:rsidR="00FA433F" w:rsidRPr="00FA433F">
        <w:rPr>
          <w:noProof/>
        </w:rPr>
        <w:t>pla</w:t>
      </w:r>
      <w:r w:rsidRPr="00FA433F">
        <w:rPr>
          <w:noProof/>
        </w:rPr>
        <w:t>nie neutralności klimatycznej,</w:t>
      </w:r>
      <w:r w:rsidR="00FA433F" w:rsidRPr="00FA433F">
        <w:rPr>
          <w:noProof/>
        </w:rPr>
        <w:t xml:space="preserve"> i</w:t>
      </w:r>
      <w:r w:rsidR="00FA433F">
        <w:rPr>
          <w:noProof/>
        </w:rPr>
        <w:t> </w:t>
      </w:r>
      <w:r w:rsidR="00FA433F" w:rsidRPr="00FA433F">
        <w:rPr>
          <w:noProof/>
        </w:rPr>
        <w:t>któ</w:t>
      </w:r>
      <w:r w:rsidRPr="00FA433F">
        <w:rPr>
          <w:noProof/>
        </w:rPr>
        <w:t>re jest co najmniej równoważne kwocie wsparcia wnioskowanej na podstawie niniejszego rozporządzenia.</w:t>
      </w:r>
    </w:p>
    <w:p w14:paraId="71EC88C8" w14:textId="77777777" w:rsidR="00541A6C" w:rsidRPr="00FA433F" w:rsidRDefault="00541A6C" w:rsidP="00541A6C">
      <w:pPr>
        <w:pStyle w:val="Titrearticle"/>
        <w:rPr>
          <w:noProof/>
        </w:rPr>
      </w:pPr>
      <w:r w:rsidRPr="00FA433F">
        <w:rPr>
          <w:noProof/>
        </w:rPr>
        <w:t>Artykuł 8</w:t>
      </w:r>
    </w:p>
    <w:p w14:paraId="1A4853AC" w14:textId="63016A98" w:rsidR="00541A6C" w:rsidRPr="00FA433F" w:rsidRDefault="002B56D7" w:rsidP="00541A6C">
      <w:pPr>
        <w:pStyle w:val="NormalCentered"/>
        <w:rPr>
          <w:b/>
          <w:bCs/>
          <w:noProof/>
        </w:rPr>
      </w:pPr>
      <w:r w:rsidRPr="00FA433F">
        <w:rPr>
          <w:b/>
          <w:noProof/>
        </w:rPr>
        <w:t>Wniosek</w:t>
      </w:r>
      <w:r w:rsidR="00FA433F" w:rsidRPr="00FA433F">
        <w:rPr>
          <w:b/>
          <w:noProof/>
        </w:rPr>
        <w:t xml:space="preserve"> o</w:t>
      </w:r>
      <w:r w:rsidR="00FA433F">
        <w:rPr>
          <w:b/>
          <w:noProof/>
        </w:rPr>
        <w:t> </w:t>
      </w:r>
      <w:r w:rsidR="00FA433F" w:rsidRPr="00FA433F">
        <w:rPr>
          <w:b/>
          <w:noProof/>
        </w:rPr>
        <w:t>wsp</w:t>
      </w:r>
      <w:r w:rsidRPr="00FA433F">
        <w:rPr>
          <w:b/>
          <w:noProof/>
        </w:rPr>
        <w:t>arcie, rozpatrywanie wniosków</w:t>
      </w:r>
      <w:r w:rsidR="00FA433F" w:rsidRPr="00FA433F">
        <w:rPr>
          <w:b/>
          <w:noProof/>
        </w:rPr>
        <w:t xml:space="preserve"> i</w:t>
      </w:r>
      <w:r w:rsidR="00FA433F">
        <w:rPr>
          <w:b/>
          <w:noProof/>
        </w:rPr>
        <w:t> </w:t>
      </w:r>
      <w:r w:rsidR="00FA433F" w:rsidRPr="00FA433F">
        <w:rPr>
          <w:b/>
          <w:noProof/>
        </w:rPr>
        <w:t>oce</w:t>
      </w:r>
      <w:r w:rsidRPr="00FA433F">
        <w:rPr>
          <w:b/>
          <w:noProof/>
        </w:rPr>
        <w:t>ny dokonywane przez właściwy organ</w:t>
      </w:r>
    </w:p>
    <w:p w14:paraId="63BEC06E" w14:textId="277B2D8B" w:rsidR="00541A6C" w:rsidRPr="00FA433F" w:rsidRDefault="00742AD9" w:rsidP="00742AD9">
      <w:pPr>
        <w:pStyle w:val="ManualNumPar1"/>
        <w:rPr>
          <w:noProof/>
        </w:rPr>
      </w:pPr>
      <w:r w:rsidRPr="00FA433F">
        <w:rPr>
          <w:noProof/>
        </w:rPr>
        <w:t>1.</w:t>
      </w:r>
      <w:r w:rsidRPr="00FA433F">
        <w:rPr>
          <w:noProof/>
        </w:rPr>
        <w:tab/>
        <w:t>Operator instalacji produkującej towary kwalifikujące się do wsparcia finansowego może złożyć wniosek</w:t>
      </w:r>
      <w:r w:rsidR="00FA433F" w:rsidRPr="00FA433F">
        <w:rPr>
          <w:noProof/>
        </w:rPr>
        <w:t xml:space="preserve"> o</w:t>
      </w:r>
      <w:r w:rsidR="00FA433F">
        <w:rPr>
          <w:noProof/>
        </w:rPr>
        <w:t> </w:t>
      </w:r>
      <w:r w:rsidR="00FA433F" w:rsidRPr="00FA433F">
        <w:rPr>
          <w:noProof/>
        </w:rPr>
        <w:t>tak</w:t>
      </w:r>
      <w:r w:rsidRPr="00FA433F">
        <w:rPr>
          <w:noProof/>
        </w:rPr>
        <w:t>ie wsparcie</w:t>
      </w:r>
      <w:r w:rsidR="00FA433F" w:rsidRPr="00FA433F">
        <w:rPr>
          <w:noProof/>
        </w:rPr>
        <w:t xml:space="preserve"> z</w:t>
      </w:r>
      <w:r w:rsidR="00FA433F">
        <w:rPr>
          <w:noProof/>
        </w:rPr>
        <w:t> </w:t>
      </w:r>
      <w:r w:rsidR="00FA433F" w:rsidRPr="00FA433F">
        <w:rPr>
          <w:noProof/>
        </w:rPr>
        <w:t>Fun</w:t>
      </w:r>
      <w:r w:rsidRPr="00FA433F">
        <w:rPr>
          <w:noProof/>
        </w:rPr>
        <w:t>duszu do dnia 31 marca 2028 r. Wniosek ten przedkłada się właściwemu organowi państwa członkowskiego,</w:t>
      </w:r>
      <w:r w:rsidR="00FA433F" w:rsidRPr="00FA433F">
        <w:rPr>
          <w:noProof/>
        </w:rPr>
        <w:t xml:space="preserve"> w</w:t>
      </w:r>
      <w:r w:rsidR="00FA433F">
        <w:rPr>
          <w:noProof/>
        </w:rPr>
        <w:t> </w:t>
      </w:r>
      <w:r w:rsidR="00FA433F" w:rsidRPr="00FA433F">
        <w:rPr>
          <w:noProof/>
        </w:rPr>
        <w:t>któ</w:t>
      </w:r>
      <w:r w:rsidRPr="00FA433F">
        <w:rPr>
          <w:noProof/>
        </w:rPr>
        <w:t>rym operator instalacji ma siedzibę,</w:t>
      </w:r>
      <w:r w:rsidR="00FA433F" w:rsidRPr="00FA433F">
        <w:rPr>
          <w:noProof/>
        </w:rPr>
        <w:t xml:space="preserve"> i</w:t>
      </w:r>
      <w:r w:rsidR="00FA433F">
        <w:rPr>
          <w:noProof/>
        </w:rPr>
        <w:t> </w:t>
      </w:r>
      <w:r w:rsidR="00FA433F" w:rsidRPr="00FA433F">
        <w:rPr>
          <w:noProof/>
        </w:rPr>
        <w:t>obe</w:t>
      </w:r>
      <w:r w:rsidRPr="00FA433F">
        <w:rPr>
          <w:noProof/>
        </w:rPr>
        <w:t>jmuje on okres dwóch lat stosowania Funduszu.</w:t>
      </w:r>
    </w:p>
    <w:p w14:paraId="27E918B9" w14:textId="6314EB7A" w:rsidR="00541A6C" w:rsidRPr="00FA433F" w:rsidRDefault="00742AD9" w:rsidP="00742AD9">
      <w:pPr>
        <w:pStyle w:val="ManualNumPar1"/>
        <w:rPr>
          <w:noProof/>
        </w:rPr>
      </w:pPr>
      <w:r w:rsidRPr="00FA433F">
        <w:rPr>
          <w:noProof/>
        </w:rPr>
        <w:t>2.</w:t>
      </w:r>
      <w:r w:rsidRPr="00FA433F">
        <w:rPr>
          <w:noProof/>
        </w:rPr>
        <w:tab/>
        <w:t>Do wniosku złożonego zgodnie</w:t>
      </w:r>
      <w:r w:rsidR="00FA433F" w:rsidRPr="00FA433F">
        <w:rPr>
          <w:noProof/>
        </w:rPr>
        <w:t xml:space="preserve"> z</w:t>
      </w:r>
      <w:r w:rsidR="00FA433F">
        <w:rPr>
          <w:noProof/>
        </w:rPr>
        <w:t> </w:t>
      </w:r>
      <w:r w:rsidR="00FA433F" w:rsidRPr="00FA433F">
        <w:rPr>
          <w:noProof/>
        </w:rPr>
        <w:t>ust</w:t>
      </w:r>
      <w:r w:rsidRPr="00FA433F">
        <w:rPr>
          <w:noProof/>
        </w:rPr>
        <w:t>. 1 dołącza się następujące specjalne elementy:</w:t>
      </w:r>
    </w:p>
    <w:p w14:paraId="3466461A" w14:textId="1C0342F1" w:rsidR="00E66436" w:rsidRPr="00FA433F" w:rsidRDefault="00742AD9" w:rsidP="00742AD9">
      <w:pPr>
        <w:pStyle w:val="Point1"/>
        <w:rPr>
          <w:noProof/>
        </w:rPr>
      </w:pPr>
      <w:r w:rsidRPr="00FA433F">
        <w:rPr>
          <w:noProof/>
        </w:rPr>
        <w:lastRenderedPageBreak/>
        <w:t>a)</w:t>
      </w:r>
      <w:r w:rsidRPr="00FA433F">
        <w:rPr>
          <w:noProof/>
        </w:rPr>
        <w:tab/>
        <w:t>w przypadku wszystkich operatorów – raport dotyczący danych produkcyjnych uzupełniający zweryfikowane raporty dotyczące poziomu działalności za lata 2026</w:t>
      </w:r>
      <w:r w:rsidR="00FA433F" w:rsidRPr="00FA433F">
        <w:rPr>
          <w:noProof/>
        </w:rPr>
        <w:t xml:space="preserve"> i</w:t>
      </w:r>
      <w:r w:rsidR="00FA433F">
        <w:rPr>
          <w:noProof/>
        </w:rPr>
        <w:t> </w:t>
      </w:r>
      <w:r w:rsidR="00FA433F" w:rsidRPr="00FA433F">
        <w:rPr>
          <w:noProof/>
        </w:rPr>
        <w:t>2</w:t>
      </w:r>
      <w:r w:rsidRPr="00FA433F">
        <w:rPr>
          <w:noProof/>
        </w:rPr>
        <w:t>027 przedłożone na podstawie art. 3 rozporządzenia wykonawczego (UE) 2019/1842, zawierający dane dotyczące produkcji niezbędne do weryfikacji kwalifikowalności do wsparcia finansowego;</w:t>
      </w:r>
    </w:p>
    <w:p w14:paraId="529C2591" w14:textId="36D55DBE" w:rsidR="00823276" w:rsidRPr="00FA433F" w:rsidRDefault="00742AD9" w:rsidP="00742AD9">
      <w:pPr>
        <w:pStyle w:val="Point1"/>
        <w:rPr>
          <w:noProof/>
        </w:rPr>
      </w:pPr>
      <w:r w:rsidRPr="00FA433F">
        <w:rPr>
          <w:noProof/>
        </w:rPr>
        <w:t>b)</w:t>
      </w:r>
      <w:r w:rsidRPr="00FA433F">
        <w:rPr>
          <w:noProof/>
        </w:rPr>
        <w:tab/>
        <w:t>w przypadku operatorów, którzy chcą spełnić wymogi warunkowości określone</w:t>
      </w:r>
      <w:r w:rsidR="00FA433F" w:rsidRPr="00FA433F">
        <w:rPr>
          <w:noProof/>
        </w:rPr>
        <w:t xml:space="preserve"> w</w:t>
      </w:r>
      <w:r w:rsidR="00FA433F">
        <w:rPr>
          <w:noProof/>
        </w:rPr>
        <w:t> </w:t>
      </w:r>
      <w:r w:rsidR="00FA433F" w:rsidRPr="00FA433F">
        <w:rPr>
          <w:noProof/>
        </w:rPr>
        <w:t>art</w:t>
      </w:r>
      <w:r w:rsidRPr="00FA433F">
        <w:rPr>
          <w:noProof/>
        </w:rPr>
        <w:t>. 7 ust. 1 lub</w:t>
      </w:r>
      <w:r w:rsidR="00FA433F" w:rsidRPr="00FA433F">
        <w:rPr>
          <w:noProof/>
        </w:rPr>
        <w:t> </w:t>
      </w:r>
      <w:r w:rsidRPr="00FA433F">
        <w:rPr>
          <w:noProof/>
        </w:rPr>
        <w:t xml:space="preserve">2: </w:t>
      </w:r>
    </w:p>
    <w:p w14:paraId="4B5A0883" w14:textId="5FFDDA49" w:rsidR="00E66436" w:rsidRPr="00FA433F" w:rsidRDefault="003F312A">
      <w:pPr>
        <w:pStyle w:val="Text2"/>
        <w:ind w:left="2160" w:hanging="743"/>
        <w:rPr>
          <w:noProof/>
        </w:rPr>
      </w:pPr>
      <w:r w:rsidRPr="00FA433F">
        <w:rPr>
          <w:noProof/>
        </w:rPr>
        <w:t xml:space="preserve">(i) </w:t>
      </w:r>
      <w:r w:rsidRPr="00FA433F">
        <w:rPr>
          <w:noProof/>
        </w:rPr>
        <w:tab/>
        <w:t>sprawozdanie</w:t>
      </w:r>
      <w:r w:rsidR="00FA433F" w:rsidRPr="00FA433F">
        <w:rPr>
          <w:noProof/>
        </w:rPr>
        <w:t xml:space="preserve"> z</w:t>
      </w:r>
      <w:r w:rsidR="00FA433F">
        <w:rPr>
          <w:noProof/>
        </w:rPr>
        <w:t> </w:t>
      </w:r>
      <w:r w:rsidR="00FA433F" w:rsidRPr="00FA433F">
        <w:rPr>
          <w:noProof/>
        </w:rPr>
        <w:t>wer</w:t>
      </w:r>
      <w:r w:rsidRPr="00FA433F">
        <w:rPr>
          <w:noProof/>
        </w:rPr>
        <w:t>yfikacji potwierdzające podczas weryfikacji rocznych raportów dotyczących poziomu działalności za lata 2026</w:t>
      </w:r>
      <w:r w:rsidR="00FA433F" w:rsidRPr="00FA433F">
        <w:rPr>
          <w:noProof/>
        </w:rPr>
        <w:t xml:space="preserve"> i</w:t>
      </w:r>
      <w:r w:rsidR="00FA433F">
        <w:rPr>
          <w:noProof/>
        </w:rPr>
        <w:t> </w:t>
      </w:r>
      <w:r w:rsidR="00FA433F" w:rsidRPr="00FA433F">
        <w:rPr>
          <w:noProof/>
        </w:rPr>
        <w:t>2</w:t>
      </w:r>
      <w:r w:rsidRPr="00FA433F">
        <w:rPr>
          <w:noProof/>
        </w:rPr>
        <w:t>027 zgodnie</w:t>
      </w:r>
      <w:r w:rsidR="00FA433F" w:rsidRPr="00FA433F">
        <w:rPr>
          <w:noProof/>
        </w:rPr>
        <w:t xml:space="preserve"> z</w:t>
      </w:r>
      <w:r w:rsidR="00FA433F">
        <w:rPr>
          <w:noProof/>
        </w:rPr>
        <w:t> </w:t>
      </w:r>
      <w:r w:rsidR="00FA433F" w:rsidRPr="00FA433F">
        <w:rPr>
          <w:noProof/>
        </w:rPr>
        <w:t>art</w:t>
      </w:r>
      <w:r w:rsidRPr="00FA433F">
        <w:rPr>
          <w:noProof/>
        </w:rPr>
        <w:t>. 3 rozporządzenia wykonawczego (UE) 2019/1842, że warunki określone</w:t>
      </w:r>
      <w:r w:rsidR="00FA433F" w:rsidRPr="00FA433F">
        <w:rPr>
          <w:noProof/>
        </w:rPr>
        <w:t xml:space="preserve"> w</w:t>
      </w:r>
      <w:r w:rsidR="00FA433F">
        <w:rPr>
          <w:noProof/>
        </w:rPr>
        <w:t> </w:t>
      </w:r>
      <w:r w:rsidR="00FA433F" w:rsidRPr="00FA433F">
        <w:rPr>
          <w:noProof/>
        </w:rPr>
        <w:t>art</w:t>
      </w:r>
      <w:r w:rsidRPr="00FA433F">
        <w:rPr>
          <w:noProof/>
        </w:rPr>
        <w:t>. 7 ust. 1 lub</w:t>
      </w:r>
      <w:r w:rsidR="00FA433F" w:rsidRPr="00FA433F">
        <w:rPr>
          <w:noProof/>
        </w:rPr>
        <w:t> </w:t>
      </w:r>
      <w:r w:rsidRPr="00FA433F">
        <w:rPr>
          <w:noProof/>
        </w:rPr>
        <w:t>2 zostały spełnione;</w:t>
      </w:r>
    </w:p>
    <w:p w14:paraId="58056573" w14:textId="38EC7A7A" w:rsidR="00B50C63" w:rsidRPr="00FA433F" w:rsidRDefault="00B50C63">
      <w:pPr>
        <w:pStyle w:val="Text2"/>
        <w:ind w:left="2160" w:hanging="743"/>
        <w:rPr>
          <w:noProof/>
        </w:rPr>
      </w:pPr>
      <w:r w:rsidRPr="00FA433F">
        <w:rPr>
          <w:noProof/>
        </w:rPr>
        <w:t xml:space="preserve">(ii) </w:t>
      </w:r>
      <w:r w:rsidRPr="00FA433F">
        <w:rPr>
          <w:noProof/>
        </w:rPr>
        <w:tab/>
        <w:t>w stosownych przypadkach dokumenty potwierdzające zobowiązanie prawne</w:t>
      </w:r>
      <w:r w:rsidR="00FA433F" w:rsidRPr="00FA433F">
        <w:rPr>
          <w:noProof/>
        </w:rPr>
        <w:t xml:space="preserve"> w</w:t>
      </w:r>
      <w:r w:rsidR="00FA433F">
        <w:rPr>
          <w:noProof/>
        </w:rPr>
        <w:t> </w:t>
      </w:r>
      <w:r w:rsidR="00FA433F" w:rsidRPr="00FA433F">
        <w:rPr>
          <w:noProof/>
        </w:rPr>
        <w:t>roz</w:t>
      </w:r>
      <w:r w:rsidRPr="00FA433F">
        <w:rPr>
          <w:noProof/>
        </w:rPr>
        <w:t>umieniu art. 3d rozporządzenia wykonawczego (UE) 2019/1842</w:t>
      </w:r>
      <w:r w:rsidR="00FA433F" w:rsidRPr="00FA433F">
        <w:rPr>
          <w:noProof/>
        </w:rPr>
        <w:t xml:space="preserve"> w</w:t>
      </w:r>
      <w:r w:rsidR="00FA433F">
        <w:rPr>
          <w:noProof/>
        </w:rPr>
        <w:t> </w:t>
      </w:r>
      <w:r w:rsidR="00FA433F" w:rsidRPr="00FA433F">
        <w:rPr>
          <w:noProof/>
        </w:rPr>
        <w:t>odn</w:t>
      </w:r>
      <w:r w:rsidRPr="00FA433F">
        <w:rPr>
          <w:noProof/>
        </w:rPr>
        <w:t>iesieniu do inwestycji,</w:t>
      </w:r>
      <w:r w:rsidR="00FA433F" w:rsidRPr="00FA433F">
        <w:rPr>
          <w:noProof/>
        </w:rPr>
        <w:t xml:space="preserve"> o</w:t>
      </w:r>
      <w:r w:rsidR="00FA433F">
        <w:rPr>
          <w:noProof/>
        </w:rPr>
        <w:t> </w:t>
      </w:r>
      <w:r w:rsidR="00FA433F" w:rsidRPr="00FA433F">
        <w:rPr>
          <w:noProof/>
        </w:rPr>
        <w:t>któ</w:t>
      </w:r>
      <w:r w:rsidRPr="00FA433F">
        <w:rPr>
          <w:noProof/>
        </w:rPr>
        <w:t>rej mowa</w:t>
      </w:r>
      <w:r w:rsidR="00FA433F" w:rsidRPr="00FA433F">
        <w:rPr>
          <w:noProof/>
        </w:rPr>
        <w:t xml:space="preserve"> w</w:t>
      </w:r>
      <w:r w:rsidR="00FA433F">
        <w:rPr>
          <w:noProof/>
        </w:rPr>
        <w:t> </w:t>
      </w:r>
      <w:r w:rsidR="00FA433F" w:rsidRPr="00FA433F">
        <w:rPr>
          <w:noProof/>
        </w:rPr>
        <w:t>art</w:t>
      </w:r>
      <w:r w:rsidRPr="00FA433F">
        <w:rPr>
          <w:noProof/>
        </w:rPr>
        <w:t>. 7 ust. 1 lit. c), oraz dokumenty potwierdzające, że inwestycja doprowadzi do redukcji emisji gazów cieplarnianych równoważnej redukcji zalecanej dla danej instalacji</w:t>
      </w:r>
      <w:r w:rsidR="00FA433F" w:rsidRPr="00FA433F">
        <w:rPr>
          <w:noProof/>
        </w:rPr>
        <w:t xml:space="preserve"> w</w:t>
      </w:r>
      <w:r w:rsidR="00FA433F">
        <w:rPr>
          <w:noProof/>
        </w:rPr>
        <w:t> </w:t>
      </w:r>
      <w:r w:rsidR="00FA433F" w:rsidRPr="00FA433F">
        <w:rPr>
          <w:noProof/>
        </w:rPr>
        <w:t>spr</w:t>
      </w:r>
      <w:r w:rsidRPr="00FA433F">
        <w:rPr>
          <w:noProof/>
        </w:rPr>
        <w:t>awozdaniu</w:t>
      </w:r>
      <w:r w:rsidR="00FA433F" w:rsidRPr="00FA433F">
        <w:rPr>
          <w:noProof/>
        </w:rPr>
        <w:t xml:space="preserve"> z</w:t>
      </w:r>
      <w:r w:rsidR="00FA433F">
        <w:rPr>
          <w:noProof/>
        </w:rPr>
        <w:t> </w:t>
      </w:r>
      <w:r w:rsidR="00FA433F" w:rsidRPr="00FA433F">
        <w:rPr>
          <w:noProof/>
        </w:rPr>
        <w:t>aud</w:t>
      </w:r>
      <w:r w:rsidRPr="00FA433F">
        <w:rPr>
          <w:noProof/>
        </w:rPr>
        <w:t>ytu lub</w:t>
      </w:r>
      <w:r w:rsidR="00FA433F" w:rsidRPr="00FA433F">
        <w:rPr>
          <w:noProof/>
        </w:rPr>
        <w:t xml:space="preserve"> w</w:t>
      </w:r>
      <w:r w:rsidR="00FA433F">
        <w:rPr>
          <w:noProof/>
        </w:rPr>
        <w:t> </w:t>
      </w:r>
      <w:r w:rsidR="00FA433F" w:rsidRPr="00FA433F">
        <w:rPr>
          <w:noProof/>
        </w:rPr>
        <w:t>ram</w:t>
      </w:r>
      <w:r w:rsidRPr="00FA433F">
        <w:rPr>
          <w:noProof/>
        </w:rPr>
        <w:t>ach certyfikowanego systemu zarządzania energią</w:t>
      </w:r>
      <w:r w:rsidR="00FA433F" w:rsidRPr="00FA433F">
        <w:rPr>
          <w:noProof/>
        </w:rPr>
        <w:t xml:space="preserve"> w</w:t>
      </w:r>
      <w:r w:rsidR="00FA433F">
        <w:rPr>
          <w:noProof/>
        </w:rPr>
        <w:t> </w:t>
      </w:r>
      <w:r w:rsidR="00FA433F" w:rsidRPr="00FA433F">
        <w:rPr>
          <w:noProof/>
        </w:rPr>
        <w:t>dan</w:t>
      </w:r>
      <w:r w:rsidRPr="00FA433F">
        <w:rPr>
          <w:noProof/>
        </w:rPr>
        <w:t>ej instalacji;</w:t>
      </w:r>
    </w:p>
    <w:p w14:paraId="6211E124" w14:textId="4854E1A6" w:rsidR="00E66436" w:rsidRPr="00FA433F" w:rsidRDefault="00742AD9" w:rsidP="00742AD9">
      <w:pPr>
        <w:pStyle w:val="Point1"/>
        <w:rPr>
          <w:noProof/>
        </w:rPr>
      </w:pPr>
      <w:r w:rsidRPr="00FA433F">
        <w:rPr>
          <w:noProof/>
        </w:rPr>
        <w:t>c)</w:t>
      </w:r>
      <w:r w:rsidRPr="00FA433F">
        <w:rPr>
          <w:noProof/>
        </w:rPr>
        <w:tab/>
        <w:t>w przypadku operatorów, którzy chcą spełnić wymogi warunkowości określone</w:t>
      </w:r>
      <w:r w:rsidR="00FA433F" w:rsidRPr="00FA433F">
        <w:rPr>
          <w:noProof/>
        </w:rPr>
        <w:t xml:space="preserve"> w</w:t>
      </w:r>
      <w:r w:rsidR="00FA433F">
        <w:rPr>
          <w:noProof/>
        </w:rPr>
        <w:t> </w:t>
      </w:r>
      <w:r w:rsidR="00FA433F" w:rsidRPr="00FA433F">
        <w:rPr>
          <w:noProof/>
        </w:rPr>
        <w:t>art</w:t>
      </w:r>
      <w:r w:rsidRPr="00FA433F">
        <w:rPr>
          <w:noProof/>
        </w:rPr>
        <w:t>. 7 ust. 3:</w:t>
      </w:r>
    </w:p>
    <w:p w14:paraId="62F6FF4A" w14:textId="12884A99" w:rsidR="00E66436" w:rsidRPr="00FA433F" w:rsidRDefault="00702BD2">
      <w:pPr>
        <w:pStyle w:val="Text2"/>
        <w:ind w:left="2160" w:hanging="743"/>
        <w:rPr>
          <w:noProof/>
        </w:rPr>
      </w:pPr>
      <w:r w:rsidRPr="00FA433F">
        <w:rPr>
          <w:noProof/>
        </w:rPr>
        <w:t>(i)</w:t>
      </w:r>
      <w:r w:rsidRPr="00FA433F">
        <w:rPr>
          <w:noProof/>
        </w:rPr>
        <w:tab/>
        <w:t>sprawozdanie dotyczące neutralności klimatycznej zgodnie</w:t>
      </w:r>
      <w:r w:rsidR="00FA433F" w:rsidRPr="00FA433F">
        <w:rPr>
          <w:noProof/>
        </w:rPr>
        <w:t xml:space="preserve"> z</w:t>
      </w:r>
      <w:r w:rsidR="00FA433F">
        <w:rPr>
          <w:noProof/>
        </w:rPr>
        <w:t> </w:t>
      </w:r>
      <w:r w:rsidR="00FA433F" w:rsidRPr="00FA433F">
        <w:rPr>
          <w:noProof/>
        </w:rPr>
        <w:t>art</w:t>
      </w:r>
      <w:r w:rsidRPr="00FA433F">
        <w:rPr>
          <w:noProof/>
        </w:rPr>
        <w:t>. 3b rozporządzenia wykonawczego (UE) 2019/1842, które zostało zweryfikowane jako zadowalające zgodnie</w:t>
      </w:r>
      <w:r w:rsidR="00FA433F" w:rsidRPr="00FA433F">
        <w:rPr>
          <w:noProof/>
        </w:rPr>
        <w:t xml:space="preserve"> z</w:t>
      </w:r>
      <w:r w:rsidR="00FA433F">
        <w:rPr>
          <w:noProof/>
        </w:rPr>
        <w:t> </w:t>
      </w:r>
      <w:r w:rsidR="00FA433F" w:rsidRPr="00FA433F">
        <w:rPr>
          <w:noProof/>
        </w:rPr>
        <w:t>roz</w:t>
      </w:r>
      <w:r w:rsidRPr="00FA433F">
        <w:rPr>
          <w:noProof/>
        </w:rPr>
        <w:t>porządzeniem wykonawczym Komisji (UE) 2018/2067</w:t>
      </w:r>
      <w:r w:rsidRPr="00FA433F">
        <w:rPr>
          <w:rStyle w:val="Odwoanieprzypisudolnego"/>
          <w:noProof/>
        </w:rPr>
        <w:footnoteReference w:id="27"/>
      </w:r>
      <w:r w:rsidRPr="00FA433F">
        <w:rPr>
          <w:noProof/>
        </w:rPr>
        <w:t>; lub,</w:t>
      </w:r>
      <w:r w:rsidR="00FA433F" w:rsidRPr="00FA433F">
        <w:rPr>
          <w:noProof/>
        </w:rPr>
        <w:t xml:space="preserve"> w</w:t>
      </w:r>
      <w:r w:rsidR="00FA433F">
        <w:rPr>
          <w:noProof/>
        </w:rPr>
        <w:t> </w:t>
      </w:r>
      <w:r w:rsidR="00FA433F" w:rsidRPr="00FA433F">
        <w:rPr>
          <w:noProof/>
        </w:rPr>
        <w:t>prz</w:t>
      </w:r>
      <w:r w:rsidRPr="00FA433F">
        <w:rPr>
          <w:noProof/>
        </w:rPr>
        <w:t>ypadku operatorów przedkładających po raz pierwszy plan neutralności klimatycznej, plan neutralności klimatycznej</w:t>
      </w:r>
      <w:r w:rsidR="00FA433F" w:rsidRPr="00FA433F">
        <w:rPr>
          <w:noProof/>
        </w:rPr>
        <w:t xml:space="preserve"> w</w:t>
      </w:r>
      <w:r w:rsidR="00FA433F">
        <w:rPr>
          <w:noProof/>
        </w:rPr>
        <w:t> </w:t>
      </w:r>
      <w:r w:rsidR="00FA433F" w:rsidRPr="00FA433F">
        <w:rPr>
          <w:noProof/>
        </w:rPr>
        <w:t>odn</w:t>
      </w:r>
      <w:r w:rsidRPr="00FA433F">
        <w:rPr>
          <w:noProof/>
        </w:rPr>
        <w:t>iesieniu do ich działalności objętej dyrektywą 2003/87/WE zgodnie</w:t>
      </w:r>
      <w:r w:rsidR="00FA433F" w:rsidRPr="00FA433F">
        <w:rPr>
          <w:noProof/>
        </w:rPr>
        <w:t xml:space="preserve"> z</w:t>
      </w:r>
      <w:r w:rsidR="00FA433F">
        <w:rPr>
          <w:noProof/>
        </w:rPr>
        <w:t> </w:t>
      </w:r>
      <w:r w:rsidR="00FA433F" w:rsidRPr="00FA433F">
        <w:rPr>
          <w:noProof/>
        </w:rPr>
        <w:t>roz</w:t>
      </w:r>
      <w:r w:rsidRPr="00FA433F">
        <w:rPr>
          <w:noProof/>
        </w:rPr>
        <w:t xml:space="preserve">porządzeniem wykonawczym (UE) 2023/2441; </w:t>
      </w:r>
    </w:p>
    <w:p w14:paraId="38AC9239" w14:textId="7D97EF77" w:rsidR="00490004" w:rsidRPr="00FA433F" w:rsidRDefault="00D55648">
      <w:pPr>
        <w:pStyle w:val="Text2"/>
        <w:ind w:left="2160" w:hanging="743"/>
        <w:rPr>
          <w:noProof/>
        </w:rPr>
      </w:pPr>
      <w:r w:rsidRPr="00FA433F">
        <w:rPr>
          <w:noProof/>
        </w:rPr>
        <w:t>(ii)</w:t>
      </w:r>
      <w:r w:rsidRPr="00FA433F">
        <w:rPr>
          <w:noProof/>
        </w:rPr>
        <w:tab/>
        <w:t>dokumentację potwierdzającą zobowiązanie prawne</w:t>
      </w:r>
      <w:r w:rsidR="00FA433F" w:rsidRPr="00FA433F">
        <w:rPr>
          <w:noProof/>
        </w:rPr>
        <w:t xml:space="preserve"> w</w:t>
      </w:r>
      <w:r w:rsidR="00FA433F">
        <w:rPr>
          <w:noProof/>
        </w:rPr>
        <w:t> </w:t>
      </w:r>
      <w:r w:rsidR="00FA433F" w:rsidRPr="00FA433F">
        <w:rPr>
          <w:noProof/>
        </w:rPr>
        <w:t>roz</w:t>
      </w:r>
      <w:r w:rsidRPr="00FA433F">
        <w:rPr>
          <w:noProof/>
        </w:rPr>
        <w:t>umieniu art. 3d rozporządzenia wykonawczego (UE) 2019/1842</w:t>
      </w:r>
      <w:r w:rsidR="00FA433F" w:rsidRPr="00FA433F">
        <w:rPr>
          <w:noProof/>
        </w:rPr>
        <w:t xml:space="preserve"> w</w:t>
      </w:r>
      <w:r w:rsidR="00FA433F">
        <w:rPr>
          <w:noProof/>
        </w:rPr>
        <w:t> </w:t>
      </w:r>
      <w:r w:rsidR="00FA433F" w:rsidRPr="00FA433F">
        <w:rPr>
          <w:noProof/>
        </w:rPr>
        <w:t>odn</w:t>
      </w:r>
      <w:r w:rsidRPr="00FA433F">
        <w:rPr>
          <w:noProof/>
        </w:rPr>
        <w:t>iesieniu do inwestycji,</w:t>
      </w:r>
      <w:r w:rsidR="00FA433F" w:rsidRPr="00FA433F">
        <w:rPr>
          <w:noProof/>
        </w:rPr>
        <w:t xml:space="preserve"> o</w:t>
      </w:r>
      <w:r w:rsidR="00FA433F">
        <w:rPr>
          <w:noProof/>
        </w:rPr>
        <w:t> </w:t>
      </w:r>
      <w:r w:rsidR="00FA433F" w:rsidRPr="00FA433F">
        <w:rPr>
          <w:noProof/>
        </w:rPr>
        <w:t>któ</w:t>
      </w:r>
      <w:r w:rsidRPr="00FA433F">
        <w:rPr>
          <w:noProof/>
        </w:rPr>
        <w:t>rej mowa</w:t>
      </w:r>
      <w:r w:rsidR="00FA433F" w:rsidRPr="00FA433F">
        <w:rPr>
          <w:noProof/>
        </w:rPr>
        <w:t xml:space="preserve"> w</w:t>
      </w:r>
      <w:r w:rsidR="00FA433F">
        <w:rPr>
          <w:noProof/>
        </w:rPr>
        <w:t> </w:t>
      </w:r>
      <w:r w:rsidR="00FA433F" w:rsidRPr="00FA433F">
        <w:rPr>
          <w:noProof/>
        </w:rPr>
        <w:t>art</w:t>
      </w:r>
      <w:r w:rsidRPr="00FA433F">
        <w:rPr>
          <w:noProof/>
        </w:rPr>
        <w:t>. 7 ust. 3, oraz dokumentację potwierdzającą, że inwestycja prowadzi do osiągnięcia wartości docelowych</w:t>
      </w:r>
      <w:r w:rsidR="00FA433F" w:rsidRPr="00FA433F">
        <w:rPr>
          <w:noProof/>
        </w:rPr>
        <w:t xml:space="preserve"> i</w:t>
      </w:r>
      <w:r w:rsidR="00FA433F">
        <w:rPr>
          <w:noProof/>
        </w:rPr>
        <w:t> </w:t>
      </w:r>
      <w:r w:rsidR="00FA433F" w:rsidRPr="00FA433F">
        <w:rPr>
          <w:noProof/>
        </w:rPr>
        <w:t>kam</w:t>
      </w:r>
      <w:r w:rsidRPr="00FA433F">
        <w:rPr>
          <w:noProof/>
        </w:rPr>
        <w:t>ieni milowych,</w:t>
      </w:r>
      <w:r w:rsidR="00FA433F" w:rsidRPr="00FA433F">
        <w:rPr>
          <w:noProof/>
        </w:rPr>
        <w:t xml:space="preserve"> o</w:t>
      </w:r>
      <w:r w:rsidR="00FA433F">
        <w:rPr>
          <w:noProof/>
        </w:rPr>
        <w:t> </w:t>
      </w:r>
      <w:r w:rsidR="00FA433F" w:rsidRPr="00FA433F">
        <w:rPr>
          <w:noProof/>
        </w:rPr>
        <w:t>któ</w:t>
      </w:r>
      <w:r w:rsidRPr="00FA433F">
        <w:rPr>
          <w:noProof/>
        </w:rPr>
        <w:t>rych mowa</w:t>
      </w:r>
      <w:r w:rsidR="00FA433F" w:rsidRPr="00FA433F">
        <w:rPr>
          <w:noProof/>
        </w:rPr>
        <w:t xml:space="preserve"> w</w:t>
      </w:r>
      <w:r w:rsidR="00FA433F">
        <w:rPr>
          <w:noProof/>
        </w:rPr>
        <w:t> </w:t>
      </w:r>
      <w:r w:rsidR="00FA433F" w:rsidRPr="00FA433F">
        <w:rPr>
          <w:noProof/>
        </w:rPr>
        <w:t>naj</w:t>
      </w:r>
      <w:r w:rsidRPr="00FA433F">
        <w:rPr>
          <w:noProof/>
        </w:rPr>
        <w:t>nowszym planie neutralności klimatycznej zgodnie</w:t>
      </w:r>
      <w:r w:rsidR="00FA433F" w:rsidRPr="00FA433F">
        <w:rPr>
          <w:noProof/>
        </w:rPr>
        <w:t xml:space="preserve"> z</w:t>
      </w:r>
      <w:r w:rsidR="00FA433F">
        <w:rPr>
          <w:noProof/>
        </w:rPr>
        <w:t> </w:t>
      </w:r>
      <w:r w:rsidR="00FA433F" w:rsidRPr="00FA433F">
        <w:rPr>
          <w:noProof/>
        </w:rPr>
        <w:t>roz</w:t>
      </w:r>
      <w:r w:rsidRPr="00FA433F">
        <w:rPr>
          <w:noProof/>
        </w:rPr>
        <w:t>porządzeniem wykonawczym (UE) 2023/2441.</w:t>
      </w:r>
    </w:p>
    <w:p w14:paraId="4F727477" w14:textId="3323188D" w:rsidR="00490004" w:rsidRPr="00FA433F" w:rsidRDefault="00742AD9" w:rsidP="00742AD9">
      <w:pPr>
        <w:pStyle w:val="ManualNumPar1"/>
        <w:rPr>
          <w:noProof/>
        </w:rPr>
      </w:pPr>
      <w:r w:rsidRPr="00FA433F">
        <w:rPr>
          <w:noProof/>
        </w:rPr>
        <w:t>3.</w:t>
      </w:r>
      <w:r w:rsidRPr="00FA433F">
        <w:rPr>
          <w:noProof/>
        </w:rPr>
        <w:tab/>
        <w:t>Komisja jest uprawniona do przyjmowania aktów wykonawczych</w:t>
      </w:r>
      <w:r w:rsidR="00FA433F" w:rsidRPr="00FA433F">
        <w:rPr>
          <w:noProof/>
        </w:rPr>
        <w:t xml:space="preserve"> w</w:t>
      </w:r>
      <w:r w:rsidR="00FA433F">
        <w:rPr>
          <w:noProof/>
        </w:rPr>
        <w:t> </w:t>
      </w:r>
      <w:r w:rsidR="00FA433F" w:rsidRPr="00FA433F">
        <w:rPr>
          <w:noProof/>
        </w:rPr>
        <w:t>cel</w:t>
      </w:r>
      <w:r w:rsidRPr="00FA433F">
        <w:rPr>
          <w:noProof/>
        </w:rPr>
        <w:t>u doprecyzowania szczegółów dotyczących wymogów proceduralnych, dokumentów</w:t>
      </w:r>
      <w:r w:rsidR="00FA433F" w:rsidRPr="00FA433F">
        <w:rPr>
          <w:noProof/>
        </w:rPr>
        <w:t xml:space="preserve"> i</w:t>
      </w:r>
      <w:r w:rsidR="00FA433F">
        <w:rPr>
          <w:noProof/>
        </w:rPr>
        <w:t> </w:t>
      </w:r>
      <w:r w:rsidR="00FA433F" w:rsidRPr="00FA433F">
        <w:rPr>
          <w:noProof/>
        </w:rPr>
        <w:t>dow</w:t>
      </w:r>
      <w:r w:rsidRPr="00FA433F">
        <w:rPr>
          <w:noProof/>
        </w:rPr>
        <w:t>odów przedkładanych</w:t>
      </w:r>
      <w:r w:rsidR="00FA433F" w:rsidRPr="00FA433F">
        <w:rPr>
          <w:noProof/>
        </w:rPr>
        <w:t xml:space="preserve"> w</w:t>
      </w:r>
      <w:r w:rsidR="00FA433F">
        <w:rPr>
          <w:noProof/>
        </w:rPr>
        <w:t> </w:t>
      </w:r>
      <w:r w:rsidR="00FA433F" w:rsidRPr="00FA433F">
        <w:rPr>
          <w:noProof/>
        </w:rPr>
        <w:t>ram</w:t>
      </w:r>
      <w:r w:rsidRPr="00FA433F">
        <w:rPr>
          <w:noProof/>
        </w:rPr>
        <w:t>ach procedury składania wniosków</w:t>
      </w:r>
      <w:r w:rsidR="00FA433F" w:rsidRPr="00FA433F">
        <w:rPr>
          <w:noProof/>
        </w:rPr>
        <w:t xml:space="preserve"> w</w:t>
      </w:r>
      <w:r w:rsidR="00FA433F">
        <w:rPr>
          <w:noProof/>
        </w:rPr>
        <w:t> </w:t>
      </w:r>
      <w:r w:rsidR="00FA433F" w:rsidRPr="00FA433F">
        <w:rPr>
          <w:noProof/>
        </w:rPr>
        <w:t>cel</w:t>
      </w:r>
      <w:r w:rsidRPr="00FA433F">
        <w:rPr>
          <w:noProof/>
        </w:rPr>
        <w:t>u zakwalifikowania się do wsparcia finansowego</w:t>
      </w:r>
      <w:r w:rsidR="00FA433F" w:rsidRPr="00FA433F">
        <w:rPr>
          <w:noProof/>
        </w:rPr>
        <w:t xml:space="preserve"> z</w:t>
      </w:r>
      <w:r w:rsidR="00FA433F">
        <w:rPr>
          <w:noProof/>
        </w:rPr>
        <w:t> </w:t>
      </w:r>
      <w:r w:rsidR="00FA433F" w:rsidRPr="00FA433F">
        <w:rPr>
          <w:noProof/>
        </w:rPr>
        <w:t>Fun</w:t>
      </w:r>
      <w:r w:rsidRPr="00FA433F">
        <w:rPr>
          <w:noProof/>
        </w:rPr>
        <w:t>duszu,</w:t>
      </w:r>
      <w:r w:rsidR="00FA433F" w:rsidRPr="00FA433F">
        <w:rPr>
          <w:noProof/>
        </w:rPr>
        <w:t xml:space="preserve"> w</w:t>
      </w:r>
      <w:r w:rsidR="00FA433F">
        <w:rPr>
          <w:noProof/>
        </w:rPr>
        <w:t> </w:t>
      </w:r>
      <w:r w:rsidR="00FA433F" w:rsidRPr="00FA433F">
        <w:rPr>
          <w:noProof/>
        </w:rPr>
        <w:t>szc</w:t>
      </w:r>
      <w:r w:rsidRPr="00FA433F">
        <w:rPr>
          <w:noProof/>
        </w:rPr>
        <w:t>zególności minimalnej treści, którą należy przedłożyć</w:t>
      </w:r>
      <w:r w:rsidR="00FA433F" w:rsidRPr="00FA433F">
        <w:rPr>
          <w:noProof/>
        </w:rPr>
        <w:t xml:space="preserve"> w</w:t>
      </w:r>
      <w:r w:rsidR="00FA433F">
        <w:rPr>
          <w:noProof/>
        </w:rPr>
        <w:t> </w:t>
      </w:r>
      <w:r w:rsidR="00FA433F" w:rsidRPr="00FA433F">
        <w:rPr>
          <w:noProof/>
        </w:rPr>
        <w:t>ram</w:t>
      </w:r>
      <w:r w:rsidRPr="00FA433F">
        <w:rPr>
          <w:noProof/>
        </w:rPr>
        <w:t>ach raportu dotyczącego danych produkcyjnych, oraz dokumentów potwierdzających zobowiązanie prawne</w:t>
      </w:r>
      <w:r w:rsidR="00FA433F" w:rsidRPr="00FA433F">
        <w:rPr>
          <w:noProof/>
        </w:rPr>
        <w:t xml:space="preserve"> w</w:t>
      </w:r>
      <w:r w:rsidR="00FA433F">
        <w:rPr>
          <w:noProof/>
        </w:rPr>
        <w:t> </w:t>
      </w:r>
      <w:r w:rsidR="00FA433F" w:rsidRPr="00FA433F">
        <w:rPr>
          <w:noProof/>
        </w:rPr>
        <w:t>roz</w:t>
      </w:r>
      <w:r w:rsidRPr="00FA433F">
        <w:rPr>
          <w:noProof/>
        </w:rPr>
        <w:t>umieniu art. 3d rozporządzenia wykonawczego (UE) 2019/1842. Te akty wykonawcze przyjmuje się zgodnie</w:t>
      </w:r>
      <w:r w:rsidR="00FA433F" w:rsidRPr="00FA433F">
        <w:rPr>
          <w:noProof/>
        </w:rPr>
        <w:t xml:space="preserve"> z</w:t>
      </w:r>
      <w:r w:rsidR="00FA433F">
        <w:rPr>
          <w:noProof/>
        </w:rPr>
        <w:t> </w:t>
      </w:r>
      <w:r w:rsidR="00FA433F" w:rsidRPr="00FA433F">
        <w:rPr>
          <w:noProof/>
        </w:rPr>
        <w:t>pro</w:t>
      </w:r>
      <w:r w:rsidRPr="00FA433F">
        <w:rPr>
          <w:noProof/>
        </w:rPr>
        <w:t>cedurą sprawdzającą,</w:t>
      </w:r>
      <w:r w:rsidR="00FA433F" w:rsidRPr="00FA433F">
        <w:rPr>
          <w:noProof/>
        </w:rPr>
        <w:t xml:space="preserve"> o</w:t>
      </w:r>
      <w:r w:rsidR="00FA433F">
        <w:rPr>
          <w:noProof/>
        </w:rPr>
        <w:t> </w:t>
      </w:r>
      <w:r w:rsidR="00FA433F" w:rsidRPr="00FA433F">
        <w:rPr>
          <w:noProof/>
        </w:rPr>
        <w:t>któ</w:t>
      </w:r>
      <w:r w:rsidRPr="00FA433F">
        <w:rPr>
          <w:noProof/>
        </w:rPr>
        <w:t>rej mowa</w:t>
      </w:r>
      <w:r w:rsidR="00FA433F" w:rsidRPr="00FA433F">
        <w:rPr>
          <w:noProof/>
        </w:rPr>
        <w:t xml:space="preserve"> w</w:t>
      </w:r>
      <w:r w:rsidR="00FA433F">
        <w:rPr>
          <w:noProof/>
        </w:rPr>
        <w:t> </w:t>
      </w:r>
      <w:r w:rsidR="00FA433F" w:rsidRPr="00FA433F">
        <w:rPr>
          <w:noProof/>
        </w:rPr>
        <w:t>art</w:t>
      </w:r>
      <w:r w:rsidRPr="00FA433F">
        <w:rPr>
          <w:noProof/>
        </w:rPr>
        <w:t>.</w:t>
      </w:r>
      <w:r w:rsidR="00FA433F" w:rsidRPr="00FA433F">
        <w:rPr>
          <w:noProof/>
        </w:rPr>
        <w:t> </w:t>
      </w:r>
      <w:r w:rsidRPr="00FA433F">
        <w:rPr>
          <w:noProof/>
        </w:rPr>
        <w:t>15 ust.</w:t>
      </w:r>
      <w:r w:rsidR="00FA433F" w:rsidRPr="00FA433F">
        <w:rPr>
          <w:noProof/>
        </w:rPr>
        <w:t> </w:t>
      </w:r>
      <w:r w:rsidRPr="00FA433F">
        <w:rPr>
          <w:noProof/>
        </w:rPr>
        <w:t>2.</w:t>
      </w:r>
    </w:p>
    <w:p w14:paraId="74EAD850" w14:textId="54650EB1" w:rsidR="00490004" w:rsidRPr="00FA433F" w:rsidRDefault="00742AD9" w:rsidP="00742AD9">
      <w:pPr>
        <w:pStyle w:val="ManualNumPar1"/>
        <w:rPr>
          <w:noProof/>
        </w:rPr>
      </w:pPr>
      <w:r w:rsidRPr="00FA433F">
        <w:rPr>
          <w:noProof/>
        </w:rPr>
        <w:lastRenderedPageBreak/>
        <w:t>4.</w:t>
      </w:r>
      <w:r w:rsidRPr="00FA433F">
        <w:rPr>
          <w:noProof/>
        </w:rPr>
        <w:tab/>
        <w:t>Właściwy organ ocenia dokumentację dostarczoną zgodnie</w:t>
      </w:r>
      <w:r w:rsidR="00FA433F" w:rsidRPr="00FA433F">
        <w:rPr>
          <w:noProof/>
        </w:rPr>
        <w:t xml:space="preserve"> z</w:t>
      </w:r>
      <w:r w:rsidR="00FA433F">
        <w:rPr>
          <w:noProof/>
        </w:rPr>
        <w:t> </w:t>
      </w:r>
      <w:r w:rsidR="00FA433F" w:rsidRPr="00FA433F">
        <w:rPr>
          <w:noProof/>
        </w:rPr>
        <w:t>ust</w:t>
      </w:r>
      <w:r w:rsidRPr="00FA433F">
        <w:rPr>
          <w:noProof/>
        </w:rPr>
        <w:t>. 2. Na podstawie tej oceny właściwy organ podejmuje decyzję, czy spełnione zostały warunki określone</w:t>
      </w:r>
      <w:r w:rsidR="00FA433F" w:rsidRPr="00FA433F">
        <w:rPr>
          <w:noProof/>
        </w:rPr>
        <w:t xml:space="preserve"> w</w:t>
      </w:r>
      <w:r w:rsidR="00FA433F">
        <w:rPr>
          <w:noProof/>
        </w:rPr>
        <w:t> </w:t>
      </w:r>
      <w:r w:rsidR="00FA433F" w:rsidRPr="00FA433F">
        <w:rPr>
          <w:noProof/>
        </w:rPr>
        <w:t>art</w:t>
      </w:r>
      <w:r w:rsidRPr="00FA433F">
        <w:rPr>
          <w:noProof/>
        </w:rPr>
        <w:t>. 6</w:t>
      </w:r>
      <w:r w:rsidR="00FA433F" w:rsidRPr="00FA433F">
        <w:rPr>
          <w:noProof/>
        </w:rPr>
        <w:t xml:space="preserve"> i</w:t>
      </w:r>
      <w:r w:rsidR="00FA433F">
        <w:rPr>
          <w:noProof/>
        </w:rPr>
        <w:t> </w:t>
      </w:r>
      <w:r w:rsidR="00FA433F" w:rsidRPr="00FA433F">
        <w:rPr>
          <w:noProof/>
        </w:rPr>
        <w:t>7</w:t>
      </w:r>
      <w:r w:rsidRPr="00FA433F">
        <w:rPr>
          <w:noProof/>
        </w:rPr>
        <w:t>. Jeżeli warunki te nie zostały spełnione, odzyskuje środki finansowe,</w:t>
      </w:r>
      <w:r w:rsidR="00FA433F" w:rsidRPr="00FA433F">
        <w:rPr>
          <w:noProof/>
        </w:rPr>
        <w:t xml:space="preserve"> a</w:t>
      </w:r>
      <w:r w:rsidR="00FA433F">
        <w:rPr>
          <w:noProof/>
        </w:rPr>
        <w:t> </w:t>
      </w:r>
      <w:r w:rsidR="00FA433F" w:rsidRPr="00FA433F">
        <w:rPr>
          <w:noProof/>
        </w:rPr>
        <w:t>w</w:t>
      </w:r>
      <w:r w:rsidR="00FA433F">
        <w:rPr>
          <w:noProof/>
        </w:rPr>
        <w:t> </w:t>
      </w:r>
      <w:r w:rsidR="00FA433F" w:rsidRPr="00FA433F">
        <w:rPr>
          <w:noProof/>
        </w:rPr>
        <w:t>raz</w:t>
      </w:r>
      <w:r w:rsidRPr="00FA433F">
        <w:rPr>
          <w:noProof/>
        </w:rPr>
        <w:t>ie konieczności wszczyna postępowanie sądowe</w:t>
      </w:r>
      <w:r w:rsidR="00FA433F" w:rsidRPr="00FA433F">
        <w:rPr>
          <w:noProof/>
        </w:rPr>
        <w:t xml:space="preserve"> w</w:t>
      </w:r>
      <w:r w:rsidR="00FA433F">
        <w:rPr>
          <w:noProof/>
        </w:rPr>
        <w:t> </w:t>
      </w:r>
      <w:r w:rsidR="00FA433F" w:rsidRPr="00FA433F">
        <w:rPr>
          <w:noProof/>
        </w:rPr>
        <w:t>tym</w:t>
      </w:r>
      <w:r w:rsidRPr="00FA433F">
        <w:rPr>
          <w:noProof/>
        </w:rPr>
        <w:t xml:space="preserve"> zakresie.</w:t>
      </w:r>
    </w:p>
    <w:p w14:paraId="70796228" w14:textId="4230C0F7" w:rsidR="00490004" w:rsidRPr="00FA433F" w:rsidRDefault="00742AD9" w:rsidP="00742AD9">
      <w:pPr>
        <w:pStyle w:val="ManualNumPar1"/>
        <w:rPr>
          <w:noProof/>
        </w:rPr>
      </w:pPr>
      <w:r w:rsidRPr="00FA433F">
        <w:rPr>
          <w:noProof/>
        </w:rPr>
        <w:t>5.</w:t>
      </w:r>
      <w:r w:rsidRPr="00FA433F">
        <w:rPr>
          <w:noProof/>
        </w:rPr>
        <w:tab/>
        <w:t>Do dnia 30 czerwca 2028 r. właściwy organ przekazuje Komisji wykaz wszystkich wnioskodawców, którzy spełniają warunki określone zgodnie</w:t>
      </w:r>
      <w:r w:rsidR="00FA433F" w:rsidRPr="00FA433F">
        <w:rPr>
          <w:noProof/>
        </w:rPr>
        <w:t xml:space="preserve"> z</w:t>
      </w:r>
      <w:r w:rsidR="00FA433F">
        <w:rPr>
          <w:noProof/>
        </w:rPr>
        <w:t> </w:t>
      </w:r>
      <w:r w:rsidR="00FA433F" w:rsidRPr="00FA433F">
        <w:rPr>
          <w:noProof/>
        </w:rPr>
        <w:t>ust</w:t>
      </w:r>
      <w:r w:rsidRPr="00FA433F">
        <w:rPr>
          <w:noProof/>
        </w:rPr>
        <w:t>. 4, ich odpowiednich instalacji oraz poziomu wsparcia obliczonego zgodnie</w:t>
      </w:r>
      <w:r w:rsidR="00FA433F" w:rsidRPr="00FA433F">
        <w:rPr>
          <w:noProof/>
        </w:rPr>
        <w:t xml:space="preserve"> z</w:t>
      </w:r>
      <w:r w:rsidR="00FA433F">
        <w:rPr>
          <w:noProof/>
        </w:rPr>
        <w:t> </w:t>
      </w:r>
      <w:r w:rsidR="00FA433F" w:rsidRPr="00FA433F">
        <w:rPr>
          <w:noProof/>
        </w:rPr>
        <w:t>art</w:t>
      </w:r>
      <w:r w:rsidRPr="00FA433F">
        <w:rPr>
          <w:noProof/>
        </w:rPr>
        <w:t>. 9.</w:t>
      </w:r>
    </w:p>
    <w:p w14:paraId="7BB7845A" w14:textId="77777777" w:rsidR="00541A6C" w:rsidRPr="00FA433F" w:rsidRDefault="00541A6C" w:rsidP="00541A6C">
      <w:pPr>
        <w:pStyle w:val="Titrearticle"/>
        <w:rPr>
          <w:noProof/>
        </w:rPr>
      </w:pPr>
      <w:r w:rsidRPr="00FA433F">
        <w:rPr>
          <w:noProof/>
        </w:rPr>
        <w:t>Artykuł 9</w:t>
      </w:r>
    </w:p>
    <w:p w14:paraId="4A5D5938" w14:textId="77777777" w:rsidR="00541A6C" w:rsidRPr="00FA433F" w:rsidRDefault="00490004" w:rsidP="00541A6C">
      <w:pPr>
        <w:pStyle w:val="NormalCentered"/>
        <w:rPr>
          <w:b/>
          <w:bCs/>
          <w:noProof/>
        </w:rPr>
      </w:pPr>
      <w:r w:rsidRPr="00FA433F">
        <w:rPr>
          <w:b/>
          <w:noProof/>
        </w:rPr>
        <w:t>Obliczanie wsparcia przez właściwe organy</w:t>
      </w:r>
    </w:p>
    <w:p w14:paraId="7A34A22A" w14:textId="1A4D4FEB" w:rsidR="00541A6C" w:rsidRPr="00FA433F" w:rsidRDefault="00742AD9" w:rsidP="00742AD9">
      <w:pPr>
        <w:pStyle w:val="ManualNumPar1"/>
        <w:rPr>
          <w:noProof/>
        </w:rPr>
      </w:pPr>
      <w:r w:rsidRPr="00FA433F">
        <w:rPr>
          <w:noProof/>
        </w:rPr>
        <w:t>1.</w:t>
      </w:r>
      <w:r w:rsidRPr="00FA433F">
        <w:rPr>
          <w:noProof/>
        </w:rPr>
        <w:tab/>
        <w:t>Właściwe organy oceniają</w:t>
      </w:r>
      <w:r w:rsidR="00FA433F" w:rsidRPr="00FA433F">
        <w:rPr>
          <w:noProof/>
        </w:rPr>
        <w:t xml:space="preserve"> i</w:t>
      </w:r>
      <w:r w:rsidR="00FA433F">
        <w:rPr>
          <w:noProof/>
        </w:rPr>
        <w:t> </w:t>
      </w:r>
      <w:r w:rsidR="00FA433F" w:rsidRPr="00FA433F">
        <w:rPr>
          <w:noProof/>
        </w:rPr>
        <w:t>obl</w:t>
      </w:r>
      <w:r w:rsidRPr="00FA433F">
        <w:rPr>
          <w:noProof/>
        </w:rPr>
        <w:t>iczają kwotę wsparcia finansowego, które ma zostać udzielone kwalifikującym się operatorom</w:t>
      </w:r>
      <w:r w:rsidR="00FA433F" w:rsidRPr="00FA433F">
        <w:rPr>
          <w:noProof/>
        </w:rPr>
        <w:t xml:space="preserve"> w</w:t>
      </w:r>
      <w:r w:rsidR="00FA433F">
        <w:rPr>
          <w:noProof/>
        </w:rPr>
        <w:t> </w:t>
      </w:r>
      <w:r w:rsidR="00FA433F" w:rsidRPr="00FA433F">
        <w:rPr>
          <w:noProof/>
        </w:rPr>
        <w:t>odn</w:t>
      </w:r>
      <w:r w:rsidRPr="00FA433F">
        <w:rPr>
          <w:noProof/>
        </w:rPr>
        <w:t>iesieniu do produkcji każdego</w:t>
      </w:r>
      <w:r w:rsidR="00FA433F" w:rsidRPr="00FA433F">
        <w:rPr>
          <w:noProof/>
        </w:rPr>
        <w:t xml:space="preserve"> z</w:t>
      </w:r>
      <w:r w:rsidR="00FA433F">
        <w:rPr>
          <w:noProof/>
        </w:rPr>
        <w:t> </w:t>
      </w:r>
      <w:r w:rsidR="00FA433F" w:rsidRPr="00FA433F">
        <w:rPr>
          <w:noProof/>
        </w:rPr>
        <w:t>tow</w:t>
      </w:r>
      <w:r w:rsidRPr="00FA433F">
        <w:rPr>
          <w:noProof/>
        </w:rPr>
        <w:t>arów wymienionych</w:t>
      </w:r>
      <w:r w:rsidR="00FA433F" w:rsidRPr="00FA433F">
        <w:rPr>
          <w:noProof/>
        </w:rPr>
        <w:t xml:space="preserve"> w</w:t>
      </w:r>
      <w:r w:rsidR="00FA433F">
        <w:rPr>
          <w:noProof/>
        </w:rPr>
        <w:t> </w:t>
      </w:r>
      <w:r w:rsidR="00FA433F" w:rsidRPr="00FA433F">
        <w:rPr>
          <w:noProof/>
        </w:rPr>
        <w:t>zał</w:t>
      </w:r>
      <w:r w:rsidRPr="00FA433F">
        <w:rPr>
          <w:noProof/>
        </w:rPr>
        <w:t>ączniku, na podstawie liczby stopniowo wycofywanych bezpłatnych uprawnień. Tę liczbę uprawnień oblicza się zgodnie</w:t>
      </w:r>
      <w:r w:rsidR="00FA433F" w:rsidRPr="00FA433F">
        <w:rPr>
          <w:noProof/>
        </w:rPr>
        <w:t xml:space="preserve"> z</w:t>
      </w:r>
      <w:r w:rsidR="00FA433F">
        <w:rPr>
          <w:noProof/>
        </w:rPr>
        <w:t> </w:t>
      </w:r>
      <w:r w:rsidR="00FA433F" w:rsidRPr="00FA433F">
        <w:rPr>
          <w:noProof/>
        </w:rPr>
        <w:t>art</w:t>
      </w:r>
      <w:r w:rsidRPr="00FA433F">
        <w:rPr>
          <w:noProof/>
        </w:rPr>
        <w:t>. 16 ust. 8 rozporządzenia delegowanego (UE) 2019/331</w:t>
      </w:r>
      <w:r w:rsidR="00FA433F" w:rsidRPr="00FA433F">
        <w:rPr>
          <w:noProof/>
        </w:rPr>
        <w:t xml:space="preserve"> i</w:t>
      </w:r>
      <w:r w:rsidR="00FA433F">
        <w:rPr>
          <w:noProof/>
        </w:rPr>
        <w:t> </w:t>
      </w:r>
      <w:r w:rsidR="00FA433F" w:rsidRPr="00FA433F">
        <w:rPr>
          <w:noProof/>
        </w:rPr>
        <w:t>uwz</w:t>
      </w:r>
      <w:r w:rsidRPr="00FA433F">
        <w:rPr>
          <w:noProof/>
        </w:rPr>
        <w:t>ględnia się</w:t>
      </w:r>
      <w:r w:rsidR="00FA433F" w:rsidRPr="00FA433F">
        <w:rPr>
          <w:noProof/>
        </w:rPr>
        <w:t xml:space="preserve"> w</w:t>
      </w:r>
      <w:r w:rsidR="00FA433F">
        <w:rPr>
          <w:noProof/>
        </w:rPr>
        <w:t> </w:t>
      </w:r>
      <w:r w:rsidR="00FA433F" w:rsidRPr="00FA433F">
        <w:rPr>
          <w:noProof/>
        </w:rPr>
        <w:t>nie</w:t>
      </w:r>
      <w:r w:rsidRPr="00FA433F">
        <w:rPr>
          <w:noProof/>
        </w:rPr>
        <w:t>j decyzję przyjętą przez Komisję zgodnie</w:t>
      </w:r>
      <w:r w:rsidR="00FA433F" w:rsidRPr="00FA433F">
        <w:rPr>
          <w:noProof/>
        </w:rPr>
        <w:t xml:space="preserve"> z</w:t>
      </w:r>
      <w:r w:rsidR="00FA433F">
        <w:rPr>
          <w:noProof/>
        </w:rPr>
        <w:t> </w:t>
      </w:r>
      <w:r w:rsidR="00FA433F" w:rsidRPr="00FA433F">
        <w:rPr>
          <w:noProof/>
        </w:rPr>
        <w:t>art</w:t>
      </w:r>
      <w:r w:rsidRPr="00FA433F">
        <w:rPr>
          <w:noProof/>
        </w:rPr>
        <w:t>. 23 ust. 4 tego rozporządzenia. Aby uzyskać wartość finansową wsparcia, liczbę bezpłatnych uprawnień dostosowuje się do udziału produkcji (pod względem wolumenu) towarów wymienionych</w:t>
      </w:r>
      <w:r w:rsidR="00FA433F" w:rsidRPr="00FA433F">
        <w:rPr>
          <w:noProof/>
        </w:rPr>
        <w:t xml:space="preserve"> w</w:t>
      </w:r>
      <w:r w:rsidR="00FA433F">
        <w:rPr>
          <w:noProof/>
        </w:rPr>
        <w:t> </w:t>
      </w:r>
      <w:r w:rsidR="00FA433F" w:rsidRPr="00FA433F">
        <w:rPr>
          <w:noProof/>
        </w:rPr>
        <w:t>zał</w:t>
      </w:r>
      <w:r w:rsidRPr="00FA433F">
        <w:rPr>
          <w:noProof/>
        </w:rPr>
        <w:t>ączniku</w:t>
      </w:r>
      <w:r w:rsidR="00FA433F" w:rsidRPr="00FA433F">
        <w:rPr>
          <w:noProof/>
        </w:rPr>
        <w:t xml:space="preserve"> i</w:t>
      </w:r>
      <w:r w:rsidR="00FA433F">
        <w:rPr>
          <w:noProof/>
        </w:rPr>
        <w:t> </w:t>
      </w:r>
      <w:r w:rsidR="00FA433F" w:rsidRPr="00FA433F">
        <w:rPr>
          <w:noProof/>
        </w:rPr>
        <w:t>mno</w:t>
      </w:r>
      <w:r w:rsidRPr="00FA433F">
        <w:rPr>
          <w:noProof/>
        </w:rPr>
        <w:t>ży przez roczną średnią cen rozliczenia aukcji uprawnień</w:t>
      </w:r>
      <w:r w:rsidR="00FA433F" w:rsidRPr="00FA433F">
        <w:rPr>
          <w:noProof/>
        </w:rPr>
        <w:t xml:space="preserve"> w</w:t>
      </w:r>
      <w:r w:rsidR="00FA433F">
        <w:rPr>
          <w:noProof/>
        </w:rPr>
        <w:t> </w:t>
      </w:r>
      <w:r w:rsidR="00FA433F" w:rsidRPr="00FA433F">
        <w:rPr>
          <w:noProof/>
        </w:rPr>
        <w:t>ram</w:t>
      </w:r>
      <w:r w:rsidRPr="00FA433F">
        <w:rPr>
          <w:noProof/>
        </w:rPr>
        <w:t>ach EU ETS na wspólnej platformie aukcyjnej</w:t>
      </w:r>
      <w:r w:rsidR="00FA433F" w:rsidRPr="00FA433F">
        <w:rPr>
          <w:noProof/>
        </w:rPr>
        <w:t xml:space="preserve"> w</w:t>
      </w:r>
      <w:r w:rsidR="00FA433F">
        <w:rPr>
          <w:noProof/>
        </w:rPr>
        <w:t> </w:t>
      </w:r>
      <w:r w:rsidR="00FA433F" w:rsidRPr="00FA433F">
        <w:rPr>
          <w:noProof/>
        </w:rPr>
        <w:t>lat</w:t>
      </w:r>
      <w:r w:rsidRPr="00FA433F">
        <w:rPr>
          <w:noProof/>
        </w:rPr>
        <w:t>ach 2026</w:t>
      </w:r>
      <w:r w:rsidR="00FA433F" w:rsidRPr="00FA433F">
        <w:rPr>
          <w:noProof/>
        </w:rPr>
        <w:t xml:space="preserve"> i</w:t>
      </w:r>
      <w:r w:rsidR="00FA433F">
        <w:rPr>
          <w:noProof/>
        </w:rPr>
        <w:t> </w:t>
      </w:r>
      <w:r w:rsidR="00FA433F" w:rsidRPr="00FA433F">
        <w:rPr>
          <w:noProof/>
        </w:rPr>
        <w:t>2</w:t>
      </w:r>
      <w:r w:rsidRPr="00FA433F">
        <w:rPr>
          <w:noProof/>
        </w:rPr>
        <w:t>027, zgodnie</w:t>
      </w:r>
      <w:r w:rsidR="00FA433F" w:rsidRPr="00FA433F">
        <w:rPr>
          <w:noProof/>
        </w:rPr>
        <w:t xml:space="preserve"> z</w:t>
      </w:r>
      <w:r w:rsidR="00FA433F">
        <w:rPr>
          <w:noProof/>
        </w:rPr>
        <w:t> </w:t>
      </w:r>
      <w:r w:rsidR="00FA433F" w:rsidRPr="00FA433F">
        <w:rPr>
          <w:noProof/>
        </w:rPr>
        <w:t>pro</w:t>
      </w:r>
      <w:r w:rsidRPr="00FA433F">
        <w:rPr>
          <w:noProof/>
        </w:rPr>
        <w:t>cedurami określonymi</w:t>
      </w:r>
      <w:r w:rsidR="00FA433F" w:rsidRPr="00FA433F">
        <w:rPr>
          <w:noProof/>
        </w:rPr>
        <w:t xml:space="preserve"> w</w:t>
      </w:r>
      <w:r w:rsidR="00FA433F">
        <w:rPr>
          <w:noProof/>
        </w:rPr>
        <w:t> </w:t>
      </w:r>
      <w:r w:rsidR="00FA433F" w:rsidRPr="00FA433F">
        <w:rPr>
          <w:noProof/>
        </w:rPr>
        <w:t>roz</w:t>
      </w:r>
      <w:r w:rsidRPr="00FA433F">
        <w:rPr>
          <w:noProof/>
        </w:rPr>
        <w:t>porządzeniu delegowanym (UE) 2023/2830.</w:t>
      </w:r>
    </w:p>
    <w:p w14:paraId="503E29E1" w14:textId="6044ACA2" w:rsidR="00541A6C" w:rsidRPr="00FA433F" w:rsidRDefault="00742AD9" w:rsidP="00742AD9">
      <w:pPr>
        <w:pStyle w:val="ManualNumPar1"/>
        <w:rPr>
          <w:noProof/>
        </w:rPr>
      </w:pPr>
      <w:r w:rsidRPr="00FA433F">
        <w:rPr>
          <w:noProof/>
        </w:rPr>
        <w:t>2.</w:t>
      </w:r>
      <w:r w:rsidRPr="00FA433F">
        <w:rPr>
          <w:noProof/>
        </w:rPr>
        <w:tab/>
        <w:t>Całkowite wsparcie finansowe przyznane</w:t>
      </w:r>
      <w:r w:rsidR="00FA433F" w:rsidRPr="00FA433F">
        <w:rPr>
          <w:noProof/>
        </w:rPr>
        <w:t xml:space="preserve"> z</w:t>
      </w:r>
      <w:r w:rsidR="00FA433F">
        <w:rPr>
          <w:noProof/>
        </w:rPr>
        <w:t> </w:t>
      </w:r>
      <w:r w:rsidR="00FA433F" w:rsidRPr="00FA433F">
        <w:rPr>
          <w:noProof/>
        </w:rPr>
        <w:t>Fun</w:t>
      </w:r>
      <w:r w:rsidRPr="00FA433F">
        <w:rPr>
          <w:noProof/>
        </w:rPr>
        <w:t>duszu wszystkim beneficjentom końcowym nie przekracza zasobów Funduszu,</w:t>
      </w:r>
      <w:r w:rsidR="00FA433F" w:rsidRPr="00FA433F">
        <w:rPr>
          <w:noProof/>
        </w:rPr>
        <w:t xml:space="preserve"> o</w:t>
      </w:r>
      <w:r w:rsidR="00FA433F">
        <w:rPr>
          <w:noProof/>
        </w:rPr>
        <w:t> </w:t>
      </w:r>
      <w:r w:rsidR="00FA433F" w:rsidRPr="00FA433F">
        <w:rPr>
          <w:noProof/>
        </w:rPr>
        <w:t>któ</w:t>
      </w:r>
      <w:r w:rsidRPr="00FA433F">
        <w:rPr>
          <w:noProof/>
        </w:rPr>
        <w:t>rych mowa</w:t>
      </w:r>
      <w:r w:rsidR="00FA433F" w:rsidRPr="00FA433F">
        <w:rPr>
          <w:noProof/>
        </w:rPr>
        <w:t xml:space="preserve"> w</w:t>
      </w:r>
      <w:r w:rsidR="00FA433F">
        <w:rPr>
          <w:noProof/>
        </w:rPr>
        <w:t> </w:t>
      </w:r>
      <w:r w:rsidR="00FA433F" w:rsidRPr="00FA433F">
        <w:rPr>
          <w:noProof/>
        </w:rPr>
        <w:t>art</w:t>
      </w:r>
      <w:r w:rsidRPr="00FA433F">
        <w:rPr>
          <w:noProof/>
        </w:rPr>
        <w:t>. 3 ust. 2, pomniejszonych</w:t>
      </w:r>
      <w:r w:rsidR="00FA433F" w:rsidRPr="00FA433F">
        <w:rPr>
          <w:noProof/>
        </w:rPr>
        <w:t xml:space="preserve"> o</w:t>
      </w:r>
      <w:r w:rsidR="00FA433F">
        <w:rPr>
          <w:noProof/>
        </w:rPr>
        <w:t> </w:t>
      </w:r>
      <w:r w:rsidR="00FA433F" w:rsidRPr="00FA433F">
        <w:rPr>
          <w:noProof/>
        </w:rPr>
        <w:t>kos</w:t>
      </w:r>
      <w:r w:rsidRPr="00FA433F">
        <w:rPr>
          <w:noProof/>
        </w:rPr>
        <w:t>zty administracyjne poniesione przez Komisję zgodnie</w:t>
      </w:r>
      <w:r w:rsidR="00FA433F" w:rsidRPr="00FA433F">
        <w:rPr>
          <w:noProof/>
        </w:rPr>
        <w:t xml:space="preserve"> z</w:t>
      </w:r>
      <w:r w:rsidR="00FA433F">
        <w:rPr>
          <w:noProof/>
        </w:rPr>
        <w:t> </w:t>
      </w:r>
      <w:r w:rsidR="00FA433F" w:rsidRPr="00FA433F">
        <w:rPr>
          <w:noProof/>
        </w:rPr>
        <w:t>art</w:t>
      </w:r>
      <w:r w:rsidRPr="00FA433F">
        <w:rPr>
          <w:noProof/>
        </w:rPr>
        <w:t>. 3 ust. 5.</w:t>
      </w:r>
    </w:p>
    <w:p w14:paraId="7BD98A0E" w14:textId="77777777" w:rsidR="00541A6C" w:rsidRPr="00FA433F" w:rsidRDefault="00541A6C" w:rsidP="00541A6C">
      <w:pPr>
        <w:pStyle w:val="Titrearticle"/>
        <w:rPr>
          <w:noProof/>
        </w:rPr>
      </w:pPr>
      <w:r w:rsidRPr="00FA433F">
        <w:rPr>
          <w:noProof/>
        </w:rPr>
        <w:t>Artykuł 10</w:t>
      </w:r>
    </w:p>
    <w:p w14:paraId="63923BD0" w14:textId="4CDD0268" w:rsidR="00541A6C" w:rsidRPr="00FA433F" w:rsidRDefault="001022C7" w:rsidP="00541A6C">
      <w:pPr>
        <w:pStyle w:val="NormalCentered"/>
        <w:rPr>
          <w:b/>
          <w:bCs/>
          <w:noProof/>
        </w:rPr>
      </w:pPr>
      <w:r w:rsidRPr="00FA433F">
        <w:rPr>
          <w:b/>
          <w:noProof/>
        </w:rPr>
        <w:t>Decyzja Komisji</w:t>
      </w:r>
      <w:r w:rsidR="00FA433F" w:rsidRPr="00FA433F">
        <w:rPr>
          <w:b/>
          <w:noProof/>
        </w:rPr>
        <w:t xml:space="preserve"> o</w:t>
      </w:r>
      <w:r w:rsidR="00FA433F">
        <w:rPr>
          <w:b/>
          <w:noProof/>
        </w:rPr>
        <w:t> </w:t>
      </w:r>
      <w:r w:rsidR="00FA433F" w:rsidRPr="00FA433F">
        <w:rPr>
          <w:b/>
          <w:noProof/>
        </w:rPr>
        <w:t>wyp</w:t>
      </w:r>
      <w:r w:rsidRPr="00FA433F">
        <w:rPr>
          <w:b/>
          <w:noProof/>
        </w:rPr>
        <w:t>łacie środków</w:t>
      </w:r>
    </w:p>
    <w:p w14:paraId="7C0D76CC" w14:textId="61DE7989" w:rsidR="00541A6C" w:rsidRPr="00FA433F" w:rsidRDefault="00742AD9" w:rsidP="00742AD9">
      <w:pPr>
        <w:pStyle w:val="ManualNumPar1"/>
        <w:rPr>
          <w:noProof/>
        </w:rPr>
      </w:pPr>
      <w:r w:rsidRPr="00FA433F">
        <w:rPr>
          <w:noProof/>
        </w:rPr>
        <w:t>1.</w:t>
      </w:r>
      <w:r w:rsidRPr="00FA433F">
        <w:rPr>
          <w:noProof/>
        </w:rPr>
        <w:tab/>
        <w:t>Po otrzymaniu wykazu,</w:t>
      </w:r>
      <w:r w:rsidR="00FA433F" w:rsidRPr="00FA433F">
        <w:rPr>
          <w:noProof/>
        </w:rPr>
        <w:t xml:space="preserve"> o</w:t>
      </w:r>
      <w:r w:rsidR="00FA433F">
        <w:rPr>
          <w:noProof/>
        </w:rPr>
        <w:t> </w:t>
      </w:r>
      <w:r w:rsidR="00FA433F" w:rsidRPr="00FA433F">
        <w:rPr>
          <w:noProof/>
        </w:rPr>
        <w:t>któ</w:t>
      </w:r>
      <w:r w:rsidRPr="00FA433F">
        <w:rPr>
          <w:noProof/>
        </w:rPr>
        <w:t>rym mowa</w:t>
      </w:r>
      <w:r w:rsidR="00FA433F" w:rsidRPr="00FA433F">
        <w:rPr>
          <w:noProof/>
        </w:rPr>
        <w:t xml:space="preserve"> w</w:t>
      </w:r>
      <w:r w:rsidR="00FA433F">
        <w:rPr>
          <w:noProof/>
        </w:rPr>
        <w:t> </w:t>
      </w:r>
      <w:r w:rsidR="00FA433F" w:rsidRPr="00FA433F">
        <w:rPr>
          <w:noProof/>
        </w:rPr>
        <w:t>art</w:t>
      </w:r>
      <w:r w:rsidRPr="00FA433F">
        <w:rPr>
          <w:noProof/>
        </w:rPr>
        <w:t>. 8 ust. 5, Komisja podejmuje następujące działania:</w:t>
      </w:r>
    </w:p>
    <w:p w14:paraId="2B9360F4" w14:textId="14F73902" w:rsidR="001022C7" w:rsidRPr="00FA433F" w:rsidRDefault="00742AD9" w:rsidP="00742AD9">
      <w:pPr>
        <w:pStyle w:val="Point1"/>
        <w:rPr>
          <w:noProof/>
        </w:rPr>
      </w:pPr>
      <w:r w:rsidRPr="00FA433F">
        <w:rPr>
          <w:noProof/>
        </w:rPr>
        <w:t>a)</w:t>
      </w:r>
      <w:r w:rsidRPr="00FA433F">
        <w:rPr>
          <w:noProof/>
        </w:rPr>
        <w:tab/>
        <w:t>dokonuje przeglądu obliczeń dokonanych przez właściwe organy zgodnie</w:t>
      </w:r>
      <w:r w:rsidR="00FA433F" w:rsidRPr="00FA433F">
        <w:rPr>
          <w:noProof/>
        </w:rPr>
        <w:t xml:space="preserve"> z</w:t>
      </w:r>
      <w:r w:rsidR="00FA433F">
        <w:rPr>
          <w:noProof/>
        </w:rPr>
        <w:t> </w:t>
      </w:r>
      <w:r w:rsidR="00FA433F" w:rsidRPr="00FA433F">
        <w:rPr>
          <w:noProof/>
        </w:rPr>
        <w:t>art</w:t>
      </w:r>
      <w:r w:rsidRPr="00FA433F">
        <w:rPr>
          <w:noProof/>
        </w:rPr>
        <w:t>. 9 ust. 1;</w:t>
      </w:r>
    </w:p>
    <w:p w14:paraId="4FFB3965" w14:textId="102DE2DC" w:rsidR="001022C7" w:rsidRPr="00FA433F" w:rsidRDefault="00742AD9" w:rsidP="00742AD9">
      <w:pPr>
        <w:pStyle w:val="Point1"/>
        <w:rPr>
          <w:noProof/>
        </w:rPr>
      </w:pPr>
      <w:r w:rsidRPr="00FA433F">
        <w:rPr>
          <w:noProof/>
        </w:rPr>
        <w:t>b)</w:t>
      </w:r>
      <w:r w:rsidRPr="00FA433F">
        <w:rPr>
          <w:noProof/>
        </w:rPr>
        <w:tab/>
        <w:t>ocenia włączenie każdego operatora</w:t>
      </w:r>
      <w:r w:rsidR="00FA433F" w:rsidRPr="00FA433F">
        <w:rPr>
          <w:noProof/>
        </w:rPr>
        <w:t xml:space="preserve"> i</w:t>
      </w:r>
      <w:r w:rsidR="00FA433F">
        <w:rPr>
          <w:noProof/>
        </w:rPr>
        <w:t> </w:t>
      </w:r>
      <w:r w:rsidR="00FA433F" w:rsidRPr="00FA433F">
        <w:rPr>
          <w:noProof/>
        </w:rPr>
        <w:t>każ</w:t>
      </w:r>
      <w:r w:rsidRPr="00FA433F">
        <w:rPr>
          <w:noProof/>
        </w:rPr>
        <w:t>dej instalacji do wykazu;</w:t>
      </w:r>
    </w:p>
    <w:p w14:paraId="73D5BFD7" w14:textId="46E4A89F" w:rsidR="001022C7" w:rsidRPr="00FA433F" w:rsidRDefault="00742AD9" w:rsidP="00742AD9">
      <w:pPr>
        <w:pStyle w:val="Point1"/>
        <w:rPr>
          <w:noProof/>
        </w:rPr>
      </w:pPr>
      <w:r w:rsidRPr="00FA433F">
        <w:rPr>
          <w:noProof/>
        </w:rPr>
        <w:t>c)</w:t>
      </w:r>
      <w:r w:rsidRPr="00FA433F">
        <w:rPr>
          <w:noProof/>
        </w:rPr>
        <w:tab/>
        <w:t>ocenia informacje przekazane zgodnie</w:t>
      </w:r>
      <w:r w:rsidR="00FA433F" w:rsidRPr="00FA433F">
        <w:rPr>
          <w:noProof/>
        </w:rPr>
        <w:t xml:space="preserve"> z</w:t>
      </w:r>
      <w:r w:rsidR="00FA433F">
        <w:rPr>
          <w:noProof/>
        </w:rPr>
        <w:t> </w:t>
      </w:r>
      <w:r w:rsidR="00FA433F" w:rsidRPr="00FA433F">
        <w:rPr>
          <w:noProof/>
        </w:rPr>
        <w:t>art</w:t>
      </w:r>
      <w:r w:rsidRPr="00FA433F">
        <w:rPr>
          <w:noProof/>
        </w:rPr>
        <w:t>. 8 ust. 2;</w:t>
      </w:r>
    </w:p>
    <w:p w14:paraId="6A2D8760" w14:textId="6C8C32AA" w:rsidR="001022C7" w:rsidRPr="00FA433F" w:rsidRDefault="00742AD9" w:rsidP="00742AD9">
      <w:pPr>
        <w:pStyle w:val="Point1"/>
        <w:rPr>
          <w:noProof/>
        </w:rPr>
      </w:pPr>
      <w:r w:rsidRPr="00FA433F">
        <w:rPr>
          <w:noProof/>
        </w:rPr>
        <w:t>d)</w:t>
      </w:r>
      <w:r w:rsidRPr="00FA433F">
        <w:rPr>
          <w:noProof/>
        </w:rPr>
        <w:tab/>
        <w:t>określa poszczególne kwoty wsparcia finansowego, które mają zostać przyznane każdemu beneficjentowi końcowemu.</w:t>
      </w:r>
    </w:p>
    <w:p w14:paraId="6FAF59D8" w14:textId="21A10D6A" w:rsidR="001022C7" w:rsidRPr="00FA433F" w:rsidRDefault="00742AD9" w:rsidP="00742AD9">
      <w:pPr>
        <w:pStyle w:val="ManualNumPar1"/>
        <w:rPr>
          <w:noProof/>
        </w:rPr>
      </w:pPr>
      <w:r w:rsidRPr="00FA433F">
        <w:rPr>
          <w:noProof/>
        </w:rPr>
        <w:t>2.</w:t>
      </w:r>
      <w:r w:rsidRPr="00FA433F">
        <w:rPr>
          <w:noProof/>
        </w:rPr>
        <w:tab/>
        <w:t>Komisja proporcjonalnie zmniejsza kwotę wsparcia, która ma zostać przyznana każdemu beneficjentowi końcowemu zgodnie</w:t>
      </w:r>
      <w:r w:rsidR="00FA433F" w:rsidRPr="00FA433F">
        <w:rPr>
          <w:noProof/>
        </w:rPr>
        <w:t xml:space="preserve"> z</w:t>
      </w:r>
      <w:r w:rsidR="00FA433F">
        <w:rPr>
          <w:noProof/>
        </w:rPr>
        <w:t> </w:t>
      </w:r>
      <w:r w:rsidR="00FA433F" w:rsidRPr="00FA433F">
        <w:rPr>
          <w:noProof/>
        </w:rPr>
        <w:t>art</w:t>
      </w:r>
      <w:r w:rsidRPr="00FA433F">
        <w:rPr>
          <w:noProof/>
        </w:rPr>
        <w:t>. 9 ust. 1, jeżeli jest to konieczne do zapewnienia zgodności</w:t>
      </w:r>
      <w:r w:rsidR="00FA433F" w:rsidRPr="00FA433F">
        <w:rPr>
          <w:noProof/>
        </w:rPr>
        <w:t xml:space="preserve"> z</w:t>
      </w:r>
      <w:r w:rsidR="00FA433F">
        <w:rPr>
          <w:noProof/>
        </w:rPr>
        <w:t> </w:t>
      </w:r>
      <w:r w:rsidR="00FA433F" w:rsidRPr="00FA433F">
        <w:rPr>
          <w:noProof/>
        </w:rPr>
        <w:t>art</w:t>
      </w:r>
      <w:r w:rsidRPr="00FA433F">
        <w:rPr>
          <w:noProof/>
        </w:rPr>
        <w:t>. 9 ust. 2.</w:t>
      </w:r>
    </w:p>
    <w:p w14:paraId="3516A9DB" w14:textId="1F8FC055" w:rsidR="00541A6C" w:rsidRPr="00FA433F" w:rsidRDefault="00742AD9" w:rsidP="00742AD9">
      <w:pPr>
        <w:pStyle w:val="ManualNumPar1"/>
        <w:rPr>
          <w:noProof/>
        </w:rPr>
      </w:pPr>
      <w:r w:rsidRPr="00FA433F">
        <w:rPr>
          <w:noProof/>
        </w:rPr>
        <w:t>3.</w:t>
      </w:r>
      <w:r w:rsidRPr="00FA433F">
        <w:rPr>
          <w:noProof/>
        </w:rPr>
        <w:tab/>
        <w:t>Na podstawie swojej oceny przeprowadzonej zgodnie</w:t>
      </w:r>
      <w:r w:rsidR="00FA433F" w:rsidRPr="00FA433F">
        <w:rPr>
          <w:noProof/>
        </w:rPr>
        <w:t xml:space="preserve"> z</w:t>
      </w:r>
      <w:r w:rsidR="00FA433F">
        <w:rPr>
          <w:noProof/>
        </w:rPr>
        <w:t> </w:t>
      </w:r>
      <w:r w:rsidR="00FA433F" w:rsidRPr="00FA433F">
        <w:rPr>
          <w:noProof/>
        </w:rPr>
        <w:t>ust</w:t>
      </w:r>
      <w:r w:rsidRPr="00FA433F">
        <w:rPr>
          <w:noProof/>
        </w:rPr>
        <w:t>. 1 Komisja przyjmuje decyzję wykonawczą</w:t>
      </w:r>
      <w:r w:rsidR="00FA433F" w:rsidRPr="00FA433F">
        <w:rPr>
          <w:noProof/>
        </w:rPr>
        <w:t xml:space="preserve"> w</w:t>
      </w:r>
      <w:r w:rsidR="00FA433F">
        <w:rPr>
          <w:noProof/>
        </w:rPr>
        <w:t> </w:t>
      </w:r>
      <w:r w:rsidR="00FA433F" w:rsidRPr="00FA433F">
        <w:rPr>
          <w:noProof/>
        </w:rPr>
        <w:t>spr</w:t>
      </w:r>
      <w:r w:rsidRPr="00FA433F">
        <w:rPr>
          <w:noProof/>
        </w:rPr>
        <w:t>awie wsparcia finansowego dla operatorów</w:t>
      </w:r>
      <w:r w:rsidR="00FA433F" w:rsidRPr="00FA433F">
        <w:rPr>
          <w:noProof/>
        </w:rPr>
        <w:t xml:space="preserve"> w</w:t>
      </w:r>
      <w:r w:rsidR="00FA433F">
        <w:rPr>
          <w:noProof/>
        </w:rPr>
        <w:t> </w:t>
      </w:r>
      <w:r w:rsidR="00FA433F" w:rsidRPr="00FA433F">
        <w:rPr>
          <w:noProof/>
        </w:rPr>
        <w:t>zal</w:t>
      </w:r>
      <w:r w:rsidRPr="00FA433F">
        <w:rPr>
          <w:noProof/>
        </w:rPr>
        <w:t>eżności od dostępności zasobów Funduszu. Decyzja ta stanowi decyzję</w:t>
      </w:r>
      <w:r w:rsidR="00FA433F" w:rsidRPr="00FA433F">
        <w:rPr>
          <w:noProof/>
        </w:rPr>
        <w:t xml:space="preserve"> w</w:t>
      </w:r>
      <w:r w:rsidR="00FA433F">
        <w:rPr>
          <w:noProof/>
        </w:rPr>
        <w:t> </w:t>
      </w:r>
      <w:r w:rsidR="00FA433F" w:rsidRPr="00FA433F">
        <w:rPr>
          <w:noProof/>
        </w:rPr>
        <w:t>spr</w:t>
      </w:r>
      <w:r w:rsidRPr="00FA433F">
        <w:rPr>
          <w:noProof/>
        </w:rPr>
        <w:t>awie finansowania</w:t>
      </w:r>
      <w:r w:rsidR="00FA433F" w:rsidRPr="00FA433F">
        <w:rPr>
          <w:noProof/>
        </w:rPr>
        <w:t xml:space="preserve"> w</w:t>
      </w:r>
      <w:r w:rsidR="00FA433F">
        <w:rPr>
          <w:noProof/>
        </w:rPr>
        <w:t> </w:t>
      </w:r>
      <w:r w:rsidR="00FA433F" w:rsidRPr="00FA433F">
        <w:rPr>
          <w:noProof/>
        </w:rPr>
        <w:t>roz</w:t>
      </w:r>
      <w:r w:rsidRPr="00FA433F">
        <w:rPr>
          <w:noProof/>
        </w:rPr>
        <w:t>umieniu art. 110 rozporządzenia (UE, Euratom) 2024/2509. Powiadomienie zainteresowanego właściwego organu</w:t>
      </w:r>
      <w:r w:rsidR="00FA433F" w:rsidRPr="00FA433F">
        <w:rPr>
          <w:noProof/>
        </w:rPr>
        <w:t xml:space="preserve"> o</w:t>
      </w:r>
      <w:r w:rsidR="00FA433F">
        <w:rPr>
          <w:noProof/>
        </w:rPr>
        <w:t> </w:t>
      </w:r>
      <w:r w:rsidR="00FA433F" w:rsidRPr="00FA433F">
        <w:rPr>
          <w:noProof/>
        </w:rPr>
        <w:t>tej</w:t>
      </w:r>
      <w:r w:rsidRPr="00FA433F">
        <w:rPr>
          <w:noProof/>
        </w:rPr>
        <w:t xml:space="preserve"> decyzji stanowi </w:t>
      </w:r>
      <w:r w:rsidRPr="00FA433F">
        <w:rPr>
          <w:noProof/>
        </w:rPr>
        <w:lastRenderedPageBreak/>
        <w:t>indywidualne zobowiązanie prawne</w:t>
      </w:r>
      <w:r w:rsidR="00FA433F" w:rsidRPr="00FA433F">
        <w:rPr>
          <w:noProof/>
        </w:rPr>
        <w:t xml:space="preserve"> w</w:t>
      </w:r>
      <w:r w:rsidR="00FA433F">
        <w:rPr>
          <w:noProof/>
        </w:rPr>
        <w:t> </w:t>
      </w:r>
      <w:r w:rsidR="00FA433F" w:rsidRPr="00FA433F">
        <w:rPr>
          <w:noProof/>
        </w:rPr>
        <w:t>roz</w:t>
      </w:r>
      <w:r w:rsidRPr="00FA433F">
        <w:rPr>
          <w:noProof/>
        </w:rPr>
        <w:t>umieniu rozporządzenia (UE, Euratom) 2024/2509.</w:t>
      </w:r>
    </w:p>
    <w:p w14:paraId="417F1019" w14:textId="4DE2C4E8" w:rsidR="001022C7" w:rsidRPr="00FA433F" w:rsidRDefault="00742AD9" w:rsidP="00742AD9">
      <w:pPr>
        <w:pStyle w:val="ManualNumPar1"/>
        <w:rPr>
          <w:noProof/>
        </w:rPr>
      </w:pPr>
      <w:r w:rsidRPr="00FA433F">
        <w:rPr>
          <w:noProof/>
        </w:rPr>
        <w:t>4.</w:t>
      </w:r>
      <w:r w:rsidRPr="00FA433F">
        <w:rPr>
          <w:noProof/>
        </w:rPr>
        <w:tab/>
        <w:t>W decyzji,</w:t>
      </w:r>
      <w:r w:rsidR="00FA433F" w:rsidRPr="00FA433F">
        <w:rPr>
          <w:noProof/>
        </w:rPr>
        <w:t xml:space="preserve"> o</w:t>
      </w:r>
      <w:r w:rsidR="00FA433F">
        <w:rPr>
          <w:noProof/>
        </w:rPr>
        <w:t> </w:t>
      </w:r>
      <w:r w:rsidR="00FA433F" w:rsidRPr="00FA433F">
        <w:rPr>
          <w:noProof/>
        </w:rPr>
        <w:t>któ</w:t>
      </w:r>
      <w:r w:rsidRPr="00FA433F">
        <w:rPr>
          <w:noProof/>
        </w:rPr>
        <w:t>rej mowa</w:t>
      </w:r>
      <w:r w:rsidR="00FA433F" w:rsidRPr="00FA433F">
        <w:rPr>
          <w:noProof/>
        </w:rPr>
        <w:t xml:space="preserve"> w</w:t>
      </w:r>
      <w:r w:rsidR="00FA433F">
        <w:rPr>
          <w:noProof/>
        </w:rPr>
        <w:t> </w:t>
      </w:r>
      <w:r w:rsidR="00FA433F" w:rsidRPr="00FA433F">
        <w:rPr>
          <w:noProof/>
        </w:rPr>
        <w:t>ust</w:t>
      </w:r>
      <w:r w:rsidRPr="00FA433F">
        <w:rPr>
          <w:noProof/>
        </w:rPr>
        <w:t xml:space="preserve">. 3, określa się łączną kwotę, która ma zostać przekazana danemu państwu członkowskiemu, wykaz beneficjentów końcowych wsparcia finansowego oraz kwotę dla każdego odbiorcy. </w:t>
      </w:r>
    </w:p>
    <w:p w14:paraId="42996B3E" w14:textId="77777777" w:rsidR="00541A6C" w:rsidRPr="00FA433F" w:rsidRDefault="00541A6C" w:rsidP="00541A6C">
      <w:pPr>
        <w:pStyle w:val="Titrearticle"/>
        <w:rPr>
          <w:noProof/>
        </w:rPr>
      </w:pPr>
      <w:r w:rsidRPr="00FA433F">
        <w:rPr>
          <w:noProof/>
        </w:rPr>
        <w:t>Artykuł 11</w:t>
      </w:r>
    </w:p>
    <w:p w14:paraId="12B41366" w14:textId="77777777" w:rsidR="00541A6C" w:rsidRPr="00FA433F" w:rsidRDefault="003B6761" w:rsidP="00541A6C">
      <w:pPr>
        <w:pStyle w:val="NormalCentered"/>
        <w:rPr>
          <w:b/>
          <w:bCs/>
          <w:noProof/>
        </w:rPr>
      </w:pPr>
      <w:r w:rsidRPr="00FA433F">
        <w:rPr>
          <w:b/>
          <w:noProof/>
        </w:rPr>
        <w:t>Wypłata wsparcia finansowego</w:t>
      </w:r>
    </w:p>
    <w:p w14:paraId="2158FCC9" w14:textId="3A253D20" w:rsidR="00541A6C" w:rsidRPr="00FA433F" w:rsidRDefault="00742AD9" w:rsidP="00742AD9">
      <w:pPr>
        <w:pStyle w:val="ManualNumPar1"/>
        <w:rPr>
          <w:noProof/>
        </w:rPr>
      </w:pPr>
      <w:r w:rsidRPr="00FA433F">
        <w:rPr>
          <w:noProof/>
        </w:rPr>
        <w:t>1.</w:t>
      </w:r>
      <w:r w:rsidRPr="00FA433F">
        <w:rPr>
          <w:noProof/>
        </w:rPr>
        <w:tab/>
        <w:t>Po przyjęciu decyzji,</w:t>
      </w:r>
      <w:r w:rsidR="00FA433F" w:rsidRPr="00FA433F">
        <w:rPr>
          <w:noProof/>
        </w:rPr>
        <w:t xml:space="preserve"> o</w:t>
      </w:r>
      <w:r w:rsidR="00FA433F">
        <w:rPr>
          <w:noProof/>
        </w:rPr>
        <w:t> </w:t>
      </w:r>
      <w:r w:rsidR="00FA433F" w:rsidRPr="00FA433F">
        <w:rPr>
          <w:noProof/>
        </w:rPr>
        <w:t>któ</w:t>
      </w:r>
      <w:r w:rsidRPr="00FA433F">
        <w:rPr>
          <w:noProof/>
        </w:rPr>
        <w:t>rej mowa</w:t>
      </w:r>
      <w:r w:rsidR="00FA433F" w:rsidRPr="00FA433F">
        <w:rPr>
          <w:noProof/>
        </w:rPr>
        <w:t xml:space="preserve"> w</w:t>
      </w:r>
      <w:r w:rsidR="00FA433F">
        <w:rPr>
          <w:noProof/>
        </w:rPr>
        <w:t> </w:t>
      </w:r>
      <w:r w:rsidR="00FA433F" w:rsidRPr="00FA433F">
        <w:rPr>
          <w:noProof/>
        </w:rPr>
        <w:t>art</w:t>
      </w:r>
      <w:r w:rsidRPr="00FA433F">
        <w:rPr>
          <w:noProof/>
        </w:rPr>
        <w:t>. 10 ust. 3, Komisja wypłaca właściwym organom całkowitą kwotę określoną</w:t>
      </w:r>
      <w:r w:rsidR="00FA433F" w:rsidRPr="00FA433F">
        <w:rPr>
          <w:noProof/>
        </w:rPr>
        <w:t xml:space="preserve"> w</w:t>
      </w:r>
      <w:r w:rsidR="00FA433F">
        <w:rPr>
          <w:noProof/>
        </w:rPr>
        <w:t> </w:t>
      </w:r>
      <w:r w:rsidR="00FA433F" w:rsidRPr="00FA433F">
        <w:rPr>
          <w:noProof/>
        </w:rPr>
        <w:t>tej</w:t>
      </w:r>
      <w:r w:rsidRPr="00FA433F">
        <w:rPr>
          <w:noProof/>
        </w:rPr>
        <w:t xml:space="preserve"> decyzji. Na zasadzie odstępstwa od art. 196 ust. 3 rozporządzenia (UE, Euratom) 2024/2509 Komisja może również wypłacać wsparcie</w:t>
      </w:r>
      <w:r w:rsidR="00FA433F" w:rsidRPr="00FA433F">
        <w:rPr>
          <w:noProof/>
        </w:rPr>
        <w:t xml:space="preserve"> w</w:t>
      </w:r>
      <w:r w:rsidR="00FA433F">
        <w:rPr>
          <w:noProof/>
        </w:rPr>
        <w:t> </w:t>
      </w:r>
      <w:r w:rsidR="00FA433F" w:rsidRPr="00FA433F">
        <w:rPr>
          <w:noProof/>
        </w:rPr>
        <w:t>odn</w:t>
      </w:r>
      <w:r w:rsidRPr="00FA433F">
        <w:rPr>
          <w:noProof/>
        </w:rPr>
        <w:t>iesieniu do inwestycji</w:t>
      </w:r>
      <w:r w:rsidR="00FA433F" w:rsidRPr="00FA433F">
        <w:rPr>
          <w:noProof/>
        </w:rPr>
        <w:t xml:space="preserve"> i</w:t>
      </w:r>
      <w:r w:rsidR="00FA433F">
        <w:rPr>
          <w:noProof/>
        </w:rPr>
        <w:t> </w:t>
      </w:r>
      <w:r w:rsidR="00FA433F" w:rsidRPr="00FA433F">
        <w:rPr>
          <w:noProof/>
        </w:rPr>
        <w:t>pro</w:t>
      </w:r>
      <w:r w:rsidRPr="00FA433F">
        <w:rPr>
          <w:noProof/>
        </w:rPr>
        <w:t>dukcji, nawet jeżeli zostały one już ukończone.</w:t>
      </w:r>
    </w:p>
    <w:p w14:paraId="6DE65E7E" w14:textId="5D589A36" w:rsidR="00541A6C" w:rsidRPr="00FA433F" w:rsidRDefault="00742AD9" w:rsidP="00742AD9">
      <w:pPr>
        <w:pStyle w:val="ManualNumPar1"/>
        <w:rPr>
          <w:noProof/>
        </w:rPr>
      </w:pPr>
      <w:r w:rsidRPr="00FA433F">
        <w:rPr>
          <w:noProof/>
        </w:rPr>
        <w:t>2.</w:t>
      </w:r>
      <w:r w:rsidRPr="00FA433F">
        <w:rPr>
          <w:noProof/>
        </w:rPr>
        <w:tab/>
        <w:t>W terminie jednego miesiąca od otrzymania finansowania od Komisji,</w:t>
      </w:r>
      <w:r w:rsidR="00FA433F" w:rsidRPr="00FA433F">
        <w:rPr>
          <w:noProof/>
        </w:rPr>
        <w:t xml:space="preserve"> a</w:t>
      </w:r>
      <w:r w:rsidR="00FA433F">
        <w:rPr>
          <w:noProof/>
        </w:rPr>
        <w:t> </w:t>
      </w:r>
      <w:r w:rsidR="00FA433F" w:rsidRPr="00FA433F">
        <w:rPr>
          <w:noProof/>
        </w:rPr>
        <w:t>naj</w:t>
      </w:r>
      <w:r w:rsidRPr="00FA433F">
        <w:rPr>
          <w:noProof/>
        </w:rPr>
        <w:t>później do dnia 31 grudnia 2029</w:t>
      </w:r>
      <w:r w:rsidR="00FA433F" w:rsidRPr="00FA433F">
        <w:rPr>
          <w:noProof/>
        </w:rPr>
        <w:t> </w:t>
      </w:r>
      <w:r w:rsidRPr="00FA433F">
        <w:rPr>
          <w:noProof/>
        </w:rPr>
        <w:t>r., właściwe organy wypłacają beneficjentom końcowym wsparcie finansowe przyznane przez Komisję na mocy decyzji,</w:t>
      </w:r>
      <w:r w:rsidR="00FA433F" w:rsidRPr="00FA433F">
        <w:rPr>
          <w:noProof/>
        </w:rPr>
        <w:t xml:space="preserve"> o</w:t>
      </w:r>
      <w:r w:rsidR="00FA433F">
        <w:rPr>
          <w:noProof/>
        </w:rPr>
        <w:t> </w:t>
      </w:r>
      <w:r w:rsidR="00FA433F" w:rsidRPr="00FA433F">
        <w:rPr>
          <w:noProof/>
        </w:rPr>
        <w:t>któ</w:t>
      </w:r>
      <w:r w:rsidRPr="00FA433F">
        <w:rPr>
          <w:noProof/>
        </w:rPr>
        <w:t>rych mowa</w:t>
      </w:r>
      <w:r w:rsidR="00FA433F" w:rsidRPr="00FA433F">
        <w:rPr>
          <w:noProof/>
        </w:rPr>
        <w:t xml:space="preserve"> w</w:t>
      </w:r>
      <w:r w:rsidR="00FA433F">
        <w:rPr>
          <w:noProof/>
        </w:rPr>
        <w:t> </w:t>
      </w:r>
      <w:r w:rsidR="00FA433F" w:rsidRPr="00FA433F">
        <w:rPr>
          <w:noProof/>
        </w:rPr>
        <w:t>art</w:t>
      </w:r>
      <w:r w:rsidRPr="00FA433F">
        <w:rPr>
          <w:noProof/>
        </w:rPr>
        <w:t>.</w:t>
      </w:r>
      <w:r w:rsidR="00FA433F" w:rsidRPr="00FA433F">
        <w:rPr>
          <w:noProof/>
        </w:rPr>
        <w:t> </w:t>
      </w:r>
      <w:r w:rsidRPr="00FA433F">
        <w:rPr>
          <w:noProof/>
        </w:rPr>
        <w:t>10 ust.</w:t>
      </w:r>
      <w:r w:rsidR="00FA433F" w:rsidRPr="00FA433F">
        <w:rPr>
          <w:noProof/>
        </w:rPr>
        <w:t> </w:t>
      </w:r>
      <w:r w:rsidRPr="00FA433F">
        <w:rPr>
          <w:noProof/>
        </w:rPr>
        <w:t>3, oraz informują Komisję niezwłocznie po dokonaniu wypłat.</w:t>
      </w:r>
    </w:p>
    <w:p w14:paraId="39C3FFCF" w14:textId="77777777" w:rsidR="00A307B4" w:rsidRPr="00FA433F" w:rsidRDefault="00A307B4" w:rsidP="00A307B4">
      <w:pPr>
        <w:pStyle w:val="Titrearticle"/>
        <w:rPr>
          <w:noProof/>
        </w:rPr>
      </w:pPr>
      <w:r w:rsidRPr="00FA433F">
        <w:rPr>
          <w:noProof/>
        </w:rPr>
        <w:t>Artykuł 12</w:t>
      </w:r>
    </w:p>
    <w:p w14:paraId="2F3981BD" w14:textId="77777777" w:rsidR="00A307B4" w:rsidRPr="00FA433F" w:rsidRDefault="00A307B4" w:rsidP="00A307B4">
      <w:pPr>
        <w:pStyle w:val="NormalCentered"/>
        <w:rPr>
          <w:b/>
          <w:bCs/>
          <w:noProof/>
        </w:rPr>
      </w:pPr>
      <w:r w:rsidRPr="00FA433F">
        <w:rPr>
          <w:b/>
          <w:noProof/>
        </w:rPr>
        <w:t>Ochrona interesów finansowych Unii</w:t>
      </w:r>
    </w:p>
    <w:p w14:paraId="4C330BD2" w14:textId="12168B00" w:rsidR="00A307B4" w:rsidRPr="00FA433F" w:rsidRDefault="00742AD9" w:rsidP="00742AD9">
      <w:pPr>
        <w:pStyle w:val="ManualNumPar1"/>
        <w:rPr>
          <w:noProof/>
        </w:rPr>
      </w:pPr>
      <w:r w:rsidRPr="00FA433F">
        <w:rPr>
          <w:noProof/>
        </w:rPr>
        <w:t>1.</w:t>
      </w:r>
      <w:r w:rsidRPr="00FA433F">
        <w:rPr>
          <w:noProof/>
        </w:rPr>
        <w:tab/>
        <w:t>Państwa członkowskie, jako beneficjenci środków finansowych</w:t>
      </w:r>
      <w:r w:rsidR="00FA433F" w:rsidRPr="00FA433F">
        <w:rPr>
          <w:noProof/>
        </w:rPr>
        <w:t xml:space="preserve"> w</w:t>
      </w:r>
      <w:r w:rsidR="00FA433F">
        <w:rPr>
          <w:noProof/>
        </w:rPr>
        <w:t> </w:t>
      </w:r>
      <w:r w:rsidR="00FA433F" w:rsidRPr="00FA433F">
        <w:rPr>
          <w:noProof/>
        </w:rPr>
        <w:t>ram</w:t>
      </w:r>
      <w:r w:rsidRPr="00FA433F">
        <w:rPr>
          <w:noProof/>
        </w:rPr>
        <w:t>ach Funduszu, podejmują wszelkie odpowiednie działania</w:t>
      </w:r>
      <w:r w:rsidR="00FA433F" w:rsidRPr="00FA433F">
        <w:rPr>
          <w:noProof/>
        </w:rPr>
        <w:t xml:space="preserve"> w</w:t>
      </w:r>
      <w:r w:rsidR="00FA433F">
        <w:rPr>
          <w:noProof/>
        </w:rPr>
        <w:t> </w:t>
      </w:r>
      <w:r w:rsidR="00FA433F" w:rsidRPr="00FA433F">
        <w:rPr>
          <w:noProof/>
        </w:rPr>
        <w:t>cel</w:t>
      </w:r>
      <w:r w:rsidRPr="00FA433F">
        <w:rPr>
          <w:noProof/>
        </w:rPr>
        <w:t>u ochrony interesów finansowych Unii oraz</w:t>
      </w:r>
      <w:r w:rsidR="00FA433F" w:rsidRPr="00FA433F">
        <w:rPr>
          <w:noProof/>
        </w:rPr>
        <w:t xml:space="preserve"> w</w:t>
      </w:r>
      <w:r w:rsidR="00FA433F">
        <w:rPr>
          <w:noProof/>
        </w:rPr>
        <w:t> </w:t>
      </w:r>
      <w:r w:rsidR="00FA433F" w:rsidRPr="00FA433F">
        <w:rPr>
          <w:noProof/>
        </w:rPr>
        <w:t>cel</w:t>
      </w:r>
      <w:r w:rsidRPr="00FA433F">
        <w:rPr>
          <w:noProof/>
        </w:rPr>
        <w:t>u zapewnienia, aby wykorzystanie alokacji finansowych było zgodne</w:t>
      </w:r>
      <w:r w:rsidR="00FA433F" w:rsidRPr="00FA433F">
        <w:rPr>
          <w:noProof/>
        </w:rPr>
        <w:t xml:space="preserve"> z</w:t>
      </w:r>
      <w:r w:rsidR="00FA433F">
        <w:rPr>
          <w:noProof/>
        </w:rPr>
        <w:t> </w:t>
      </w:r>
      <w:r w:rsidR="00FA433F" w:rsidRPr="00FA433F">
        <w:rPr>
          <w:noProof/>
        </w:rPr>
        <w:t>maj</w:t>
      </w:r>
      <w:r w:rsidRPr="00FA433F">
        <w:rPr>
          <w:noProof/>
        </w:rPr>
        <w:t>ącym zastosowanie prawem unijnym</w:t>
      </w:r>
      <w:r w:rsidR="00FA433F" w:rsidRPr="00FA433F">
        <w:rPr>
          <w:noProof/>
        </w:rPr>
        <w:t xml:space="preserve"> i</w:t>
      </w:r>
      <w:r w:rsidR="00FA433F">
        <w:rPr>
          <w:noProof/>
        </w:rPr>
        <w:t> </w:t>
      </w:r>
      <w:r w:rsidR="00FA433F" w:rsidRPr="00FA433F">
        <w:rPr>
          <w:noProof/>
        </w:rPr>
        <w:t>kra</w:t>
      </w:r>
      <w:r w:rsidRPr="00FA433F">
        <w:rPr>
          <w:noProof/>
        </w:rPr>
        <w:t>jowym,</w:t>
      </w:r>
      <w:r w:rsidR="00FA433F" w:rsidRPr="00FA433F">
        <w:rPr>
          <w:noProof/>
        </w:rPr>
        <w:t xml:space="preserve"> w</w:t>
      </w:r>
      <w:r w:rsidR="00FA433F">
        <w:rPr>
          <w:noProof/>
        </w:rPr>
        <w:t> </w:t>
      </w:r>
      <w:r w:rsidR="00FA433F" w:rsidRPr="00FA433F">
        <w:rPr>
          <w:noProof/>
        </w:rPr>
        <w:t>szc</w:t>
      </w:r>
      <w:r w:rsidRPr="00FA433F">
        <w:rPr>
          <w:noProof/>
        </w:rPr>
        <w:t>zególności</w:t>
      </w:r>
      <w:r w:rsidR="00FA433F" w:rsidRPr="00FA433F">
        <w:rPr>
          <w:noProof/>
        </w:rPr>
        <w:t xml:space="preserve"> w</w:t>
      </w:r>
      <w:r w:rsidR="00FA433F">
        <w:rPr>
          <w:noProof/>
        </w:rPr>
        <w:t> </w:t>
      </w:r>
      <w:r w:rsidR="00FA433F" w:rsidRPr="00FA433F">
        <w:rPr>
          <w:noProof/>
        </w:rPr>
        <w:t>odn</w:t>
      </w:r>
      <w:r w:rsidRPr="00FA433F">
        <w:rPr>
          <w:noProof/>
        </w:rPr>
        <w:t>iesieniu do zapobiegania nadużyciom finansowym, korupcji, konfliktom interesów</w:t>
      </w:r>
      <w:r w:rsidR="00FA433F" w:rsidRPr="00FA433F">
        <w:rPr>
          <w:noProof/>
        </w:rPr>
        <w:t xml:space="preserve"> i</w:t>
      </w:r>
      <w:r w:rsidR="00FA433F">
        <w:rPr>
          <w:noProof/>
        </w:rPr>
        <w:t> </w:t>
      </w:r>
      <w:r w:rsidR="00FA433F" w:rsidRPr="00FA433F">
        <w:rPr>
          <w:noProof/>
        </w:rPr>
        <w:t>wsz</w:t>
      </w:r>
      <w:r w:rsidRPr="00FA433F">
        <w:rPr>
          <w:noProof/>
        </w:rPr>
        <w:t>elkim innym nieprawidłowościom mającym wpływ na interesy finansowe Unii oraz ich wykrywania</w:t>
      </w:r>
      <w:r w:rsidR="00FA433F" w:rsidRPr="00FA433F">
        <w:rPr>
          <w:noProof/>
        </w:rPr>
        <w:t xml:space="preserve"> i</w:t>
      </w:r>
      <w:r w:rsidR="00FA433F">
        <w:rPr>
          <w:noProof/>
        </w:rPr>
        <w:t> </w:t>
      </w:r>
      <w:r w:rsidR="00FA433F" w:rsidRPr="00FA433F">
        <w:rPr>
          <w:noProof/>
        </w:rPr>
        <w:t>rea</w:t>
      </w:r>
      <w:r w:rsidRPr="00FA433F">
        <w:rPr>
          <w:noProof/>
        </w:rPr>
        <w:t>gowania na nie</w:t>
      </w:r>
      <w:r w:rsidR="00FA433F" w:rsidRPr="00FA433F">
        <w:rPr>
          <w:noProof/>
        </w:rPr>
        <w:t>. W</w:t>
      </w:r>
      <w:r w:rsidR="00FA433F">
        <w:rPr>
          <w:noProof/>
        </w:rPr>
        <w:t> </w:t>
      </w:r>
      <w:r w:rsidR="00FA433F" w:rsidRPr="00FA433F">
        <w:rPr>
          <w:noProof/>
        </w:rPr>
        <w:t>zwi</w:t>
      </w:r>
      <w:r w:rsidRPr="00FA433F">
        <w:rPr>
          <w:noProof/>
        </w:rPr>
        <w:t>ązku</w:t>
      </w:r>
      <w:r w:rsidR="00FA433F" w:rsidRPr="00FA433F">
        <w:rPr>
          <w:noProof/>
        </w:rPr>
        <w:t xml:space="preserve"> z</w:t>
      </w:r>
      <w:r w:rsidR="00FA433F">
        <w:rPr>
          <w:noProof/>
        </w:rPr>
        <w:t> </w:t>
      </w:r>
      <w:r w:rsidR="00FA433F" w:rsidRPr="00FA433F">
        <w:rPr>
          <w:noProof/>
        </w:rPr>
        <w:t>tym</w:t>
      </w:r>
      <w:r w:rsidRPr="00FA433F">
        <w:rPr>
          <w:noProof/>
        </w:rPr>
        <w:t xml:space="preserve"> państwa członkowskie podejmują wszelkie niezbędne działania</w:t>
      </w:r>
      <w:r w:rsidR="00FA433F" w:rsidRPr="00FA433F">
        <w:rPr>
          <w:noProof/>
        </w:rPr>
        <w:t xml:space="preserve"> w</w:t>
      </w:r>
      <w:r w:rsidR="00FA433F">
        <w:rPr>
          <w:noProof/>
        </w:rPr>
        <w:t> </w:t>
      </w:r>
      <w:r w:rsidR="00FA433F" w:rsidRPr="00FA433F">
        <w:rPr>
          <w:noProof/>
        </w:rPr>
        <w:t>cel</w:t>
      </w:r>
      <w:r w:rsidRPr="00FA433F">
        <w:rPr>
          <w:noProof/>
        </w:rPr>
        <w:t>u odzyskania kwot nienależnie wypłaconych. Państwa członkowskie opierają się na swoich krajowych systemach zarządzania budżetem, jego kontroli</w:t>
      </w:r>
      <w:r w:rsidR="00FA433F" w:rsidRPr="00FA433F">
        <w:rPr>
          <w:noProof/>
        </w:rPr>
        <w:t xml:space="preserve"> i</w:t>
      </w:r>
      <w:r w:rsidR="00FA433F">
        <w:rPr>
          <w:noProof/>
        </w:rPr>
        <w:t> </w:t>
      </w:r>
      <w:r w:rsidR="00FA433F" w:rsidRPr="00FA433F">
        <w:rPr>
          <w:noProof/>
        </w:rPr>
        <w:t>odz</w:t>
      </w:r>
      <w:r w:rsidRPr="00FA433F">
        <w:rPr>
          <w:noProof/>
        </w:rPr>
        <w:t>yskiwania środków.</w:t>
      </w:r>
    </w:p>
    <w:p w14:paraId="5D596129" w14:textId="60EA672D" w:rsidR="00A307B4" w:rsidRPr="00FA433F" w:rsidRDefault="00742AD9" w:rsidP="00742AD9">
      <w:pPr>
        <w:pStyle w:val="ManualNumPar1"/>
        <w:rPr>
          <w:noProof/>
        </w:rPr>
      </w:pPr>
      <w:r w:rsidRPr="00FA433F">
        <w:rPr>
          <w:noProof/>
        </w:rPr>
        <w:t>2.</w:t>
      </w:r>
      <w:r w:rsidRPr="00FA433F">
        <w:rPr>
          <w:noProof/>
        </w:rPr>
        <w:tab/>
        <w:t>Decyzja,</w:t>
      </w:r>
      <w:r w:rsidR="00FA433F" w:rsidRPr="00FA433F">
        <w:rPr>
          <w:noProof/>
        </w:rPr>
        <w:t xml:space="preserve"> o</w:t>
      </w:r>
      <w:r w:rsidR="00FA433F">
        <w:rPr>
          <w:noProof/>
        </w:rPr>
        <w:t> </w:t>
      </w:r>
      <w:r w:rsidR="00FA433F" w:rsidRPr="00FA433F">
        <w:rPr>
          <w:noProof/>
        </w:rPr>
        <w:t>któ</w:t>
      </w:r>
      <w:r w:rsidRPr="00FA433F">
        <w:rPr>
          <w:noProof/>
        </w:rPr>
        <w:t>rej mowa</w:t>
      </w:r>
      <w:r w:rsidR="00FA433F" w:rsidRPr="00FA433F">
        <w:rPr>
          <w:noProof/>
        </w:rPr>
        <w:t xml:space="preserve"> w</w:t>
      </w:r>
      <w:r w:rsidR="00FA433F">
        <w:rPr>
          <w:noProof/>
        </w:rPr>
        <w:t> </w:t>
      </w:r>
      <w:r w:rsidR="00FA433F" w:rsidRPr="00FA433F">
        <w:rPr>
          <w:noProof/>
        </w:rPr>
        <w:t>art</w:t>
      </w:r>
      <w:r w:rsidRPr="00FA433F">
        <w:rPr>
          <w:noProof/>
        </w:rPr>
        <w:t>. 10 ust. 3, przewiduje następujące obowiązki państw członkowskich:</w:t>
      </w:r>
    </w:p>
    <w:p w14:paraId="48F154FC" w14:textId="001324AE" w:rsidR="00A307B4" w:rsidRPr="00FA433F" w:rsidRDefault="00742AD9" w:rsidP="00742AD9">
      <w:pPr>
        <w:pStyle w:val="Point1"/>
        <w:rPr>
          <w:noProof/>
        </w:rPr>
      </w:pPr>
      <w:r w:rsidRPr="00FA433F">
        <w:rPr>
          <w:noProof/>
        </w:rPr>
        <w:t>a)</w:t>
      </w:r>
      <w:r w:rsidRPr="00FA433F">
        <w:rPr>
          <w:noProof/>
        </w:rPr>
        <w:tab/>
        <w:t>podejmowanie odpowiednich działań</w:t>
      </w:r>
      <w:r w:rsidR="00FA433F" w:rsidRPr="00FA433F">
        <w:rPr>
          <w:noProof/>
        </w:rPr>
        <w:t xml:space="preserve"> w</w:t>
      </w:r>
      <w:r w:rsidR="00FA433F">
        <w:rPr>
          <w:noProof/>
        </w:rPr>
        <w:t> </w:t>
      </w:r>
      <w:r w:rsidR="00FA433F" w:rsidRPr="00FA433F">
        <w:rPr>
          <w:noProof/>
        </w:rPr>
        <w:t>cel</w:t>
      </w:r>
      <w:r w:rsidRPr="00FA433F">
        <w:rPr>
          <w:noProof/>
        </w:rPr>
        <w:t>u zapobiegania nadużyciom finansowym, korupcji, konfliktom interesów</w:t>
      </w:r>
      <w:r w:rsidR="00FA433F" w:rsidRPr="00FA433F">
        <w:rPr>
          <w:noProof/>
        </w:rPr>
        <w:t xml:space="preserve"> i</w:t>
      </w:r>
      <w:r w:rsidR="00FA433F">
        <w:rPr>
          <w:noProof/>
        </w:rPr>
        <w:t> </w:t>
      </w:r>
      <w:r w:rsidR="00FA433F" w:rsidRPr="00FA433F">
        <w:rPr>
          <w:noProof/>
        </w:rPr>
        <w:t>wsz</w:t>
      </w:r>
      <w:r w:rsidRPr="00FA433F">
        <w:rPr>
          <w:noProof/>
        </w:rPr>
        <w:t>elkim innym nieprawidłowościom mającym wpływ na interesy finansowe Unii</w:t>
      </w:r>
      <w:r w:rsidR="00FA433F" w:rsidRPr="00FA433F">
        <w:rPr>
          <w:noProof/>
        </w:rPr>
        <w:t xml:space="preserve"> w</w:t>
      </w:r>
      <w:r w:rsidR="00FA433F">
        <w:rPr>
          <w:noProof/>
        </w:rPr>
        <w:t> </w:t>
      </w:r>
      <w:r w:rsidR="00FA433F" w:rsidRPr="00FA433F">
        <w:rPr>
          <w:noProof/>
        </w:rPr>
        <w:t>roz</w:t>
      </w:r>
      <w:r w:rsidRPr="00FA433F">
        <w:rPr>
          <w:noProof/>
        </w:rPr>
        <w:t>umieniu art. 61 rozporządzenia (UE, Euratom) 2024/2509 oraz ich wykrywania</w:t>
      </w:r>
      <w:r w:rsidR="00FA433F" w:rsidRPr="00FA433F">
        <w:rPr>
          <w:noProof/>
        </w:rPr>
        <w:t xml:space="preserve"> i</w:t>
      </w:r>
      <w:r w:rsidR="00FA433F">
        <w:rPr>
          <w:noProof/>
        </w:rPr>
        <w:t> </w:t>
      </w:r>
      <w:r w:rsidR="00FA433F" w:rsidRPr="00FA433F">
        <w:rPr>
          <w:noProof/>
        </w:rPr>
        <w:t>rea</w:t>
      </w:r>
      <w:r w:rsidRPr="00FA433F">
        <w:rPr>
          <w:noProof/>
        </w:rPr>
        <w:t>gowania na nie,</w:t>
      </w:r>
      <w:r w:rsidR="00FA433F" w:rsidRPr="00FA433F">
        <w:rPr>
          <w:noProof/>
        </w:rPr>
        <w:t xml:space="preserve"> a</w:t>
      </w:r>
      <w:r w:rsidR="00FA433F">
        <w:rPr>
          <w:noProof/>
        </w:rPr>
        <w:t> </w:t>
      </w:r>
      <w:r w:rsidR="00FA433F" w:rsidRPr="00FA433F">
        <w:rPr>
          <w:noProof/>
        </w:rPr>
        <w:t>tak</w:t>
      </w:r>
      <w:r w:rsidRPr="00FA433F">
        <w:rPr>
          <w:noProof/>
        </w:rPr>
        <w:t>że podejmowanie działań prawnych</w:t>
      </w:r>
      <w:r w:rsidR="00FA433F" w:rsidRPr="00FA433F">
        <w:rPr>
          <w:noProof/>
        </w:rPr>
        <w:t xml:space="preserve"> w</w:t>
      </w:r>
      <w:r w:rsidR="00FA433F">
        <w:rPr>
          <w:noProof/>
        </w:rPr>
        <w:t> </w:t>
      </w:r>
      <w:r w:rsidR="00FA433F" w:rsidRPr="00FA433F">
        <w:rPr>
          <w:noProof/>
        </w:rPr>
        <w:t>cel</w:t>
      </w:r>
      <w:r w:rsidRPr="00FA433F">
        <w:rPr>
          <w:noProof/>
        </w:rPr>
        <w:t>u odzyskania środków finansowych, które zostały nienależnie wydane lub sprzeniewierzone;</w:t>
      </w:r>
    </w:p>
    <w:p w14:paraId="6D562162" w14:textId="07902034" w:rsidR="00A307B4" w:rsidRPr="00FA433F" w:rsidRDefault="00742AD9" w:rsidP="00742AD9">
      <w:pPr>
        <w:pStyle w:val="Point1"/>
        <w:rPr>
          <w:noProof/>
        </w:rPr>
      </w:pPr>
      <w:r w:rsidRPr="00FA433F">
        <w:rPr>
          <w:noProof/>
        </w:rPr>
        <w:t>b)</w:t>
      </w:r>
      <w:r w:rsidRPr="00FA433F">
        <w:rPr>
          <w:noProof/>
        </w:rPr>
        <w:tab/>
        <w:t>przechowywanie danych dotyczących nazw wszystkich beneficjentów końcowych alokacji finansowych, ich numerów identyfikacyjnych VAT lub numerów identyfikacji podatkowej oraz kwoty alokacji finansowych</w:t>
      </w:r>
      <w:r w:rsidR="00FA433F" w:rsidRPr="00FA433F">
        <w:rPr>
          <w:noProof/>
        </w:rPr>
        <w:t xml:space="preserve"> z</w:t>
      </w:r>
      <w:r w:rsidR="00FA433F">
        <w:rPr>
          <w:noProof/>
        </w:rPr>
        <w:t> </w:t>
      </w:r>
      <w:r w:rsidR="00FA433F" w:rsidRPr="00FA433F">
        <w:rPr>
          <w:noProof/>
        </w:rPr>
        <w:t>Fun</w:t>
      </w:r>
      <w:r w:rsidRPr="00FA433F">
        <w:rPr>
          <w:noProof/>
        </w:rPr>
        <w:t>duszu;</w:t>
      </w:r>
    </w:p>
    <w:p w14:paraId="1C4BA4A4" w14:textId="59CCB39D" w:rsidR="00A307B4" w:rsidRPr="00FA433F" w:rsidRDefault="00742AD9" w:rsidP="00742AD9">
      <w:pPr>
        <w:pStyle w:val="Point1"/>
        <w:rPr>
          <w:noProof/>
        </w:rPr>
      </w:pPr>
      <w:r w:rsidRPr="00FA433F">
        <w:rPr>
          <w:noProof/>
        </w:rPr>
        <w:t>c)</w:t>
      </w:r>
      <w:r w:rsidRPr="00FA433F">
        <w:rPr>
          <w:noProof/>
        </w:rPr>
        <w:tab/>
        <w:t>wyraźne upoważnienie Komisji, OLAF, Trybunału Obrachunkowego i,</w:t>
      </w:r>
      <w:r w:rsidR="00FA433F" w:rsidRPr="00FA433F">
        <w:rPr>
          <w:noProof/>
        </w:rPr>
        <w:t xml:space="preserve"> w</w:t>
      </w:r>
      <w:r w:rsidR="00FA433F">
        <w:rPr>
          <w:noProof/>
        </w:rPr>
        <w:t> </w:t>
      </w:r>
      <w:r w:rsidR="00FA433F" w:rsidRPr="00FA433F">
        <w:rPr>
          <w:noProof/>
        </w:rPr>
        <w:t>prz</w:t>
      </w:r>
      <w:r w:rsidRPr="00FA433F">
        <w:rPr>
          <w:noProof/>
        </w:rPr>
        <w:t>ypadku państw członkowskich, które uczestniczą we wzmocnionej współpracy na mocy rozporządzenia (UE) 2017/1939, EPPO, do wykonywania ich praw zgodnie</w:t>
      </w:r>
      <w:r w:rsidR="00FA433F" w:rsidRPr="00FA433F">
        <w:rPr>
          <w:noProof/>
        </w:rPr>
        <w:t xml:space="preserve"> z</w:t>
      </w:r>
      <w:r w:rsidR="00FA433F">
        <w:rPr>
          <w:noProof/>
        </w:rPr>
        <w:t> </w:t>
      </w:r>
      <w:r w:rsidR="00FA433F" w:rsidRPr="00FA433F">
        <w:rPr>
          <w:noProof/>
        </w:rPr>
        <w:t>art</w:t>
      </w:r>
      <w:r w:rsidRPr="00FA433F">
        <w:rPr>
          <w:noProof/>
        </w:rPr>
        <w:t xml:space="preserve">. 129 ust. 1 rozporządzenia (UE, Euratom) 2024/2059, </w:t>
      </w:r>
      <w:r w:rsidRPr="00FA433F">
        <w:rPr>
          <w:noProof/>
        </w:rPr>
        <w:lastRenderedPageBreak/>
        <w:t>nałożenie obowiązków na wszystkich końcowych beneficjentów wsparcia finansowego, aby wyraźnie upoważniły Komisję, OLAF, Trybunał Obrachunkowy i,</w:t>
      </w:r>
      <w:r w:rsidR="00FA433F" w:rsidRPr="00FA433F">
        <w:rPr>
          <w:noProof/>
        </w:rPr>
        <w:t xml:space="preserve"> w</w:t>
      </w:r>
      <w:r w:rsidR="00FA433F">
        <w:rPr>
          <w:noProof/>
        </w:rPr>
        <w:t> </w:t>
      </w:r>
      <w:r w:rsidR="00FA433F" w:rsidRPr="00FA433F">
        <w:rPr>
          <w:noProof/>
        </w:rPr>
        <w:t>sto</w:t>
      </w:r>
      <w:r w:rsidRPr="00FA433F">
        <w:rPr>
          <w:noProof/>
        </w:rPr>
        <w:t>sownych przypadkach, EPPO do wykonywania ich praw zgodnie</w:t>
      </w:r>
      <w:r w:rsidR="00FA433F" w:rsidRPr="00FA433F">
        <w:rPr>
          <w:noProof/>
        </w:rPr>
        <w:t xml:space="preserve"> z</w:t>
      </w:r>
      <w:r w:rsidR="00FA433F">
        <w:rPr>
          <w:noProof/>
        </w:rPr>
        <w:t> </w:t>
      </w:r>
      <w:r w:rsidR="00FA433F" w:rsidRPr="00FA433F">
        <w:rPr>
          <w:noProof/>
        </w:rPr>
        <w:t>art</w:t>
      </w:r>
      <w:r w:rsidRPr="00FA433F">
        <w:rPr>
          <w:noProof/>
        </w:rPr>
        <w:t xml:space="preserve">. 129 ust. 1 rozporządzenia (UE, Euratom) 2024/2059, oraz nałożenie podobnych obowiązków na wszystkich końcowych beneficjentów wypłaconych środków finansowych; </w:t>
      </w:r>
    </w:p>
    <w:p w14:paraId="1CF7DAC2" w14:textId="3B790162" w:rsidR="00A307B4" w:rsidRPr="00FA433F" w:rsidRDefault="00742AD9" w:rsidP="00742AD9">
      <w:pPr>
        <w:pStyle w:val="Point1"/>
        <w:rPr>
          <w:noProof/>
        </w:rPr>
      </w:pPr>
      <w:r w:rsidRPr="00FA433F">
        <w:rPr>
          <w:noProof/>
        </w:rPr>
        <w:t>d)</w:t>
      </w:r>
      <w:r w:rsidRPr="00FA433F">
        <w:rPr>
          <w:noProof/>
        </w:rPr>
        <w:tab/>
        <w:t>przechowywanie dokumentacji zgodnie</w:t>
      </w:r>
      <w:r w:rsidR="00FA433F" w:rsidRPr="00FA433F">
        <w:rPr>
          <w:noProof/>
        </w:rPr>
        <w:t xml:space="preserve"> z</w:t>
      </w:r>
      <w:r w:rsidR="00FA433F">
        <w:rPr>
          <w:noProof/>
        </w:rPr>
        <w:t> </w:t>
      </w:r>
      <w:r w:rsidR="00FA433F" w:rsidRPr="00FA433F">
        <w:rPr>
          <w:noProof/>
        </w:rPr>
        <w:t>art</w:t>
      </w:r>
      <w:r w:rsidRPr="00FA433F">
        <w:rPr>
          <w:noProof/>
        </w:rPr>
        <w:t>. 133 rozporządzenia (UE, Euratom) 2024/2509;</w:t>
      </w:r>
    </w:p>
    <w:p w14:paraId="6B8FFA46" w14:textId="776CD196" w:rsidR="00926CF0" w:rsidRPr="00FA433F" w:rsidRDefault="00742AD9" w:rsidP="00742AD9">
      <w:pPr>
        <w:pStyle w:val="Point1"/>
        <w:rPr>
          <w:noProof/>
        </w:rPr>
      </w:pPr>
      <w:r w:rsidRPr="00FA433F">
        <w:rPr>
          <w:noProof/>
        </w:rPr>
        <w:t>e)</w:t>
      </w:r>
      <w:r w:rsidRPr="00FA433F">
        <w:rPr>
          <w:noProof/>
        </w:rPr>
        <w:tab/>
        <w:t>wyraźne upoważnienie Komisji do proporcjonalnego zmniejszenia wsparcia finansowego</w:t>
      </w:r>
      <w:r w:rsidR="00FA433F" w:rsidRPr="00FA433F">
        <w:rPr>
          <w:noProof/>
        </w:rPr>
        <w:t xml:space="preserve"> w</w:t>
      </w:r>
      <w:r w:rsidR="00FA433F">
        <w:rPr>
          <w:noProof/>
        </w:rPr>
        <w:t> </w:t>
      </w:r>
      <w:r w:rsidR="00FA433F" w:rsidRPr="00FA433F">
        <w:rPr>
          <w:noProof/>
        </w:rPr>
        <w:t>ram</w:t>
      </w:r>
      <w:r w:rsidRPr="00FA433F">
        <w:rPr>
          <w:noProof/>
        </w:rPr>
        <w:t>ach Funduszu</w:t>
      </w:r>
      <w:r w:rsidR="00FA433F" w:rsidRPr="00FA433F">
        <w:rPr>
          <w:noProof/>
        </w:rPr>
        <w:t xml:space="preserve"> i</w:t>
      </w:r>
      <w:r w:rsidR="00FA433F">
        <w:rPr>
          <w:noProof/>
        </w:rPr>
        <w:t> </w:t>
      </w:r>
      <w:r w:rsidR="00FA433F" w:rsidRPr="00FA433F">
        <w:rPr>
          <w:noProof/>
        </w:rPr>
        <w:t>odz</w:t>
      </w:r>
      <w:r w:rsidRPr="00FA433F">
        <w:rPr>
          <w:noProof/>
        </w:rPr>
        <w:t>yskania wszelkich kwot należnych budżetowi Unii</w:t>
      </w:r>
      <w:r w:rsidR="00FA433F" w:rsidRPr="00FA433F">
        <w:rPr>
          <w:noProof/>
        </w:rPr>
        <w:t xml:space="preserve"> w</w:t>
      </w:r>
      <w:r w:rsidR="00FA433F">
        <w:rPr>
          <w:noProof/>
        </w:rPr>
        <w:t> </w:t>
      </w:r>
      <w:r w:rsidR="00FA433F" w:rsidRPr="00FA433F">
        <w:rPr>
          <w:noProof/>
        </w:rPr>
        <w:t>prz</w:t>
      </w:r>
      <w:r w:rsidRPr="00FA433F">
        <w:rPr>
          <w:noProof/>
        </w:rPr>
        <w:t xml:space="preserve">ypadkach nadużyć finansowych, korupcji, konfliktu interesów lub wszelkich innych nieprawidłowości naruszających interesy finansowe Unii. </w:t>
      </w:r>
    </w:p>
    <w:p w14:paraId="0D81394F" w14:textId="50217EDF" w:rsidR="00A307B4" w:rsidRPr="00FA433F" w:rsidRDefault="00742AD9" w:rsidP="00742AD9">
      <w:pPr>
        <w:pStyle w:val="ManualNumPar1"/>
        <w:rPr>
          <w:noProof/>
        </w:rPr>
      </w:pPr>
      <w:r w:rsidRPr="00FA433F">
        <w:rPr>
          <w:noProof/>
        </w:rPr>
        <w:t>3.</w:t>
      </w:r>
      <w:r w:rsidRPr="00FA433F">
        <w:rPr>
          <w:noProof/>
        </w:rPr>
        <w:tab/>
        <w:t>Podejmując decyzję</w:t>
      </w:r>
      <w:r w:rsidR="00FA433F" w:rsidRPr="00FA433F">
        <w:rPr>
          <w:noProof/>
        </w:rPr>
        <w:t xml:space="preserve"> w</w:t>
      </w:r>
      <w:r w:rsidR="00FA433F">
        <w:rPr>
          <w:noProof/>
        </w:rPr>
        <w:t> </w:t>
      </w:r>
      <w:r w:rsidR="00FA433F" w:rsidRPr="00FA433F">
        <w:rPr>
          <w:noProof/>
        </w:rPr>
        <w:t>spr</w:t>
      </w:r>
      <w:r w:rsidRPr="00FA433F">
        <w:rPr>
          <w:noProof/>
        </w:rPr>
        <w:t>awie kwoty odzyskiwanych środków</w:t>
      </w:r>
      <w:r w:rsidR="00FA433F" w:rsidRPr="00FA433F">
        <w:rPr>
          <w:noProof/>
        </w:rPr>
        <w:t xml:space="preserve"> i</w:t>
      </w:r>
      <w:r w:rsidR="00FA433F">
        <w:rPr>
          <w:noProof/>
        </w:rPr>
        <w:t> </w:t>
      </w:r>
      <w:r w:rsidR="00FA433F" w:rsidRPr="00FA433F">
        <w:rPr>
          <w:noProof/>
        </w:rPr>
        <w:t>zmn</w:t>
      </w:r>
      <w:r w:rsidRPr="00FA433F">
        <w:rPr>
          <w:noProof/>
        </w:rPr>
        <w:t>iejszenia wsparcia, Komisja przestrzega zasady proporcjonalności</w:t>
      </w:r>
      <w:r w:rsidR="00FA433F" w:rsidRPr="00FA433F">
        <w:rPr>
          <w:noProof/>
        </w:rPr>
        <w:t xml:space="preserve"> i</w:t>
      </w:r>
      <w:r w:rsidR="00FA433F">
        <w:rPr>
          <w:noProof/>
        </w:rPr>
        <w:t> </w:t>
      </w:r>
      <w:r w:rsidR="00FA433F" w:rsidRPr="00FA433F">
        <w:rPr>
          <w:noProof/>
        </w:rPr>
        <w:t>uwz</w:t>
      </w:r>
      <w:r w:rsidRPr="00FA433F">
        <w:rPr>
          <w:noProof/>
        </w:rPr>
        <w:t>ględnia wagę danego nadużycia finansowego, korupcji, konfliktu interesów</w:t>
      </w:r>
      <w:r w:rsidR="00FA433F" w:rsidRPr="00FA433F">
        <w:rPr>
          <w:noProof/>
        </w:rPr>
        <w:t xml:space="preserve"> i</w:t>
      </w:r>
      <w:r w:rsidR="00FA433F">
        <w:rPr>
          <w:noProof/>
        </w:rPr>
        <w:t> </w:t>
      </w:r>
      <w:r w:rsidR="00FA433F" w:rsidRPr="00FA433F">
        <w:rPr>
          <w:noProof/>
        </w:rPr>
        <w:t>inn</w:t>
      </w:r>
      <w:r w:rsidRPr="00FA433F">
        <w:rPr>
          <w:noProof/>
        </w:rPr>
        <w:t>ych nieprawidłowości naruszających interesy finansowe Unii lub też wagę naruszenia obowiązku. Komisja umożliwia państwu członkowskiemu przedstawienie jego uwag przed dokonaniem zmniejszenia wsparcia.</w:t>
      </w:r>
    </w:p>
    <w:p w14:paraId="31803223" w14:textId="77777777" w:rsidR="00A307B4" w:rsidRPr="00FA433F" w:rsidRDefault="00A307B4" w:rsidP="00A307B4">
      <w:pPr>
        <w:pStyle w:val="Titrearticle"/>
        <w:rPr>
          <w:noProof/>
        </w:rPr>
      </w:pPr>
      <w:r w:rsidRPr="00FA433F">
        <w:rPr>
          <w:noProof/>
        </w:rPr>
        <w:t>Artykuł 13</w:t>
      </w:r>
    </w:p>
    <w:p w14:paraId="1E104986" w14:textId="77777777" w:rsidR="00A307B4" w:rsidRPr="00FA433F" w:rsidRDefault="00317A39" w:rsidP="00A307B4">
      <w:pPr>
        <w:pStyle w:val="NormalCentered"/>
        <w:rPr>
          <w:b/>
          <w:bCs/>
          <w:noProof/>
        </w:rPr>
      </w:pPr>
      <w:r w:rsidRPr="00FA433F">
        <w:rPr>
          <w:b/>
          <w:noProof/>
        </w:rPr>
        <w:t>Obowiązki beneficjentów końcowych</w:t>
      </w:r>
    </w:p>
    <w:p w14:paraId="71E1673A" w14:textId="169EB701" w:rsidR="00317A39" w:rsidRPr="00FA433F" w:rsidRDefault="00742AD9" w:rsidP="00742AD9">
      <w:pPr>
        <w:pStyle w:val="ManualNumPar1"/>
        <w:rPr>
          <w:noProof/>
        </w:rPr>
      </w:pPr>
      <w:r w:rsidRPr="00FA433F">
        <w:rPr>
          <w:noProof/>
        </w:rPr>
        <w:t>1.</w:t>
      </w:r>
      <w:r w:rsidRPr="00FA433F">
        <w:rPr>
          <w:noProof/>
        </w:rPr>
        <w:tab/>
        <w:t>Beneficjenci końcowi są odpowiedzialni za dane, które przekazują na podstawie niniejszego rozporządzenia, oraz prowadzą kompletną</w:t>
      </w:r>
      <w:r w:rsidR="00FA433F" w:rsidRPr="00FA433F">
        <w:rPr>
          <w:noProof/>
        </w:rPr>
        <w:t xml:space="preserve"> i</w:t>
      </w:r>
      <w:r w:rsidR="00FA433F">
        <w:rPr>
          <w:noProof/>
        </w:rPr>
        <w:t> </w:t>
      </w:r>
      <w:r w:rsidR="00FA433F" w:rsidRPr="00FA433F">
        <w:rPr>
          <w:noProof/>
        </w:rPr>
        <w:t>dok</w:t>
      </w:r>
      <w:r w:rsidRPr="00FA433F">
        <w:rPr>
          <w:noProof/>
        </w:rPr>
        <w:t>ładną dokumentację działań,</w:t>
      </w:r>
      <w:r w:rsidR="00FA433F" w:rsidRPr="00FA433F">
        <w:rPr>
          <w:noProof/>
        </w:rPr>
        <w:t xml:space="preserve"> o</w:t>
      </w:r>
      <w:r w:rsidR="00FA433F">
        <w:rPr>
          <w:noProof/>
        </w:rPr>
        <w:t> </w:t>
      </w:r>
      <w:r w:rsidR="00FA433F" w:rsidRPr="00FA433F">
        <w:rPr>
          <w:noProof/>
        </w:rPr>
        <w:t>któ</w:t>
      </w:r>
      <w:r w:rsidRPr="00FA433F">
        <w:rPr>
          <w:noProof/>
        </w:rPr>
        <w:t>rych mowa</w:t>
      </w:r>
      <w:r w:rsidR="00FA433F" w:rsidRPr="00FA433F">
        <w:rPr>
          <w:noProof/>
        </w:rPr>
        <w:t xml:space="preserve"> w</w:t>
      </w:r>
      <w:r w:rsidR="00FA433F">
        <w:rPr>
          <w:noProof/>
        </w:rPr>
        <w:t> </w:t>
      </w:r>
      <w:r w:rsidR="00FA433F" w:rsidRPr="00FA433F">
        <w:rPr>
          <w:noProof/>
        </w:rPr>
        <w:t>art</w:t>
      </w:r>
      <w:r w:rsidRPr="00FA433F">
        <w:rPr>
          <w:noProof/>
        </w:rPr>
        <w:t>. 7, potwierdzającą przekazane przez nich dane.</w:t>
      </w:r>
    </w:p>
    <w:p w14:paraId="6F421C32" w14:textId="08647110" w:rsidR="00A307B4" w:rsidRPr="00FA433F" w:rsidRDefault="00742AD9" w:rsidP="00742AD9">
      <w:pPr>
        <w:pStyle w:val="ManualNumPar1"/>
        <w:rPr>
          <w:noProof/>
        </w:rPr>
      </w:pPr>
      <w:r w:rsidRPr="00FA433F">
        <w:rPr>
          <w:noProof/>
        </w:rPr>
        <w:t>2.</w:t>
      </w:r>
      <w:r w:rsidRPr="00FA433F">
        <w:rPr>
          <w:noProof/>
        </w:rPr>
        <w:tab/>
        <w:t>W związku</w:t>
      </w:r>
      <w:r w:rsidR="00FA433F" w:rsidRPr="00FA433F">
        <w:rPr>
          <w:noProof/>
        </w:rPr>
        <w:t xml:space="preserve"> z</w:t>
      </w:r>
      <w:r w:rsidR="00FA433F">
        <w:rPr>
          <w:noProof/>
        </w:rPr>
        <w:t> </w:t>
      </w:r>
      <w:r w:rsidR="00FA433F" w:rsidRPr="00FA433F">
        <w:rPr>
          <w:noProof/>
        </w:rPr>
        <w:t>tym</w:t>
      </w:r>
      <w:r w:rsidRPr="00FA433F">
        <w:rPr>
          <w:noProof/>
        </w:rPr>
        <w:t xml:space="preserve"> Komisja jest uprawniona do przyjmowania aktów wykonawczych</w:t>
      </w:r>
      <w:r w:rsidR="00FA433F" w:rsidRPr="00FA433F">
        <w:rPr>
          <w:noProof/>
        </w:rPr>
        <w:t xml:space="preserve"> w</w:t>
      </w:r>
      <w:r w:rsidR="00FA433F">
        <w:rPr>
          <w:noProof/>
        </w:rPr>
        <w:t> </w:t>
      </w:r>
      <w:r w:rsidR="00FA433F" w:rsidRPr="00FA433F">
        <w:rPr>
          <w:noProof/>
        </w:rPr>
        <w:t>cel</w:t>
      </w:r>
      <w:r w:rsidRPr="00FA433F">
        <w:rPr>
          <w:noProof/>
        </w:rPr>
        <w:t>u określenia odpowiedzialności beneficjentów końcowych</w:t>
      </w:r>
      <w:r w:rsidR="00FA433F" w:rsidRPr="00FA433F">
        <w:rPr>
          <w:noProof/>
        </w:rPr>
        <w:t xml:space="preserve"> i</w:t>
      </w:r>
      <w:r w:rsidR="00FA433F">
        <w:rPr>
          <w:noProof/>
        </w:rPr>
        <w:t> </w:t>
      </w:r>
      <w:r w:rsidR="00FA433F" w:rsidRPr="00FA433F">
        <w:rPr>
          <w:noProof/>
        </w:rPr>
        <w:t>ich</w:t>
      </w:r>
      <w:r w:rsidRPr="00FA433F">
        <w:rPr>
          <w:noProof/>
        </w:rPr>
        <w:t xml:space="preserve"> obowiązków</w:t>
      </w:r>
      <w:r w:rsidR="00FA433F" w:rsidRPr="00FA433F">
        <w:rPr>
          <w:noProof/>
        </w:rPr>
        <w:t xml:space="preserve"> w</w:t>
      </w:r>
      <w:r w:rsidR="00FA433F">
        <w:rPr>
          <w:noProof/>
        </w:rPr>
        <w:t> </w:t>
      </w:r>
      <w:r w:rsidR="00FA433F" w:rsidRPr="00FA433F">
        <w:rPr>
          <w:noProof/>
        </w:rPr>
        <w:t>zak</w:t>
      </w:r>
      <w:r w:rsidRPr="00FA433F">
        <w:rPr>
          <w:noProof/>
        </w:rPr>
        <w:t>resie monitorowania,</w:t>
      </w:r>
      <w:r w:rsidR="00FA433F" w:rsidRPr="00FA433F">
        <w:rPr>
          <w:noProof/>
        </w:rPr>
        <w:t xml:space="preserve"> w</w:t>
      </w:r>
      <w:r w:rsidR="00FA433F">
        <w:rPr>
          <w:noProof/>
        </w:rPr>
        <w:t> </w:t>
      </w:r>
      <w:r w:rsidR="00FA433F" w:rsidRPr="00FA433F">
        <w:rPr>
          <w:noProof/>
        </w:rPr>
        <w:t>tym</w:t>
      </w:r>
      <w:r w:rsidRPr="00FA433F">
        <w:rPr>
          <w:noProof/>
        </w:rPr>
        <w:t xml:space="preserve"> poprzez określenie okresu zatrzymywania danych. Te akty wykonawcze przyjmuje się zgodnie</w:t>
      </w:r>
      <w:r w:rsidR="00FA433F" w:rsidRPr="00FA433F">
        <w:rPr>
          <w:noProof/>
        </w:rPr>
        <w:t xml:space="preserve"> z</w:t>
      </w:r>
      <w:r w:rsidR="00FA433F">
        <w:rPr>
          <w:noProof/>
        </w:rPr>
        <w:t> </w:t>
      </w:r>
      <w:r w:rsidR="00FA433F" w:rsidRPr="00FA433F">
        <w:rPr>
          <w:noProof/>
        </w:rPr>
        <w:t>pro</w:t>
      </w:r>
      <w:r w:rsidRPr="00FA433F">
        <w:rPr>
          <w:noProof/>
        </w:rPr>
        <w:t>cedurą sprawdzającą,</w:t>
      </w:r>
      <w:r w:rsidR="00FA433F" w:rsidRPr="00FA433F">
        <w:rPr>
          <w:noProof/>
        </w:rPr>
        <w:t xml:space="preserve"> o</w:t>
      </w:r>
      <w:r w:rsidR="00FA433F">
        <w:rPr>
          <w:noProof/>
        </w:rPr>
        <w:t> </w:t>
      </w:r>
      <w:r w:rsidR="00FA433F" w:rsidRPr="00FA433F">
        <w:rPr>
          <w:noProof/>
        </w:rPr>
        <w:t>któ</w:t>
      </w:r>
      <w:r w:rsidRPr="00FA433F">
        <w:rPr>
          <w:noProof/>
        </w:rPr>
        <w:t>rej mowa</w:t>
      </w:r>
      <w:r w:rsidR="00FA433F" w:rsidRPr="00FA433F">
        <w:rPr>
          <w:noProof/>
        </w:rPr>
        <w:t xml:space="preserve"> w</w:t>
      </w:r>
      <w:r w:rsidR="00FA433F">
        <w:rPr>
          <w:noProof/>
        </w:rPr>
        <w:t> </w:t>
      </w:r>
      <w:r w:rsidR="00FA433F" w:rsidRPr="00FA433F">
        <w:rPr>
          <w:noProof/>
        </w:rPr>
        <w:t>art</w:t>
      </w:r>
      <w:r w:rsidRPr="00FA433F">
        <w:rPr>
          <w:noProof/>
        </w:rPr>
        <w:t>.</w:t>
      </w:r>
      <w:r w:rsidR="00FA433F" w:rsidRPr="00FA433F">
        <w:rPr>
          <w:noProof/>
        </w:rPr>
        <w:t> </w:t>
      </w:r>
      <w:r w:rsidRPr="00FA433F">
        <w:rPr>
          <w:noProof/>
        </w:rPr>
        <w:t>15 ust.</w:t>
      </w:r>
      <w:r w:rsidR="00FA433F" w:rsidRPr="00FA433F">
        <w:rPr>
          <w:noProof/>
        </w:rPr>
        <w:t> </w:t>
      </w:r>
      <w:r w:rsidRPr="00FA433F">
        <w:rPr>
          <w:noProof/>
        </w:rPr>
        <w:t>2.</w:t>
      </w:r>
    </w:p>
    <w:p w14:paraId="56409B61" w14:textId="4A06C8BE" w:rsidR="00317A39" w:rsidRPr="00FA433F" w:rsidRDefault="00742AD9" w:rsidP="00742AD9">
      <w:pPr>
        <w:pStyle w:val="ManualNumPar1"/>
        <w:rPr>
          <w:noProof/>
        </w:rPr>
      </w:pPr>
      <w:r w:rsidRPr="00FA433F">
        <w:rPr>
          <w:noProof/>
        </w:rPr>
        <w:t>3.</w:t>
      </w:r>
      <w:r w:rsidRPr="00FA433F">
        <w:rPr>
          <w:noProof/>
        </w:rPr>
        <w:tab/>
        <w:t>Beneficjenci końcowi współpracują</w:t>
      </w:r>
      <w:r w:rsidR="00FA433F" w:rsidRPr="00FA433F">
        <w:rPr>
          <w:noProof/>
        </w:rPr>
        <w:t xml:space="preserve"> z</w:t>
      </w:r>
      <w:r w:rsidR="00FA433F">
        <w:rPr>
          <w:noProof/>
        </w:rPr>
        <w:t> </w:t>
      </w:r>
      <w:r w:rsidR="00FA433F" w:rsidRPr="00FA433F">
        <w:rPr>
          <w:noProof/>
        </w:rPr>
        <w:t>Kom</w:t>
      </w:r>
      <w:r w:rsidRPr="00FA433F">
        <w:rPr>
          <w:noProof/>
        </w:rPr>
        <w:t>isją lub odpowiednim właściwym organem przy przeprowadzaniu audytów, ocen</w:t>
      </w:r>
      <w:r w:rsidR="00FA433F" w:rsidRPr="00FA433F">
        <w:rPr>
          <w:noProof/>
        </w:rPr>
        <w:t xml:space="preserve"> i</w:t>
      </w:r>
      <w:r w:rsidR="00FA433F">
        <w:rPr>
          <w:noProof/>
        </w:rPr>
        <w:t> </w:t>
      </w:r>
      <w:r w:rsidR="00FA433F" w:rsidRPr="00FA433F">
        <w:rPr>
          <w:noProof/>
        </w:rPr>
        <w:t>dzi</w:t>
      </w:r>
      <w:r w:rsidRPr="00FA433F">
        <w:rPr>
          <w:noProof/>
        </w:rPr>
        <w:t>ałań monitorujących. Na żądanie beneficjenci końcowi terminowo przekazują właściwym organom</w:t>
      </w:r>
      <w:r w:rsidR="00FA433F" w:rsidRPr="00FA433F">
        <w:rPr>
          <w:noProof/>
        </w:rPr>
        <w:t xml:space="preserve"> i</w:t>
      </w:r>
      <w:r w:rsidR="00FA433F">
        <w:rPr>
          <w:noProof/>
        </w:rPr>
        <w:t> </w:t>
      </w:r>
      <w:r w:rsidR="00FA433F" w:rsidRPr="00FA433F">
        <w:rPr>
          <w:noProof/>
        </w:rPr>
        <w:t>Kom</w:t>
      </w:r>
      <w:r w:rsidRPr="00FA433F">
        <w:rPr>
          <w:noProof/>
        </w:rPr>
        <w:t>isji informacje</w:t>
      </w:r>
      <w:r w:rsidR="00FA433F" w:rsidRPr="00FA433F">
        <w:rPr>
          <w:noProof/>
        </w:rPr>
        <w:t xml:space="preserve"> i</w:t>
      </w:r>
      <w:r w:rsidR="00FA433F">
        <w:rPr>
          <w:noProof/>
        </w:rPr>
        <w:t> </w:t>
      </w:r>
      <w:r w:rsidR="00FA433F" w:rsidRPr="00FA433F">
        <w:rPr>
          <w:noProof/>
        </w:rPr>
        <w:t>dok</w:t>
      </w:r>
      <w:r w:rsidRPr="00FA433F">
        <w:rPr>
          <w:noProof/>
        </w:rPr>
        <w:t>umenty,</w:t>
      </w:r>
      <w:r w:rsidR="00FA433F" w:rsidRPr="00FA433F">
        <w:rPr>
          <w:noProof/>
        </w:rPr>
        <w:t xml:space="preserve"> o</w:t>
      </w:r>
      <w:r w:rsidR="00FA433F">
        <w:rPr>
          <w:noProof/>
        </w:rPr>
        <w:t> </w:t>
      </w:r>
      <w:r w:rsidR="00FA433F" w:rsidRPr="00FA433F">
        <w:rPr>
          <w:noProof/>
        </w:rPr>
        <w:t>któ</w:t>
      </w:r>
      <w:r w:rsidRPr="00FA433F">
        <w:rPr>
          <w:noProof/>
        </w:rPr>
        <w:t>rych mowa</w:t>
      </w:r>
      <w:r w:rsidR="00FA433F" w:rsidRPr="00FA433F">
        <w:rPr>
          <w:noProof/>
        </w:rPr>
        <w:t xml:space="preserve"> w</w:t>
      </w:r>
      <w:r w:rsidR="00FA433F">
        <w:rPr>
          <w:noProof/>
        </w:rPr>
        <w:t> </w:t>
      </w:r>
      <w:r w:rsidR="00FA433F" w:rsidRPr="00FA433F">
        <w:rPr>
          <w:noProof/>
        </w:rPr>
        <w:t>ust</w:t>
      </w:r>
      <w:r w:rsidRPr="00FA433F">
        <w:rPr>
          <w:noProof/>
        </w:rPr>
        <w:t>. 1.</w:t>
      </w:r>
    </w:p>
    <w:p w14:paraId="0795C3C4" w14:textId="77777777" w:rsidR="00A307B4" w:rsidRPr="00FA433F" w:rsidRDefault="00A307B4" w:rsidP="00A307B4">
      <w:pPr>
        <w:pStyle w:val="Titrearticle"/>
        <w:rPr>
          <w:noProof/>
        </w:rPr>
      </w:pPr>
      <w:r w:rsidRPr="00FA433F">
        <w:rPr>
          <w:noProof/>
        </w:rPr>
        <w:t>Artykuł 14</w:t>
      </w:r>
    </w:p>
    <w:p w14:paraId="1783DC6B" w14:textId="77777777" w:rsidR="00A307B4" w:rsidRPr="00FA433F" w:rsidRDefault="00317A39" w:rsidP="00A307B4">
      <w:pPr>
        <w:pStyle w:val="NormalCentered"/>
        <w:rPr>
          <w:b/>
          <w:bCs/>
          <w:noProof/>
        </w:rPr>
      </w:pPr>
      <w:r w:rsidRPr="00FA433F">
        <w:rPr>
          <w:b/>
          <w:noProof/>
        </w:rPr>
        <w:t>Wykonywanie przekazanych uprawnień</w:t>
      </w:r>
    </w:p>
    <w:p w14:paraId="38ABC0C6" w14:textId="774A3BB5" w:rsidR="000158C5" w:rsidRPr="00FA433F" w:rsidRDefault="00742AD9" w:rsidP="00742AD9">
      <w:pPr>
        <w:pStyle w:val="ManualNumPar1"/>
        <w:rPr>
          <w:noProof/>
        </w:rPr>
      </w:pPr>
      <w:r w:rsidRPr="00FA433F">
        <w:rPr>
          <w:noProof/>
        </w:rPr>
        <w:t>1.</w:t>
      </w:r>
      <w:r w:rsidRPr="00FA433F">
        <w:rPr>
          <w:noProof/>
        </w:rPr>
        <w:tab/>
        <w:t>Powierzenie Komisji uprawnień do przyjmowania aktów delegowanych podlega warunkom określonym</w:t>
      </w:r>
      <w:r w:rsidR="00FA433F" w:rsidRPr="00FA433F">
        <w:rPr>
          <w:noProof/>
        </w:rPr>
        <w:t xml:space="preserve"> w</w:t>
      </w:r>
      <w:r w:rsidR="00FA433F">
        <w:rPr>
          <w:noProof/>
        </w:rPr>
        <w:t> </w:t>
      </w:r>
      <w:r w:rsidR="00FA433F" w:rsidRPr="00FA433F">
        <w:rPr>
          <w:noProof/>
        </w:rPr>
        <w:t>nin</w:t>
      </w:r>
      <w:r w:rsidRPr="00FA433F">
        <w:rPr>
          <w:noProof/>
        </w:rPr>
        <w:t>iejszym artykule.</w:t>
      </w:r>
    </w:p>
    <w:p w14:paraId="300F45D8" w14:textId="24DB8A79" w:rsidR="000158C5" w:rsidRPr="00FA433F" w:rsidRDefault="00742AD9" w:rsidP="00742AD9">
      <w:pPr>
        <w:pStyle w:val="ManualNumPar1"/>
        <w:rPr>
          <w:i/>
          <w:iCs/>
          <w:noProof/>
        </w:rPr>
      </w:pPr>
      <w:r w:rsidRPr="00FA433F">
        <w:rPr>
          <w:noProof/>
        </w:rPr>
        <w:t>2.</w:t>
      </w:r>
      <w:r w:rsidRPr="00FA433F">
        <w:rPr>
          <w:noProof/>
        </w:rPr>
        <w:tab/>
        <w:t>Uprawnienia do przyjęcia aktów delegowanych,</w:t>
      </w:r>
      <w:r w:rsidR="00FA433F" w:rsidRPr="00FA433F">
        <w:rPr>
          <w:noProof/>
        </w:rPr>
        <w:t xml:space="preserve"> o</w:t>
      </w:r>
      <w:r w:rsidR="00FA433F">
        <w:rPr>
          <w:noProof/>
        </w:rPr>
        <w:t> </w:t>
      </w:r>
      <w:r w:rsidR="00FA433F" w:rsidRPr="00FA433F">
        <w:rPr>
          <w:noProof/>
        </w:rPr>
        <w:t>któ</w:t>
      </w:r>
      <w:r w:rsidRPr="00FA433F">
        <w:rPr>
          <w:noProof/>
        </w:rPr>
        <w:t>rych mowa</w:t>
      </w:r>
      <w:r w:rsidR="00FA433F" w:rsidRPr="00FA433F">
        <w:rPr>
          <w:noProof/>
        </w:rPr>
        <w:t xml:space="preserve"> w</w:t>
      </w:r>
      <w:r w:rsidR="00FA433F">
        <w:rPr>
          <w:noProof/>
        </w:rPr>
        <w:t> </w:t>
      </w:r>
      <w:r w:rsidR="00FA433F" w:rsidRPr="00FA433F">
        <w:rPr>
          <w:noProof/>
        </w:rPr>
        <w:t>art</w:t>
      </w:r>
      <w:r w:rsidRPr="00FA433F">
        <w:rPr>
          <w:noProof/>
        </w:rPr>
        <w:t>. 3 ust. 6, art. 4 ust. 2</w:t>
      </w:r>
      <w:r w:rsidR="00FA433F" w:rsidRPr="00FA433F">
        <w:rPr>
          <w:noProof/>
        </w:rPr>
        <w:t xml:space="preserve"> i</w:t>
      </w:r>
      <w:r w:rsidR="00FA433F">
        <w:rPr>
          <w:noProof/>
        </w:rPr>
        <w:t> </w:t>
      </w:r>
      <w:r w:rsidR="00FA433F" w:rsidRPr="00FA433F">
        <w:rPr>
          <w:noProof/>
        </w:rPr>
        <w:t>art</w:t>
      </w:r>
      <w:r w:rsidRPr="00FA433F">
        <w:rPr>
          <w:noProof/>
        </w:rPr>
        <w:t xml:space="preserve">. 6 ust. 3, powierza się Komisji na okres pięciu lat do dnia [Urząd Publikacji: </w:t>
      </w:r>
      <w:r w:rsidRPr="00FA433F">
        <w:rPr>
          <w:i/>
          <w:noProof/>
        </w:rPr>
        <w:t>proszę wstawić datę: pięć lat po dacie wejścia</w:t>
      </w:r>
      <w:r w:rsidR="00FA433F" w:rsidRPr="00FA433F">
        <w:rPr>
          <w:i/>
          <w:noProof/>
        </w:rPr>
        <w:t xml:space="preserve"> w</w:t>
      </w:r>
      <w:r w:rsidR="00FA433F">
        <w:rPr>
          <w:i/>
          <w:noProof/>
        </w:rPr>
        <w:t> </w:t>
      </w:r>
      <w:r w:rsidR="00FA433F" w:rsidRPr="00FA433F">
        <w:rPr>
          <w:i/>
          <w:noProof/>
        </w:rPr>
        <w:t>życ</w:t>
      </w:r>
      <w:r w:rsidRPr="00FA433F">
        <w:rPr>
          <w:i/>
          <w:noProof/>
        </w:rPr>
        <w:t>ie niniejszego rozporządzenia]</w:t>
      </w:r>
      <w:r w:rsidRPr="00FA433F">
        <w:rPr>
          <w:noProof/>
        </w:rPr>
        <w:t>.</w:t>
      </w:r>
    </w:p>
    <w:p w14:paraId="54F7481C" w14:textId="5DABA967" w:rsidR="000158C5" w:rsidRPr="00FA433F" w:rsidRDefault="00742AD9" w:rsidP="00742AD9">
      <w:pPr>
        <w:pStyle w:val="ManualNumPar1"/>
        <w:rPr>
          <w:noProof/>
        </w:rPr>
      </w:pPr>
      <w:r w:rsidRPr="00FA433F">
        <w:rPr>
          <w:noProof/>
        </w:rPr>
        <w:t>3.</w:t>
      </w:r>
      <w:r w:rsidRPr="00FA433F">
        <w:rPr>
          <w:noProof/>
        </w:rPr>
        <w:tab/>
        <w:t>Przekazanie uprawnień,</w:t>
      </w:r>
      <w:r w:rsidR="00FA433F" w:rsidRPr="00FA433F">
        <w:rPr>
          <w:noProof/>
        </w:rPr>
        <w:t xml:space="preserve"> o</w:t>
      </w:r>
      <w:r w:rsidR="00FA433F">
        <w:rPr>
          <w:noProof/>
        </w:rPr>
        <w:t> </w:t>
      </w:r>
      <w:r w:rsidR="00FA433F" w:rsidRPr="00FA433F">
        <w:rPr>
          <w:noProof/>
        </w:rPr>
        <w:t>któ</w:t>
      </w:r>
      <w:r w:rsidRPr="00FA433F">
        <w:rPr>
          <w:noProof/>
        </w:rPr>
        <w:t>rym mowa</w:t>
      </w:r>
      <w:r w:rsidR="00FA433F" w:rsidRPr="00FA433F">
        <w:rPr>
          <w:noProof/>
        </w:rPr>
        <w:t xml:space="preserve"> w</w:t>
      </w:r>
      <w:r w:rsidR="00FA433F">
        <w:rPr>
          <w:noProof/>
        </w:rPr>
        <w:t> </w:t>
      </w:r>
      <w:r w:rsidR="00FA433F" w:rsidRPr="00FA433F">
        <w:rPr>
          <w:noProof/>
        </w:rPr>
        <w:t>art</w:t>
      </w:r>
      <w:r w:rsidRPr="00FA433F">
        <w:rPr>
          <w:noProof/>
        </w:rPr>
        <w:t>.</w:t>
      </w:r>
      <w:r w:rsidR="00FA433F" w:rsidRPr="00FA433F">
        <w:rPr>
          <w:noProof/>
        </w:rPr>
        <w:t> </w:t>
      </w:r>
      <w:r w:rsidRPr="00FA433F">
        <w:rPr>
          <w:noProof/>
        </w:rPr>
        <w:t>3 ust.</w:t>
      </w:r>
      <w:r w:rsidR="00FA433F" w:rsidRPr="00FA433F">
        <w:rPr>
          <w:noProof/>
        </w:rPr>
        <w:t> </w:t>
      </w:r>
      <w:r w:rsidRPr="00FA433F">
        <w:rPr>
          <w:noProof/>
        </w:rPr>
        <w:t>6, art.</w:t>
      </w:r>
      <w:r w:rsidR="00FA433F" w:rsidRPr="00FA433F">
        <w:rPr>
          <w:noProof/>
        </w:rPr>
        <w:t> </w:t>
      </w:r>
      <w:r w:rsidRPr="00FA433F">
        <w:rPr>
          <w:noProof/>
        </w:rPr>
        <w:t>4 ust.</w:t>
      </w:r>
      <w:r w:rsidR="00FA433F" w:rsidRPr="00FA433F">
        <w:rPr>
          <w:noProof/>
        </w:rPr>
        <w:t> </w:t>
      </w:r>
      <w:r w:rsidRPr="00FA433F">
        <w:rPr>
          <w:noProof/>
        </w:rPr>
        <w:t>2</w:t>
      </w:r>
      <w:r w:rsidR="00FA433F" w:rsidRPr="00FA433F">
        <w:rPr>
          <w:noProof/>
        </w:rPr>
        <w:t xml:space="preserve"> i</w:t>
      </w:r>
      <w:r w:rsidR="00FA433F">
        <w:rPr>
          <w:noProof/>
        </w:rPr>
        <w:t> </w:t>
      </w:r>
      <w:r w:rsidR="00FA433F" w:rsidRPr="00FA433F">
        <w:rPr>
          <w:noProof/>
        </w:rPr>
        <w:t>art</w:t>
      </w:r>
      <w:r w:rsidRPr="00FA433F">
        <w:rPr>
          <w:noProof/>
        </w:rPr>
        <w:t>.</w:t>
      </w:r>
      <w:r w:rsidR="00FA433F" w:rsidRPr="00FA433F">
        <w:rPr>
          <w:noProof/>
        </w:rPr>
        <w:t> </w:t>
      </w:r>
      <w:r w:rsidRPr="00FA433F">
        <w:rPr>
          <w:noProof/>
        </w:rPr>
        <w:t>6 ust.</w:t>
      </w:r>
      <w:r w:rsidR="00FA433F" w:rsidRPr="00FA433F">
        <w:rPr>
          <w:noProof/>
        </w:rPr>
        <w:t> </w:t>
      </w:r>
      <w:r w:rsidRPr="00FA433F">
        <w:rPr>
          <w:noProof/>
        </w:rPr>
        <w:t>3, może zostać</w:t>
      </w:r>
      <w:r w:rsidR="00FA433F" w:rsidRPr="00FA433F">
        <w:rPr>
          <w:noProof/>
        </w:rPr>
        <w:t xml:space="preserve"> w</w:t>
      </w:r>
      <w:r w:rsidR="00FA433F">
        <w:rPr>
          <w:noProof/>
        </w:rPr>
        <w:t> </w:t>
      </w:r>
      <w:r w:rsidR="00FA433F" w:rsidRPr="00FA433F">
        <w:rPr>
          <w:noProof/>
        </w:rPr>
        <w:t>dow</w:t>
      </w:r>
      <w:r w:rsidRPr="00FA433F">
        <w:rPr>
          <w:noProof/>
        </w:rPr>
        <w:t>olnym momencie odwołane przez Parlament Europejski lub przez Radę. Decyzja</w:t>
      </w:r>
      <w:r w:rsidR="00FA433F" w:rsidRPr="00FA433F">
        <w:rPr>
          <w:noProof/>
        </w:rPr>
        <w:t xml:space="preserve"> o</w:t>
      </w:r>
      <w:r w:rsidR="00FA433F">
        <w:rPr>
          <w:noProof/>
        </w:rPr>
        <w:t> </w:t>
      </w:r>
      <w:r w:rsidR="00FA433F" w:rsidRPr="00FA433F">
        <w:rPr>
          <w:noProof/>
        </w:rPr>
        <w:t>odw</w:t>
      </w:r>
      <w:r w:rsidRPr="00FA433F">
        <w:rPr>
          <w:noProof/>
        </w:rPr>
        <w:t>ołaniu kończy przekazanie określonych</w:t>
      </w:r>
      <w:r w:rsidR="00FA433F" w:rsidRPr="00FA433F">
        <w:rPr>
          <w:noProof/>
        </w:rPr>
        <w:t xml:space="preserve"> w</w:t>
      </w:r>
      <w:r w:rsidR="00FA433F">
        <w:rPr>
          <w:noProof/>
        </w:rPr>
        <w:t> </w:t>
      </w:r>
      <w:r w:rsidR="00FA433F" w:rsidRPr="00FA433F">
        <w:rPr>
          <w:noProof/>
        </w:rPr>
        <w:t>nie</w:t>
      </w:r>
      <w:r w:rsidRPr="00FA433F">
        <w:rPr>
          <w:noProof/>
        </w:rPr>
        <w:t>j uprawnień. Decyzja</w:t>
      </w:r>
      <w:r w:rsidR="00FA433F" w:rsidRPr="00FA433F">
        <w:rPr>
          <w:noProof/>
        </w:rPr>
        <w:t xml:space="preserve"> </w:t>
      </w:r>
      <w:r w:rsidR="00FA433F" w:rsidRPr="00FA433F">
        <w:rPr>
          <w:noProof/>
        </w:rPr>
        <w:lastRenderedPageBreak/>
        <w:t>o</w:t>
      </w:r>
      <w:r w:rsidR="00FA433F">
        <w:rPr>
          <w:noProof/>
        </w:rPr>
        <w:t> </w:t>
      </w:r>
      <w:r w:rsidR="00FA433F" w:rsidRPr="00FA433F">
        <w:rPr>
          <w:noProof/>
        </w:rPr>
        <w:t>odw</w:t>
      </w:r>
      <w:r w:rsidRPr="00FA433F">
        <w:rPr>
          <w:noProof/>
        </w:rPr>
        <w:t>ołaniu staje się skuteczna następnego dnia po jej opublikowaniu</w:t>
      </w:r>
      <w:r w:rsidR="00FA433F" w:rsidRPr="00FA433F">
        <w:rPr>
          <w:noProof/>
        </w:rPr>
        <w:t xml:space="preserve"> w</w:t>
      </w:r>
      <w:r w:rsidR="00FA433F">
        <w:rPr>
          <w:noProof/>
        </w:rPr>
        <w:t> </w:t>
      </w:r>
      <w:r w:rsidR="00FA433F" w:rsidRPr="00FA433F">
        <w:rPr>
          <w:i/>
          <w:iCs/>
          <w:noProof/>
        </w:rPr>
        <w:t>Dzi</w:t>
      </w:r>
      <w:r w:rsidRPr="00FA433F">
        <w:rPr>
          <w:i/>
          <w:iCs/>
          <w:noProof/>
        </w:rPr>
        <w:t>enniku Urzędowym Unii Europejskiej</w:t>
      </w:r>
      <w:r w:rsidRPr="00FA433F">
        <w:rPr>
          <w:noProof/>
        </w:rPr>
        <w:t xml:space="preserve"> lub</w:t>
      </w:r>
      <w:r w:rsidR="00FA433F" w:rsidRPr="00FA433F">
        <w:rPr>
          <w:noProof/>
        </w:rPr>
        <w:t xml:space="preserve"> w</w:t>
      </w:r>
      <w:r w:rsidR="00FA433F">
        <w:rPr>
          <w:noProof/>
        </w:rPr>
        <w:t> </w:t>
      </w:r>
      <w:r w:rsidR="00FA433F" w:rsidRPr="00FA433F">
        <w:rPr>
          <w:noProof/>
        </w:rPr>
        <w:t>póź</w:t>
      </w:r>
      <w:r w:rsidRPr="00FA433F">
        <w:rPr>
          <w:noProof/>
        </w:rPr>
        <w:t>niejszym terminie określonym</w:t>
      </w:r>
      <w:r w:rsidR="00FA433F" w:rsidRPr="00FA433F">
        <w:rPr>
          <w:noProof/>
        </w:rPr>
        <w:t xml:space="preserve"> w</w:t>
      </w:r>
      <w:r w:rsidR="00FA433F">
        <w:rPr>
          <w:noProof/>
        </w:rPr>
        <w:t> </w:t>
      </w:r>
      <w:r w:rsidR="00FA433F" w:rsidRPr="00FA433F">
        <w:rPr>
          <w:noProof/>
        </w:rPr>
        <w:t>tej</w:t>
      </w:r>
      <w:r w:rsidRPr="00FA433F">
        <w:rPr>
          <w:noProof/>
        </w:rPr>
        <w:t xml:space="preserve"> decyzji. Nie wpływa ona na ważność już obowiązujących aktów delegowanych.</w:t>
      </w:r>
    </w:p>
    <w:p w14:paraId="2D962F71" w14:textId="7661AB0F" w:rsidR="000158C5" w:rsidRPr="00FA433F" w:rsidRDefault="00742AD9" w:rsidP="00742AD9">
      <w:pPr>
        <w:pStyle w:val="ManualNumPar1"/>
        <w:rPr>
          <w:noProof/>
        </w:rPr>
      </w:pPr>
      <w:r w:rsidRPr="00FA433F">
        <w:rPr>
          <w:noProof/>
        </w:rPr>
        <w:t>4.</w:t>
      </w:r>
      <w:r w:rsidRPr="00FA433F">
        <w:rPr>
          <w:noProof/>
        </w:rPr>
        <w:tab/>
        <w:t>Przed przyjęciem aktu delegowanego Komisja konsultuje się</w:t>
      </w:r>
      <w:r w:rsidR="00FA433F" w:rsidRPr="00FA433F">
        <w:rPr>
          <w:noProof/>
        </w:rPr>
        <w:t xml:space="preserve"> z</w:t>
      </w:r>
      <w:r w:rsidR="00FA433F">
        <w:rPr>
          <w:noProof/>
        </w:rPr>
        <w:t> </w:t>
      </w:r>
      <w:r w:rsidR="00FA433F" w:rsidRPr="00FA433F">
        <w:rPr>
          <w:noProof/>
        </w:rPr>
        <w:t>eks</w:t>
      </w:r>
      <w:r w:rsidRPr="00FA433F">
        <w:rPr>
          <w:noProof/>
        </w:rPr>
        <w:t>pertami wyznaczonymi przez każde państwo członkowskie zgodnie</w:t>
      </w:r>
      <w:r w:rsidR="00FA433F" w:rsidRPr="00FA433F">
        <w:rPr>
          <w:noProof/>
        </w:rPr>
        <w:t xml:space="preserve"> z</w:t>
      </w:r>
      <w:r w:rsidR="00FA433F">
        <w:rPr>
          <w:noProof/>
        </w:rPr>
        <w:t> </w:t>
      </w:r>
      <w:r w:rsidR="00FA433F" w:rsidRPr="00FA433F">
        <w:rPr>
          <w:noProof/>
        </w:rPr>
        <w:t>zas</w:t>
      </w:r>
      <w:r w:rsidRPr="00FA433F">
        <w:rPr>
          <w:noProof/>
        </w:rPr>
        <w:t>adami określonymi</w:t>
      </w:r>
      <w:r w:rsidR="00FA433F" w:rsidRPr="00FA433F">
        <w:rPr>
          <w:noProof/>
        </w:rPr>
        <w:t xml:space="preserve"> w</w:t>
      </w:r>
      <w:r w:rsidR="00FA433F">
        <w:rPr>
          <w:noProof/>
        </w:rPr>
        <w:t> </w:t>
      </w:r>
      <w:r w:rsidR="00FA433F" w:rsidRPr="00FA433F">
        <w:rPr>
          <w:noProof/>
        </w:rPr>
        <w:t>Por</w:t>
      </w:r>
      <w:r w:rsidRPr="00FA433F">
        <w:rPr>
          <w:noProof/>
        </w:rPr>
        <w:t>ozumieniu międzyinstytucjonalnym</w:t>
      </w:r>
      <w:r w:rsidR="00FA433F" w:rsidRPr="00FA433F">
        <w:rPr>
          <w:noProof/>
        </w:rPr>
        <w:t xml:space="preserve"> z</w:t>
      </w:r>
      <w:r w:rsidR="00FA433F">
        <w:rPr>
          <w:noProof/>
        </w:rPr>
        <w:t> </w:t>
      </w:r>
      <w:r w:rsidR="00FA433F" w:rsidRPr="00FA433F">
        <w:rPr>
          <w:noProof/>
        </w:rPr>
        <w:t>dni</w:t>
      </w:r>
      <w:r w:rsidRPr="00FA433F">
        <w:rPr>
          <w:noProof/>
        </w:rPr>
        <w:t>a 13 kwietnia 2016</w:t>
      </w:r>
      <w:r w:rsidR="00FA433F" w:rsidRPr="00FA433F">
        <w:rPr>
          <w:noProof/>
        </w:rPr>
        <w:t> </w:t>
      </w:r>
      <w:r w:rsidRPr="00FA433F">
        <w:rPr>
          <w:noProof/>
        </w:rPr>
        <w:t>r.</w:t>
      </w:r>
      <w:r w:rsidR="00FA433F" w:rsidRPr="00FA433F">
        <w:rPr>
          <w:noProof/>
        </w:rPr>
        <w:t xml:space="preserve"> w</w:t>
      </w:r>
      <w:r w:rsidR="00FA433F">
        <w:rPr>
          <w:noProof/>
        </w:rPr>
        <w:t> </w:t>
      </w:r>
      <w:r w:rsidR="00FA433F" w:rsidRPr="00FA433F">
        <w:rPr>
          <w:noProof/>
        </w:rPr>
        <w:t>spr</w:t>
      </w:r>
      <w:r w:rsidRPr="00FA433F">
        <w:rPr>
          <w:noProof/>
        </w:rPr>
        <w:t>awie lepszego stanowienia prawa.</w:t>
      </w:r>
    </w:p>
    <w:p w14:paraId="75A6D0A6" w14:textId="5704605E" w:rsidR="000158C5" w:rsidRPr="00FA433F" w:rsidRDefault="00742AD9" w:rsidP="00742AD9">
      <w:pPr>
        <w:pStyle w:val="ManualNumPar1"/>
        <w:rPr>
          <w:noProof/>
        </w:rPr>
      </w:pPr>
      <w:r w:rsidRPr="00FA433F">
        <w:rPr>
          <w:noProof/>
        </w:rPr>
        <w:t>5.</w:t>
      </w:r>
      <w:r w:rsidRPr="00FA433F">
        <w:rPr>
          <w:noProof/>
        </w:rPr>
        <w:tab/>
        <w:t>Niezwłocznie po przyjęciu aktu delegowanego Komisja przekazuje go równocześnie Parlamentowi Europejskiemu</w:t>
      </w:r>
      <w:r w:rsidR="00FA433F" w:rsidRPr="00FA433F">
        <w:rPr>
          <w:noProof/>
        </w:rPr>
        <w:t xml:space="preserve"> i</w:t>
      </w:r>
      <w:r w:rsidR="00FA433F">
        <w:rPr>
          <w:noProof/>
        </w:rPr>
        <w:t> </w:t>
      </w:r>
      <w:r w:rsidR="00FA433F" w:rsidRPr="00FA433F">
        <w:rPr>
          <w:noProof/>
        </w:rPr>
        <w:t>Rad</w:t>
      </w:r>
      <w:r w:rsidRPr="00FA433F">
        <w:rPr>
          <w:noProof/>
        </w:rPr>
        <w:t>zie.</w:t>
      </w:r>
    </w:p>
    <w:p w14:paraId="1B9F5EE7" w14:textId="0CB53AAB" w:rsidR="00A307B4" w:rsidRPr="00FA433F" w:rsidRDefault="00742AD9" w:rsidP="00742AD9">
      <w:pPr>
        <w:pStyle w:val="ManualNumPar1"/>
        <w:rPr>
          <w:noProof/>
        </w:rPr>
      </w:pPr>
      <w:r w:rsidRPr="00FA433F">
        <w:rPr>
          <w:noProof/>
        </w:rPr>
        <w:t>6.</w:t>
      </w:r>
      <w:r w:rsidRPr="00FA433F">
        <w:rPr>
          <w:noProof/>
        </w:rPr>
        <w:tab/>
        <w:t>Akt delegowany przyjęty na podstawie art. 3 ust. 6, art. 4 ust. 2</w:t>
      </w:r>
      <w:r w:rsidR="00FA433F" w:rsidRPr="00FA433F">
        <w:rPr>
          <w:noProof/>
        </w:rPr>
        <w:t xml:space="preserve"> i</w:t>
      </w:r>
      <w:r w:rsidR="00FA433F">
        <w:rPr>
          <w:noProof/>
        </w:rPr>
        <w:t> </w:t>
      </w:r>
      <w:r w:rsidR="00FA433F" w:rsidRPr="00FA433F">
        <w:rPr>
          <w:noProof/>
        </w:rPr>
        <w:t>art</w:t>
      </w:r>
      <w:r w:rsidRPr="00FA433F">
        <w:rPr>
          <w:noProof/>
        </w:rPr>
        <w:t>. 6 ust. 3 wchodzi</w:t>
      </w:r>
      <w:r w:rsidR="00FA433F" w:rsidRPr="00FA433F">
        <w:rPr>
          <w:noProof/>
        </w:rPr>
        <w:t xml:space="preserve"> w</w:t>
      </w:r>
      <w:r w:rsidR="00FA433F">
        <w:rPr>
          <w:noProof/>
        </w:rPr>
        <w:t> </w:t>
      </w:r>
      <w:r w:rsidR="00FA433F" w:rsidRPr="00FA433F">
        <w:rPr>
          <w:noProof/>
        </w:rPr>
        <w:t>życ</w:t>
      </w:r>
      <w:r w:rsidRPr="00FA433F">
        <w:rPr>
          <w:noProof/>
        </w:rPr>
        <w:t>ie tylko wówczas, gdy ani Parlament Europejski, ani Rada nie wyraziły sprzeciwu</w:t>
      </w:r>
      <w:r w:rsidR="00FA433F" w:rsidRPr="00FA433F">
        <w:rPr>
          <w:noProof/>
        </w:rPr>
        <w:t xml:space="preserve"> w</w:t>
      </w:r>
      <w:r w:rsidR="00FA433F">
        <w:rPr>
          <w:noProof/>
        </w:rPr>
        <w:t> </w:t>
      </w:r>
      <w:r w:rsidR="00FA433F" w:rsidRPr="00FA433F">
        <w:rPr>
          <w:noProof/>
        </w:rPr>
        <w:t>ter</w:t>
      </w:r>
      <w:r w:rsidRPr="00FA433F">
        <w:rPr>
          <w:noProof/>
        </w:rPr>
        <w:t>minie jednego miesiąca od przekazania tego aktu Parlamentowi Europejskiemu</w:t>
      </w:r>
      <w:r w:rsidR="00FA433F" w:rsidRPr="00FA433F">
        <w:rPr>
          <w:noProof/>
        </w:rPr>
        <w:t xml:space="preserve"> i</w:t>
      </w:r>
      <w:r w:rsidR="00FA433F">
        <w:rPr>
          <w:noProof/>
        </w:rPr>
        <w:t> </w:t>
      </w:r>
      <w:r w:rsidR="00FA433F" w:rsidRPr="00FA433F">
        <w:rPr>
          <w:noProof/>
        </w:rPr>
        <w:t>Rad</w:t>
      </w:r>
      <w:r w:rsidRPr="00FA433F">
        <w:rPr>
          <w:noProof/>
        </w:rPr>
        <w:t>zie lub gdy, przed upływem tego terminu, zarówno Parlament Europejski, jak</w:t>
      </w:r>
      <w:r w:rsidR="00FA433F" w:rsidRPr="00FA433F">
        <w:rPr>
          <w:noProof/>
        </w:rPr>
        <w:t xml:space="preserve"> i</w:t>
      </w:r>
      <w:r w:rsidR="00FA433F">
        <w:rPr>
          <w:noProof/>
        </w:rPr>
        <w:t> </w:t>
      </w:r>
      <w:r w:rsidR="00FA433F" w:rsidRPr="00FA433F">
        <w:rPr>
          <w:noProof/>
        </w:rPr>
        <w:t>Rad</w:t>
      </w:r>
      <w:r w:rsidRPr="00FA433F">
        <w:rPr>
          <w:noProof/>
        </w:rPr>
        <w:t>a poinformowały Komisję, że nie wniosą sprzeciwu. Termin ten przedłuża się</w:t>
      </w:r>
      <w:r w:rsidR="00FA433F" w:rsidRPr="00FA433F">
        <w:rPr>
          <w:noProof/>
        </w:rPr>
        <w:t xml:space="preserve"> o</w:t>
      </w:r>
      <w:r w:rsidR="00FA433F">
        <w:rPr>
          <w:noProof/>
        </w:rPr>
        <w:t> </w:t>
      </w:r>
      <w:r w:rsidR="00FA433F" w:rsidRPr="00FA433F">
        <w:rPr>
          <w:noProof/>
        </w:rPr>
        <w:t>jed</w:t>
      </w:r>
      <w:r w:rsidRPr="00FA433F">
        <w:rPr>
          <w:noProof/>
        </w:rPr>
        <w:t>en miesiąc</w:t>
      </w:r>
      <w:r w:rsidR="00FA433F" w:rsidRPr="00FA433F">
        <w:rPr>
          <w:noProof/>
        </w:rPr>
        <w:t xml:space="preserve"> z</w:t>
      </w:r>
      <w:r w:rsidR="00FA433F">
        <w:rPr>
          <w:noProof/>
        </w:rPr>
        <w:t> </w:t>
      </w:r>
      <w:r w:rsidR="00FA433F" w:rsidRPr="00FA433F">
        <w:rPr>
          <w:noProof/>
        </w:rPr>
        <w:t>ini</w:t>
      </w:r>
      <w:r w:rsidRPr="00FA433F">
        <w:rPr>
          <w:noProof/>
        </w:rPr>
        <w:t>cjatywy Parlamentu Europejskiego lub Rady.</w:t>
      </w:r>
    </w:p>
    <w:p w14:paraId="4C087B4A" w14:textId="77777777" w:rsidR="00A307B4" w:rsidRPr="00FA433F" w:rsidRDefault="00A307B4" w:rsidP="00A307B4">
      <w:pPr>
        <w:pStyle w:val="Titrearticle"/>
        <w:rPr>
          <w:noProof/>
        </w:rPr>
      </w:pPr>
      <w:r w:rsidRPr="00FA433F">
        <w:rPr>
          <w:noProof/>
        </w:rPr>
        <w:t>Artykuł 15</w:t>
      </w:r>
    </w:p>
    <w:p w14:paraId="7C6EA8A3" w14:textId="77777777" w:rsidR="00A307B4" w:rsidRPr="00FA433F" w:rsidRDefault="000158C5" w:rsidP="00A307B4">
      <w:pPr>
        <w:pStyle w:val="NormalCentered"/>
        <w:rPr>
          <w:b/>
          <w:bCs/>
          <w:noProof/>
        </w:rPr>
      </w:pPr>
      <w:r w:rsidRPr="00FA433F">
        <w:rPr>
          <w:b/>
          <w:noProof/>
        </w:rPr>
        <w:t>Uprawnienia wykonawcze</w:t>
      </w:r>
    </w:p>
    <w:p w14:paraId="3C485E7D" w14:textId="63E825C0" w:rsidR="00E837BD" w:rsidRPr="00FA433F" w:rsidRDefault="00742AD9" w:rsidP="00742AD9">
      <w:pPr>
        <w:pStyle w:val="ManualNumPar1"/>
        <w:rPr>
          <w:noProof/>
        </w:rPr>
      </w:pPr>
      <w:r w:rsidRPr="00FA433F">
        <w:rPr>
          <w:noProof/>
        </w:rPr>
        <w:t>1.</w:t>
      </w:r>
      <w:r w:rsidRPr="00FA433F">
        <w:rPr>
          <w:noProof/>
        </w:rPr>
        <w:tab/>
        <w:t>Komisję wspomaga komitet ustanowiony na mocy art. 44 rozporządzenia Parlamentu Europejskiego</w:t>
      </w:r>
      <w:r w:rsidR="00FA433F" w:rsidRPr="00FA433F">
        <w:rPr>
          <w:noProof/>
        </w:rPr>
        <w:t xml:space="preserve"> i</w:t>
      </w:r>
      <w:r w:rsidR="00FA433F">
        <w:rPr>
          <w:noProof/>
        </w:rPr>
        <w:t> </w:t>
      </w:r>
      <w:r w:rsidR="00FA433F" w:rsidRPr="00FA433F">
        <w:rPr>
          <w:noProof/>
        </w:rPr>
        <w:t>Rad</w:t>
      </w:r>
      <w:r w:rsidRPr="00FA433F">
        <w:rPr>
          <w:noProof/>
        </w:rPr>
        <w:t>y (UE) 2018/1999</w:t>
      </w:r>
      <w:r w:rsidRPr="00FA433F">
        <w:rPr>
          <w:rStyle w:val="Odwoanieprzypisudolnego"/>
          <w:noProof/>
        </w:rPr>
        <w:footnoteReference w:id="28"/>
      </w:r>
      <w:r w:rsidRPr="00FA433F">
        <w:rPr>
          <w:noProof/>
        </w:rPr>
        <w:t>. Komitet ten jest komitetem</w:t>
      </w:r>
      <w:r w:rsidR="00FA433F" w:rsidRPr="00FA433F">
        <w:rPr>
          <w:noProof/>
        </w:rPr>
        <w:t xml:space="preserve"> w</w:t>
      </w:r>
      <w:r w:rsidR="00FA433F">
        <w:rPr>
          <w:noProof/>
        </w:rPr>
        <w:t> </w:t>
      </w:r>
      <w:r w:rsidR="00FA433F" w:rsidRPr="00FA433F">
        <w:rPr>
          <w:noProof/>
        </w:rPr>
        <w:t>roz</w:t>
      </w:r>
      <w:r w:rsidRPr="00FA433F">
        <w:rPr>
          <w:noProof/>
        </w:rPr>
        <w:t>umieniu rozporządzenia (UE) nr 182/2011.</w:t>
      </w:r>
    </w:p>
    <w:p w14:paraId="3F5DC331" w14:textId="42485FD7" w:rsidR="00E837BD" w:rsidRPr="00FA433F" w:rsidRDefault="00742AD9" w:rsidP="00742AD9">
      <w:pPr>
        <w:pStyle w:val="ManualNumPar1"/>
        <w:rPr>
          <w:noProof/>
        </w:rPr>
      </w:pPr>
      <w:r w:rsidRPr="00FA433F">
        <w:rPr>
          <w:noProof/>
        </w:rPr>
        <w:t>2.</w:t>
      </w:r>
      <w:r w:rsidRPr="00FA433F">
        <w:rPr>
          <w:noProof/>
        </w:rPr>
        <w:tab/>
        <w:t>W przypadku odesłania do niniejszego ustępu stosuje się art.</w:t>
      </w:r>
      <w:r w:rsidR="00FA433F" w:rsidRPr="00FA433F">
        <w:rPr>
          <w:noProof/>
        </w:rPr>
        <w:t> </w:t>
      </w:r>
      <w:r w:rsidRPr="00FA433F">
        <w:rPr>
          <w:noProof/>
        </w:rPr>
        <w:t>5 rozporządzenia (UE) nr 182/2011.</w:t>
      </w:r>
    </w:p>
    <w:p w14:paraId="0B160A38" w14:textId="77777777" w:rsidR="00A307B4" w:rsidRPr="00FA433F" w:rsidRDefault="00A307B4" w:rsidP="00A307B4">
      <w:pPr>
        <w:pStyle w:val="Titrearticle"/>
        <w:rPr>
          <w:noProof/>
        </w:rPr>
      </w:pPr>
      <w:r w:rsidRPr="00FA433F">
        <w:rPr>
          <w:noProof/>
        </w:rPr>
        <w:t>Artykuł 16</w:t>
      </w:r>
    </w:p>
    <w:p w14:paraId="6792AA88" w14:textId="59E8720B" w:rsidR="00A307B4" w:rsidRPr="00FA433F" w:rsidRDefault="00E837BD" w:rsidP="00A307B4">
      <w:pPr>
        <w:pStyle w:val="NormalCentered"/>
        <w:rPr>
          <w:b/>
          <w:bCs/>
          <w:noProof/>
        </w:rPr>
      </w:pPr>
      <w:r w:rsidRPr="00FA433F">
        <w:rPr>
          <w:b/>
          <w:noProof/>
        </w:rPr>
        <w:t>Wejście</w:t>
      </w:r>
      <w:r w:rsidR="00FA433F" w:rsidRPr="00FA433F">
        <w:rPr>
          <w:b/>
          <w:noProof/>
        </w:rPr>
        <w:t xml:space="preserve"> w</w:t>
      </w:r>
      <w:r w:rsidR="00FA433F">
        <w:rPr>
          <w:b/>
          <w:noProof/>
        </w:rPr>
        <w:t> </w:t>
      </w:r>
      <w:r w:rsidR="00FA433F" w:rsidRPr="00FA433F">
        <w:rPr>
          <w:b/>
          <w:noProof/>
        </w:rPr>
        <w:t>życ</w:t>
      </w:r>
      <w:r w:rsidRPr="00FA433F">
        <w:rPr>
          <w:b/>
          <w:noProof/>
        </w:rPr>
        <w:t>ie</w:t>
      </w:r>
    </w:p>
    <w:p w14:paraId="00A51959" w14:textId="46A0BEF1" w:rsidR="008A4C15" w:rsidRPr="00FA433F" w:rsidRDefault="008A4C15" w:rsidP="00E837BD">
      <w:pPr>
        <w:rPr>
          <w:noProof/>
        </w:rPr>
      </w:pPr>
      <w:r w:rsidRPr="00FA433F">
        <w:rPr>
          <w:noProof/>
        </w:rPr>
        <w:t>Niniejsze rozporządzenie wchodzi</w:t>
      </w:r>
      <w:r w:rsidR="00FA433F" w:rsidRPr="00FA433F">
        <w:rPr>
          <w:noProof/>
        </w:rPr>
        <w:t xml:space="preserve"> w</w:t>
      </w:r>
      <w:r w:rsidR="00FA433F">
        <w:rPr>
          <w:noProof/>
        </w:rPr>
        <w:t> </w:t>
      </w:r>
      <w:r w:rsidR="00FA433F" w:rsidRPr="00FA433F">
        <w:rPr>
          <w:noProof/>
        </w:rPr>
        <w:t>życ</w:t>
      </w:r>
      <w:r w:rsidRPr="00FA433F">
        <w:rPr>
          <w:noProof/>
        </w:rPr>
        <w:t>ie dwudziestego dnia po jego opublikowaniu</w:t>
      </w:r>
      <w:r w:rsidR="00FA433F" w:rsidRPr="00FA433F">
        <w:rPr>
          <w:noProof/>
        </w:rPr>
        <w:t xml:space="preserve"> w</w:t>
      </w:r>
      <w:r w:rsidR="00FA433F">
        <w:rPr>
          <w:noProof/>
        </w:rPr>
        <w:t> </w:t>
      </w:r>
      <w:r w:rsidR="00FA433F" w:rsidRPr="00FA433F">
        <w:rPr>
          <w:i/>
          <w:noProof/>
        </w:rPr>
        <w:t>Dzi</w:t>
      </w:r>
      <w:r w:rsidRPr="00FA433F">
        <w:rPr>
          <w:i/>
          <w:noProof/>
        </w:rPr>
        <w:t>enniku Urzędowym Unii Europejskiej</w:t>
      </w:r>
      <w:r w:rsidRPr="00FA433F">
        <w:rPr>
          <w:noProof/>
        </w:rPr>
        <w:t>.</w:t>
      </w:r>
      <w:r w:rsidRPr="00FA433F">
        <w:rPr>
          <w:noProof/>
          <w:highlight w:val="magenta"/>
        </w:rPr>
        <w:t xml:space="preserve"> </w:t>
      </w:r>
    </w:p>
    <w:p w14:paraId="58CA1B0F" w14:textId="0C11CA15" w:rsidR="008A4C15" w:rsidRPr="00FA433F" w:rsidRDefault="008A4C15">
      <w:pPr>
        <w:pStyle w:val="Applicationdirecte"/>
        <w:rPr>
          <w:noProof/>
        </w:rPr>
      </w:pPr>
      <w:r w:rsidRPr="00FA433F">
        <w:rPr>
          <w:noProof/>
        </w:rPr>
        <w:t>Niniejsze rozporządzenie wiąże</w:t>
      </w:r>
      <w:r w:rsidR="00FA433F" w:rsidRPr="00FA433F">
        <w:rPr>
          <w:noProof/>
        </w:rPr>
        <w:t xml:space="preserve"> w</w:t>
      </w:r>
      <w:r w:rsidR="00FA433F">
        <w:rPr>
          <w:noProof/>
        </w:rPr>
        <w:t> </w:t>
      </w:r>
      <w:r w:rsidR="00FA433F" w:rsidRPr="00FA433F">
        <w:rPr>
          <w:noProof/>
        </w:rPr>
        <w:t>cał</w:t>
      </w:r>
      <w:r w:rsidRPr="00FA433F">
        <w:rPr>
          <w:noProof/>
        </w:rPr>
        <w:t>ości</w:t>
      </w:r>
      <w:r w:rsidR="00FA433F" w:rsidRPr="00FA433F">
        <w:rPr>
          <w:noProof/>
        </w:rPr>
        <w:t xml:space="preserve"> i</w:t>
      </w:r>
      <w:r w:rsidR="00FA433F">
        <w:rPr>
          <w:noProof/>
        </w:rPr>
        <w:t> </w:t>
      </w:r>
      <w:r w:rsidR="00FA433F" w:rsidRPr="00FA433F">
        <w:rPr>
          <w:noProof/>
        </w:rPr>
        <w:t>jes</w:t>
      </w:r>
      <w:r w:rsidRPr="00FA433F">
        <w:rPr>
          <w:noProof/>
        </w:rPr>
        <w:t>t bezpośrednio stosowane we wszystkich państwach członkowskich.</w:t>
      </w:r>
    </w:p>
    <w:p w14:paraId="5C7D0356" w14:textId="412CECDD" w:rsidR="008A4C15" w:rsidRPr="00FA433F" w:rsidRDefault="00C003A7" w:rsidP="002C3640">
      <w:pPr>
        <w:pStyle w:val="Fait"/>
        <w:rPr>
          <w:noProof/>
        </w:rPr>
      </w:pPr>
      <w:r>
        <w:rPr>
          <w:noProof/>
        </w:rPr>
        <w:t>Sporządzono w Brukseli dnia  r.</w:t>
      </w:r>
    </w:p>
    <w:p w14:paraId="43BA747D" w14:textId="77777777" w:rsidR="00FA433F" w:rsidRDefault="00FA433F" w:rsidP="002C3640">
      <w:pPr>
        <w:pStyle w:val="Institutionquisigne"/>
        <w:rPr>
          <w:noProof/>
        </w:rPr>
      </w:pPr>
      <w:r>
        <w:rPr>
          <w:noProof/>
        </w:rPr>
        <w:t>W imieniu Parlamentu Europejskiego</w:t>
      </w:r>
      <w:r>
        <w:rPr>
          <w:noProof/>
        </w:rPr>
        <w:tab/>
        <w:t>W imieniu Rady</w:t>
      </w:r>
    </w:p>
    <w:p w14:paraId="6F9EAFB7" w14:textId="6313B13B" w:rsidR="008A4C15" w:rsidRPr="00FA433F" w:rsidRDefault="00FA433F" w:rsidP="008A4C15">
      <w:pPr>
        <w:pStyle w:val="Personnequisigne"/>
        <w:rPr>
          <w:noProof/>
        </w:rPr>
      </w:pPr>
      <w:r>
        <w:rPr>
          <w:noProof/>
        </w:rPr>
        <w:t>Przewodnicząca</w:t>
      </w:r>
      <w:r>
        <w:rPr>
          <w:noProof/>
        </w:rPr>
        <w:tab/>
        <w:t>Przewodniczący</w:t>
      </w:r>
    </w:p>
    <w:p w14:paraId="35C7F784" w14:textId="77777777" w:rsidR="008A4C15" w:rsidRPr="00FA433F" w:rsidRDefault="008A4C15" w:rsidP="008A4C15">
      <w:pPr>
        <w:rPr>
          <w:noProof/>
        </w:rPr>
        <w:sectPr w:rsidR="008A4C15" w:rsidRPr="00FA433F" w:rsidSect="007E5C27">
          <w:footnotePr>
            <w:numRestart w:val="eachSect"/>
          </w:footnotePr>
          <w:pgSz w:w="11907" w:h="16839"/>
          <w:pgMar w:top="1134" w:right="1417" w:bottom="1134" w:left="1417" w:header="709" w:footer="709" w:gutter="0"/>
          <w:cols w:space="708"/>
          <w:docGrid w:linePitch="360"/>
        </w:sectPr>
      </w:pPr>
    </w:p>
    <w:p w14:paraId="536F5C7E" w14:textId="77777777" w:rsidR="008A4C15" w:rsidRPr="00FA433F" w:rsidRDefault="008A4C15">
      <w:pPr>
        <w:pStyle w:val="Fichefinanciretitre"/>
        <w:keepNext/>
        <w:rPr>
          <w:noProof/>
        </w:rPr>
      </w:pPr>
      <w:r w:rsidRPr="00FA433F">
        <w:rPr>
          <w:noProof/>
        </w:rPr>
        <w:lastRenderedPageBreak/>
        <w:t>OCENA SKUTKÓW FINANSOWYCH I CYFROWYCH REGULACJI</w:t>
      </w:r>
    </w:p>
    <w:p w14:paraId="723C29EF" w14:textId="77777777" w:rsidR="008A4C15" w:rsidRPr="00FA433F" w:rsidRDefault="008A4C15">
      <w:pPr>
        <w:pStyle w:val="Spistreci1"/>
        <w:rPr>
          <w:rFonts w:asciiTheme="minorHAnsi" w:eastAsiaTheme="minorEastAsia" w:hAnsiTheme="minorHAnsi" w:cstheme="minorBidi"/>
          <w:noProof/>
          <w:kern w:val="2"/>
          <w:sz w:val="22"/>
          <w14:ligatures w14:val="standardContextual"/>
        </w:rPr>
      </w:pPr>
      <w:r w:rsidRPr="00FA433F">
        <w:rPr>
          <w:noProof/>
        </w:rPr>
        <w:t>1.</w:t>
      </w:r>
      <w:r w:rsidRPr="00FA433F">
        <w:rPr>
          <w:noProof/>
        </w:rPr>
        <w:tab/>
        <w:t>STRUKTURA WNIOSKU/INICJATYWY</w:t>
      </w:r>
      <w:r w:rsidRPr="00FA433F">
        <w:rPr>
          <w:noProof/>
        </w:rPr>
        <w:tab/>
      </w:r>
      <w:r w:rsidRPr="00FA433F">
        <w:rPr>
          <w:noProof/>
          <w:webHidden/>
        </w:rPr>
        <w:t>3</w:t>
      </w:r>
    </w:p>
    <w:p w14:paraId="09219FB4" w14:textId="77777777"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1.1.</w:t>
      </w:r>
      <w:r w:rsidRPr="00FA433F">
        <w:rPr>
          <w:noProof/>
        </w:rPr>
        <w:tab/>
        <w:t>Tytuł wniosku/inicjatywy</w:t>
      </w:r>
      <w:r w:rsidRPr="00FA433F">
        <w:rPr>
          <w:noProof/>
        </w:rPr>
        <w:tab/>
      </w:r>
      <w:r w:rsidRPr="00FA433F">
        <w:rPr>
          <w:noProof/>
          <w:webHidden/>
        </w:rPr>
        <w:t>3</w:t>
      </w:r>
    </w:p>
    <w:p w14:paraId="69F862D4" w14:textId="77777777"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1.2.</w:t>
      </w:r>
      <w:r w:rsidRPr="00FA433F">
        <w:rPr>
          <w:noProof/>
        </w:rPr>
        <w:tab/>
        <w:t>Obszary polityki, których dotyczy wniosek/inicjatywa</w:t>
      </w:r>
      <w:r w:rsidRPr="00FA433F">
        <w:rPr>
          <w:noProof/>
        </w:rPr>
        <w:tab/>
      </w:r>
      <w:r w:rsidRPr="00FA433F">
        <w:rPr>
          <w:noProof/>
          <w:webHidden/>
        </w:rPr>
        <w:t>3</w:t>
      </w:r>
    </w:p>
    <w:p w14:paraId="78F43FD2" w14:textId="77777777"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1.3.</w:t>
      </w:r>
      <w:r w:rsidRPr="00FA433F">
        <w:rPr>
          <w:noProof/>
        </w:rPr>
        <w:tab/>
        <w:t>Cel(e)</w:t>
      </w:r>
      <w:r w:rsidRPr="00FA433F">
        <w:rPr>
          <w:noProof/>
        </w:rPr>
        <w:tab/>
      </w:r>
      <w:r w:rsidRPr="00FA433F">
        <w:rPr>
          <w:noProof/>
          <w:webHidden/>
        </w:rPr>
        <w:t>3</w:t>
      </w:r>
    </w:p>
    <w:p w14:paraId="4D414F34" w14:textId="77777777"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1.3.1.</w:t>
      </w:r>
      <w:r w:rsidRPr="00FA433F">
        <w:rPr>
          <w:noProof/>
        </w:rPr>
        <w:tab/>
        <w:t>Cel(e) ogólny(-e)</w:t>
      </w:r>
      <w:r w:rsidRPr="00FA433F">
        <w:rPr>
          <w:noProof/>
        </w:rPr>
        <w:tab/>
      </w:r>
      <w:r w:rsidRPr="00FA433F">
        <w:rPr>
          <w:noProof/>
          <w:webHidden/>
        </w:rPr>
        <w:t>3</w:t>
      </w:r>
    </w:p>
    <w:p w14:paraId="5D8857BA" w14:textId="77777777"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1.3.2.</w:t>
      </w:r>
      <w:r w:rsidRPr="00FA433F">
        <w:rPr>
          <w:noProof/>
        </w:rPr>
        <w:tab/>
        <w:t>Cel(e) szczegółowy(-e)</w:t>
      </w:r>
      <w:r w:rsidRPr="00FA433F">
        <w:rPr>
          <w:noProof/>
        </w:rPr>
        <w:tab/>
      </w:r>
      <w:r w:rsidRPr="00FA433F">
        <w:rPr>
          <w:noProof/>
          <w:webHidden/>
        </w:rPr>
        <w:t>3</w:t>
      </w:r>
    </w:p>
    <w:p w14:paraId="529A729B" w14:textId="15B6D2B1"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1.3.3.</w:t>
      </w:r>
      <w:r w:rsidRPr="00FA433F">
        <w:rPr>
          <w:noProof/>
        </w:rPr>
        <w:tab/>
        <w:t>Oczekiwane wyniki</w:t>
      </w:r>
      <w:r w:rsidR="00FA433F" w:rsidRPr="00FA433F">
        <w:rPr>
          <w:noProof/>
        </w:rPr>
        <w:t xml:space="preserve"> i</w:t>
      </w:r>
      <w:r w:rsidR="00FA433F">
        <w:rPr>
          <w:noProof/>
        </w:rPr>
        <w:t> </w:t>
      </w:r>
      <w:r w:rsidR="00FA433F" w:rsidRPr="00FA433F">
        <w:rPr>
          <w:noProof/>
        </w:rPr>
        <w:t>wpł</w:t>
      </w:r>
      <w:r w:rsidRPr="00FA433F">
        <w:rPr>
          <w:noProof/>
        </w:rPr>
        <w:t>yw</w:t>
      </w:r>
      <w:r w:rsidRPr="00FA433F">
        <w:rPr>
          <w:noProof/>
        </w:rPr>
        <w:tab/>
      </w:r>
      <w:r w:rsidRPr="00FA433F">
        <w:rPr>
          <w:noProof/>
          <w:webHidden/>
        </w:rPr>
        <w:t>3</w:t>
      </w:r>
    </w:p>
    <w:p w14:paraId="0A2B7DB4" w14:textId="77777777"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1.3.4.</w:t>
      </w:r>
      <w:r w:rsidRPr="00FA433F">
        <w:rPr>
          <w:noProof/>
        </w:rPr>
        <w:tab/>
        <w:t>Wskaźniki dotyczące realizacji celów</w:t>
      </w:r>
      <w:r w:rsidRPr="00FA433F">
        <w:rPr>
          <w:noProof/>
        </w:rPr>
        <w:tab/>
      </w:r>
      <w:r w:rsidRPr="00FA433F">
        <w:rPr>
          <w:noProof/>
          <w:webHidden/>
        </w:rPr>
        <w:t>3</w:t>
      </w:r>
    </w:p>
    <w:p w14:paraId="41820A41" w14:textId="77777777"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1.4.</w:t>
      </w:r>
      <w:r w:rsidRPr="00FA433F">
        <w:rPr>
          <w:noProof/>
        </w:rPr>
        <w:tab/>
        <w:t>Wniosek/inicjatywa dotyczy:</w:t>
      </w:r>
      <w:r w:rsidRPr="00FA433F">
        <w:rPr>
          <w:noProof/>
        </w:rPr>
        <w:tab/>
      </w:r>
      <w:r w:rsidRPr="00FA433F">
        <w:rPr>
          <w:noProof/>
          <w:webHidden/>
        </w:rPr>
        <w:t>4</w:t>
      </w:r>
    </w:p>
    <w:p w14:paraId="34D02B5E" w14:textId="77777777"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1.5.</w:t>
      </w:r>
      <w:r w:rsidRPr="00FA433F">
        <w:rPr>
          <w:noProof/>
        </w:rPr>
        <w:tab/>
        <w:t>Uzasadnienie wniosku/inicjatywy</w:t>
      </w:r>
      <w:r w:rsidRPr="00FA433F">
        <w:rPr>
          <w:noProof/>
        </w:rPr>
        <w:tab/>
      </w:r>
      <w:r w:rsidRPr="00FA433F">
        <w:rPr>
          <w:noProof/>
          <w:webHidden/>
        </w:rPr>
        <w:t>4</w:t>
      </w:r>
    </w:p>
    <w:p w14:paraId="311C8121" w14:textId="53FBA175"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1.5.1.</w:t>
      </w:r>
      <w:r w:rsidRPr="00FA433F">
        <w:rPr>
          <w:noProof/>
        </w:rPr>
        <w:tab/>
        <w:t>Potrzeby, które należy zaspokoić</w:t>
      </w:r>
      <w:r w:rsidR="00FA433F" w:rsidRPr="00FA433F">
        <w:rPr>
          <w:noProof/>
        </w:rPr>
        <w:t xml:space="preserve"> w</w:t>
      </w:r>
      <w:r w:rsidR="00FA433F">
        <w:rPr>
          <w:noProof/>
        </w:rPr>
        <w:t> </w:t>
      </w:r>
      <w:r w:rsidR="00FA433F" w:rsidRPr="00FA433F">
        <w:rPr>
          <w:noProof/>
        </w:rPr>
        <w:t>per</w:t>
      </w:r>
      <w:r w:rsidRPr="00FA433F">
        <w:rPr>
          <w:noProof/>
        </w:rPr>
        <w:t>spektywie krótko- lub długoterminowej,</w:t>
      </w:r>
      <w:r w:rsidR="00FA433F" w:rsidRPr="00FA433F">
        <w:rPr>
          <w:noProof/>
        </w:rPr>
        <w:t xml:space="preserve"> w</w:t>
      </w:r>
      <w:r w:rsidR="00FA433F">
        <w:rPr>
          <w:noProof/>
        </w:rPr>
        <w:t> </w:t>
      </w:r>
      <w:r w:rsidR="00FA433F" w:rsidRPr="00FA433F">
        <w:rPr>
          <w:noProof/>
        </w:rPr>
        <w:t>tym</w:t>
      </w:r>
      <w:r w:rsidRPr="00FA433F">
        <w:rPr>
          <w:noProof/>
        </w:rPr>
        <w:t xml:space="preserve"> szczegółowy terminarz przebiegu realizacji inicjatywy</w:t>
      </w:r>
      <w:r w:rsidRPr="00FA433F">
        <w:rPr>
          <w:noProof/>
        </w:rPr>
        <w:tab/>
      </w:r>
      <w:r w:rsidRPr="00FA433F">
        <w:rPr>
          <w:noProof/>
          <w:webHidden/>
        </w:rPr>
        <w:t>4</w:t>
      </w:r>
    </w:p>
    <w:p w14:paraId="2D928982" w14:textId="77549030"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1.5.2.</w:t>
      </w:r>
      <w:r w:rsidRPr="00FA433F">
        <w:rPr>
          <w:noProof/>
        </w:rPr>
        <w:tab/>
        <w:t>Wartość dodana</w:t>
      </w:r>
      <w:r w:rsidR="00FA433F" w:rsidRPr="00FA433F">
        <w:rPr>
          <w:noProof/>
        </w:rPr>
        <w:t xml:space="preserve"> z</w:t>
      </w:r>
      <w:r w:rsidR="00FA433F">
        <w:rPr>
          <w:noProof/>
        </w:rPr>
        <w:t> </w:t>
      </w:r>
      <w:r w:rsidR="00FA433F" w:rsidRPr="00FA433F">
        <w:rPr>
          <w:noProof/>
        </w:rPr>
        <w:t>tyt</w:t>
      </w:r>
      <w:r w:rsidRPr="00FA433F">
        <w:rPr>
          <w:noProof/>
        </w:rPr>
        <w:t>ułu zaangażowania Unii Europejskiej (może wynikać</w:t>
      </w:r>
      <w:r w:rsidR="00FA433F" w:rsidRPr="00FA433F">
        <w:rPr>
          <w:noProof/>
        </w:rPr>
        <w:t xml:space="preserve"> z</w:t>
      </w:r>
      <w:r w:rsidR="00FA433F">
        <w:rPr>
          <w:noProof/>
        </w:rPr>
        <w:t> </w:t>
      </w:r>
      <w:r w:rsidR="00FA433F" w:rsidRPr="00FA433F">
        <w:rPr>
          <w:noProof/>
        </w:rPr>
        <w:t>róż</w:t>
      </w:r>
      <w:r w:rsidRPr="00FA433F">
        <w:rPr>
          <w:noProof/>
        </w:rPr>
        <w:t>nych czynników, na przykład korzyści koordynacyjnych, pewności prawa, większej efektywności lub komplementarności). Na potrzeby tej sekcji „wartość dodaną</w:t>
      </w:r>
      <w:r w:rsidR="00FA433F" w:rsidRPr="00FA433F">
        <w:rPr>
          <w:noProof/>
        </w:rPr>
        <w:t xml:space="preserve"> z</w:t>
      </w:r>
      <w:r w:rsidR="00FA433F">
        <w:rPr>
          <w:noProof/>
        </w:rPr>
        <w:t> </w:t>
      </w:r>
      <w:r w:rsidR="00FA433F" w:rsidRPr="00FA433F">
        <w:rPr>
          <w:noProof/>
        </w:rPr>
        <w:t>tyt</w:t>
      </w:r>
      <w:r w:rsidRPr="00FA433F">
        <w:rPr>
          <w:noProof/>
        </w:rPr>
        <w:t>ułu zaangażowania Unii Europejskiej” należy rozumieć jako wartość wynikającą</w:t>
      </w:r>
      <w:r w:rsidR="00FA433F" w:rsidRPr="00FA433F">
        <w:rPr>
          <w:noProof/>
        </w:rPr>
        <w:t xml:space="preserve"> z</w:t>
      </w:r>
      <w:r w:rsidR="00FA433F">
        <w:rPr>
          <w:noProof/>
        </w:rPr>
        <w:t> </w:t>
      </w:r>
      <w:r w:rsidR="00FA433F" w:rsidRPr="00FA433F">
        <w:rPr>
          <w:noProof/>
        </w:rPr>
        <w:t>uni</w:t>
      </w:r>
      <w:r w:rsidRPr="00FA433F">
        <w:rPr>
          <w:noProof/>
        </w:rPr>
        <w:t>jnej interwencji, wykraczającą poza wartość, która zostałaby wytworzona przez same państwa członkowskie.</w:t>
      </w:r>
      <w:r w:rsidRPr="00FA433F">
        <w:rPr>
          <w:noProof/>
        </w:rPr>
        <w:tab/>
      </w:r>
      <w:r w:rsidRPr="00FA433F">
        <w:rPr>
          <w:noProof/>
          <w:webHidden/>
        </w:rPr>
        <w:t>4</w:t>
      </w:r>
    </w:p>
    <w:p w14:paraId="69B214BE" w14:textId="672C22A5"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1.5.3.</w:t>
      </w:r>
      <w:r w:rsidRPr="00FA433F">
        <w:rPr>
          <w:noProof/>
        </w:rPr>
        <w:tab/>
        <w:t>Główne wnioski wyciągnięte</w:t>
      </w:r>
      <w:r w:rsidR="00FA433F" w:rsidRPr="00FA433F">
        <w:rPr>
          <w:noProof/>
        </w:rPr>
        <w:t xml:space="preserve"> z</w:t>
      </w:r>
      <w:r w:rsidR="00FA433F">
        <w:rPr>
          <w:noProof/>
        </w:rPr>
        <w:t> </w:t>
      </w:r>
      <w:r w:rsidR="00FA433F" w:rsidRPr="00FA433F">
        <w:rPr>
          <w:noProof/>
        </w:rPr>
        <w:t>pod</w:t>
      </w:r>
      <w:r w:rsidRPr="00FA433F">
        <w:rPr>
          <w:noProof/>
        </w:rPr>
        <w:t>obnych działań</w:t>
      </w:r>
      <w:r w:rsidRPr="00FA433F">
        <w:rPr>
          <w:noProof/>
        </w:rPr>
        <w:tab/>
      </w:r>
      <w:r w:rsidRPr="00FA433F">
        <w:rPr>
          <w:noProof/>
          <w:webHidden/>
        </w:rPr>
        <w:t>4</w:t>
      </w:r>
    </w:p>
    <w:p w14:paraId="6FD2B907" w14:textId="6DE0B76C"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1.5.4.</w:t>
      </w:r>
      <w:r w:rsidRPr="00FA433F">
        <w:rPr>
          <w:noProof/>
        </w:rPr>
        <w:tab/>
        <w:t>Spójność</w:t>
      </w:r>
      <w:r w:rsidR="00FA433F" w:rsidRPr="00FA433F">
        <w:rPr>
          <w:noProof/>
        </w:rPr>
        <w:t xml:space="preserve"> z</w:t>
      </w:r>
      <w:r w:rsidR="00FA433F">
        <w:rPr>
          <w:noProof/>
        </w:rPr>
        <w:t> </w:t>
      </w:r>
      <w:r w:rsidR="00FA433F" w:rsidRPr="00FA433F">
        <w:rPr>
          <w:noProof/>
        </w:rPr>
        <w:t>wie</w:t>
      </w:r>
      <w:r w:rsidRPr="00FA433F">
        <w:rPr>
          <w:noProof/>
        </w:rPr>
        <w:t>loletnimi ramami finansowymi oraz możliwa synergia</w:t>
      </w:r>
      <w:r w:rsidR="00FA433F" w:rsidRPr="00FA433F">
        <w:rPr>
          <w:noProof/>
        </w:rPr>
        <w:t xml:space="preserve"> z</w:t>
      </w:r>
      <w:r w:rsidR="00FA433F">
        <w:rPr>
          <w:noProof/>
        </w:rPr>
        <w:t> </w:t>
      </w:r>
      <w:r w:rsidR="00FA433F" w:rsidRPr="00FA433F">
        <w:rPr>
          <w:noProof/>
        </w:rPr>
        <w:t>inn</w:t>
      </w:r>
      <w:r w:rsidRPr="00FA433F">
        <w:rPr>
          <w:noProof/>
        </w:rPr>
        <w:t>ymi właściwymi instrumentami</w:t>
      </w:r>
      <w:r w:rsidRPr="00FA433F">
        <w:rPr>
          <w:noProof/>
        </w:rPr>
        <w:tab/>
      </w:r>
      <w:r w:rsidRPr="00FA433F">
        <w:rPr>
          <w:noProof/>
          <w:webHidden/>
        </w:rPr>
        <w:t>5</w:t>
      </w:r>
    </w:p>
    <w:p w14:paraId="021132FD" w14:textId="0660EA23"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1.5.5.</w:t>
      </w:r>
      <w:r w:rsidRPr="00FA433F">
        <w:rPr>
          <w:noProof/>
        </w:rPr>
        <w:tab/>
        <w:t>Ocena różnych dostępnych możliwości finansowania,</w:t>
      </w:r>
      <w:r w:rsidR="00FA433F" w:rsidRPr="00FA433F">
        <w:rPr>
          <w:noProof/>
        </w:rPr>
        <w:t xml:space="preserve"> w</w:t>
      </w:r>
      <w:r w:rsidR="00FA433F">
        <w:rPr>
          <w:noProof/>
        </w:rPr>
        <w:t> </w:t>
      </w:r>
      <w:r w:rsidR="00FA433F" w:rsidRPr="00FA433F">
        <w:rPr>
          <w:noProof/>
        </w:rPr>
        <w:t>tym</w:t>
      </w:r>
      <w:r w:rsidRPr="00FA433F">
        <w:rPr>
          <w:noProof/>
        </w:rPr>
        <w:t xml:space="preserve"> możliwości przegrupowania środków</w:t>
      </w:r>
      <w:r w:rsidRPr="00FA433F">
        <w:rPr>
          <w:noProof/>
        </w:rPr>
        <w:tab/>
      </w:r>
      <w:r w:rsidRPr="00FA433F">
        <w:rPr>
          <w:noProof/>
          <w:webHidden/>
        </w:rPr>
        <w:t>5</w:t>
      </w:r>
    </w:p>
    <w:p w14:paraId="68DDC7AF" w14:textId="500BFD23"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1.6.</w:t>
      </w:r>
      <w:r w:rsidRPr="00FA433F">
        <w:rPr>
          <w:noProof/>
        </w:rPr>
        <w:tab/>
        <w:t>Czas trwania wniosku/inicjatywy</w:t>
      </w:r>
      <w:r w:rsidR="00FA433F" w:rsidRPr="00FA433F">
        <w:rPr>
          <w:noProof/>
        </w:rPr>
        <w:t xml:space="preserve"> i</w:t>
      </w:r>
      <w:r w:rsidR="00FA433F">
        <w:rPr>
          <w:noProof/>
        </w:rPr>
        <w:t> </w:t>
      </w:r>
      <w:r w:rsidR="00FA433F" w:rsidRPr="00FA433F">
        <w:rPr>
          <w:noProof/>
        </w:rPr>
        <w:t>jeg</w:t>
      </w:r>
      <w:r w:rsidRPr="00FA433F">
        <w:rPr>
          <w:noProof/>
        </w:rPr>
        <w:t>o/jej wpływu finansowego</w:t>
      </w:r>
      <w:r w:rsidRPr="00FA433F">
        <w:rPr>
          <w:noProof/>
        </w:rPr>
        <w:tab/>
      </w:r>
      <w:r w:rsidRPr="00FA433F">
        <w:rPr>
          <w:noProof/>
          <w:webHidden/>
        </w:rPr>
        <w:t>6</w:t>
      </w:r>
    </w:p>
    <w:p w14:paraId="1F427220" w14:textId="77777777"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1.7.</w:t>
      </w:r>
      <w:r w:rsidRPr="00FA433F">
        <w:rPr>
          <w:noProof/>
        </w:rPr>
        <w:tab/>
        <w:t>Planowane metody wykonania budżetu</w:t>
      </w:r>
      <w:r w:rsidRPr="00FA433F">
        <w:rPr>
          <w:noProof/>
        </w:rPr>
        <w:tab/>
      </w:r>
      <w:r w:rsidRPr="00FA433F">
        <w:rPr>
          <w:noProof/>
          <w:webHidden/>
        </w:rPr>
        <w:t>6</w:t>
      </w:r>
    </w:p>
    <w:p w14:paraId="5320EF2B" w14:textId="77777777" w:rsidR="008A4C15" w:rsidRPr="00FA433F" w:rsidRDefault="008A4C15">
      <w:pPr>
        <w:pStyle w:val="Spistreci1"/>
        <w:rPr>
          <w:rFonts w:asciiTheme="minorHAnsi" w:eastAsiaTheme="minorEastAsia" w:hAnsiTheme="minorHAnsi" w:cstheme="minorBidi"/>
          <w:noProof/>
          <w:kern w:val="2"/>
          <w:sz w:val="22"/>
          <w14:ligatures w14:val="standardContextual"/>
        </w:rPr>
      </w:pPr>
      <w:r w:rsidRPr="00FA433F">
        <w:rPr>
          <w:noProof/>
        </w:rPr>
        <w:t>2.</w:t>
      </w:r>
      <w:r w:rsidRPr="00FA433F">
        <w:rPr>
          <w:noProof/>
        </w:rPr>
        <w:tab/>
        <w:t>ŚRODKI ZARZĄDZANIA</w:t>
      </w:r>
      <w:r w:rsidRPr="00FA433F">
        <w:rPr>
          <w:noProof/>
        </w:rPr>
        <w:tab/>
      </w:r>
      <w:r w:rsidRPr="00FA433F">
        <w:rPr>
          <w:noProof/>
          <w:webHidden/>
        </w:rPr>
        <w:t>8</w:t>
      </w:r>
    </w:p>
    <w:p w14:paraId="318431A5" w14:textId="424B4D7B"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2.1.</w:t>
      </w:r>
      <w:r w:rsidRPr="00FA433F">
        <w:rPr>
          <w:noProof/>
        </w:rPr>
        <w:tab/>
        <w:t>Zasady nadzoru</w:t>
      </w:r>
      <w:r w:rsidR="00FA433F" w:rsidRPr="00FA433F">
        <w:rPr>
          <w:noProof/>
        </w:rPr>
        <w:t xml:space="preserve"> i</w:t>
      </w:r>
      <w:r w:rsidR="00FA433F">
        <w:rPr>
          <w:noProof/>
        </w:rPr>
        <w:t> </w:t>
      </w:r>
      <w:r w:rsidR="00FA433F" w:rsidRPr="00FA433F">
        <w:rPr>
          <w:noProof/>
        </w:rPr>
        <w:t>spr</w:t>
      </w:r>
      <w:r w:rsidRPr="00FA433F">
        <w:rPr>
          <w:noProof/>
        </w:rPr>
        <w:t>awozdawczości</w:t>
      </w:r>
      <w:r w:rsidRPr="00FA433F">
        <w:rPr>
          <w:noProof/>
        </w:rPr>
        <w:tab/>
      </w:r>
      <w:r w:rsidRPr="00FA433F">
        <w:rPr>
          <w:noProof/>
          <w:webHidden/>
        </w:rPr>
        <w:t>8</w:t>
      </w:r>
    </w:p>
    <w:p w14:paraId="3771456F" w14:textId="2F0EFA8B"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2.2.</w:t>
      </w:r>
      <w:r w:rsidRPr="00FA433F">
        <w:rPr>
          <w:noProof/>
        </w:rPr>
        <w:tab/>
        <w:t>System zarządzania</w:t>
      </w:r>
      <w:r w:rsidR="00FA433F" w:rsidRPr="00FA433F">
        <w:rPr>
          <w:noProof/>
        </w:rPr>
        <w:t xml:space="preserve"> i</w:t>
      </w:r>
      <w:r w:rsidR="00FA433F">
        <w:rPr>
          <w:noProof/>
        </w:rPr>
        <w:t> </w:t>
      </w:r>
      <w:r w:rsidR="00FA433F" w:rsidRPr="00FA433F">
        <w:rPr>
          <w:noProof/>
        </w:rPr>
        <w:t>kon</w:t>
      </w:r>
      <w:r w:rsidRPr="00FA433F">
        <w:rPr>
          <w:noProof/>
        </w:rPr>
        <w:t>troli</w:t>
      </w:r>
      <w:r w:rsidRPr="00FA433F">
        <w:rPr>
          <w:noProof/>
        </w:rPr>
        <w:tab/>
      </w:r>
      <w:r w:rsidRPr="00FA433F">
        <w:rPr>
          <w:noProof/>
          <w:webHidden/>
        </w:rPr>
        <w:t>8</w:t>
      </w:r>
    </w:p>
    <w:p w14:paraId="0F817989" w14:textId="6618FBA4"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2.2.1.</w:t>
      </w:r>
      <w:r w:rsidRPr="00FA433F">
        <w:rPr>
          <w:noProof/>
        </w:rPr>
        <w:tab/>
        <w:t>Uzasadnienie dla proponowanych metod wykonania budżetu, mechanizmów finansowania wykonania, sposobów dokonywania płatności</w:t>
      </w:r>
      <w:r w:rsidR="00FA433F" w:rsidRPr="00FA433F">
        <w:rPr>
          <w:noProof/>
        </w:rPr>
        <w:t xml:space="preserve"> i</w:t>
      </w:r>
      <w:r w:rsidR="00FA433F">
        <w:rPr>
          <w:noProof/>
        </w:rPr>
        <w:t> </w:t>
      </w:r>
      <w:r w:rsidR="00FA433F" w:rsidRPr="00FA433F">
        <w:rPr>
          <w:noProof/>
        </w:rPr>
        <w:t>str</w:t>
      </w:r>
      <w:r w:rsidRPr="00FA433F">
        <w:rPr>
          <w:noProof/>
        </w:rPr>
        <w:t>ategii kontroli</w:t>
      </w:r>
      <w:r w:rsidRPr="00FA433F">
        <w:rPr>
          <w:noProof/>
        </w:rPr>
        <w:tab/>
      </w:r>
      <w:r w:rsidRPr="00FA433F">
        <w:rPr>
          <w:noProof/>
          <w:webHidden/>
        </w:rPr>
        <w:t>8</w:t>
      </w:r>
    </w:p>
    <w:p w14:paraId="752037CF" w14:textId="03285897"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2.2.2.</w:t>
      </w:r>
      <w:r w:rsidRPr="00FA433F">
        <w:rPr>
          <w:noProof/>
        </w:rPr>
        <w:tab/>
        <w:t>Informacje dotyczące zidentyfikowanego ryzyka</w:t>
      </w:r>
      <w:r w:rsidR="00FA433F" w:rsidRPr="00FA433F">
        <w:rPr>
          <w:noProof/>
        </w:rPr>
        <w:t xml:space="preserve"> i</w:t>
      </w:r>
      <w:r w:rsidR="00FA433F">
        <w:rPr>
          <w:noProof/>
        </w:rPr>
        <w:t> </w:t>
      </w:r>
      <w:r w:rsidR="00FA433F" w:rsidRPr="00FA433F">
        <w:rPr>
          <w:noProof/>
        </w:rPr>
        <w:t>sys</w:t>
      </w:r>
      <w:r w:rsidRPr="00FA433F">
        <w:rPr>
          <w:noProof/>
        </w:rPr>
        <w:t>temów kontroli wewnętrznej ustanowionych</w:t>
      </w:r>
      <w:r w:rsidR="00FA433F" w:rsidRPr="00FA433F">
        <w:rPr>
          <w:noProof/>
        </w:rPr>
        <w:t xml:space="preserve"> w</w:t>
      </w:r>
      <w:r w:rsidR="00FA433F">
        <w:rPr>
          <w:noProof/>
        </w:rPr>
        <w:t> </w:t>
      </w:r>
      <w:r w:rsidR="00FA433F" w:rsidRPr="00FA433F">
        <w:rPr>
          <w:noProof/>
        </w:rPr>
        <w:t>cel</w:t>
      </w:r>
      <w:r w:rsidRPr="00FA433F">
        <w:rPr>
          <w:noProof/>
        </w:rPr>
        <w:t>u jego ograniczenia</w:t>
      </w:r>
      <w:r w:rsidRPr="00FA433F">
        <w:rPr>
          <w:noProof/>
        </w:rPr>
        <w:tab/>
      </w:r>
      <w:r w:rsidRPr="00FA433F">
        <w:rPr>
          <w:noProof/>
          <w:webHidden/>
        </w:rPr>
        <w:t>8</w:t>
      </w:r>
    </w:p>
    <w:p w14:paraId="700A057E" w14:textId="4D6D38E3"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2.2.3.</w:t>
      </w:r>
      <w:r w:rsidRPr="00FA433F">
        <w:rPr>
          <w:noProof/>
        </w:rPr>
        <w:tab/>
        <w:t>Oszacowanie</w:t>
      </w:r>
      <w:r w:rsidR="00FA433F" w:rsidRPr="00FA433F">
        <w:rPr>
          <w:noProof/>
        </w:rPr>
        <w:t xml:space="preserve"> i</w:t>
      </w:r>
      <w:r w:rsidR="00FA433F">
        <w:rPr>
          <w:noProof/>
        </w:rPr>
        <w:t> </w:t>
      </w:r>
      <w:r w:rsidR="00FA433F" w:rsidRPr="00FA433F">
        <w:rPr>
          <w:noProof/>
        </w:rPr>
        <w:t>uza</w:t>
      </w:r>
      <w:r w:rsidRPr="00FA433F">
        <w:rPr>
          <w:noProof/>
        </w:rPr>
        <w:t>sadnienie efektywności kosztowej kontroli (relacja kosztów kontroli do wartości zarządzanych funduszy powiązanych) oraz ocena prawdopodobnego ryzyka błędu (przy płatności</w:t>
      </w:r>
      <w:r w:rsidR="00FA433F" w:rsidRPr="00FA433F">
        <w:rPr>
          <w:noProof/>
        </w:rPr>
        <w:t xml:space="preserve"> i</w:t>
      </w:r>
      <w:r w:rsidR="00FA433F">
        <w:rPr>
          <w:noProof/>
        </w:rPr>
        <w:t> </w:t>
      </w:r>
      <w:r w:rsidR="00FA433F" w:rsidRPr="00FA433F">
        <w:rPr>
          <w:noProof/>
        </w:rPr>
        <w:t>prz</w:t>
      </w:r>
      <w:r w:rsidRPr="00FA433F">
        <w:rPr>
          <w:noProof/>
        </w:rPr>
        <w:t>y zamykaniu)</w:t>
      </w:r>
      <w:r w:rsidRPr="00FA433F">
        <w:rPr>
          <w:noProof/>
        </w:rPr>
        <w:tab/>
      </w:r>
      <w:r w:rsidRPr="00FA433F">
        <w:rPr>
          <w:noProof/>
          <w:webHidden/>
        </w:rPr>
        <w:t>8</w:t>
      </w:r>
    </w:p>
    <w:p w14:paraId="4B81B85F" w14:textId="6488FF4E"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2.3.</w:t>
      </w:r>
      <w:r w:rsidRPr="00FA433F">
        <w:rPr>
          <w:noProof/>
        </w:rPr>
        <w:tab/>
        <w:t>Środki zapobiegania nadużyciom finansowym</w:t>
      </w:r>
      <w:r w:rsidR="00FA433F" w:rsidRPr="00FA433F">
        <w:rPr>
          <w:noProof/>
        </w:rPr>
        <w:t xml:space="preserve"> i</w:t>
      </w:r>
      <w:r w:rsidR="00FA433F">
        <w:rPr>
          <w:noProof/>
        </w:rPr>
        <w:t> </w:t>
      </w:r>
      <w:r w:rsidR="00FA433F" w:rsidRPr="00FA433F">
        <w:rPr>
          <w:noProof/>
        </w:rPr>
        <w:t>nie</w:t>
      </w:r>
      <w:r w:rsidRPr="00FA433F">
        <w:rPr>
          <w:noProof/>
        </w:rPr>
        <w:t>prawidłowościom</w:t>
      </w:r>
      <w:r w:rsidRPr="00FA433F">
        <w:rPr>
          <w:noProof/>
        </w:rPr>
        <w:tab/>
      </w:r>
      <w:r w:rsidRPr="00FA433F">
        <w:rPr>
          <w:noProof/>
          <w:webHidden/>
        </w:rPr>
        <w:t>9</w:t>
      </w:r>
    </w:p>
    <w:p w14:paraId="4A8AE941" w14:textId="77777777" w:rsidR="008A4C15" w:rsidRPr="00FA433F" w:rsidRDefault="008A4C15">
      <w:pPr>
        <w:pStyle w:val="Spistreci1"/>
        <w:rPr>
          <w:rFonts w:asciiTheme="minorHAnsi" w:eastAsiaTheme="minorEastAsia" w:hAnsiTheme="minorHAnsi" w:cstheme="minorBidi"/>
          <w:noProof/>
          <w:kern w:val="2"/>
          <w:sz w:val="22"/>
          <w14:ligatures w14:val="standardContextual"/>
        </w:rPr>
      </w:pPr>
      <w:r w:rsidRPr="00FA433F">
        <w:rPr>
          <w:noProof/>
        </w:rPr>
        <w:t>3.</w:t>
      </w:r>
      <w:r w:rsidRPr="00FA433F">
        <w:rPr>
          <w:noProof/>
        </w:rPr>
        <w:tab/>
        <w:t>SZACUNKOWY WPŁYW FINANSOWY WNIOSKU/INICJATYWY</w:t>
      </w:r>
      <w:r w:rsidRPr="00FA433F">
        <w:rPr>
          <w:noProof/>
        </w:rPr>
        <w:tab/>
      </w:r>
      <w:r w:rsidRPr="00FA433F">
        <w:rPr>
          <w:noProof/>
          <w:webHidden/>
        </w:rPr>
        <w:t>10</w:t>
      </w:r>
    </w:p>
    <w:p w14:paraId="4E234D29" w14:textId="7D3F8040"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lastRenderedPageBreak/>
        <w:t>3.1.</w:t>
      </w:r>
      <w:r w:rsidRPr="00FA433F">
        <w:rPr>
          <w:noProof/>
        </w:rPr>
        <w:tab/>
        <w:t>Działy wieloletnich ram finansowych</w:t>
      </w:r>
      <w:r w:rsidR="00FA433F" w:rsidRPr="00FA433F">
        <w:rPr>
          <w:noProof/>
        </w:rPr>
        <w:t xml:space="preserve"> i</w:t>
      </w:r>
      <w:r w:rsidR="00FA433F">
        <w:rPr>
          <w:noProof/>
        </w:rPr>
        <w:t> </w:t>
      </w:r>
      <w:r w:rsidR="00FA433F" w:rsidRPr="00FA433F">
        <w:rPr>
          <w:noProof/>
        </w:rPr>
        <w:t>lin</w:t>
      </w:r>
      <w:r w:rsidRPr="00FA433F">
        <w:rPr>
          <w:noProof/>
        </w:rPr>
        <w:t>ie budżetowe po stronie wydatków, na które wniosek/inicjatywa ma wpływ</w:t>
      </w:r>
      <w:r w:rsidRPr="00FA433F">
        <w:rPr>
          <w:noProof/>
        </w:rPr>
        <w:tab/>
      </w:r>
      <w:r w:rsidRPr="00FA433F">
        <w:rPr>
          <w:noProof/>
          <w:webHidden/>
        </w:rPr>
        <w:t>10</w:t>
      </w:r>
    </w:p>
    <w:p w14:paraId="3B5402F9" w14:textId="77777777"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3.2.</w:t>
      </w:r>
      <w:r w:rsidRPr="00FA433F">
        <w:rPr>
          <w:noProof/>
        </w:rPr>
        <w:tab/>
        <w:t>Szacunkowy wpływ finansowy wniosku na środki</w:t>
      </w:r>
      <w:r w:rsidRPr="00FA433F">
        <w:rPr>
          <w:noProof/>
        </w:rPr>
        <w:tab/>
      </w:r>
      <w:r w:rsidRPr="00FA433F">
        <w:rPr>
          <w:noProof/>
          <w:webHidden/>
        </w:rPr>
        <w:t>12</w:t>
      </w:r>
    </w:p>
    <w:p w14:paraId="2102E592" w14:textId="77777777"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3.2.1.</w:t>
      </w:r>
      <w:r w:rsidRPr="00FA433F">
        <w:rPr>
          <w:noProof/>
        </w:rPr>
        <w:tab/>
        <w:t>Podsumowanie szacunkowego wpływu na środki operacyjne</w:t>
      </w:r>
      <w:r w:rsidRPr="00FA433F">
        <w:rPr>
          <w:noProof/>
        </w:rPr>
        <w:tab/>
      </w:r>
      <w:r w:rsidRPr="00FA433F">
        <w:rPr>
          <w:noProof/>
          <w:webHidden/>
        </w:rPr>
        <w:t>12</w:t>
      </w:r>
    </w:p>
    <w:p w14:paraId="072DE716" w14:textId="2DA61236"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3.2.1.1.</w:t>
      </w:r>
      <w:r w:rsidRPr="00FA433F">
        <w:rPr>
          <w:noProof/>
        </w:rPr>
        <w:tab/>
        <w:t>Środki</w:t>
      </w:r>
      <w:r w:rsidR="00FA433F" w:rsidRPr="00FA433F">
        <w:rPr>
          <w:noProof/>
        </w:rPr>
        <w:t xml:space="preserve"> z</w:t>
      </w:r>
      <w:r w:rsidR="00FA433F">
        <w:rPr>
          <w:noProof/>
        </w:rPr>
        <w:t> </w:t>
      </w:r>
      <w:r w:rsidR="00FA433F" w:rsidRPr="00FA433F">
        <w:rPr>
          <w:noProof/>
        </w:rPr>
        <w:t>uch</w:t>
      </w:r>
      <w:r w:rsidRPr="00FA433F">
        <w:rPr>
          <w:noProof/>
        </w:rPr>
        <w:t>walonego budżetu</w:t>
      </w:r>
      <w:r w:rsidRPr="00FA433F">
        <w:rPr>
          <w:noProof/>
        </w:rPr>
        <w:tab/>
      </w:r>
      <w:r w:rsidRPr="00FA433F">
        <w:rPr>
          <w:noProof/>
          <w:webHidden/>
        </w:rPr>
        <w:t>12</w:t>
      </w:r>
    </w:p>
    <w:p w14:paraId="0706F0B1" w14:textId="249F53AC"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3.2.1.2.</w:t>
      </w:r>
      <w:r w:rsidRPr="00FA433F">
        <w:rPr>
          <w:noProof/>
        </w:rPr>
        <w:tab/>
        <w:t>Środki</w:t>
      </w:r>
      <w:r w:rsidR="00FA433F" w:rsidRPr="00FA433F">
        <w:rPr>
          <w:noProof/>
        </w:rPr>
        <w:t xml:space="preserve"> z</w:t>
      </w:r>
      <w:r w:rsidR="00FA433F">
        <w:rPr>
          <w:noProof/>
        </w:rPr>
        <w:t> </w:t>
      </w:r>
      <w:r w:rsidR="00FA433F" w:rsidRPr="00FA433F">
        <w:rPr>
          <w:noProof/>
        </w:rPr>
        <w:t>zew</w:t>
      </w:r>
      <w:r w:rsidRPr="00FA433F">
        <w:rPr>
          <w:noProof/>
        </w:rPr>
        <w:t>nętrznych dochodów przeznaczonych na określony cel</w:t>
      </w:r>
      <w:r w:rsidRPr="00FA433F">
        <w:rPr>
          <w:noProof/>
        </w:rPr>
        <w:tab/>
      </w:r>
      <w:r w:rsidRPr="00FA433F">
        <w:rPr>
          <w:noProof/>
          <w:webHidden/>
        </w:rPr>
        <w:t>17</w:t>
      </w:r>
    </w:p>
    <w:p w14:paraId="304C6488" w14:textId="77777777"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3.2.2.</w:t>
      </w:r>
      <w:r w:rsidRPr="00FA433F">
        <w:rPr>
          <w:noProof/>
        </w:rPr>
        <w:tab/>
        <w:t>Szacowany produkt finansowany ze środków operacyjnych</w:t>
      </w:r>
      <w:r w:rsidRPr="00FA433F">
        <w:rPr>
          <w:noProof/>
        </w:rPr>
        <w:tab/>
      </w:r>
      <w:r w:rsidRPr="00FA433F">
        <w:rPr>
          <w:noProof/>
          <w:webHidden/>
        </w:rPr>
        <w:t>22</w:t>
      </w:r>
    </w:p>
    <w:p w14:paraId="7DB99204" w14:textId="77777777"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3.2.3.</w:t>
      </w:r>
      <w:r w:rsidRPr="00FA433F">
        <w:rPr>
          <w:noProof/>
        </w:rPr>
        <w:tab/>
        <w:t>Podsumowanie szacunkowego wpływu na środki administracyjne</w:t>
      </w:r>
      <w:r w:rsidRPr="00FA433F">
        <w:rPr>
          <w:noProof/>
        </w:rPr>
        <w:tab/>
      </w:r>
      <w:r w:rsidRPr="00FA433F">
        <w:rPr>
          <w:noProof/>
          <w:webHidden/>
        </w:rPr>
        <w:t>24</w:t>
      </w:r>
    </w:p>
    <w:p w14:paraId="532390C6" w14:textId="7F8A5DA1"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3.2.3.1. Środki</w:t>
      </w:r>
      <w:r w:rsidR="00FA433F" w:rsidRPr="00FA433F">
        <w:rPr>
          <w:noProof/>
        </w:rPr>
        <w:t xml:space="preserve"> z</w:t>
      </w:r>
      <w:r w:rsidR="00FA433F">
        <w:rPr>
          <w:noProof/>
        </w:rPr>
        <w:t> </w:t>
      </w:r>
      <w:r w:rsidR="00FA433F" w:rsidRPr="00FA433F">
        <w:rPr>
          <w:noProof/>
        </w:rPr>
        <w:t>uch</w:t>
      </w:r>
      <w:r w:rsidRPr="00FA433F">
        <w:rPr>
          <w:noProof/>
        </w:rPr>
        <w:t>walonego budżetu</w:t>
      </w:r>
      <w:r w:rsidRPr="00FA433F">
        <w:rPr>
          <w:noProof/>
        </w:rPr>
        <w:tab/>
      </w:r>
      <w:r w:rsidRPr="00FA433F">
        <w:rPr>
          <w:noProof/>
          <w:webHidden/>
        </w:rPr>
        <w:t>24</w:t>
      </w:r>
    </w:p>
    <w:p w14:paraId="1675D65F" w14:textId="0C0E0BB8"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3.2.3.2.</w:t>
      </w:r>
      <w:r w:rsidRPr="00FA433F">
        <w:rPr>
          <w:noProof/>
        </w:rPr>
        <w:tab/>
        <w:t>Środki</w:t>
      </w:r>
      <w:r w:rsidR="00FA433F" w:rsidRPr="00FA433F">
        <w:rPr>
          <w:noProof/>
        </w:rPr>
        <w:t xml:space="preserve"> z</w:t>
      </w:r>
      <w:r w:rsidR="00FA433F">
        <w:rPr>
          <w:noProof/>
        </w:rPr>
        <w:t> </w:t>
      </w:r>
      <w:r w:rsidR="00FA433F" w:rsidRPr="00FA433F">
        <w:rPr>
          <w:noProof/>
        </w:rPr>
        <w:t>zew</w:t>
      </w:r>
      <w:r w:rsidRPr="00FA433F">
        <w:rPr>
          <w:noProof/>
        </w:rPr>
        <w:t>nętrznych dochodów przeznaczonych na określony cel</w:t>
      </w:r>
      <w:r w:rsidRPr="00FA433F">
        <w:rPr>
          <w:noProof/>
        </w:rPr>
        <w:tab/>
      </w:r>
      <w:r w:rsidRPr="00FA433F">
        <w:rPr>
          <w:noProof/>
          <w:webHidden/>
        </w:rPr>
        <w:t>24</w:t>
      </w:r>
    </w:p>
    <w:p w14:paraId="41ADB734" w14:textId="77777777"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3.2.3.3.</w:t>
      </w:r>
      <w:r w:rsidRPr="00FA433F">
        <w:rPr>
          <w:noProof/>
        </w:rPr>
        <w:tab/>
        <w:t>Ogółem środki</w:t>
      </w:r>
      <w:r w:rsidRPr="00FA433F">
        <w:rPr>
          <w:noProof/>
        </w:rPr>
        <w:tab/>
      </w:r>
      <w:r w:rsidRPr="00FA433F">
        <w:rPr>
          <w:noProof/>
          <w:webHidden/>
        </w:rPr>
        <w:t>24</w:t>
      </w:r>
    </w:p>
    <w:p w14:paraId="405A24AD" w14:textId="77777777"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3.2.4.</w:t>
      </w:r>
      <w:r w:rsidRPr="00FA433F">
        <w:rPr>
          <w:noProof/>
        </w:rPr>
        <w:tab/>
        <w:t>Szacowane zapotrzebowanie na zasoby ludzkie</w:t>
      </w:r>
      <w:r w:rsidRPr="00FA433F">
        <w:rPr>
          <w:noProof/>
        </w:rPr>
        <w:tab/>
      </w:r>
      <w:r w:rsidRPr="00FA433F">
        <w:rPr>
          <w:noProof/>
          <w:webHidden/>
        </w:rPr>
        <w:t>25</w:t>
      </w:r>
    </w:p>
    <w:p w14:paraId="5D3DD212" w14:textId="21E895C6"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3.2.4.1.</w:t>
      </w:r>
      <w:r w:rsidRPr="00FA433F">
        <w:rPr>
          <w:noProof/>
        </w:rPr>
        <w:tab/>
        <w:t>Finansowane</w:t>
      </w:r>
      <w:r w:rsidR="00FA433F" w:rsidRPr="00FA433F">
        <w:rPr>
          <w:noProof/>
        </w:rPr>
        <w:t xml:space="preserve"> z</w:t>
      </w:r>
      <w:r w:rsidR="00FA433F">
        <w:rPr>
          <w:noProof/>
        </w:rPr>
        <w:t> </w:t>
      </w:r>
      <w:r w:rsidR="00FA433F" w:rsidRPr="00FA433F">
        <w:rPr>
          <w:noProof/>
        </w:rPr>
        <w:t>uch</w:t>
      </w:r>
      <w:r w:rsidRPr="00FA433F">
        <w:rPr>
          <w:noProof/>
        </w:rPr>
        <w:t>walonego budżetu</w:t>
      </w:r>
      <w:r w:rsidRPr="00FA433F">
        <w:rPr>
          <w:noProof/>
        </w:rPr>
        <w:tab/>
      </w:r>
      <w:r w:rsidRPr="00FA433F">
        <w:rPr>
          <w:noProof/>
          <w:webHidden/>
        </w:rPr>
        <w:t>25</w:t>
      </w:r>
    </w:p>
    <w:p w14:paraId="27B0D27C" w14:textId="16C9074A"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3.2.4.2.</w:t>
      </w:r>
      <w:r w:rsidRPr="00FA433F">
        <w:rPr>
          <w:noProof/>
        </w:rPr>
        <w:tab/>
        <w:t>Finansowane</w:t>
      </w:r>
      <w:r w:rsidR="00FA433F" w:rsidRPr="00FA433F">
        <w:rPr>
          <w:noProof/>
        </w:rPr>
        <w:t xml:space="preserve"> z</w:t>
      </w:r>
      <w:r w:rsidR="00FA433F">
        <w:rPr>
          <w:noProof/>
        </w:rPr>
        <w:t> </w:t>
      </w:r>
      <w:r w:rsidR="00FA433F" w:rsidRPr="00FA433F">
        <w:rPr>
          <w:noProof/>
        </w:rPr>
        <w:t>zew</w:t>
      </w:r>
      <w:r w:rsidRPr="00FA433F">
        <w:rPr>
          <w:noProof/>
        </w:rPr>
        <w:t>nętrznych dochodów przeznaczonych na określony cel</w:t>
      </w:r>
      <w:r w:rsidRPr="00FA433F">
        <w:rPr>
          <w:noProof/>
        </w:rPr>
        <w:tab/>
      </w:r>
      <w:r w:rsidRPr="00FA433F">
        <w:rPr>
          <w:noProof/>
          <w:webHidden/>
        </w:rPr>
        <w:t>26</w:t>
      </w:r>
    </w:p>
    <w:p w14:paraId="45879FA3" w14:textId="77777777"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3.2.4.3.</w:t>
      </w:r>
      <w:r w:rsidRPr="00FA433F">
        <w:rPr>
          <w:noProof/>
        </w:rPr>
        <w:tab/>
        <w:t>Zapotrzebowanie na zasoby ludzkie ogółem</w:t>
      </w:r>
      <w:r w:rsidRPr="00FA433F">
        <w:rPr>
          <w:noProof/>
        </w:rPr>
        <w:tab/>
      </w:r>
      <w:r w:rsidRPr="00FA433F">
        <w:rPr>
          <w:noProof/>
          <w:webHidden/>
        </w:rPr>
        <w:t>26</w:t>
      </w:r>
    </w:p>
    <w:p w14:paraId="7F03F9B7" w14:textId="5549C49B"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3.2.5.</w:t>
      </w:r>
      <w:r w:rsidRPr="00FA433F">
        <w:rPr>
          <w:noProof/>
        </w:rPr>
        <w:tab/>
        <w:t>Przegląd szacowanego wpływu na inwestycje związane</w:t>
      </w:r>
      <w:r w:rsidR="00FA433F" w:rsidRPr="00FA433F">
        <w:rPr>
          <w:noProof/>
        </w:rPr>
        <w:t xml:space="preserve"> z</w:t>
      </w:r>
      <w:r w:rsidR="00FA433F">
        <w:rPr>
          <w:noProof/>
        </w:rPr>
        <w:t> </w:t>
      </w:r>
      <w:r w:rsidR="00FA433F" w:rsidRPr="00FA433F">
        <w:rPr>
          <w:noProof/>
        </w:rPr>
        <w:t>tec</w:t>
      </w:r>
      <w:r w:rsidRPr="00FA433F">
        <w:rPr>
          <w:noProof/>
        </w:rPr>
        <w:t>hnologiami cyfrowymi</w:t>
      </w:r>
      <w:r w:rsidRPr="00FA433F">
        <w:rPr>
          <w:noProof/>
        </w:rPr>
        <w:tab/>
      </w:r>
      <w:r w:rsidRPr="00FA433F">
        <w:rPr>
          <w:noProof/>
          <w:webHidden/>
        </w:rPr>
        <w:t>28</w:t>
      </w:r>
    </w:p>
    <w:p w14:paraId="568FE8F3" w14:textId="347FDDA5"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3.2.6.</w:t>
      </w:r>
      <w:r w:rsidRPr="00FA433F">
        <w:rPr>
          <w:noProof/>
        </w:rPr>
        <w:tab/>
        <w:t>Zgodność</w:t>
      </w:r>
      <w:r w:rsidR="00FA433F" w:rsidRPr="00FA433F">
        <w:rPr>
          <w:noProof/>
        </w:rPr>
        <w:t xml:space="preserve"> z</w:t>
      </w:r>
      <w:r w:rsidR="00FA433F">
        <w:rPr>
          <w:noProof/>
        </w:rPr>
        <w:t> </w:t>
      </w:r>
      <w:r w:rsidR="00FA433F" w:rsidRPr="00FA433F">
        <w:rPr>
          <w:noProof/>
        </w:rPr>
        <w:t>obo</w:t>
      </w:r>
      <w:r w:rsidRPr="00FA433F">
        <w:rPr>
          <w:noProof/>
        </w:rPr>
        <w:t>wiązującymi wieloletnimi ramami finansowymi</w:t>
      </w:r>
      <w:r w:rsidRPr="00FA433F">
        <w:rPr>
          <w:noProof/>
        </w:rPr>
        <w:tab/>
      </w:r>
      <w:r w:rsidRPr="00FA433F">
        <w:rPr>
          <w:noProof/>
          <w:webHidden/>
        </w:rPr>
        <w:t>28</w:t>
      </w:r>
    </w:p>
    <w:p w14:paraId="69E89BB3" w14:textId="29359DCC" w:rsidR="008A4C15" w:rsidRPr="00FA433F" w:rsidRDefault="008A4C15">
      <w:pPr>
        <w:pStyle w:val="Spistreci3"/>
        <w:rPr>
          <w:rFonts w:asciiTheme="minorHAnsi" w:eastAsiaTheme="minorEastAsia" w:hAnsiTheme="minorHAnsi" w:cstheme="minorBidi"/>
          <w:noProof/>
          <w:kern w:val="2"/>
          <w:sz w:val="22"/>
          <w14:ligatures w14:val="standardContextual"/>
        </w:rPr>
      </w:pPr>
      <w:r w:rsidRPr="00FA433F">
        <w:rPr>
          <w:noProof/>
        </w:rPr>
        <w:t>3.2.7.</w:t>
      </w:r>
      <w:r w:rsidRPr="00FA433F">
        <w:rPr>
          <w:noProof/>
        </w:rPr>
        <w:tab/>
        <w:t>Udział osób trzecich</w:t>
      </w:r>
      <w:r w:rsidR="00FA433F" w:rsidRPr="00FA433F">
        <w:rPr>
          <w:noProof/>
        </w:rPr>
        <w:t xml:space="preserve"> w</w:t>
      </w:r>
      <w:r w:rsidR="00FA433F">
        <w:rPr>
          <w:noProof/>
        </w:rPr>
        <w:t> </w:t>
      </w:r>
      <w:r w:rsidR="00FA433F" w:rsidRPr="00FA433F">
        <w:rPr>
          <w:noProof/>
        </w:rPr>
        <w:t>fin</w:t>
      </w:r>
      <w:r w:rsidRPr="00FA433F">
        <w:rPr>
          <w:noProof/>
        </w:rPr>
        <w:t>ansowaniu</w:t>
      </w:r>
      <w:r w:rsidRPr="00FA433F">
        <w:rPr>
          <w:noProof/>
        </w:rPr>
        <w:tab/>
      </w:r>
      <w:r w:rsidRPr="00FA433F">
        <w:rPr>
          <w:noProof/>
          <w:webHidden/>
        </w:rPr>
        <w:t>28</w:t>
      </w:r>
    </w:p>
    <w:p w14:paraId="1BAA11AC" w14:textId="77777777"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3.3.</w:t>
      </w:r>
      <w:r w:rsidRPr="00FA433F">
        <w:rPr>
          <w:noProof/>
        </w:rPr>
        <w:tab/>
        <w:t>Szacunkowy wpływ na dochody</w:t>
      </w:r>
      <w:r w:rsidRPr="00FA433F">
        <w:rPr>
          <w:noProof/>
        </w:rPr>
        <w:tab/>
      </w:r>
      <w:r w:rsidRPr="00FA433F">
        <w:rPr>
          <w:noProof/>
          <w:webHidden/>
        </w:rPr>
        <w:t>29</w:t>
      </w:r>
    </w:p>
    <w:p w14:paraId="6674BFAF" w14:textId="77777777" w:rsidR="008A4C15" w:rsidRPr="00FA433F" w:rsidRDefault="008A4C15">
      <w:pPr>
        <w:pStyle w:val="Spistreci1"/>
        <w:rPr>
          <w:rFonts w:asciiTheme="minorHAnsi" w:eastAsiaTheme="minorEastAsia" w:hAnsiTheme="minorHAnsi" w:cstheme="minorBidi"/>
          <w:noProof/>
          <w:kern w:val="2"/>
          <w:sz w:val="22"/>
          <w14:ligatures w14:val="standardContextual"/>
        </w:rPr>
      </w:pPr>
      <w:r w:rsidRPr="00FA433F">
        <w:rPr>
          <w:noProof/>
        </w:rPr>
        <w:t>4.</w:t>
      </w:r>
      <w:r w:rsidRPr="00FA433F">
        <w:rPr>
          <w:noProof/>
        </w:rPr>
        <w:tab/>
      </w:r>
      <w:r w:rsidRPr="00FA433F">
        <w:rPr>
          <w:caps/>
          <w:noProof/>
        </w:rPr>
        <w:t>Wymiar cyfrowy</w:t>
      </w:r>
      <w:r w:rsidRPr="00FA433F">
        <w:rPr>
          <w:noProof/>
        </w:rPr>
        <w:tab/>
      </w:r>
      <w:r w:rsidRPr="00FA433F">
        <w:rPr>
          <w:noProof/>
          <w:webHidden/>
        </w:rPr>
        <w:t>29</w:t>
      </w:r>
    </w:p>
    <w:p w14:paraId="27EA925D" w14:textId="77777777"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4.1.</w:t>
      </w:r>
      <w:r w:rsidRPr="00FA433F">
        <w:rPr>
          <w:noProof/>
        </w:rPr>
        <w:tab/>
        <w:t>Wymogi cyfrowe</w:t>
      </w:r>
      <w:r w:rsidRPr="00FA433F">
        <w:rPr>
          <w:noProof/>
        </w:rPr>
        <w:tab/>
      </w:r>
      <w:r w:rsidRPr="00FA433F">
        <w:rPr>
          <w:noProof/>
          <w:webHidden/>
        </w:rPr>
        <w:t>30</w:t>
      </w:r>
    </w:p>
    <w:p w14:paraId="6CFDC1F0" w14:textId="77777777"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4.2.</w:t>
      </w:r>
      <w:r w:rsidRPr="00FA433F">
        <w:rPr>
          <w:noProof/>
        </w:rPr>
        <w:tab/>
        <w:t>Dane</w:t>
      </w:r>
      <w:r w:rsidRPr="00FA433F">
        <w:rPr>
          <w:noProof/>
        </w:rPr>
        <w:tab/>
      </w:r>
      <w:r w:rsidRPr="00FA433F">
        <w:rPr>
          <w:noProof/>
          <w:webHidden/>
        </w:rPr>
        <w:t>30</w:t>
      </w:r>
    </w:p>
    <w:p w14:paraId="5E061151" w14:textId="77777777"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4.3.</w:t>
      </w:r>
      <w:r w:rsidRPr="00FA433F">
        <w:rPr>
          <w:noProof/>
        </w:rPr>
        <w:tab/>
        <w:t>Rozwiązania cyfrowe</w:t>
      </w:r>
      <w:r w:rsidRPr="00FA433F">
        <w:rPr>
          <w:noProof/>
        </w:rPr>
        <w:tab/>
      </w:r>
      <w:r w:rsidRPr="00FA433F">
        <w:rPr>
          <w:noProof/>
          <w:webHidden/>
        </w:rPr>
        <w:t>31</w:t>
      </w:r>
    </w:p>
    <w:p w14:paraId="29D33774" w14:textId="77777777"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4.4.</w:t>
      </w:r>
      <w:r w:rsidRPr="00FA433F">
        <w:rPr>
          <w:noProof/>
        </w:rPr>
        <w:tab/>
        <w:t>Ocena interoperacyjności</w:t>
      </w:r>
      <w:r w:rsidRPr="00FA433F">
        <w:rPr>
          <w:noProof/>
        </w:rPr>
        <w:tab/>
      </w:r>
      <w:r w:rsidRPr="00FA433F">
        <w:rPr>
          <w:noProof/>
          <w:webHidden/>
        </w:rPr>
        <w:t>31</w:t>
      </w:r>
    </w:p>
    <w:p w14:paraId="27032D9E" w14:textId="77777777" w:rsidR="008A4C15" w:rsidRPr="00FA433F" w:rsidRDefault="008A4C15">
      <w:pPr>
        <w:pStyle w:val="Spistreci2"/>
        <w:rPr>
          <w:rFonts w:asciiTheme="minorHAnsi" w:eastAsiaTheme="minorEastAsia" w:hAnsiTheme="minorHAnsi" w:cstheme="minorBidi"/>
          <w:noProof/>
          <w:kern w:val="2"/>
          <w:sz w:val="22"/>
          <w14:ligatures w14:val="standardContextual"/>
        </w:rPr>
      </w:pPr>
      <w:r w:rsidRPr="00FA433F">
        <w:rPr>
          <w:noProof/>
        </w:rPr>
        <w:t>4.5.</w:t>
      </w:r>
      <w:r w:rsidRPr="00FA433F">
        <w:rPr>
          <w:noProof/>
        </w:rPr>
        <w:tab/>
        <w:t>Środki wspierające cyfrowe wdrażanie</w:t>
      </w:r>
      <w:r w:rsidRPr="00FA433F">
        <w:rPr>
          <w:noProof/>
        </w:rPr>
        <w:tab/>
      </w:r>
      <w:r w:rsidRPr="00FA433F">
        <w:rPr>
          <w:noProof/>
          <w:webHidden/>
        </w:rPr>
        <w:t>32</w:t>
      </w:r>
    </w:p>
    <w:p w14:paraId="3FF9BD06" w14:textId="77777777" w:rsidR="008A4C15" w:rsidRPr="00FA433F" w:rsidRDefault="008A4C15" w:rsidP="00512B3C">
      <w:pPr>
        <w:pStyle w:val="Spistreci1"/>
        <w:rPr>
          <w:noProof/>
        </w:rPr>
        <w:sectPr w:rsidR="008A4C15" w:rsidRPr="00FA433F" w:rsidSect="007E5C27">
          <w:pgSz w:w="11907" w:h="16840" w:code="9"/>
          <w:pgMar w:top="1134" w:right="1418" w:bottom="1134" w:left="1418" w:header="709" w:footer="709" w:gutter="0"/>
          <w:pgNumType w:start="1"/>
          <w:cols w:space="720"/>
          <w:docGrid w:linePitch="360"/>
        </w:sectPr>
      </w:pPr>
    </w:p>
    <w:p w14:paraId="6AD5529D" w14:textId="77777777" w:rsidR="008A4C15" w:rsidRPr="00FA433F" w:rsidRDefault="008A4C15">
      <w:pPr>
        <w:pStyle w:val="ManualHeading1"/>
        <w:rPr>
          <w:noProof/>
        </w:rPr>
      </w:pPr>
      <w:bookmarkStart w:id="0" w:name="_Toc514938007"/>
      <w:bookmarkStart w:id="1" w:name="_Toc520485025"/>
      <w:bookmarkStart w:id="2" w:name="_Toc160804567"/>
      <w:bookmarkStart w:id="3" w:name="_Toc167220259"/>
      <w:bookmarkStart w:id="4" w:name="_Toc177548992"/>
      <w:r w:rsidRPr="00FA433F">
        <w:rPr>
          <w:noProof/>
        </w:rPr>
        <w:lastRenderedPageBreak/>
        <w:t>1.</w:t>
      </w:r>
      <w:r w:rsidRPr="00FA433F">
        <w:rPr>
          <w:noProof/>
        </w:rPr>
        <w:tab/>
        <w:t>STRUKTURA WNIOSKU/INICJATYWY</w:t>
      </w:r>
      <w:bookmarkEnd w:id="0"/>
      <w:bookmarkEnd w:id="1"/>
      <w:bookmarkEnd w:id="2"/>
      <w:bookmarkEnd w:id="3"/>
      <w:bookmarkEnd w:id="4"/>
      <w:r w:rsidRPr="00FA433F">
        <w:rPr>
          <w:noProof/>
        </w:rPr>
        <w:t xml:space="preserve"> </w:t>
      </w:r>
    </w:p>
    <w:p w14:paraId="14CF3D29" w14:textId="77777777" w:rsidR="008A4C15" w:rsidRPr="00FA433F" w:rsidRDefault="008A4C15">
      <w:pPr>
        <w:pStyle w:val="ManualHeading2"/>
        <w:rPr>
          <w:noProof/>
        </w:rPr>
      </w:pPr>
      <w:bookmarkStart w:id="5" w:name="_Toc514938008"/>
      <w:bookmarkStart w:id="6" w:name="_Toc520485026"/>
      <w:bookmarkStart w:id="7" w:name="_Toc160804568"/>
      <w:bookmarkStart w:id="8" w:name="_Toc167220260"/>
      <w:bookmarkStart w:id="9" w:name="_Toc177548993"/>
      <w:r w:rsidRPr="00FA433F">
        <w:rPr>
          <w:noProof/>
        </w:rPr>
        <w:t>1.1.</w:t>
      </w:r>
      <w:r w:rsidRPr="00FA433F">
        <w:rPr>
          <w:noProof/>
        </w:rPr>
        <w:tab/>
        <w:t>Tytuł wniosku/inicjatywy</w:t>
      </w:r>
      <w:bookmarkEnd w:id="5"/>
      <w:bookmarkEnd w:id="6"/>
      <w:bookmarkEnd w:id="7"/>
      <w:bookmarkEnd w:id="8"/>
      <w:bookmarkEnd w:id="9"/>
    </w:p>
    <w:p w14:paraId="6D6A0590" w14:textId="78A7142E" w:rsidR="008A4C15" w:rsidRPr="00FA433F" w:rsidRDefault="00FA3AA4">
      <w:pPr>
        <w:pStyle w:val="Text1"/>
        <w:pBdr>
          <w:top w:val="single" w:sz="4" w:space="1" w:color="auto"/>
          <w:left w:val="single" w:sz="4" w:space="4" w:color="auto"/>
          <w:bottom w:val="single" w:sz="4" w:space="1" w:color="auto"/>
          <w:right w:val="single" w:sz="4" w:space="4" w:color="auto"/>
        </w:pBdr>
        <w:rPr>
          <w:noProof/>
        </w:rPr>
      </w:pPr>
      <w:r w:rsidRPr="00FA433F">
        <w:rPr>
          <w:noProof/>
        </w:rPr>
        <w:t>Wniosek dotyczący rozporządzenia Parlamentu Europejskiego</w:t>
      </w:r>
      <w:r w:rsidR="00FA433F" w:rsidRPr="00FA433F">
        <w:rPr>
          <w:noProof/>
        </w:rPr>
        <w:t xml:space="preserve"> i</w:t>
      </w:r>
      <w:r w:rsidR="00FA433F">
        <w:rPr>
          <w:noProof/>
        </w:rPr>
        <w:t> </w:t>
      </w:r>
      <w:r w:rsidR="00FA433F" w:rsidRPr="00FA433F">
        <w:rPr>
          <w:noProof/>
        </w:rPr>
        <w:t>Rad</w:t>
      </w:r>
      <w:r w:rsidRPr="00FA433F">
        <w:rPr>
          <w:noProof/>
        </w:rPr>
        <w:t>y</w:t>
      </w:r>
      <w:r w:rsidR="00FA433F" w:rsidRPr="00FA433F">
        <w:rPr>
          <w:noProof/>
        </w:rPr>
        <w:t xml:space="preserve"> w</w:t>
      </w:r>
      <w:r w:rsidR="00FA433F">
        <w:rPr>
          <w:noProof/>
        </w:rPr>
        <w:t> </w:t>
      </w:r>
      <w:r w:rsidR="00FA433F" w:rsidRPr="00FA433F">
        <w:rPr>
          <w:noProof/>
        </w:rPr>
        <w:t>spr</w:t>
      </w:r>
      <w:r w:rsidRPr="00FA433F">
        <w:rPr>
          <w:noProof/>
        </w:rPr>
        <w:t>awie Tymczasowego Funduszu Dekarbonizacji</w:t>
      </w:r>
    </w:p>
    <w:p w14:paraId="176463F2" w14:textId="77777777" w:rsidR="008A4C15" w:rsidRPr="00FA433F" w:rsidRDefault="008A4C15">
      <w:pPr>
        <w:pStyle w:val="ManualHeading2"/>
        <w:rPr>
          <w:i/>
          <w:noProof/>
        </w:rPr>
      </w:pPr>
      <w:bookmarkStart w:id="10" w:name="_Toc514938011"/>
      <w:bookmarkStart w:id="11" w:name="_Toc520485027"/>
      <w:bookmarkStart w:id="12" w:name="_Toc160804569"/>
      <w:bookmarkStart w:id="13" w:name="_Toc167220261"/>
      <w:bookmarkStart w:id="14" w:name="_Toc177548994"/>
      <w:r w:rsidRPr="00FA433F">
        <w:rPr>
          <w:noProof/>
        </w:rPr>
        <w:t>1.2.</w:t>
      </w:r>
      <w:r w:rsidRPr="00FA433F">
        <w:rPr>
          <w:noProof/>
        </w:rPr>
        <w:tab/>
        <w:t>Obszary polityki, których dotyczy wniosek/inicjatywa</w:t>
      </w:r>
      <w:bookmarkEnd w:id="10"/>
      <w:bookmarkEnd w:id="11"/>
      <w:bookmarkEnd w:id="12"/>
      <w:bookmarkEnd w:id="13"/>
      <w:bookmarkEnd w:id="14"/>
      <w:r w:rsidRPr="00FA433F">
        <w:rPr>
          <w:i/>
          <w:noProof/>
        </w:rPr>
        <w:t xml:space="preserve"> </w:t>
      </w:r>
    </w:p>
    <w:p w14:paraId="015AED7F" w14:textId="19CFB5B2" w:rsidR="008A4C15" w:rsidRPr="00FA433F" w:rsidRDefault="00D84026">
      <w:pPr>
        <w:pStyle w:val="Text1"/>
        <w:pBdr>
          <w:top w:val="single" w:sz="4" w:space="1" w:color="auto"/>
          <w:left w:val="single" w:sz="4" w:space="4" w:color="auto"/>
          <w:bottom w:val="single" w:sz="4" w:space="1" w:color="auto"/>
          <w:right w:val="single" w:sz="4" w:space="4" w:color="auto"/>
        </w:pBdr>
        <w:rPr>
          <w:noProof/>
        </w:rPr>
      </w:pPr>
      <w:r w:rsidRPr="00FA433F">
        <w:rPr>
          <w:noProof/>
        </w:rPr>
        <w:t>Działania</w:t>
      </w:r>
      <w:r w:rsidR="00FA433F" w:rsidRPr="00FA433F">
        <w:rPr>
          <w:noProof/>
        </w:rPr>
        <w:t xml:space="preserve"> w</w:t>
      </w:r>
      <w:r w:rsidR="00FA433F">
        <w:rPr>
          <w:noProof/>
        </w:rPr>
        <w:t> </w:t>
      </w:r>
      <w:r w:rsidR="00FA433F" w:rsidRPr="00FA433F">
        <w:rPr>
          <w:noProof/>
        </w:rPr>
        <w:t>dzi</w:t>
      </w:r>
      <w:r w:rsidRPr="00FA433F">
        <w:rPr>
          <w:noProof/>
        </w:rPr>
        <w:t xml:space="preserve">edzinie klimatu </w:t>
      </w:r>
    </w:p>
    <w:p w14:paraId="1855C58E" w14:textId="77777777" w:rsidR="008A4C15" w:rsidRPr="00FA433F" w:rsidRDefault="008A4C15">
      <w:pPr>
        <w:pStyle w:val="ManualHeading2"/>
        <w:rPr>
          <w:noProof/>
        </w:rPr>
      </w:pPr>
      <w:bookmarkStart w:id="15" w:name="_Toc514938015"/>
      <w:bookmarkStart w:id="16" w:name="_Toc520485029"/>
      <w:bookmarkStart w:id="17" w:name="_Toc160804571"/>
      <w:bookmarkStart w:id="18" w:name="_Toc167220263"/>
      <w:bookmarkStart w:id="19" w:name="_Toc177548995"/>
      <w:r w:rsidRPr="00FA433F">
        <w:rPr>
          <w:noProof/>
        </w:rPr>
        <w:t>1.3.</w:t>
      </w:r>
      <w:r w:rsidRPr="00FA433F">
        <w:rPr>
          <w:noProof/>
        </w:rPr>
        <w:tab/>
        <w:t>Cel(e)</w:t>
      </w:r>
      <w:bookmarkEnd w:id="15"/>
      <w:bookmarkEnd w:id="16"/>
      <w:bookmarkEnd w:id="17"/>
      <w:bookmarkEnd w:id="18"/>
      <w:bookmarkEnd w:id="19"/>
    </w:p>
    <w:p w14:paraId="2D8896B4" w14:textId="77777777" w:rsidR="008A4C15" w:rsidRPr="00FA433F" w:rsidRDefault="008A4C15">
      <w:pPr>
        <w:pStyle w:val="ManualHeading3"/>
        <w:rPr>
          <w:noProof/>
        </w:rPr>
      </w:pPr>
      <w:bookmarkStart w:id="20" w:name="_Toc514938016"/>
      <w:bookmarkStart w:id="21" w:name="_Toc520485030"/>
      <w:bookmarkStart w:id="22" w:name="_Toc160804572"/>
      <w:bookmarkStart w:id="23" w:name="_Toc167220264"/>
      <w:bookmarkStart w:id="24" w:name="_Toc177548996"/>
      <w:r w:rsidRPr="00FA433F">
        <w:rPr>
          <w:noProof/>
        </w:rPr>
        <w:t>1.3.1.</w:t>
      </w:r>
      <w:r w:rsidRPr="00FA433F">
        <w:rPr>
          <w:noProof/>
        </w:rPr>
        <w:tab/>
        <w:t>Cel(e) ogólny(-e)</w:t>
      </w:r>
      <w:bookmarkEnd w:id="20"/>
      <w:bookmarkEnd w:id="21"/>
      <w:bookmarkEnd w:id="22"/>
      <w:bookmarkEnd w:id="23"/>
      <w:bookmarkEnd w:id="24"/>
    </w:p>
    <w:p w14:paraId="6C0A4C9F" w14:textId="076B51F1" w:rsidR="000B17D7" w:rsidRPr="00FA433F" w:rsidRDefault="000B17D7" w:rsidP="000B17D7">
      <w:pPr>
        <w:pStyle w:val="Text1"/>
        <w:pBdr>
          <w:top w:val="single" w:sz="4" w:space="1" w:color="auto"/>
          <w:left w:val="single" w:sz="4" w:space="4" w:color="auto"/>
          <w:bottom w:val="single" w:sz="4" w:space="1" w:color="auto"/>
          <w:right w:val="single" w:sz="4" w:space="4" w:color="auto"/>
        </w:pBdr>
        <w:rPr>
          <w:noProof/>
        </w:rPr>
      </w:pPr>
      <w:r w:rsidRPr="00FA433F">
        <w:rPr>
          <w:noProof/>
        </w:rPr>
        <w:t>W rozporządzeniu Parlamentu Europejskiego</w:t>
      </w:r>
      <w:r w:rsidR="00FA433F" w:rsidRPr="00FA433F">
        <w:rPr>
          <w:noProof/>
        </w:rPr>
        <w:t xml:space="preserve"> i</w:t>
      </w:r>
      <w:r w:rsidR="00FA433F">
        <w:rPr>
          <w:noProof/>
        </w:rPr>
        <w:t> </w:t>
      </w:r>
      <w:r w:rsidR="00FA433F" w:rsidRPr="00FA433F">
        <w:rPr>
          <w:noProof/>
        </w:rPr>
        <w:t>Rad</w:t>
      </w:r>
      <w:r w:rsidRPr="00FA433F">
        <w:rPr>
          <w:noProof/>
        </w:rPr>
        <w:t>y (UE) 2021/1119 („Europejskie prawo</w:t>
      </w:r>
      <w:r w:rsidR="00FA433F" w:rsidRPr="00FA433F">
        <w:rPr>
          <w:noProof/>
        </w:rPr>
        <w:t xml:space="preserve"> o</w:t>
      </w:r>
      <w:r w:rsidR="00FA433F">
        <w:rPr>
          <w:noProof/>
        </w:rPr>
        <w:t> </w:t>
      </w:r>
      <w:r w:rsidR="00FA433F" w:rsidRPr="00FA433F">
        <w:rPr>
          <w:noProof/>
        </w:rPr>
        <w:t>kli</w:t>
      </w:r>
      <w:r w:rsidRPr="00FA433F">
        <w:rPr>
          <w:noProof/>
        </w:rPr>
        <w:t>macie”) przyjęto prawnie wiążący, ogólnogospodarczy cel, jakim jest osiągniecie zerowych emisji gazów cieplarnianych netto najpóźniej do</w:t>
      </w:r>
      <w:r w:rsidR="00FA433F" w:rsidRPr="00FA433F">
        <w:rPr>
          <w:noProof/>
        </w:rPr>
        <w:t> </w:t>
      </w:r>
      <w:r w:rsidRPr="00FA433F">
        <w:rPr>
          <w:noProof/>
        </w:rPr>
        <w:t>2050 r., oraz pośredni cel redukcji emisji gazów cieplarnianych netto o co najmniej 55 % do</w:t>
      </w:r>
      <w:r w:rsidR="00FA433F" w:rsidRPr="00FA433F">
        <w:rPr>
          <w:noProof/>
        </w:rPr>
        <w:t> </w:t>
      </w:r>
      <w:r w:rsidRPr="00FA433F">
        <w:rPr>
          <w:noProof/>
        </w:rPr>
        <w:t>2030 r.</w:t>
      </w:r>
      <w:r w:rsidR="00FA433F" w:rsidRPr="00FA433F">
        <w:rPr>
          <w:noProof/>
        </w:rPr>
        <w:t xml:space="preserve"> w</w:t>
      </w:r>
      <w:r w:rsidR="00FA433F">
        <w:rPr>
          <w:noProof/>
        </w:rPr>
        <w:t> </w:t>
      </w:r>
      <w:r w:rsidR="00FA433F" w:rsidRPr="00FA433F">
        <w:rPr>
          <w:noProof/>
        </w:rPr>
        <w:t>por</w:t>
      </w:r>
      <w:r w:rsidRPr="00FA433F">
        <w:rPr>
          <w:noProof/>
        </w:rPr>
        <w:t>ównaniu</w:t>
      </w:r>
      <w:r w:rsidR="00FA433F" w:rsidRPr="00FA433F">
        <w:rPr>
          <w:noProof/>
        </w:rPr>
        <w:t xml:space="preserve"> z</w:t>
      </w:r>
      <w:r w:rsidR="00FA433F">
        <w:rPr>
          <w:noProof/>
        </w:rPr>
        <w:t> </w:t>
      </w:r>
      <w:r w:rsidR="00FA433F" w:rsidRPr="00FA433F">
        <w:rPr>
          <w:noProof/>
        </w:rPr>
        <w:t>poz</w:t>
      </w:r>
      <w:r w:rsidRPr="00FA433F">
        <w:rPr>
          <w:noProof/>
        </w:rPr>
        <w:t>iomami</w:t>
      </w:r>
      <w:r w:rsidR="00FA433F" w:rsidRPr="00FA433F">
        <w:rPr>
          <w:noProof/>
        </w:rPr>
        <w:t xml:space="preserve"> z</w:t>
      </w:r>
      <w:r w:rsidR="00FA433F">
        <w:rPr>
          <w:noProof/>
        </w:rPr>
        <w:t> </w:t>
      </w:r>
      <w:r w:rsidR="00FA433F" w:rsidRPr="00FA433F">
        <w:rPr>
          <w:noProof/>
        </w:rPr>
        <w:t>1</w:t>
      </w:r>
      <w:r w:rsidRPr="00FA433F">
        <w:rPr>
          <w:noProof/>
        </w:rPr>
        <w:t xml:space="preserve">990 r. </w:t>
      </w:r>
    </w:p>
    <w:p w14:paraId="622A4E0F" w14:textId="0C37C539" w:rsidR="008A4C15" w:rsidRPr="00FA433F" w:rsidRDefault="000B17D7" w:rsidP="000B17D7">
      <w:pPr>
        <w:pStyle w:val="Text1"/>
        <w:pBdr>
          <w:top w:val="single" w:sz="4" w:space="1" w:color="auto"/>
          <w:left w:val="single" w:sz="4" w:space="4" w:color="auto"/>
          <w:bottom w:val="single" w:sz="4" w:space="1" w:color="auto"/>
          <w:right w:val="single" w:sz="4" w:space="4" w:color="auto"/>
        </w:pBdr>
        <w:rPr>
          <w:noProof/>
        </w:rPr>
      </w:pPr>
      <w:r w:rsidRPr="00FA433F">
        <w:rPr>
          <w:noProof/>
        </w:rPr>
        <w:t>W lipcu 2025 r. Komisja Europejska zaproponowała cel redukcji emisji gazów cieplarnianych netto</w:t>
      </w:r>
      <w:r w:rsidR="00FA433F" w:rsidRPr="00FA433F">
        <w:rPr>
          <w:noProof/>
        </w:rPr>
        <w:t xml:space="preserve"> o</w:t>
      </w:r>
      <w:r w:rsidR="00FA433F">
        <w:rPr>
          <w:noProof/>
        </w:rPr>
        <w:t> </w:t>
      </w:r>
      <w:r w:rsidR="00FA433F" w:rsidRPr="00FA433F">
        <w:rPr>
          <w:noProof/>
        </w:rPr>
        <w:t>9</w:t>
      </w:r>
      <w:r w:rsidRPr="00FA433F">
        <w:rPr>
          <w:noProof/>
        </w:rPr>
        <w:t>0 % do</w:t>
      </w:r>
      <w:r w:rsidR="00FA433F" w:rsidRPr="00FA433F">
        <w:rPr>
          <w:noProof/>
        </w:rPr>
        <w:t> </w:t>
      </w:r>
      <w:r w:rsidRPr="00FA433F">
        <w:rPr>
          <w:noProof/>
        </w:rPr>
        <w:t>2040 r.</w:t>
      </w:r>
      <w:r w:rsidR="00FA433F" w:rsidRPr="00FA433F">
        <w:rPr>
          <w:noProof/>
        </w:rPr>
        <w:t xml:space="preserve"> w</w:t>
      </w:r>
      <w:r w:rsidR="00FA433F">
        <w:rPr>
          <w:noProof/>
        </w:rPr>
        <w:t> </w:t>
      </w:r>
      <w:r w:rsidR="00FA433F" w:rsidRPr="00FA433F">
        <w:rPr>
          <w:noProof/>
        </w:rPr>
        <w:t>por</w:t>
      </w:r>
      <w:r w:rsidRPr="00FA433F">
        <w:rPr>
          <w:noProof/>
        </w:rPr>
        <w:t>ównaniu</w:t>
      </w:r>
      <w:r w:rsidR="00FA433F" w:rsidRPr="00FA433F">
        <w:rPr>
          <w:noProof/>
        </w:rPr>
        <w:t xml:space="preserve"> z</w:t>
      </w:r>
      <w:r w:rsidR="00FA433F">
        <w:rPr>
          <w:noProof/>
        </w:rPr>
        <w:t> </w:t>
      </w:r>
      <w:r w:rsidR="00FA433F" w:rsidRPr="00FA433F">
        <w:rPr>
          <w:noProof/>
        </w:rPr>
        <w:t>poz</w:t>
      </w:r>
      <w:r w:rsidRPr="00FA433F">
        <w:rPr>
          <w:noProof/>
        </w:rPr>
        <w:t>iomami</w:t>
      </w:r>
      <w:r w:rsidR="00FA433F" w:rsidRPr="00FA433F">
        <w:rPr>
          <w:noProof/>
        </w:rPr>
        <w:t xml:space="preserve"> z</w:t>
      </w:r>
      <w:r w:rsidR="00FA433F">
        <w:rPr>
          <w:noProof/>
        </w:rPr>
        <w:t> </w:t>
      </w:r>
      <w:r w:rsidR="00FA433F" w:rsidRPr="00FA433F">
        <w:rPr>
          <w:noProof/>
        </w:rPr>
        <w:t>1</w:t>
      </w:r>
      <w:r w:rsidRPr="00FA433F">
        <w:rPr>
          <w:noProof/>
        </w:rPr>
        <w:t>990 r. Proponowany cel</w:t>
      </w:r>
      <w:r w:rsidR="00FA433F" w:rsidRPr="00FA433F">
        <w:rPr>
          <w:noProof/>
        </w:rPr>
        <w:t xml:space="preserve"> w</w:t>
      </w:r>
      <w:r w:rsidR="00FA433F">
        <w:rPr>
          <w:noProof/>
        </w:rPr>
        <w:t> </w:t>
      </w:r>
      <w:r w:rsidR="00FA433F" w:rsidRPr="00FA433F">
        <w:rPr>
          <w:noProof/>
        </w:rPr>
        <w:t>peł</w:t>
      </w:r>
      <w:r w:rsidRPr="00FA433F">
        <w:rPr>
          <w:noProof/>
        </w:rPr>
        <w:t>ni uwzględnia obecną sytuację gospodarczą</w:t>
      </w:r>
      <w:r w:rsidR="00FA433F" w:rsidRPr="00FA433F">
        <w:rPr>
          <w:noProof/>
        </w:rPr>
        <w:t xml:space="preserve"> i</w:t>
      </w:r>
      <w:r w:rsidR="00FA433F">
        <w:rPr>
          <w:noProof/>
        </w:rPr>
        <w:t> </w:t>
      </w:r>
      <w:r w:rsidR="00FA433F" w:rsidRPr="00FA433F">
        <w:rPr>
          <w:noProof/>
        </w:rPr>
        <w:t>geo</w:t>
      </w:r>
      <w:r w:rsidRPr="00FA433F">
        <w:rPr>
          <w:noProof/>
        </w:rPr>
        <w:t>polityczną oraz sytuację</w:t>
      </w:r>
      <w:r w:rsidR="00FA433F" w:rsidRPr="00FA433F">
        <w:rPr>
          <w:noProof/>
        </w:rPr>
        <w:t xml:space="preserve"> w</w:t>
      </w:r>
      <w:r w:rsidR="00FA433F">
        <w:rPr>
          <w:noProof/>
        </w:rPr>
        <w:t> </w:t>
      </w:r>
      <w:r w:rsidR="00FA433F" w:rsidRPr="00FA433F">
        <w:rPr>
          <w:noProof/>
        </w:rPr>
        <w:t>zak</w:t>
      </w:r>
      <w:r w:rsidRPr="00FA433F">
        <w:rPr>
          <w:noProof/>
        </w:rPr>
        <w:t>resie bezpieczeństwa zgodnie</w:t>
      </w:r>
      <w:r w:rsidR="00FA433F" w:rsidRPr="00FA433F">
        <w:rPr>
          <w:noProof/>
        </w:rPr>
        <w:t xml:space="preserve"> z</w:t>
      </w:r>
      <w:r w:rsidR="00FA433F">
        <w:rPr>
          <w:noProof/>
        </w:rPr>
        <w:t> </w:t>
      </w:r>
      <w:r w:rsidR="00FA433F" w:rsidRPr="00FA433F">
        <w:rPr>
          <w:noProof/>
        </w:rPr>
        <w:t>Kom</w:t>
      </w:r>
      <w:r w:rsidRPr="00FA433F">
        <w:rPr>
          <w:noProof/>
        </w:rPr>
        <w:t>pasem konkurencyjności dla UE, Paktem dla czystego przemysłu oraz Planem działania na rzecz przystępnej cenowo energii</w:t>
      </w:r>
      <w:r w:rsidR="00FA433F" w:rsidRPr="00FA433F">
        <w:rPr>
          <w:noProof/>
        </w:rPr>
        <w:t>. W</w:t>
      </w:r>
      <w:r w:rsidR="00FA433F">
        <w:rPr>
          <w:noProof/>
        </w:rPr>
        <w:t> </w:t>
      </w:r>
      <w:r w:rsidR="00FA433F" w:rsidRPr="00FA433F">
        <w:rPr>
          <w:noProof/>
        </w:rPr>
        <w:t>zam</w:t>
      </w:r>
      <w:r w:rsidRPr="00FA433F">
        <w:rPr>
          <w:noProof/>
        </w:rPr>
        <w:t>ierzeniu ma to zapewnić niezbędną przewidywalność</w:t>
      </w:r>
      <w:r w:rsidR="00FA433F" w:rsidRPr="00FA433F">
        <w:rPr>
          <w:noProof/>
        </w:rPr>
        <w:t xml:space="preserve"> i</w:t>
      </w:r>
      <w:r w:rsidR="00FA433F">
        <w:rPr>
          <w:noProof/>
        </w:rPr>
        <w:t> </w:t>
      </w:r>
      <w:r w:rsidR="00FA433F" w:rsidRPr="00FA433F">
        <w:rPr>
          <w:noProof/>
        </w:rPr>
        <w:t>sta</w:t>
      </w:r>
      <w:r w:rsidRPr="00FA433F">
        <w:rPr>
          <w:noProof/>
        </w:rPr>
        <w:t>bilność, które będą sprzyjać inwestycjom</w:t>
      </w:r>
      <w:r w:rsidR="00FA433F" w:rsidRPr="00FA433F">
        <w:rPr>
          <w:noProof/>
        </w:rPr>
        <w:t xml:space="preserve"> w</w:t>
      </w:r>
      <w:r w:rsidR="00FA433F">
        <w:rPr>
          <w:noProof/>
        </w:rPr>
        <w:t> </w:t>
      </w:r>
      <w:r w:rsidR="00FA433F" w:rsidRPr="00FA433F">
        <w:rPr>
          <w:noProof/>
        </w:rPr>
        <w:t>prz</w:t>
      </w:r>
      <w:r w:rsidRPr="00FA433F">
        <w:rPr>
          <w:noProof/>
        </w:rPr>
        <w:t>ejście UE na czystą energię oraz napędzaniu konkurencyjności przemysłu.</w:t>
      </w:r>
    </w:p>
    <w:p w14:paraId="0C01730A" w14:textId="77777777" w:rsidR="008A4C15" w:rsidRPr="00FA433F" w:rsidRDefault="008A4C15">
      <w:pPr>
        <w:pStyle w:val="ManualHeading3"/>
        <w:rPr>
          <w:noProof/>
        </w:rPr>
      </w:pPr>
      <w:bookmarkStart w:id="25" w:name="_Toc514938018"/>
      <w:bookmarkStart w:id="26" w:name="_Toc520485031"/>
      <w:bookmarkStart w:id="27" w:name="_Toc160804573"/>
      <w:bookmarkStart w:id="28" w:name="_Toc167220265"/>
      <w:bookmarkStart w:id="29" w:name="_Toc177548997"/>
      <w:r w:rsidRPr="00FA433F">
        <w:rPr>
          <w:noProof/>
        </w:rPr>
        <w:t>1.3.2.</w:t>
      </w:r>
      <w:r w:rsidRPr="00FA433F">
        <w:rPr>
          <w:noProof/>
        </w:rPr>
        <w:tab/>
        <w:t>Cel(e) szczegółowy(-e)</w:t>
      </w:r>
      <w:bookmarkEnd w:id="25"/>
      <w:bookmarkEnd w:id="26"/>
      <w:bookmarkEnd w:id="27"/>
      <w:bookmarkEnd w:id="28"/>
      <w:bookmarkEnd w:id="29"/>
    </w:p>
    <w:p w14:paraId="2EA6F517" w14:textId="77777777" w:rsidR="008A4C15" w:rsidRPr="00FA433F" w:rsidRDefault="008A4C15">
      <w:pPr>
        <w:pStyle w:val="Text1"/>
        <w:pBdr>
          <w:top w:val="single" w:sz="4" w:space="1" w:color="auto"/>
          <w:left w:val="single" w:sz="4" w:space="4" w:color="auto"/>
          <w:bottom w:val="single" w:sz="4" w:space="1" w:color="auto"/>
          <w:right w:val="single" w:sz="4" w:space="4" w:color="auto"/>
        </w:pBdr>
        <w:rPr>
          <w:noProof/>
          <w:u w:val="single"/>
        </w:rPr>
      </w:pPr>
      <w:r w:rsidRPr="00FA433F">
        <w:rPr>
          <w:noProof/>
          <w:u w:val="single"/>
        </w:rPr>
        <w:t>Cel szczegółowy</w:t>
      </w:r>
    </w:p>
    <w:p w14:paraId="56153E82" w14:textId="06A7F47E" w:rsidR="0022048C" w:rsidRPr="00FA433F" w:rsidRDefault="0022048C" w:rsidP="0022048C">
      <w:pPr>
        <w:pStyle w:val="Text1"/>
        <w:pBdr>
          <w:top w:val="single" w:sz="4" w:space="1" w:color="auto"/>
          <w:left w:val="single" w:sz="4" w:space="4" w:color="auto"/>
          <w:bottom w:val="single" w:sz="4" w:space="1" w:color="auto"/>
          <w:right w:val="single" w:sz="4" w:space="4" w:color="auto"/>
        </w:pBdr>
        <w:rPr>
          <w:noProof/>
        </w:rPr>
      </w:pPr>
      <w:r w:rsidRPr="00FA433F">
        <w:rPr>
          <w:noProof/>
        </w:rPr>
        <w:t>Mechanizm dostosowywania cen na granicach</w:t>
      </w:r>
      <w:r w:rsidR="00FA433F" w:rsidRPr="00FA433F">
        <w:rPr>
          <w:noProof/>
        </w:rPr>
        <w:t xml:space="preserve"> z</w:t>
      </w:r>
      <w:r w:rsidR="00FA433F">
        <w:rPr>
          <w:noProof/>
        </w:rPr>
        <w:t> </w:t>
      </w:r>
      <w:r w:rsidR="00FA433F" w:rsidRPr="00FA433F">
        <w:rPr>
          <w:noProof/>
        </w:rPr>
        <w:t>uwz</w:t>
      </w:r>
      <w:r w:rsidRPr="00FA433F">
        <w:rPr>
          <w:noProof/>
        </w:rPr>
        <w:t>ględnieniem emisji CO</w:t>
      </w:r>
      <w:r w:rsidRPr="00FA433F">
        <w:rPr>
          <w:noProof/>
          <w:vertAlign w:val="subscript"/>
        </w:rPr>
        <w:t>2</w:t>
      </w:r>
      <w:r w:rsidRPr="00FA433F">
        <w:rPr>
          <w:noProof/>
        </w:rPr>
        <w:t xml:space="preserve"> (CBAM) przeciwdziała ryzyku ucieczki emisji gazów cieplarnianych</w:t>
      </w:r>
      <w:r w:rsidR="00FA433F" w:rsidRPr="00FA433F">
        <w:rPr>
          <w:noProof/>
        </w:rPr>
        <w:t xml:space="preserve"> w</w:t>
      </w:r>
      <w:r w:rsidR="00FA433F">
        <w:rPr>
          <w:noProof/>
        </w:rPr>
        <w:t> </w:t>
      </w:r>
      <w:r w:rsidR="00FA433F" w:rsidRPr="00FA433F">
        <w:rPr>
          <w:noProof/>
        </w:rPr>
        <w:t>sek</w:t>
      </w:r>
      <w:r w:rsidRPr="00FA433F">
        <w:rPr>
          <w:noProof/>
        </w:rPr>
        <w:t>torach objętych tym mechanizmem. Istnieje jednak zagrożenie, że produkcja niektórych towarów może wiązać się ze szczególnie wysokim pozostałym ryzykiem ucieczki emisji. Inwestycje</w:t>
      </w:r>
      <w:r w:rsidR="00FA433F" w:rsidRPr="00FA433F">
        <w:rPr>
          <w:noProof/>
        </w:rPr>
        <w:t xml:space="preserve"> w</w:t>
      </w:r>
      <w:r w:rsidR="00FA433F">
        <w:rPr>
          <w:noProof/>
        </w:rPr>
        <w:t> </w:t>
      </w:r>
      <w:r w:rsidR="00FA433F" w:rsidRPr="00FA433F">
        <w:rPr>
          <w:noProof/>
        </w:rPr>
        <w:t>dek</w:t>
      </w:r>
      <w:r w:rsidRPr="00FA433F">
        <w:rPr>
          <w:noProof/>
        </w:rPr>
        <w:t>arbonizację mogą pomóc zmniejszyć narażenie tych operatorów na takie pozostałe ryzyko ucieczki emisji</w:t>
      </w:r>
      <w:r w:rsidR="00FA433F" w:rsidRPr="00FA433F">
        <w:rPr>
          <w:noProof/>
        </w:rPr>
        <w:t xml:space="preserve"> w</w:t>
      </w:r>
      <w:r w:rsidR="00FA433F">
        <w:rPr>
          <w:noProof/>
        </w:rPr>
        <w:t> </w:t>
      </w:r>
      <w:r w:rsidR="00FA433F" w:rsidRPr="00FA433F">
        <w:rPr>
          <w:noProof/>
        </w:rPr>
        <w:t>per</w:t>
      </w:r>
      <w:r w:rsidRPr="00FA433F">
        <w:rPr>
          <w:noProof/>
        </w:rPr>
        <w:t>spektywie średnio-</w:t>
      </w:r>
      <w:r w:rsidR="00FA433F" w:rsidRPr="00FA433F">
        <w:rPr>
          <w:noProof/>
        </w:rPr>
        <w:t xml:space="preserve"> i</w:t>
      </w:r>
      <w:r w:rsidR="00FA433F">
        <w:rPr>
          <w:noProof/>
        </w:rPr>
        <w:t> </w:t>
      </w:r>
      <w:r w:rsidR="00FA433F" w:rsidRPr="00FA433F">
        <w:rPr>
          <w:noProof/>
        </w:rPr>
        <w:t>dłu</w:t>
      </w:r>
      <w:r w:rsidRPr="00FA433F">
        <w:rPr>
          <w:noProof/>
        </w:rPr>
        <w:t xml:space="preserve">goterminowej. </w:t>
      </w:r>
    </w:p>
    <w:p w14:paraId="080BE230" w14:textId="2F24E683" w:rsidR="008A4C15" w:rsidRPr="00FA433F" w:rsidRDefault="0022048C" w:rsidP="0022048C">
      <w:pPr>
        <w:pStyle w:val="Text1"/>
        <w:pBdr>
          <w:top w:val="single" w:sz="4" w:space="1" w:color="auto"/>
          <w:left w:val="single" w:sz="4" w:space="4" w:color="auto"/>
          <w:bottom w:val="single" w:sz="4" w:space="1" w:color="auto"/>
          <w:right w:val="single" w:sz="4" w:space="4" w:color="auto"/>
        </w:pBdr>
        <w:rPr>
          <w:noProof/>
        </w:rPr>
      </w:pPr>
      <w:r w:rsidRPr="00FA433F">
        <w:rPr>
          <w:noProof/>
        </w:rPr>
        <w:t>Celem niniejszego wniosku jest tymczasowe wsparcie,</w:t>
      </w:r>
      <w:r w:rsidR="00FA433F" w:rsidRPr="00FA433F">
        <w:rPr>
          <w:noProof/>
        </w:rPr>
        <w:t xml:space="preserve"> w</w:t>
      </w:r>
      <w:r w:rsidR="00FA433F">
        <w:rPr>
          <w:noProof/>
        </w:rPr>
        <w:t> </w:t>
      </w:r>
      <w:r w:rsidR="00FA433F" w:rsidRPr="00FA433F">
        <w:rPr>
          <w:noProof/>
        </w:rPr>
        <w:t>lat</w:t>
      </w:r>
      <w:r w:rsidRPr="00FA433F">
        <w:rPr>
          <w:noProof/>
        </w:rPr>
        <w:t>ach produkcyjnych 2026</w:t>
      </w:r>
      <w:r w:rsidR="00FA433F" w:rsidRPr="00FA433F">
        <w:rPr>
          <w:noProof/>
        </w:rPr>
        <w:t xml:space="preserve"> i</w:t>
      </w:r>
      <w:r w:rsidR="00FA433F">
        <w:rPr>
          <w:noProof/>
        </w:rPr>
        <w:t> </w:t>
      </w:r>
      <w:r w:rsidR="00FA433F" w:rsidRPr="00FA433F">
        <w:rPr>
          <w:noProof/>
        </w:rPr>
        <w:t>2</w:t>
      </w:r>
      <w:r w:rsidRPr="00FA433F">
        <w:rPr>
          <w:noProof/>
        </w:rPr>
        <w:t>027, podmiotów produkujących towary,</w:t>
      </w:r>
      <w:r w:rsidR="00FA433F" w:rsidRPr="00FA433F">
        <w:rPr>
          <w:noProof/>
        </w:rPr>
        <w:t xml:space="preserve"> z</w:t>
      </w:r>
      <w:r w:rsidR="00FA433F">
        <w:rPr>
          <w:noProof/>
        </w:rPr>
        <w:t> </w:t>
      </w:r>
      <w:r w:rsidR="00FA433F" w:rsidRPr="00FA433F">
        <w:rPr>
          <w:noProof/>
        </w:rPr>
        <w:t>któ</w:t>
      </w:r>
      <w:r w:rsidRPr="00FA433F">
        <w:rPr>
          <w:noProof/>
        </w:rPr>
        <w:t>rymi wiąże się szczególnie podwyższone pozostałe ryzyko ucieczki emisji,</w:t>
      </w:r>
      <w:r w:rsidR="00FA433F" w:rsidRPr="00FA433F">
        <w:rPr>
          <w:noProof/>
        </w:rPr>
        <w:t xml:space="preserve"> w</w:t>
      </w:r>
      <w:r w:rsidR="00FA433F">
        <w:rPr>
          <w:noProof/>
        </w:rPr>
        <w:t> </w:t>
      </w:r>
      <w:r w:rsidR="00FA433F" w:rsidRPr="00FA433F">
        <w:rPr>
          <w:noProof/>
        </w:rPr>
        <w:t>cel</w:t>
      </w:r>
      <w:r w:rsidRPr="00FA433F">
        <w:rPr>
          <w:noProof/>
        </w:rPr>
        <w:t>u skutecznego inwestowania</w:t>
      </w:r>
      <w:r w:rsidR="00FA433F" w:rsidRPr="00FA433F">
        <w:rPr>
          <w:noProof/>
        </w:rPr>
        <w:t xml:space="preserve"> w</w:t>
      </w:r>
      <w:r w:rsidR="00FA433F">
        <w:rPr>
          <w:noProof/>
        </w:rPr>
        <w:t> </w:t>
      </w:r>
      <w:r w:rsidR="00FA433F" w:rsidRPr="00FA433F">
        <w:rPr>
          <w:noProof/>
        </w:rPr>
        <w:t>śro</w:t>
      </w:r>
      <w:r w:rsidRPr="00FA433F">
        <w:rPr>
          <w:noProof/>
        </w:rPr>
        <w:t>dki na rzecz dekarbonizacji.</w:t>
      </w:r>
    </w:p>
    <w:p w14:paraId="4AF10090" w14:textId="03AC2AF5" w:rsidR="008A4C15" w:rsidRPr="00FA433F" w:rsidRDefault="008A4C15">
      <w:pPr>
        <w:pStyle w:val="ManualHeading3"/>
        <w:rPr>
          <w:noProof/>
        </w:rPr>
      </w:pPr>
      <w:bookmarkStart w:id="30" w:name="_Toc514938019"/>
      <w:bookmarkStart w:id="31" w:name="_Toc520485032"/>
      <w:bookmarkStart w:id="32" w:name="_Toc160804574"/>
      <w:bookmarkStart w:id="33" w:name="_Toc167220266"/>
      <w:bookmarkStart w:id="34" w:name="_Toc177548998"/>
      <w:r w:rsidRPr="00FA433F">
        <w:rPr>
          <w:noProof/>
        </w:rPr>
        <w:t>1.3.3.</w:t>
      </w:r>
      <w:r w:rsidRPr="00FA433F">
        <w:rPr>
          <w:noProof/>
        </w:rPr>
        <w:tab/>
        <w:t>Oczekiwane wyniki</w:t>
      </w:r>
      <w:r w:rsidR="00FA433F" w:rsidRPr="00FA433F">
        <w:rPr>
          <w:noProof/>
        </w:rPr>
        <w:t xml:space="preserve"> i</w:t>
      </w:r>
      <w:r w:rsidR="00FA433F">
        <w:rPr>
          <w:noProof/>
        </w:rPr>
        <w:t> </w:t>
      </w:r>
      <w:r w:rsidR="00FA433F" w:rsidRPr="00FA433F">
        <w:rPr>
          <w:noProof/>
        </w:rPr>
        <w:t>wpł</w:t>
      </w:r>
      <w:r w:rsidRPr="00FA433F">
        <w:rPr>
          <w:noProof/>
        </w:rPr>
        <w:t>yw</w:t>
      </w:r>
      <w:bookmarkEnd w:id="30"/>
      <w:bookmarkEnd w:id="31"/>
      <w:bookmarkEnd w:id="32"/>
      <w:bookmarkEnd w:id="33"/>
      <w:bookmarkEnd w:id="34"/>
    </w:p>
    <w:p w14:paraId="1AAF65D6" w14:textId="77777777" w:rsidR="008A4C15" w:rsidRPr="00FA433F" w:rsidRDefault="008A4C15">
      <w:pPr>
        <w:pStyle w:val="Text1"/>
        <w:rPr>
          <w:i/>
          <w:noProof/>
          <w:sz w:val="20"/>
        </w:rPr>
      </w:pPr>
      <w:r w:rsidRPr="00FA433F">
        <w:rPr>
          <w:i/>
          <w:noProof/>
          <w:sz w:val="20"/>
        </w:rPr>
        <w:t>Należy wskazać, jakie efekty przyniesie wniosek/inicjatywa beneficjentom/grupie docelowej.</w:t>
      </w:r>
    </w:p>
    <w:p w14:paraId="55E28E32" w14:textId="765E5760" w:rsidR="00E9062C" w:rsidRPr="00FA433F" w:rsidRDefault="00E9062C" w:rsidP="00E9062C">
      <w:pPr>
        <w:pStyle w:val="Text1"/>
        <w:pBdr>
          <w:top w:val="single" w:sz="4" w:space="1" w:color="auto"/>
          <w:left w:val="single" w:sz="4" w:space="4" w:color="auto"/>
          <w:bottom w:val="single" w:sz="4" w:space="1" w:color="auto"/>
          <w:right w:val="single" w:sz="4" w:space="4" w:color="auto"/>
        </w:pBdr>
        <w:rPr>
          <w:noProof/>
        </w:rPr>
      </w:pPr>
      <w:r w:rsidRPr="00FA433F">
        <w:rPr>
          <w:noProof/>
        </w:rPr>
        <w:t>Oczekuje się, że rzeczywiste koszty emisji dwutlenku węgla ponoszone przez operatorów ETS wzrosną wraz ze zmniejszeniem przydziału bezpłatnych uprawnień,</w:t>
      </w:r>
      <w:r w:rsidR="00FA433F" w:rsidRPr="00FA433F">
        <w:rPr>
          <w:noProof/>
        </w:rPr>
        <w:t xml:space="preserve"> w</w:t>
      </w:r>
      <w:r w:rsidR="00FA433F">
        <w:rPr>
          <w:noProof/>
        </w:rPr>
        <w:t> </w:t>
      </w:r>
      <w:r w:rsidR="00FA433F" w:rsidRPr="00FA433F">
        <w:rPr>
          <w:noProof/>
        </w:rPr>
        <w:t>szc</w:t>
      </w:r>
      <w:r w:rsidRPr="00FA433F">
        <w:rPr>
          <w:noProof/>
        </w:rPr>
        <w:t>zególności</w:t>
      </w:r>
      <w:r w:rsidR="00FA433F" w:rsidRPr="00FA433F">
        <w:rPr>
          <w:noProof/>
        </w:rPr>
        <w:t xml:space="preserve"> w</w:t>
      </w:r>
      <w:r w:rsidR="00FA433F">
        <w:rPr>
          <w:noProof/>
        </w:rPr>
        <w:t> </w:t>
      </w:r>
      <w:r w:rsidR="00FA433F" w:rsidRPr="00FA433F">
        <w:rPr>
          <w:noProof/>
        </w:rPr>
        <w:t>prz</w:t>
      </w:r>
      <w:r w:rsidRPr="00FA433F">
        <w:rPr>
          <w:noProof/>
        </w:rPr>
        <w:t>ypadku operatorów objętych współczynnikiem CBAM. Oczekuje się, że ten zwiększony sygnał cenowy do obniżania emisyjności będzie promować racjonalne pod względem kosztów redukcje emisji gazów cieplarnianych. Produkcja niektórych towarów może jednak wiązać się ze zwiększonym pozostałym ryzykiem ucieczki emisji, któremu CBAM nie zapobiega</w:t>
      </w:r>
      <w:r w:rsidR="00FA433F" w:rsidRPr="00FA433F">
        <w:rPr>
          <w:noProof/>
        </w:rPr>
        <w:t xml:space="preserve"> w</w:t>
      </w:r>
      <w:r w:rsidR="00FA433F">
        <w:rPr>
          <w:noProof/>
        </w:rPr>
        <w:t> </w:t>
      </w:r>
      <w:r w:rsidR="00FA433F" w:rsidRPr="00FA433F">
        <w:rPr>
          <w:noProof/>
        </w:rPr>
        <w:t>peł</w:t>
      </w:r>
      <w:r w:rsidRPr="00FA433F">
        <w:rPr>
          <w:noProof/>
        </w:rPr>
        <w:t xml:space="preserve">ni. </w:t>
      </w:r>
    </w:p>
    <w:p w14:paraId="6F75EAA1" w14:textId="77777777" w:rsidR="00E9062C" w:rsidRPr="00FA433F" w:rsidRDefault="00E9062C" w:rsidP="00E9062C">
      <w:pPr>
        <w:pStyle w:val="Text1"/>
        <w:pBdr>
          <w:top w:val="single" w:sz="4" w:space="1" w:color="auto"/>
          <w:left w:val="single" w:sz="4" w:space="4" w:color="auto"/>
          <w:bottom w:val="single" w:sz="4" w:space="1" w:color="auto"/>
          <w:right w:val="single" w:sz="4" w:space="4" w:color="auto"/>
        </w:pBdr>
        <w:rPr>
          <w:noProof/>
        </w:rPr>
      </w:pPr>
      <w:r w:rsidRPr="00FA433F">
        <w:rPr>
          <w:noProof/>
        </w:rPr>
        <w:lastRenderedPageBreak/>
        <w:t xml:space="preserve"> </w:t>
      </w:r>
    </w:p>
    <w:p w14:paraId="19B713DC" w14:textId="4253348A" w:rsidR="008A4C15" w:rsidRPr="00FA433F" w:rsidRDefault="00E9062C" w:rsidP="00E9062C">
      <w:pPr>
        <w:pStyle w:val="Text1"/>
        <w:pBdr>
          <w:top w:val="single" w:sz="4" w:space="1" w:color="auto"/>
          <w:left w:val="single" w:sz="4" w:space="4" w:color="auto"/>
          <w:bottom w:val="single" w:sz="4" w:space="1" w:color="auto"/>
          <w:right w:val="single" w:sz="4" w:space="4" w:color="auto"/>
        </w:pBdr>
        <w:rPr>
          <w:noProof/>
        </w:rPr>
      </w:pPr>
      <w:r w:rsidRPr="00FA433F">
        <w:rPr>
          <w:noProof/>
        </w:rPr>
        <w:t>Proponowana inicjatywa zapewni tymczasowe wsparcie finansowe na przyspieszenie inwestycji</w:t>
      </w:r>
      <w:r w:rsidR="00FA433F" w:rsidRPr="00FA433F">
        <w:rPr>
          <w:noProof/>
        </w:rPr>
        <w:t xml:space="preserve"> w</w:t>
      </w:r>
      <w:r w:rsidR="00FA433F">
        <w:rPr>
          <w:noProof/>
        </w:rPr>
        <w:t> </w:t>
      </w:r>
      <w:r w:rsidR="00FA433F" w:rsidRPr="00FA433F">
        <w:rPr>
          <w:noProof/>
        </w:rPr>
        <w:t>śro</w:t>
      </w:r>
      <w:r w:rsidRPr="00FA433F">
        <w:rPr>
          <w:noProof/>
        </w:rPr>
        <w:t>dki na rzecz dekarbonizacji udzielane operatorom narażonym na pozostałe ryzyko ucieczki emisji. Tym samym pozwoli ograniczyć to ryzyko.</w:t>
      </w:r>
    </w:p>
    <w:p w14:paraId="1F818BA8" w14:textId="77777777" w:rsidR="008A4C15" w:rsidRPr="00FA433F" w:rsidRDefault="008A4C15">
      <w:pPr>
        <w:pStyle w:val="ManualHeading3"/>
        <w:rPr>
          <w:noProof/>
        </w:rPr>
      </w:pPr>
      <w:bookmarkStart w:id="35" w:name="_Toc514938023"/>
      <w:bookmarkStart w:id="36" w:name="_Toc520485033"/>
      <w:bookmarkStart w:id="37" w:name="_Toc160804575"/>
      <w:bookmarkStart w:id="38" w:name="_Toc167220267"/>
      <w:bookmarkStart w:id="39" w:name="_Toc177548999"/>
      <w:r w:rsidRPr="00FA433F">
        <w:rPr>
          <w:noProof/>
        </w:rPr>
        <w:t>1.3.4.</w:t>
      </w:r>
      <w:r w:rsidRPr="00FA433F">
        <w:rPr>
          <w:noProof/>
        </w:rPr>
        <w:tab/>
        <w:t>Wskaźniki dotyczące realizacji celów</w:t>
      </w:r>
      <w:bookmarkEnd w:id="35"/>
      <w:bookmarkEnd w:id="36"/>
      <w:bookmarkEnd w:id="37"/>
      <w:bookmarkEnd w:id="38"/>
      <w:bookmarkEnd w:id="39"/>
    </w:p>
    <w:p w14:paraId="47D7705E" w14:textId="18C6C6A9" w:rsidR="008A4C15" w:rsidRPr="00FA433F" w:rsidRDefault="008A4C15">
      <w:pPr>
        <w:pStyle w:val="Text1"/>
        <w:rPr>
          <w:i/>
          <w:noProof/>
          <w:sz w:val="20"/>
        </w:rPr>
      </w:pPr>
      <w:r w:rsidRPr="00FA433F">
        <w:rPr>
          <w:i/>
          <w:noProof/>
          <w:sz w:val="20"/>
        </w:rPr>
        <w:t>Należy wskazać wskaźniki stosowane do monitorowania postępów</w:t>
      </w:r>
      <w:r w:rsidR="00FA433F" w:rsidRPr="00FA433F">
        <w:rPr>
          <w:i/>
          <w:noProof/>
          <w:sz w:val="20"/>
        </w:rPr>
        <w:t xml:space="preserve"> i</w:t>
      </w:r>
      <w:r w:rsidR="00FA433F">
        <w:rPr>
          <w:i/>
          <w:noProof/>
          <w:sz w:val="20"/>
        </w:rPr>
        <w:t> </w:t>
      </w:r>
      <w:r w:rsidR="00FA433F" w:rsidRPr="00FA433F">
        <w:rPr>
          <w:i/>
          <w:noProof/>
          <w:sz w:val="20"/>
        </w:rPr>
        <w:t>osi</w:t>
      </w:r>
      <w:r w:rsidRPr="00FA433F">
        <w:rPr>
          <w:i/>
          <w:noProof/>
          <w:sz w:val="20"/>
        </w:rPr>
        <w:t>ągnięć.</w:t>
      </w:r>
    </w:p>
    <w:p w14:paraId="2EFE92CD" w14:textId="77777777" w:rsidR="00546578" w:rsidRPr="00FA433F" w:rsidRDefault="00546578" w:rsidP="00546578">
      <w:pPr>
        <w:pStyle w:val="Text1"/>
        <w:pBdr>
          <w:top w:val="single" w:sz="4" w:space="1" w:color="auto"/>
          <w:left w:val="single" w:sz="4" w:space="4" w:color="auto"/>
          <w:bottom w:val="single" w:sz="4" w:space="1" w:color="auto"/>
          <w:right w:val="single" w:sz="4" w:space="4" w:color="auto"/>
        </w:pBdr>
        <w:rPr>
          <w:noProof/>
        </w:rPr>
      </w:pPr>
      <w:r w:rsidRPr="00FA433F">
        <w:rPr>
          <w:noProof/>
        </w:rPr>
        <w:t>Wsparcie finansowe na obniżanie emisyjności udzielane operatorom narażonym na pozostałe ryzyko ucieczki emisji</w:t>
      </w:r>
    </w:p>
    <w:p w14:paraId="77529557" w14:textId="5C21F958" w:rsidR="00546578" w:rsidRPr="00FA433F" w:rsidRDefault="00546578" w:rsidP="00546578">
      <w:pPr>
        <w:pStyle w:val="Text1"/>
        <w:pBdr>
          <w:top w:val="single" w:sz="4" w:space="1" w:color="auto"/>
          <w:left w:val="single" w:sz="4" w:space="4" w:color="auto"/>
          <w:bottom w:val="single" w:sz="4" w:space="1" w:color="auto"/>
          <w:right w:val="single" w:sz="4" w:space="4" w:color="auto"/>
        </w:pBdr>
        <w:rPr>
          <w:noProof/>
        </w:rPr>
      </w:pPr>
      <w:r w:rsidRPr="00FA433F">
        <w:rPr>
          <w:noProof/>
        </w:rPr>
        <w:t>Wykazanie wdrożenia zaleceń</w:t>
      </w:r>
      <w:r w:rsidR="00FA433F" w:rsidRPr="00FA433F">
        <w:rPr>
          <w:noProof/>
        </w:rPr>
        <w:t xml:space="preserve"> z</w:t>
      </w:r>
      <w:r w:rsidR="00FA433F">
        <w:rPr>
          <w:noProof/>
        </w:rPr>
        <w:t> </w:t>
      </w:r>
      <w:r w:rsidR="00FA433F" w:rsidRPr="00FA433F">
        <w:rPr>
          <w:noProof/>
        </w:rPr>
        <w:t>aud</w:t>
      </w:r>
      <w:r w:rsidRPr="00FA433F">
        <w:rPr>
          <w:noProof/>
        </w:rPr>
        <w:t>ytu energetycznego</w:t>
      </w:r>
    </w:p>
    <w:p w14:paraId="363826C3" w14:textId="1DED09F3" w:rsidR="008A4C15" w:rsidRPr="00FA433F" w:rsidRDefault="00546578" w:rsidP="00546578">
      <w:pPr>
        <w:pStyle w:val="Text1"/>
        <w:pBdr>
          <w:top w:val="single" w:sz="4" w:space="1" w:color="auto"/>
          <w:left w:val="single" w:sz="4" w:space="4" w:color="auto"/>
          <w:bottom w:val="single" w:sz="4" w:space="1" w:color="auto"/>
          <w:right w:val="single" w:sz="4" w:space="4" w:color="auto"/>
        </w:pBdr>
        <w:rPr>
          <w:noProof/>
        </w:rPr>
      </w:pPr>
      <w:r w:rsidRPr="00FA433F">
        <w:rPr>
          <w:noProof/>
        </w:rPr>
        <w:t>Potwierdzone inwestycje</w:t>
      </w:r>
      <w:r w:rsidR="00FA433F" w:rsidRPr="00FA433F">
        <w:rPr>
          <w:noProof/>
        </w:rPr>
        <w:t xml:space="preserve"> w</w:t>
      </w:r>
      <w:r w:rsidR="00FA433F">
        <w:rPr>
          <w:noProof/>
        </w:rPr>
        <w:t> </w:t>
      </w:r>
      <w:r w:rsidR="00FA433F" w:rsidRPr="00FA433F">
        <w:rPr>
          <w:noProof/>
        </w:rPr>
        <w:t>dek</w:t>
      </w:r>
      <w:r w:rsidRPr="00FA433F">
        <w:rPr>
          <w:noProof/>
        </w:rPr>
        <w:t>arbonizację</w:t>
      </w:r>
    </w:p>
    <w:p w14:paraId="2333DFEF" w14:textId="77777777" w:rsidR="008A4C15" w:rsidRPr="00FA433F" w:rsidRDefault="008A4C15">
      <w:pPr>
        <w:pStyle w:val="ManualHeading2"/>
        <w:rPr>
          <w:noProof/>
        </w:rPr>
      </w:pPr>
      <w:bookmarkStart w:id="40" w:name="_Toc177549000"/>
      <w:r w:rsidRPr="00FA433F">
        <w:rPr>
          <w:noProof/>
        </w:rPr>
        <w:t>1.4.</w:t>
      </w:r>
      <w:r w:rsidRPr="00FA433F">
        <w:rPr>
          <w:noProof/>
        </w:rPr>
        <w:tab/>
        <w:t>Wniosek/inicjatywa dotyczy:</w:t>
      </w:r>
      <w:bookmarkEnd w:id="40"/>
      <w:r w:rsidRPr="00FA433F">
        <w:rPr>
          <w:noProof/>
        </w:rPr>
        <w:t xml:space="preserve"> </w:t>
      </w:r>
    </w:p>
    <w:p w14:paraId="1822862E" w14:textId="77777777" w:rsidR="008A4C15" w:rsidRPr="00FA433F" w:rsidRDefault="00447C73">
      <w:pPr>
        <w:pStyle w:val="Text1"/>
        <w:rPr>
          <w:noProof/>
          <w:sz w:val="22"/>
        </w:rPr>
      </w:pPr>
      <w:r w:rsidRPr="00FA433F">
        <w:rPr>
          <w:rFonts w:ascii="Wingdings" w:hAnsi="Wingdings"/>
          <w:noProof/>
          <w:sz w:val="22"/>
        </w:rPr>
        <w:t></w:t>
      </w:r>
      <w:r w:rsidRPr="00FA433F">
        <w:rPr>
          <w:i/>
          <w:noProof/>
          <w:sz w:val="22"/>
        </w:rPr>
        <w:t xml:space="preserve"> </w:t>
      </w:r>
      <w:r w:rsidRPr="00FA433F">
        <w:rPr>
          <w:noProof/>
        </w:rPr>
        <w:t>nowego działania</w:t>
      </w:r>
      <w:r w:rsidRPr="00FA433F">
        <w:rPr>
          <w:noProof/>
          <w:sz w:val="22"/>
        </w:rPr>
        <w:t xml:space="preserve"> </w:t>
      </w:r>
    </w:p>
    <w:p w14:paraId="7F824895" w14:textId="77777777" w:rsidR="008A4C15" w:rsidRPr="00FA433F" w:rsidRDefault="008A4C15">
      <w:pPr>
        <w:pStyle w:val="Text1"/>
        <w:rPr>
          <w:noProof/>
          <w:sz w:val="22"/>
        </w:rPr>
      </w:pPr>
      <w:r w:rsidRPr="00FA433F">
        <w:rPr>
          <w:rFonts w:ascii="Wingdings" w:hAnsi="Wingdings"/>
          <w:noProof/>
          <w:sz w:val="22"/>
        </w:rPr>
        <w:t></w:t>
      </w:r>
      <w:r w:rsidRPr="00FA433F">
        <w:rPr>
          <w:i/>
          <w:noProof/>
          <w:sz w:val="22"/>
        </w:rPr>
        <w:t xml:space="preserve"> </w:t>
      </w:r>
      <w:r w:rsidRPr="00FA433F">
        <w:rPr>
          <w:noProof/>
        </w:rPr>
        <w:t>nowego działania, będącego następstwem projektu pilotażowego/działania przygotowawczego</w:t>
      </w:r>
      <w:r w:rsidRPr="00FA433F">
        <w:rPr>
          <w:rStyle w:val="Odwoanieprzypisudolnego"/>
          <w:noProof/>
        </w:rPr>
        <w:footnoteReference w:id="29"/>
      </w:r>
      <w:r w:rsidRPr="00FA433F">
        <w:rPr>
          <w:noProof/>
          <w:sz w:val="22"/>
        </w:rPr>
        <w:t xml:space="preserve"> </w:t>
      </w:r>
    </w:p>
    <w:p w14:paraId="44276CF9" w14:textId="77777777" w:rsidR="008A4C15" w:rsidRPr="00FA433F" w:rsidRDefault="008A4C15">
      <w:pPr>
        <w:pStyle w:val="Text1"/>
        <w:rPr>
          <w:noProof/>
          <w:sz w:val="22"/>
        </w:rPr>
      </w:pPr>
      <w:r w:rsidRPr="00FA433F">
        <w:rPr>
          <w:rFonts w:ascii="Wingdings" w:hAnsi="Wingdings"/>
          <w:noProof/>
          <w:sz w:val="22"/>
        </w:rPr>
        <w:t></w:t>
      </w:r>
      <w:r w:rsidRPr="00FA433F">
        <w:rPr>
          <w:i/>
          <w:noProof/>
          <w:sz w:val="22"/>
        </w:rPr>
        <w:t xml:space="preserve"> </w:t>
      </w:r>
      <w:r w:rsidRPr="00FA433F">
        <w:rPr>
          <w:noProof/>
        </w:rPr>
        <w:t>przedłużenia bieżącego działania</w:t>
      </w:r>
      <w:r w:rsidRPr="00FA433F">
        <w:rPr>
          <w:noProof/>
          <w:sz w:val="22"/>
        </w:rPr>
        <w:t xml:space="preserve"> </w:t>
      </w:r>
    </w:p>
    <w:p w14:paraId="378C5537" w14:textId="77777777" w:rsidR="008A4C15" w:rsidRPr="00FA433F" w:rsidRDefault="008A4C15">
      <w:pPr>
        <w:pStyle w:val="Text1"/>
        <w:rPr>
          <w:noProof/>
        </w:rPr>
      </w:pPr>
      <w:r w:rsidRPr="00FA433F">
        <w:rPr>
          <w:rFonts w:ascii="Wingdings" w:hAnsi="Wingdings"/>
          <w:noProof/>
          <w:sz w:val="22"/>
        </w:rPr>
        <w:t></w:t>
      </w:r>
      <w:r w:rsidRPr="00FA433F">
        <w:rPr>
          <w:i/>
          <w:noProof/>
          <w:sz w:val="22"/>
        </w:rPr>
        <w:t xml:space="preserve"> </w:t>
      </w:r>
      <w:r w:rsidRPr="00FA433F">
        <w:rPr>
          <w:noProof/>
        </w:rPr>
        <w:t>połączenia lub przekształcenia co najmniej jednego działania pod kątem innego/nowego działania</w:t>
      </w:r>
    </w:p>
    <w:p w14:paraId="1DADE0C5" w14:textId="77777777" w:rsidR="008A4C15" w:rsidRPr="00FA433F" w:rsidRDefault="008A4C15">
      <w:pPr>
        <w:pStyle w:val="ManualHeading2"/>
        <w:rPr>
          <w:bCs/>
          <w:noProof/>
          <w:szCs w:val="24"/>
        </w:rPr>
      </w:pPr>
      <w:bookmarkStart w:id="41" w:name="_Toc514938025"/>
      <w:bookmarkStart w:id="42" w:name="_Toc520485034"/>
      <w:bookmarkStart w:id="43" w:name="_Toc160804576"/>
      <w:bookmarkStart w:id="44" w:name="_Toc167220268"/>
      <w:bookmarkStart w:id="45" w:name="_Toc177549001"/>
      <w:r w:rsidRPr="00FA433F">
        <w:rPr>
          <w:noProof/>
        </w:rPr>
        <w:t>1.5.</w:t>
      </w:r>
      <w:r w:rsidRPr="00FA433F">
        <w:rPr>
          <w:noProof/>
        </w:rPr>
        <w:tab/>
        <w:t>Uzasadnienie wniosku/inicjatywy</w:t>
      </w:r>
      <w:bookmarkEnd w:id="41"/>
      <w:bookmarkEnd w:id="42"/>
      <w:bookmarkEnd w:id="43"/>
      <w:bookmarkEnd w:id="44"/>
      <w:bookmarkEnd w:id="45"/>
      <w:r w:rsidRPr="00FA433F">
        <w:rPr>
          <w:noProof/>
        </w:rPr>
        <w:t xml:space="preserve"> </w:t>
      </w:r>
    </w:p>
    <w:p w14:paraId="3294AB7A" w14:textId="3D07FC88" w:rsidR="008A4C15" w:rsidRPr="00FA433F" w:rsidRDefault="008A4C15">
      <w:pPr>
        <w:pStyle w:val="ManualHeading3"/>
        <w:rPr>
          <w:noProof/>
        </w:rPr>
      </w:pPr>
      <w:bookmarkStart w:id="46" w:name="_Toc514938026"/>
      <w:bookmarkStart w:id="47" w:name="_Toc520485035"/>
      <w:bookmarkStart w:id="48" w:name="_Toc160804577"/>
      <w:bookmarkStart w:id="49" w:name="_Toc167220269"/>
      <w:bookmarkStart w:id="50" w:name="_Toc177549002"/>
      <w:r w:rsidRPr="00FA433F">
        <w:rPr>
          <w:noProof/>
        </w:rPr>
        <w:t>1.5.1.</w:t>
      </w:r>
      <w:r w:rsidRPr="00FA433F">
        <w:rPr>
          <w:noProof/>
        </w:rPr>
        <w:tab/>
        <w:t>Potrzeby, które należy zaspokoić</w:t>
      </w:r>
      <w:r w:rsidR="00FA433F" w:rsidRPr="00FA433F">
        <w:rPr>
          <w:noProof/>
        </w:rPr>
        <w:t xml:space="preserve"> w</w:t>
      </w:r>
      <w:r w:rsidR="00FA433F">
        <w:rPr>
          <w:noProof/>
        </w:rPr>
        <w:t> </w:t>
      </w:r>
      <w:r w:rsidR="00FA433F" w:rsidRPr="00FA433F">
        <w:rPr>
          <w:noProof/>
        </w:rPr>
        <w:t>per</w:t>
      </w:r>
      <w:r w:rsidRPr="00FA433F">
        <w:rPr>
          <w:noProof/>
        </w:rPr>
        <w:t>spektywie krótko-, średnio- lub długoterminowej,</w:t>
      </w:r>
      <w:r w:rsidR="00FA433F" w:rsidRPr="00FA433F">
        <w:rPr>
          <w:noProof/>
        </w:rPr>
        <w:t xml:space="preserve"> w</w:t>
      </w:r>
      <w:r w:rsidR="00FA433F">
        <w:rPr>
          <w:noProof/>
        </w:rPr>
        <w:t> </w:t>
      </w:r>
      <w:r w:rsidR="00FA433F" w:rsidRPr="00FA433F">
        <w:rPr>
          <w:noProof/>
        </w:rPr>
        <w:t>tym</w:t>
      </w:r>
      <w:r w:rsidRPr="00FA433F">
        <w:rPr>
          <w:noProof/>
        </w:rPr>
        <w:t xml:space="preserve"> szczegółowy terminarz przebiegu realizacji inicjatywy</w:t>
      </w:r>
      <w:bookmarkEnd w:id="46"/>
      <w:bookmarkEnd w:id="47"/>
      <w:bookmarkEnd w:id="48"/>
      <w:bookmarkEnd w:id="49"/>
      <w:bookmarkEnd w:id="50"/>
    </w:p>
    <w:p w14:paraId="0C832CDB" w14:textId="36C56D46" w:rsidR="003F2246" w:rsidRPr="00FA433F" w:rsidRDefault="003F2246">
      <w:pPr>
        <w:pStyle w:val="Text1"/>
        <w:pBdr>
          <w:top w:val="single" w:sz="4" w:space="1" w:color="auto"/>
          <w:left w:val="single" w:sz="4" w:space="4" w:color="auto"/>
          <w:bottom w:val="single" w:sz="4" w:space="1" w:color="auto"/>
          <w:right w:val="single" w:sz="4" w:space="4" w:color="auto"/>
        </w:pBdr>
        <w:rPr>
          <w:noProof/>
        </w:rPr>
      </w:pPr>
      <w:r w:rsidRPr="00FA433F">
        <w:rPr>
          <w:noProof/>
        </w:rPr>
        <w:t>Za spadek emisji</w:t>
      </w:r>
      <w:r w:rsidR="00FA433F" w:rsidRPr="00FA433F">
        <w:rPr>
          <w:noProof/>
        </w:rPr>
        <w:t xml:space="preserve"> w</w:t>
      </w:r>
      <w:r w:rsidR="00FA433F">
        <w:rPr>
          <w:noProof/>
        </w:rPr>
        <w:t> </w:t>
      </w:r>
      <w:r w:rsidR="00FA433F" w:rsidRPr="00FA433F">
        <w:rPr>
          <w:noProof/>
        </w:rPr>
        <w:t>ram</w:t>
      </w:r>
      <w:r w:rsidRPr="00FA433F">
        <w:rPr>
          <w:noProof/>
        </w:rPr>
        <w:t>ach EU ETS</w:t>
      </w:r>
      <w:r w:rsidR="00FA433F" w:rsidRPr="00FA433F">
        <w:rPr>
          <w:noProof/>
        </w:rPr>
        <w:t xml:space="preserve"> w</w:t>
      </w:r>
      <w:r w:rsidR="00FA433F">
        <w:rPr>
          <w:noProof/>
        </w:rPr>
        <w:t> </w:t>
      </w:r>
      <w:r w:rsidR="00FA433F" w:rsidRPr="00FA433F">
        <w:rPr>
          <w:noProof/>
        </w:rPr>
        <w:t>ost</w:t>
      </w:r>
      <w:r w:rsidRPr="00FA433F">
        <w:rPr>
          <w:noProof/>
        </w:rPr>
        <w:t>atnich latach</w:t>
      </w:r>
      <w:r w:rsidR="00FA433F" w:rsidRPr="00FA433F">
        <w:rPr>
          <w:noProof/>
        </w:rPr>
        <w:t xml:space="preserve"> w</w:t>
      </w:r>
      <w:r w:rsidR="00FA433F">
        <w:rPr>
          <w:noProof/>
        </w:rPr>
        <w:t> </w:t>
      </w:r>
      <w:r w:rsidR="00FA433F" w:rsidRPr="00FA433F">
        <w:rPr>
          <w:noProof/>
        </w:rPr>
        <w:t>duż</w:t>
      </w:r>
      <w:r w:rsidRPr="00FA433F">
        <w:rPr>
          <w:noProof/>
        </w:rPr>
        <w:t>ej mierze odpowiadał sektor energii elektrycznej. Natomiast</w:t>
      </w:r>
      <w:r w:rsidR="00FA433F" w:rsidRPr="00FA433F">
        <w:rPr>
          <w:noProof/>
        </w:rPr>
        <w:t xml:space="preserve"> w</w:t>
      </w:r>
      <w:r w:rsidR="00FA433F">
        <w:rPr>
          <w:noProof/>
        </w:rPr>
        <w:t> </w:t>
      </w:r>
      <w:r w:rsidR="00FA433F" w:rsidRPr="00FA433F">
        <w:rPr>
          <w:noProof/>
        </w:rPr>
        <w:t>ene</w:t>
      </w:r>
      <w:r w:rsidRPr="00FA433F">
        <w:rPr>
          <w:noProof/>
        </w:rPr>
        <w:t>rgochłonnych gałęziach przemysłu odnotowano jedynie niewielki spadek, który częściowo wynikał również ze zmniejszenia produkcji. Dostępność</w:t>
      </w:r>
      <w:r w:rsidR="00FA433F" w:rsidRPr="00FA433F">
        <w:rPr>
          <w:noProof/>
        </w:rPr>
        <w:t xml:space="preserve"> i</w:t>
      </w:r>
      <w:r w:rsidR="00FA433F">
        <w:rPr>
          <w:noProof/>
        </w:rPr>
        <w:t> </w:t>
      </w:r>
      <w:r w:rsidR="00FA433F" w:rsidRPr="00FA433F">
        <w:rPr>
          <w:noProof/>
        </w:rPr>
        <w:t>prz</w:t>
      </w:r>
      <w:r w:rsidRPr="00FA433F">
        <w:rPr>
          <w:noProof/>
        </w:rPr>
        <w:t>ystępność cenowa opcji redukcji emisji</w:t>
      </w:r>
      <w:r w:rsidR="00FA433F" w:rsidRPr="00FA433F">
        <w:rPr>
          <w:noProof/>
        </w:rPr>
        <w:t xml:space="preserve"> w</w:t>
      </w:r>
      <w:r w:rsidR="00FA433F">
        <w:rPr>
          <w:noProof/>
        </w:rPr>
        <w:t> </w:t>
      </w:r>
      <w:r w:rsidR="00FA433F" w:rsidRPr="00FA433F">
        <w:rPr>
          <w:noProof/>
        </w:rPr>
        <w:t>tyc</w:t>
      </w:r>
      <w:r w:rsidRPr="00FA433F">
        <w:rPr>
          <w:noProof/>
        </w:rPr>
        <w:t>h sektorach nie jest jeszcze na poziomie, jaki występuje</w:t>
      </w:r>
      <w:r w:rsidR="00FA433F" w:rsidRPr="00FA433F">
        <w:rPr>
          <w:noProof/>
        </w:rPr>
        <w:t xml:space="preserve"> w</w:t>
      </w:r>
      <w:r w:rsidR="00FA433F">
        <w:rPr>
          <w:noProof/>
        </w:rPr>
        <w:t> </w:t>
      </w:r>
      <w:r w:rsidR="00FA433F" w:rsidRPr="00FA433F">
        <w:rPr>
          <w:noProof/>
        </w:rPr>
        <w:t>sek</w:t>
      </w:r>
      <w:r w:rsidRPr="00FA433F">
        <w:rPr>
          <w:noProof/>
        </w:rPr>
        <w:t>torze energetycznym. Wskazuje to na potrzebę inwestowania</w:t>
      </w:r>
      <w:r w:rsidR="00FA433F" w:rsidRPr="00FA433F">
        <w:rPr>
          <w:noProof/>
        </w:rPr>
        <w:t xml:space="preserve"> w</w:t>
      </w:r>
      <w:r w:rsidR="00FA433F">
        <w:rPr>
          <w:noProof/>
        </w:rPr>
        <w:t> </w:t>
      </w:r>
      <w:r w:rsidR="00FA433F" w:rsidRPr="00FA433F">
        <w:rPr>
          <w:noProof/>
        </w:rPr>
        <w:t>śro</w:t>
      </w:r>
      <w:r w:rsidRPr="00FA433F">
        <w:rPr>
          <w:noProof/>
        </w:rPr>
        <w:t>dki na rzecz dekarbonizacji</w:t>
      </w:r>
      <w:r w:rsidR="00FA433F" w:rsidRPr="00FA433F">
        <w:rPr>
          <w:noProof/>
        </w:rPr>
        <w:t xml:space="preserve"> w</w:t>
      </w:r>
      <w:r w:rsidR="00FA433F">
        <w:rPr>
          <w:noProof/>
        </w:rPr>
        <w:t> </w:t>
      </w:r>
      <w:r w:rsidR="00FA433F" w:rsidRPr="00FA433F">
        <w:rPr>
          <w:noProof/>
        </w:rPr>
        <w:t>tyc</w:t>
      </w:r>
      <w:r w:rsidRPr="00FA433F">
        <w:rPr>
          <w:noProof/>
        </w:rPr>
        <w:t>h sektorach, ponieważ inwestycje te są potrzebne do osiągnięcia celów klimatycznych UE</w:t>
      </w:r>
      <w:r w:rsidR="00FA433F" w:rsidRPr="00FA433F">
        <w:rPr>
          <w:noProof/>
        </w:rPr>
        <w:t xml:space="preserve"> i</w:t>
      </w:r>
      <w:r w:rsidR="00FA433F">
        <w:rPr>
          <w:noProof/>
        </w:rPr>
        <w:t> </w:t>
      </w:r>
      <w:r w:rsidR="00FA433F" w:rsidRPr="00FA433F">
        <w:rPr>
          <w:noProof/>
        </w:rPr>
        <w:t>zmn</w:t>
      </w:r>
      <w:r w:rsidRPr="00FA433F">
        <w:rPr>
          <w:noProof/>
        </w:rPr>
        <w:t>iejszenia ryzyka ucieczki emisji.</w:t>
      </w:r>
    </w:p>
    <w:p w14:paraId="1F5C969E" w14:textId="77777777" w:rsidR="007C1A66" w:rsidRPr="00FA433F" w:rsidRDefault="007C1A66" w:rsidP="007C1A66">
      <w:pPr>
        <w:pStyle w:val="Text1"/>
        <w:pBdr>
          <w:top w:val="single" w:sz="4" w:space="1" w:color="auto"/>
          <w:left w:val="single" w:sz="4" w:space="4" w:color="auto"/>
          <w:bottom w:val="single" w:sz="4" w:space="1" w:color="auto"/>
          <w:right w:val="single" w:sz="4" w:space="4" w:color="auto"/>
        </w:pBdr>
        <w:rPr>
          <w:noProof/>
        </w:rPr>
      </w:pPr>
      <w:r w:rsidRPr="00FA433F">
        <w:rPr>
          <w:noProof/>
        </w:rPr>
        <w:t xml:space="preserve">Planowany harmonogram realizacji: </w:t>
      </w:r>
    </w:p>
    <w:p w14:paraId="3E0AE2B2" w14:textId="2D5BF7DC" w:rsidR="007C1A66" w:rsidRPr="00FA433F" w:rsidRDefault="007C1A66" w:rsidP="007C1A66">
      <w:pPr>
        <w:pStyle w:val="Text1"/>
        <w:pBdr>
          <w:top w:val="single" w:sz="4" w:space="1" w:color="auto"/>
          <w:left w:val="single" w:sz="4" w:space="4" w:color="auto"/>
          <w:bottom w:val="single" w:sz="4" w:space="1" w:color="auto"/>
          <w:right w:val="single" w:sz="4" w:space="4" w:color="auto"/>
        </w:pBdr>
        <w:rPr>
          <w:noProof/>
        </w:rPr>
      </w:pPr>
      <w:r w:rsidRPr="00FA433F">
        <w:rPr>
          <w:noProof/>
        </w:rPr>
        <w:t>– do</w:t>
      </w:r>
      <w:r w:rsidR="00FA433F" w:rsidRPr="00FA433F">
        <w:rPr>
          <w:noProof/>
        </w:rPr>
        <w:t> </w:t>
      </w:r>
      <w:r w:rsidRPr="00FA433F">
        <w:rPr>
          <w:noProof/>
        </w:rPr>
        <w:t>31 marca 2028 r. operatorzy instalacji produkującej kwalifikujące się towary mogą złożyć wniosek</w:t>
      </w:r>
      <w:r w:rsidR="00FA433F" w:rsidRPr="00FA433F">
        <w:rPr>
          <w:noProof/>
        </w:rPr>
        <w:t xml:space="preserve"> o</w:t>
      </w:r>
      <w:r w:rsidR="00FA433F">
        <w:rPr>
          <w:noProof/>
        </w:rPr>
        <w:t> </w:t>
      </w:r>
      <w:r w:rsidR="00FA433F" w:rsidRPr="00FA433F">
        <w:rPr>
          <w:noProof/>
        </w:rPr>
        <w:t>wsp</w:t>
      </w:r>
      <w:r w:rsidRPr="00FA433F">
        <w:rPr>
          <w:noProof/>
        </w:rPr>
        <w:t>arcie</w:t>
      </w:r>
      <w:r w:rsidR="00FA433F" w:rsidRPr="00FA433F">
        <w:rPr>
          <w:noProof/>
        </w:rPr>
        <w:t xml:space="preserve"> z</w:t>
      </w:r>
      <w:r w:rsidR="00FA433F">
        <w:rPr>
          <w:noProof/>
        </w:rPr>
        <w:t> </w:t>
      </w:r>
      <w:r w:rsidR="00FA433F" w:rsidRPr="00FA433F">
        <w:rPr>
          <w:noProof/>
        </w:rPr>
        <w:t>fun</w:t>
      </w:r>
      <w:r w:rsidRPr="00FA433F">
        <w:rPr>
          <w:noProof/>
        </w:rPr>
        <w:t>duszu. Wniosek ma zawierać odpowiednie dane dotyczące produkcji za lata 2026</w:t>
      </w:r>
      <w:r w:rsidR="00FA433F" w:rsidRPr="00FA433F">
        <w:rPr>
          <w:noProof/>
        </w:rPr>
        <w:t xml:space="preserve"> i</w:t>
      </w:r>
      <w:r w:rsidR="00FA433F">
        <w:rPr>
          <w:noProof/>
        </w:rPr>
        <w:t> </w:t>
      </w:r>
      <w:r w:rsidR="00FA433F" w:rsidRPr="00FA433F">
        <w:rPr>
          <w:noProof/>
        </w:rPr>
        <w:t>2</w:t>
      </w:r>
      <w:r w:rsidRPr="00FA433F">
        <w:rPr>
          <w:noProof/>
        </w:rPr>
        <w:t>027;</w:t>
      </w:r>
    </w:p>
    <w:p w14:paraId="42A7A274" w14:textId="7A465C08" w:rsidR="007C1A66" w:rsidRPr="00FA433F" w:rsidRDefault="007C1A66" w:rsidP="007C1A66">
      <w:pPr>
        <w:pStyle w:val="Text1"/>
        <w:pBdr>
          <w:top w:val="single" w:sz="4" w:space="1" w:color="auto"/>
          <w:left w:val="single" w:sz="4" w:space="4" w:color="auto"/>
          <w:bottom w:val="single" w:sz="4" w:space="1" w:color="auto"/>
          <w:right w:val="single" w:sz="4" w:space="4" w:color="auto"/>
        </w:pBdr>
        <w:rPr>
          <w:noProof/>
        </w:rPr>
      </w:pPr>
      <w:r w:rsidRPr="00FA433F">
        <w:rPr>
          <w:noProof/>
        </w:rPr>
        <w:t>– do</w:t>
      </w:r>
      <w:r w:rsidR="00FA433F" w:rsidRPr="00FA433F">
        <w:rPr>
          <w:noProof/>
        </w:rPr>
        <w:t> </w:t>
      </w:r>
      <w:r w:rsidRPr="00FA433F">
        <w:rPr>
          <w:noProof/>
        </w:rPr>
        <w:t>31 marca 2028 r. państwa członkowskie przekazują Komisji kwotę odpowiadającą 25 % ich dochodów z CBAM na</w:t>
      </w:r>
      <w:r w:rsidR="00FA433F" w:rsidRPr="00FA433F">
        <w:rPr>
          <w:noProof/>
        </w:rPr>
        <w:t> </w:t>
      </w:r>
      <w:r w:rsidRPr="00FA433F">
        <w:rPr>
          <w:noProof/>
        </w:rPr>
        <w:t>2026 r.;</w:t>
      </w:r>
    </w:p>
    <w:p w14:paraId="3410032C" w14:textId="21DCC7DB" w:rsidR="007C1A66" w:rsidRPr="00FA433F" w:rsidRDefault="007C1A66" w:rsidP="007C1A66">
      <w:pPr>
        <w:pStyle w:val="Text1"/>
        <w:pBdr>
          <w:top w:val="single" w:sz="4" w:space="1" w:color="auto"/>
          <w:left w:val="single" w:sz="4" w:space="4" w:color="auto"/>
          <w:bottom w:val="single" w:sz="4" w:space="1" w:color="auto"/>
          <w:right w:val="single" w:sz="4" w:space="4" w:color="auto"/>
        </w:pBdr>
        <w:rPr>
          <w:noProof/>
        </w:rPr>
      </w:pPr>
      <w:r w:rsidRPr="00FA433F">
        <w:rPr>
          <w:noProof/>
        </w:rPr>
        <w:t>– do</w:t>
      </w:r>
      <w:r w:rsidR="00FA433F" w:rsidRPr="00FA433F">
        <w:rPr>
          <w:noProof/>
        </w:rPr>
        <w:t> </w:t>
      </w:r>
      <w:r w:rsidRPr="00FA433F">
        <w:rPr>
          <w:noProof/>
        </w:rPr>
        <w:t>30 czerwca 2028 r. właściwe organy przedstawiają Komisji wykaz wszystkich wnioskodawców spełniających wymogi kwalifikowalności</w:t>
      </w:r>
      <w:r w:rsidR="00FA433F" w:rsidRPr="00FA433F">
        <w:rPr>
          <w:noProof/>
        </w:rPr>
        <w:t xml:space="preserve"> i</w:t>
      </w:r>
      <w:r w:rsidR="00FA433F">
        <w:rPr>
          <w:noProof/>
        </w:rPr>
        <w:t> </w:t>
      </w:r>
      <w:r w:rsidR="00FA433F" w:rsidRPr="00FA433F">
        <w:rPr>
          <w:noProof/>
        </w:rPr>
        <w:t>war</w:t>
      </w:r>
      <w:r w:rsidRPr="00FA433F">
        <w:rPr>
          <w:noProof/>
        </w:rPr>
        <w:t>unkowości, ich odpowiednich instalacji oraz obliczonego poziomu wsparcia, wraz</w:t>
      </w:r>
      <w:r w:rsidR="00FA433F" w:rsidRPr="00FA433F">
        <w:rPr>
          <w:noProof/>
        </w:rPr>
        <w:t xml:space="preserve"> z</w:t>
      </w:r>
      <w:r w:rsidR="00FA433F">
        <w:rPr>
          <w:noProof/>
        </w:rPr>
        <w:t> </w:t>
      </w:r>
      <w:r w:rsidR="00FA433F" w:rsidRPr="00FA433F">
        <w:rPr>
          <w:noProof/>
        </w:rPr>
        <w:t>odp</w:t>
      </w:r>
      <w:r w:rsidRPr="00FA433F">
        <w:rPr>
          <w:noProof/>
        </w:rPr>
        <w:t>owiednią dokumentacją dotyczącą wszystkich tych aspektów;</w:t>
      </w:r>
    </w:p>
    <w:p w14:paraId="65569050" w14:textId="7B3F88C3" w:rsidR="00D80FE5" w:rsidRPr="00FA433F" w:rsidRDefault="00D80FE5" w:rsidP="00D80FE5">
      <w:pPr>
        <w:pStyle w:val="Text1"/>
        <w:pBdr>
          <w:top w:val="single" w:sz="4" w:space="1" w:color="auto"/>
          <w:left w:val="single" w:sz="4" w:space="4" w:color="auto"/>
          <w:bottom w:val="single" w:sz="4" w:space="1" w:color="auto"/>
          <w:right w:val="single" w:sz="4" w:space="4" w:color="auto"/>
        </w:pBdr>
        <w:rPr>
          <w:noProof/>
        </w:rPr>
      </w:pPr>
      <w:r w:rsidRPr="00FA433F">
        <w:rPr>
          <w:noProof/>
        </w:rPr>
        <w:t>– do</w:t>
      </w:r>
      <w:r w:rsidR="00FA433F" w:rsidRPr="00FA433F">
        <w:rPr>
          <w:noProof/>
        </w:rPr>
        <w:t> </w:t>
      </w:r>
      <w:r w:rsidRPr="00FA433F">
        <w:rPr>
          <w:noProof/>
        </w:rPr>
        <w:t>31 marca 2029 r. państwa członkowskie przekazują Komisji kwotę odpowiadającą 25 % ich dochodów z CBAM na</w:t>
      </w:r>
      <w:r w:rsidR="00FA433F" w:rsidRPr="00FA433F">
        <w:rPr>
          <w:noProof/>
        </w:rPr>
        <w:t> </w:t>
      </w:r>
      <w:r w:rsidRPr="00FA433F">
        <w:rPr>
          <w:noProof/>
        </w:rPr>
        <w:t>2027 r.;</w:t>
      </w:r>
    </w:p>
    <w:p w14:paraId="44EB4B64" w14:textId="2DDE64C8" w:rsidR="007C1A66" w:rsidRPr="00FA433F" w:rsidRDefault="007C1A66" w:rsidP="007C1A66">
      <w:pPr>
        <w:pStyle w:val="Text1"/>
        <w:pBdr>
          <w:top w:val="single" w:sz="4" w:space="1" w:color="auto"/>
          <w:left w:val="single" w:sz="4" w:space="4" w:color="auto"/>
          <w:bottom w:val="single" w:sz="4" w:space="1" w:color="auto"/>
          <w:right w:val="single" w:sz="4" w:space="4" w:color="auto"/>
        </w:pBdr>
        <w:rPr>
          <w:noProof/>
        </w:rPr>
      </w:pPr>
      <w:r w:rsidRPr="00FA433F">
        <w:rPr>
          <w:noProof/>
        </w:rPr>
        <w:lastRenderedPageBreak/>
        <w:t>– Komisja dokonuje przeglądu obliczeń</w:t>
      </w:r>
      <w:r w:rsidR="00FA433F" w:rsidRPr="00FA433F">
        <w:rPr>
          <w:noProof/>
        </w:rPr>
        <w:t xml:space="preserve"> i</w:t>
      </w:r>
      <w:r w:rsidR="00FA433F">
        <w:rPr>
          <w:noProof/>
        </w:rPr>
        <w:t> </w:t>
      </w:r>
      <w:r w:rsidR="00FA433F" w:rsidRPr="00FA433F">
        <w:rPr>
          <w:noProof/>
        </w:rPr>
        <w:t>inf</w:t>
      </w:r>
      <w:r w:rsidRPr="00FA433F">
        <w:rPr>
          <w:noProof/>
        </w:rPr>
        <w:t>ormacji przedłożonych przez właściwe organy państw członkowskich, wydaje decyzję</w:t>
      </w:r>
      <w:r w:rsidR="00FA433F" w:rsidRPr="00FA433F">
        <w:rPr>
          <w:noProof/>
        </w:rPr>
        <w:t xml:space="preserve"> o</w:t>
      </w:r>
      <w:r w:rsidR="00FA433F">
        <w:rPr>
          <w:noProof/>
        </w:rPr>
        <w:t> </w:t>
      </w:r>
      <w:r w:rsidR="00FA433F" w:rsidRPr="00FA433F">
        <w:rPr>
          <w:noProof/>
        </w:rPr>
        <w:t>wyp</w:t>
      </w:r>
      <w:r w:rsidRPr="00FA433F">
        <w:rPr>
          <w:noProof/>
        </w:rPr>
        <w:t>łacie</w:t>
      </w:r>
      <w:r w:rsidR="00FA433F" w:rsidRPr="00FA433F">
        <w:rPr>
          <w:noProof/>
        </w:rPr>
        <w:t xml:space="preserve"> i</w:t>
      </w:r>
      <w:r w:rsidR="00FA433F">
        <w:rPr>
          <w:noProof/>
        </w:rPr>
        <w:t> </w:t>
      </w:r>
      <w:r w:rsidR="00FA433F" w:rsidRPr="00FA433F">
        <w:rPr>
          <w:noProof/>
        </w:rPr>
        <w:t>prz</w:t>
      </w:r>
      <w:r w:rsidRPr="00FA433F">
        <w:rPr>
          <w:noProof/>
        </w:rPr>
        <w:t>ekazuje właściwym organom odpowiednie kwoty;</w:t>
      </w:r>
    </w:p>
    <w:p w14:paraId="11B81E9C" w14:textId="5F845301" w:rsidR="007C1A66" w:rsidRPr="00FA433F" w:rsidRDefault="007C1A66" w:rsidP="007C1A66">
      <w:pPr>
        <w:pStyle w:val="Text1"/>
        <w:pBdr>
          <w:top w:val="single" w:sz="4" w:space="1" w:color="auto"/>
          <w:left w:val="single" w:sz="4" w:space="4" w:color="auto"/>
          <w:bottom w:val="single" w:sz="4" w:space="1" w:color="auto"/>
          <w:right w:val="single" w:sz="4" w:space="4" w:color="auto"/>
        </w:pBdr>
        <w:rPr>
          <w:noProof/>
        </w:rPr>
      </w:pPr>
      <w:r w:rsidRPr="00FA433F">
        <w:rPr>
          <w:noProof/>
        </w:rPr>
        <w:t>– do</w:t>
      </w:r>
      <w:r w:rsidR="00FA433F" w:rsidRPr="00FA433F">
        <w:rPr>
          <w:noProof/>
        </w:rPr>
        <w:t> </w:t>
      </w:r>
      <w:r w:rsidRPr="00FA433F">
        <w:rPr>
          <w:noProof/>
        </w:rPr>
        <w:t>31 grudnia 2029 r. właściwe organy wypłacają wsparcie beneficjentom końcowym;</w:t>
      </w:r>
    </w:p>
    <w:p w14:paraId="5F7B13FF" w14:textId="7C3EAF59" w:rsidR="008A4C15" w:rsidRPr="00FA433F" w:rsidRDefault="007C1A66" w:rsidP="00191D8C">
      <w:pPr>
        <w:pStyle w:val="Text1"/>
        <w:pBdr>
          <w:top w:val="single" w:sz="4" w:space="1" w:color="auto"/>
          <w:left w:val="single" w:sz="4" w:space="4" w:color="auto"/>
          <w:bottom w:val="single" w:sz="4" w:space="1" w:color="auto"/>
          <w:right w:val="single" w:sz="4" w:space="4" w:color="auto"/>
        </w:pBdr>
        <w:rPr>
          <w:noProof/>
        </w:rPr>
      </w:pPr>
      <w:r w:rsidRPr="00FA433F">
        <w:rPr>
          <w:noProof/>
        </w:rPr>
        <w:t>– do</w:t>
      </w:r>
      <w:r w:rsidR="00FA433F" w:rsidRPr="00FA433F">
        <w:rPr>
          <w:noProof/>
        </w:rPr>
        <w:t> </w:t>
      </w:r>
      <w:r w:rsidRPr="00FA433F">
        <w:rPr>
          <w:noProof/>
        </w:rPr>
        <w:t>31 grudnia 2030 r. Komisja przedstawia Parlamentowi Europejskiemu</w:t>
      </w:r>
      <w:r w:rsidR="00FA433F" w:rsidRPr="00FA433F">
        <w:rPr>
          <w:noProof/>
        </w:rPr>
        <w:t xml:space="preserve"> i</w:t>
      </w:r>
      <w:r w:rsidR="00FA433F">
        <w:rPr>
          <w:noProof/>
        </w:rPr>
        <w:t> </w:t>
      </w:r>
      <w:r w:rsidR="00FA433F" w:rsidRPr="00FA433F">
        <w:rPr>
          <w:noProof/>
        </w:rPr>
        <w:t>Rad</w:t>
      </w:r>
      <w:r w:rsidRPr="00FA433F">
        <w:rPr>
          <w:noProof/>
        </w:rPr>
        <w:t>zie sprawozdanie</w:t>
      </w:r>
      <w:r w:rsidR="00FA433F" w:rsidRPr="00FA433F">
        <w:rPr>
          <w:noProof/>
        </w:rPr>
        <w:t xml:space="preserve"> z</w:t>
      </w:r>
      <w:r w:rsidR="00FA433F">
        <w:rPr>
          <w:noProof/>
        </w:rPr>
        <w:t> </w:t>
      </w:r>
      <w:r w:rsidR="00FA433F" w:rsidRPr="00FA433F">
        <w:rPr>
          <w:noProof/>
        </w:rPr>
        <w:t>wdr</w:t>
      </w:r>
      <w:r w:rsidRPr="00FA433F">
        <w:rPr>
          <w:noProof/>
        </w:rPr>
        <w:t>ażania funduszu</w:t>
      </w:r>
      <w:r w:rsidR="00FA433F" w:rsidRPr="00FA433F">
        <w:rPr>
          <w:noProof/>
        </w:rPr>
        <w:t xml:space="preserve"> i</w:t>
      </w:r>
      <w:r w:rsidR="00FA433F">
        <w:rPr>
          <w:noProof/>
        </w:rPr>
        <w:t> </w:t>
      </w:r>
      <w:r w:rsidR="00FA433F" w:rsidRPr="00FA433F">
        <w:rPr>
          <w:noProof/>
        </w:rPr>
        <w:t>wsp</w:t>
      </w:r>
      <w:r w:rsidRPr="00FA433F">
        <w:rPr>
          <w:noProof/>
        </w:rPr>
        <w:t>arcia udzielonego</w:t>
      </w:r>
      <w:r w:rsidR="00FA433F" w:rsidRPr="00FA433F">
        <w:rPr>
          <w:noProof/>
        </w:rPr>
        <w:t xml:space="preserve"> w</w:t>
      </w:r>
      <w:r w:rsidR="00FA433F">
        <w:rPr>
          <w:noProof/>
        </w:rPr>
        <w:t> </w:t>
      </w:r>
      <w:r w:rsidR="00FA433F" w:rsidRPr="00FA433F">
        <w:rPr>
          <w:noProof/>
        </w:rPr>
        <w:t>jeg</w:t>
      </w:r>
      <w:r w:rsidRPr="00FA433F">
        <w:rPr>
          <w:noProof/>
        </w:rPr>
        <w:t>o ramach.</w:t>
      </w:r>
    </w:p>
    <w:p w14:paraId="0FBB08DD" w14:textId="05D77DA1" w:rsidR="008A4C15" w:rsidRPr="00FA433F" w:rsidRDefault="008A4C15">
      <w:pPr>
        <w:pStyle w:val="ManualHeading3"/>
        <w:rPr>
          <w:bCs/>
          <w:noProof/>
          <w:szCs w:val="24"/>
        </w:rPr>
      </w:pPr>
      <w:bookmarkStart w:id="51" w:name="_Toc514938029"/>
      <w:bookmarkStart w:id="52" w:name="_Toc520485036"/>
      <w:bookmarkStart w:id="53" w:name="_Toc160804578"/>
      <w:bookmarkStart w:id="54" w:name="_Toc167220270"/>
      <w:bookmarkStart w:id="55" w:name="_Toc177549003"/>
      <w:r w:rsidRPr="00FA433F">
        <w:rPr>
          <w:noProof/>
        </w:rPr>
        <w:t>1.5.2.</w:t>
      </w:r>
      <w:r w:rsidRPr="00FA433F">
        <w:rPr>
          <w:noProof/>
        </w:rPr>
        <w:tab/>
        <w:t>Wartość dodana</w:t>
      </w:r>
      <w:r w:rsidR="00FA433F" w:rsidRPr="00FA433F">
        <w:rPr>
          <w:noProof/>
        </w:rPr>
        <w:t xml:space="preserve"> z</w:t>
      </w:r>
      <w:r w:rsidR="00FA433F">
        <w:rPr>
          <w:noProof/>
        </w:rPr>
        <w:t> </w:t>
      </w:r>
      <w:r w:rsidR="00FA433F" w:rsidRPr="00FA433F">
        <w:rPr>
          <w:noProof/>
        </w:rPr>
        <w:t>tyt</w:t>
      </w:r>
      <w:r w:rsidRPr="00FA433F">
        <w:rPr>
          <w:noProof/>
        </w:rPr>
        <w:t>ułu zaangażowania Unii Europejskiej (może wynikać</w:t>
      </w:r>
      <w:r w:rsidR="00FA433F" w:rsidRPr="00FA433F">
        <w:rPr>
          <w:noProof/>
        </w:rPr>
        <w:t xml:space="preserve"> z</w:t>
      </w:r>
      <w:r w:rsidR="00FA433F">
        <w:rPr>
          <w:noProof/>
        </w:rPr>
        <w:t> </w:t>
      </w:r>
      <w:r w:rsidR="00FA433F" w:rsidRPr="00FA433F">
        <w:rPr>
          <w:noProof/>
        </w:rPr>
        <w:t>róż</w:t>
      </w:r>
      <w:r w:rsidRPr="00FA433F">
        <w:rPr>
          <w:noProof/>
        </w:rPr>
        <w:t>nych czynników, na przykład korzyści koordynacyjnych, pewności prawa, większej efektywności lub komplementarności). Na potrzeby tej sekcji „wartość dodaną</w:t>
      </w:r>
      <w:r w:rsidR="00FA433F" w:rsidRPr="00FA433F">
        <w:rPr>
          <w:noProof/>
        </w:rPr>
        <w:t xml:space="preserve"> z</w:t>
      </w:r>
      <w:r w:rsidR="00FA433F">
        <w:rPr>
          <w:noProof/>
        </w:rPr>
        <w:t> </w:t>
      </w:r>
      <w:r w:rsidR="00FA433F" w:rsidRPr="00FA433F">
        <w:rPr>
          <w:noProof/>
        </w:rPr>
        <w:t>tyt</w:t>
      </w:r>
      <w:r w:rsidRPr="00FA433F">
        <w:rPr>
          <w:noProof/>
        </w:rPr>
        <w:t>ułu zaangażowania Unii Europejskiej” należy rozumieć jako wartość wynikającą</w:t>
      </w:r>
      <w:r w:rsidR="00FA433F" w:rsidRPr="00FA433F">
        <w:rPr>
          <w:noProof/>
        </w:rPr>
        <w:t xml:space="preserve"> z</w:t>
      </w:r>
      <w:r w:rsidR="00FA433F">
        <w:rPr>
          <w:noProof/>
        </w:rPr>
        <w:t> </w:t>
      </w:r>
      <w:r w:rsidR="00FA433F" w:rsidRPr="00FA433F">
        <w:rPr>
          <w:noProof/>
        </w:rPr>
        <w:t>uni</w:t>
      </w:r>
      <w:r w:rsidRPr="00FA433F">
        <w:rPr>
          <w:noProof/>
        </w:rPr>
        <w:t>jnej interwencji, wykraczającą poza wartość, która zostałaby wytworzona przez same państwa członkowskie.</w:t>
      </w:r>
      <w:bookmarkEnd w:id="51"/>
      <w:bookmarkEnd w:id="52"/>
      <w:bookmarkEnd w:id="53"/>
      <w:bookmarkEnd w:id="54"/>
      <w:bookmarkEnd w:id="55"/>
    </w:p>
    <w:p w14:paraId="154FB6FE" w14:textId="77777777" w:rsidR="008A4C15" w:rsidRPr="00FA433F" w:rsidRDefault="008A4C15">
      <w:pPr>
        <w:pStyle w:val="Text1"/>
        <w:pBdr>
          <w:top w:val="single" w:sz="4" w:space="1" w:color="auto"/>
          <w:left w:val="single" w:sz="4" w:space="4" w:color="auto"/>
          <w:bottom w:val="single" w:sz="4" w:space="1" w:color="auto"/>
          <w:right w:val="single" w:sz="4" w:space="4" w:color="auto"/>
        </w:pBdr>
        <w:rPr>
          <w:noProof/>
        </w:rPr>
      </w:pPr>
      <w:r w:rsidRPr="00FA433F">
        <w:rPr>
          <w:noProof/>
        </w:rPr>
        <w:t>Przyczyny działania na poziomie unijnym (</w:t>
      </w:r>
      <w:r w:rsidRPr="00FA433F">
        <w:rPr>
          <w:i/>
          <w:iCs/>
          <w:noProof/>
        </w:rPr>
        <w:t>ex ante</w:t>
      </w:r>
      <w:r w:rsidRPr="00FA433F">
        <w:rPr>
          <w:noProof/>
        </w:rPr>
        <w:t>):</w:t>
      </w:r>
    </w:p>
    <w:p w14:paraId="2E2BE44C" w14:textId="2591C7A3" w:rsidR="00656C5D" w:rsidRPr="00FA433F" w:rsidRDefault="00656C5D">
      <w:pPr>
        <w:pStyle w:val="Text1"/>
        <w:pBdr>
          <w:top w:val="single" w:sz="4" w:space="1" w:color="auto"/>
          <w:left w:val="single" w:sz="4" w:space="4" w:color="auto"/>
          <w:bottom w:val="single" w:sz="4" w:space="1" w:color="auto"/>
          <w:right w:val="single" w:sz="4" w:space="4" w:color="auto"/>
        </w:pBdr>
        <w:rPr>
          <w:noProof/>
        </w:rPr>
      </w:pPr>
      <w:r w:rsidRPr="00FA433F">
        <w:rPr>
          <w:noProof/>
        </w:rPr>
        <w:t>Inicjatywa ta jest ściśle powiązana</w:t>
      </w:r>
      <w:r w:rsidR="00FA433F" w:rsidRPr="00FA433F">
        <w:rPr>
          <w:noProof/>
        </w:rPr>
        <w:t xml:space="preserve"> z</w:t>
      </w:r>
      <w:r w:rsidR="00FA433F">
        <w:rPr>
          <w:noProof/>
        </w:rPr>
        <w:t> </w:t>
      </w:r>
      <w:r w:rsidR="00FA433F" w:rsidRPr="00FA433F">
        <w:rPr>
          <w:noProof/>
        </w:rPr>
        <w:t>ust</w:t>
      </w:r>
      <w:r w:rsidRPr="00FA433F">
        <w:rPr>
          <w:noProof/>
        </w:rPr>
        <w:t>alaniem opłat za emisję gazów cieplarnianych na szczeblu UE za pośrednictwem unijnego systemu handlu uprawnieniami do emisji (EU ETS), który ma zastosowanie do produkcji wysokoemisyjnych produktów w UE. Proponowany fundusz wspierałby operatorów objętych unijnym systemem handlu uprawnieniami do emisji, którzy są narażeni na pozostałe ryzyko ucieczki emisji ze względu na zmniejszenie przydziału bezpłatnych uprawnień do emisji</w:t>
      </w:r>
      <w:r w:rsidR="00FA433F" w:rsidRPr="00FA433F">
        <w:rPr>
          <w:noProof/>
        </w:rPr>
        <w:t xml:space="preserve"> w</w:t>
      </w:r>
      <w:r w:rsidR="00FA433F">
        <w:rPr>
          <w:noProof/>
        </w:rPr>
        <w:t> </w:t>
      </w:r>
      <w:r w:rsidR="00FA433F" w:rsidRPr="00FA433F">
        <w:rPr>
          <w:noProof/>
        </w:rPr>
        <w:t>ram</w:t>
      </w:r>
      <w:r w:rsidRPr="00FA433F">
        <w:rPr>
          <w:noProof/>
        </w:rPr>
        <w:t>ach EU ETS</w:t>
      </w:r>
      <w:r w:rsidR="00FA433F" w:rsidRPr="00FA433F">
        <w:rPr>
          <w:noProof/>
        </w:rPr>
        <w:t xml:space="preserve"> w</w:t>
      </w:r>
      <w:r w:rsidR="00FA433F">
        <w:rPr>
          <w:noProof/>
        </w:rPr>
        <w:t> </w:t>
      </w:r>
      <w:r w:rsidR="00FA433F" w:rsidRPr="00FA433F">
        <w:rPr>
          <w:noProof/>
        </w:rPr>
        <w:t>nad</w:t>
      </w:r>
      <w:r w:rsidRPr="00FA433F">
        <w:rPr>
          <w:noProof/>
        </w:rPr>
        <w:t>chodzących latach</w:t>
      </w:r>
      <w:r w:rsidR="00FA433F" w:rsidRPr="00FA433F">
        <w:rPr>
          <w:noProof/>
        </w:rPr>
        <w:t>. Z</w:t>
      </w:r>
      <w:r w:rsidR="00FA433F">
        <w:rPr>
          <w:noProof/>
        </w:rPr>
        <w:t> </w:t>
      </w:r>
      <w:r w:rsidR="00FA433F" w:rsidRPr="00FA433F">
        <w:rPr>
          <w:noProof/>
        </w:rPr>
        <w:t>tyc</w:t>
      </w:r>
      <w:r w:rsidRPr="00FA433F">
        <w:rPr>
          <w:noProof/>
        </w:rPr>
        <w:t>h wszystkich powodów istnieje konieczność podjęcia działań przez UE.</w:t>
      </w:r>
    </w:p>
    <w:p w14:paraId="64E21006" w14:textId="77777777" w:rsidR="008A4C15" w:rsidRPr="00FA433F" w:rsidRDefault="008A4C15">
      <w:pPr>
        <w:pStyle w:val="Text1"/>
        <w:pBdr>
          <w:top w:val="single" w:sz="4" w:space="1" w:color="auto"/>
          <w:left w:val="single" w:sz="4" w:space="4" w:color="auto"/>
          <w:bottom w:val="single" w:sz="4" w:space="1" w:color="auto"/>
          <w:right w:val="single" w:sz="4" w:space="4" w:color="auto"/>
        </w:pBdr>
        <w:rPr>
          <w:noProof/>
        </w:rPr>
      </w:pPr>
      <w:r w:rsidRPr="00FA433F">
        <w:rPr>
          <w:noProof/>
        </w:rPr>
        <w:t>Oczekiwana wygenerowana unijna wartość dodana (</w:t>
      </w:r>
      <w:r w:rsidRPr="00FA433F">
        <w:rPr>
          <w:i/>
          <w:iCs/>
          <w:noProof/>
        </w:rPr>
        <w:t>ex post</w:t>
      </w:r>
      <w:r w:rsidRPr="00FA433F">
        <w:rPr>
          <w:noProof/>
        </w:rPr>
        <w:t>):</w:t>
      </w:r>
    </w:p>
    <w:p w14:paraId="4F8D9CE8" w14:textId="530DF983" w:rsidR="006576FA" w:rsidRPr="00FA433F" w:rsidRDefault="006576FA">
      <w:pPr>
        <w:pStyle w:val="Text1"/>
        <w:pBdr>
          <w:top w:val="single" w:sz="4" w:space="1" w:color="auto"/>
          <w:left w:val="single" w:sz="4" w:space="4" w:color="auto"/>
          <w:bottom w:val="single" w:sz="4" w:space="1" w:color="auto"/>
          <w:right w:val="single" w:sz="4" w:space="4" w:color="auto"/>
        </w:pBdr>
        <w:rPr>
          <w:noProof/>
        </w:rPr>
      </w:pPr>
      <w:r w:rsidRPr="00FA433F">
        <w:rPr>
          <w:noProof/>
        </w:rPr>
        <w:t>Proponowane tymczasowe wsparcie inwestycji</w:t>
      </w:r>
      <w:r w:rsidR="00FA433F" w:rsidRPr="00FA433F">
        <w:rPr>
          <w:noProof/>
        </w:rPr>
        <w:t xml:space="preserve"> w</w:t>
      </w:r>
      <w:r w:rsidR="00FA433F">
        <w:rPr>
          <w:noProof/>
        </w:rPr>
        <w:t> </w:t>
      </w:r>
      <w:r w:rsidR="00FA433F" w:rsidRPr="00FA433F">
        <w:rPr>
          <w:noProof/>
        </w:rPr>
        <w:t>dek</w:t>
      </w:r>
      <w:r w:rsidRPr="00FA433F">
        <w:rPr>
          <w:noProof/>
        </w:rPr>
        <w:t>arbonizację będzie miało zastosowanie do operatorów</w:t>
      </w:r>
      <w:r w:rsidR="00FA433F" w:rsidRPr="00FA433F">
        <w:rPr>
          <w:noProof/>
        </w:rPr>
        <w:t xml:space="preserve"> w</w:t>
      </w:r>
      <w:r w:rsidR="00FA433F">
        <w:rPr>
          <w:noProof/>
        </w:rPr>
        <w:t> </w:t>
      </w:r>
      <w:r w:rsidR="00FA433F" w:rsidRPr="00FA433F">
        <w:rPr>
          <w:noProof/>
        </w:rPr>
        <w:t>cał</w:t>
      </w:r>
      <w:r w:rsidRPr="00FA433F">
        <w:rPr>
          <w:noProof/>
        </w:rPr>
        <w:t>ej UE na podstawie obiektywnych kryteriów. Umożliwi to funduszowi precyzyjne ukierunkowanie produkcji towarów</w:t>
      </w:r>
      <w:r w:rsidR="00FA433F" w:rsidRPr="00FA433F">
        <w:rPr>
          <w:noProof/>
        </w:rPr>
        <w:t xml:space="preserve"> o</w:t>
      </w:r>
      <w:r w:rsidR="00FA433F">
        <w:rPr>
          <w:noProof/>
        </w:rPr>
        <w:t> </w:t>
      </w:r>
      <w:r w:rsidR="00FA433F" w:rsidRPr="00FA433F">
        <w:rPr>
          <w:noProof/>
        </w:rPr>
        <w:t>zwi</w:t>
      </w:r>
      <w:r w:rsidRPr="00FA433F">
        <w:rPr>
          <w:noProof/>
        </w:rPr>
        <w:t>ększonym poziomie pozostałego ryzyka ucieczki emisji</w:t>
      </w:r>
      <w:r w:rsidR="00FA433F" w:rsidRPr="00FA433F">
        <w:rPr>
          <w:noProof/>
        </w:rPr>
        <w:t xml:space="preserve"> w</w:t>
      </w:r>
      <w:r w:rsidR="00FA433F">
        <w:rPr>
          <w:noProof/>
        </w:rPr>
        <w:t> </w:t>
      </w:r>
      <w:r w:rsidR="00FA433F" w:rsidRPr="00FA433F">
        <w:rPr>
          <w:noProof/>
        </w:rPr>
        <w:t>odn</w:t>
      </w:r>
      <w:r w:rsidRPr="00FA433F">
        <w:rPr>
          <w:noProof/>
        </w:rPr>
        <w:t>iesieniu do EU ETS. Takie ukierunkowane wsparcie zapewni skuteczność środka.</w:t>
      </w:r>
    </w:p>
    <w:p w14:paraId="06C94B3F" w14:textId="796C1B01" w:rsidR="008A4C15" w:rsidRPr="00FA433F" w:rsidRDefault="008A4C15">
      <w:pPr>
        <w:pStyle w:val="ManualHeading3"/>
        <w:rPr>
          <w:noProof/>
        </w:rPr>
      </w:pPr>
      <w:bookmarkStart w:id="56" w:name="_Toc514938030"/>
      <w:bookmarkStart w:id="57" w:name="_Toc520485037"/>
      <w:bookmarkStart w:id="58" w:name="_Toc160804579"/>
      <w:bookmarkStart w:id="59" w:name="_Toc167220271"/>
      <w:bookmarkStart w:id="60" w:name="_Toc177549004"/>
      <w:r w:rsidRPr="00FA433F">
        <w:rPr>
          <w:noProof/>
        </w:rPr>
        <w:t>1.5.3.</w:t>
      </w:r>
      <w:r w:rsidRPr="00FA433F">
        <w:rPr>
          <w:noProof/>
        </w:rPr>
        <w:tab/>
        <w:t>Główne wnioski wyciągnięte</w:t>
      </w:r>
      <w:r w:rsidR="00FA433F" w:rsidRPr="00FA433F">
        <w:rPr>
          <w:noProof/>
        </w:rPr>
        <w:t xml:space="preserve"> z</w:t>
      </w:r>
      <w:r w:rsidR="00FA433F">
        <w:rPr>
          <w:noProof/>
        </w:rPr>
        <w:t> </w:t>
      </w:r>
      <w:r w:rsidR="00FA433F" w:rsidRPr="00FA433F">
        <w:rPr>
          <w:noProof/>
        </w:rPr>
        <w:t>pod</w:t>
      </w:r>
      <w:r w:rsidRPr="00FA433F">
        <w:rPr>
          <w:noProof/>
        </w:rPr>
        <w:t>obnych działań</w:t>
      </w:r>
      <w:bookmarkEnd w:id="56"/>
      <w:bookmarkEnd w:id="57"/>
      <w:bookmarkEnd w:id="58"/>
      <w:bookmarkEnd w:id="59"/>
      <w:bookmarkEnd w:id="60"/>
    </w:p>
    <w:p w14:paraId="735876FE" w14:textId="03285830" w:rsidR="008A4C15" w:rsidRPr="00FA433F" w:rsidRDefault="00DF6ECF">
      <w:pPr>
        <w:pStyle w:val="Text1"/>
        <w:pBdr>
          <w:top w:val="single" w:sz="4" w:space="1" w:color="auto"/>
          <w:left w:val="single" w:sz="4" w:space="4" w:color="auto"/>
          <w:bottom w:val="single" w:sz="4" w:space="1" w:color="auto"/>
          <w:right w:val="single" w:sz="4" w:space="4" w:color="auto"/>
        </w:pBdr>
        <w:rPr>
          <w:noProof/>
        </w:rPr>
      </w:pPr>
      <w:r w:rsidRPr="00FA433F">
        <w:rPr>
          <w:noProof/>
        </w:rPr>
        <w:t>Proponowany mechanizm wypłaty środków</w:t>
      </w:r>
      <w:r w:rsidR="00FA433F" w:rsidRPr="00FA433F">
        <w:rPr>
          <w:noProof/>
        </w:rPr>
        <w:t xml:space="preserve"> z</w:t>
      </w:r>
      <w:r w:rsidR="00FA433F">
        <w:rPr>
          <w:noProof/>
        </w:rPr>
        <w:t> </w:t>
      </w:r>
      <w:r w:rsidR="00FA433F" w:rsidRPr="00FA433F">
        <w:rPr>
          <w:noProof/>
        </w:rPr>
        <w:t>fun</w:t>
      </w:r>
      <w:r w:rsidRPr="00FA433F">
        <w:rPr>
          <w:noProof/>
        </w:rPr>
        <w:t>duszu opiera się na pozytywnych doświadczeniach</w:t>
      </w:r>
      <w:r w:rsidR="00FA433F" w:rsidRPr="00FA433F">
        <w:rPr>
          <w:noProof/>
        </w:rPr>
        <w:t xml:space="preserve"> z</w:t>
      </w:r>
      <w:r w:rsidR="00FA433F">
        <w:rPr>
          <w:noProof/>
        </w:rPr>
        <w:t> </w:t>
      </w:r>
      <w:r w:rsidR="00FA433F" w:rsidRPr="00FA433F">
        <w:rPr>
          <w:noProof/>
        </w:rPr>
        <w:t>inn</w:t>
      </w:r>
      <w:r w:rsidRPr="00FA433F">
        <w:rPr>
          <w:noProof/>
        </w:rPr>
        <w:t>ych istniejących unijnych instrumentów finansowania,</w:t>
      </w:r>
      <w:r w:rsidR="00FA433F" w:rsidRPr="00FA433F">
        <w:rPr>
          <w:noProof/>
        </w:rPr>
        <w:t xml:space="preserve"> w</w:t>
      </w:r>
      <w:r w:rsidR="00FA433F">
        <w:rPr>
          <w:noProof/>
        </w:rPr>
        <w:t> </w:t>
      </w:r>
      <w:r w:rsidR="00FA433F" w:rsidRPr="00FA433F">
        <w:rPr>
          <w:noProof/>
        </w:rPr>
        <w:t>szc</w:t>
      </w:r>
      <w:r w:rsidRPr="00FA433F">
        <w:rPr>
          <w:noProof/>
        </w:rPr>
        <w:t>zególności funduszu modernizacyjnego, które opierają się na dwuetapowym systemie wypłaty, czyli Komisja (lub inna wdrażająca agencja wykonawcza na szczeblu UE) najpierw przekazuje właściwym organom krajowym kwoty odpowiadające zatwierdzonym inwestycjom. Następnie organy te wypłacają kwoty beneficjentom końcowym</w:t>
      </w:r>
      <w:r w:rsidR="00FA433F" w:rsidRPr="00FA433F">
        <w:rPr>
          <w:noProof/>
        </w:rPr>
        <w:t>. W</w:t>
      </w:r>
      <w:r w:rsidR="00FA433F">
        <w:rPr>
          <w:noProof/>
        </w:rPr>
        <w:t> </w:t>
      </w:r>
      <w:r w:rsidR="00FA433F" w:rsidRPr="00FA433F">
        <w:rPr>
          <w:noProof/>
        </w:rPr>
        <w:t>fun</w:t>
      </w:r>
      <w:r w:rsidRPr="00FA433F">
        <w:rPr>
          <w:noProof/>
        </w:rPr>
        <w:t>duszu modernizacyjnym ten system wypłat okazał się skuteczny, ponieważ a) wiąże się</w:t>
      </w:r>
      <w:r w:rsidR="00FA433F" w:rsidRPr="00FA433F">
        <w:rPr>
          <w:noProof/>
        </w:rPr>
        <w:t xml:space="preserve"> z</w:t>
      </w:r>
      <w:r w:rsidR="00FA433F">
        <w:rPr>
          <w:noProof/>
        </w:rPr>
        <w:t> </w:t>
      </w:r>
      <w:r w:rsidR="00FA433F" w:rsidRPr="00FA433F">
        <w:rPr>
          <w:noProof/>
        </w:rPr>
        <w:t>nis</w:t>
      </w:r>
      <w:r w:rsidRPr="00FA433F">
        <w:rPr>
          <w:noProof/>
        </w:rPr>
        <w:t>kim poziomem obciążeń administracyjnych na szczeblu UE oraz b) właściwe organy krajowe mogą przestrzegać obowiązujących przepisów krajowych dotyczących wypłat na rzecz beneficjentów końcowych. Fundusz modernizacyjny jest wdrażany poza strukturą budżetu UE.</w:t>
      </w:r>
    </w:p>
    <w:p w14:paraId="23D9D693" w14:textId="0B383DEA" w:rsidR="008A4C15" w:rsidRPr="00FA433F" w:rsidRDefault="008A4C15">
      <w:pPr>
        <w:pStyle w:val="ManualHeading3"/>
        <w:rPr>
          <w:noProof/>
        </w:rPr>
      </w:pPr>
      <w:bookmarkStart w:id="61" w:name="_Toc514938033"/>
      <w:bookmarkStart w:id="62" w:name="_Toc520485038"/>
      <w:bookmarkStart w:id="63" w:name="_Toc160804580"/>
      <w:bookmarkStart w:id="64" w:name="_Toc167220272"/>
      <w:bookmarkStart w:id="65" w:name="_Toc177549005"/>
      <w:r w:rsidRPr="00FA433F">
        <w:rPr>
          <w:noProof/>
        </w:rPr>
        <w:t>1.5.4.</w:t>
      </w:r>
      <w:r w:rsidRPr="00FA433F">
        <w:rPr>
          <w:noProof/>
        </w:rPr>
        <w:tab/>
        <w:t>Spójność</w:t>
      </w:r>
      <w:r w:rsidR="00FA433F" w:rsidRPr="00FA433F">
        <w:rPr>
          <w:noProof/>
        </w:rPr>
        <w:t xml:space="preserve"> z</w:t>
      </w:r>
      <w:r w:rsidR="00FA433F">
        <w:rPr>
          <w:noProof/>
        </w:rPr>
        <w:t> </w:t>
      </w:r>
      <w:r w:rsidR="00FA433F" w:rsidRPr="00FA433F">
        <w:rPr>
          <w:noProof/>
        </w:rPr>
        <w:t>wie</w:t>
      </w:r>
      <w:r w:rsidRPr="00FA433F">
        <w:rPr>
          <w:noProof/>
        </w:rPr>
        <w:t>loletnimi ramami finansowymi oraz możliwa synergia</w:t>
      </w:r>
      <w:r w:rsidR="00FA433F" w:rsidRPr="00FA433F">
        <w:rPr>
          <w:noProof/>
        </w:rPr>
        <w:t xml:space="preserve"> z</w:t>
      </w:r>
      <w:r w:rsidR="00FA433F">
        <w:rPr>
          <w:noProof/>
        </w:rPr>
        <w:t> </w:t>
      </w:r>
      <w:r w:rsidR="00FA433F" w:rsidRPr="00FA433F">
        <w:rPr>
          <w:noProof/>
        </w:rPr>
        <w:t>inn</w:t>
      </w:r>
      <w:r w:rsidRPr="00FA433F">
        <w:rPr>
          <w:noProof/>
        </w:rPr>
        <w:t>ymi właściwymi instrumentami</w:t>
      </w:r>
      <w:bookmarkEnd w:id="61"/>
      <w:bookmarkEnd w:id="62"/>
      <w:bookmarkEnd w:id="63"/>
      <w:bookmarkEnd w:id="64"/>
      <w:bookmarkEnd w:id="65"/>
    </w:p>
    <w:p w14:paraId="7709993E" w14:textId="27D3E0CE" w:rsidR="008A4C15" w:rsidRPr="00FA433F" w:rsidRDefault="00EA1E59">
      <w:pPr>
        <w:pStyle w:val="Text1"/>
        <w:pBdr>
          <w:top w:val="single" w:sz="4" w:space="1" w:color="auto"/>
          <w:left w:val="single" w:sz="4" w:space="4" w:color="auto"/>
          <w:bottom w:val="single" w:sz="4" w:space="1" w:color="auto"/>
          <w:right w:val="single" w:sz="4" w:space="4" w:color="auto"/>
        </w:pBdr>
        <w:rPr>
          <w:noProof/>
        </w:rPr>
      </w:pPr>
      <w:r w:rsidRPr="00FA433F">
        <w:rPr>
          <w:noProof/>
        </w:rPr>
        <w:t>Niniejszy wniosek nie wchodzi</w:t>
      </w:r>
      <w:r w:rsidR="00FA433F" w:rsidRPr="00FA433F">
        <w:rPr>
          <w:noProof/>
        </w:rPr>
        <w:t xml:space="preserve"> w</w:t>
      </w:r>
      <w:r w:rsidR="00FA433F">
        <w:rPr>
          <w:noProof/>
        </w:rPr>
        <w:t> </w:t>
      </w:r>
      <w:r w:rsidR="00FA433F" w:rsidRPr="00FA433F">
        <w:rPr>
          <w:noProof/>
        </w:rPr>
        <w:t>zak</w:t>
      </w:r>
      <w:r w:rsidRPr="00FA433F">
        <w:rPr>
          <w:noProof/>
        </w:rPr>
        <w:t xml:space="preserve">res wieloletnich ram finansowych (WRF). Za punkt odniesienia dla możliwych dobrych praktyk przyjmuje się model funduszu </w:t>
      </w:r>
      <w:r w:rsidRPr="00FA433F">
        <w:rPr>
          <w:noProof/>
        </w:rPr>
        <w:lastRenderedPageBreak/>
        <w:t>modernizacyjnego, przy czym proponuje się, aby fundusz ten był wdrażany</w:t>
      </w:r>
      <w:r w:rsidR="00FA433F" w:rsidRPr="00FA433F">
        <w:rPr>
          <w:noProof/>
        </w:rPr>
        <w:t xml:space="preserve"> w</w:t>
      </w:r>
      <w:r w:rsidR="00FA433F">
        <w:rPr>
          <w:noProof/>
        </w:rPr>
        <w:t> </w:t>
      </w:r>
      <w:r w:rsidR="00FA433F" w:rsidRPr="00FA433F">
        <w:rPr>
          <w:noProof/>
        </w:rPr>
        <w:t>ram</w:t>
      </w:r>
      <w:r w:rsidRPr="00FA433F">
        <w:rPr>
          <w:noProof/>
        </w:rPr>
        <w:t>ach struktury budżetu UE.</w:t>
      </w:r>
    </w:p>
    <w:p w14:paraId="4648E98B" w14:textId="53BAFA20" w:rsidR="008A4C15" w:rsidRPr="00FA433F" w:rsidRDefault="008A4C15">
      <w:pPr>
        <w:pStyle w:val="ManualHeading3"/>
        <w:rPr>
          <w:noProof/>
        </w:rPr>
      </w:pPr>
      <w:bookmarkStart w:id="66" w:name="_Toc514938036"/>
      <w:bookmarkStart w:id="67" w:name="_Toc520485039"/>
      <w:bookmarkStart w:id="68" w:name="_Toc160804581"/>
      <w:bookmarkStart w:id="69" w:name="_Toc167220273"/>
      <w:bookmarkStart w:id="70" w:name="_Toc177549006"/>
      <w:r w:rsidRPr="00FA433F">
        <w:rPr>
          <w:noProof/>
        </w:rPr>
        <w:t>1.5.5.</w:t>
      </w:r>
      <w:r w:rsidRPr="00FA433F">
        <w:rPr>
          <w:noProof/>
        </w:rPr>
        <w:tab/>
        <w:t>Ocena różnych dostępnych możliwości finansowania,</w:t>
      </w:r>
      <w:r w:rsidR="00FA433F" w:rsidRPr="00FA433F">
        <w:rPr>
          <w:noProof/>
        </w:rPr>
        <w:t xml:space="preserve"> w</w:t>
      </w:r>
      <w:r w:rsidR="00FA433F">
        <w:rPr>
          <w:noProof/>
        </w:rPr>
        <w:t> </w:t>
      </w:r>
      <w:r w:rsidR="00FA433F" w:rsidRPr="00FA433F">
        <w:rPr>
          <w:noProof/>
        </w:rPr>
        <w:t>tym</w:t>
      </w:r>
      <w:r w:rsidRPr="00FA433F">
        <w:rPr>
          <w:noProof/>
        </w:rPr>
        <w:t xml:space="preserve"> możliwości przegrupowania środków</w:t>
      </w:r>
      <w:bookmarkEnd w:id="66"/>
      <w:bookmarkEnd w:id="67"/>
      <w:bookmarkEnd w:id="68"/>
      <w:bookmarkEnd w:id="69"/>
      <w:bookmarkEnd w:id="70"/>
    </w:p>
    <w:p w14:paraId="76344373" w14:textId="5BABDCE4" w:rsidR="008A4C15" w:rsidRPr="00FA433F" w:rsidRDefault="00662E88">
      <w:pPr>
        <w:pStyle w:val="Text1"/>
        <w:pBdr>
          <w:top w:val="single" w:sz="4" w:space="1" w:color="auto"/>
          <w:left w:val="single" w:sz="4" w:space="4" w:color="auto"/>
          <w:bottom w:val="single" w:sz="4" w:space="1" w:color="auto"/>
          <w:right w:val="single" w:sz="4" w:space="4" w:color="auto"/>
        </w:pBdr>
        <w:rPr>
          <w:noProof/>
        </w:rPr>
      </w:pPr>
      <w:r w:rsidRPr="00FA433F">
        <w:rPr>
          <w:noProof/>
        </w:rPr>
        <w:t>Biorąc pod uwagę, że fundusz będzie dysponował własnym budżetem (dochodami funduszu) oraz że przewiduje się przeznaczenie jego części na pokrycie kosztów administracyjnych, obecnie proponowany model wydaje się najbardziej odpowiedni,</w:t>
      </w:r>
      <w:r w:rsidR="00FA433F" w:rsidRPr="00FA433F">
        <w:rPr>
          <w:noProof/>
        </w:rPr>
        <w:t xml:space="preserve"> z</w:t>
      </w:r>
      <w:r w:rsidR="00FA433F">
        <w:rPr>
          <w:noProof/>
        </w:rPr>
        <w:t> </w:t>
      </w:r>
      <w:r w:rsidR="00FA433F" w:rsidRPr="00FA433F">
        <w:rPr>
          <w:noProof/>
        </w:rPr>
        <w:t>wyj</w:t>
      </w:r>
      <w:r w:rsidRPr="00FA433F">
        <w:rPr>
          <w:noProof/>
        </w:rPr>
        <w:t>ątkiem etapu przygotowawczego</w:t>
      </w:r>
      <w:r w:rsidR="00FA433F" w:rsidRPr="00FA433F">
        <w:rPr>
          <w:noProof/>
        </w:rPr>
        <w:t>. W</w:t>
      </w:r>
      <w:r w:rsidR="00FA433F">
        <w:rPr>
          <w:noProof/>
        </w:rPr>
        <w:t> </w:t>
      </w:r>
      <w:r w:rsidR="00FA433F" w:rsidRPr="00FA433F">
        <w:rPr>
          <w:noProof/>
        </w:rPr>
        <w:t>tym</w:t>
      </w:r>
      <w:r w:rsidRPr="00FA433F">
        <w:rPr>
          <w:noProof/>
        </w:rPr>
        <w:t xml:space="preserve"> okresie koszty personelu powinny być pokrywane</w:t>
      </w:r>
      <w:r w:rsidR="00FA433F" w:rsidRPr="00FA433F">
        <w:rPr>
          <w:noProof/>
        </w:rPr>
        <w:t xml:space="preserve"> w</w:t>
      </w:r>
      <w:r w:rsidR="00FA433F">
        <w:rPr>
          <w:noProof/>
        </w:rPr>
        <w:t> </w:t>
      </w:r>
      <w:r w:rsidR="00FA433F" w:rsidRPr="00FA433F">
        <w:rPr>
          <w:noProof/>
        </w:rPr>
        <w:t>dro</w:t>
      </w:r>
      <w:r w:rsidRPr="00FA433F">
        <w:rPr>
          <w:noProof/>
        </w:rPr>
        <w:t>dze przesunięć</w:t>
      </w:r>
      <w:r w:rsidR="00FA433F" w:rsidRPr="00FA433F">
        <w:rPr>
          <w:noProof/>
        </w:rPr>
        <w:t xml:space="preserve"> w</w:t>
      </w:r>
      <w:r w:rsidR="00FA433F">
        <w:rPr>
          <w:noProof/>
        </w:rPr>
        <w:t> </w:t>
      </w:r>
      <w:r w:rsidR="00FA433F" w:rsidRPr="00FA433F">
        <w:rPr>
          <w:noProof/>
        </w:rPr>
        <w:t>ram</w:t>
      </w:r>
      <w:r w:rsidRPr="00FA433F">
        <w:rPr>
          <w:noProof/>
        </w:rPr>
        <w:t>ach działu 7 przez służby wdrażające, do czasu, aż zaczną wpływać dochody.</w:t>
      </w:r>
    </w:p>
    <w:p w14:paraId="4E0C7755" w14:textId="012203DC" w:rsidR="008A4C15" w:rsidRPr="00FA433F" w:rsidRDefault="008A4C15">
      <w:pPr>
        <w:pStyle w:val="ManualHeading2"/>
        <w:rPr>
          <w:bCs/>
          <w:noProof/>
          <w:szCs w:val="24"/>
        </w:rPr>
      </w:pPr>
      <w:r w:rsidRPr="00FA433F">
        <w:rPr>
          <w:noProof/>
        </w:rPr>
        <w:br w:type="page"/>
      </w:r>
      <w:bookmarkStart w:id="71" w:name="_Toc514938039"/>
      <w:bookmarkStart w:id="72" w:name="_Toc520485040"/>
      <w:bookmarkStart w:id="73" w:name="_Toc160804582"/>
      <w:bookmarkStart w:id="74" w:name="_Toc167220274"/>
      <w:bookmarkStart w:id="75" w:name="_Toc177549007"/>
      <w:r w:rsidRPr="00FA433F">
        <w:rPr>
          <w:noProof/>
        </w:rPr>
        <w:lastRenderedPageBreak/>
        <w:t>1.6.</w:t>
      </w:r>
      <w:r w:rsidRPr="00FA433F">
        <w:rPr>
          <w:noProof/>
        </w:rPr>
        <w:tab/>
        <w:t>Czas trwania wniosku/inicjatywy</w:t>
      </w:r>
      <w:r w:rsidR="00FA433F" w:rsidRPr="00FA433F">
        <w:rPr>
          <w:noProof/>
        </w:rPr>
        <w:t xml:space="preserve"> i</w:t>
      </w:r>
      <w:r w:rsidR="00FA433F">
        <w:rPr>
          <w:noProof/>
        </w:rPr>
        <w:t> </w:t>
      </w:r>
      <w:r w:rsidR="00FA433F" w:rsidRPr="00FA433F">
        <w:rPr>
          <w:noProof/>
        </w:rPr>
        <w:t>jeg</w:t>
      </w:r>
      <w:r w:rsidRPr="00FA433F">
        <w:rPr>
          <w:noProof/>
        </w:rPr>
        <w:t>o/jej wpływu finansowego</w:t>
      </w:r>
      <w:bookmarkEnd w:id="71"/>
      <w:bookmarkEnd w:id="72"/>
      <w:bookmarkEnd w:id="73"/>
      <w:bookmarkEnd w:id="74"/>
      <w:bookmarkEnd w:id="75"/>
    </w:p>
    <w:p w14:paraId="4F4AC8BA" w14:textId="77777777" w:rsidR="008A4C15" w:rsidRPr="00FA433F" w:rsidRDefault="000F7492">
      <w:pPr>
        <w:pStyle w:val="Text1"/>
        <w:rPr>
          <w:noProof/>
        </w:rPr>
      </w:pPr>
      <w:r w:rsidRPr="00FA433F">
        <w:rPr>
          <w:rFonts w:ascii="Wingdings" w:hAnsi="Wingdings"/>
          <w:noProof/>
        </w:rPr>
        <w:t></w:t>
      </w:r>
      <w:r w:rsidRPr="00FA433F">
        <w:rPr>
          <w:noProof/>
        </w:rPr>
        <w:t xml:space="preserve"> </w:t>
      </w:r>
      <w:r w:rsidRPr="00FA433F">
        <w:rPr>
          <w:b/>
          <w:noProof/>
        </w:rPr>
        <w:t xml:space="preserve">Ograniczony czas trwania </w:t>
      </w:r>
    </w:p>
    <w:p w14:paraId="0303610A" w14:textId="1A89328D" w:rsidR="008A4C15" w:rsidRPr="00FA433F" w:rsidRDefault="000F7492">
      <w:pPr>
        <w:pStyle w:val="ListDash2"/>
        <w:rPr>
          <w:noProof/>
        </w:rPr>
      </w:pPr>
      <w:r w:rsidRPr="00FA433F">
        <w:rPr>
          <w:rFonts w:ascii="Wingdings" w:hAnsi="Wingdings"/>
          <w:noProof/>
        </w:rPr>
        <w:t></w:t>
      </w:r>
      <w:r w:rsidRPr="00FA433F">
        <w:rPr>
          <w:noProof/>
        </w:rPr>
        <w:tab/>
        <w:t>Czas trwania wniosku/inicjatywy: od</w:t>
      </w:r>
      <w:r w:rsidR="00FA433F" w:rsidRPr="00FA433F">
        <w:rPr>
          <w:noProof/>
        </w:rPr>
        <w:t> </w:t>
      </w:r>
      <w:r w:rsidRPr="00FA433F">
        <w:rPr>
          <w:noProof/>
        </w:rPr>
        <w:t>2026 r. do</w:t>
      </w:r>
      <w:r w:rsidR="00FA433F" w:rsidRPr="00FA433F">
        <w:rPr>
          <w:noProof/>
        </w:rPr>
        <w:t> </w:t>
      </w:r>
      <w:r w:rsidRPr="00FA433F">
        <w:rPr>
          <w:noProof/>
        </w:rPr>
        <w:t xml:space="preserve">2031 r. </w:t>
      </w:r>
    </w:p>
    <w:p w14:paraId="33AE6B77" w14:textId="32E4303D" w:rsidR="008A4C15" w:rsidRPr="00FA433F" w:rsidRDefault="00844507">
      <w:pPr>
        <w:pStyle w:val="ListDash2"/>
        <w:rPr>
          <w:noProof/>
        </w:rPr>
      </w:pPr>
      <w:r w:rsidRPr="00FA433F">
        <w:rPr>
          <w:rFonts w:ascii="Wingdings" w:hAnsi="Wingdings"/>
          <w:noProof/>
        </w:rPr>
        <w:t></w:t>
      </w:r>
      <w:r w:rsidRPr="00FA433F">
        <w:rPr>
          <w:noProof/>
        </w:rPr>
        <w:tab/>
        <w:t>Czas trwania wpływu finansowego: od</w:t>
      </w:r>
      <w:r w:rsidR="00FA433F" w:rsidRPr="00FA433F">
        <w:rPr>
          <w:noProof/>
        </w:rPr>
        <w:t> </w:t>
      </w:r>
      <w:r w:rsidRPr="00FA433F">
        <w:rPr>
          <w:noProof/>
        </w:rPr>
        <w:t>2026 r. do</w:t>
      </w:r>
      <w:r w:rsidR="00FA433F" w:rsidRPr="00FA433F">
        <w:rPr>
          <w:noProof/>
        </w:rPr>
        <w:t> </w:t>
      </w:r>
      <w:r w:rsidRPr="00FA433F">
        <w:rPr>
          <w:noProof/>
        </w:rPr>
        <w:t>2030 r.</w:t>
      </w:r>
      <w:r w:rsidR="00FA433F" w:rsidRPr="00FA433F">
        <w:rPr>
          <w:noProof/>
        </w:rPr>
        <w:t xml:space="preserve"> w</w:t>
      </w:r>
      <w:r w:rsidR="00FA433F">
        <w:rPr>
          <w:noProof/>
        </w:rPr>
        <w:t> </w:t>
      </w:r>
      <w:r w:rsidR="00FA433F" w:rsidRPr="00FA433F">
        <w:rPr>
          <w:noProof/>
        </w:rPr>
        <w:t>odn</w:t>
      </w:r>
      <w:r w:rsidRPr="00FA433F">
        <w:rPr>
          <w:noProof/>
        </w:rPr>
        <w:t>iesieniu do środków na zobowiązania oraz od</w:t>
      </w:r>
      <w:r w:rsidR="00FA433F" w:rsidRPr="00FA433F">
        <w:rPr>
          <w:noProof/>
        </w:rPr>
        <w:t> </w:t>
      </w:r>
      <w:r w:rsidRPr="00FA433F">
        <w:rPr>
          <w:noProof/>
        </w:rPr>
        <w:t>2026 r. do</w:t>
      </w:r>
      <w:r w:rsidR="00FA433F" w:rsidRPr="00FA433F">
        <w:rPr>
          <w:noProof/>
        </w:rPr>
        <w:t> </w:t>
      </w:r>
      <w:r w:rsidRPr="00FA433F">
        <w:rPr>
          <w:noProof/>
        </w:rPr>
        <w:t>2031 r.</w:t>
      </w:r>
      <w:r w:rsidR="00FA433F" w:rsidRPr="00FA433F">
        <w:rPr>
          <w:noProof/>
        </w:rPr>
        <w:t xml:space="preserve"> w</w:t>
      </w:r>
      <w:r w:rsidR="00FA433F">
        <w:rPr>
          <w:noProof/>
        </w:rPr>
        <w:t> </w:t>
      </w:r>
      <w:r w:rsidR="00FA433F" w:rsidRPr="00FA433F">
        <w:rPr>
          <w:noProof/>
        </w:rPr>
        <w:t>odn</w:t>
      </w:r>
      <w:r w:rsidRPr="00FA433F">
        <w:rPr>
          <w:noProof/>
        </w:rPr>
        <w:t xml:space="preserve">iesieniu do środków na płatności. </w:t>
      </w:r>
    </w:p>
    <w:p w14:paraId="455D7BDD" w14:textId="77777777" w:rsidR="008A4C15" w:rsidRPr="00FA433F" w:rsidRDefault="008A4C15">
      <w:pPr>
        <w:pStyle w:val="Text1"/>
        <w:rPr>
          <w:noProof/>
        </w:rPr>
      </w:pPr>
      <w:r w:rsidRPr="00FA433F">
        <w:rPr>
          <w:rFonts w:ascii="Wingdings" w:hAnsi="Wingdings"/>
          <w:noProof/>
        </w:rPr>
        <w:t></w:t>
      </w:r>
      <w:r w:rsidRPr="00FA433F">
        <w:rPr>
          <w:noProof/>
        </w:rPr>
        <w:t xml:space="preserve"> </w:t>
      </w:r>
      <w:r w:rsidRPr="00FA433F">
        <w:rPr>
          <w:b/>
          <w:noProof/>
        </w:rPr>
        <w:t>Nieograniczony czas trwania</w:t>
      </w:r>
    </w:p>
    <w:p w14:paraId="2E65B0A4" w14:textId="3345798F" w:rsidR="008A4C15" w:rsidRPr="00FA433F" w:rsidRDefault="008A4C15">
      <w:pPr>
        <w:pStyle w:val="ListDash1"/>
        <w:rPr>
          <w:noProof/>
        </w:rPr>
      </w:pPr>
      <w:r w:rsidRPr="00FA433F">
        <w:rPr>
          <w:noProof/>
        </w:rPr>
        <w:t>Wprowadzenie</w:t>
      </w:r>
      <w:r w:rsidR="00FA433F" w:rsidRPr="00FA433F">
        <w:rPr>
          <w:noProof/>
        </w:rPr>
        <w:t xml:space="preserve"> w</w:t>
      </w:r>
      <w:r w:rsidR="00FA433F">
        <w:rPr>
          <w:noProof/>
        </w:rPr>
        <w:t> </w:t>
      </w:r>
      <w:r w:rsidR="00FA433F" w:rsidRPr="00FA433F">
        <w:rPr>
          <w:noProof/>
        </w:rPr>
        <w:t>życ</w:t>
      </w:r>
      <w:r w:rsidRPr="00FA433F">
        <w:rPr>
          <w:noProof/>
        </w:rPr>
        <w:t>ie</w:t>
      </w:r>
      <w:r w:rsidR="00FA433F" w:rsidRPr="00FA433F">
        <w:rPr>
          <w:noProof/>
        </w:rPr>
        <w:t xml:space="preserve"> z</w:t>
      </w:r>
      <w:r w:rsidR="00FA433F">
        <w:rPr>
          <w:noProof/>
        </w:rPr>
        <w:t> </w:t>
      </w:r>
      <w:r w:rsidR="00FA433F" w:rsidRPr="00FA433F">
        <w:rPr>
          <w:noProof/>
        </w:rPr>
        <w:t>okr</w:t>
      </w:r>
      <w:r w:rsidRPr="00FA433F">
        <w:rPr>
          <w:noProof/>
        </w:rPr>
        <w:t>esem rozruchu od RRRR r. do RRRR r.,</w:t>
      </w:r>
    </w:p>
    <w:p w14:paraId="0E3657E0" w14:textId="77777777" w:rsidR="008A4C15" w:rsidRPr="00FA433F" w:rsidRDefault="008A4C15">
      <w:pPr>
        <w:pStyle w:val="ListDash1"/>
        <w:rPr>
          <w:noProof/>
        </w:rPr>
      </w:pPr>
      <w:r w:rsidRPr="00FA433F">
        <w:rPr>
          <w:noProof/>
        </w:rPr>
        <w:t>po którym następuje faza operacyjna.</w:t>
      </w:r>
    </w:p>
    <w:p w14:paraId="55D5ED1D" w14:textId="77777777" w:rsidR="008A4C15" w:rsidRPr="00FA433F" w:rsidRDefault="008A4C15">
      <w:pPr>
        <w:pStyle w:val="ManualHeading2"/>
        <w:rPr>
          <w:bCs/>
          <w:noProof/>
          <w:szCs w:val="24"/>
        </w:rPr>
      </w:pPr>
      <w:bookmarkStart w:id="76" w:name="_Toc514938040"/>
      <w:bookmarkStart w:id="77" w:name="_Toc520485041"/>
      <w:bookmarkStart w:id="78" w:name="_Toc160804583"/>
      <w:bookmarkStart w:id="79" w:name="_Toc167220275"/>
      <w:bookmarkStart w:id="80" w:name="_Toc177549008"/>
      <w:r w:rsidRPr="00FA433F">
        <w:rPr>
          <w:noProof/>
        </w:rPr>
        <w:t>1.7.</w:t>
      </w:r>
      <w:r w:rsidRPr="00FA433F">
        <w:rPr>
          <w:noProof/>
        </w:rPr>
        <w:tab/>
        <w:t>Planowane metody wykonania budżetu</w:t>
      </w:r>
      <w:bookmarkEnd w:id="76"/>
      <w:bookmarkEnd w:id="77"/>
      <w:bookmarkEnd w:id="78"/>
      <w:bookmarkEnd w:id="79"/>
      <w:bookmarkEnd w:id="80"/>
      <w:r w:rsidRPr="00FA433F">
        <w:rPr>
          <w:noProof/>
        </w:rPr>
        <w:t xml:space="preserve"> [Szczegóły dotyczące metod wykonania budżetu oraz odniesienia do rozporządzenia finansowego znajdują się na stronie BUDGpedia: </w:t>
      </w:r>
      <w:hyperlink r:id="rId16" w:history="1">
        <w:r w:rsidRPr="00FA433F">
          <w:rPr>
            <w:noProof/>
          </w:rPr>
          <w:t>https://myintracomm.ec.europa.eu/corp/budget/financial-rules/budget-implementation/Pages/implementation-methods.aspx</w:t>
        </w:r>
      </w:hyperlink>
      <w:r w:rsidRPr="00FA433F">
        <w:rPr>
          <w:noProof/>
        </w:rPr>
        <w:t>]</w:t>
      </w:r>
    </w:p>
    <w:p w14:paraId="0AF648FB" w14:textId="77777777" w:rsidR="008A4C15" w:rsidRPr="00FA433F" w:rsidRDefault="00671B26">
      <w:pPr>
        <w:pStyle w:val="Text1"/>
        <w:rPr>
          <w:noProof/>
        </w:rPr>
      </w:pPr>
      <w:r w:rsidRPr="00FA433F">
        <w:rPr>
          <w:rFonts w:ascii="Wingdings" w:hAnsi="Wingdings"/>
          <w:noProof/>
        </w:rPr>
        <w:t></w:t>
      </w:r>
      <w:r w:rsidRPr="00FA433F">
        <w:rPr>
          <w:i/>
          <w:noProof/>
        </w:rPr>
        <w:t xml:space="preserve"> </w:t>
      </w:r>
      <w:r w:rsidRPr="00FA433F">
        <w:rPr>
          <w:b/>
          <w:noProof/>
        </w:rPr>
        <w:t>Bezpośrednie zarządzanie</w:t>
      </w:r>
      <w:r w:rsidRPr="00FA433F">
        <w:rPr>
          <w:noProof/>
        </w:rPr>
        <w:t xml:space="preserve"> przez Komisję</w:t>
      </w:r>
    </w:p>
    <w:p w14:paraId="255A77B0" w14:textId="698FD8AE" w:rsidR="008A4C15" w:rsidRPr="00FA433F" w:rsidRDefault="00671B26">
      <w:pPr>
        <w:pStyle w:val="ListDash2"/>
        <w:rPr>
          <w:rFonts w:cs="EUAlbertina"/>
          <w:noProof/>
        </w:rPr>
      </w:pPr>
      <w:r w:rsidRPr="00FA433F">
        <w:rPr>
          <w:rFonts w:ascii="Wingdings" w:hAnsi="Wingdings"/>
          <w:noProof/>
        </w:rPr>
        <w:t></w:t>
      </w:r>
      <w:r w:rsidR="00FA433F" w:rsidRPr="00FA433F">
        <w:rPr>
          <w:noProof/>
        </w:rPr>
        <w:t xml:space="preserve"> w</w:t>
      </w:r>
      <w:r w:rsidR="00FA433F">
        <w:rPr>
          <w:noProof/>
        </w:rPr>
        <w:t> </w:t>
      </w:r>
      <w:r w:rsidR="00FA433F" w:rsidRPr="00FA433F">
        <w:rPr>
          <w:noProof/>
        </w:rPr>
        <w:t>ram</w:t>
      </w:r>
      <w:r w:rsidRPr="00FA433F">
        <w:rPr>
          <w:noProof/>
        </w:rPr>
        <w:t>ach jej służb,</w:t>
      </w:r>
      <w:r w:rsidR="00FA433F" w:rsidRPr="00FA433F">
        <w:rPr>
          <w:noProof/>
        </w:rPr>
        <w:t xml:space="preserve"> w</w:t>
      </w:r>
      <w:r w:rsidR="00FA433F">
        <w:rPr>
          <w:noProof/>
        </w:rPr>
        <w:t> </w:t>
      </w:r>
      <w:r w:rsidR="00FA433F" w:rsidRPr="00FA433F">
        <w:rPr>
          <w:noProof/>
        </w:rPr>
        <w:t>tym</w:t>
      </w:r>
      <w:r w:rsidRPr="00FA433F">
        <w:rPr>
          <w:noProof/>
        </w:rPr>
        <w:t xml:space="preserve"> za pośrednictwem jej pracowników</w:t>
      </w:r>
      <w:r w:rsidR="00FA433F" w:rsidRPr="00FA433F">
        <w:rPr>
          <w:noProof/>
        </w:rPr>
        <w:t xml:space="preserve"> w</w:t>
      </w:r>
      <w:r w:rsidR="00FA433F">
        <w:rPr>
          <w:noProof/>
        </w:rPr>
        <w:t> </w:t>
      </w:r>
      <w:r w:rsidR="00FA433F" w:rsidRPr="00FA433F">
        <w:rPr>
          <w:noProof/>
        </w:rPr>
        <w:t>del</w:t>
      </w:r>
      <w:r w:rsidRPr="00FA433F">
        <w:rPr>
          <w:noProof/>
        </w:rPr>
        <w:t xml:space="preserve">egaturach Unii </w:t>
      </w:r>
    </w:p>
    <w:p w14:paraId="1AAE5EC0" w14:textId="77777777" w:rsidR="008A4C15" w:rsidRPr="00FA433F" w:rsidRDefault="008A4C15">
      <w:pPr>
        <w:pStyle w:val="ListDash2"/>
        <w:rPr>
          <w:noProof/>
        </w:rPr>
      </w:pPr>
      <w:r w:rsidRPr="00FA433F">
        <w:rPr>
          <w:rFonts w:ascii="Wingdings" w:hAnsi="Wingdings"/>
          <w:noProof/>
        </w:rPr>
        <w:t></w:t>
      </w:r>
      <w:r w:rsidRPr="00FA433F">
        <w:rPr>
          <w:noProof/>
        </w:rPr>
        <w:t xml:space="preserve"> przez agencje wykonawcze </w:t>
      </w:r>
    </w:p>
    <w:p w14:paraId="2E75ADFD" w14:textId="7FF50D84" w:rsidR="008A4C15" w:rsidRPr="00FA433F" w:rsidRDefault="008A4C15">
      <w:pPr>
        <w:pStyle w:val="Text1"/>
        <w:rPr>
          <w:noProof/>
        </w:rPr>
      </w:pPr>
      <w:r w:rsidRPr="00FA433F">
        <w:rPr>
          <w:rFonts w:ascii="Wingdings" w:hAnsi="Wingdings"/>
          <w:noProof/>
        </w:rPr>
        <w:t></w:t>
      </w:r>
      <w:r w:rsidRPr="00FA433F">
        <w:rPr>
          <w:b/>
          <w:i/>
          <w:noProof/>
        </w:rPr>
        <w:t xml:space="preserve"> </w:t>
      </w:r>
      <w:r w:rsidRPr="00FA433F">
        <w:rPr>
          <w:b/>
          <w:noProof/>
        </w:rPr>
        <w:t>Zarządzanie dzielone</w:t>
      </w:r>
      <w:r w:rsidR="00FA433F" w:rsidRPr="00FA433F">
        <w:rPr>
          <w:noProof/>
        </w:rPr>
        <w:t xml:space="preserve"> z</w:t>
      </w:r>
      <w:r w:rsidR="00FA433F">
        <w:rPr>
          <w:noProof/>
        </w:rPr>
        <w:t> </w:t>
      </w:r>
      <w:r w:rsidR="00FA433F" w:rsidRPr="00FA433F">
        <w:rPr>
          <w:noProof/>
        </w:rPr>
        <w:t>pań</w:t>
      </w:r>
      <w:r w:rsidRPr="00FA433F">
        <w:rPr>
          <w:noProof/>
        </w:rPr>
        <w:t xml:space="preserve">stwami członkowskimi </w:t>
      </w:r>
    </w:p>
    <w:p w14:paraId="73A08C43" w14:textId="3F1BFFC2" w:rsidR="008A4C15" w:rsidRPr="00FA433F" w:rsidRDefault="008A4C15">
      <w:pPr>
        <w:pStyle w:val="Text1"/>
        <w:rPr>
          <w:noProof/>
        </w:rPr>
      </w:pPr>
      <w:r w:rsidRPr="00FA433F">
        <w:rPr>
          <w:rFonts w:ascii="Wingdings" w:hAnsi="Wingdings"/>
          <w:noProof/>
        </w:rPr>
        <w:t></w:t>
      </w:r>
      <w:r w:rsidRPr="00FA433F">
        <w:rPr>
          <w:i/>
          <w:noProof/>
        </w:rPr>
        <w:t xml:space="preserve"> </w:t>
      </w:r>
      <w:r w:rsidRPr="00FA433F">
        <w:rPr>
          <w:b/>
          <w:noProof/>
        </w:rPr>
        <w:t>Zarządzanie pośrednie</w:t>
      </w:r>
      <w:r w:rsidRPr="00FA433F">
        <w:rPr>
          <w:noProof/>
        </w:rPr>
        <w:t xml:space="preserve"> przez przekazanie zadań związanych</w:t>
      </w:r>
      <w:r w:rsidR="00FA433F" w:rsidRPr="00FA433F">
        <w:rPr>
          <w:noProof/>
        </w:rPr>
        <w:t xml:space="preserve"> z</w:t>
      </w:r>
      <w:r w:rsidR="00FA433F">
        <w:rPr>
          <w:noProof/>
        </w:rPr>
        <w:t> </w:t>
      </w:r>
      <w:r w:rsidR="00FA433F" w:rsidRPr="00FA433F">
        <w:rPr>
          <w:noProof/>
        </w:rPr>
        <w:t>wyk</w:t>
      </w:r>
      <w:r w:rsidRPr="00FA433F">
        <w:rPr>
          <w:noProof/>
        </w:rPr>
        <w:t>onaniem budżetu:</w:t>
      </w:r>
    </w:p>
    <w:p w14:paraId="7131DFDF" w14:textId="77777777" w:rsidR="008A4C15" w:rsidRPr="00FA433F" w:rsidRDefault="008A4C15">
      <w:pPr>
        <w:pStyle w:val="ListDash2"/>
        <w:rPr>
          <w:noProof/>
        </w:rPr>
      </w:pPr>
      <w:r w:rsidRPr="00FA433F">
        <w:rPr>
          <w:rFonts w:ascii="Wingdings" w:hAnsi="Wingdings"/>
          <w:noProof/>
        </w:rPr>
        <w:t></w:t>
      </w:r>
      <w:r w:rsidRPr="00FA433F">
        <w:rPr>
          <w:noProof/>
        </w:rPr>
        <w:t xml:space="preserve"> państwom trzecim lub organom przez nie wyznaczonym</w:t>
      </w:r>
    </w:p>
    <w:p w14:paraId="21665FD4" w14:textId="7C6F0B07" w:rsidR="008A4C15" w:rsidRPr="00FA433F" w:rsidRDefault="008A4C15">
      <w:pPr>
        <w:pStyle w:val="ListDash2"/>
        <w:rPr>
          <w:noProof/>
        </w:rPr>
      </w:pPr>
      <w:r w:rsidRPr="00FA433F">
        <w:rPr>
          <w:rFonts w:ascii="Wingdings" w:hAnsi="Wingdings"/>
          <w:noProof/>
        </w:rPr>
        <w:t></w:t>
      </w:r>
      <w:r w:rsidRPr="00FA433F">
        <w:rPr>
          <w:noProof/>
        </w:rPr>
        <w:t xml:space="preserve"> organizacjom międzynarodowym</w:t>
      </w:r>
      <w:r w:rsidR="00FA433F" w:rsidRPr="00FA433F">
        <w:rPr>
          <w:noProof/>
        </w:rPr>
        <w:t xml:space="preserve"> i</w:t>
      </w:r>
      <w:r w:rsidR="00FA433F">
        <w:rPr>
          <w:noProof/>
        </w:rPr>
        <w:t> </w:t>
      </w:r>
      <w:r w:rsidR="00FA433F" w:rsidRPr="00FA433F">
        <w:rPr>
          <w:noProof/>
        </w:rPr>
        <w:t>ich</w:t>
      </w:r>
      <w:r w:rsidRPr="00FA433F">
        <w:rPr>
          <w:noProof/>
        </w:rPr>
        <w:t xml:space="preserve"> agencjom (wyszczególnić)</w:t>
      </w:r>
    </w:p>
    <w:p w14:paraId="6F771E8E" w14:textId="36DB4B4B" w:rsidR="008A4C15" w:rsidRPr="00FA433F" w:rsidRDefault="008A4C15">
      <w:pPr>
        <w:pStyle w:val="ListDash2"/>
        <w:rPr>
          <w:noProof/>
        </w:rPr>
      </w:pPr>
      <w:r w:rsidRPr="00FA433F">
        <w:rPr>
          <w:rFonts w:ascii="Wingdings" w:hAnsi="Wingdings"/>
          <w:noProof/>
        </w:rPr>
        <w:t></w:t>
      </w:r>
      <w:r w:rsidRPr="00FA433F">
        <w:rPr>
          <w:noProof/>
        </w:rPr>
        <w:t xml:space="preserve"> Europejskiemu Bankowi Inwestycyjnemu</w:t>
      </w:r>
      <w:r w:rsidR="00FA433F" w:rsidRPr="00FA433F">
        <w:rPr>
          <w:noProof/>
        </w:rPr>
        <w:t xml:space="preserve"> i</w:t>
      </w:r>
      <w:r w:rsidR="00FA433F">
        <w:rPr>
          <w:noProof/>
        </w:rPr>
        <w:t> </w:t>
      </w:r>
      <w:r w:rsidR="00FA433F" w:rsidRPr="00FA433F">
        <w:rPr>
          <w:noProof/>
        </w:rPr>
        <w:t>Eur</w:t>
      </w:r>
      <w:r w:rsidRPr="00FA433F">
        <w:rPr>
          <w:noProof/>
        </w:rPr>
        <w:t>opejskiemu Funduszowi Inwestycyjnemu</w:t>
      </w:r>
    </w:p>
    <w:p w14:paraId="47DC25EC" w14:textId="1A6E6DE9" w:rsidR="008A4C15" w:rsidRPr="00FA433F" w:rsidRDefault="008A4C15">
      <w:pPr>
        <w:pStyle w:val="ListDash2"/>
        <w:rPr>
          <w:noProof/>
        </w:rPr>
      </w:pPr>
      <w:r w:rsidRPr="00FA433F">
        <w:rPr>
          <w:rFonts w:ascii="Wingdings" w:hAnsi="Wingdings"/>
          <w:noProof/>
        </w:rPr>
        <w:t></w:t>
      </w:r>
      <w:r w:rsidRPr="00FA433F">
        <w:rPr>
          <w:noProof/>
        </w:rPr>
        <w:t xml:space="preserve"> organom,</w:t>
      </w:r>
      <w:r w:rsidR="00FA433F" w:rsidRPr="00FA433F">
        <w:rPr>
          <w:noProof/>
        </w:rPr>
        <w:t xml:space="preserve"> o</w:t>
      </w:r>
      <w:r w:rsidR="00FA433F">
        <w:rPr>
          <w:noProof/>
        </w:rPr>
        <w:t> </w:t>
      </w:r>
      <w:r w:rsidR="00FA433F" w:rsidRPr="00FA433F">
        <w:rPr>
          <w:noProof/>
        </w:rPr>
        <w:t>któ</w:t>
      </w:r>
      <w:r w:rsidRPr="00FA433F">
        <w:rPr>
          <w:noProof/>
        </w:rPr>
        <w:t>rych mowa</w:t>
      </w:r>
      <w:r w:rsidR="00FA433F" w:rsidRPr="00FA433F">
        <w:rPr>
          <w:noProof/>
        </w:rPr>
        <w:t xml:space="preserve"> w</w:t>
      </w:r>
      <w:r w:rsidR="00FA433F">
        <w:rPr>
          <w:noProof/>
        </w:rPr>
        <w:t> </w:t>
      </w:r>
      <w:r w:rsidR="00FA433F" w:rsidRPr="00FA433F">
        <w:rPr>
          <w:noProof/>
        </w:rPr>
        <w:t>art</w:t>
      </w:r>
      <w:r w:rsidRPr="00FA433F">
        <w:rPr>
          <w:noProof/>
        </w:rPr>
        <w:t>.</w:t>
      </w:r>
      <w:r w:rsidR="00FA433F" w:rsidRPr="00FA433F">
        <w:rPr>
          <w:noProof/>
        </w:rPr>
        <w:t> </w:t>
      </w:r>
      <w:r w:rsidRPr="00FA433F">
        <w:rPr>
          <w:noProof/>
        </w:rPr>
        <w:t>70</w:t>
      </w:r>
      <w:r w:rsidR="00FA433F" w:rsidRPr="00FA433F">
        <w:rPr>
          <w:noProof/>
        </w:rPr>
        <w:t xml:space="preserve"> i</w:t>
      </w:r>
      <w:r w:rsidR="00FA433F">
        <w:rPr>
          <w:noProof/>
        </w:rPr>
        <w:t> </w:t>
      </w:r>
      <w:r w:rsidR="00FA433F" w:rsidRPr="00FA433F">
        <w:rPr>
          <w:noProof/>
        </w:rPr>
        <w:t>7</w:t>
      </w:r>
      <w:r w:rsidRPr="00FA433F">
        <w:rPr>
          <w:noProof/>
        </w:rPr>
        <w:t>1 rozporządzenia finansowego</w:t>
      </w:r>
    </w:p>
    <w:p w14:paraId="63A79DC8" w14:textId="77777777" w:rsidR="008A4C15" w:rsidRPr="00FA433F" w:rsidRDefault="008A4C15">
      <w:pPr>
        <w:pStyle w:val="ListDash2"/>
        <w:rPr>
          <w:noProof/>
        </w:rPr>
      </w:pPr>
      <w:r w:rsidRPr="00FA433F">
        <w:rPr>
          <w:rFonts w:ascii="Wingdings" w:hAnsi="Wingdings"/>
          <w:noProof/>
        </w:rPr>
        <w:t></w:t>
      </w:r>
      <w:r w:rsidRPr="00FA433F">
        <w:rPr>
          <w:noProof/>
        </w:rPr>
        <w:t xml:space="preserve"> organom prawa publicznego</w:t>
      </w:r>
    </w:p>
    <w:p w14:paraId="305CF3B3" w14:textId="37548971" w:rsidR="008A4C15" w:rsidRPr="00FA433F" w:rsidRDefault="008A4C15">
      <w:pPr>
        <w:pStyle w:val="ListDash2"/>
        <w:rPr>
          <w:noProof/>
        </w:rPr>
      </w:pPr>
      <w:r w:rsidRPr="00FA433F">
        <w:rPr>
          <w:rFonts w:ascii="Wingdings" w:hAnsi="Wingdings"/>
          <w:noProof/>
        </w:rPr>
        <w:t></w:t>
      </w:r>
      <w:r w:rsidRPr="00FA433F">
        <w:rPr>
          <w:noProof/>
        </w:rPr>
        <w:t xml:space="preserve"> podmiotom podlegającym prawu prywatnemu, które świadczą usługi użyteczności publicznej,</w:t>
      </w:r>
      <w:r w:rsidR="00FA433F" w:rsidRPr="00FA433F">
        <w:rPr>
          <w:noProof/>
        </w:rPr>
        <w:t xml:space="preserve"> w</w:t>
      </w:r>
      <w:r w:rsidR="00FA433F">
        <w:rPr>
          <w:noProof/>
        </w:rPr>
        <w:t> </w:t>
      </w:r>
      <w:r w:rsidR="00FA433F" w:rsidRPr="00FA433F">
        <w:rPr>
          <w:noProof/>
        </w:rPr>
        <w:t>zak</w:t>
      </w:r>
      <w:r w:rsidRPr="00FA433F">
        <w:rPr>
          <w:noProof/>
        </w:rPr>
        <w:t>resie,</w:t>
      </w:r>
      <w:r w:rsidR="00FA433F" w:rsidRPr="00FA433F">
        <w:rPr>
          <w:noProof/>
        </w:rPr>
        <w:t xml:space="preserve"> w</w:t>
      </w:r>
      <w:r w:rsidR="00FA433F">
        <w:rPr>
          <w:noProof/>
        </w:rPr>
        <w:t> </w:t>
      </w:r>
      <w:r w:rsidR="00FA433F" w:rsidRPr="00FA433F">
        <w:rPr>
          <w:noProof/>
        </w:rPr>
        <w:t>jak</w:t>
      </w:r>
      <w:r w:rsidRPr="00FA433F">
        <w:rPr>
          <w:noProof/>
        </w:rPr>
        <w:t>im są im zapewnione odpowiednie gwarancje finansowe</w:t>
      </w:r>
    </w:p>
    <w:p w14:paraId="78FDDF08" w14:textId="5B2A3830" w:rsidR="008A4C15" w:rsidRPr="00FA433F" w:rsidRDefault="008A4C15">
      <w:pPr>
        <w:pStyle w:val="ListDash2"/>
        <w:rPr>
          <w:noProof/>
        </w:rPr>
      </w:pPr>
      <w:r w:rsidRPr="00FA433F">
        <w:rPr>
          <w:rFonts w:ascii="Wingdings" w:hAnsi="Wingdings"/>
          <w:noProof/>
        </w:rPr>
        <w:t></w:t>
      </w:r>
      <w:r w:rsidRPr="00FA433F">
        <w:rPr>
          <w:noProof/>
        </w:rPr>
        <w:t xml:space="preserve"> podmiotom podlegającym prawu prywatnemu państwa członkowskiego, którym powierzono realizację partnerstwa publiczno-prywatnego</w:t>
      </w:r>
      <w:r w:rsidR="00FA433F" w:rsidRPr="00FA433F">
        <w:rPr>
          <w:noProof/>
        </w:rPr>
        <w:t xml:space="preserve"> i</w:t>
      </w:r>
      <w:r w:rsidR="00FA433F">
        <w:rPr>
          <w:noProof/>
        </w:rPr>
        <w:t> </w:t>
      </w:r>
      <w:r w:rsidR="00FA433F" w:rsidRPr="00FA433F">
        <w:rPr>
          <w:noProof/>
        </w:rPr>
        <w:t>zap</w:t>
      </w:r>
      <w:r w:rsidRPr="00FA433F">
        <w:rPr>
          <w:noProof/>
        </w:rPr>
        <w:t>ewniono odpowiednie gwarancje finansowe</w:t>
      </w:r>
    </w:p>
    <w:p w14:paraId="3E624146" w14:textId="42C74B7A" w:rsidR="008A4C15" w:rsidRPr="00FA433F" w:rsidRDefault="008A4C15">
      <w:pPr>
        <w:pStyle w:val="ListDash2"/>
        <w:rPr>
          <w:noProof/>
        </w:rPr>
      </w:pPr>
      <w:r w:rsidRPr="00FA433F">
        <w:rPr>
          <w:rFonts w:ascii="Wingdings" w:hAnsi="Wingdings"/>
          <w:noProof/>
        </w:rPr>
        <w:t></w:t>
      </w:r>
      <w:r w:rsidRPr="00FA433F">
        <w:rPr>
          <w:noProof/>
        </w:rPr>
        <w:t xml:space="preserve"> podmiotom lub osobom odpowiedzialnym za wykonanie określonych działań</w:t>
      </w:r>
      <w:r w:rsidR="00FA433F" w:rsidRPr="00FA433F">
        <w:rPr>
          <w:noProof/>
        </w:rPr>
        <w:t xml:space="preserve"> w</w:t>
      </w:r>
      <w:r w:rsidR="00FA433F">
        <w:rPr>
          <w:noProof/>
        </w:rPr>
        <w:t> </w:t>
      </w:r>
      <w:r w:rsidR="00FA433F" w:rsidRPr="00FA433F">
        <w:rPr>
          <w:noProof/>
        </w:rPr>
        <w:t>dzi</w:t>
      </w:r>
      <w:r w:rsidRPr="00FA433F">
        <w:rPr>
          <w:noProof/>
        </w:rPr>
        <w:t>edzinie wspólnej polityki zagranicznej</w:t>
      </w:r>
      <w:r w:rsidR="00FA433F" w:rsidRPr="00FA433F">
        <w:rPr>
          <w:noProof/>
        </w:rPr>
        <w:t xml:space="preserve"> i</w:t>
      </w:r>
      <w:r w:rsidR="00FA433F">
        <w:rPr>
          <w:noProof/>
        </w:rPr>
        <w:t> </w:t>
      </w:r>
      <w:r w:rsidR="00FA433F" w:rsidRPr="00FA433F">
        <w:rPr>
          <w:noProof/>
        </w:rPr>
        <w:t>bez</w:t>
      </w:r>
      <w:r w:rsidRPr="00FA433F">
        <w:rPr>
          <w:noProof/>
        </w:rPr>
        <w:t>pieczeństwa na mocy tytułu V Traktatu</w:t>
      </w:r>
      <w:r w:rsidR="00FA433F" w:rsidRPr="00FA433F">
        <w:rPr>
          <w:noProof/>
        </w:rPr>
        <w:t xml:space="preserve"> o</w:t>
      </w:r>
      <w:r w:rsidR="00FA433F">
        <w:rPr>
          <w:noProof/>
        </w:rPr>
        <w:t> </w:t>
      </w:r>
      <w:r w:rsidR="00FA433F" w:rsidRPr="00FA433F">
        <w:rPr>
          <w:noProof/>
        </w:rPr>
        <w:t>Uni</w:t>
      </w:r>
      <w:r w:rsidRPr="00FA433F">
        <w:rPr>
          <w:noProof/>
        </w:rPr>
        <w:t>i Europejskiej oraz określonym we właściwym podstawowym akcie prawnym</w:t>
      </w:r>
    </w:p>
    <w:p w14:paraId="5A6EEE93" w14:textId="4D2AFF15" w:rsidR="008A4C15" w:rsidRPr="00FA433F" w:rsidRDefault="008A4C15">
      <w:pPr>
        <w:pStyle w:val="ListDash2"/>
        <w:rPr>
          <w:noProof/>
        </w:rPr>
      </w:pPr>
      <w:r w:rsidRPr="00FA433F">
        <w:rPr>
          <w:rFonts w:ascii="Wingdings" w:hAnsi="Wingdings"/>
          <w:noProof/>
        </w:rPr>
        <w:t></w:t>
      </w:r>
      <w:r w:rsidRPr="00FA433F">
        <w:rPr>
          <w:rFonts w:ascii="Wingdings" w:hAnsi="Wingdings"/>
          <w:noProof/>
        </w:rPr>
        <w:t></w:t>
      </w:r>
      <w:r w:rsidRPr="00FA433F">
        <w:rPr>
          <w:noProof/>
        </w:rPr>
        <w:t xml:space="preserve"> podmiotom mającym siedzibę</w:t>
      </w:r>
      <w:r w:rsidR="00FA433F" w:rsidRPr="00FA433F">
        <w:rPr>
          <w:noProof/>
        </w:rPr>
        <w:t xml:space="preserve"> w</w:t>
      </w:r>
      <w:r w:rsidR="00FA433F">
        <w:rPr>
          <w:noProof/>
        </w:rPr>
        <w:t> </w:t>
      </w:r>
      <w:r w:rsidR="00FA433F" w:rsidRPr="00FA433F">
        <w:rPr>
          <w:noProof/>
        </w:rPr>
        <w:t>pań</w:t>
      </w:r>
      <w:r w:rsidRPr="00FA433F">
        <w:rPr>
          <w:noProof/>
        </w:rPr>
        <w:t>stwie członkowskim, podlegającym prawu prywatnemu państwa członkowskiego lub prawu Unii</w:t>
      </w:r>
      <w:r w:rsidR="00FA433F" w:rsidRPr="00FA433F">
        <w:rPr>
          <w:noProof/>
        </w:rPr>
        <w:t xml:space="preserve"> i</w:t>
      </w:r>
      <w:r w:rsidR="00FA433F">
        <w:rPr>
          <w:noProof/>
        </w:rPr>
        <w:t> </w:t>
      </w:r>
      <w:r w:rsidR="00FA433F" w:rsidRPr="00FA433F">
        <w:rPr>
          <w:noProof/>
        </w:rPr>
        <w:t>kwa</w:t>
      </w:r>
      <w:r w:rsidRPr="00FA433F">
        <w:rPr>
          <w:noProof/>
        </w:rPr>
        <w:t>lifikującym się, zgodnie</w:t>
      </w:r>
      <w:r w:rsidR="00FA433F" w:rsidRPr="00FA433F">
        <w:rPr>
          <w:noProof/>
        </w:rPr>
        <w:t xml:space="preserve"> z</w:t>
      </w:r>
      <w:r w:rsidR="00FA433F">
        <w:rPr>
          <w:noProof/>
        </w:rPr>
        <w:t> </w:t>
      </w:r>
      <w:r w:rsidR="00FA433F" w:rsidRPr="00FA433F">
        <w:rPr>
          <w:noProof/>
        </w:rPr>
        <w:t>prz</w:t>
      </w:r>
      <w:r w:rsidRPr="00FA433F">
        <w:rPr>
          <w:noProof/>
        </w:rPr>
        <w:t>episami sektorowymi, do powierzenia im wykonywania środków finansowych Unii lub gwarancji budżetowych,</w:t>
      </w:r>
      <w:r w:rsidR="00FA433F" w:rsidRPr="00FA433F">
        <w:rPr>
          <w:noProof/>
        </w:rPr>
        <w:t xml:space="preserve"> w</w:t>
      </w:r>
      <w:r w:rsidR="00FA433F">
        <w:rPr>
          <w:noProof/>
        </w:rPr>
        <w:t> </w:t>
      </w:r>
      <w:r w:rsidR="00FA433F" w:rsidRPr="00FA433F">
        <w:rPr>
          <w:noProof/>
        </w:rPr>
        <w:t>zak</w:t>
      </w:r>
      <w:r w:rsidRPr="00FA433F">
        <w:rPr>
          <w:noProof/>
        </w:rPr>
        <w:t>resie,</w:t>
      </w:r>
      <w:r w:rsidR="00FA433F" w:rsidRPr="00FA433F">
        <w:rPr>
          <w:noProof/>
        </w:rPr>
        <w:t xml:space="preserve"> w</w:t>
      </w:r>
      <w:r w:rsidR="00FA433F">
        <w:rPr>
          <w:noProof/>
        </w:rPr>
        <w:t> </w:t>
      </w:r>
      <w:r w:rsidR="00FA433F" w:rsidRPr="00FA433F">
        <w:rPr>
          <w:noProof/>
        </w:rPr>
        <w:t>jak</w:t>
      </w:r>
      <w:r w:rsidRPr="00FA433F">
        <w:rPr>
          <w:noProof/>
        </w:rPr>
        <w:t xml:space="preserve">im podmioty te są kontrolowane przez podmioty prawa publicznego lub podmioty podlegające prawu </w:t>
      </w:r>
      <w:r w:rsidRPr="00FA433F">
        <w:rPr>
          <w:noProof/>
        </w:rPr>
        <w:lastRenderedPageBreak/>
        <w:t>prywatnemu świadczące usługi użyteczności publicznej,</w:t>
      </w:r>
      <w:r w:rsidR="00FA433F" w:rsidRPr="00FA433F">
        <w:rPr>
          <w:noProof/>
        </w:rPr>
        <w:t xml:space="preserve"> a</w:t>
      </w:r>
      <w:r w:rsidR="00FA433F">
        <w:rPr>
          <w:noProof/>
        </w:rPr>
        <w:t> </w:t>
      </w:r>
      <w:r w:rsidR="00FA433F" w:rsidRPr="00FA433F">
        <w:rPr>
          <w:noProof/>
        </w:rPr>
        <w:t>tak</w:t>
      </w:r>
      <w:r w:rsidRPr="00FA433F">
        <w:rPr>
          <w:noProof/>
        </w:rPr>
        <w:t>że posiadają odpowiednie gwarancje finansowe</w:t>
      </w:r>
      <w:r w:rsidR="00FA433F" w:rsidRPr="00FA433F">
        <w:rPr>
          <w:noProof/>
        </w:rPr>
        <w:t xml:space="preserve"> w</w:t>
      </w:r>
      <w:r w:rsidR="00FA433F">
        <w:rPr>
          <w:noProof/>
        </w:rPr>
        <w:t> </w:t>
      </w:r>
      <w:r w:rsidR="00FA433F" w:rsidRPr="00FA433F">
        <w:rPr>
          <w:noProof/>
        </w:rPr>
        <w:t>for</w:t>
      </w:r>
      <w:r w:rsidRPr="00FA433F">
        <w:rPr>
          <w:noProof/>
        </w:rPr>
        <w:t>mie odpowiedzialności solidarnej organów kontrolnych lub równoważne gwarancje finansowe, które mogą być ograniczone,</w:t>
      </w:r>
      <w:r w:rsidR="00FA433F" w:rsidRPr="00FA433F">
        <w:rPr>
          <w:noProof/>
        </w:rPr>
        <w:t xml:space="preserve"> w</w:t>
      </w:r>
      <w:r w:rsidR="00FA433F">
        <w:rPr>
          <w:noProof/>
        </w:rPr>
        <w:t> </w:t>
      </w:r>
      <w:r w:rsidR="00FA433F" w:rsidRPr="00FA433F">
        <w:rPr>
          <w:noProof/>
        </w:rPr>
        <w:t>odn</w:t>
      </w:r>
      <w:r w:rsidRPr="00FA433F">
        <w:rPr>
          <w:noProof/>
        </w:rPr>
        <w:t>iesieniu do każdego działania, do maksymalnej kwoty wsparcia Unii.</w:t>
      </w:r>
    </w:p>
    <w:p w14:paraId="6CC35691" w14:textId="781EEF91" w:rsidR="008A4C15" w:rsidRPr="00FA433F" w:rsidRDefault="008A4C15">
      <w:pPr>
        <w:rPr>
          <w:noProof/>
        </w:rPr>
      </w:pPr>
      <w:r w:rsidRPr="00FA433F">
        <w:rPr>
          <w:noProof/>
        </w:rPr>
        <w:t>Jeżeli wskazano więcej niż jedną metodę wykonania budżetu, proszę podać szczegółowe informacje</w:t>
      </w:r>
      <w:r w:rsidR="00FA433F" w:rsidRPr="00FA433F">
        <w:rPr>
          <w:noProof/>
        </w:rPr>
        <w:t xml:space="preserve"> w</w:t>
      </w:r>
      <w:r w:rsidR="00FA433F">
        <w:rPr>
          <w:noProof/>
        </w:rPr>
        <w:t> </w:t>
      </w:r>
      <w:r w:rsidR="00FA433F" w:rsidRPr="00FA433F">
        <w:rPr>
          <w:noProof/>
        </w:rPr>
        <w:t>sek</w:t>
      </w:r>
      <w:r w:rsidRPr="00FA433F">
        <w:rPr>
          <w:noProof/>
        </w:rPr>
        <w:t>cji „Uwagi”.</w:t>
      </w:r>
    </w:p>
    <w:p w14:paraId="1CDCD85D" w14:textId="77777777" w:rsidR="008A4C15" w:rsidRPr="00FA433F" w:rsidRDefault="008A4C15">
      <w:pPr>
        <w:rPr>
          <w:noProof/>
        </w:rPr>
      </w:pPr>
      <w:r w:rsidRPr="00FA433F">
        <w:rPr>
          <w:noProof/>
        </w:rPr>
        <w:t xml:space="preserve">Uwagi </w:t>
      </w:r>
    </w:p>
    <w:p w14:paraId="5F65199C" w14:textId="77777777" w:rsidR="008A4C15" w:rsidRPr="00FA433F" w:rsidRDefault="00671B26">
      <w:pPr>
        <w:pBdr>
          <w:top w:val="single" w:sz="4" w:space="1" w:color="auto"/>
          <w:left w:val="single" w:sz="4" w:space="4" w:color="auto"/>
          <w:bottom w:val="single" w:sz="4" w:space="1" w:color="auto"/>
          <w:right w:val="single" w:sz="4" w:space="4" w:color="auto"/>
        </w:pBdr>
        <w:rPr>
          <w:noProof/>
        </w:rPr>
      </w:pPr>
      <w:r w:rsidRPr="00FA433F">
        <w:rPr>
          <w:noProof/>
        </w:rPr>
        <w:t>Nie dotyczy</w:t>
      </w:r>
    </w:p>
    <w:p w14:paraId="44946DDB" w14:textId="77777777" w:rsidR="008A4C15" w:rsidRPr="00FA433F" w:rsidRDefault="008A4C15">
      <w:pPr>
        <w:rPr>
          <w:noProof/>
        </w:rPr>
        <w:sectPr w:rsidR="008A4C15" w:rsidRPr="00FA433F" w:rsidSect="007E5C27">
          <w:pgSz w:w="11907" w:h="16840" w:code="9"/>
          <w:pgMar w:top="1134" w:right="1418" w:bottom="1134" w:left="1418" w:header="709" w:footer="709" w:gutter="0"/>
          <w:cols w:space="708"/>
          <w:docGrid w:linePitch="360"/>
        </w:sectPr>
      </w:pPr>
    </w:p>
    <w:p w14:paraId="0D4751E3" w14:textId="77777777" w:rsidR="008A4C15" w:rsidRPr="00FA433F" w:rsidRDefault="008A4C15">
      <w:pPr>
        <w:pStyle w:val="ManualHeading1"/>
        <w:rPr>
          <w:bCs/>
          <w:noProof/>
          <w:szCs w:val="24"/>
        </w:rPr>
      </w:pPr>
      <w:bookmarkStart w:id="81" w:name="_Toc514938041"/>
      <w:bookmarkStart w:id="82" w:name="_Toc520485042"/>
      <w:bookmarkStart w:id="83" w:name="_Toc160804584"/>
      <w:bookmarkStart w:id="84" w:name="_Toc167220276"/>
      <w:bookmarkStart w:id="85" w:name="_Toc177549009"/>
      <w:r w:rsidRPr="00FA433F">
        <w:rPr>
          <w:noProof/>
        </w:rPr>
        <w:lastRenderedPageBreak/>
        <w:t>2.</w:t>
      </w:r>
      <w:r w:rsidRPr="00FA433F">
        <w:rPr>
          <w:noProof/>
        </w:rPr>
        <w:tab/>
        <w:t>ŚRODKI ZARZĄDZANIA</w:t>
      </w:r>
      <w:bookmarkEnd w:id="81"/>
      <w:bookmarkEnd w:id="82"/>
      <w:bookmarkEnd w:id="83"/>
      <w:bookmarkEnd w:id="84"/>
      <w:bookmarkEnd w:id="85"/>
      <w:r w:rsidRPr="00FA433F">
        <w:rPr>
          <w:noProof/>
        </w:rPr>
        <w:t xml:space="preserve"> </w:t>
      </w:r>
    </w:p>
    <w:p w14:paraId="041D3774" w14:textId="050B3992" w:rsidR="008A4C15" w:rsidRPr="00FA433F" w:rsidRDefault="008A4C15">
      <w:pPr>
        <w:pStyle w:val="ManualHeading2"/>
        <w:rPr>
          <w:noProof/>
        </w:rPr>
      </w:pPr>
      <w:bookmarkStart w:id="86" w:name="_Toc514938042"/>
      <w:bookmarkStart w:id="87" w:name="_Toc520485043"/>
      <w:bookmarkStart w:id="88" w:name="_Toc160804585"/>
      <w:bookmarkStart w:id="89" w:name="_Toc167220277"/>
      <w:bookmarkStart w:id="90" w:name="_Toc177549010"/>
      <w:r w:rsidRPr="00FA433F">
        <w:rPr>
          <w:noProof/>
        </w:rPr>
        <w:t>2.1.</w:t>
      </w:r>
      <w:r w:rsidRPr="00FA433F">
        <w:rPr>
          <w:noProof/>
        </w:rPr>
        <w:tab/>
        <w:t>Zasady nadzoru</w:t>
      </w:r>
      <w:r w:rsidR="00FA433F" w:rsidRPr="00FA433F">
        <w:rPr>
          <w:noProof/>
        </w:rPr>
        <w:t xml:space="preserve"> i</w:t>
      </w:r>
      <w:r w:rsidR="00FA433F">
        <w:rPr>
          <w:noProof/>
        </w:rPr>
        <w:t> </w:t>
      </w:r>
      <w:r w:rsidR="00FA433F" w:rsidRPr="00FA433F">
        <w:rPr>
          <w:noProof/>
        </w:rPr>
        <w:t>spr</w:t>
      </w:r>
      <w:r w:rsidRPr="00FA433F">
        <w:rPr>
          <w:noProof/>
        </w:rPr>
        <w:t>awozdawczości</w:t>
      </w:r>
      <w:bookmarkEnd w:id="86"/>
      <w:bookmarkEnd w:id="87"/>
      <w:bookmarkEnd w:id="88"/>
      <w:bookmarkEnd w:id="89"/>
      <w:bookmarkEnd w:id="90"/>
      <w:r w:rsidRPr="00FA433F">
        <w:rPr>
          <w:noProof/>
        </w:rPr>
        <w:t xml:space="preserve"> </w:t>
      </w:r>
    </w:p>
    <w:p w14:paraId="6FE50347" w14:textId="390ADF29" w:rsidR="008A4C15" w:rsidRPr="00FA433F" w:rsidRDefault="008A4C15">
      <w:pPr>
        <w:pStyle w:val="Text1"/>
        <w:rPr>
          <w:noProof/>
        </w:rPr>
      </w:pPr>
      <w:r w:rsidRPr="00FA433F">
        <w:rPr>
          <w:noProof/>
        </w:rPr>
        <w:t>Określić częstotliwość</w:t>
      </w:r>
      <w:r w:rsidR="00FA433F" w:rsidRPr="00FA433F">
        <w:rPr>
          <w:noProof/>
        </w:rPr>
        <w:t xml:space="preserve"> i</w:t>
      </w:r>
      <w:r w:rsidR="00FA433F">
        <w:rPr>
          <w:noProof/>
        </w:rPr>
        <w:t> </w:t>
      </w:r>
      <w:r w:rsidR="00FA433F" w:rsidRPr="00FA433F">
        <w:rPr>
          <w:noProof/>
        </w:rPr>
        <w:t>war</w:t>
      </w:r>
      <w:r w:rsidRPr="00FA433F">
        <w:rPr>
          <w:noProof/>
        </w:rPr>
        <w:t>unki</w:t>
      </w:r>
    </w:p>
    <w:p w14:paraId="3FBBA617" w14:textId="32C124BB" w:rsidR="00D967F8" w:rsidRPr="00FA433F" w:rsidRDefault="00D967F8" w:rsidP="00D967F8">
      <w:pPr>
        <w:pStyle w:val="Text1"/>
        <w:pBdr>
          <w:top w:val="single" w:sz="4" w:space="1" w:color="auto"/>
          <w:left w:val="single" w:sz="4" w:space="4" w:color="auto"/>
          <w:bottom w:val="single" w:sz="4" w:space="1" w:color="auto"/>
          <w:right w:val="single" w:sz="4" w:space="4" w:color="auto"/>
        </w:pBdr>
        <w:rPr>
          <w:noProof/>
        </w:rPr>
      </w:pPr>
      <w:r w:rsidRPr="00FA433F">
        <w:rPr>
          <w:noProof/>
        </w:rPr>
        <w:t>Zasady monitorowania</w:t>
      </w:r>
      <w:r w:rsidR="00FA433F" w:rsidRPr="00FA433F">
        <w:rPr>
          <w:noProof/>
        </w:rPr>
        <w:t xml:space="preserve"> i</w:t>
      </w:r>
      <w:r w:rsidR="00FA433F">
        <w:rPr>
          <w:noProof/>
        </w:rPr>
        <w:t> </w:t>
      </w:r>
      <w:r w:rsidR="00FA433F" w:rsidRPr="00FA433F">
        <w:rPr>
          <w:noProof/>
        </w:rPr>
        <w:t>spr</w:t>
      </w:r>
      <w:r w:rsidRPr="00FA433F">
        <w:rPr>
          <w:noProof/>
        </w:rPr>
        <w:t>awozdawczości na poziomie operacyjnym wdrażania rozporządzenia opisano</w:t>
      </w:r>
      <w:r w:rsidR="00FA433F" w:rsidRPr="00FA433F">
        <w:rPr>
          <w:noProof/>
        </w:rPr>
        <w:t xml:space="preserve"> w</w:t>
      </w:r>
      <w:r w:rsidR="00FA433F">
        <w:rPr>
          <w:noProof/>
        </w:rPr>
        <w:t> </w:t>
      </w:r>
      <w:r w:rsidR="00FA433F" w:rsidRPr="00FA433F">
        <w:rPr>
          <w:noProof/>
        </w:rPr>
        <w:t>art</w:t>
      </w:r>
      <w:r w:rsidRPr="00FA433F">
        <w:rPr>
          <w:noProof/>
        </w:rPr>
        <w:t>. 4 rozporządzenia.</w:t>
      </w:r>
    </w:p>
    <w:p w14:paraId="1CDF9E65" w14:textId="53D1002B" w:rsidR="008A4C15" w:rsidRPr="00FA433F" w:rsidRDefault="00D967F8">
      <w:pPr>
        <w:pStyle w:val="Text1"/>
        <w:pBdr>
          <w:top w:val="single" w:sz="4" w:space="1" w:color="auto"/>
          <w:left w:val="single" w:sz="4" w:space="4" w:color="auto"/>
          <w:bottom w:val="single" w:sz="4" w:space="1" w:color="auto"/>
          <w:right w:val="single" w:sz="4" w:space="4" w:color="auto"/>
        </w:pBdr>
        <w:rPr>
          <w:noProof/>
        </w:rPr>
      </w:pPr>
      <w:r w:rsidRPr="00FA433F">
        <w:rPr>
          <w:noProof/>
        </w:rPr>
        <w:t>Jeżeli chodzi</w:t>
      </w:r>
      <w:r w:rsidR="00FA433F" w:rsidRPr="00FA433F">
        <w:rPr>
          <w:noProof/>
        </w:rPr>
        <w:t xml:space="preserve"> o</w:t>
      </w:r>
      <w:r w:rsidR="00FA433F">
        <w:rPr>
          <w:noProof/>
        </w:rPr>
        <w:t> </w:t>
      </w:r>
      <w:r w:rsidR="00FA433F" w:rsidRPr="00FA433F">
        <w:rPr>
          <w:noProof/>
        </w:rPr>
        <w:t>prz</w:t>
      </w:r>
      <w:r w:rsidRPr="00FA433F">
        <w:rPr>
          <w:noProof/>
        </w:rPr>
        <w:t>episy administracyjne/budżetowe dotyczące monitorowania</w:t>
      </w:r>
      <w:r w:rsidR="00FA433F" w:rsidRPr="00FA433F">
        <w:rPr>
          <w:noProof/>
        </w:rPr>
        <w:t xml:space="preserve"> i</w:t>
      </w:r>
      <w:r w:rsidR="00FA433F">
        <w:rPr>
          <w:noProof/>
        </w:rPr>
        <w:t> </w:t>
      </w:r>
      <w:r w:rsidR="00FA433F" w:rsidRPr="00FA433F">
        <w:rPr>
          <w:noProof/>
        </w:rPr>
        <w:t>spr</w:t>
      </w:r>
      <w:r w:rsidRPr="00FA433F">
        <w:rPr>
          <w:noProof/>
        </w:rPr>
        <w:t>awozdawczości, zastosowanie będą miały zwyczajowe obowiązki</w:t>
      </w:r>
      <w:r w:rsidR="00FA433F" w:rsidRPr="00FA433F">
        <w:rPr>
          <w:noProof/>
        </w:rPr>
        <w:t xml:space="preserve"> w</w:t>
      </w:r>
      <w:r w:rsidR="00FA433F">
        <w:rPr>
          <w:noProof/>
        </w:rPr>
        <w:t> </w:t>
      </w:r>
      <w:r w:rsidR="00FA433F" w:rsidRPr="00FA433F">
        <w:rPr>
          <w:noProof/>
        </w:rPr>
        <w:t>zak</w:t>
      </w:r>
      <w:r w:rsidRPr="00FA433F">
        <w:rPr>
          <w:noProof/>
        </w:rPr>
        <w:t>resie zarządzania bezpośredniego wynikające</w:t>
      </w:r>
      <w:r w:rsidR="00FA433F" w:rsidRPr="00FA433F">
        <w:rPr>
          <w:noProof/>
        </w:rPr>
        <w:t xml:space="preserve"> z</w:t>
      </w:r>
      <w:r w:rsidR="00FA433F">
        <w:rPr>
          <w:noProof/>
        </w:rPr>
        <w:t> </w:t>
      </w:r>
      <w:r w:rsidR="00FA433F" w:rsidRPr="00FA433F">
        <w:rPr>
          <w:noProof/>
        </w:rPr>
        <w:t>roz</w:t>
      </w:r>
      <w:r w:rsidRPr="00FA433F">
        <w:rPr>
          <w:noProof/>
        </w:rPr>
        <w:t>porządzenia finansowego, np. sporządzenie nakazów odzyskania środków.</w:t>
      </w:r>
    </w:p>
    <w:p w14:paraId="49CC3A98" w14:textId="6018C803" w:rsidR="008A4C15" w:rsidRPr="00FA433F" w:rsidRDefault="008A4C15">
      <w:pPr>
        <w:pStyle w:val="ManualHeading2"/>
        <w:rPr>
          <w:bCs/>
          <w:noProof/>
          <w:szCs w:val="24"/>
        </w:rPr>
      </w:pPr>
      <w:bookmarkStart w:id="91" w:name="_Toc514938045"/>
      <w:bookmarkStart w:id="92" w:name="_Toc520485044"/>
      <w:bookmarkStart w:id="93" w:name="_Toc160804586"/>
      <w:bookmarkStart w:id="94" w:name="_Toc167220278"/>
      <w:bookmarkStart w:id="95" w:name="_Toc177549011"/>
      <w:r w:rsidRPr="00FA433F">
        <w:rPr>
          <w:noProof/>
        </w:rPr>
        <w:t>2.2.</w:t>
      </w:r>
      <w:r w:rsidRPr="00FA433F">
        <w:rPr>
          <w:noProof/>
        </w:rPr>
        <w:tab/>
        <w:t>System zarządzania</w:t>
      </w:r>
      <w:r w:rsidR="00FA433F" w:rsidRPr="00FA433F">
        <w:rPr>
          <w:noProof/>
        </w:rPr>
        <w:t xml:space="preserve"> i</w:t>
      </w:r>
      <w:r w:rsidR="00FA433F">
        <w:rPr>
          <w:noProof/>
        </w:rPr>
        <w:t> </w:t>
      </w:r>
      <w:r w:rsidR="00FA433F" w:rsidRPr="00FA433F">
        <w:rPr>
          <w:noProof/>
        </w:rPr>
        <w:t>kon</w:t>
      </w:r>
      <w:r w:rsidRPr="00FA433F">
        <w:rPr>
          <w:noProof/>
        </w:rPr>
        <w:t>troli</w:t>
      </w:r>
      <w:bookmarkEnd w:id="91"/>
      <w:bookmarkEnd w:id="92"/>
      <w:bookmarkEnd w:id="93"/>
      <w:bookmarkEnd w:id="94"/>
      <w:bookmarkEnd w:id="95"/>
      <w:r w:rsidRPr="00FA433F">
        <w:rPr>
          <w:noProof/>
        </w:rPr>
        <w:t xml:space="preserve"> </w:t>
      </w:r>
    </w:p>
    <w:p w14:paraId="3AF0B202" w14:textId="4F0819D8" w:rsidR="008A4C15" w:rsidRPr="00FA433F" w:rsidRDefault="008A4C15">
      <w:pPr>
        <w:pStyle w:val="ManualHeading3"/>
        <w:rPr>
          <w:noProof/>
        </w:rPr>
      </w:pPr>
      <w:bookmarkStart w:id="96" w:name="_Toc514938046"/>
      <w:bookmarkStart w:id="97" w:name="_Toc520485045"/>
      <w:bookmarkStart w:id="98" w:name="_Toc160804587"/>
      <w:bookmarkStart w:id="99" w:name="_Toc167220279"/>
      <w:bookmarkStart w:id="100" w:name="_Toc177549012"/>
      <w:r w:rsidRPr="00FA433F">
        <w:rPr>
          <w:noProof/>
        </w:rPr>
        <w:t>2.2.1.</w:t>
      </w:r>
      <w:r w:rsidRPr="00FA433F">
        <w:rPr>
          <w:noProof/>
        </w:rPr>
        <w:tab/>
        <w:t>Uzasadnienie dla proponowanych metod wykonania budżetu, mechanizmów finansowania wykonania, sposobów dokonywania płatności</w:t>
      </w:r>
      <w:r w:rsidR="00FA433F" w:rsidRPr="00FA433F">
        <w:rPr>
          <w:noProof/>
        </w:rPr>
        <w:t xml:space="preserve"> i</w:t>
      </w:r>
      <w:r w:rsidR="00FA433F">
        <w:rPr>
          <w:noProof/>
        </w:rPr>
        <w:t> </w:t>
      </w:r>
      <w:r w:rsidR="00FA433F" w:rsidRPr="00FA433F">
        <w:rPr>
          <w:noProof/>
        </w:rPr>
        <w:t>str</w:t>
      </w:r>
      <w:r w:rsidRPr="00FA433F">
        <w:rPr>
          <w:noProof/>
        </w:rPr>
        <w:t>ategii kontroli</w:t>
      </w:r>
      <w:bookmarkEnd w:id="96"/>
      <w:bookmarkEnd w:id="97"/>
      <w:bookmarkEnd w:id="98"/>
      <w:bookmarkEnd w:id="99"/>
      <w:bookmarkEnd w:id="100"/>
    </w:p>
    <w:p w14:paraId="3EE9D9EF" w14:textId="2561B528" w:rsidR="000526CF" w:rsidRPr="00FA433F" w:rsidRDefault="000526CF" w:rsidP="000526CF">
      <w:pPr>
        <w:pStyle w:val="Text1"/>
        <w:pBdr>
          <w:top w:val="single" w:sz="4" w:space="1" w:color="auto"/>
          <w:left w:val="single" w:sz="4" w:space="4" w:color="auto"/>
          <w:bottom w:val="single" w:sz="4" w:space="1" w:color="auto"/>
          <w:right w:val="single" w:sz="4" w:space="4" w:color="auto"/>
        </w:pBdr>
        <w:rPr>
          <w:noProof/>
        </w:rPr>
      </w:pPr>
      <w:r w:rsidRPr="00FA433F">
        <w:rPr>
          <w:noProof/>
        </w:rPr>
        <w:t>Mechanizm wykonywania budżetu operacyjnego</w:t>
      </w:r>
      <w:r w:rsidR="00FA433F" w:rsidRPr="00FA433F">
        <w:rPr>
          <w:noProof/>
        </w:rPr>
        <w:t xml:space="preserve"> i</w:t>
      </w:r>
      <w:r w:rsidR="00FA433F">
        <w:rPr>
          <w:noProof/>
        </w:rPr>
        <w:t> </w:t>
      </w:r>
      <w:r w:rsidR="00FA433F" w:rsidRPr="00FA433F">
        <w:rPr>
          <w:noProof/>
        </w:rPr>
        <w:t>war</w:t>
      </w:r>
      <w:r w:rsidRPr="00FA433F">
        <w:rPr>
          <w:noProof/>
        </w:rPr>
        <w:t>unki płatności opisano</w:t>
      </w:r>
      <w:r w:rsidR="00FA433F" w:rsidRPr="00FA433F">
        <w:rPr>
          <w:noProof/>
        </w:rPr>
        <w:t xml:space="preserve"> w</w:t>
      </w:r>
      <w:r w:rsidR="00FA433F">
        <w:rPr>
          <w:noProof/>
        </w:rPr>
        <w:t> </w:t>
      </w:r>
      <w:r w:rsidR="00FA433F" w:rsidRPr="00FA433F">
        <w:rPr>
          <w:noProof/>
        </w:rPr>
        <w:t>art</w:t>
      </w:r>
      <w:r w:rsidRPr="00FA433F">
        <w:rPr>
          <w:noProof/>
        </w:rPr>
        <w:t>. 3</w:t>
      </w:r>
      <w:r w:rsidR="00FA433F" w:rsidRPr="00FA433F">
        <w:rPr>
          <w:noProof/>
        </w:rPr>
        <w:t xml:space="preserve"> i</w:t>
      </w:r>
      <w:r w:rsidR="00FA433F">
        <w:rPr>
          <w:noProof/>
        </w:rPr>
        <w:t> </w:t>
      </w:r>
      <w:r w:rsidR="00FA433F" w:rsidRPr="00FA433F">
        <w:rPr>
          <w:noProof/>
        </w:rPr>
        <w:t>4</w:t>
      </w:r>
      <w:r w:rsidRPr="00FA433F">
        <w:rPr>
          <w:noProof/>
        </w:rPr>
        <w:t xml:space="preserve"> rozporządzenia.</w:t>
      </w:r>
    </w:p>
    <w:p w14:paraId="2C5A6C2F" w14:textId="3BDEC3B7" w:rsidR="008A4C15" w:rsidRPr="00FA433F" w:rsidRDefault="000526CF" w:rsidP="000526CF">
      <w:pPr>
        <w:pStyle w:val="Text1"/>
        <w:pBdr>
          <w:top w:val="single" w:sz="4" w:space="1" w:color="auto"/>
          <w:left w:val="single" w:sz="4" w:space="4" w:color="auto"/>
          <w:bottom w:val="single" w:sz="4" w:space="1" w:color="auto"/>
          <w:right w:val="single" w:sz="4" w:space="4" w:color="auto"/>
        </w:pBdr>
        <w:rPr>
          <w:noProof/>
        </w:rPr>
      </w:pPr>
      <w:r w:rsidRPr="00FA433F">
        <w:rPr>
          <w:noProof/>
        </w:rPr>
        <w:t>W ramach strategii kontroli stosowany będzie zestaw mechanizmów kontrolnych wynikających</w:t>
      </w:r>
      <w:r w:rsidR="00FA433F" w:rsidRPr="00FA433F">
        <w:rPr>
          <w:noProof/>
        </w:rPr>
        <w:t xml:space="preserve"> z</w:t>
      </w:r>
      <w:r w:rsidR="00FA433F">
        <w:rPr>
          <w:noProof/>
        </w:rPr>
        <w:t> </w:t>
      </w:r>
      <w:r w:rsidR="00FA433F" w:rsidRPr="00FA433F">
        <w:rPr>
          <w:noProof/>
        </w:rPr>
        <w:t>roz</w:t>
      </w:r>
      <w:r w:rsidRPr="00FA433F">
        <w:rPr>
          <w:noProof/>
        </w:rPr>
        <w:t>porządzenia finansowego</w:t>
      </w:r>
      <w:r w:rsidR="00FA433F" w:rsidRPr="00FA433F">
        <w:rPr>
          <w:noProof/>
        </w:rPr>
        <w:t xml:space="preserve"> w</w:t>
      </w:r>
      <w:r w:rsidR="00FA433F">
        <w:rPr>
          <w:noProof/>
        </w:rPr>
        <w:t> </w:t>
      </w:r>
      <w:r w:rsidR="00FA433F" w:rsidRPr="00FA433F">
        <w:rPr>
          <w:noProof/>
        </w:rPr>
        <w:t>odn</w:t>
      </w:r>
      <w:r w:rsidRPr="00FA433F">
        <w:rPr>
          <w:noProof/>
        </w:rPr>
        <w:t>iesieniu do zarządzania bezpośredniego.</w:t>
      </w:r>
    </w:p>
    <w:p w14:paraId="23F5100E" w14:textId="19CCF68C" w:rsidR="008A4C15" w:rsidRPr="00FA433F" w:rsidRDefault="008A4C15">
      <w:pPr>
        <w:pStyle w:val="ManualHeading3"/>
        <w:rPr>
          <w:bCs/>
          <w:noProof/>
          <w:szCs w:val="24"/>
        </w:rPr>
      </w:pPr>
      <w:bookmarkStart w:id="101" w:name="_Toc514938047"/>
      <w:bookmarkStart w:id="102" w:name="_Toc520485046"/>
      <w:bookmarkStart w:id="103" w:name="_Toc160804588"/>
      <w:bookmarkStart w:id="104" w:name="_Toc167220280"/>
      <w:bookmarkStart w:id="105" w:name="_Toc177549013"/>
      <w:r w:rsidRPr="00FA433F">
        <w:rPr>
          <w:noProof/>
        </w:rPr>
        <w:t>2.2.2.</w:t>
      </w:r>
      <w:r w:rsidRPr="00FA433F">
        <w:rPr>
          <w:noProof/>
        </w:rPr>
        <w:tab/>
        <w:t>Informacje dotyczące zidentyfikowanego ryzyka</w:t>
      </w:r>
      <w:r w:rsidR="00FA433F" w:rsidRPr="00FA433F">
        <w:rPr>
          <w:noProof/>
        </w:rPr>
        <w:t xml:space="preserve"> i</w:t>
      </w:r>
      <w:r w:rsidR="00FA433F">
        <w:rPr>
          <w:noProof/>
        </w:rPr>
        <w:t> </w:t>
      </w:r>
      <w:r w:rsidR="00FA433F" w:rsidRPr="00FA433F">
        <w:rPr>
          <w:noProof/>
        </w:rPr>
        <w:t>sys</w:t>
      </w:r>
      <w:r w:rsidRPr="00FA433F">
        <w:rPr>
          <w:noProof/>
        </w:rPr>
        <w:t>temów kontroli wewnętrznej ustanowionych</w:t>
      </w:r>
      <w:r w:rsidR="00FA433F" w:rsidRPr="00FA433F">
        <w:rPr>
          <w:noProof/>
        </w:rPr>
        <w:t xml:space="preserve"> w</w:t>
      </w:r>
      <w:r w:rsidR="00FA433F">
        <w:rPr>
          <w:noProof/>
        </w:rPr>
        <w:t> </w:t>
      </w:r>
      <w:r w:rsidR="00FA433F" w:rsidRPr="00FA433F">
        <w:rPr>
          <w:noProof/>
        </w:rPr>
        <w:t>cel</w:t>
      </w:r>
      <w:r w:rsidRPr="00FA433F">
        <w:rPr>
          <w:noProof/>
        </w:rPr>
        <w:t>u jego ograniczenia</w:t>
      </w:r>
      <w:bookmarkEnd w:id="101"/>
      <w:bookmarkEnd w:id="102"/>
      <w:bookmarkEnd w:id="103"/>
      <w:bookmarkEnd w:id="104"/>
      <w:bookmarkEnd w:id="105"/>
    </w:p>
    <w:p w14:paraId="0B75BFC8" w14:textId="77777777" w:rsidR="008A4C15" w:rsidRPr="00FA433F" w:rsidRDefault="00E374C2" w:rsidP="00E374C2">
      <w:pPr>
        <w:pStyle w:val="Text1"/>
        <w:pBdr>
          <w:top w:val="single" w:sz="4" w:space="1" w:color="auto"/>
          <w:left w:val="single" w:sz="4" w:space="4" w:color="auto"/>
          <w:bottom w:val="single" w:sz="4" w:space="1" w:color="auto"/>
          <w:right w:val="single" w:sz="4" w:space="4" w:color="auto"/>
        </w:pBdr>
        <w:rPr>
          <w:noProof/>
        </w:rPr>
      </w:pPr>
      <w:r w:rsidRPr="00FA433F">
        <w:rPr>
          <w:noProof/>
        </w:rPr>
        <w:t>Niniejszy wniosek nie pociąga za sobą nowych znaczących rodzajów kontroli/ryzyka, które nie byłyby już uwzględnione przez istniejące wewnętrzne ramy kontroli. Nie przewiduje się żadnych szczególnych środków wykraczających poza stosowanie rozporządzenia finansowego.</w:t>
      </w:r>
    </w:p>
    <w:p w14:paraId="3F4B1534" w14:textId="3CC46C64" w:rsidR="008A4C15" w:rsidRPr="00FA433F" w:rsidRDefault="008A4C15">
      <w:pPr>
        <w:pStyle w:val="ManualHeading3"/>
        <w:rPr>
          <w:noProof/>
        </w:rPr>
      </w:pPr>
      <w:bookmarkStart w:id="106" w:name="_Toc514938048"/>
      <w:bookmarkStart w:id="107" w:name="_Toc520485047"/>
      <w:bookmarkStart w:id="108" w:name="_Toc160804589"/>
      <w:bookmarkStart w:id="109" w:name="_Toc167220281"/>
      <w:bookmarkStart w:id="110" w:name="_Toc177549014"/>
      <w:r w:rsidRPr="00FA433F">
        <w:rPr>
          <w:noProof/>
        </w:rPr>
        <w:t>2.2.3.</w:t>
      </w:r>
      <w:r w:rsidRPr="00FA433F">
        <w:rPr>
          <w:noProof/>
        </w:rPr>
        <w:tab/>
        <w:t>Oszacowanie</w:t>
      </w:r>
      <w:r w:rsidR="00FA433F" w:rsidRPr="00FA433F">
        <w:rPr>
          <w:noProof/>
        </w:rPr>
        <w:t xml:space="preserve"> i</w:t>
      </w:r>
      <w:r w:rsidR="00FA433F">
        <w:rPr>
          <w:noProof/>
        </w:rPr>
        <w:t> </w:t>
      </w:r>
      <w:r w:rsidR="00FA433F" w:rsidRPr="00FA433F">
        <w:rPr>
          <w:noProof/>
        </w:rPr>
        <w:t>uza</w:t>
      </w:r>
      <w:r w:rsidRPr="00FA433F">
        <w:rPr>
          <w:noProof/>
        </w:rPr>
        <w:t>sadnienie efektywności kosztowej kontroli (relacja kosztów kontroli do wartości zarządzanych funduszy powiązanych) oraz ocena prawdopodobnego ryzyka błędu (przy płatności</w:t>
      </w:r>
      <w:r w:rsidR="00FA433F" w:rsidRPr="00FA433F">
        <w:rPr>
          <w:noProof/>
        </w:rPr>
        <w:t xml:space="preserve"> i</w:t>
      </w:r>
      <w:r w:rsidR="00FA433F">
        <w:rPr>
          <w:noProof/>
        </w:rPr>
        <w:t> </w:t>
      </w:r>
      <w:r w:rsidR="00FA433F" w:rsidRPr="00FA433F">
        <w:rPr>
          <w:noProof/>
        </w:rPr>
        <w:t>prz</w:t>
      </w:r>
      <w:r w:rsidRPr="00FA433F">
        <w:rPr>
          <w:noProof/>
        </w:rPr>
        <w:t>y zamykaniu)</w:t>
      </w:r>
      <w:bookmarkEnd w:id="106"/>
      <w:bookmarkEnd w:id="107"/>
      <w:bookmarkEnd w:id="108"/>
      <w:bookmarkEnd w:id="109"/>
      <w:bookmarkEnd w:id="110"/>
      <w:r w:rsidRPr="00FA433F">
        <w:rPr>
          <w:noProof/>
        </w:rPr>
        <w:t xml:space="preserve"> </w:t>
      </w:r>
    </w:p>
    <w:p w14:paraId="3E79328C" w14:textId="0E0FBBAB" w:rsidR="007D4A1F" w:rsidRPr="00FA433F" w:rsidRDefault="007D4A1F" w:rsidP="007D4A1F">
      <w:pPr>
        <w:pStyle w:val="Text1"/>
        <w:pBdr>
          <w:top w:val="single" w:sz="4" w:space="1" w:color="auto"/>
          <w:left w:val="single" w:sz="4" w:space="4" w:color="auto"/>
          <w:bottom w:val="single" w:sz="4" w:space="1" w:color="auto"/>
          <w:right w:val="single" w:sz="4" w:space="4" w:color="auto"/>
        </w:pBdr>
        <w:rPr>
          <w:noProof/>
        </w:rPr>
      </w:pPr>
      <w:r w:rsidRPr="00FA433F">
        <w:rPr>
          <w:noProof/>
        </w:rPr>
        <w:t>Oczekuje się, że koszty kontroli</w:t>
      </w:r>
      <w:r w:rsidR="00FA433F" w:rsidRPr="00FA433F">
        <w:rPr>
          <w:noProof/>
        </w:rPr>
        <w:t xml:space="preserve"> w</w:t>
      </w:r>
      <w:r w:rsidR="00FA433F">
        <w:rPr>
          <w:noProof/>
        </w:rPr>
        <w:t> </w:t>
      </w:r>
      <w:r w:rsidR="00FA433F" w:rsidRPr="00FA433F">
        <w:rPr>
          <w:noProof/>
        </w:rPr>
        <w:t>odn</w:t>
      </w:r>
      <w:r w:rsidRPr="00FA433F">
        <w:rPr>
          <w:noProof/>
        </w:rPr>
        <w:t>iesieniu do części wdrażanej przez Komisję powinny pozostać stabilne, głównie ze względu na stosunek relatywnie niewielkich zaangażowanych zasobów</w:t>
      </w:r>
      <w:r w:rsidR="00FA433F" w:rsidRPr="00FA433F">
        <w:rPr>
          <w:noProof/>
        </w:rPr>
        <w:t xml:space="preserve"> i</w:t>
      </w:r>
      <w:r w:rsidR="00FA433F">
        <w:rPr>
          <w:noProof/>
        </w:rPr>
        <w:t> </w:t>
      </w:r>
      <w:r w:rsidR="00FA433F" w:rsidRPr="00FA433F">
        <w:rPr>
          <w:noProof/>
        </w:rPr>
        <w:t>wys</w:t>
      </w:r>
      <w:r w:rsidRPr="00FA433F">
        <w:rPr>
          <w:noProof/>
        </w:rPr>
        <w:t>okich kwot do redystrybucji.</w:t>
      </w:r>
    </w:p>
    <w:p w14:paraId="4A9509B6" w14:textId="3617995E" w:rsidR="008A4C15" w:rsidRPr="00FA433F" w:rsidRDefault="007D4A1F">
      <w:pPr>
        <w:pStyle w:val="Text1"/>
        <w:pBdr>
          <w:top w:val="single" w:sz="4" w:space="1" w:color="auto"/>
          <w:left w:val="single" w:sz="4" w:space="4" w:color="auto"/>
          <w:bottom w:val="single" w:sz="4" w:space="1" w:color="auto"/>
          <w:right w:val="single" w:sz="4" w:space="4" w:color="auto"/>
        </w:pBdr>
        <w:rPr>
          <w:noProof/>
        </w:rPr>
      </w:pPr>
      <w:r w:rsidRPr="00FA433F">
        <w:rPr>
          <w:noProof/>
        </w:rPr>
        <w:t>Poziom ryzyka błędu (w chwili dokonywania płatności</w:t>
      </w:r>
      <w:r w:rsidR="00FA433F" w:rsidRPr="00FA433F">
        <w:rPr>
          <w:noProof/>
        </w:rPr>
        <w:t xml:space="preserve"> i</w:t>
      </w:r>
      <w:r w:rsidR="00FA433F">
        <w:rPr>
          <w:noProof/>
        </w:rPr>
        <w:t> </w:t>
      </w:r>
      <w:r w:rsidR="00FA433F" w:rsidRPr="00FA433F">
        <w:rPr>
          <w:noProof/>
        </w:rPr>
        <w:t>w</w:t>
      </w:r>
      <w:r w:rsidR="00FA433F">
        <w:rPr>
          <w:noProof/>
        </w:rPr>
        <w:t> </w:t>
      </w:r>
      <w:r w:rsidR="00FA433F" w:rsidRPr="00FA433F">
        <w:rPr>
          <w:noProof/>
        </w:rPr>
        <w:t>chw</w:t>
      </w:r>
      <w:r w:rsidRPr="00FA433F">
        <w:rPr>
          <w:noProof/>
        </w:rPr>
        <w:t>ili zamknięcia) również szacuje się na nie więcej niż 2 %</w:t>
      </w:r>
      <w:r w:rsidR="00FA433F" w:rsidRPr="00FA433F">
        <w:rPr>
          <w:noProof/>
        </w:rPr>
        <w:t>. W</w:t>
      </w:r>
      <w:r w:rsidR="00FA433F">
        <w:rPr>
          <w:noProof/>
        </w:rPr>
        <w:t> </w:t>
      </w:r>
      <w:r w:rsidR="00FA433F" w:rsidRPr="00FA433F">
        <w:rPr>
          <w:noProof/>
        </w:rPr>
        <w:t>zwi</w:t>
      </w:r>
      <w:r w:rsidRPr="00FA433F">
        <w:rPr>
          <w:noProof/>
        </w:rPr>
        <w:t>ązku</w:t>
      </w:r>
      <w:r w:rsidR="00FA433F" w:rsidRPr="00FA433F">
        <w:rPr>
          <w:noProof/>
        </w:rPr>
        <w:t xml:space="preserve"> z</w:t>
      </w:r>
      <w:r w:rsidR="00FA433F">
        <w:rPr>
          <w:noProof/>
        </w:rPr>
        <w:t> </w:t>
      </w:r>
      <w:r w:rsidR="00FA433F" w:rsidRPr="00FA433F">
        <w:rPr>
          <w:noProof/>
        </w:rPr>
        <w:t>tym</w:t>
      </w:r>
      <w:r w:rsidRPr="00FA433F">
        <w:rPr>
          <w:noProof/>
        </w:rPr>
        <w:t xml:space="preserve"> nie przewiduje się kontroli </w:t>
      </w:r>
      <w:r w:rsidRPr="00FA433F">
        <w:rPr>
          <w:i/>
          <w:iCs/>
          <w:noProof/>
        </w:rPr>
        <w:t>ex post</w:t>
      </w:r>
      <w:r w:rsidRPr="00FA433F">
        <w:rPr>
          <w:noProof/>
        </w:rPr>
        <w:t xml:space="preserve">, lecz obowiązkową weryfikację </w:t>
      </w:r>
      <w:r w:rsidRPr="00FA433F">
        <w:rPr>
          <w:i/>
          <w:iCs/>
          <w:noProof/>
        </w:rPr>
        <w:t>ex ante</w:t>
      </w:r>
      <w:r w:rsidRPr="00FA433F">
        <w:rPr>
          <w:noProof/>
        </w:rPr>
        <w:t xml:space="preserve">. </w:t>
      </w:r>
    </w:p>
    <w:p w14:paraId="52A277B0" w14:textId="5BA636E0" w:rsidR="008A4C15" w:rsidRPr="00FA433F" w:rsidRDefault="008A4C15">
      <w:pPr>
        <w:pStyle w:val="ManualHeading2"/>
        <w:rPr>
          <w:bCs/>
          <w:noProof/>
          <w:szCs w:val="24"/>
        </w:rPr>
      </w:pPr>
      <w:bookmarkStart w:id="111" w:name="_Toc514938049"/>
      <w:bookmarkStart w:id="112" w:name="_Toc520485048"/>
      <w:bookmarkStart w:id="113" w:name="_Toc160804590"/>
      <w:bookmarkStart w:id="114" w:name="_Toc167220282"/>
      <w:bookmarkStart w:id="115" w:name="_Toc177549015"/>
      <w:r w:rsidRPr="00FA433F">
        <w:rPr>
          <w:noProof/>
        </w:rPr>
        <w:t>2.3.</w:t>
      </w:r>
      <w:r w:rsidRPr="00FA433F">
        <w:rPr>
          <w:noProof/>
        </w:rPr>
        <w:tab/>
        <w:t>Środki zapobiegania nadużyciom finansowym</w:t>
      </w:r>
      <w:r w:rsidR="00FA433F" w:rsidRPr="00FA433F">
        <w:rPr>
          <w:noProof/>
        </w:rPr>
        <w:t xml:space="preserve"> i</w:t>
      </w:r>
      <w:r w:rsidR="00FA433F">
        <w:rPr>
          <w:noProof/>
        </w:rPr>
        <w:t> </w:t>
      </w:r>
      <w:r w:rsidR="00FA433F" w:rsidRPr="00FA433F">
        <w:rPr>
          <w:noProof/>
        </w:rPr>
        <w:t>nie</w:t>
      </w:r>
      <w:r w:rsidRPr="00FA433F">
        <w:rPr>
          <w:noProof/>
        </w:rPr>
        <w:t>prawidłowościom</w:t>
      </w:r>
      <w:bookmarkEnd w:id="111"/>
      <w:bookmarkEnd w:id="112"/>
      <w:bookmarkEnd w:id="113"/>
      <w:bookmarkEnd w:id="114"/>
      <w:bookmarkEnd w:id="115"/>
      <w:r w:rsidRPr="00FA433F">
        <w:rPr>
          <w:noProof/>
        </w:rPr>
        <w:t xml:space="preserve"> </w:t>
      </w:r>
    </w:p>
    <w:p w14:paraId="3DD67C58" w14:textId="78D3A376" w:rsidR="008A4C15" w:rsidRPr="00FA433F" w:rsidRDefault="008A4C15">
      <w:pPr>
        <w:pStyle w:val="Text1"/>
        <w:rPr>
          <w:noProof/>
        </w:rPr>
      </w:pPr>
      <w:r w:rsidRPr="00FA433F">
        <w:rPr>
          <w:noProof/>
        </w:rPr>
        <w:t>Określić istniejące lub przewidywane środki zapobiegania</w:t>
      </w:r>
      <w:r w:rsidR="00FA433F" w:rsidRPr="00FA433F">
        <w:rPr>
          <w:noProof/>
        </w:rPr>
        <w:t xml:space="preserve"> i</w:t>
      </w:r>
      <w:r w:rsidR="00FA433F">
        <w:rPr>
          <w:noProof/>
        </w:rPr>
        <w:t> </w:t>
      </w:r>
      <w:r w:rsidR="00FA433F" w:rsidRPr="00FA433F">
        <w:rPr>
          <w:noProof/>
        </w:rPr>
        <w:t>och</w:t>
      </w:r>
      <w:r w:rsidRPr="00FA433F">
        <w:rPr>
          <w:noProof/>
        </w:rPr>
        <w:t>rony, np. ze strategii zwalczania nadużyć finansowych.</w:t>
      </w:r>
    </w:p>
    <w:p w14:paraId="686D1AE7" w14:textId="747731CC" w:rsidR="00870008" w:rsidRPr="00FA433F" w:rsidRDefault="00870008" w:rsidP="00870008">
      <w:pPr>
        <w:pStyle w:val="Text1"/>
        <w:pBdr>
          <w:top w:val="single" w:sz="4" w:space="1" w:color="auto"/>
          <w:left w:val="single" w:sz="4" w:space="4" w:color="auto"/>
          <w:bottom w:val="single" w:sz="4" w:space="1" w:color="auto"/>
          <w:right w:val="single" w:sz="4" w:space="4" w:color="auto"/>
        </w:pBdr>
        <w:rPr>
          <w:noProof/>
        </w:rPr>
      </w:pPr>
      <w:r w:rsidRPr="00FA433F">
        <w:rPr>
          <w:noProof/>
        </w:rPr>
        <w:t>Zastosowanie będzie miała strategia DG ds. Działań</w:t>
      </w:r>
      <w:r w:rsidR="00FA433F" w:rsidRPr="00FA433F">
        <w:rPr>
          <w:noProof/>
        </w:rPr>
        <w:t xml:space="preserve"> w</w:t>
      </w:r>
      <w:r w:rsidR="00FA433F">
        <w:rPr>
          <w:noProof/>
        </w:rPr>
        <w:t> </w:t>
      </w:r>
      <w:r w:rsidR="00FA433F" w:rsidRPr="00FA433F">
        <w:rPr>
          <w:noProof/>
        </w:rPr>
        <w:t>dzi</w:t>
      </w:r>
      <w:r w:rsidRPr="00FA433F">
        <w:rPr>
          <w:noProof/>
        </w:rPr>
        <w:t>edzinie Klimatu i DG ds. Podatków</w:t>
      </w:r>
      <w:r w:rsidR="00FA433F" w:rsidRPr="00FA433F">
        <w:rPr>
          <w:noProof/>
        </w:rPr>
        <w:t xml:space="preserve"> i</w:t>
      </w:r>
      <w:r w:rsidR="00FA433F">
        <w:rPr>
          <w:noProof/>
        </w:rPr>
        <w:t> </w:t>
      </w:r>
      <w:r w:rsidR="00FA433F" w:rsidRPr="00FA433F">
        <w:rPr>
          <w:noProof/>
        </w:rPr>
        <w:t>Uni</w:t>
      </w:r>
      <w:r w:rsidRPr="00FA433F">
        <w:rPr>
          <w:noProof/>
        </w:rPr>
        <w:t>i Celnej dotycząca zapobiegania nadużyciom finansowym</w:t>
      </w:r>
      <w:r w:rsidR="00FA433F" w:rsidRPr="00FA433F">
        <w:rPr>
          <w:noProof/>
        </w:rPr>
        <w:t xml:space="preserve"> i</w:t>
      </w:r>
      <w:r w:rsidR="00FA433F">
        <w:rPr>
          <w:noProof/>
        </w:rPr>
        <w:t> </w:t>
      </w:r>
      <w:r w:rsidR="00FA433F" w:rsidRPr="00FA433F">
        <w:rPr>
          <w:noProof/>
        </w:rPr>
        <w:t>ich</w:t>
      </w:r>
      <w:r w:rsidRPr="00FA433F">
        <w:rPr>
          <w:noProof/>
        </w:rPr>
        <w:t xml:space="preserve"> wykrywania.</w:t>
      </w:r>
    </w:p>
    <w:p w14:paraId="3CADEF14" w14:textId="53BF825A" w:rsidR="008A4C15" w:rsidRPr="00FA433F" w:rsidRDefault="00870008" w:rsidP="00870008">
      <w:pPr>
        <w:pStyle w:val="Text1"/>
        <w:pBdr>
          <w:top w:val="single" w:sz="4" w:space="1" w:color="auto"/>
          <w:left w:val="single" w:sz="4" w:space="4" w:color="auto"/>
          <w:bottom w:val="single" w:sz="4" w:space="1" w:color="auto"/>
          <w:right w:val="single" w:sz="4" w:space="4" w:color="auto"/>
        </w:pBdr>
        <w:rPr>
          <w:noProof/>
        </w:rPr>
      </w:pPr>
      <w:r w:rsidRPr="00FA433F">
        <w:rPr>
          <w:noProof/>
        </w:rPr>
        <w:t>Bardziej szczegółowe informacje dotyczące tego aktu prawnego znajdują się</w:t>
      </w:r>
      <w:r w:rsidR="00FA433F" w:rsidRPr="00FA433F">
        <w:rPr>
          <w:noProof/>
        </w:rPr>
        <w:t xml:space="preserve"> w</w:t>
      </w:r>
      <w:r w:rsidR="00FA433F">
        <w:rPr>
          <w:noProof/>
        </w:rPr>
        <w:t> </w:t>
      </w:r>
      <w:r w:rsidR="00FA433F" w:rsidRPr="00FA433F">
        <w:rPr>
          <w:noProof/>
        </w:rPr>
        <w:t>art</w:t>
      </w:r>
      <w:r w:rsidRPr="00FA433F">
        <w:rPr>
          <w:noProof/>
        </w:rPr>
        <w:t>. 12 rozporządzenia.</w:t>
      </w:r>
    </w:p>
    <w:p w14:paraId="77B99FF7" w14:textId="77777777" w:rsidR="008A4C15" w:rsidRPr="00FA433F" w:rsidRDefault="008A4C15">
      <w:pPr>
        <w:rPr>
          <w:noProof/>
        </w:rPr>
        <w:sectPr w:rsidR="008A4C15" w:rsidRPr="00FA433F" w:rsidSect="007E5C27">
          <w:pgSz w:w="11907" w:h="16840" w:code="9"/>
          <w:pgMar w:top="1134" w:right="1418" w:bottom="1134" w:left="1418" w:header="709" w:footer="709" w:gutter="0"/>
          <w:cols w:space="708"/>
          <w:docGrid w:linePitch="360"/>
        </w:sectPr>
      </w:pPr>
    </w:p>
    <w:p w14:paraId="273AAE6F" w14:textId="77777777" w:rsidR="008A4C15" w:rsidRPr="00FA433F" w:rsidRDefault="008A4C15">
      <w:pPr>
        <w:pStyle w:val="ManualHeading1"/>
        <w:rPr>
          <w:bCs/>
          <w:noProof/>
          <w:szCs w:val="24"/>
        </w:rPr>
      </w:pPr>
      <w:bookmarkStart w:id="116" w:name="_Toc514938050"/>
      <w:bookmarkStart w:id="117" w:name="_Toc520485049"/>
      <w:bookmarkStart w:id="118" w:name="_Toc160804591"/>
      <w:bookmarkStart w:id="119" w:name="_Toc167220283"/>
      <w:bookmarkStart w:id="120" w:name="_Toc177549016"/>
      <w:r w:rsidRPr="00FA433F">
        <w:rPr>
          <w:noProof/>
        </w:rPr>
        <w:lastRenderedPageBreak/>
        <w:t>3.</w:t>
      </w:r>
      <w:r w:rsidRPr="00FA433F">
        <w:rPr>
          <w:noProof/>
        </w:rPr>
        <w:tab/>
        <w:t>SZACUNKOWY WPŁYW FINANSOWY WNIOSKU/INICJATYWY</w:t>
      </w:r>
      <w:bookmarkEnd w:id="116"/>
      <w:bookmarkEnd w:id="117"/>
      <w:bookmarkEnd w:id="118"/>
      <w:bookmarkEnd w:id="119"/>
      <w:bookmarkEnd w:id="120"/>
      <w:r w:rsidRPr="00FA433F">
        <w:rPr>
          <w:noProof/>
        </w:rPr>
        <w:t xml:space="preserve"> </w:t>
      </w:r>
    </w:p>
    <w:p w14:paraId="11429ACA" w14:textId="065C24ED" w:rsidR="008A4C15" w:rsidRPr="00FA433F" w:rsidRDefault="008A4C15">
      <w:pPr>
        <w:pStyle w:val="ManualHeading2"/>
        <w:rPr>
          <w:noProof/>
        </w:rPr>
      </w:pPr>
      <w:bookmarkStart w:id="121" w:name="_Toc514938051"/>
      <w:bookmarkStart w:id="122" w:name="_Toc520485050"/>
      <w:bookmarkStart w:id="123" w:name="_Toc160804592"/>
      <w:bookmarkStart w:id="124" w:name="_Toc167220284"/>
      <w:bookmarkStart w:id="125" w:name="_Toc177549017"/>
      <w:r w:rsidRPr="00FA433F">
        <w:rPr>
          <w:noProof/>
        </w:rPr>
        <w:t>3.1.</w:t>
      </w:r>
      <w:r w:rsidRPr="00FA433F">
        <w:rPr>
          <w:noProof/>
        </w:rPr>
        <w:tab/>
        <w:t>Działy wieloletnich ram finansowych</w:t>
      </w:r>
      <w:r w:rsidR="00FA433F" w:rsidRPr="00FA433F">
        <w:rPr>
          <w:noProof/>
        </w:rPr>
        <w:t xml:space="preserve"> i</w:t>
      </w:r>
      <w:r w:rsidR="00FA433F">
        <w:rPr>
          <w:noProof/>
        </w:rPr>
        <w:t> </w:t>
      </w:r>
      <w:r w:rsidR="00FA433F" w:rsidRPr="00FA433F">
        <w:rPr>
          <w:noProof/>
        </w:rPr>
        <w:t>lin</w:t>
      </w:r>
      <w:r w:rsidRPr="00FA433F">
        <w:rPr>
          <w:noProof/>
        </w:rPr>
        <w:t>ie budżetowe po stronie wydatków, na które wniosek/inicjatywa ma wpływ</w:t>
      </w:r>
      <w:bookmarkEnd w:id="121"/>
      <w:bookmarkEnd w:id="122"/>
      <w:bookmarkEnd w:id="123"/>
      <w:bookmarkEnd w:id="124"/>
      <w:bookmarkEnd w:id="125"/>
      <w:r w:rsidRPr="00FA433F">
        <w:rPr>
          <w:noProof/>
        </w:rPr>
        <w:t xml:space="preserve"> </w:t>
      </w:r>
    </w:p>
    <w:p w14:paraId="4338EF48" w14:textId="54B65AD2" w:rsidR="008A4C15" w:rsidRPr="00FA433F" w:rsidRDefault="008A4C15">
      <w:pPr>
        <w:pStyle w:val="Text1"/>
        <w:rPr>
          <w:noProof/>
        </w:rPr>
      </w:pPr>
      <w:r w:rsidRPr="00FA433F">
        <w:rPr>
          <w:noProof/>
        </w:rPr>
        <w:t>Proszę wstawić taką liczbę linii budżetowych, jaka jest potrzebna,</w:t>
      </w:r>
      <w:r w:rsidR="00FA433F" w:rsidRPr="00FA433F">
        <w:rPr>
          <w:noProof/>
        </w:rPr>
        <w:t xml:space="preserve"> w</w:t>
      </w:r>
      <w:r w:rsidR="00FA433F">
        <w:rPr>
          <w:noProof/>
        </w:rPr>
        <w:t> </w:t>
      </w:r>
      <w:r w:rsidR="00FA433F" w:rsidRPr="00FA433F">
        <w:rPr>
          <w:noProof/>
        </w:rPr>
        <w:t>dwó</w:t>
      </w:r>
      <w:r w:rsidRPr="00FA433F">
        <w:rPr>
          <w:noProof/>
        </w:rPr>
        <w:t>ch tabelach poniżej.</w:t>
      </w:r>
    </w:p>
    <w:p w14:paraId="7A4063F6" w14:textId="77777777" w:rsidR="008A4C15" w:rsidRPr="00FA433F" w:rsidRDefault="008A4C15">
      <w:pPr>
        <w:pStyle w:val="ListBullet1"/>
        <w:rPr>
          <w:noProof/>
        </w:rPr>
      </w:pPr>
      <w:r w:rsidRPr="00FA433F">
        <w:rPr>
          <w:noProof/>
        </w:rPr>
        <w:t xml:space="preserve">Istniejące linie budżetowe </w:t>
      </w:r>
    </w:p>
    <w:p w14:paraId="1347C729" w14:textId="63F43498" w:rsidR="008A4C15" w:rsidRPr="00FA433F" w:rsidRDefault="008A4C15">
      <w:pPr>
        <w:pStyle w:val="Text1"/>
        <w:rPr>
          <w:i/>
          <w:noProof/>
        </w:rPr>
      </w:pPr>
      <w:r w:rsidRPr="00FA433F">
        <w:rPr>
          <w:i/>
          <w:noProof/>
          <w:u w:val="single"/>
        </w:rPr>
        <w:t>Według</w:t>
      </w:r>
      <w:r w:rsidRPr="00FA433F">
        <w:rPr>
          <w:i/>
          <w:noProof/>
        </w:rPr>
        <w:t xml:space="preserve"> działów wieloletnich ram finansowych</w:t>
      </w:r>
      <w:r w:rsidR="00FA433F" w:rsidRPr="00FA433F">
        <w:rPr>
          <w:i/>
          <w:noProof/>
        </w:rPr>
        <w:t xml:space="preserve"> i</w:t>
      </w:r>
      <w:r w:rsidR="00FA433F">
        <w:rPr>
          <w:i/>
          <w:noProof/>
        </w:rPr>
        <w:t> </w:t>
      </w:r>
      <w:r w:rsidR="00FA433F" w:rsidRPr="00FA433F">
        <w:rPr>
          <w:i/>
          <w:noProof/>
        </w:rPr>
        <w:t>lin</w:t>
      </w:r>
      <w:r w:rsidRPr="00FA433F">
        <w:rPr>
          <w:i/>
          <w:noProof/>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7"/>
        <w:gridCol w:w="3867"/>
        <w:gridCol w:w="1092"/>
        <w:gridCol w:w="966"/>
        <w:gridCol w:w="1092"/>
        <w:gridCol w:w="966"/>
        <w:gridCol w:w="1463"/>
      </w:tblGrid>
      <w:tr w:rsidR="004D55FB" w:rsidRPr="00FA433F" w14:paraId="64B22FEA" w14:textId="77777777" w:rsidTr="0015551E">
        <w:trPr>
          <w:jc w:val="center"/>
        </w:trPr>
        <w:tc>
          <w:tcPr>
            <w:tcW w:w="1227" w:type="dxa"/>
            <w:vMerge w:val="restart"/>
            <w:vAlign w:val="center"/>
          </w:tcPr>
          <w:p w14:paraId="43B02DDC" w14:textId="77777777" w:rsidR="008A4C15" w:rsidRPr="00FA433F" w:rsidRDefault="008A4C15">
            <w:pPr>
              <w:spacing w:before="60" w:after="60"/>
              <w:jc w:val="center"/>
              <w:rPr>
                <w:noProof/>
              </w:rPr>
            </w:pPr>
            <w:r w:rsidRPr="00FA433F">
              <w:rPr>
                <w:noProof/>
                <w:sz w:val="18"/>
              </w:rPr>
              <w:t>Dział wieloletnich ram finansowych</w:t>
            </w:r>
          </w:p>
        </w:tc>
        <w:tc>
          <w:tcPr>
            <w:tcW w:w="3867" w:type="dxa"/>
            <w:vAlign w:val="center"/>
          </w:tcPr>
          <w:p w14:paraId="58DC3314" w14:textId="77777777" w:rsidR="008A4C15" w:rsidRPr="00FA433F" w:rsidRDefault="008A4C15">
            <w:pPr>
              <w:spacing w:before="60" w:after="60"/>
              <w:jc w:val="center"/>
              <w:rPr>
                <w:noProof/>
              </w:rPr>
            </w:pPr>
            <w:r w:rsidRPr="00FA433F">
              <w:rPr>
                <w:noProof/>
                <w:sz w:val="20"/>
              </w:rPr>
              <w:t>Linia budżetowa</w:t>
            </w:r>
          </w:p>
        </w:tc>
        <w:tc>
          <w:tcPr>
            <w:tcW w:w="1092" w:type="dxa"/>
            <w:vAlign w:val="center"/>
          </w:tcPr>
          <w:p w14:paraId="12A05E29" w14:textId="77777777" w:rsidR="008A4C15" w:rsidRPr="00FA433F" w:rsidRDefault="008A4C15">
            <w:pPr>
              <w:spacing w:before="60" w:after="60"/>
              <w:jc w:val="center"/>
              <w:rPr>
                <w:noProof/>
              </w:rPr>
            </w:pPr>
            <w:r w:rsidRPr="00FA433F">
              <w:rPr>
                <w:noProof/>
                <w:sz w:val="18"/>
              </w:rPr>
              <w:t>Rodzaj środków</w:t>
            </w:r>
          </w:p>
        </w:tc>
        <w:tc>
          <w:tcPr>
            <w:tcW w:w="4487" w:type="dxa"/>
            <w:gridSpan w:val="4"/>
            <w:vAlign w:val="center"/>
          </w:tcPr>
          <w:p w14:paraId="2D4900D8" w14:textId="77777777" w:rsidR="008A4C15" w:rsidRPr="00FA433F" w:rsidRDefault="008A4C15">
            <w:pPr>
              <w:spacing w:before="60" w:after="60"/>
              <w:jc w:val="center"/>
              <w:rPr>
                <w:noProof/>
              </w:rPr>
            </w:pPr>
            <w:r w:rsidRPr="00FA433F">
              <w:rPr>
                <w:noProof/>
                <w:sz w:val="20"/>
              </w:rPr>
              <w:t xml:space="preserve">Wkład </w:t>
            </w:r>
          </w:p>
        </w:tc>
      </w:tr>
      <w:tr w:rsidR="004D55FB" w:rsidRPr="00FA433F" w14:paraId="1D754CC1" w14:textId="77777777" w:rsidTr="0015551E">
        <w:trPr>
          <w:cantSplit/>
          <w:jc w:val="center"/>
        </w:trPr>
        <w:tc>
          <w:tcPr>
            <w:tcW w:w="1227" w:type="dxa"/>
            <w:vMerge/>
            <w:vAlign w:val="center"/>
          </w:tcPr>
          <w:p w14:paraId="22E50EDC" w14:textId="77777777" w:rsidR="008A4C15" w:rsidRPr="00FA433F" w:rsidRDefault="008A4C15">
            <w:pPr>
              <w:jc w:val="center"/>
              <w:rPr>
                <w:noProof/>
              </w:rPr>
            </w:pPr>
          </w:p>
        </w:tc>
        <w:tc>
          <w:tcPr>
            <w:tcW w:w="3867" w:type="dxa"/>
            <w:vAlign w:val="center"/>
          </w:tcPr>
          <w:p w14:paraId="4877C226" w14:textId="5AC13F4C" w:rsidR="008A4C15" w:rsidRPr="00FA433F" w:rsidRDefault="008A4C15">
            <w:pPr>
              <w:rPr>
                <w:noProof/>
              </w:rPr>
            </w:pPr>
            <w:r w:rsidRPr="00FA433F">
              <w:rPr>
                <w:noProof/>
                <w:sz w:val="20"/>
              </w:rPr>
              <w:t xml:space="preserve">Numer </w:t>
            </w:r>
            <w:r w:rsidRPr="00FA433F">
              <w:rPr>
                <w:noProof/>
              </w:rPr>
              <w:br/>
            </w:r>
          </w:p>
        </w:tc>
        <w:tc>
          <w:tcPr>
            <w:tcW w:w="1092" w:type="dxa"/>
            <w:vAlign w:val="center"/>
          </w:tcPr>
          <w:p w14:paraId="355FF66F" w14:textId="77777777" w:rsidR="008A4C15" w:rsidRPr="00FA433F" w:rsidRDefault="008A4C15">
            <w:pPr>
              <w:jc w:val="center"/>
              <w:rPr>
                <w:noProof/>
              </w:rPr>
            </w:pPr>
            <w:r w:rsidRPr="00FA433F">
              <w:rPr>
                <w:noProof/>
                <w:sz w:val="18"/>
              </w:rPr>
              <w:t>Zróżn. / niezróżn.</w:t>
            </w:r>
            <w:r w:rsidRPr="00FA433F">
              <w:rPr>
                <w:rStyle w:val="Odwoanieprzypisudolnego"/>
                <w:noProof/>
                <w:sz w:val="18"/>
              </w:rPr>
              <w:footnoteReference w:id="30"/>
            </w:r>
          </w:p>
        </w:tc>
        <w:tc>
          <w:tcPr>
            <w:tcW w:w="966" w:type="dxa"/>
            <w:vAlign w:val="center"/>
          </w:tcPr>
          <w:p w14:paraId="3D7DD6DE" w14:textId="77777777" w:rsidR="008A4C15" w:rsidRPr="00FA433F" w:rsidRDefault="008A4C15">
            <w:pPr>
              <w:jc w:val="center"/>
              <w:rPr>
                <w:b/>
                <w:noProof/>
                <w:sz w:val="18"/>
              </w:rPr>
            </w:pPr>
            <w:r w:rsidRPr="00FA433F">
              <w:rPr>
                <w:noProof/>
                <w:sz w:val="18"/>
              </w:rPr>
              <w:t>państw EFTA</w:t>
            </w:r>
            <w:r w:rsidRPr="00FA433F">
              <w:rPr>
                <w:rStyle w:val="Odwoanieprzypisudolnego"/>
                <w:noProof/>
                <w:sz w:val="18"/>
              </w:rPr>
              <w:footnoteReference w:id="31"/>
            </w:r>
          </w:p>
        </w:tc>
        <w:tc>
          <w:tcPr>
            <w:tcW w:w="1092" w:type="dxa"/>
            <w:vAlign w:val="center"/>
          </w:tcPr>
          <w:p w14:paraId="1FA8D49F" w14:textId="4876E6BE" w:rsidR="008A4C15" w:rsidRPr="00FA433F" w:rsidRDefault="008A4C15">
            <w:pPr>
              <w:jc w:val="center"/>
              <w:rPr>
                <w:noProof/>
                <w:sz w:val="18"/>
              </w:rPr>
            </w:pPr>
            <w:r w:rsidRPr="00FA433F">
              <w:rPr>
                <w:noProof/>
                <w:sz w:val="18"/>
              </w:rPr>
              <w:t>krajów kandydujących</w:t>
            </w:r>
            <w:r w:rsidR="00FA433F" w:rsidRPr="00FA433F">
              <w:rPr>
                <w:noProof/>
                <w:sz w:val="18"/>
              </w:rPr>
              <w:t xml:space="preserve"> i</w:t>
            </w:r>
            <w:r w:rsidR="00FA433F">
              <w:rPr>
                <w:noProof/>
                <w:sz w:val="18"/>
              </w:rPr>
              <w:t> </w:t>
            </w:r>
            <w:r w:rsidR="00FA433F" w:rsidRPr="00FA433F">
              <w:rPr>
                <w:noProof/>
                <w:sz w:val="18"/>
              </w:rPr>
              <w:t>pot</w:t>
            </w:r>
            <w:r w:rsidRPr="00FA433F">
              <w:rPr>
                <w:noProof/>
                <w:sz w:val="18"/>
              </w:rPr>
              <w:t>encjalnych kandydatów</w:t>
            </w:r>
            <w:r w:rsidRPr="00FA433F">
              <w:rPr>
                <w:rStyle w:val="Odwoanieprzypisudolnego"/>
                <w:noProof/>
                <w:sz w:val="18"/>
              </w:rPr>
              <w:footnoteReference w:id="32"/>
            </w:r>
          </w:p>
        </w:tc>
        <w:tc>
          <w:tcPr>
            <w:tcW w:w="966" w:type="dxa"/>
            <w:vAlign w:val="center"/>
          </w:tcPr>
          <w:p w14:paraId="2AF1A6AA" w14:textId="77777777" w:rsidR="008A4C15" w:rsidRPr="00FA433F" w:rsidRDefault="008A4C15">
            <w:pPr>
              <w:jc w:val="center"/>
              <w:rPr>
                <w:noProof/>
                <w:sz w:val="18"/>
              </w:rPr>
            </w:pPr>
            <w:r w:rsidRPr="00FA433F">
              <w:rPr>
                <w:noProof/>
                <w:sz w:val="18"/>
              </w:rPr>
              <w:t>innych państw trzecich</w:t>
            </w:r>
          </w:p>
        </w:tc>
        <w:tc>
          <w:tcPr>
            <w:tcW w:w="1463" w:type="dxa"/>
            <w:vAlign w:val="center"/>
          </w:tcPr>
          <w:p w14:paraId="13938580" w14:textId="6F963C40" w:rsidR="008A4C15" w:rsidRPr="00FA433F" w:rsidRDefault="008A4C15">
            <w:pPr>
              <w:jc w:val="center"/>
              <w:rPr>
                <w:noProof/>
              </w:rPr>
            </w:pPr>
            <w:r w:rsidRPr="00FA433F">
              <w:rPr>
                <w:noProof/>
                <w:sz w:val="18"/>
              </w:rPr>
              <w:t>pochodzący</w:t>
            </w:r>
            <w:r w:rsidR="00FA433F" w:rsidRPr="00FA433F">
              <w:rPr>
                <w:noProof/>
                <w:sz w:val="18"/>
              </w:rPr>
              <w:t xml:space="preserve"> z</w:t>
            </w:r>
            <w:r w:rsidR="00FA433F">
              <w:rPr>
                <w:noProof/>
                <w:sz w:val="18"/>
              </w:rPr>
              <w:t> </w:t>
            </w:r>
            <w:r w:rsidR="00FA433F" w:rsidRPr="00FA433F">
              <w:rPr>
                <w:noProof/>
                <w:sz w:val="18"/>
              </w:rPr>
              <w:t>poz</w:t>
            </w:r>
            <w:r w:rsidRPr="00FA433F">
              <w:rPr>
                <w:noProof/>
                <w:sz w:val="18"/>
              </w:rPr>
              <w:t>ostałych dochodów przeznaczonych na określony cel</w:t>
            </w:r>
          </w:p>
        </w:tc>
      </w:tr>
      <w:tr w:rsidR="004D55FB" w:rsidRPr="00FA433F" w14:paraId="13818E1B" w14:textId="77777777" w:rsidTr="0015551E">
        <w:trPr>
          <w:jc w:val="center"/>
        </w:trPr>
        <w:tc>
          <w:tcPr>
            <w:tcW w:w="1227" w:type="dxa"/>
            <w:vAlign w:val="center"/>
          </w:tcPr>
          <w:p w14:paraId="380E4601" w14:textId="77777777" w:rsidR="008A4C15" w:rsidRPr="00FA433F" w:rsidRDefault="008A4C15">
            <w:pPr>
              <w:jc w:val="center"/>
              <w:rPr>
                <w:noProof/>
              </w:rPr>
            </w:pPr>
          </w:p>
        </w:tc>
        <w:tc>
          <w:tcPr>
            <w:tcW w:w="3867" w:type="dxa"/>
            <w:vAlign w:val="center"/>
          </w:tcPr>
          <w:p w14:paraId="16A06F8E" w14:textId="77777777" w:rsidR="008A4C15" w:rsidRPr="00FA433F" w:rsidRDefault="00E27CE3">
            <w:pPr>
              <w:spacing w:after="60"/>
              <w:rPr>
                <w:noProof/>
              </w:rPr>
            </w:pPr>
            <w:r w:rsidRPr="00FA433F">
              <w:rPr>
                <w:noProof/>
                <w:sz w:val="22"/>
              </w:rPr>
              <w:t xml:space="preserve">20 02 01 01 Personel kontraktowy </w:t>
            </w:r>
          </w:p>
        </w:tc>
        <w:tc>
          <w:tcPr>
            <w:tcW w:w="1092" w:type="dxa"/>
            <w:vAlign w:val="center"/>
          </w:tcPr>
          <w:p w14:paraId="23E4503D" w14:textId="77777777" w:rsidR="008A4C15" w:rsidRPr="00FA433F" w:rsidRDefault="008A4C15">
            <w:pPr>
              <w:jc w:val="center"/>
              <w:rPr>
                <w:noProof/>
              </w:rPr>
            </w:pPr>
            <w:r w:rsidRPr="00FA433F">
              <w:rPr>
                <w:noProof/>
                <w:sz w:val="22"/>
              </w:rPr>
              <w:t>Środki niezróżnicowane</w:t>
            </w:r>
          </w:p>
        </w:tc>
        <w:tc>
          <w:tcPr>
            <w:tcW w:w="966" w:type="dxa"/>
            <w:vAlign w:val="center"/>
          </w:tcPr>
          <w:p w14:paraId="08E6E9BD" w14:textId="77777777" w:rsidR="008A4C15" w:rsidRPr="00FA433F" w:rsidRDefault="008A4C15">
            <w:pPr>
              <w:jc w:val="center"/>
              <w:rPr>
                <w:noProof/>
                <w:sz w:val="20"/>
                <w:szCs w:val="20"/>
              </w:rPr>
            </w:pPr>
            <w:r w:rsidRPr="00FA433F">
              <w:rPr>
                <w:noProof/>
                <w:sz w:val="20"/>
              </w:rPr>
              <w:t>NIE</w:t>
            </w:r>
          </w:p>
        </w:tc>
        <w:tc>
          <w:tcPr>
            <w:tcW w:w="1092" w:type="dxa"/>
            <w:vAlign w:val="center"/>
          </w:tcPr>
          <w:p w14:paraId="1DA1A645" w14:textId="77777777" w:rsidR="008A4C15" w:rsidRPr="00FA433F" w:rsidRDefault="008A4C15" w:rsidP="005E4D8D">
            <w:pPr>
              <w:jc w:val="center"/>
              <w:rPr>
                <w:noProof/>
                <w:sz w:val="20"/>
                <w:szCs w:val="20"/>
              </w:rPr>
            </w:pPr>
            <w:r w:rsidRPr="00FA433F">
              <w:rPr>
                <w:noProof/>
                <w:sz w:val="20"/>
              </w:rPr>
              <w:t>NIE</w:t>
            </w:r>
          </w:p>
        </w:tc>
        <w:tc>
          <w:tcPr>
            <w:tcW w:w="966" w:type="dxa"/>
            <w:vAlign w:val="center"/>
          </w:tcPr>
          <w:p w14:paraId="5D7457CB" w14:textId="77777777" w:rsidR="008A4C15" w:rsidRPr="00FA433F" w:rsidRDefault="008A4C15">
            <w:pPr>
              <w:jc w:val="center"/>
              <w:rPr>
                <w:noProof/>
                <w:sz w:val="20"/>
                <w:szCs w:val="20"/>
              </w:rPr>
            </w:pPr>
            <w:r w:rsidRPr="00FA433F">
              <w:rPr>
                <w:noProof/>
                <w:sz w:val="20"/>
              </w:rPr>
              <w:t>NIE</w:t>
            </w:r>
          </w:p>
        </w:tc>
        <w:tc>
          <w:tcPr>
            <w:tcW w:w="1463" w:type="dxa"/>
            <w:vAlign w:val="center"/>
          </w:tcPr>
          <w:p w14:paraId="5358DF76" w14:textId="77777777" w:rsidR="008A4C15" w:rsidRPr="00FA433F" w:rsidRDefault="008A4C15">
            <w:pPr>
              <w:jc w:val="center"/>
              <w:rPr>
                <w:noProof/>
                <w:sz w:val="20"/>
                <w:szCs w:val="20"/>
              </w:rPr>
            </w:pPr>
            <w:r w:rsidRPr="00FA433F">
              <w:rPr>
                <w:noProof/>
                <w:sz w:val="20"/>
              </w:rPr>
              <w:t>NIE</w:t>
            </w:r>
          </w:p>
        </w:tc>
      </w:tr>
      <w:tr w:rsidR="004D55FB" w:rsidRPr="00FA433F" w14:paraId="515A156F" w14:textId="77777777" w:rsidTr="0015551E">
        <w:trPr>
          <w:jc w:val="center"/>
        </w:trPr>
        <w:tc>
          <w:tcPr>
            <w:tcW w:w="1227" w:type="dxa"/>
            <w:vAlign w:val="center"/>
          </w:tcPr>
          <w:p w14:paraId="6C356C49" w14:textId="77777777" w:rsidR="008A4C15" w:rsidRPr="00FA433F" w:rsidRDefault="008A4C15">
            <w:pPr>
              <w:jc w:val="center"/>
              <w:rPr>
                <w:noProof/>
              </w:rPr>
            </w:pPr>
          </w:p>
        </w:tc>
        <w:tc>
          <w:tcPr>
            <w:tcW w:w="3867" w:type="dxa"/>
            <w:vAlign w:val="center"/>
          </w:tcPr>
          <w:p w14:paraId="58881B7D" w14:textId="44EAC5EF" w:rsidR="008A4C15" w:rsidRPr="00FA433F" w:rsidRDefault="005E4D8D">
            <w:pPr>
              <w:spacing w:after="60"/>
              <w:rPr>
                <w:noProof/>
              </w:rPr>
            </w:pPr>
            <w:r w:rsidRPr="00FA433F">
              <w:rPr>
                <w:noProof/>
                <w:color w:val="000000"/>
                <w:sz w:val="22"/>
              </w:rPr>
              <w:t>20 02 06 04 Badania</w:t>
            </w:r>
            <w:r w:rsidR="00FA433F" w:rsidRPr="00FA433F">
              <w:rPr>
                <w:noProof/>
                <w:color w:val="000000"/>
                <w:sz w:val="22"/>
              </w:rPr>
              <w:t xml:space="preserve"> i</w:t>
            </w:r>
            <w:r w:rsidR="00FA433F">
              <w:rPr>
                <w:noProof/>
                <w:color w:val="000000"/>
                <w:sz w:val="22"/>
              </w:rPr>
              <w:t> </w:t>
            </w:r>
            <w:r w:rsidR="00FA433F" w:rsidRPr="00FA433F">
              <w:rPr>
                <w:noProof/>
                <w:color w:val="000000"/>
                <w:sz w:val="22"/>
              </w:rPr>
              <w:t>kon</w:t>
            </w:r>
            <w:r w:rsidRPr="00FA433F">
              <w:rPr>
                <w:noProof/>
                <w:color w:val="000000"/>
                <w:sz w:val="22"/>
              </w:rPr>
              <w:t>sultacje</w:t>
            </w:r>
          </w:p>
        </w:tc>
        <w:tc>
          <w:tcPr>
            <w:tcW w:w="1092" w:type="dxa"/>
            <w:vAlign w:val="center"/>
          </w:tcPr>
          <w:p w14:paraId="789364B2" w14:textId="77777777" w:rsidR="008A4C15" w:rsidRPr="00FA433F" w:rsidRDefault="008A4C15">
            <w:pPr>
              <w:jc w:val="center"/>
              <w:rPr>
                <w:noProof/>
              </w:rPr>
            </w:pPr>
            <w:r w:rsidRPr="00FA433F">
              <w:rPr>
                <w:noProof/>
                <w:sz w:val="22"/>
              </w:rPr>
              <w:t>Środki niezróżnicowane</w:t>
            </w:r>
          </w:p>
        </w:tc>
        <w:tc>
          <w:tcPr>
            <w:tcW w:w="966" w:type="dxa"/>
            <w:vAlign w:val="center"/>
          </w:tcPr>
          <w:p w14:paraId="498AFC25" w14:textId="77777777" w:rsidR="008A4C15" w:rsidRPr="00FA433F" w:rsidRDefault="008A4C15">
            <w:pPr>
              <w:jc w:val="center"/>
              <w:rPr>
                <w:noProof/>
                <w:sz w:val="20"/>
                <w:szCs w:val="20"/>
              </w:rPr>
            </w:pPr>
            <w:r w:rsidRPr="00FA433F">
              <w:rPr>
                <w:noProof/>
                <w:sz w:val="20"/>
              </w:rPr>
              <w:t>NIE</w:t>
            </w:r>
          </w:p>
        </w:tc>
        <w:tc>
          <w:tcPr>
            <w:tcW w:w="1092" w:type="dxa"/>
            <w:vAlign w:val="center"/>
          </w:tcPr>
          <w:p w14:paraId="73F7FE77" w14:textId="77777777" w:rsidR="008A4C15" w:rsidRPr="00FA433F" w:rsidRDefault="008A4C15">
            <w:pPr>
              <w:jc w:val="center"/>
              <w:rPr>
                <w:noProof/>
                <w:sz w:val="20"/>
                <w:szCs w:val="20"/>
              </w:rPr>
            </w:pPr>
            <w:r w:rsidRPr="00FA433F">
              <w:rPr>
                <w:noProof/>
                <w:sz w:val="20"/>
              </w:rPr>
              <w:t>NIE</w:t>
            </w:r>
          </w:p>
        </w:tc>
        <w:tc>
          <w:tcPr>
            <w:tcW w:w="966" w:type="dxa"/>
            <w:vAlign w:val="center"/>
          </w:tcPr>
          <w:p w14:paraId="0BEA1212" w14:textId="77777777" w:rsidR="008A4C15" w:rsidRPr="00FA433F" w:rsidRDefault="008A4C15">
            <w:pPr>
              <w:jc w:val="center"/>
              <w:rPr>
                <w:noProof/>
                <w:sz w:val="20"/>
                <w:szCs w:val="20"/>
              </w:rPr>
            </w:pPr>
            <w:r w:rsidRPr="00FA433F">
              <w:rPr>
                <w:noProof/>
                <w:sz w:val="20"/>
              </w:rPr>
              <w:t>NIE</w:t>
            </w:r>
          </w:p>
        </w:tc>
        <w:tc>
          <w:tcPr>
            <w:tcW w:w="1463" w:type="dxa"/>
            <w:vAlign w:val="center"/>
          </w:tcPr>
          <w:p w14:paraId="2DC3F350" w14:textId="77777777" w:rsidR="008A4C15" w:rsidRPr="00FA433F" w:rsidRDefault="008A4C15">
            <w:pPr>
              <w:jc w:val="center"/>
              <w:rPr>
                <w:noProof/>
                <w:sz w:val="20"/>
                <w:szCs w:val="20"/>
              </w:rPr>
            </w:pPr>
            <w:r w:rsidRPr="00FA433F">
              <w:rPr>
                <w:noProof/>
                <w:sz w:val="20"/>
              </w:rPr>
              <w:t>NIE</w:t>
            </w:r>
          </w:p>
        </w:tc>
      </w:tr>
    </w:tbl>
    <w:p w14:paraId="07F52735" w14:textId="77777777" w:rsidR="008A4C15" w:rsidRPr="00FA433F" w:rsidRDefault="008A4C15">
      <w:pPr>
        <w:pStyle w:val="ListBullet1"/>
        <w:rPr>
          <w:noProof/>
        </w:rPr>
      </w:pPr>
      <w:r w:rsidRPr="00FA433F">
        <w:rPr>
          <w:noProof/>
        </w:rPr>
        <w:t xml:space="preserve">Proponowane nowe linie budżetowe </w:t>
      </w:r>
    </w:p>
    <w:p w14:paraId="62EDD499" w14:textId="14C067A2" w:rsidR="008A4C15" w:rsidRPr="00FA433F" w:rsidRDefault="008A4C15">
      <w:pPr>
        <w:pStyle w:val="Text1"/>
        <w:rPr>
          <w:i/>
          <w:noProof/>
          <w:sz w:val="20"/>
        </w:rPr>
      </w:pPr>
      <w:r w:rsidRPr="00FA433F">
        <w:rPr>
          <w:i/>
          <w:noProof/>
          <w:u w:val="single"/>
        </w:rPr>
        <w:t>Według</w:t>
      </w:r>
      <w:r w:rsidRPr="00FA433F">
        <w:rPr>
          <w:i/>
          <w:noProof/>
        </w:rPr>
        <w:t xml:space="preserve"> działów wieloletnich ram finansowych</w:t>
      </w:r>
      <w:r w:rsidR="00FA433F" w:rsidRPr="00FA433F">
        <w:rPr>
          <w:i/>
          <w:noProof/>
        </w:rPr>
        <w:t xml:space="preserve"> i</w:t>
      </w:r>
      <w:r w:rsidR="00FA433F">
        <w:rPr>
          <w:i/>
          <w:noProof/>
        </w:rPr>
        <w:t> </w:t>
      </w:r>
      <w:r w:rsidR="00FA433F" w:rsidRPr="00FA433F">
        <w:rPr>
          <w:i/>
          <w:noProof/>
        </w:rPr>
        <w:t>lin</w:t>
      </w:r>
      <w:r w:rsidRPr="00FA433F">
        <w:rPr>
          <w:i/>
          <w:noProof/>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7"/>
        <w:gridCol w:w="3867"/>
        <w:gridCol w:w="1092"/>
        <w:gridCol w:w="966"/>
        <w:gridCol w:w="1092"/>
        <w:gridCol w:w="966"/>
        <w:gridCol w:w="1463"/>
      </w:tblGrid>
      <w:tr w:rsidR="004D55FB" w:rsidRPr="00FA433F" w14:paraId="2623960C" w14:textId="77777777" w:rsidTr="0015551E">
        <w:trPr>
          <w:jc w:val="center"/>
        </w:trPr>
        <w:tc>
          <w:tcPr>
            <w:tcW w:w="1227" w:type="dxa"/>
            <w:vMerge w:val="restart"/>
            <w:vAlign w:val="center"/>
          </w:tcPr>
          <w:p w14:paraId="5901E233" w14:textId="77777777" w:rsidR="008A4C15" w:rsidRPr="00FA433F" w:rsidRDefault="008A4C15">
            <w:pPr>
              <w:spacing w:before="60" w:after="60"/>
              <w:jc w:val="center"/>
              <w:rPr>
                <w:noProof/>
                <w:sz w:val="18"/>
                <w:szCs w:val="18"/>
              </w:rPr>
            </w:pPr>
            <w:r w:rsidRPr="00FA433F">
              <w:rPr>
                <w:noProof/>
                <w:sz w:val="18"/>
              </w:rPr>
              <w:t>Dział wieloletnich ram finansowych</w:t>
            </w:r>
          </w:p>
        </w:tc>
        <w:tc>
          <w:tcPr>
            <w:tcW w:w="3867" w:type="dxa"/>
            <w:vAlign w:val="center"/>
          </w:tcPr>
          <w:p w14:paraId="384F9898" w14:textId="77777777" w:rsidR="008A4C15" w:rsidRPr="00FA433F" w:rsidRDefault="008A4C15">
            <w:pPr>
              <w:spacing w:before="60" w:after="60"/>
              <w:jc w:val="center"/>
              <w:rPr>
                <w:noProof/>
              </w:rPr>
            </w:pPr>
            <w:r w:rsidRPr="00FA433F">
              <w:rPr>
                <w:noProof/>
                <w:sz w:val="20"/>
              </w:rPr>
              <w:t>Linia budżetowa</w:t>
            </w:r>
          </w:p>
        </w:tc>
        <w:tc>
          <w:tcPr>
            <w:tcW w:w="1092" w:type="dxa"/>
            <w:vAlign w:val="center"/>
          </w:tcPr>
          <w:p w14:paraId="609DBF6E" w14:textId="77777777" w:rsidR="008A4C15" w:rsidRPr="00FA433F" w:rsidRDefault="008A4C15">
            <w:pPr>
              <w:spacing w:before="60" w:after="60"/>
              <w:jc w:val="center"/>
              <w:rPr>
                <w:noProof/>
              </w:rPr>
            </w:pPr>
            <w:r w:rsidRPr="00FA433F">
              <w:rPr>
                <w:noProof/>
                <w:sz w:val="18"/>
              </w:rPr>
              <w:t>Rodzaj środków</w:t>
            </w:r>
          </w:p>
        </w:tc>
        <w:tc>
          <w:tcPr>
            <w:tcW w:w="4487" w:type="dxa"/>
            <w:gridSpan w:val="4"/>
            <w:vAlign w:val="center"/>
          </w:tcPr>
          <w:p w14:paraId="1EC5D25A" w14:textId="77777777" w:rsidR="008A4C15" w:rsidRPr="00FA433F" w:rsidRDefault="008A4C15">
            <w:pPr>
              <w:spacing w:before="60" w:after="60"/>
              <w:jc w:val="center"/>
              <w:rPr>
                <w:noProof/>
              </w:rPr>
            </w:pPr>
            <w:r w:rsidRPr="00FA433F">
              <w:rPr>
                <w:noProof/>
                <w:sz w:val="20"/>
              </w:rPr>
              <w:t xml:space="preserve">Wkład </w:t>
            </w:r>
          </w:p>
        </w:tc>
      </w:tr>
      <w:tr w:rsidR="004D55FB" w:rsidRPr="00FA433F" w14:paraId="0DB9A6E4" w14:textId="77777777" w:rsidTr="0015551E">
        <w:trPr>
          <w:cantSplit/>
          <w:jc w:val="center"/>
        </w:trPr>
        <w:tc>
          <w:tcPr>
            <w:tcW w:w="1227" w:type="dxa"/>
            <w:vMerge/>
            <w:vAlign w:val="center"/>
          </w:tcPr>
          <w:p w14:paraId="3E400B8C" w14:textId="77777777" w:rsidR="008A4C15" w:rsidRPr="00FA433F" w:rsidRDefault="008A4C15">
            <w:pPr>
              <w:jc w:val="center"/>
              <w:rPr>
                <w:noProof/>
              </w:rPr>
            </w:pPr>
          </w:p>
        </w:tc>
        <w:tc>
          <w:tcPr>
            <w:tcW w:w="3867" w:type="dxa"/>
            <w:vAlign w:val="center"/>
          </w:tcPr>
          <w:p w14:paraId="3A07D4C0" w14:textId="42A6271E" w:rsidR="008A4C15" w:rsidRPr="00FA433F" w:rsidRDefault="008A4C15">
            <w:pPr>
              <w:rPr>
                <w:noProof/>
              </w:rPr>
            </w:pPr>
            <w:r w:rsidRPr="00FA433F">
              <w:rPr>
                <w:noProof/>
                <w:sz w:val="20"/>
              </w:rPr>
              <w:t xml:space="preserve">Numer </w:t>
            </w:r>
            <w:r w:rsidRPr="00FA433F">
              <w:rPr>
                <w:noProof/>
              </w:rPr>
              <w:br/>
            </w:r>
          </w:p>
        </w:tc>
        <w:tc>
          <w:tcPr>
            <w:tcW w:w="1092" w:type="dxa"/>
            <w:vAlign w:val="center"/>
          </w:tcPr>
          <w:p w14:paraId="597989E3" w14:textId="77777777" w:rsidR="008A4C15" w:rsidRPr="00FA433F" w:rsidRDefault="008A4C15">
            <w:pPr>
              <w:jc w:val="center"/>
              <w:rPr>
                <w:noProof/>
              </w:rPr>
            </w:pPr>
            <w:r w:rsidRPr="00FA433F">
              <w:rPr>
                <w:noProof/>
                <w:sz w:val="18"/>
              </w:rPr>
              <w:t>Zróżn. / niezróżn.</w:t>
            </w:r>
          </w:p>
        </w:tc>
        <w:tc>
          <w:tcPr>
            <w:tcW w:w="966" w:type="dxa"/>
            <w:vAlign w:val="center"/>
          </w:tcPr>
          <w:p w14:paraId="26ABB5E3" w14:textId="77777777" w:rsidR="008A4C15" w:rsidRPr="00FA433F" w:rsidRDefault="008A4C15">
            <w:pPr>
              <w:jc w:val="center"/>
              <w:rPr>
                <w:noProof/>
                <w:sz w:val="18"/>
              </w:rPr>
            </w:pPr>
            <w:r w:rsidRPr="00FA433F">
              <w:rPr>
                <w:noProof/>
                <w:sz w:val="18"/>
              </w:rPr>
              <w:t>państw EFTA</w:t>
            </w:r>
          </w:p>
        </w:tc>
        <w:tc>
          <w:tcPr>
            <w:tcW w:w="1092" w:type="dxa"/>
            <w:vAlign w:val="center"/>
          </w:tcPr>
          <w:p w14:paraId="246D98F0" w14:textId="1347E791" w:rsidR="008A4C15" w:rsidRPr="00FA433F" w:rsidRDefault="008A4C15">
            <w:pPr>
              <w:jc w:val="center"/>
              <w:rPr>
                <w:noProof/>
                <w:sz w:val="18"/>
              </w:rPr>
            </w:pPr>
            <w:r w:rsidRPr="00FA433F">
              <w:rPr>
                <w:noProof/>
                <w:sz w:val="18"/>
              </w:rPr>
              <w:t>krajów kandydujących</w:t>
            </w:r>
            <w:r w:rsidR="00FA433F" w:rsidRPr="00FA433F">
              <w:rPr>
                <w:noProof/>
                <w:sz w:val="18"/>
              </w:rPr>
              <w:t xml:space="preserve"> i</w:t>
            </w:r>
            <w:r w:rsidR="00FA433F">
              <w:rPr>
                <w:noProof/>
                <w:sz w:val="18"/>
              </w:rPr>
              <w:t> </w:t>
            </w:r>
            <w:r w:rsidR="00FA433F" w:rsidRPr="00FA433F">
              <w:rPr>
                <w:noProof/>
                <w:sz w:val="18"/>
              </w:rPr>
              <w:t>pot</w:t>
            </w:r>
            <w:r w:rsidRPr="00FA433F">
              <w:rPr>
                <w:noProof/>
                <w:sz w:val="18"/>
              </w:rPr>
              <w:t>encjalnych kandydatów</w:t>
            </w:r>
          </w:p>
        </w:tc>
        <w:tc>
          <w:tcPr>
            <w:tcW w:w="966" w:type="dxa"/>
            <w:vAlign w:val="center"/>
          </w:tcPr>
          <w:p w14:paraId="1B90F001" w14:textId="77777777" w:rsidR="008A4C15" w:rsidRPr="00FA433F" w:rsidRDefault="008A4C15">
            <w:pPr>
              <w:jc w:val="center"/>
              <w:rPr>
                <w:noProof/>
                <w:sz w:val="18"/>
              </w:rPr>
            </w:pPr>
            <w:r w:rsidRPr="00FA433F">
              <w:rPr>
                <w:noProof/>
                <w:sz w:val="18"/>
              </w:rPr>
              <w:t>innych państw trzecich</w:t>
            </w:r>
          </w:p>
        </w:tc>
        <w:tc>
          <w:tcPr>
            <w:tcW w:w="1463" w:type="dxa"/>
            <w:vAlign w:val="center"/>
          </w:tcPr>
          <w:p w14:paraId="22540E69" w14:textId="54381C86" w:rsidR="008A4C15" w:rsidRPr="00FA433F" w:rsidRDefault="008A4C15">
            <w:pPr>
              <w:jc w:val="center"/>
              <w:rPr>
                <w:noProof/>
              </w:rPr>
            </w:pPr>
            <w:r w:rsidRPr="00FA433F">
              <w:rPr>
                <w:noProof/>
                <w:sz w:val="18"/>
              </w:rPr>
              <w:t>pochodzący</w:t>
            </w:r>
            <w:r w:rsidR="00FA433F" w:rsidRPr="00FA433F">
              <w:rPr>
                <w:noProof/>
                <w:sz w:val="18"/>
              </w:rPr>
              <w:t xml:space="preserve"> z</w:t>
            </w:r>
            <w:r w:rsidR="00FA433F">
              <w:rPr>
                <w:noProof/>
                <w:sz w:val="18"/>
              </w:rPr>
              <w:t> </w:t>
            </w:r>
            <w:r w:rsidR="00FA433F" w:rsidRPr="00FA433F">
              <w:rPr>
                <w:noProof/>
                <w:sz w:val="18"/>
              </w:rPr>
              <w:t>poz</w:t>
            </w:r>
            <w:r w:rsidRPr="00FA433F">
              <w:rPr>
                <w:noProof/>
                <w:sz w:val="18"/>
              </w:rPr>
              <w:t xml:space="preserve">ostałych dochodów przeznaczonych na określony cel </w:t>
            </w:r>
          </w:p>
        </w:tc>
      </w:tr>
      <w:tr w:rsidR="004D55FB" w:rsidRPr="00FA433F" w14:paraId="0EDB83A9" w14:textId="77777777" w:rsidTr="0015551E">
        <w:trPr>
          <w:cantSplit/>
          <w:jc w:val="center"/>
        </w:trPr>
        <w:tc>
          <w:tcPr>
            <w:tcW w:w="1227" w:type="dxa"/>
            <w:vAlign w:val="center"/>
          </w:tcPr>
          <w:p w14:paraId="26443D04" w14:textId="77777777" w:rsidR="008A4C15" w:rsidRPr="00FA433F" w:rsidRDefault="008A4C15">
            <w:pPr>
              <w:jc w:val="center"/>
              <w:rPr>
                <w:noProof/>
              </w:rPr>
            </w:pPr>
          </w:p>
        </w:tc>
        <w:tc>
          <w:tcPr>
            <w:tcW w:w="3867" w:type="dxa"/>
            <w:vAlign w:val="center"/>
          </w:tcPr>
          <w:p w14:paraId="22E5812C" w14:textId="3E15EB76" w:rsidR="008A4C15" w:rsidRPr="00FA433F" w:rsidRDefault="00AD4125" w:rsidP="00AD4125">
            <w:pPr>
              <w:spacing w:before="60"/>
              <w:jc w:val="left"/>
              <w:rPr>
                <w:noProof/>
              </w:rPr>
            </w:pPr>
            <w:r w:rsidRPr="00FA433F">
              <w:rPr>
                <w:noProof/>
                <w:sz w:val="22"/>
              </w:rPr>
              <w:t>Tymczasowy Fundusz Dekarbonizacji [linia budżetowa, która ma być określona</w:t>
            </w:r>
            <w:r w:rsidR="00FA433F" w:rsidRPr="00FA433F">
              <w:rPr>
                <w:noProof/>
                <w:sz w:val="22"/>
              </w:rPr>
              <w:t xml:space="preserve"> w</w:t>
            </w:r>
            <w:r w:rsidR="00FA433F">
              <w:rPr>
                <w:noProof/>
                <w:sz w:val="22"/>
              </w:rPr>
              <w:t> </w:t>
            </w:r>
            <w:r w:rsidR="00FA433F" w:rsidRPr="00FA433F">
              <w:rPr>
                <w:noProof/>
                <w:sz w:val="22"/>
              </w:rPr>
              <w:t>nom</w:t>
            </w:r>
            <w:r w:rsidRPr="00FA433F">
              <w:rPr>
                <w:noProof/>
                <w:sz w:val="22"/>
              </w:rPr>
              <w:t>enklaturze następnych WRF]</w:t>
            </w:r>
          </w:p>
        </w:tc>
        <w:tc>
          <w:tcPr>
            <w:tcW w:w="1092" w:type="dxa"/>
            <w:vAlign w:val="center"/>
          </w:tcPr>
          <w:p w14:paraId="599929BC" w14:textId="77777777" w:rsidR="008A4C15" w:rsidRPr="00FA433F" w:rsidRDefault="00E668A1">
            <w:pPr>
              <w:jc w:val="center"/>
              <w:rPr>
                <w:noProof/>
              </w:rPr>
            </w:pPr>
            <w:r w:rsidRPr="00FA433F">
              <w:rPr>
                <w:noProof/>
                <w:sz w:val="22"/>
              </w:rPr>
              <w:t>Zróżn.</w:t>
            </w:r>
          </w:p>
        </w:tc>
        <w:tc>
          <w:tcPr>
            <w:tcW w:w="966" w:type="dxa"/>
            <w:vAlign w:val="center"/>
          </w:tcPr>
          <w:p w14:paraId="63E2E657" w14:textId="77777777" w:rsidR="008A4C15" w:rsidRPr="00FA433F" w:rsidRDefault="008A4C15">
            <w:pPr>
              <w:jc w:val="center"/>
              <w:rPr>
                <w:noProof/>
                <w:sz w:val="20"/>
                <w:szCs w:val="20"/>
              </w:rPr>
            </w:pPr>
            <w:r w:rsidRPr="00FA433F">
              <w:rPr>
                <w:noProof/>
                <w:sz w:val="20"/>
              </w:rPr>
              <w:t>NIE</w:t>
            </w:r>
          </w:p>
        </w:tc>
        <w:tc>
          <w:tcPr>
            <w:tcW w:w="1092" w:type="dxa"/>
            <w:vAlign w:val="center"/>
          </w:tcPr>
          <w:p w14:paraId="12AB77AB" w14:textId="77777777" w:rsidR="008A4C15" w:rsidRPr="00FA433F" w:rsidRDefault="008A4C15">
            <w:pPr>
              <w:jc w:val="center"/>
              <w:rPr>
                <w:noProof/>
                <w:sz w:val="20"/>
                <w:szCs w:val="20"/>
              </w:rPr>
            </w:pPr>
            <w:r w:rsidRPr="00FA433F">
              <w:rPr>
                <w:noProof/>
                <w:sz w:val="20"/>
              </w:rPr>
              <w:t>NIE</w:t>
            </w:r>
          </w:p>
        </w:tc>
        <w:tc>
          <w:tcPr>
            <w:tcW w:w="966" w:type="dxa"/>
            <w:vAlign w:val="center"/>
          </w:tcPr>
          <w:p w14:paraId="571A895A" w14:textId="77777777" w:rsidR="008A4C15" w:rsidRPr="00FA433F" w:rsidRDefault="008A4C15">
            <w:pPr>
              <w:jc w:val="center"/>
              <w:rPr>
                <w:noProof/>
                <w:sz w:val="20"/>
                <w:szCs w:val="20"/>
              </w:rPr>
            </w:pPr>
            <w:r w:rsidRPr="00FA433F">
              <w:rPr>
                <w:noProof/>
                <w:sz w:val="20"/>
              </w:rPr>
              <w:t>NIE</w:t>
            </w:r>
          </w:p>
        </w:tc>
        <w:tc>
          <w:tcPr>
            <w:tcW w:w="1463" w:type="dxa"/>
            <w:vAlign w:val="center"/>
          </w:tcPr>
          <w:p w14:paraId="30141E4F" w14:textId="77777777" w:rsidR="008A4C15" w:rsidRPr="00FA433F" w:rsidRDefault="008A4C15">
            <w:pPr>
              <w:jc w:val="center"/>
              <w:rPr>
                <w:noProof/>
                <w:sz w:val="20"/>
                <w:szCs w:val="20"/>
              </w:rPr>
            </w:pPr>
            <w:r w:rsidRPr="00FA433F">
              <w:rPr>
                <w:noProof/>
                <w:sz w:val="20"/>
              </w:rPr>
              <w:t>TAK</w:t>
            </w:r>
          </w:p>
        </w:tc>
      </w:tr>
      <w:tr w:rsidR="004D55FB" w:rsidRPr="00FA433F" w14:paraId="2102BC1B" w14:textId="77777777" w:rsidTr="0015551E">
        <w:trPr>
          <w:cantSplit/>
          <w:jc w:val="center"/>
        </w:trPr>
        <w:tc>
          <w:tcPr>
            <w:tcW w:w="1227" w:type="dxa"/>
            <w:vAlign w:val="center"/>
          </w:tcPr>
          <w:p w14:paraId="16569E66" w14:textId="77777777" w:rsidR="008A4C15" w:rsidRPr="00FA433F" w:rsidRDefault="008A4C15">
            <w:pPr>
              <w:jc w:val="center"/>
              <w:rPr>
                <w:noProof/>
              </w:rPr>
            </w:pPr>
          </w:p>
        </w:tc>
        <w:tc>
          <w:tcPr>
            <w:tcW w:w="3867" w:type="dxa"/>
            <w:vAlign w:val="center"/>
          </w:tcPr>
          <w:p w14:paraId="140764C8" w14:textId="0A5DF53F" w:rsidR="008A4C15" w:rsidRPr="00FA433F" w:rsidRDefault="00AD4125" w:rsidP="00AD4125">
            <w:pPr>
              <w:spacing w:before="60"/>
              <w:jc w:val="left"/>
              <w:rPr>
                <w:noProof/>
              </w:rPr>
            </w:pPr>
            <w:r w:rsidRPr="00FA433F">
              <w:rPr>
                <w:noProof/>
                <w:sz w:val="22"/>
              </w:rPr>
              <w:t>Tymczasowy Fundusz Dekarbonizacji – wydatki administracyjne [linia budżetowa, która ma być określona</w:t>
            </w:r>
            <w:r w:rsidR="00FA433F" w:rsidRPr="00FA433F">
              <w:rPr>
                <w:noProof/>
                <w:sz w:val="22"/>
              </w:rPr>
              <w:t xml:space="preserve"> w</w:t>
            </w:r>
            <w:r w:rsidR="00FA433F">
              <w:rPr>
                <w:noProof/>
                <w:sz w:val="22"/>
              </w:rPr>
              <w:t> </w:t>
            </w:r>
            <w:r w:rsidR="00FA433F" w:rsidRPr="00FA433F">
              <w:rPr>
                <w:noProof/>
                <w:sz w:val="22"/>
              </w:rPr>
              <w:t>nom</w:t>
            </w:r>
            <w:r w:rsidRPr="00FA433F">
              <w:rPr>
                <w:noProof/>
                <w:sz w:val="22"/>
              </w:rPr>
              <w:t>enklaturze następnych WRF]</w:t>
            </w:r>
          </w:p>
        </w:tc>
        <w:tc>
          <w:tcPr>
            <w:tcW w:w="1092" w:type="dxa"/>
            <w:vAlign w:val="center"/>
          </w:tcPr>
          <w:p w14:paraId="7AB20932" w14:textId="77777777" w:rsidR="008A4C15" w:rsidRPr="00FA433F" w:rsidRDefault="008A4C15">
            <w:pPr>
              <w:jc w:val="center"/>
              <w:rPr>
                <w:noProof/>
              </w:rPr>
            </w:pPr>
            <w:r w:rsidRPr="00FA433F">
              <w:rPr>
                <w:noProof/>
                <w:sz w:val="22"/>
              </w:rPr>
              <w:t>Środki niezróżnicowane</w:t>
            </w:r>
          </w:p>
        </w:tc>
        <w:tc>
          <w:tcPr>
            <w:tcW w:w="966" w:type="dxa"/>
            <w:vAlign w:val="center"/>
          </w:tcPr>
          <w:p w14:paraId="1B17BA61" w14:textId="77777777" w:rsidR="008A4C15" w:rsidRPr="00FA433F" w:rsidRDefault="008A4C15">
            <w:pPr>
              <w:jc w:val="center"/>
              <w:rPr>
                <w:noProof/>
                <w:sz w:val="20"/>
                <w:szCs w:val="20"/>
              </w:rPr>
            </w:pPr>
            <w:r w:rsidRPr="00FA433F">
              <w:rPr>
                <w:noProof/>
                <w:sz w:val="20"/>
              </w:rPr>
              <w:t>NIE</w:t>
            </w:r>
          </w:p>
        </w:tc>
        <w:tc>
          <w:tcPr>
            <w:tcW w:w="1092" w:type="dxa"/>
            <w:vAlign w:val="center"/>
          </w:tcPr>
          <w:p w14:paraId="7855CE69" w14:textId="77777777" w:rsidR="008A4C15" w:rsidRPr="00FA433F" w:rsidRDefault="008A4C15">
            <w:pPr>
              <w:jc w:val="center"/>
              <w:rPr>
                <w:noProof/>
                <w:sz w:val="20"/>
                <w:szCs w:val="20"/>
              </w:rPr>
            </w:pPr>
            <w:r w:rsidRPr="00FA433F">
              <w:rPr>
                <w:noProof/>
                <w:sz w:val="20"/>
              </w:rPr>
              <w:t>NIE</w:t>
            </w:r>
          </w:p>
        </w:tc>
        <w:tc>
          <w:tcPr>
            <w:tcW w:w="966" w:type="dxa"/>
            <w:vAlign w:val="center"/>
          </w:tcPr>
          <w:p w14:paraId="0EDC94AC" w14:textId="77777777" w:rsidR="008A4C15" w:rsidRPr="00FA433F" w:rsidRDefault="008A4C15">
            <w:pPr>
              <w:jc w:val="center"/>
              <w:rPr>
                <w:noProof/>
                <w:sz w:val="20"/>
                <w:szCs w:val="20"/>
              </w:rPr>
            </w:pPr>
            <w:r w:rsidRPr="00FA433F">
              <w:rPr>
                <w:noProof/>
                <w:sz w:val="20"/>
              </w:rPr>
              <w:t>NIE</w:t>
            </w:r>
          </w:p>
        </w:tc>
        <w:tc>
          <w:tcPr>
            <w:tcW w:w="1463" w:type="dxa"/>
            <w:vAlign w:val="center"/>
          </w:tcPr>
          <w:p w14:paraId="3F404E25" w14:textId="77777777" w:rsidR="008A4C15" w:rsidRPr="00FA433F" w:rsidRDefault="008A4C15">
            <w:pPr>
              <w:jc w:val="center"/>
              <w:rPr>
                <w:noProof/>
                <w:sz w:val="20"/>
                <w:szCs w:val="20"/>
              </w:rPr>
            </w:pPr>
            <w:r w:rsidRPr="00FA433F">
              <w:rPr>
                <w:noProof/>
                <w:sz w:val="20"/>
              </w:rPr>
              <w:t>TAK</w:t>
            </w:r>
          </w:p>
        </w:tc>
      </w:tr>
    </w:tbl>
    <w:p w14:paraId="00F72969" w14:textId="77777777" w:rsidR="008A4C15" w:rsidRPr="00FA433F" w:rsidRDefault="008A4C15">
      <w:pPr>
        <w:rPr>
          <w:noProof/>
        </w:rPr>
        <w:sectPr w:rsidR="008A4C15" w:rsidRPr="00FA433F" w:rsidSect="007E5C27">
          <w:pgSz w:w="11907" w:h="16840" w:code="1"/>
          <w:pgMar w:top="1134" w:right="1418" w:bottom="1134" w:left="1418" w:header="709" w:footer="709" w:gutter="0"/>
          <w:cols w:space="708"/>
          <w:docGrid w:linePitch="360"/>
        </w:sectPr>
      </w:pPr>
    </w:p>
    <w:p w14:paraId="24FC4D34" w14:textId="77777777" w:rsidR="008A4C15" w:rsidRPr="00FA433F" w:rsidRDefault="008A4C15">
      <w:pPr>
        <w:pStyle w:val="ManualHeading2"/>
        <w:rPr>
          <w:bCs/>
          <w:noProof/>
          <w:szCs w:val="24"/>
        </w:rPr>
      </w:pPr>
      <w:bookmarkStart w:id="126" w:name="_Toc514938052"/>
      <w:bookmarkStart w:id="127" w:name="_Toc520485051"/>
      <w:bookmarkStart w:id="128" w:name="_Toc160804593"/>
      <w:bookmarkStart w:id="129" w:name="_Toc167220285"/>
      <w:bookmarkStart w:id="130" w:name="_Toc177549018"/>
      <w:r w:rsidRPr="00FA433F">
        <w:rPr>
          <w:noProof/>
        </w:rPr>
        <w:lastRenderedPageBreak/>
        <w:t>3.2.</w:t>
      </w:r>
      <w:r w:rsidRPr="00FA433F">
        <w:rPr>
          <w:noProof/>
        </w:rPr>
        <w:tab/>
        <w:t>Szacunkowy wpływ finansowy wniosku na środki</w:t>
      </w:r>
      <w:bookmarkEnd w:id="126"/>
      <w:bookmarkEnd w:id="127"/>
      <w:bookmarkEnd w:id="128"/>
      <w:bookmarkEnd w:id="129"/>
      <w:bookmarkEnd w:id="130"/>
      <w:r w:rsidRPr="00FA433F">
        <w:rPr>
          <w:noProof/>
        </w:rPr>
        <w:t xml:space="preserve"> </w:t>
      </w:r>
    </w:p>
    <w:p w14:paraId="7E2A963C" w14:textId="77777777" w:rsidR="008A4C15" w:rsidRPr="00FA433F" w:rsidRDefault="008A4C15">
      <w:pPr>
        <w:pStyle w:val="ManualHeading3"/>
        <w:rPr>
          <w:noProof/>
        </w:rPr>
      </w:pPr>
      <w:bookmarkStart w:id="131" w:name="_Toc514938053"/>
      <w:bookmarkStart w:id="132" w:name="_Toc520485052"/>
      <w:bookmarkStart w:id="133" w:name="_Toc160804594"/>
      <w:bookmarkStart w:id="134" w:name="_Toc167220286"/>
      <w:bookmarkStart w:id="135" w:name="_Toc177549019"/>
      <w:r w:rsidRPr="00FA433F">
        <w:rPr>
          <w:noProof/>
        </w:rPr>
        <w:t>3.2.1.</w:t>
      </w:r>
      <w:r w:rsidRPr="00FA433F">
        <w:rPr>
          <w:noProof/>
        </w:rPr>
        <w:tab/>
        <w:t>Podsumowanie szacunkowego wpływu na środki operacyjne</w:t>
      </w:r>
      <w:bookmarkEnd w:id="131"/>
      <w:bookmarkEnd w:id="132"/>
      <w:bookmarkEnd w:id="133"/>
      <w:bookmarkEnd w:id="134"/>
      <w:bookmarkEnd w:id="135"/>
      <w:r w:rsidRPr="00FA433F">
        <w:rPr>
          <w:noProof/>
        </w:rPr>
        <w:t xml:space="preserve"> </w:t>
      </w:r>
    </w:p>
    <w:p w14:paraId="42D2790A" w14:textId="2FC2E37F" w:rsidR="008A4C15" w:rsidRPr="00FA433F" w:rsidRDefault="008A4C15">
      <w:pPr>
        <w:pStyle w:val="ListDash1"/>
        <w:rPr>
          <w:noProof/>
        </w:rPr>
      </w:pPr>
      <w:r w:rsidRPr="00FA433F">
        <w:rPr>
          <w:rFonts w:ascii="Wingdings" w:hAnsi="Wingdings"/>
          <w:noProof/>
        </w:rPr>
        <w:t></w:t>
      </w:r>
      <w:r w:rsidRPr="00FA433F">
        <w:rPr>
          <w:noProof/>
        </w:rPr>
        <w:tab/>
        <w:t>Wniosek/inicjatywa nie wiąże się</w:t>
      </w:r>
      <w:r w:rsidR="00FA433F" w:rsidRPr="00FA433F">
        <w:rPr>
          <w:noProof/>
        </w:rPr>
        <w:t xml:space="preserve"> z</w:t>
      </w:r>
      <w:r w:rsidR="00FA433F">
        <w:rPr>
          <w:noProof/>
        </w:rPr>
        <w:t> </w:t>
      </w:r>
      <w:r w:rsidR="00FA433F" w:rsidRPr="00FA433F">
        <w:rPr>
          <w:noProof/>
        </w:rPr>
        <w:t>kon</w:t>
      </w:r>
      <w:r w:rsidRPr="00FA433F">
        <w:rPr>
          <w:noProof/>
        </w:rPr>
        <w:t xml:space="preserve">iecznością wykorzystania środków operacyjnych </w:t>
      </w:r>
    </w:p>
    <w:p w14:paraId="1F7A52D2" w14:textId="6331D3BE" w:rsidR="008A4C15" w:rsidRPr="00FA433F" w:rsidRDefault="00B83D22">
      <w:pPr>
        <w:pStyle w:val="ListDash1"/>
        <w:rPr>
          <w:noProof/>
        </w:rPr>
      </w:pPr>
      <w:r w:rsidRPr="00FA433F">
        <w:rPr>
          <w:rFonts w:ascii="Wingdings" w:hAnsi="Wingdings"/>
          <w:noProof/>
        </w:rPr>
        <w:t></w:t>
      </w:r>
      <w:r w:rsidRPr="00FA433F">
        <w:rPr>
          <w:noProof/>
        </w:rPr>
        <w:tab/>
        <w:t>Wniosek/inicjatywa wiąże się</w:t>
      </w:r>
      <w:r w:rsidR="00FA433F" w:rsidRPr="00FA433F">
        <w:rPr>
          <w:noProof/>
        </w:rPr>
        <w:t xml:space="preserve"> z</w:t>
      </w:r>
      <w:r w:rsidR="00FA433F">
        <w:rPr>
          <w:noProof/>
        </w:rPr>
        <w:t> </w:t>
      </w:r>
      <w:r w:rsidR="00FA433F" w:rsidRPr="00FA433F">
        <w:rPr>
          <w:noProof/>
        </w:rPr>
        <w:t>kon</w:t>
      </w:r>
      <w:r w:rsidRPr="00FA433F">
        <w:rPr>
          <w:noProof/>
        </w:rPr>
        <w:t>iecznością wykorzystania środków operacyjnych, jak określono poniżej</w:t>
      </w:r>
    </w:p>
    <w:p w14:paraId="32C80221" w14:textId="40FCF58A" w:rsidR="008A4C15" w:rsidRPr="00FA433F" w:rsidRDefault="008A4C15">
      <w:pPr>
        <w:pStyle w:val="ManualHeading3"/>
        <w:rPr>
          <w:noProof/>
        </w:rPr>
      </w:pPr>
      <w:bookmarkStart w:id="136" w:name="_Toc160804595"/>
      <w:bookmarkStart w:id="137" w:name="_Toc167220287"/>
      <w:bookmarkStart w:id="138" w:name="_Toc177549020"/>
      <w:r w:rsidRPr="00FA433F">
        <w:rPr>
          <w:noProof/>
        </w:rPr>
        <w:t>3.2.1.1.</w:t>
      </w:r>
      <w:r w:rsidRPr="00FA433F">
        <w:rPr>
          <w:noProof/>
        </w:rPr>
        <w:tab/>
        <w:t>Środki</w:t>
      </w:r>
      <w:r w:rsidR="00FA433F" w:rsidRPr="00FA433F">
        <w:rPr>
          <w:noProof/>
        </w:rPr>
        <w:t xml:space="preserve"> z</w:t>
      </w:r>
      <w:r w:rsidR="00FA433F">
        <w:rPr>
          <w:noProof/>
        </w:rPr>
        <w:t> </w:t>
      </w:r>
      <w:r w:rsidR="00FA433F" w:rsidRPr="00FA433F">
        <w:rPr>
          <w:noProof/>
        </w:rPr>
        <w:t>uch</w:t>
      </w:r>
      <w:r w:rsidRPr="00FA433F">
        <w:rPr>
          <w:noProof/>
        </w:rPr>
        <w:t>walonego budżetu</w:t>
      </w:r>
      <w:bookmarkEnd w:id="136"/>
      <w:bookmarkEnd w:id="137"/>
      <w:bookmarkEnd w:id="138"/>
    </w:p>
    <w:p w14:paraId="3E067C89" w14:textId="77777777" w:rsidR="00641DFB" w:rsidRPr="00FA433F" w:rsidRDefault="00641DFB" w:rsidP="00641DFB">
      <w:pPr>
        <w:jc w:val="right"/>
        <w:rPr>
          <w:noProof/>
          <w:sz w:val="18"/>
          <w:szCs w:val="18"/>
        </w:rPr>
      </w:pPr>
      <w:r w:rsidRPr="00FA433F">
        <w:rPr>
          <w:noProof/>
          <w:sz w:val="18"/>
        </w:rPr>
        <w:t>w mln EUR (do trzech miejsc po przecinku)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4D55FB" w:rsidRPr="00FA433F" w14:paraId="32178B06" w14:textId="77777777">
        <w:trPr>
          <w:jc w:val="center"/>
        </w:trPr>
        <w:tc>
          <w:tcPr>
            <w:tcW w:w="1739" w:type="pct"/>
            <w:shd w:val="thinDiagStripe" w:color="C0C0C0" w:fill="auto"/>
            <w:vAlign w:val="center"/>
          </w:tcPr>
          <w:p w14:paraId="19E477BA" w14:textId="77777777" w:rsidR="008A4C15" w:rsidRPr="00FA433F" w:rsidRDefault="008A4C15">
            <w:pPr>
              <w:spacing w:before="60" w:after="60"/>
              <w:jc w:val="center"/>
              <w:rPr>
                <w:b/>
                <w:noProof/>
              </w:rPr>
            </w:pPr>
            <w:r w:rsidRPr="00FA433F">
              <w:rPr>
                <w:noProof/>
              </w:rPr>
              <w:br w:type="page"/>
            </w:r>
            <w:r w:rsidRPr="00FA433F">
              <w:rPr>
                <w:b/>
                <w:noProof/>
                <w:sz w:val="22"/>
              </w:rPr>
              <w:t xml:space="preserve">Dział wieloletnich ram finansowych </w:t>
            </w:r>
          </w:p>
        </w:tc>
        <w:tc>
          <w:tcPr>
            <w:tcW w:w="396" w:type="pct"/>
            <w:shd w:val="thinDiagStripe" w:color="C0C0C0" w:fill="auto"/>
            <w:vAlign w:val="center"/>
          </w:tcPr>
          <w:p w14:paraId="6CD1D9E2" w14:textId="77777777" w:rsidR="008A4C15" w:rsidRPr="00FA433F" w:rsidRDefault="008A4C15">
            <w:pPr>
              <w:spacing w:before="60" w:after="60"/>
              <w:jc w:val="center"/>
              <w:rPr>
                <w:noProof/>
              </w:rPr>
            </w:pPr>
            <w:r w:rsidRPr="00FA433F">
              <w:rPr>
                <w:b/>
                <w:noProof/>
                <w:sz w:val="22"/>
              </w:rPr>
              <w:t>7</w:t>
            </w:r>
          </w:p>
        </w:tc>
        <w:tc>
          <w:tcPr>
            <w:tcW w:w="2865" w:type="pct"/>
            <w:vAlign w:val="center"/>
          </w:tcPr>
          <w:p w14:paraId="49A09F99" w14:textId="77777777" w:rsidR="008A4C15" w:rsidRPr="00FA433F" w:rsidRDefault="008A4C15">
            <w:pPr>
              <w:spacing w:before="60" w:after="60"/>
              <w:rPr>
                <w:noProof/>
              </w:rPr>
            </w:pPr>
            <w:r w:rsidRPr="00FA433F">
              <w:rPr>
                <w:noProof/>
                <w:sz w:val="22"/>
              </w:rPr>
              <w:t>„Wydatki administracyjne”</w:t>
            </w:r>
            <w:r w:rsidRPr="00FA433F">
              <w:rPr>
                <w:noProof/>
              </w:rPr>
              <w:t xml:space="preserve"> </w:t>
            </w:r>
          </w:p>
        </w:tc>
      </w:tr>
    </w:tbl>
    <w:p w14:paraId="4C3D21DF" w14:textId="77777777" w:rsidR="008A4C15" w:rsidRPr="00FA433F" w:rsidRDefault="008A4C15">
      <w:pPr>
        <w:jc w:val="left"/>
        <w:rPr>
          <w:noProof/>
        </w:rPr>
      </w:pPr>
    </w:p>
    <w:tbl>
      <w:tblPr>
        <w:tblW w:w="5000" w:type="pct"/>
        <w:tblLook w:val="04A0" w:firstRow="1" w:lastRow="0" w:firstColumn="1" w:lastColumn="0" w:noHBand="0" w:noVBand="1"/>
      </w:tblPr>
      <w:tblGrid>
        <w:gridCol w:w="4297"/>
        <w:gridCol w:w="2421"/>
        <w:gridCol w:w="602"/>
        <w:gridCol w:w="604"/>
        <w:gridCol w:w="975"/>
        <w:gridCol w:w="975"/>
        <w:gridCol w:w="975"/>
        <w:gridCol w:w="976"/>
        <w:gridCol w:w="976"/>
        <w:gridCol w:w="1183"/>
      </w:tblGrid>
      <w:tr w:rsidR="00C435DF" w:rsidRPr="00FA433F" w14:paraId="12F04696" w14:textId="77777777" w:rsidTr="00E92D77">
        <w:trPr>
          <w:trHeight w:val="288"/>
        </w:trPr>
        <w:tc>
          <w:tcPr>
            <w:tcW w:w="2826" w:type="pct"/>
            <w:gridSpan w:val="4"/>
            <w:vMerge w:val="restart"/>
            <w:tcBorders>
              <w:top w:val="single" w:sz="8" w:space="0" w:color="auto"/>
              <w:left w:val="single" w:sz="8" w:space="0" w:color="auto"/>
              <w:bottom w:val="single" w:sz="8" w:space="0" w:color="auto"/>
              <w:right w:val="single" w:sz="8" w:space="0" w:color="auto"/>
            </w:tcBorders>
            <w:vAlign w:val="center"/>
            <w:hideMark/>
          </w:tcPr>
          <w:p w14:paraId="604946CB" w14:textId="34340A6E" w:rsidR="00C435DF" w:rsidRPr="00FA433F" w:rsidRDefault="00694DBB" w:rsidP="00C435DF">
            <w:pPr>
              <w:spacing w:before="0" w:after="0"/>
              <w:jc w:val="center"/>
              <w:rPr>
                <w:b/>
                <w:bCs/>
                <w:noProof/>
                <w:szCs w:val="24"/>
              </w:rPr>
            </w:pPr>
            <w:r w:rsidRPr="00FA433F">
              <w:rPr>
                <w:b/>
                <w:noProof/>
                <w:sz w:val="22"/>
              </w:rPr>
              <w:t>DG ds. Działań</w:t>
            </w:r>
            <w:r w:rsidR="00FA433F" w:rsidRPr="00FA433F">
              <w:rPr>
                <w:b/>
                <w:noProof/>
                <w:sz w:val="22"/>
              </w:rPr>
              <w:t xml:space="preserve"> w</w:t>
            </w:r>
            <w:r w:rsidR="00FA433F">
              <w:rPr>
                <w:b/>
                <w:noProof/>
                <w:sz w:val="22"/>
              </w:rPr>
              <w:t> </w:t>
            </w:r>
            <w:r w:rsidR="00FA433F" w:rsidRPr="00FA433F">
              <w:rPr>
                <w:b/>
                <w:noProof/>
                <w:sz w:val="22"/>
              </w:rPr>
              <w:t>dzi</w:t>
            </w:r>
            <w:r w:rsidRPr="00FA433F">
              <w:rPr>
                <w:b/>
                <w:noProof/>
                <w:sz w:val="22"/>
              </w:rPr>
              <w:t>edzinie Klimatu/DG ds. Podatków</w:t>
            </w:r>
            <w:r w:rsidR="00FA433F" w:rsidRPr="00FA433F">
              <w:rPr>
                <w:b/>
                <w:noProof/>
                <w:sz w:val="22"/>
              </w:rPr>
              <w:t xml:space="preserve"> i</w:t>
            </w:r>
            <w:r w:rsidR="00FA433F">
              <w:rPr>
                <w:b/>
                <w:noProof/>
                <w:sz w:val="22"/>
              </w:rPr>
              <w:t> </w:t>
            </w:r>
            <w:r w:rsidR="00FA433F" w:rsidRPr="00FA433F">
              <w:rPr>
                <w:b/>
                <w:noProof/>
                <w:sz w:val="22"/>
              </w:rPr>
              <w:t>Uni</w:t>
            </w:r>
            <w:r w:rsidRPr="00FA433F">
              <w:rPr>
                <w:b/>
                <w:noProof/>
                <w:sz w:val="22"/>
              </w:rPr>
              <w:t>i Celnej</w:t>
            </w:r>
          </w:p>
        </w:tc>
        <w:tc>
          <w:tcPr>
            <w:tcW w:w="350" w:type="pct"/>
            <w:tcBorders>
              <w:top w:val="single" w:sz="8" w:space="0" w:color="auto"/>
              <w:left w:val="nil"/>
              <w:bottom w:val="nil"/>
              <w:right w:val="single" w:sz="8" w:space="0" w:color="auto"/>
            </w:tcBorders>
            <w:vAlign w:val="center"/>
            <w:hideMark/>
          </w:tcPr>
          <w:p w14:paraId="762DD154" w14:textId="77777777" w:rsidR="00C435DF" w:rsidRPr="00FA433F" w:rsidRDefault="00C435DF" w:rsidP="00C435DF">
            <w:pPr>
              <w:spacing w:before="0" w:after="0"/>
              <w:jc w:val="center"/>
              <w:rPr>
                <w:noProof/>
                <w:sz w:val="20"/>
                <w:szCs w:val="20"/>
              </w:rPr>
            </w:pPr>
            <w:r w:rsidRPr="00FA433F">
              <w:rPr>
                <w:noProof/>
                <w:sz w:val="20"/>
              </w:rPr>
              <w:t>Rok</w:t>
            </w:r>
          </w:p>
        </w:tc>
        <w:tc>
          <w:tcPr>
            <w:tcW w:w="350" w:type="pct"/>
            <w:tcBorders>
              <w:top w:val="single" w:sz="8" w:space="0" w:color="auto"/>
              <w:left w:val="nil"/>
              <w:bottom w:val="nil"/>
              <w:right w:val="single" w:sz="8" w:space="0" w:color="auto"/>
            </w:tcBorders>
            <w:vAlign w:val="center"/>
            <w:hideMark/>
          </w:tcPr>
          <w:p w14:paraId="56C47FD2" w14:textId="77777777" w:rsidR="00C435DF" w:rsidRPr="00FA433F" w:rsidRDefault="00C435DF" w:rsidP="00C435DF">
            <w:pPr>
              <w:spacing w:before="0" w:after="0"/>
              <w:jc w:val="center"/>
              <w:rPr>
                <w:noProof/>
                <w:sz w:val="20"/>
                <w:szCs w:val="20"/>
              </w:rPr>
            </w:pPr>
            <w:r w:rsidRPr="00FA433F">
              <w:rPr>
                <w:noProof/>
                <w:sz w:val="20"/>
              </w:rPr>
              <w:t>Rok</w:t>
            </w:r>
          </w:p>
        </w:tc>
        <w:tc>
          <w:tcPr>
            <w:tcW w:w="350" w:type="pct"/>
            <w:tcBorders>
              <w:top w:val="single" w:sz="8" w:space="0" w:color="auto"/>
              <w:left w:val="nil"/>
              <w:bottom w:val="nil"/>
              <w:right w:val="single" w:sz="4" w:space="0" w:color="auto"/>
            </w:tcBorders>
            <w:vAlign w:val="center"/>
            <w:hideMark/>
          </w:tcPr>
          <w:p w14:paraId="4B688251" w14:textId="77777777" w:rsidR="00C435DF" w:rsidRPr="00FA433F" w:rsidRDefault="00C435DF" w:rsidP="00C435DF">
            <w:pPr>
              <w:spacing w:before="0" w:after="0"/>
              <w:jc w:val="center"/>
              <w:rPr>
                <w:noProof/>
                <w:sz w:val="20"/>
                <w:szCs w:val="20"/>
              </w:rPr>
            </w:pPr>
            <w:r w:rsidRPr="00FA433F">
              <w:rPr>
                <w:noProof/>
                <w:sz w:val="20"/>
              </w:rPr>
              <w:t>Rok</w:t>
            </w:r>
          </w:p>
        </w:tc>
        <w:tc>
          <w:tcPr>
            <w:tcW w:w="350" w:type="pct"/>
            <w:tcBorders>
              <w:top w:val="single" w:sz="4" w:space="0" w:color="auto"/>
              <w:left w:val="single" w:sz="4" w:space="0" w:color="auto"/>
              <w:bottom w:val="nil"/>
              <w:right w:val="single" w:sz="4" w:space="0" w:color="auto"/>
            </w:tcBorders>
            <w:vAlign w:val="center"/>
          </w:tcPr>
          <w:p w14:paraId="035C2DE7" w14:textId="77777777" w:rsidR="00C435DF" w:rsidRPr="00FA433F" w:rsidRDefault="00C435DF" w:rsidP="00C435DF">
            <w:pPr>
              <w:spacing w:before="0" w:after="0"/>
              <w:jc w:val="center"/>
              <w:rPr>
                <w:noProof/>
                <w:sz w:val="20"/>
                <w:szCs w:val="20"/>
              </w:rPr>
            </w:pPr>
            <w:r w:rsidRPr="00FA433F">
              <w:rPr>
                <w:noProof/>
                <w:sz w:val="20"/>
              </w:rPr>
              <w:t>Rok</w:t>
            </w:r>
          </w:p>
        </w:tc>
        <w:tc>
          <w:tcPr>
            <w:tcW w:w="350" w:type="pct"/>
            <w:tcBorders>
              <w:top w:val="single" w:sz="8" w:space="0" w:color="auto"/>
              <w:left w:val="single" w:sz="4" w:space="0" w:color="auto"/>
              <w:bottom w:val="nil"/>
              <w:right w:val="single" w:sz="8" w:space="0" w:color="auto"/>
            </w:tcBorders>
            <w:vAlign w:val="center"/>
            <w:hideMark/>
          </w:tcPr>
          <w:p w14:paraId="0259AD8B" w14:textId="77777777" w:rsidR="00C435DF" w:rsidRPr="00FA433F" w:rsidRDefault="00C435DF" w:rsidP="00C435DF">
            <w:pPr>
              <w:spacing w:before="0" w:after="0"/>
              <w:jc w:val="center"/>
              <w:rPr>
                <w:noProof/>
                <w:sz w:val="20"/>
                <w:szCs w:val="20"/>
              </w:rPr>
            </w:pPr>
            <w:r w:rsidRPr="00FA433F">
              <w:rPr>
                <w:noProof/>
                <w:sz w:val="20"/>
              </w:rPr>
              <w:t>Rok</w:t>
            </w:r>
          </w:p>
        </w:tc>
        <w:tc>
          <w:tcPr>
            <w:tcW w:w="425" w:type="pct"/>
            <w:vMerge w:val="restart"/>
            <w:tcBorders>
              <w:top w:val="single" w:sz="8" w:space="0" w:color="auto"/>
              <w:left w:val="single" w:sz="8" w:space="0" w:color="auto"/>
              <w:bottom w:val="single" w:sz="8" w:space="0" w:color="000000"/>
              <w:right w:val="single" w:sz="8" w:space="0" w:color="auto"/>
            </w:tcBorders>
            <w:vAlign w:val="center"/>
            <w:hideMark/>
          </w:tcPr>
          <w:p w14:paraId="456370EE" w14:textId="77777777" w:rsidR="00C435DF" w:rsidRPr="00FA433F" w:rsidRDefault="00C435DF" w:rsidP="00C435DF">
            <w:pPr>
              <w:spacing w:before="0" w:after="0"/>
              <w:jc w:val="center"/>
              <w:rPr>
                <w:b/>
                <w:bCs/>
                <w:noProof/>
                <w:sz w:val="20"/>
                <w:szCs w:val="20"/>
              </w:rPr>
            </w:pPr>
            <w:r w:rsidRPr="00FA433F">
              <w:rPr>
                <w:b/>
                <w:noProof/>
                <w:sz w:val="20"/>
              </w:rPr>
              <w:t>OGÓŁEM 2026–2030</w:t>
            </w:r>
          </w:p>
        </w:tc>
      </w:tr>
      <w:tr w:rsidR="00C435DF" w:rsidRPr="00FA433F" w14:paraId="47F1A752" w14:textId="77777777" w:rsidTr="00E92D77">
        <w:trPr>
          <w:trHeight w:val="300"/>
        </w:trPr>
        <w:tc>
          <w:tcPr>
            <w:tcW w:w="2826" w:type="pct"/>
            <w:gridSpan w:val="4"/>
            <w:vMerge/>
            <w:tcBorders>
              <w:top w:val="single" w:sz="8" w:space="0" w:color="auto"/>
              <w:left w:val="single" w:sz="8" w:space="0" w:color="auto"/>
              <w:bottom w:val="single" w:sz="8" w:space="0" w:color="auto"/>
              <w:right w:val="single" w:sz="8" w:space="0" w:color="auto"/>
            </w:tcBorders>
            <w:vAlign w:val="center"/>
            <w:hideMark/>
          </w:tcPr>
          <w:p w14:paraId="26D0B718" w14:textId="77777777" w:rsidR="00C435DF" w:rsidRPr="00FA433F" w:rsidRDefault="00C435DF" w:rsidP="00C435DF">
            <w:pPr>
              <w:spacing w:before="0" w:after="0"/>
              <w:jc w:val="left"/>
              <w:rPr>
                <w:noProof/>
                <w:szCs w:val="24"/>
                <w:lang w:eastAsia="en-IE"/>
              </w:rPr>
            </w:pPr>
          </w:p>
        </w:tc>
        <w:tc>
          <w:tcPr>
            <w:tcW w:w="350" w:type="pct"/>
            <w:tcBorders>
              <w:top w:val="nil"/>
              <w:left w:val="nil"/>
              <w:bottom w:val="single" w:sz="8" w:space="0" w:color="auto"/>
              <w:right w:val="single" w:sz="8" w:space="0" w:color="auto"/>
            </w:tcBorders>
            <w:vAlign w:val="center"/>
            <w:hideMark/>
          </w:tcPr>
          <w:p w14:paraId="300CDBF3" w14:textId="77777777" w:rsidR="00C435DF" w:rsidRPr="00FA433F" w:rsidRDefault="00C435DF" w:rsidP="00C435DF">
            <w:pPr>
              <w:spacing w:before="0" w:after="0"/>
              <w:jc w:val="center"/>
              <w:rPr>
                <w:b/>
                <w:bCs/>
                <w:noProof/>
                <w:sz w:val="20"/>
                <w:szCs w:val="20"/>
              </w:rPr>
            </w:pPr>
            <w:r w:rsidRPr="00FA433F">
              <w:rPr>
                <w:b/>
                <w:noProof/>
                <w:sz w:val="20"/>
              </w:rPr>
              <w:t>2026</w:t>
            </w:r>
          </w:p>
        </w:tc>
        <w:tc>
          <w:tcPr>
            <w:tcW w:w="350" w:type="pct"/>
            <w:tcBorders>
              <w:top w:val="nil"/>
              <w:left w:val="nil"/>
              <w:bottom w:val="single" w:sz="8" w:space="0" w:color="auto"/>
              <w:right w:val="single" w:sz="8" w:space="0" w:color="auto"/>
            </w:tcBorders>
            <w:vAlign w:val="center"/>
            <w:hideMark/>
          </w:tcPr>
          <w:p w14:paraId="785ED702" w14:textId="77777777" w:rsidR="00C435DF" w:rsidRPr="00FA433F" w:rsidRDefault="00C435DF" w:rsidP="00C435DF">
            <w:pPr>
              <w:spacing w:before="0" w:after="0"/>
              <w:jc w:val="center"/>
              <w:rPr>
                <w:b/>
                <w:bCs/>
                <w:noProof/>
                <w:sz w:val="20"/>
                <w:szCs w:val="20"/>
              </w:rPr>
            </w:pPr>
            <w:r w:rsidRPr="00FA433F">
              <w:rPr>
                <w:b/>
                <w:noProof/>
                <w:sz w:val="20"/>
              </w:rPr>
              <w:t>2027</w:t>
            </w:r>
          </w:p>
        </w:tc>
        <w:tc>
          <w:tcPr>
            <w:tcW w:w="350" w:type="pct"/>
            <w:tcBorders>
              <w:top w:val="nil"/>
              <w:left w:val="nil"/>
              <w:bottom w:val="single" w:sz="8" w:space="0" w:color="auto"/>
              <w:right w:val="single" w:sz="4" w:space="0" w:color="auto"/>
            </w:tcBorders>
            <w:vAlign w:val="center"/>
            <w:hideMark/>
          </w:tcPr>
          <w:p w14:paraId="696B70D8" w14:textId="77777777" w:rsidR="00C435DF" w:rsidRPr="00FA433F" w:rsidRDefault="00C435DF" w:rsidP="00C435DF">
            <w:pPr>
              <w:spacing w:before="0" w:after="0"/>
              <w:jc w:val="center"/>
              <w:rPr>
                <w:b/>
                <w:bCs/>
                <w:noProof/>
                <w:sz w:val="20"/>
                <w:szCs w:val="20"/>
              </w:rPr>
            </w:pPr>
            <w:r w:rsidRPr="00FA433F">
              <w:rPr>
                <w:b/>
                <w:noProof/>
                <w:sz w:val="20"/>
              </w:rPr>
              <w:t>2028</w:t>
            </w:r>
          </w:p>
        </w:tc>
        <w:tc>
          <w:tcPr>
            <w:tcW w:w="350" w:type="pct"/>
            <w:tcBorders>
              <w:top w:val="nil"/>
              <w:left w:val="single" w:sz="4" w:space="0" w:color="auto"/>
              <w:bottom w:val="single" w:sz="8" w:space="0" w:color="auto"/>
              <w:right w:val="single" w:sz="4" w:space="0" w:color="auto"/>
            </w:tcBorders>
            <w:vAlign w:val="center"/>
          </w:tcPr>
          <w:p w14:paraId="59D4F7E4" w14:textId="77777777" w:rsidR="00C435DF" w:rsidRPr="00FA433F" w:rsidRDefault="00C435DF" w:rsidP="00C435DF">
            <w:pPr>
              <w:spacing w:before="0" w:after="0"/>
              <w:jc w:val="center"/>
              <w:rPr>
                <w:b/>
                <w:bCs/>
                <w:noProof/>
                <w:sz w:val="20"/>
                <w:szCs w:val="20"/>
              </w:rPr>
            </w:pPr>
            <w:r w:rsidRPr="00FA433F">
              <w:rPr>
                <w:b/>
                <w:noProof/>
                <w:sz w:val="20"/>
              </w:rPr>
              <w:t>2029</w:t>
            </w:r>
          </w:p>
        </w:tc>
        <w:tc>
          <w:tcPr>
            <w:tcW w:w="350" w:type="pct"/>
            <w:tcBorders>
              <w:top w:val="nil"/>
              <w:left w:val="single" w:sz="4" w:space="0" w:color="auto"/>
              <w:bottom w:val="single" w:sz="8" w:space="0" w:color="auto"/>
              <w:right w:val="single" w:sz="8" w:space="0" w:color="auto"/>
            </w:tcBorders>
            <w:vAlign w:val="center"/>
            <w:hideMark/>
          </w:tcPr>
          <w:p w14:paraId="5A36D578" w14:textId="77777777" w:rsidR="00C435DF" w:rsidRPr="00FA433F" w:rsidRDefault="00C435DF" w:rsidP="00C435DF">
            <w:pPr>
              <w:spacing w:before="0" w:after="0"/>
              <w:jc w:val="center"/>
              <w:rPr>
                <w:b/>
                <w:bCs/>
                <w:noProof/>
                <w:sz w:val="20"/>
                <w:szCs w:val="20"/>
              </w:rPr>
            </w:pPr>
            <w:r w:rsidRPr="00FA433F">
              <w:rPr>
                <w:b/>
                <w:noProof/>
                <w:sz w:val="20"/>
              </w:rPr>
              <w:t>2030</w:t>
            </w:r>
          </w:p>
        </w:tc>
        <w:tc>
          <w:tcPr>
            <w:tcW w:w="425" w:type="pct"/>
            <w:vMerge/>
            <w:tcBorders>
              <w:top w:val="single" w:sz="8" w:space="0" w:color="auto"/>
              <w:left w:val="single" w:sz="8" w:space="0" w:color="auto"/>
              <w:bottom w:val="single" w:sz="8" w:space="0" w:color="000000"/>
              <w:right w:val="single" w:sz="8" w:space="0" w:color="auto"/>
            </w:tcBorders>
            <w:vAlign w:val="center"/>
            <w:hideMark/>
          </w:tcPr>
          <w:p w14:paraId="04A84F2A" w14:textId="77777777" w:rsidR="00C435DF" w:rsidRPr="00FA433F" w:rsidRDefault="00C435DF" w:rsidP="00C435DF">
            <w:pPr>
              <w:spacing w:before="0" w:after="0"/>
              <w:jc w:val="left"/>
              <w:rPr>
                <w:b/>
                <w:bCs/>
                <w:noProof/>
                <w:sz w:val="20"/>
                <w:szCs w:val="20"/>
                <w:lang w:eastAsia="en-IE"/>
              </w:rPr>
            </w:pPr>
          </w:p>
        </w:tc>
      </w:tr>
      <w:tr w:rsidR="00C435DF" w:rsidRPr="00FA433F" w14:paraId="6EED65C2" w14:textId="77777777" w:rsidTr="00DA1F32">
        <w:trPr>
          <w:trHeight w:val="300"/>
        </w:trPr>
        <w:tc>
          <w:tcPr>
            <w:tcW w:w="2826" w:type="pct"/>
            <w:gridSpan w:val="4"/>
            <w:tcBorders>
              <w:top w:val="single" w:sz="8" w:space="0" w:color="auto"/>
              <w:left w:val="single" w:sz="8" w:space="0" w:color="auto"/>
              <w:bottom w:val="single" w:sz="8" w:space="0" w:color="auto"/>
              <w:right w:val="single" w:sz="8" w:space="0" w:color="auto"/>
            </w:tcBorders>
            <w:vAlign w:val="center"/>
            <w:hideMark/>
          </w:tcPr>
          <w:p w14:paraId="1CACBCF3" w14:textId="77777777" w:rsidR="00C435DF" w:rsidRPr="00FA433F" w:rsidRDefault="00C435DF">
            <w:pPr>
              <w:spacing w:before="0" w:after="0"/>
              <w:jc w:val="left"/>
              <w:rPr>
                <w:rFonts w:ascii="Wingdings" w:hAnsi="Wingdings" w:cs="Calibri"/>
                <w:noProof/>
                <w:sz w:val="22"/>
              </w:rPr>
            </w:pPr>
            <w:r w:rsidRPr="00FA433F">
              <w:rPr>
                <w:rFonts w:ascii="Wingdings" w:hAnsi="Wingdings"/>
                <w:noProof/>
                <w:sz w:val="22"/>
              </w:rPr>
              <w:t></w:t>
            </w:r>
            <w:r w:rsidRPr="00FA433F">
              <w:rPr>
                <w:noProof/>
              </w:rPr>
              <w:t xml:space="preserve"> Zasoby ludzkie</w:t>
            </w:r>
            <w:r w:rsidRPr="00FA433F">
              <w:rPr>
                <w:noProof/>
                <w:sz w:val="22"/>
              </w:rPr>
              <w:t xml:space="preserve"> </w:t>
            </w:r>
          </w:p>
        </w:tc>
        <w:tc>
          <w:tcPr>
            <w:tcW w:w="350" w:type="pct"/>
            <w:tcBorders>
              <w:top w:val="nil"/>
              <w:left w:val="nil"/>
              <w:bottom w:val="single" w:sz="8" w:space="0" w:color="auto"/>
              <w:right w:val="single" w:sz="8" w:space="0" w:color="auto"/>
            </w:tcBorders>
            <w:shd w:val="clear" w:color="000000" w:fill="D9D9D9"/>
            <w:vAlign w:val="center"/>
            <w:hideMark/>
          </w:tcPr>
          <w:p w14:paraId="29D966AF" w14:textId="77777777" w:rsidR="00C435DF" w:rsidRPr="00FA433F" w:rsidRDefault="00D52BEC">
            <w:pPr>
              <w:spacing w:before="0" w:after="0"/>
              <w:jc w:val="right"/>
              <w:rPr>
                <w:noProof/>
                <w:sz w:val="20"/>
                <w:szCs w:val="20"/>
              </w:rPr>
            </w:pPr>
            <w:r w:rsidRPr="00FA433F">
              <w:rPr>
                <w:noProof/>
                <w:sz w:val="20"/>
              </w:rPr>
              <w:t>0,808</w:t>
            </w:r>
          </w:p>
        </w:tc>
        <w:tc>
          <w:tcPr>
            <w:tcW w:w="350" w:type="pct"/>
            <w:tcBorders>
              <w:top w:val="nil"/>
              <w:left w:val="nil"/>
              <w:bottom w:val="single" w:sz="8" w:space="0" w:color="auto"/>
              <w:right w:val="single" w:sz="8" w:space="0" w:color="auto"/>
            </w:tcBorders>
            <w:shd w:val="clear" w:color="000000" w:fill="D9D9D9"/>
            <w:vAlign w:val="center"/>
            <w:hideMark/>
          </w:tcPr>
          <w:p w14:paraId="14450817" w14:textId="77777777" w:rsidR="00C435DF" w:rsidRPr="00FA433F" w:rsidRDefault="00C435DF">
            <w:pPr>
              <w:spacing w:before="0" w:after="0"/>
              <w:jc w:val="right"/>
              <w:rPr>
                <w:noProof/>
                <w:sz w:val="20"/>
                <w:szCs w:val="20"/>
              </w:rPr>
            </w:pPr>
            <w:r w:rsidRPr="00FA433F">
              <w:rPr>
                <w:noProof/>
                <w:sz w:val="20"/>
              </w:rPr>
              <w:t>0,909</w:t>
            </w:r>
          </w:p>
        </w:tc>
        <w:tc>
          <w:tcPr>
            <w:tcW w:w="350" w:type="pct"/>
            <w:tcBorders>
              <w:top w:val="nil"/>
              <w:left w:val="nil"/>
              <w:bottom w:val="single" w:sz="8" w:space="0" w:color="auto"/>
              <w:right w:val="single" w:sz="4" w:space="0" w:color="auto"/>
            </w:tcBorders>
            <w:shd w:val="clear" w:color="000000" w:fill="D9D9D9"/>
            <w:vAlign w:val="center"/>
            <w:hideMark/>
          </w:tcPr>
          <w:p w14:paraId="37541CE5" w14:textId="77777777" w:rsidR="00C435DF" w:rsidRPr="00FA433F" w:rsidRDefault="00C435DF">
            <w:pPr>
              <w:spacing w:before="0" w:after="0"/>
              <w:jc w:val="right"/>
              <w:rPr>
                <w:noProof/>
                <w:sz w:val="20"/>
                <w:szCs w:val="20"/>
              </w:rPr>
            </w:pPr>
            <w:r w:rsidRPr="00FA433F">
              <w:rPr>
                <w:noProof/>
                <w:sz w:val="20"/>
              </w:rPr>
              <w:t>0</w:t>
            </w:r>
          </w:p>
        </w:tc>
        <w:tc>
          <w:tcPr>
            <w:tcW w:w="350" w:type="pct"/>
            <w:tcBorders>
              <w:top w:val="nil"/>
              <w:left w:val="single" w:sz="4" w:space="0" w:color="auto"/>
              <w:bottom w:val="single" w:sz="8" w:space="0" w:color="auto"/>
              <w:right w:val="single" w:sz="4" w:space="0" w:color="auto"/>
            </w:tcBorders>
            <w:shd w:val="clear" w:color="000000" w:fill="D9D9D9"/>
            <w:vAlign w:val="center"/>
          </w:tcPr>
          <w:p w14:paraId="30E53C0F" w14:textId="77777777" w:rsidR="00C435DF" w:rsidRPr="00FA433F" w:rsidRDefault="00C435DF">
            <w:pPr>
              <w:spacing w:before="0" w:after="0"/>
              <w:jc w:val="right"/>
              <w:rPr>
                <w:noProof/>
                <w:sz w:val="20"/>
                <w:szCs w:val="20"/>
              </w:rPr>
            </w:pPr>
            <w:r w:rsidRPr="00FA433F">
              <w:rPr>
                <w:noProof/>
                <w:sz w:val="20"/>
              </w:rPr>
              <w:t>0</w:t>
            </w:r>
          </w:p>
        </w:tc>
        <w:tc>
          <w:tcPr>
            <w:tcW w:w="350" w:type="pct"/>
            <w:tcBorders>
              <w:top w:val="nil"/>
              <w:left w:val="single" w:sz="4" w:space="0" w:color="auto"/>
              <w:bottom w:val="single" w:sz="8" w:space="0" w:color="auto"/>
              <w:right w:val="single" w:sz="8" w:space="0" w:color="auto"/>
            </w:tcBorders>
            <w:shd w:val="clear" w:color="000000" w:fill="D9D9D9"/>
            <w:vAlign w:val="center"/>
            <w:hideMark/>
          </w:tcPr>
          <w:p w14:paraId="653DCE22" w14:textId="77777777" w:rsidR="00C435DF" w:rsidRPr="00FA433F" w:rsidRDefault="00C435DF">
            <w:pPr>
              <w:spacing w:before="0" w:after="0"/>
              <w:jc w:val="right"/>
              <w:rPr>
                <w:noProof/>
                <w:sz w:val="20"/>
                <w:szCs w:val="20"/>
              </w:rPr>
            </w:pPr>
            <w:r w:rsidRPr="00FA433F">
              <w:rPr>
                <w:noProof/>
                <w:sz w:val="20"/>
              </w:rPr>
              <w:t>0</w:t>
            </w:r>
          </w:p>
        </w:tc>
        <w:tc>
          <w:tcPr>
            <w:tcW w:w="425" w:type="pct"/>
            <w:tcBorders>
              <w:top w:val="nil"/>
              <w:left w:val="nil"/>
              <w:bottom w:val="single" w:sz="8" w:space="0" w:color="auto"/>
              <w:right w:val="single" w:sz="8" w:space="0" w:color="auto"/>
            </w:tcBorders>
            <w:shd w:val="clear" w:color="000000" w:fill="D9D9D9"/>
            <w:vAlign w:val="center"/>
            <w:hideMark/>
          </w:tcPr>
          <w:p w14:paraId="0F19E185" w14:textId="77777777" w:rsidR="00C435DF" w:rsidRPr="00FA433F" w:rsidRDefault="00C61EEF">
            <w:pPr>
              <w:spacing w:before="0" w:after="0"/>
              <w:jc w:val="right"/>
              <w:rPr>
                <w:b/>
                <w:bCs/>
                <w:noProof/>
                <w:sz w:val="20"/>
                <w:szCs w:val="20"/>
              </w:rPr>
            </w:pPr>
            <w:r w:rsidRPr="00FA433F">
              <w:rPr>
                <w:b/>
                <w:noProof/>
                <w:sz w:val="20"/>
              </w:rPr>
              <w:t>1,717</w:t>
            </w:r>
          </w:p>
        </w:tc>
      </w:tr>
      <w:tr w:rsidR="00C435DF" w:rsidRPr="00FA433F" w14:paraId="64F7942E" w14:textId="77777777" w:rsidTr="00DA1F32">
        <w:trPr>
          <w:trHeight w:val="300"/>
        </w:trPr>
        <w:tc>
          <w:tcPr>
            <w:tcW w:w="2826" w:type="pct"/>
            <w:gridSpan w:val="4"/>
            <w:tcBorders>
              <w:top w:val="single" w:sz="8" w:space="0" w:color="auto"/>
              <w:left w:val="single" w:sz="8" w:space="0" w:color="auto"/>
              <w:bottom w:val="single" w:sz="8" w:space="0" w:color="auto"/>
              <w:right w:val="single" w:sz="8" w:space="0" w:color="auto"/>
            </w:tcBorders>
            <w:vAlign w:val="center"/>
            <w:hideMark/>
          </w:tcPr>
          <w:p w14:paraId="2465B765" w14:textId="77777777" w:rsidR="00C435DF" w:rsidRPr="00FA433F" w:rsidRDefault="00C435DF">
            <w:pPr>
              <w:spacing w:before="0" w:after="0"/>
              <w:jc w:val="left"/>
              <w:rPr>
                <w:rFonts w:ascii="Wingdings" w:hAnsi="Wingdings" w:cs="Calibri"/>
                <w:noProof/>
                <w:sz w:val="22"/>
              </w:rPr>
            </w:pPr>
            <w:r w:rsidRPr="00FA433F">
              <w:rPr>
                <w:rFonts w:ascii="Wingdings" w:hAnsi="Wingdings"/>
                <w:noProof/>
                <w:sz w:val="22"/>
              </w:rPr>
              <w:t></w:t>
            </w:r>
            <w:r w:rsidRPr="00FA433F">
              <w:rPr>
                <w:noProof/>
              </w:rPr>
              <w:t xml:space="preserve"> Pozostałe wydatki administracyjne</w:t>
            </w:r>
            <w:r w:rsidRPr="00FA433F">
              <w:rPr>
                <w:noProof/>
                <w:sz w:val="22"/>
              </w:rPr>
              <w:t xml:space="preserve"> </w:t>
            </w:r>
          </w:p>
        </w:tc>
        <w:tc>
          <w:tcPr>
            <w:tcW w:w="350" w:type="pct"/>
            <w:tcBorders>
              <w:top w:val="nil"/>
              <w:left w:val="nil"/>
              <w:bottom w:val="single" w:sz="8" w:space="0" w:color="auto"/>
              <w:right w:val="single" w:sz="8" w:space="0" w:color="auto"/>
            </w:tcBorders>
            <w:shd w:val="clear" w:color="000000" w:fill="D9D9D9"/>
            <w:vAlign w:val="center"/>
            <w:hideMark/>
          </w:tcPr>
          <w:p w14:paraId="6D39512A" w14:textId="77777777" w:rsidR="00C435DF" w:rsidRPr="00FA433F" w:rsidRDefault="00C435DF">
            <w:pPr>
              <w:spacing w:before="0" w:after="0"/>
              <w:jc w:val="right"/>
              <w:rPr>
                <w:noProof/>
                <w:sz w:val="20"/>
                <w:szCs w:val="20"/>
              </w:rPr>
            </w:pPr>
            <w:r w:rsidRPr="00FA433F">
              <w:rPr>
                <w:noProof/>
                <w:sz w:val="20"/>
              </w:rPr>
              <w:t>0,200</w:t>
            </w:r>
          </w:p>
        </w:tc>
        <w:tc>
          <w:tcPr>
            <w:tcW w:w="350" w:type="pct"/>
            <w:tcBorders>
              <w:top w:val="nil"/>
              <w:left w:val="nil"/>
              <w:bottom w:val="single" w:sz="8" w:space="0" w:color="auto"/>
              <w:right w:val="single" w:sz="8" w:space="0" w:color="auto"/>
            </w:tcBorders>
            <w:shd w:val="clear" w:color="000000" w:fill="D9D9D9"/>
            <w:vAlign w:val="center"/>
            <w:hideMark/>
          </w:tcPr>
          <w:p w14:paraId="4AEBB04B" w14:textId="77777777" w:rsidR="00C435DF" w:rsidRPr="00FA433F" w:rsidRDefault="00C435DF">
            <w:pPr>
              <w:spacing w:before="0" w:after="0"/>
              <w:jc w:val="right"/>
              <w:rPr>
                <w:noProof/>
                <w:sz w:val="20"/>
                <w:szCs w:val="20"/>
              </w:rPr>
            </w:pPr>
            <w:r w:rsidRPr="00FA433F">
              <w:rPr>
                <w:noProof/>
                <w:sz w:val="20"/>
              </w:rPr>
              <w:t>0,200</w:t>
            </w:r>
          </w:p>
        </w:tc>
        <w:tc>
          <w:tcPr>
            <w:tcW w:w="350" w:type="pct"/>
            <w:tcBorders>
              <w:top w:val="nil"/>
              <w:left w:val="nil"/>
              <w:bottom w:val="single" w:sz="8" w:space="0" w:color="auto"/>
              <w:right w:val="single" w:sz="4" w:space="0" w:color="auto"/>
            </w:tcBorders>
            <w:shd w:val="clear" w:color="000000" w:fill="D9D9D9"/>
            <w:vAlign w:val="center"/>
            <w:hideMark/>
          </w:tcPr>
          <w:p w14:paraId="4ED706C9" w14:textId="77777777" w:rsidR="00C435DF" w:rsidRPr="00FA433F" w:rsidRDefault="00C435DF">
            <w:pPr>
              <w:spacing w:before="0" w:after="0"/>
              <w:jc w:val="right"/>
              <w:rPr>
                <w:noProof/>
                <w:sz w:val="20"/>
                <w:szCs w:val="20"/>
              </w:rPr>
            </w:pPr>
            <w:r w:rsidRPr="00FA433F">
              <w:rPr>
                <w:noProof/>
                <w:sz w:val="20"/>
              </w:rPr>
              <w:t>0</w:t>
            </w:r>
          </w:p>
        </w:tc>
        <w:tc>
          <w:tcPr>
            <w:tcW w:w="350" w:type="pct"/>
            <w:tcBorders>
              <w:top w:val="nil"/>
              <w:left w:val="single" w:sz="4" w:space="0" w:color="auto"/>
              <w:bottom w:val="single" w:sz="8" w:space="0" w:color="auto"/>
              <w:right w:val="single" w:sz="4" w:space="0" w:color="auto"/>
            </w:tcBorders>
            <w:shd w:val="clear" w:color="000000" w:fill="D9D9D9"/>
            <w:vAlign w:val="center"/>
          </w:tcPr>
          <w:p w14:paraId="2A2C292F" w14:textId="77777777" w:rsidR="00C435DF" w:rsidRPr="00FA433F" w:rsidRDefault="00C435DF">
            <w:pPr>
              <w:spacing w:before="0" w:after="0"/>
              <w:jc w:val="right"/>
              <w:rPr>
                <w:noProof/>
                <w:sz w:val="20"/>
                <w:szCs w:val="20"/>
              </w:rPr>
            </w:pPr>
            <w:r w:rsidRPr="00FA433F">
              <w:rPr>
                <w:noProof/>
                <w:sz w:val="20"/>
              </w:rPr>
              <w:t>0</w:t>
            </w:r>
          </w:p>
        </w:tc>
        <w:tc>
          <w:tcPr>
            <w:tcW w:w="350" w:type="pct"/>
            <w:tcBorders>
              <w:top w:val="nil"/>
              <w:left w:val="single" w:sz="4" w:space="0" w:color="auto"/>
              <w:bottom w:val="single" w:sz="8" w:space="0" w:color="auto"/>
              <w:right w:val="single" w:sz="8" w:space="0" w:color="auto"/>
            </w:tcBorders>
            <w:shd w:val="clear" w:color="000000" w:fill="D9D9D9"/>
            <w:vAlign w:val="center"/>
            <w:hideMark/>
          </w:tcPr>
          <w:p w14:paraId="7B34B395" w14:textId="77777777" w:rsidR="00C435DF" w:rsidRPr="00FA433F" w:rsidRDefault="00C435DF">
            <w:pPr>
              <w:spacing w:before="0" w:after="0"/>
              <w:jc w:val="right"/>
              <w:rPr>
                <w:noProof/>
                <w:sz w:val="20"/>
                <w:szCs w:val="20"/>
              </w:rPr>
            </w:pPr>
            <w:r w:rsidRPr="00FA433F">
              <w:rPr>
                <w:noProof/>
                <w:sz w:val="20"/>
              </w:rPr>
              <w:t>0</w:t>
            </w:r>
          </w:p>
        </w:tc>
        <w:tc>
          <w:tcPr>
            <w:tcW w:w="425" w:type="pct"/>
            <w:tcBorders>
              <w:top w:val="nil"/>
              <w:left w:val="nil"/>
              <w:bottom w:val="single" w:sz="8" w:space="0" w:color="auto"/>
              <w:right w:val="single" w:sz="8" w:space="0" w:color="auto"/>
            </w:tcBorders>
            <w:shd w:val="clear" w:color="000000" w:fill="D9D9D9"/>
            <w:vAlign w:val="center"/>
            <w:hideMark/>
          </w:tcPr>
          <w:p w14:paraId="2FDA4E38" w14:textId="77777777" w:rsidR="00C435DF" w:rsidRPr="00FA433F" w:rsidRDefault="00C435DF">
            <w:pPr>
              <w:spacing w:before="0" w:after="0"/>
              <w:jc w:val="right"/>
              <w:rPr>
                <w:b/>
                <w:bCs/>
                <w:noProof/>
                <w:sz w:val="20"/>
                <w:szCs w:val="20"/>
              </w:rPr>
            </w:pPr>
            <w:r w:rsidRPr="00FA433F">
              <w:rPr>
                <w:b/>
                <w:noProof/>
                <w:sz w:val="20"/>
              </w:rPr>
              <w:t>0,400</w:t>
            </w:r>
          </w:p>
        </w:tc>
      </w:tr>
      <w:tr w:rsidR="00C435DF" w:rsidRPr="00FA433F" w14:paraId="7342979F" w14:textId="77777777" w:rsidTr="00DA1F32">
        <w:trPr>
          <w:trHeight w:val="300"/>
        </w:trPr>
        <w:tc>
          <w:tcPr>
            <w:tcW w:w="1538" w:type="pct"/>
            <w:tcBorders>
              <w:top w:val="nil"/>
              <w:left w:val="single" w:sz="8" w:space="0" w:color="auto"/>
              <w:bottom w:val="single" w:sz="8" w:space="0" w:color="auto"/>
              <w:right w:val="single" w:sz="8" w:space="0" w:color="auto"/>
            </w:tcBorders>
            <w:vAlign w:val="center"/>
            <w:hideMark/>
          </w:tcPr>
          <w:p w14:paraId="08FCA0C0" w14:textId="5E3D9642" w:rsidR="00C435DF" w:rsidRPr="00FA433F" w:rsidRDefault="00C435DF">
            <w:pPr>
              <w:spacing w:before="0" w:after="0"/>
              <w:jc w:val="center"/>
              <w:rPr>
                <w:b/>
                <w:bCs/>
                <w:noProof/>
                <w:sz w:val="22"/>
              </w:rPr>
            </w:pPr>
            <w:r w:rsidRPr="00FA433F">
              <w:rPr>
                <w:b/>
                <w:noProof/>
                <w:sz w:val="22"/>
              </w:rPr>
              <w:t>OGÓŁEM DG ds. Działań</w:t>
            </w:r>
            <w:r w:rsidR="00FA433F" w:rsidRPr="00FA433F">
              <w:rPr>
                <w:b/>
                <w:noProof/>
                <w:sz w:val="22"/>
              </w:rPr>
              <w:t xml:space="preserve"> w</w:t>
            </w:r>
            <w:r w:rsidR="00FA433F">
              <w:rPr>
                <w:b/>
                <w:noProof/>
                <w:sz w:val="22"/>
              </w:rPr>
              <w:t> </w:t>
            </w:r>
            <w:r w:rsidR="00FA433F" w:rsidRPr="00FA433F">
              <w:rPr>
                <w:b/>
                <w:noProof/>
                <w:sz w:val="22"/>
              </w:rPr>
              <w:t>dzi</w:t>
            </w:r>
            <w:r w:rsidRPr="00FA433F">
              <w:rPr>
                <w:b/>
                <w:noProof/>
                <w:sz w:val="22"/>
              </w:rPr>
              <w:t>edzinie Klimatu/DG ds. Podatków</w:t>
            </w:r>
            <w:r w:rsidR="00FA433F" w:rsidRPr="00FA433F">
              <w:rPr>
                <w:b/>
                <w:noProof/>
                <w:sz w:val="22"/>
              </w:rPr>
              <w:t xml:space="preserve"> i</w:t>
            </w:r>
            <w:r w:rsidR="00FA433F">
              <w:rPr>
                <w:b/>
                <w:noProof/>
                <w:sz w:val="22"/>
              </w:rPr>
              <w:t> </w:t>
            </w:r>
            <w:r w:rsidR="00FA433F" w:rsidRPr="00FA433F">
              <w:rPr>
                <w:b/>
                <w:noProof/>
                <w:sz w:val="22"/>
              </w:rPr>
              <w:t>Uni</w:t>
            </w:r>
            <w:r w:rsidRPr="00FA433F">
              <w:rPr>
                <w:b/>
                <w:noProof/>
                <w:sz w:val="22"/>
              </w:rPr>
              <w:t>i Celnej</w:t>
            </w:r>
          </w:p>
        </w:tc>
        <w:tc>
          <w:tcPr>
            <w:tcW w:w="1287" w:type="pct"/>
            <w:gridSpan w:val="3"/>
            <w:tcBorders>
              <w:top w:val="single" w:sz="8" w:space="0" w:color="auto"/>
              <w:left w:val="nil"/>
              <w:bottom w:val="single" w:sz="8" w:space="0" w:color="auto"/>
              <w:right w:val="single" w:sz="8" w:space="0" w:color="auto"/>
            </w:tcBorders>
            <w:vAlign w:val="center"/>
            <w:hideMark/>
          </w:tcPr>
          <w:p w14:paraId="5EAF98C6" w14:textId="77777777" w:rsidR="00C435DF" w:rsidRPr="00FA433F" w:rsidRDefault="00C435DF">
            <w:pPr>
              <w:spacing w:before="0" w:after="0"/>
              <w:jc w:val="left"/>
              <w:rPr>
                <w:noProof/>
                <w:sz w:val="18"/>
                <w:szCs w:val="18"/>
              </w:rPr>
            </w:pPr>
            <w:r w:rsidRPr="00FA433F">
              <w:rPr>
                <w:noProof/>
                <w:sz w:val="18"/>
              </w:rPr>
              <w:t xml:space="preserve">Środki </w:t>
            </w:r>
          </w:p>
        </w:tc>
        <w:tc>
          <w:tcPr>
            <w:tcW w:w="350" w:type="pct"/>
            <w:tcBorders>
              <w:top w:val="nil"/>
              <w:left w:val="nil"/>
              <w:bottom w:val="single" w:sz="8" w:space="0" w:color="auto"/>
              <w:right w:val="single" w:sz="8" w:space="0" w:color="auto"/>
            </w:tcBorders>
            <w:shd w:val="clear" w:color="000000" w:fill="D9D9D9"/>
            <w:vAlign w:val="center"/>
            <w:hideMark/>
          </w:tcPr>
          <w:p w14:paraId="1184D885" w14:textId="77777777" w:rsidR="00C435DF" w:rsidRPr="00FA433F" w:rsidRDefault="00CF7925">
            <w:pPr>
              <w:spacing w:before="0" w:after="0"/>
              <w:jc w:val="right"/>
              <w:rPr>
                <w:b/>
                <w:bCs/>
                <w:noProof/>
                <w:sz w:val="20"/>
                <w:szCs w:val="20"/>
              </w:rPr>
            </w:pPr>
            <w:r w:rsidRPr="00FA433F">
              <w:rPr>
                <w:b/>
                <w:noProof/>
                <w:sz w:val="20"/>
              </w:rPr>
              <w:t>1,008</w:t>
            </w:r>
          </w:p>
        </w:tc>
        <w:tc>
          <w:tcPr>
            <w:tcW w:w="350" w:type="pct"/>
            <w:tcBorders>
              <w:top w:val="nil"/>
              <w:left w:val="nil"/>
              <w:bottom w:val="single" w:sz="8" w:space="0" w:color="auto"/>
              <w:right w:val="single" w:sz="8" w:space="0" w:color="auto"/>
            </w:tcBorders>
            <w:shd w:val="clear" w:color="000000" w:fill="D9D9D9"/>
            <w:vAlign w:val="center"/>
            <w:hideMark/>
          </w:tcPr>
          <w:p w14:paraId="30733212" w14:textId="77777777" w:rsidR="00C435DF" w:rsidRPr="00FA433F" w:rsidRDefault="00BF6210" w:rsidP="00C435DF">
            <w:pPr>
              <w:spacing w:before="0" w:after="0"/>
              <w:jc w:val="right"/>
              <w:rPr>
                <w:b/>
                <w:bCs/>
                <w:noProof/>
                <w:sz w:val="20"/>
                <w:szCs w:val="20"/>
              </w:rPr>
            </w:pPr>
            <w:r w:rsidRPr="00FA433F">
              <w:rPr>
                <w:b/>
                <w:noProof/>
                <w:sz w:val="20"/>
              </w:rPr>
              <w:t>1,109</w:t>
            </w:r>
          </w:p>
        </w:tc>
        <w:tc>
          <w:tcPr>
            <w:tcW w:w="350" w:type="pct"/>
            <w:tcBorders>
              <w:top w:val="nil"/>
              <w:left w:val="nil"/>
              <w:bottom w:val="single" w:sz="8" w:space="0" w:color="auto"/>
              <w:right w:val="single" w:sz="4" w:space="0" w:color="auto"/>
            </w:tcBorders>
            <w:shd w:val="clear" w:color="000000" w:fill="D9D9D9"/>
            <w:vAlign w:val="center"/>
            <w:hideMark/>
          </w:tcPr>
          <w:p w14:paraId="4E54A884" w14:textId="77777777" w:rsidR="00C435DF" w:rsidRPr="00FA433F" w:rsidRDefault="00C435DF">
            <w:pPr>
              <w:spacing w:before="0" w:after="0"/>
              <w:jc w:val="right"/>
              <w:rPr>
                <w:b/>
                <w:bCs/>
                <w:noProof/>
                <w:sz w:val="20"/>
                <w:szCs w:val="20"/>
              </w:rPr>
            </w:pPr>
            <w:r w:rsidRPr="00FA433F">
              <w:rPr>
                <w:b/>
                <w:noProof/>
                <w:sz w:val="20"/>
              </w:rPr>
              <w:t>0</w:t>
            </w:r>
          </w:p>
        </w:tc>
        <w:tc>
          <w:tcPr>
            <w:tcW w:w="350" w:type="pct"/>
            <w:tcBorders>
              <w:top w:val="nil"/>
              <w:left w:val="single" w:sz="4" w:space="0" w:color="auto"/>
              <w:bottom w:val="single" w:sz="8" w:space="0" w:color="auto"/>
              <w:right w:val="single" w:sz="4" w:space="0" w:color="auto"/>
            </w:tcBorders>
            <w:shd w:val="clear" w:color="000000" w:fill="D9D9D9"/>
            <w:vAlign w:val="center"/>
          </w:tcPr>
          <w:p w14:paraId="20D1B0D6" w14:textId="77777777" w:rsidR="00C435DF" w:rsidRPr="00FA433F" w:rsidRDefault="00C435DF">
            <w:pPr>
              <w:spacing w:before="0" w:after="0"/>
              <w:jc w:val="right"/>
              <w:rPr>
                <w:b/>
                <w:bCs/>
                <w:noProof/>
                <w:sz w:val="20"/>
                <w:szCs w:val="20"/>
              </w:rPr>
            </w:pPr>
            <w:r w:rsidRPr="00FA433F">
              <w:rPr>
                <w:b/>
                <w:noProof/>
                <w:sz w:val="20"/>
              </w:rPr>
              <w:t>0</w:t>
            </w:r>
          </w:p>
        </w:tc>
        <w:tc>
          <w:tcPr>
            <w:tcW w:w="350" w:type="pct"/>
            <w:tcBorders>
              <w:top w:val="nil"/>
              <w:left w:val="single" w:sz="4" w:space="0" w:color="auto"/>
              <w:bottom w:val="single" w:sz="8" w:space="0" w:color="auto"/>
              <w:right w:val="single" w:sz="8" w:space="0" w:color="auto"/>
            </w:tcBorders>
            <w:shd w:val="clear" w:color="000000" w:fill="D9D9D9"/>
            <w:vAlign w:val="center"/>
            <w:hideMark/>
          </w:tcPr>
          <w:p w14:paraId="2779D643" w14:textId="77777777" w:rsidR="00C435DF" w:rsidRPr="00FA433F" w:rsidRDefault="00C435DF">
            <w:pPr>
              <w:spacing w:before="0" w:after="0"/>
              <w:jc w:val="right"/>
              <w:rPr>
                <w:b/>
                <w:bCs/>
                <w:noProof/>
                <w:sz w:val="20"/>
                <w:szCs w:val="20"/>
              </w:rPr>
            </w:pPr>
            <w:r w:rsidRPr="00FA433F">
              <w:rPr>
                <w:b/>
                <w:noProof/>
                <w:sz w:val="20"/>
              </w:rPr>
              <w:t>0</w:t>
            </w:r>
          </w:p>
        </w:tc>
        <w:tc>
          <w:tcPr>
            <w:tcW w:w="425" w:type="pct"/>
            <w:tcBorders>
              <w:top w:val="nil"/>
              <w:left w:val="nil"/>
              <w:bottom w:val="single" w:sz="8" w:space="0" w:color="auto"/>
              <w:right w:val="single" w:sz="8" w:space="0" w:color="auto"/>
            </w:tcBorders>
            <w:shd w:val="clear" w:color="000000" w:fill="D9D9D9"/>
            <w:vAlign w:val="center"/>
            <w:hideMark/>
          </w:tcPr>
          <w:p w14:paraId="081D9DFD" w14:textId="77777777" w:rsidR="00C435DF" w:rsidRPr="00FA433F" w:rsidRDefault="00AA6671">
            <w:pPr>
              <w:spacing w:before="0" w:after="0"/>
              <w:jc w:val="right"/>
              <w:rPr>
                <w:b/>
                <w:bCs/>
                <w:noProof/>
                <w:sz w:val="20"/>
                <w:szCs w:val="20"/>
              </w:rPr>
            </w:pPr>
            <w:r w:rsidRPr="00FA433F">
              <w:rPr>
                <w:b/>
                <w:noProof/>
                <w:sz w:val="20"/>
              </w:rPr>
              <w:t>2,117</w:t>
            </w:r>
          </w:p>
        </w:tc>
      </w:tr>
      <w:tr w:rsidR="00C435DF" w:rsidRPr="00FA433F" w14:paraId="1C34CDE5" w14:textId="77777777" w:rsidTr="00E92D77">
        <w:trPr>
          <w:trHeight w:val="300"/>
        </w:trPr>
        <w:tc>
          <w:tcPr>
            <w:tcW w:w="1538" w:type="pct"/>
            <w:tcBorders>
              <w:top w:val="nil"/>
              <w:left w:val="nil"/>
              <w:bottom w:val="nil"/>
              <w:right w:val="nil"/>
            </w:tcBorders>
            <w:noWrap/>
            <w:vAlign w:val="bottom"/>
            <w:hideMark/>
          </w:tcPr>
          <w:p w14:paraId="5CBFAF1D" w14:textId="77777777" w:rsidR="00C435DF" w:rsidRPr="00FA433F" w:rsidRDefault="00C435DF">
            <w:pPr>
              <w:spacing w:before="0" w:after="0"/>
              <w:jc w:val="right"/>
              <w:rPr>
                <w:b/>
                <w:bCs/>
                <w:noProof/>
                <w:sz w:val="20"/>
                <w:szCs w:val="20"/>
                <w:lang w:eastAsia="en-IE"/>
              </w:rPr>
            </w:pPr>
          </w:p>
          <w:p w14:paraId="40ADCB38" w14:textId="77777777" w:rsidR="00E92D77" w:rsidRPr="00FA433F" w:rsidRDefault="00E92D77">
            <w:pPr>
              <w:spacing w:before="0" w:after="0"/>
              <w:jc w:val="right"/>
              <w:rPr>
                <w:b/>
                <w:bCs/>
                <w:noProof/>
                <w:sz w:val="20"/>
                <w:szCs w:val="20"/>
                <w:lang w:eastAsia="en-IE"/>
              </w:rPr>
            </w:pPr>
          </w:p>
        </w:tc>
        <w:tc>
          <w:tcPr>
            <w:tcW w:w="866" w:type="pct"/>
            <w:tcBorders>
              <w:top w:val="nil"/>
              <w:left w:val="nil"/>
              <w:bottom w:val="nil"/>
              <w:right w:val="nil"/>
            </w:tcBorders>
            <w:noWrap/>
            <w:vAlign w:val="bottom"/>
            <w:hideMark/>
          </w:tcPr>
          <w:p w14:paraId="6659FB75" w14:textId="77777777" w:rsidR="00C435DF" w:rsidRPr="00FA433F" w:rsidRDefault="00C435DF">
            <w:pPr>
              <w:spacing w:before="0" w:after="0"/>
              <w:jc w:val="left"/>
              <w:rPr>
                <w:noProof/>
                <w:sz w:val="20"/>
                <w:szCs w:val="20"/>
                <w:lang w:eastAsia="en-IE"/>
              </w:rPr>
            </w:pPr>
          </w:p>
        </w:tc>
        <w:tc>
          <w:tcPr>
            <w:tcW w:w="210" w:type="pct"/>
            <w:tcBorders>
              <w:top w:val="nil"/>
              <w:left w:val="nil"/>
              <w:bottom w:val="nil"/>
              <w:right w:val="nil"/>
            </w:tcBorders>
            <w:noWrap/>
            <w:vAlign w:val="bottom"/>
            <w:hideMark/>
          </w:tcPr>
          <w:p w14:paraId="2510A8B9" w14:textId="77777777" w:rsidR="00C435DF" w:rsidRPr="00FA433F" w:rsidRDefault="00C435DF">
            <w:pPr>
              <w:spacing w:before="0" w:after="0"/>
              <w:jc w:val="left"/>
              <w:rPr>
                <w:noProof/>
                <w:sz w:val="20"/>
                <w:szCs w:val="20"/>
                <w:lang w:eastAsia="en-IE"/>
              </w:rPr>
            </w:pPr>
          </w:p>
        </w:tc>
        <w:tc>
          <w:tcPr>
            <w:tcW w:w="211" w:type="pct"/>
            <w:tcBorders>
              <w:top w:val="nil"/>
              <w:left w:val="nil"/>
              <w:bottom w:val="nil"/>
              <w:right w:val="nil"/>
            </w:tcBorders>
            <w:noWrap/>
            <w:vAlign w:val="bottom"/>
            <w:hideMark/>
          </w:tcPr>
          <w:p w14:paraId="0B25864B" w14:textId="77777777" w:rsidR="00C435DF" w:rsidRPr="00FA433F" w:rsidRDefault="00C435DF">
            <w:pPr>
              <w:spacing w:before="0" w:after="0"/>
              <w:jc w:val="left"/>
              <w:rPr>
                <w:noProof/>
                <w:sz w:val="20"/>
                <w:szCs w:val="20"/>
                <w:lang w:eastAsia="en-IE"/>
              </w:rPr>
            </w:pPr>
          </w:p>
        </w:tc>
        <w:tc>
          <w:tcPr>
            <w:tcW w:w="350" w:type="pct"/>
            <w:tcBorders>
              <w:top w:val="nil"/>
              <w:left w:val="nil"/>
              <w:bottom w:val="nil"/>
              <w:right w:val="nil"/>
            </w:tcBorders>
            <w:noWrap/>
            <w:vAlign w:val="bottom"/>
            <w:hideMark/>
          </w:tcPr>
          <w:p w14:paraId="399DB0DB" w14:textId="77777777" w:rsidR="00C435DF" w:rsidRPr="00FA433F" w:rsidRDefault="00C435DF">
            <w:pPr>
              <w:spacing w:before="0" w:after="0"/>
              <w:jc w:val="left"/>
              <w:rPr>
                <w:noProof/>
                <w:sz w:val="20"/>
                <w:szCs w:val="20"/>
                <w:lang w:eastAsia="en-IE"/>
              </w:rPr>
            </w:pPr>
          </w:p>
        </w:tc>
        <w:tc>
          <w:tcPr>
            <w:tcW w:w="350" w:type="pct"/>
            <w:tcBorders>
              <w:top w:val="nil"/>
              <w:left w:val="nil"/>
              <w:bottom w:val="nil"/>
              <w:right w:val="nil"/>
            </w:tcBorders>
            <w:noWrap/>
            <w:vAlign w:val="bottom"/>
            <w:hideMark/>
          </w:tcPr>
          <w:p w14:paraId="71969194" w14:textId="77777777" w:rsidR="00C435DF" w:rsidRPr="00FA433F" w:rsidRDefault="00C435DF">
            <w:pPr>
              <w:spacing w:before="0" w:after="0"/>
              <w:jc w:val="left"/>
              <w:rPr>
                <w:noProof/>
                <w:sz w:val="20"/>
                <w:szCs w:val="20"/>
                <w:lang w:eastAsia="en-IE"/>
              </w:rPr>
            </w:pPr>
          </w:p>
        </w:tc>
        <w:tc>
          <w:tcPr>
            <w:tcW w:w="350" w:type="pct"/>
            <w:tcBorders>
              <w:top w:val="nil"/>
              <w:left w:val="nil"/>
              <w:bottom w:val="nil"/>
              <w:right w:val="single" w:sz="4" w:space="0" w:color="auto"/>
            </w:tcBorders>
            <w:noWrap/>
            <w:vAlign w:val="bottom"/>
            <w:hideMark/>
          </w:tcPr>
          <w:p w14:paraId="385BDAAB" w14:textId="77777777" w:rsidR="00C435DF" w:rsidRPr="00FA433F" w:rsidRDefault="00C435DF">
            <w:pPr>
              <w:spacing w:before="0" w:after="0"/>
              <w:jc w:val="left"/>
              <w:rPr>
                <w:noProof/>
                <w:sz w:val="20"/>
                <w:szCs w:val="20"/>
                <w:lang w:eastAsia="en-IE"/>
              </w:rPr>
            </w:pPr>
          </w:p>
        </w:tc>
        <w:tc>
          <w:tcPr>
            <w:tcW w:w="350" w:type="pct"/>
            <w:tcBorders>
              <w:top w:val="nil"/>
              <w:left w:val="single" w:sz="4" w:space="0" w:color="auto"/>
              <w:bottom w:val="nil"/>
              <w:right w:val="single" w:sz="4" w:space="0" w:color="auto"/>
            </w:tcBorders>
          </w:tcPr>
          <w:p w14:paraId="36E0AE5C" w14:textId="77777777" w:rsidR="00C435DF" w:rsidRPr="00FA433F" w:rsidRDefault="00C435DF">
            <w:pPr>
              <w:spacing w:before="0" w:after="0"/>
              <w:jc w:val="left"/>
              <w:rPr>
                <w:noProof/>
                <w:sz w:val="20"/>
                <w:szCs w:val="20"/>
                <w:lang w:eastAsia="en-IE"/>
              </w:rPr>
            </w:pPr>
          </w:p>
        </w:tc>
        <w:tc>
          <w:tcPr>
            <w:tcW w:w="350" w:type="pct"/>
            <w:tcBorders>
              <w:top w:val="nil"/>
              <w:left w:val="single" w:sz="4" w:space="0" w:color="auto"/>
              <w:bottom w:val="nil"/>
              <w:right w:val="nil"/>
            </w:tcBorders>
            <w:noWrap/>
            <w:vAlign w:val="bottom"/>
            <w:hideMark/>
          </w:tcPr>
          <w:p w14:paraId="648DC9E6" w14:textId="77777777" w:rsidR="00C435DF" w:rsidRPr="00FA433F" w:rsidRDefault="00C435DF">
            <w:pPr>
              <w:spacing w:before="0" w:after="0"/>
              <w:jc w:val="left"/>
              <w:rPr>
                <w:noProof/>
                <w:sz w:val="20"/>
                <w:szCs w:val="20"/>
                <w:lang w:eastAsia="en-IE"/>
              </w:rPr>
            </w:pPr>
          </w:p>
        </w:tc>
        <w:tc>
          <w:tcPr>
            <w:tcW w:w="425" w:type="pct"/>
            <w:tcBorders>
              <w:top w:val="nil"/>
              <w:left w:val="nil"/>
              <w:bottom w:val="nil"/>
              <w:right w:val="nil"/>
            </w:tcBorders>
            <w:noWrap/>
            <w:vAlign w:val="bottom"/>
            <w:hideMark/>
          </w:tcPr>
          <w:p w14:paraId="2E876B86" w14:textId="77777777" w:rsidR="00C435DF" w:rsidRPr="00FA433F" w:rsidRDefault="00C435DF">
            <w:pPr>
              <w:spacing w:before="0" w:after="0"/>
              <w:jc w:val="left"/>
              <w:rPr>
                <w:noProof/>
                <w:sz w:val="20"/>
                <w:szCs w:val="20"/>
                <w:lang w:eastAsia="en-IE"/>
              </w:rPr>
            </w:pPr>
          </w:p>
        </w:tc>
      </w:tr>
      <w:tr w:rsidR="00C435DF" w:rsidRPr="00FA433F" w14:paraId="1A01B504" w14:textId="77777777" w:rsidTr="00DA1F32">
        <w:trPr>
          <w:trHeight w:val="900"/>
        </w:trPr>
        <w:tc>
          <w:tcPr>
            <w:tcW w:w="2405" w:type="pct"/>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30CB9858" w14:textId="77777777" w:rsidR="00C435DF" w:rsidRPr="00FA433F" w:rsidRDefault="00C435DF">
            <w:pPr>
              <w:spacing w:before="0" w:after="0"/>
              <w:jc w:val="center"/>
              <w:rPr>
                <w:b/>
                <w:bCs/>
                <w:noProof/>
                <w:sz w:val="22"/>
              </w:rPr>
            </w:pPr>
            <w:r w:rsidRPr="00FA433F">
              <w:rPr>
                <w:b/>
                <w:noProof/>
                <w:sz w:val="22"/>
              </w:rPr>
              <w:t xml:space="preserve">OGÓŁEM środki na DZIAŁ 7 </w:t>
            </w:r>
          </w:p>
        </w:tc>
        <w:tc>
          <w:tcPr>
            <w:tcW w:w="421" w:type="pct"/>
            <w:gridSpan w:val="2"/>
            <w:tcBorders>
              <w:top w:val="single" w:sz="8" w:space="0" w:color="auto"/>
              <w:left w:val="nil"/>
              <w:bottom w:val="single" w:sz="8" w:space="0" w:color="auto"/>
              <w:right w:val="single" w:sz="8" w:space="0" w:color="auto"/>
            </w:tcBorders>
            <w:vAlign w:val="center"/>
            <w:hideMark/>
          </w:tcPr>
          <w:p w14:paraId="0DA02CC2" w14:textId="77777777" w:rsidR="00C435DF" w:rsidRPr="00FA433F" w:rsidRDefault="00C435DF">
            <w:pPr>
              <w:spacing w:before="0" w:after="0"/>
              <w:jc w:val="center"/>
              <w:rPr>
                <w:noProof/>
                <w:sz w:val="18"/>
                <w:szCs w:val="18"/>
              </w:rPr>
            </w:pPr>
            <w:r w:rsidRPr="00FA433F">
              <w:rPr>
                <w:noProof/>
                <w:sz w:val="18"/>
              </w:rPr>
              <w:t>(Środki na zobowiązania ogółem = środki na płatności ogółem)</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54E1B836" w14:textId="77777777" w:rsidR="00C435DF" w:rsidRPr="00FA433F" w:rsidRDefault="00CF7925">
            <w:pPr>
              <w:spacing w:before="0" w:after="0"/>
              <w:jc w:val="right"/>
              <w:rPr>
                <w:b/>
                <w:bCs/>
                <w:noProof/>
                <w:sz w:val="20"/>
                <w:szCs w:val="20"/>
              </w:rPr>
            </w:pPr>
            <w:r w:rsidRPr="00FA433F">
              <w:rPr>
                <w:b/>
                <w:noProof/>
                <w:sz w:val="20"/>
              </w:rPr>
              <w:t>1,008</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7264D01F" w14:textId="0CF7328B" w:rsidR="00C435DF" w:rsidRPr="00FA433F" w:rsidRDefault="008B4054">
            <w:pPr>
              <w:spacing w:before="0" w:after="0"/>
              <w:jc w:val="right"/>
              <w:rPr>
                <w:b/>
                <w:bCs/>
                <w:noProof/>
                <w:sz w:val="20"/>
                <w:szCs w:val="20"/>
              </w:rPr>
            </w:pPr>
            <w:r w:rsidRPr="00FA433F">
              <w:rPr>
                <w:b/>
                <w:noProof/>
                <w:sz w:val="20"/>
              </w:rPr>
              <w:t>1,109</w:t>
            </w:r>
          </w:p>
        </w:tc>
        <w:tc>
          <w:tcPr>
            <w:tcW w:w="350" w:type="pct"/>
            <w:tcBorders>
              <w:top w:val="single" w:sz="8" w:space="0" w:color="auto"/>
              <w:left w:val="nil"/>
              <w:bottom w:val="single" w:sz="8" w:space="0" w:color="auto"/>
              <w:right w:val="single" w:sz="4" w:space="0" w:color="auto"/>
            </w:tcBorders>
            <w:shd w:val="clear" w:color="000000" w:fill="D9D9D9"/>
            <w:vAlign w:val="center"/>
            <w:hideMark/>
          </w:tcPr>
          <w:p w14:paraId="209133AB" w14:textId="77777777" w:rsidR="00C435DF" w:rsidRPr="00FA433F" w:rsidRDefault="00C435DF">
            <w:pPr>
              <w:spacing w:before="0" w:after="0"/>
              <w:jc w:val="right"/>
              <w:rPr>
                <w:b/>
                <w:bCs/>
                <w:noProof/>
                <w:sz w:val="20"/>
                <w:szCs w:val="20"/>
              </w:rPr>
            </w:pPr>
            <w:r w:rsidRPr="00FA433F">
              <w:rPr>
                <w:b/>
                <w:noProof/>
                <w:sz w:val="20"/>
              </w:rPr>
              <w:t>0</w:t>
            </w:r>
          </w:p>
        </w:tc>
        <w:tc>
          <w:tcPr>
            <w:tcW w:w="350" w:type="pct"/>
            <w:tcBorders>
              <w:top w:val="single" w:sz="8" w:space="0" w:color="auto"/>
              <w:left w:val="single" w:sz="4" w:space="0" w:color="auto"/>
              <w:bottom w:val="single" w:sz="4" w:space="0" w:color="auto"/>
              <w:right w:val="single" w:sz="4" w:space="0" w:color="auto"/>
            </w:tcBorders>
            <w:shd w:val="clear" w:color="000000" w:fill="D9D9D9"/>
            <w:vAlign w:val="center"/>
          </w:tcPr>
          <w:p w14:paraId="7D77EB14" w14:textId="77777777" w:rsidR="00C435DF" w:rsidRPr="00FA433F" w:rsidRDefault="00E92D77">
            <w:pPr>
              <w:spacing w:before="0" w:after="0"/>
              <w:jc w:val="right"/>
              <w:rPr>
                <w:b/>
                <w:bCs/>
                <w:noProof/>
                <w:sz w:val="20"/>
                <w:szCs w:val="20"/>
              </w:rPr>
            </w:pPr>
            <w:r w:rsidRPr="00FA433F">
              <w:rPr>
                <w:b/>
                <w:noProof/>
                <w:sz w:val="20"/>
              </w:rPr>
              <w:t>0</w:t>
            </w:r>
          </w:p>
        </w:tc>
        <w:tc>
          <w:tcPr>
            <w:tcW w:w="350" w:type="pct"/>
            <w:tcBorders>
              <w:top w:val="single" w:sz="8" w:space="0" w:color="auto"/>
              <w:left w:val="single" w:sz="4" w:space="0" w:color="auto"/>
              <w:bottom w:val="single" w:sz="8" w:space="0" w:color="auto"/>
              <w:right w:val="single" w:sz="8" w:space="0" w:color="auto"/>
            </w:tcBorders>
            <w:shd w:val="clear" w:color="000000" w:fill="D9D9D9"/>
            <w:vAlign w:val="center"/>
            <w:hideMark/>
          </w:tcPr>
          <w:p w14:paraId="7C8254CC" w14:textId="77777777" w:rsidR="00C435DF" w:rsidRPr="00FA433F" w:rsidRDefault="00C435DF">
            <w:pPr>
              <w:spacing w:before="0" w:after="0"/>
              <w:jc w:val="right"/>
              <w:rPr>
                <w:b/>
                <w:bCs/>
                <w:noProof/>
                <w:sz w:val="20"/>
                <w:szCs w:val="20"/>
              </w:rPr>
            </w:pPr>
            <w:r w:rsidRPr="00FA433F">
              <w:rPr>
                <w:b/>
                <w:noProof/>
                <w:sz w:val="20"/>
              </w:rPr>
              <w:t>0</w:t>
            </w:r>
          </w:p>
        </w:tc>
        <w:tc>
          <w:tcPr>
            <w:tcW w:w="425" w:type="pct"/>
            <w:tcBorders>
              <w:top w:val="single" w:sz="8" w:space="0" w:color="auto"/>
              <w:left w:val="nil"/>
              <w:bottom w:val="single" w:sz="8" w:space="0" w:color="auto"/>
              <w:right w:val="single" w:sz="8" w:space="0" w:color="auto"/>
            </w:tcBorders>
            <w:shd w:val="clear" w:color="000000" w:fill="D9D9D9"/>
            <w:vAlign w:val="center"/>
            <w:hideMark/>
          </w:tcPr>
          <w:p w14:paraId="2EFC241A" w14:textId="77777777" w:rsidR="00C435DF" w:rsidRPr="00FA433F" w:rsidRDefault="00AA6671">
            <w:pPr>
              <w:spacing w:before="0" w:after="0"/>
              <w:jc w:val="right"/>
              <w:rPr>
                <w:b/>
                <w:bCs/>
                <w:noProof/>
                <w:sz w:val="20"/>
                <w:szCs w:val="20"/>
              </w:rPr>
            </w:pPr>
            <w:r w:rsidRPr="00FA433F">
              <w:rPr>
                <w:b/>
                <w:noProof/>
                <w:sz w:val="20"/>
              </w:rPr>
              <w:t>2,117</w:t>
            </w:r>
          </w:p>
        </w:tc>
      </w:tr>
    </w:tbl>
    <w:p w14:paraId="4E8A1D70" w14:textId="77777777" w:rsidR="008A4C15" w:rsidRPr="00FA433F" w:rsidRDefault="008A4C15">
      <w:pPr>
        <w:jc w:val="right"/>
        <w:rPr>
          <w:noProof/>
          <w:sz w:val="20"/>
        </w:rPr>
      </w:pPr>
      <w:r w:rsidRPr="00FA433F">
        <w:rPr>
          <w:noProof/>
          <w:sz w:val="20"/>
        </w:rPr>
        <w:t>w mln EUR (do trzech miejsc po przecinku)</w:t>
      </w:r>
    </w:p>
    <w:tbl>
      <w:tblPr>
        <w:tblW w:w="5000" w:type="pct"/>
        <w:tblLook w:val="04A0" w:firstRow="1" w:lastRow="0" w:firstColumn="1" w:lastColumn="0" w:noHBand="0" w:noVBand="1"/>
      </w:tblPr>
      <w:tblGrid>
        <w:gridCol w:w="5067"/>
        <w:gridCol w:w="1879"/>
        <w:gridCol w:w="1136"/>
        <w:gridCol w:w="1133"/>
        <w:gridCol w:w="1133"/>
        <w:gridCol w:w="1133"/>
        <w:gridCol w:w="1133"/>
        <w:gridCol w:w="1370"/>
      </w:tblGrid>
      <w:tr w:rsidR="00CC34F8" w:rsidRPr="00FA433F" w14:paraId="0843A82C" w14:textId="77777777" w:rsidTr="00EA3058">
        <w:trPr>
          <w:trHeight w:val="288"/>
        </w:trPr>
        <w:tc>
          <w:tcPr>
            <w:tcW w:w="2483"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23983A5D" w14:textId="77777777" w:rsidR="00CC34F8" w:rsidRPr="00FA433F" w:rsidRDefault="00CC34F8" w:rsidP="00CC34F8">
            <w:pPr>
              <w:spacing w:before="0" w:after="0"/>
              <w:jc w:val="center"/>
              <w:rPr>
                <w:noProof/>
                <w:szCs w:val="24"/>
                <w:lang w:eastAsia="en-IE"/>
              </w:rPr>
            </w:pPr>
          </w:p>
        </w:tc>
        <w:tc>
          <w:tcPr>
            <w:tcW w:w="406" w:type="pct"/>
            <w:tcBorders>
              <w:top w:val="single" w:sz="8" w:space="0" w:color="auto"/>
              <w:left w:val="nil"/>
              <w:bottom w:val="nil"/>
              <w:right w:val="single" w:sz="8" w:space="0" w:color="auto"/>
            </w:tcBorders>
            <w:vAlign w:val="center"/>
            <w:hideMark/>
          </w:tcPr>
          <w:p w14:paraId="2203D21C" w14:textId="77777777" w:rsidR="00CC34F8" w:rsidRPr="00FA433F" w:rsidRDefault="00CC34F8" w:rsidP="00CC34F8">
            <w:pPr>
              <w:spacing w:before="0" w:after="0"/>
              <w:jc w:val="center"/>
              <w:rPr>
                <w:noProof/>
                <w:sz w:val="20"/>
                <w:szCs w:val="20"/>
              </w:rPr>
            </w:pPr>
            <w:r w:rsidRPr="00FA433F">
              <w:rPr>
                <w:noProof/>
                <w:sz w:val="20"/>
              </w:rPr>
              <w:t>Rok</w:t>
            </w:r>
          </w:p>
        </w:tc>
        <w:tc>
          <w:tcPr>
            <w:tcW w:w="405" w:type="pct"/>
            <w:tcBorders>
              <w:top w:val="single" w:sz="8" w:space="0" w:color="auto"/>
              <w:left w:val="nil"/>
              <w:bottom w:val="nil"/>
              <w:right w:val="single" w:sz="8" w:space="0" w:color="auto"/>
            </w:tcBorders>
            <w:vAlign w:val="center"/>
            <w:hideMark/>
          </w:tcPr>
          <w:p w14:paraId="07A04B3A" w14:textId="77777777" w:rsidR="00CC34F8" w:rsidRPr="00FA433F" w:rsidRDefault="00CC34F8" w:rsidP="00CC34F8">
            <w:pPr>
              <w:spacing w:before="0" w:after="0"/>
              <w:jc w:val="center"/>
              <w:rPr>
                <w:noProof/>
                <w:sz w:val="20"/>
                <w:szCs w:val="20"/>
              </w:rPr>
            </w:pPr>
            <w:r w:rsidRPr="00FA433F">
              <w:rPr>
                <w:noProof/>
                <w:sz w:val="20"/>
              </w:rPr>
              <w:t>Rok</w:t>
            </w:r>
          </w:p>
        </w:tc>
        <w:tc>
          <w:tcPr>
            <w:tcW w:w="405" w:type="pct"/>
            <w:tcBorders>
              <w:top w:val="single" w:sz="8" w:space="0" w:color="auto"/>
              <w:left w:val="nil"/>
              <w:bottom w:val="nil"/>
              <w:right w:val="single" w:sz="4" w:space="0" w:color="auto"/>
            </w:tcBorders>
            <w:vAlign w:val="center"/>
            <w:hideMark/>
          </w:tcPr>
          <w:p w14:paraId="2B729563" w14:textId="77777777" w:rsidR="00CC34F8" w:rsidRPr="00FA433F" w:rsidRDefault="00CC34F8" w:rsidP="00CC34F8">
            <w:pPr>
              <w:spacing w:before="0" w:after="0"/>
              <w:jc w:val="center"/>
              <w:rPr>
                <w:noProof/>
                <w:sz w:val="20"/>
                <w:szCs w:val="20"/>
              </w:rPr>
            </w:pPr>
            <w:r w:rsidRPr="00FA433F">
              <w:rPr>
                <w:noProof/>
                <w:sz w:val="20"/>
              </w:rPr>
              <w:t>Rok</w:t>
            </w:r>
          </w:p>
        </w:tc>
        <w:tc>
          <w:tcPr>
            <w:tcW w:w="405" w:type="pct"/>
            <w:tcBorders>
              <w:top w:val="single" w:sz="4" w:space="0" w:color="auto"/>
              <w:left w:val="single" w:sz="4" w:space="0" w:color="auto"/>
              <w:bottom w:val="nil"/>
              <w:right w:val="single" w:sz="4" w:space="0" w:color="auto"/>
            </w:tcBorders>
            <w:vAlign w:val="center"/>
          </w:tcPr>
          <w:p w14:paraId="65D9BBF9" w14:textId="77777777" w:rsidR="00CC34F8" w:rsidRPr="00FA433F" w:rsidRDefault="00CC34F8" w:rsidP="00CC34F8">
            <w:pPr>
              <w:spacing w:before="0" w:after="0"/>
              <w:jc w:val="center"/>
              <w:rPr>
                <w:noProof/>
                <w:sz w:val="20"/>
                <w:szCs w:val="20"/>
              </w:rPr>
            </w:pPr>
            <w:r w:rsidRPr="00FA433F">
              <w:rPr>
                <w:noProof/>
                <w:sz w:val="20"/>
              </w:rPr>
              <w:t>Rok</w:t>
            </w:r>
          </w:p>
        </w:tc>
        <w:tc>
          <w:tcPr>
            <w:tcW w:w="405" w:type="pct"/>
            <w:tcBorders>
              <w:top w:val="single" w:sz="8" w:space="0" w:color="auto"/>
              <w:left w:val="single" w:sz="4" w:space="0" w:color="auto"/>
              <w:bottom w:val="nil"/>
              <w:right w:val="single" w:sz="8" w:space="0" w:color="auto"/>
            </w:tcBorders>
            <w:vAlign w:val="center"/>
            <w:hideMark/>
          </w:tcPr>
          <w:p w14:paraId="6D0D2475" w14:textId="77777777" w:rsidR="00CC34F8" w:rsidRPr="00FA433F" w:rsidRDefault="00CC34F8" w:rsidP="00CC34F8">
            <w:pPr>
              <w:spacing w:before="0" w:after="0"/>
              <w:jc w:val="center"/>
              <w:rPr>
                <w:noProof/>
                <w:sz w:val="20"/>
                <w:szCs w:val="20"/>
              </w:rPr>
            </w:pPr>
            <w:r w:rsidRPr="00FA433F">
              <w:rPr>
                <w:noProof/>
                <w:sz w:val="20"/>
              </w:rPr>
              <w:t>Rok</w:t>
            </w:r>
          </w:p>
        </w:tc>
        <w:tc>
          <w:tcPr>
            <w:tcW w:w="490" w:type="pct"/>
            <w:vMerge w:val="restart"/>
            <w:tcBorders>
              <w:top w:val="single" w:sz="8" w:space="0" w:color="auto"/>
              <w:left w:val="single" w:sz="8" w:space="0" w:color="auto"/>
              <w:bottom w:val="single" w:sz="8" w:space="0" w:color="000000"/>
              <w:right w:val="single" w:sz="8" w:space="0" w:color="auto"/>
            </w:tcBorders>
            <w:vAlign w:val="center"/>
            <w:hideMark/>
          </w:tcPr>
          <w:p w14:paraId="2C3C9703" w14:textId="77777777" w:rsidR="00CC34F8" w:rsidRPr="00FA433F" w:rsidRDefault="00CC34F8" w:rsidP="00CC34F8">
            <w:pPr>
              <w:spacing w:before="0" w:after="0"/>
              <w:jc w:val="center"/>
              <w:rPr>
                <w:b/>
                <w:bCs/>
                <w:noProof/>
                <w:sz w:val="20"/>
                <w:szCs w:val="20"/>
              </w:rPr>
            </w:pPr>
            <w:r w:rsidRPr="00FA433F">
              <w:rPr>
                <w:b/>
                <w:noProof/>
                <w:sz w:val="20"/>
              </w:rPr>
              <w:t xml:space="preserve">OGÓŁEM </w:t>
            </w:r>
          </w:p>
          <w:p w14:paraId="2B7A2755" w14:textId="77777777" w:rsidR="00CC34F8" w:rsidRPr="00FA433F" w:rsidRDefault="00CC34F8" w:rsidP="00CC34F8">
            <w:pPr>
              <w:spacing w:before="0" w:after="0"/>
              <w:jc w:val="center"/>
              <w:rPr>
                <w:b/>
                <w:bCs/>
                <w:noProof/>
                <w:sz w:val="20"/>
                <w:szCs w:val="20"/>
              </w:rPr>
            </w:pPr>
            <w:r w:rsidRPr="00FA433F">
              <w:rPr>
                <w:b/>
                <w:noProof/>
                <w:sz w:val="20"/>
              </w:rPr>
              <w:t>2026–2030</w:t>
            </w:r>
          </w:p>
        </w:tc>
      </w:tr>
      <w:tr w:rsidR="00CC34F8" w:rsidRPr="00FA433F" w14:paraId="7954C015" w14:textId="77777777" w:rsidTr="00EA3058">
        <w:trPr>
          <w:trHeight w:val="300"/>
        </w:trPr>
        <w:tc>
          <w:tcPr>
            <w:tcW w:w="2483" w:type="pct"/>
            <w:gridSpan w:val="2"/>
            <w:vMerge/>
            <w:tcBorders>
              <w:top w:val="single" w:sz="8" w:space="0" w:color="auto"/>
              <w:left w:val="single" w:sz="8" w:space="0" w:color="auto"/>
              <w:bottom w:val="single" w:sz="8" w:space="0" w:color="auto"/>
              <w:right w:val="single" w:sz="8" w:space="0" w:color="auto"/>
            </w:tcBorders>
            <w:vAlign w:val="center"/>
            <w:hideMark/>
          </w:tcPr>
          <w:p w14:paraId="26974D9E" w14:textId="77777777" w:rsidR="00CC34F8" w:rsidRPr="00FA433F" w:rsidRDefault="00CC34F8" w:rsidP="00CC34F8">
            <w:pPr>
              <w:spacing w:before="0" w:after="0"/>
              <w:jc w:val="left"/>
              <w:rPr>
                <w:noProof/>
                <w:szCs w:val="24"/>
                <w:lang w:eastAsia="en-IE"/>
              </w:rPr>
            </w:pPr>
          </w:p>
        </w:tc>
        <w:tc>
          <w:tcPr>
            <w:tcW w:w="406" w:type="pct"/>
            <w:tcBorders>
              <w:top w:val="nil"/>
              <w:left w:val="nil"/>
              <w:bottom w:val="single" w:sz="8" w:space="0" w:color="auto"/>
              <w:right w:val="single" w:sz="8" w:space="0" w:color="auto"/>
            </w:tcBorders>
            <w:vAlign w:val="center"/>
            <w:hideMark/>
          </w:tcPr>
          <w:p w14:paraId="158971A1" w14:textId="77777777" w:rsidR="00CC34F8" w:rsidRPr="00FA433F" w:rsidRDefault="00CC34F8" w:rsidP="00CC34F8">
            <w:pPr>
              <w:spacing w:before="0" w:after="0"/>
              <w:jc w:val="center"/>
              <w:rPr>
                <w:b/>
                <w:bCs/>
                <w:noProof/>
                <w:sz w:val="20"/>
                <w:szCs w:val="20"/>
              </w:rPr>
            </w:pPr>
            <w:r w:rsidRPr="00FA433F">
              <w:rPr>
                <w:b/>
                <w:noProof/>
                <w:sz w:val="20"/>
              </w:rPr>
              <w:t>2026</w:t>
            </w:r>
          </w:p>
        </w:tc>
        <w:tc>
          <w:tcPr>
            <w:tcW w:w="405" w:type="pct"/>
            <w:tcBorders>
              <w:top w:val="nil"/>
              <w:left w:val="nil"/>
              <w:bottom w:val="single" w:sz="8" w:space="0" w:color="auto"/>
              <w:right w:val="single" w:sz="8" w:space="0" w:color="auto"/>
            </w:tcBorders>
            <w:vAlign w:val="center"/>
            <w:hideMark/>
          </w:tcPr>
          <w:p w14:paraId="54D8EF0D" w14:textId="77777777" w:rsidR="00CC34F8" w:rsidRPr="00FA433F" w:rsidRDefault="00CC34F8" w:rsidP="00CC34F8">
            <w:pPr>
              <w:spacing w:before="0" w:after="0"/>
              <w:jc w:val="center"/>
              <w:rPr>
                <w:b/>
                <w:bCs/>
                <w:noProof/>
                <w:sz w:val="20"/>
                <w:szCs w:val="20"/>
              </w:rPr>
            </w:pPr>
            <w:r w:rsidRPr="00FA433F">
              <w:rPr>
                <w:b/>
                <w:noProof/>
                <w:sz w:val="20"/>
              </w:rPr>
              <w:t>2027</w:t>
            </w:r>
          </w:p>
        </w:tc>
        <w:tc>
          <w:tcPr>
            <w:tcW w:w="405" w:type="pct"/>
            <w:tcBorders>
              <w:top w:val="nil"/>
              <w:left w:val="nil"/>
              <w:bottom w:val="single" w:sz="8" w:space="0" w:color="auto"/>
              <w:right w:val="single" w:sz="4" w:space="0" w:color="auto"/>
            </w:tcBorders>
            <w:vAlign w:val="center"/>
            <w:hideMark/>
          </w:tcPr>
          <w:p w14:paraId="21579D17" w14:textId="77777777" w:rsidR="00CC34F8" w:rsidRPr="00FA433F" w:rsidRDefault="00CC34F8" w:rsidP="00CC34F8">
            <w:pPr>
              <w:spacing w:before="0" w:after="0"/>
              <w:jc w:val="center"/>
              <w:rPr>
                <w:b/>
                <w:bCs/>
                <w:noProof/>
                <w:sz w:val="20"/>
                <w:szCs w:val="20"/>
              </w:rPr>
            </w:pPr>
            <w:r w:rsidRPr="00FA433F">
              <w:rPr>
                <w:b/>
                <w:noProof/>
                <w:sz w:val="20"/>
              </w:rPr>
              <w:t>2028</w:t>
            </w:r>
          </w:p>
        </w:tc>
        <w:tc>
          <w:tcPr>
            <w:tcW w:w="405" w:type="pct"/>
            <w:tcBorders>
              <w:top w:val="nil"/>
              <w:left w:val="single" w:sz="4" w:space="0" w:color="auto"/>
              <w:bottom w:val="single" w:sz="8" w:space="0" w:color="auto"/>
              <w:right w:val="single" w:sz="4" w:space="0" w:color="auto"/>
            </w:tcBorders>
            <w:vAlign w:val="center"/>
          </w:tcPr>
          <w:p w14:paraId="39324D41" w14:textId="77777777" w:rsidR="00CC34F8" w:rsidRPr="00FA433F" w:rsidRDefault="00CC34F8" w:rsidP="00CC34F8">
            <w:pPr>
              <w:spacing w:before="0" w:after="0"/>
              <w:jc w:val="center"/>
              <w:rPr>
                <w:b/>
                <w:bCs/>
                <w:noProof/>
                <w:sz w:val="20"/>
                <w:szCs w:val="20"/>
              </w:rPr>
            </w:pPr>
            <w:r w:rsidRPr="00FA433F">
              <w:rPr>
                <w:b/>
                <w:noProof/>
                <w:sz w:val="20"/>
              </w:rPr>
              <w:t>2029</w:t>
            </w:r>
          </w:p>
        </w:tc>
        <w:tc>
          <w:tcPr>
            <w:tcW w:w="405" w:type="pct"/>
            <w:tcBorders>
              <w:top w:val="nil"/>
              <w:left w:val="single" w:sz="4" w:space="0" w:color="auto"/>
              <w:bottom w:val="single" w:sz="8" w:space="0" w:color="auto"/>
              <w:right w:val="single" w:sz="8" w:space="0" w:color="auto"/>
            </w:tcBorders>
            <w:vAlign w:val="center"/>
            <w:hideMark/>
          </w:tcPr>
          <w:p w14:paraId="59CA7E8B" w14:textId="77777777" w:rsidR="00CC34F8" w:rsidRPr="00FA433F" w:rsidRDefault="00CC34F8" w:rsidP="00CC34F8">
            <w:pPr>
              <w:spacing w:before="0" w:after="0"/>
              <w:jc w:val="center"/>
              <w:rPr>
                <w:b/>
                <w:bCs/>
                <w:noProof/>
                <w:sz w:val="20"/>
                <w:szCs w:val="20"/>
              </w:rPr>
            </w:pPr>
            <w:r w:rsidRPr="00FA433F">
              <w:rPr>
                <w:b/>
                <w:noProof/>
                <w:sz w:val="20"/>
              </w:rPr>
              <w:t>2030</w:t>
            </w:r>
          </w:p>
        </w:tc>
        <w:tc>
          <w:tcPr>
            <w:tcW w:w="490" w:type="pct"/>
            <w:vMerge/>
            <w:tcBorders>
              <w:top w:val="single" w:sz="8" w:space="0" w:color="auto"/>
              <w:left w:val="single" w:sz="8" w:space="0" w:color="auto"/>
              <w:bottom w:val="single" w:sz="8" w:space="0" w:color="000000"/>
              <w:right w:val="single" w:sz="8" w:space="0" w:color="auto"/>
            </w:tcBorders>
            <w:vAlign w:val="center"/>
            <w:hideMark/>
          </w:tcPr>
          <w:p w14:paraId="486582B9" w14:textId="77777777" w:rsidR="00CC34F8" w:rsidRPr="00FA433F" w:rsidRDefault="00CC34F8" w:rsidP="00CC34F8">
            <w:pPr>
              <w:spacing w:before="0" w:after="0"/>
              <w:jc w:val="left"/>
              <w:rPr>
                <w:b/>
                <w:bCs/>
                <w:noProof/>
                <w:sz w:val="20"/>
                <w:szCs w:val="20"/>
                <w:lang w:eastAsia="en-IE"/>
              </w:rPr>
            </w:pPr>
          </w:p>
        </w:tc>
      </w:tr>
      <w:tr w:rsidR="00CC34F8" w:rsidRPr="00FA433F" w14:paraId="08967C1B" w14:textId="77777777" w:rsidTr="00DA1F32">
        <w:trPr>
          <w:trHeight w:val="564"/>
        </w:trPr>
        <w:tc>
          <w:tcPr>
            <w:tcW w:w="1812"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4359CD68" w14:textId="5005E803" w:rsidR="00CC34F8" w:rsidRPr="00FA433F" w:rsidRDefault="00CC34F8">
            <w:pPr>
              <w:spacing w:before="0" w:after="0"/>
              <w:jc w:val="center"/>
              <w:rPr>
                <w:b/>
                <w:bCs/>
                <w:noProof/>
                <w:sz w:val="22"/>
              </w:rPr>
            </w:pPr>
            <w:r w:rsidRPr="00FA433F">
              <w:rPr>
                <w:b/>
                <w:noProof/>
                <w:sz w:val="22"/>
              </w:rPr>
              <w:t>OGÓŁEM środki na DZIAŁY od</w:t>
            </w:r>
            <w:r w:rsidR="00FA433F" w:rsidRPr="00FA433F">
              <w:rPr>
                <w:b/>
                <w:noProof/>
                <w:sz w:val="22"/>
              </w:rPr>
              <w:t> </w:t>
            </w:r>
            <w:r w:rsidRPr="00FA433F">
              <w:rPr>
                <w:b/>
                <w:noProof/>
                <w:sz w:val="22"/>
              </w:rPr>
              <w:t>1 do</w:t>
            </w:r>
            <w:r w:rsidR="00FA433F" w:rsidRPr="00FA433F">
              <w:rPr>
                <w:b/>
                <w:noProof/>
                <w:sz w:val="22"/>
              </w:rPr>
              <w:t> </w:t>
            </w:r>
            <w:r w:rsidRPr="00FA433F">
              <w:rPr>
                <w:b/>
                <w:noProof/>
                <w:sz w:val="22"/>
              </w:rPr>
              <w:t>7</w:t>
            </w:r>
          </w:p>
        </w:tc>
        <w:tc>
          <w:tcPr>
            <w:tcW w:w="672" w:type="pct"/>
            <w:tcBorders>
              <w:top w:val="single" w:sz="8" w:space="0" w:color="auto"/>
              <w:left w:val="nil"/>
              <w:bottom w:val="single" w:sz="8" w:space="0" w:color="auto"/>
              <w:right w:val="single" w:sz="8" w:space="0" w:color="auto"/>
            </w:tcBorders>
            <w:vAlign w:val="center"/>
            <w:hideMark/>
          </w:tcPr>
          <w:p w14:paraId="6729D849" w14:textId="77777777" w:rsidR="00CC34F8" w:rsidRPr="00FA433F" w:rsidRDefault="00CC34F8">
            <w:pPr>
              <w:spacing w:before="0" w:after="0"/>
              <w:rPr>
                <w:noProof/>
                <w:sz w:val="18"/>
                <w:szCs w:val="18"/>
              </w:rPr>
            </w:pPr>
            <w:r w:rsidRPr="00FA433F">
              <w:rPr>
                <w:noProof/>
                <w:sz w:val="18"/>
              </w:rPr>
              <w:t>Środki na zobowiązania</w:t>
            </w:r>
          </w:p>
        </w:tc>
        <w:tc>
          <w:tcPr>
            <w:tcW w:w="406" w:type="pct"/>
            <w:tcBorders>
              <w:top w:val="nil"/>
              <w:left w:val="nil"/>
              <w:bottom w:val="single" w:sz="8" w:space="0" w:color="auto"/>
              <w:right w:val="single" w:sz="8" w:space="0" w:color="auto"/>
            </w:tcBorders>
            <w:shd w:val="clear" w:color="000000" w:fill="D9D9D9"/>
            <w:vAlign w:val="center"/>
            <w:hideMark/>
          </w:tcPr>
          <w:p w14:paraId="4B5B49A0" w14:textId="77777777" w:rsidR="00CC34F8" w:rsidRPr="00FA433F" w:rsidRDefault="00CF7925">
            <w:pPr>
              <w:spacing w:before="0" w:after="0"/>
              <w:jc w:val="right"/>
              <w:rPr>
                <w:b/>
                <w:bCs/>
                <w:noProof/>
                <w:szCs w:val="24"/>
              </w:rPr>
            </w:pPr>
            <w:r w:rsidRPr="00FA433F">
              <w:rPr>
                <w:b/>
                <w:noProof/>
                <w:sz w:val="20"/>
              </w:rPr>
              <w:t>1,008</w:t>
            </w:r>
          </w:p>
        </w:tc>
        <w:tc>
          <w:tcPr>
            <w:tcW w:w="405" w:type="pct"/>
            <w:tcBorders>
              <w:top w:val="nil"/>
              <w:left w:val="nil"/>
              <w:bottom w:val="single" w:sz="8" w:space="0" w:color="auto"/>
              <w:right w:val="single" w:sz="8" w:space="0" w:color="auto"/>
            </w:tcBorders>
            <w:shd w:val="clear" w:color="000000" w:fill="D9D9D9"/>
            <w:vAlign w:val="center"/>
            <w:hideMark/>
          </w:tcPr>
          <w:p w14:paraId="0824688E" w14:textId="77777777" w:rsidR="00CC34F8" w:rsidRPr="00FA433F" w:rsidRDefault="00195DBF" w:rsidP="00CC34F8">
            <w:pPr>
              <w:spacing w:before="0" w:after="0"/>
              <w:jc w:val="right"/>
              <w:rPr>
                <w:b/>
                <w:bCs/>
                <w:noProof/>
                <w:szCs w:val="24"/>
              </w:rPr>
            </w:pPr>
            <w:r w:rsidRPr="00FA433F">
              <w:rPr>
                <w:b/>
                <w:noProof/>
              </w:rPr>
              <w:t>1,109</w:t>
            </w:r>
          </w:p>
        </w:tc>
        <w:tc>
          <w:tcPr>
            <w:tcW w:w="405" w:type="pct"/>
            <w:tcBorders>
              <w:top w:val="nil"/>
              <w:left w:val="nil"/>
              <w:bottom w:val="single" w:sz="8" w:space="0" w:color="auto"/>
              <w:right w:val="single" w:sz="4" w:space="0" w:color="auto"/>
            </w:tcBorders>
            <w:shd w:val="clear" w:color="000000" w:fill="D9D9D9"/>
            <w:vAlign w:val="center"/>
            <w:hideMark/>
          </w:tcPr>
          <w:p w14:paraId="77CBB280" w14:textId="77777777" w:rsidR="00CC34F8" w:rsidRPr="00FA433F" w:rsidRDefault="00CC34F8">
            <w:pPr>
              <w:spacing w:before="0" w:after="0"/>
              <w:jc w:val="right"/>
              <w:rPr>
                <w:b/>
                <w:bCs/>
                <w:noProof/>
                <w:szCs w:val="24"/>
              </w:rPr>
            </w:pPr>
            <w:r w:rsidRPr="00FA433F">
              <w:rPr>
                <w:b/>
                <w:noProof/>
              </w:rPr>
              <w:t>0</w:t>
            </w:r>
          </w:p>
        </w:tc>
        <w:tc>
          <w:tcPr>
            <w:tcW w:w="405" w:type="pct"/>
            <w:tcBorders>
              <w:top w:val="nil"/>
              <w:left w:val="single" w:sz="4" w:space="0" w:color="auto"/>
              <w:bottom w:val="single" w:sz="8" w:space="0" w:color="auto"/>
              <w:right w:val="single" w:sz="4" w:space="0" w:color="auto"/>
            </w:tcBorders>
            <w:shd w:val="clear" w:color="000000" w:fill="D9D9D9"/>
            <w:vAlign w:val="center"/>
          </w:tcPr>
          <w:p w14:paraId="5C8BCB10" w14:textId="77777777" w:rsidR="00CC34F8" w:rsidRPr="00FA433F" w:rsidRDefault="00CC34F8">
            <w:pPr>
              <w:spacing w:before="0" w:after="0"/>
              <w:jc w:val="right"/>
              <w:rPr>
                <w:b/>
                <w:bCs/>
                <w:noProof/>
                <w:szCs w:val="24"/>
              </w:rPr>
            </w:pPr>
            <w:r w:rsidRPr="00FA433F">
              <w:rPr>
                <w:b/>
                <w:noProof/>
              </w:rPr>
              <w:t>0</w:t>
            </w:r>
          </w:p>
        </w:tc>
        <w:tc>
          <w:tcPr>
            <w:tcW w:w="405" w:type="pct"/>
            <w:tcBorders>
              <w:top w:val="nil"/>
              <w:left w:val="single" w:sz="4" w:space="0" w:color="auto"/>
              <w:bottom w:val="single" w:sz="8" w:space="0" w:color="auto"/>
              <w:right w:val="single" w:sz="8" w:space="0" w:color="auto"/>
            </w:tcBorders>
            <w:shd w:val="clear" w:color="000000" w:fill="D9D9D9"/>
            <w:vAlign w:val="center"/>
            <w:hideMark/>
          </w:tcPr>
          <w:p w14:paraId="79FA1AAC" w14:textId="77777777" w:rsidR="00CC34F8" w:rsidRPr="00FA433F" w:rsidRDefault="00CC34F8">
            <w:pPr>
              <w:spacing w:before="0" w:after="0"/>
              <w:jc w:val="right"/>
              <w:rPr>
                <w:b/>
                <w:bCs/>
                <w:noProof/>
                <w:szCs w:val="24"/>
              </w:rPr>
            </w:pPr>
            <w:r w:rsidRPr="00FA433F">
              <w:rPr>
                <w:b/>
                <w:noProof/>
              </w:rPr>
              <w:t>0</w:t>
            </w:r>
          </w:p>
        </w:tc>
        <w:tc>
          <w:tcPr>
            <w:tcW w:w="490" w:type="pct"/>
            <w:tcBorders>
              <w:top w:val="nil"/>
              <w:left w:val="nil"/>
              <w:bottom w:val="single" w:sz="8" w:space="0" w:color="auto"/>
              <w:right w:val="single" w:sz="8" w:space="0" w:color="auto"/>
            </w:tcBorders>
            <w:shd w:val="clear" w:color="000000" w:fill="D9D9D9"/>
            <w:vAlign w:val="center"/>
            <w:hideMark/>
          </w:tcPr>
          <w:p w14:paraId="0ADE2DFA" w14:textId="77777777" w:rsidR="00CC34F8" w:rsidRPr="00FA433F" w:rsidRDefault="005A5388">
            <w:pPr>
              <w:spacing w:before="0" w:after="0"/>
              <w:jc w:val="right"/>
              <w:rPr>
                <w:b/>
                <w:bCs/>
                <w:noProof/>
                <w:szCs w:val="24"/>
              </w:rPr>
            </w:pPr>
            <w:r w:rsidRPr="00FA433F">
              <w:rPr>
                <w:b/>
                <w:noProof/>
                <w:sz w:val="20"/>
              </w:rPr>
              <w:t>2,117</w:t>
            </w:r>
          </w:p>
        </w:tc>
      </w:tr>
      <w:tr w:rsidR="00CC34F8" w:rsidRPr="00FA433F" w14:paraId="5468E325" w14:textId="77777777" w:rsidTr="00DA1F32">
        <w:trPr>
          <w:trHeight w:val="540"/>
        </w:trPr>
        <w:tc>
          <w:tcPr>
            <w:tcW w:w="1812"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1023D8B3" w14:textId="77777777" w:rsidR="00CC34F8" w:rsidRPr="00FA433F" w:rsidRDefault="00CC34F8">
            <w:pPr>
              <w:spacing w:before="0" w:after="0"/>
              <w:jc w:val="center"/>
              <w:rPr>
                <w:noProof/>
                <w:sz w:val="22"/>
              </w:rPr>
            </w:pPr>
            <w:r w:rsidRPr="00FA433F">
              <w:rPr>
                <w:noProof/>
                <w:sz w:val="22"/>
              </w:rPr>
              <w:t>wieloletnich ram finansowych</w:t>
            </w:r>
            <w:r w:rsidRPr="00FA433F">
              <w:rPr>
                <w:b/>
                <w:noProof/>
                <w:sz w:val="22"/>
              </w:rPr>
              <w:t xml:space="preserve"> </w:t>
            </w:r>
          </w:p>
        </w:tc>
        <w:tc>
          <w:tcPr>
            <w:tcW w:w="672" w:type="pct"/>
            <w:tcBorders>
              <w:top w:val="single" w:sz="8" w:space="0" w:color="auto"/>
              <w:left w:val="nil"/>
              <w:bottom w:val="single" w:sz="8" w:space="0" w:color="auto"/>
              <w:right w:val="single" w:sz="8" w:space="0" w:color="auto"/>
            </w:tcBorders>
            <w:vAlign w:val="center"/>
            <w:hideMark/>
          </w:tcPr>
          <w:p w14:paraId="4A3D0A0B" w14:textId="77777777" w:rsidR="00CC34F8" w:rsidRPr="00FA433F" w:rsidRDefault="00CC34F8">
            <w:pPr>
              <w:spacing w:before="0" w:after="0"/>
              <w:rPr>
                <w:noProof/>
                <w:sz w:val="18"/>
                <w:szCs w:val="18"/>
              </w:rPr>
            </w:pPr>
            <w:r w:rsidRPr="00FA433F">
              <w:rPr>
                <w:noProof/>
                <w:sz w:val="18"/>
              </w:rPr>
              <w:t>Środki na płatności</w:t>
            </w:r>
          </w:p>
        </w:tc>
        <w:tc>
          <w:tcPr>
            <w:tcW w:w="406" w:type="pct"/>
            <w:tcBorders>
              <w:top w:val="nil"/>
              <w:left w:val="nil"/>
              <w:bottom w:val="single" w:sz="8" w:space="0" w:color="auto"/>
              <w:right w:val="single" w:sz="8" w:space="0" w:color="auto"/>
            </w:tcBorders>
            <w:shd w:val="clear" w:color="000000" w:fill="D9D9D9"/>
            <w:vAlign w:val="center"/>
            <w:hideMark/>
          </w:tcPr>
          <w:p w14:paraId="22B7189F" w14:textId="77777777" w:rsidR="00CC34F8" w:rsidRPr="00FA433F" w:rsidRDefault="00A74BB3">
            <w:pPr>
              <w:spacing w:before="0" w:after="0"/>
              <w:jc w:val="right"/>
              <w:rPr>
                <w:b/>
                <w:bCs/>
                <w:noProof/>
                <w:szCs w:val="24"/>
              </w:rPr>
            </w:pPr>
            <w:r w:rsidRPr="00FA433F">
              <w:rPr>
                <w:b/>
                <w:noProof/>
              </w:rPr>
              <w:t>1,008</w:t>
            </w:r>
          </w:p>
        </w:tc>
        <w:tc>
          <w:tcPr>
            <w:tcW w:w="405" w:type="pct"/>
            <w:tcBorders>
              <w:top w:val="nil"/>
              <w:left w:val="nil"/>
              <w:bottom w:val="single" w:sz="8" w:space="0" w:color="auto"/>
              <w:right w:val="single" w:sz="8" w:space="0" w:color="auto"/>
            </w:tcBorders>
            <w:shd w:val="clear" w:color="000000" w:fill="D9D9D9"/>
            <w:vAlign w:val="center"/>
            <w:hideMark/>
          </w:tcPr>
          <w:p w14:paraId="65385052" w14:textId="77777777" w:rsidR="00CC34F8" w:rsidRPr="00FA433F" w:rsidRDefault="00195DBF">
            <w:pPr>
              <w:spacing w:before="0" w:after="0"/>
              <w:jc w:val="right"/>
              <w:rPr>
                <w:b/>
                <w:bCs/>
                <w:noProof/>
                <w:szCs w:val="24"/>
              </w:rPr>
            </w:pPr>
            <w:r w:rsidRPr="00FA433F">
              <w:rPr>
                <w:b/>
                <w:noProof/>
              </w:rPr>
              <w:t>1,109</w:t>
            </w:r>
          </w:p>
        </w:tc>
        <w:tc>
          <w:tcPr>
            <w:tcW w:w="405" w:type="pct"/>
            <w:tcBorders>
              <w:top w:val="nil"/>
              <w:left w:val="nil"/>
              <w:bottom w:val="single" w:sz="8" w:space="0" w:color="auto"/>
              <w:right w:val="single" w:sz="4" w:space="0" w:color="auto"/>
            </w:tcBorders>
            <w:shd w:val="clear" w:color="000000" w:fill="D9D9D9"/>
            <w:vAlign w:val="center"/>
            <w:hideMark/>
          </w:tcPr>
          <w:p w14:paraId="3C6E3B59" w14:textId="77777777" w:rsidR="00CC34F8" w:rsidRPr="00FA433F" w:rsidRDefault="00CC34F8">
            <w:pPr>
              <w:spacing w:before="0" w:after="0"/>
              <w:jc w:val="right"/>
              <w:rPr>
                <w:b/>
                <w:bCs/>
                <w:noProof/>
                <w:szCs w:val="24"/>
              </w:rPr>
            </w:pPr>
            <w:r w:rsidRPr="00FA433F">
              <w:rPr>
                <w:b/>
                <w:noProof/>
              </w:rPr>
              <w:t>0</w:t>
            </w:r>
          </w:p>
        </w:tc>
        <w:tc>
          <w:tcPr>
            <w:tcW w:w="405" w:type="pct"/>
            <w:tcBorders>
              <w:top w:val="nil"/>
              <w:left w:val="single" w:sz="4" w:space="0" w:color="auto"/>
              <w:bottom w:val="single" w:sz="4" w:space="0" w:color="auto"/>
              <w:right w:val="single" w:sz="4" w:space="0" w:color="auto"/>
            </w:tcBorders>
            <w:shd w:val="clear" w:color="000000" w:fill="D9D9D9"/>
            <w:vAlign w:val="center"/>
          </w:tcPr>
          <w:p w14:paraId="6BE78BD6" w14:textId="77777777" w:rsidR="00CC34F8" w:rsidRPr="00FA433F" w:rsidRDefault="00CC34F8">
            <w:pPr>
              <w:spacing w:before="0" w:after="0"/>
              <w:jc w:val="right"/>
              <w:rPr>
                <w:b/>
                <w:bCs/>
                <w:noProof/>
                <w:szCs w:val="24"/>
              </w:rPr>
            </w:pPr>
            <w:r w:rsidRPr="00FA433F">
              <w:rPr>
                <w:b/>
                <w:noProof/>
              </w:rPr>
              <w:t>0</w:t>
            </w:r>
          </w:p>
        </w:tc>
        <w:tc>
          <w:tcPr>
            <w:tcW w:w="405" w:type="pct"/>
            <w:tcBorders>
              <w:top w:val="nil"/>
              <w:left w:val="single" w:sz="4" w:space="0" w:color="auto"/>
              <w:bottom w:val="single" w:sz="8" w:space="0" w:color="auto"/>
              <w:right w:val="single" w:sz="8" w:space="0" w:color="auto"/>
            </w:tcBorders>
            <w:shd w:val="clear" w:color="000000" w:fill="D9D9D9"/>
            <w:vAlign w:val="center"/>
            <w:hideMark/>
          </w:tcPr>
          <w:p w14:paraId="2CEC8E06" w14:textId="77777777" w:rsidR="00CC34F8" w:rsidRPr="00FA433F" w:rsidRDefault="00CC34F8">
            <w:pPr>
              <w:spacing w:before="0" w:after="0"/>
              <w:jc w:val="right"/>
              <w:rPr>
                <w:b/>
                <w:bCs/>
                <w:noProof/>
                <w:szCs w:val="24"/>
              </w:rPr>
            </w:pPr>
            <w:r w:rsidRPr="00FA433F">
              <w:rPr>
                <w:b/>
                <w:noProof/>
              </w:rPr>
              <w:t>0</w:t>
            </w:r>
          </w:p>
        </w:tc>
        <w:tc>
          <w:tcPr>
            <w:tcW w:w="490" w:type="pct"/>
            <w:tcBorders>
              <w:top w:val="nil"/>
              <w:left w:val="nil"/>
              <w:bottom w:val="single" w:sz="8" w:space="0" w:color="auto"/>
              <w:right w:val="single" w:sz="8" w:space="0" w:color="auto"/>
            </w:tcBorders>
            <w:shd w:val="clear" w:color="000000" w:fill="D9D9D9"/>
            <w:vAlign w:val="center"/>
            <w:hideMark/>
          </w:tcPr>
          <w:p w14:paraId="0A114AA2" w14:textId="77777777" w:rsidR="00CC34F8" w:rsidRPr="00FA433F" w:rsidRDefault="005A5388">
            <w:pPr>
              <w:spacing w:before="0" w:after="0"/>
              <w:jc w:val="right"/>
              <w:rPr>
                <w:b/>
                <w:bCs/>
                <w:noProof/>
                <w:szCs w:val="24"/>
              </w:rPr>
            </w:pPr>
            <w:r w:rsidRPr="00FA433F">
              <w:rPr>
                <w:b/>
                <w:noProof/>
                <w:sz w:val="20"/>
              </w:rPr>
              <w:t>2,117</w:t>
            </w:r>
          </w:p>
        </w:tc>
      </w:tr>
    </w:tbl>
    <w:p w14:paraId="56DEE86B" w14:textId="77777777" w:rsidR="008A4C15" w:rsidRPr="00FA433F" w:rsidRDefault="008A4C15">
      <w:pPr>
        <w:rPr>
          <w:noProof/>
        </w:rPr>
      </w:pPr>
      <w:r w:rsidRPr="00FA433F">
        <w:rPr>
          <w:noProof/>
        </w:rPr>
        <w:lastRenderedPageBreak/>
        <w:t>=================================================================================================</w:t>
      </w:r>
    </w:p>
    <w:p w14:paraId="408732E1" w14:textId="5FCFE72F" w:rsidR="008A4C15" w:rsidRPr="00FA433F" w:rsidRDefault="008A4C15">
      <w:pPr>
        <w:spacing w:after="40"/>
        <w:rPr>
          <w:noProof/>
        </w:rPr>
      </w:pPr>
      <w:r w:rsidRPr="00FA433F">
        <w:rPr>
          <w:noProof/>
        </w:rPr>
        <w:t>Nieobowiązkowo: jeżeli wniosek jest częściowo lub</w:t>
      </w:r>
      <w:r w:rsidR="00FA433F" w:rsidRPr="00FA433F">
        <w:rPr>
          <w:noProof/>
        </w:rPr>
        <w:t xml:space="preserve"> w</w:t>
      </w:r>
      <w:r w:rsidR="00FA433F">
        <w:rPr>
          <w:noProof/>
        </w:rPr>
        <w:t> </w:t>
      </w:r>
      <w:r w:rsidR="00FA433F" w:rsidRPr="00FA433F">
        <w:rPr>
          <w:noProof/>
        </w:rPr>
        <w:t>peł</w:t>
      </w:r>
      <w:r w:rsidRPr="00FA433F">
        <w:rPr>
          <w:noProof/>
        </w:rPr>
        <w:t>ni finansowany</w:t>
      </w:r>
      <w:r w:rsidR="00FA433F" w:rsidRPr="00FA433F">
        <w:rPr>
          <w:noProof/>
        </w:rPr>
        <w:t xml:space="preserve"> z</w:t>
      </w:r>
      <w:r w:rsidR="00FA433F">
        <w:rPr>
          <w:noProof/>
        </w:rPr>
        <w:t> </w:t>
      </w:r>
      <w:r w:rsidR="00FA433F" w:rsidRPr="00FA433F">
        <w:rPr>
          <w:noProof/>
        </w:rPr>
        <w:t>zew</w:t>
      </w:r>
      <w:r w:rsidRPr="00FA433F">
        <w:rPr>
          <w:noProof/>
        </w:rPr>
        <w:t>nętrznych dochodów przeznaczonych na określony cel, wypełnić tabelę</w:t>
      </w:r>
      <w:r w:rsidR="00FA433F" w:rsidRPr="00FA433F">
        <w:rPr>
          <w:noProof/>
        </w:rPr>
        <w:t xml:space="preserve"> w</w:t>
      </w:r>
      <w:r w:rsidR="00FA433F">
        <w:rPr>
          <w:noProof/>
        </w:rPr>
        <w:t> </w:t>
      </w:r>
      <w:r w:rsidR="00FA433F" w:rsidRPr="00FA433F">
        <w:rPr>
          <w:noProof/>
        </w:rPr>
        <w:t>sek</w:t>
      </w:r>
      <w:r w:rsidRPr="00FA433F">
        <w:rPr>
          <w:noProof/>
        </w:rPr>
        <w:t>cji 3.2.1.2</w:t>
      </w:r>
      <w:r w:rsidR="00FA433F" w:rsidRPr="00FA433F">
        <w:rPr>
          <w:noProof/>
        </w:rPr>
        <w:t>. W</w:t>
      </w:r>
      <w:r w:rsidR="00FA433F">
        <w:rPr>
          <w:noProof/>
        </w:rPr>
        <w:t> </w:t>
      </w:r>
      <w:r w:rsidR="00FA433F" w:rsidRPr="00FA433F">
        <w:rPr>
          <w:noProof/>
        </w:rPr>
        <w:t>prz</w:t>
      </w:r>
      <w:r w:rsidRPr="00FA433F">
        <w:rPr>
          <w:noProof/>
        </w:rPr>
        <w:t>eciwnym wypadku usunąć całą sekcję.</w:t>
      </w:r>
    </w:p>
    <w:p w14:paraId="1DB7ABB2" w14:textId="29E4B6E6" w:rsidR="008A4C15" w:rsidRPr="00FA433F" w:rsidRDefault="008A4C15">
      <w:pPr>
        <w:pStyle w:val="ManualHeading3"/>
        <w:rPr>
          <w:noProof/>
        </w:rPr>
      </w:pPr>
      <w:bookmarkStart w:id="139" w:name="_Toc160804596"/>
      <w:bookmarkStart w:id="140" w:name="_Toc167220288"/>
      <w:bookmarkStart w:id="141" w:name="_Toc177549021"/>
      <w:r w:rsidRPr="00FA433F">
        <w:rPr>
          <w:noProof/>
        </w:rPr>
        <w:t>3.2.1.2.</w:t>
      </w:r>
      <w:r w:rsidRPr="00FA433F">
        <w:rPr>
          <w:noProof/>
        </w:rPr>
        <w:tab/>
        <w:t>Środki</w:t>
      </w:r>
      <w:r w:rsidR="00FA433F" w:rsidRPr="00FA433F">
        <w:rPr>
          <w:noProof/>
        </w:rPr>
        <w:t xml:space="preserve"> z</w:t>
      </w:r>
      <w:r w:rsidR="00FA433F">
        <w:rPr>
          <w:noProof/>
        </w:rPr>
        <w:t> </w:t>
      </w:r>
      <w:r w:rsidR="00FA433F" w:rsidRPr="00FA433F">
        <w:rPr>
          <w:noProof/>
        </w:rPr>
        <w:t>zew</w:t>
      </w:r>
      <w:r w:rsidRPr="00FA433F">
        <w:rPr>
          <w:noProof/>
        </w:rPr>
        <w:t>nętrznych dochodów przeznaczonych na określony cel</w:t>
      </w:r>
      <w:bookmarkEnd w:id="139"/>
      <w:bookmarkEnd w:id="140"/>
      <w:bookmarkEnd w:id="141"/>
    </w:p>
    <w:p w14:paraId="2A4289DB" w14:textId="77777777" w:rsidR="008A4C15" w:rsidRPr="00FA433F" w:rsidRDefault="008A4C15">
      <w:pPr>
        <w:jc w:val="right"/>
        <w:rPr>
          <w:noProof/>
          <w:sz w:val="18"/>
          <w:szCs w:val="18"/>
        </w:rPr>
      </w:pPr>
      <w:r w:rsidRPr="00FA433F">
        <w:rPr>
          <w:noProof/>
          <w:sz w:val="18"/>
        </w:rPr>
        <w:t>w mln EUR (do trzech miejsc po przecinku)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4D0F84" w:rsidRPr="00FA433F" w14:paraId="6C1DE4DA" w14:textId="77777777">
        <w:trPr>
          <w:jc w:val="center"/>
        </w:trPr>
        <w:tc>
          <w:tcPr>
            <w:tcW w:w="1739" w:type="pct"/>
            <w:shd w:val="thinDiagStripe" w:color="C0C0C0" w:fill="auto"/>
            <w:vAlign w:val="center"/>
          </w:tcPr>
          <w:p w14:paraId="55AF6741" w14:textId="77777777" w:rsidR="008A4C15" w:rsidRPr="00FA433F" w:rsidRDefault="008A4C15">
            <w:pPr>
              <w:spacing w:before="60" w:after="60"/>
              <w:jc w:val="center"/>
              <w:rPr>
                <w:b/>
                <w:noProof/>
              </w:rPr>
            </w:pPr>
            <w:r w:rsidRPr="00FA433F">
              <w:rPr>
                <w:b/>
                <w:noProof/>
                <w:sz w:val="22"/>
              </w:rPr>
              <w:t xml:space="preserve">Dział wieloletnich ram finansowych </w:t>
            </w:r>
          </w:p>
        </w:tc>
        <w:tc>
          <w:tcPr>
            <w:tcW w:w="396" w:type="pct"/>
            <w:vAlign w:val="center"/>
          </w:tcPr>
          <w:p w14:paraId="45191A81" w14:textId="77777777" w:rsidR="008A4C15" w:rsidRPr="00FA433F" w:rsidRDefault="008A4C15">
            <w:pPr>
              <w:spacing w:before="60" w:after="60"/>
              <w:jc w:val="center"/>
              <w:rPr>
                <w:noProof/>
              </w:rPr>
            </w:pPr>
            <w:r w:rsidRPr="00FA433F">
              <w:rPr>
                <w:noProof/>
                <w:sz w:val="22"/>
              </w:rPr>
              <w:t>Numer</w:t>
            </w:r>
          </w:p>
        </w:tc>
        <w:tc>
          <w:tcPr>
            <w:tcW w:w="2865" w:type="pct"/>
            <w:vAlign w:val="center"/>
          </w:tcPr>
          <w:p w14:paraId="6F1AA44C" w14:textId="418EB22B" w:rsidR="008A4C15" w:rsidRPr="00FA433F" w:rsidRDefault="00EA26EB">
            <w:pPr>
              <w:spacing w:before="60" w:after="60"/>
              <w:rPr>
                <w:noProof/>
              </w:rPr>
            </w:pPr>
            <w:r w:rsidRPr="00FA433F">
              <w:rPr>
                <w:noProof/>
              </w:rPr>
              <w:t>Linia budżetowa XX, która ma być określona</w:t>
            </w:r>
            <w:r w:rsidR="00FA433F" w:rsidRPr="00FA433F">
              <w:rPr>
                <w:noProof/>
              </w:rPr>
              <w:t xml:space="preserve"> w</w:t>
            </w:r>
            <w:r w:rsidR="00FA433F">
              <w:rPr>
                <w:noProof/>
              </w:rPr>
              <w:t> </w:t>
            </w:r>
            <w:r w:rsidR="00FA433F" w:rsidRPr="00FA433F">
              <w:rPr>
                <w:noProof/>
              </w:rPr>
              <w:t>nom</w:t>
            </w:r>
            <w:r w:rsidRPr="00FA433F">
              <w:rPr>
                <w:noProof/>
              </w:rPr>
              <w:t>enklaturze następnych WRF</w:t>
            </w:r>
          </w:p>
        </w:tc>
      </w:tr>
    </w:tbl>
    <w:p w14:paraId="51E1791A" w14:textId="77777777" w:rsidR="008A4C15" w:rsidRPr="00FA433F" w:rsidRDefault="008A4C15">
      <w:pPr>
        <w:rPr>
          <w:noProof/>
          <w:sz w:val="16"/>
        </w:rPr>
      </w:pPr>
    </w:p>
    <w:tbl>
      <w:tblPr>
        <w:tblW w:w="5000" w:type="pct"/>
        <w:jc w:val="right"/>
        <w:tblLook w:val="04A0" w:firstRow="1" w:lastRow="0" w:firstColumn="1" w:lastColumn="0" w:noHBand="0" w:noVBand="1"/>
      </w:tblPr>
      <w:tblGrid>
        <w:gridCol w:w="219"/>
        <w:gridCol w:w="2199"/>
        <w:gridCol w:w="1490"/>
        <w:gridCol w:w="1425"/>
        <w:gridCol w:w="1425"/>
        <w:gridCol w:w="1422"/>
        <w:gridCol w:w="1422"/>
        <w:gridCol w:w="1386"/>
        <w:gridCol w:w="1386"/>
        <w:gridCol w:w="1610"/>
      </w:tblGrid>
      <w:tr w:rsidR="00757196" w:rsidRPr="00FA433F" w14:paraId="280510D9" w14:textId="77777777" w:rsidTr="006F209F">
        <w:trPr>
          <w:trHeight w:val="420"/>
          <w:jc w:val="right"/>
        </w:trPr>
        <w:tc>
          <w:tcPr>
            <w:tcW w:w="1924" w:type="pct"/>
            <w:gridSpan w:val="4"/>
            <w:vMerge w:val="restart"/>
            <w:tcBorders>
              <w:top w:val="single" w:sz="8" w:space="0" w:color="auto"/>
              <w:left w:val="single" w:sz="8" w:space="0" w:color="auto"/>
              <w:bottom w:val="single" w:sz="8" w:space="0" w:color="auto"/>
              <w:right w:val="single" w:sz="8" w:space="0" w:color="auto"/>
            </w:tcBorders>
            <w:vAlign w:val="center"/>
            <w:hideMark/>
          </w:tcPr>
          <w:p w14:paraId="51EFC8AA" w14:textId="77777777" w:rsidR="00757196" w:rsidRPr="00FA433F" w:rsidRDefault="00694DBB" w:rsidP="00757196">
            <w:pPr>
              <w:spacing w:before="0" w:after="0"/>
              <w:jc w:val="center"/>
              <w:rPr>
                <w:noProof/>
                <w:sz w:val="22"/>
              </w:rPr>
            </w:pPr>
            <w:r w:rsidRPr="00FA433F">
              <w:rPr>
                <w:b/>
                <w:noProof/>
                <w:sz w:val="22"/>
              </w:rPr>
              <w:t>DG &lt;…….&gt;</w:t>
            </w:r>
          </w:p>
        </w:tc>
        <w:tc>
          <w:tcPr>
            <w:tcW w:w="506" w:type="pct"/>
            <w:tcBorders>
              <w:top w:val="single" w:sz="8" w:space="0" w:color="auto"/>
              <w:left w:val="nil"/>
              <w:bottom w:val="single" w:sz="8" w:space="0" w:color="auto"/>
              <w:right w:val="single" w:sz="8" w:space="0" w:color="auto"/>
            </w:tcBorders>
            <w:vAlign w:val="center"/>
            <w:hideMark/>
          </w:tcPr>
          <w:p w14:paraId="76F20303" w14:textId="77777777" w:rsidR="00757196" w:rsidRPr="00FA433F" w:rsidRDefault="00757196" w:rsidP="00757196">
            <w:pPr>
              <w:spacing w:before="0" w:after="0"/>
              <w:jc w:val="center"/>
              <w:rPr>
                <w:noProof/>
                <w:sz w:val="20"/>
                <w:szCs w:val="20"/>
              </w:rPr>
            </w:pPr>
            <w:r w:rsidRPr="00FA433F">
              <w:rPr>
                <w:noProof/>
                <w:sz w:val="20"/>
              </w:rPr>
              <w:t>Rok</w:t>
            </w:r>
          </w:p>
        </w:tc>
        <w:tc>
          <w:tcPr>
            <w:tcW w:w="505" w:type="pct"/>
            <w:tcBorders>
              <w:top w:val="single" w:sz="8" w:space="0" w:color="auto"/>
              <w:left w:val="nil"/>
              <w:bottom w:val="single" w:sz="8" w:space="0" w:color="auto"/>
              <w:right w:val="single" w:sz="8" w:space="0" w:color="auto"/>
            </w:tcBorders>
            <w:vAlign w:val="center"/>
            <w:hideMark/>
          </w:tcPr>
          <w:p w14:paraId="3D6A8173" w14:textId="77777777" w:rsidR="00757196" w:rsidRPr="00FA433F" w:rsidRDefault="00757196" w:rsidP="00757196">
            <w:pPr>
              <w:spacing w:before="0" w:after="0"/>
              <w:jc w:val="center"/>
              <w:rPr>
                <w:noProof/>
                <w:sz w:val="20"/>
                <w:szCs w:val="20"/>
              </w:rPr>
            </w:pPr>
            <w:r w:rsidRPr="00FA433F">
              <w:rPr>
                <w:noProof/>
                <w:sz w:val="20"/>
              </w:rPr>
              <w:t>Rok</w:t>
            </w:r>
          </w:p>
        </w:tc>
        <w:tc>
          <w:tcPr>
            <w:tcW w:w="505" w:type="pct"/>
            <w:tcBorders>
              <w:top w:val="single" w:sz="8" w:space="0" w:color="auto"/>
              <w:left w:val="nil"/>
              <w:bottom w:val="single" w:sz="8" w:space="0" w:color="auto"/>
              <w:right w:val="single" w:sz="4" w:space="0" w:color="auto"/>
            </w:tcBorders>
            <w:vAlign w:val="center"/>
            <w:hideMark/>
          </w:tcPr>
          <w:p w14:paraId="39F50041" w14:textId="77777777" w:rsidR="00757196" w:rsidRPr="00FA433F" w:rsidRDefault="00757196" w:rsidP="00757196">
            <w:pPr>
              <w:spacing w:before="0" w:after="0"/>
              <w:jc w:val="center"/>
              <w:rPr>
                <w:noProof/>
                <w:sz w:val="20"/>
                <w:szCs w:val="20"/>
              </w:rPr>
            </w:pPr>
            <w:r w:rsidRPr="00FA433F">
              <w:rPr>
                <w:noProof/>
                <w:sz w:val="20"/>
              </w:rPr>
              <w:t>Rok</w:t>
            </w:r>
          </w:p>
        </w:tc>
        <w:tc>
          <w:tcPr>
            <w:tcW w:w="491" w:type="pct"/>
            <w:tcBorders>
              <w:top w:val="single" w:sz="4" w:space="0" w:color="auto"/>
              <w:left w:val="single" w:sz="4" w:space="0" w:color="auto"/>
              <w:bottom w:val="single" w:sz="8" w:space="0" w:color="auto"/>
              <w:right w:val="single" w:sz="4" w:space="0" w:color="auto"/>
            </w:tcBorders>
            <w:vAlign w:val="center"/>
          </w:tcPr>
          <w:p w14:paraId="07179189" w14:textId="77777777" w:rsidR="00757196" w:rsidRPr="00FA433F" w:rsidRDefault="00757196" w:rsidP="00757196">
            <w:pPr>
              <w:spacing w:before="0" w:after="0"/>
              <w:jc w:val="center"/>
              <w:rPr>
                <w:noProof/>
                <w:sz w:val="20"/>
                <w:szCs w:val="20"/>
              </w:rPr>
            </w:pPr>
            <w:r w:rsidRPr="00FA433F">
              <w:rPr>
                <w:noProof/>
                <w:sz w:val="20"/>
              </w:rPr>
              <w:t>Rok</w:t>
            </w:r>
          </w:p>
        </w:tc>
        <w:tc>
          <w:tcPr>
            <w:tcW w:w="491" w:type="pct"/>
            <w:tcBorders>
              <w:top w:val="single" w:sz="8" w:space="0" w:color="auto"/>
              <w:left w:val="single" w:sz="4" w:space="0" w:color="auto"/>
              <w:bottom w:val="single" w:sz="8" w:space="0" w:color="auto"/>
              <w:right w:val="single" w:sz="8" w:space="0" w:color="auto"/>
            </w:tcBorders>
            <w:vAlign w:val="center"/>
            <w:hideMark/>
          </w:tcPr>
          <w:p w14:paraId="2E36F908" w14:textId="77777777" w:rsidR="00757196" w:rsidRPr="00FA433F" w:rsidRDefault="00757196" w:rsidP="00757196">
            <w:pPr>
              <w:spacing w:before="0" w:after="0"/>
              <w:jc w:val="center"/>
              <w:rPr>
                <w:noProof/>
                <w:sz w:val="20"/>
                <w:szCs w:val="20"/>
              </w:rPr>
            </w:pPr>
            <w:r w:rsidRPr="00FA433F">
              <w:rPr>
                <w:noProof/>
                <w:sz w:val="20"/>
              </w:rPr>
              <w:t>Rok</w:t>
            </w:r>
          </w:p>
        </w:tc>
        <w:tc>
          <w:tcPr>
            <w:tcW w:w="577" w:type="pct"/>
            <w:vMerge w:val="restart"/>
            <w:tcBorders>
              <w:top w:val="single" w:sz="8" w:space="0" w:color="auto"/>
              <w:left w:val="single" w:sz="8" w:space="0" w:color="auto"/>
              <w:bottom w:val="single" w:sz="8" w:space="0" w:color="auto"/>
              <w:right w:val="single" w:sz="8" w:space="0" w:color="auto"/>
            </w:tcBorders>
            <w:vAlign w:val="center"/>
            <w:hideMark/>
          </w:tcPr>
          <w:p w14:paraId="0DFC6D98" w14:textId="77777777" w:rsidR="00757196" w:rsidRPr="00FA433F" w:rsidRDefault="00757196" w:rsidP="00757196">
            <w:pPr>
              <w:spacing w:before="0" w:after="0"/>
              <w:jc w:val="center"/>
              <w:rPr>
                <w:b/>
                <w:bCs/>
                <w:noProof/>
                <w:sz w:val="20"/>
                <w:szCs w:val="20"/>
              </w:rPr>
            </w:pPr>
            <w:r w:rsidRPr="00FA433F">
              <w:rPr>
                <w:b/>
                <w:noProof/>
                <w:sz w:val="20"/>
              </w:rPr>
              <w:t>OGÓŁEM 2026–2030</w:t>
            </w:r>
          </w:p>
        </w:tc>
      </w:tr>
      <w:tr w:rsidR="00757196" w:rsidRPr="00FA433F" w14:paraId="2AF51AED" w14:textId="77777777" w:rsidTr="006F209F">
        <w:trPr>
          <w:trHeight w:val="288"/>
          <w:jc w:val="right"/>
        </w:trPr>
        <w:tc>
          <w:tcPr>
            <w:tcW w:w="1924" w:type="pct"/>
            <w:gridSpan w:val="4"/>
            <w:vMerge/>
            <w:tcBorders>
              <w:top w:val="single" w:sz="8" w:space="0" w:color="auto"/>
              <w:left w:val="single" w:sz="8" w:space="0" w:color="auto"/>
              <w:bottom w:val="single" w:sz="8" w:space="0" w:color="auto"/>
              <w:right w:val="single" w:sz="8" w:space="0" w:color="auto"/>
            </w:tcBorders>
            <w:vAlign w:val="center"/>
            <w:hideMark/>
          </w:tcPr>
          <w:p w14:paraId="65642A40" w14:textId="77777777" w:rsidR="00757196" w:rsidRPr="00FA433F" w:rsidRDefault="00757196" w:rsidP="00757196">
            <w:pPr>
              <w:spacing w:before="0" w:after="0"/>
              <w:jc w:val="left"/>
              <w:rPr>
                <w:noProof/>
                <w:sz w:val="22"/>
                <w:lang w:eastAsia="en-IE"/>
              </w:rPr>
            </w:pPr>
          </w:p>
        </w:tc>
        <w:tc>
          <w:tcPr>
            <w:tcW w:w="506" w:type="pct"/>
            <w:tcBorders>
              <w:top w:val="nil"/>
              <w:left w:val="nil"/>
              <w:bottom w:val="single" w:sz="8" w:space="0" w:color="auto"/>
              <w:right w:val="single" w:sz="8" w:space="0" w:color="auto"/>
            </w:tcBorders>
            <w:vAlign w:val="center"/>
            <w:hideMark/>
          </w:tcPr>
          <w:p w14:paraId="4EB5B5C9" w14:textId="77777777" w:rsidR="00757196" w:rsidRPr="00FA433F" w:rsidRDefault="00757196" w:rsidP="00757196">
            <w:pPr>
              <w:spacing w:before="0" w:after="0"/>
              <w:jc w:val="center"/>
              <w:rPr>
                <w:b/>
                <w:bCs/>
                <w:noProof/>
                <w:sz w:val="20"/>
                <w:szCs w:val="20"/>
              </w:rPr>
            </w:pPr>
            <w:r w:rsidRPr="00FA433F">
              <w:rPr>
                <w:b/>
                <w:noProof/>
                <w:sz w:val="20"/>
              </w:rPr>
              <w:t>2026</w:t>
            </w:r>
          </w:p>
        </w:tc>
        <w:tc>
          <w:tcPr>
            <w:tcW w:w="505" w:type="pct"/>
            <w:tcBorders>
              <w:top w:val="nil"/>
              <w:left w:val="nil"/>
              <w:bottom w:val="single" w:sz="8" w:space="0" w:color="auto"/>
              <w:right w:val="single" w:sz="8" w:space="0" w:color="auto"/>
            </w:tcBorders>
            <w:vAlign w:val="center"/>
            <w:hideMark/>
          </w:tcPr>
          <w:p w14:paraId="2C0BC660" w14:textId="77777777" w:rsidR="00757196" w:rsidRPr="00FA433F" w:rsidRDefault="00757196" w:rsidP="00757196">
            <w:pPr>
              <w:spacing w:before="0" w:after="0"/>
              <w:jc w:val="center"/>
              <w:rPr>
                <w:b/>
                <w:bCs/>
                <w:noProof/>
                <w:sz w:val="20"/>
                <w:szCs w:val="20"/>
              </w:rPr>
            </w:pPr>
            <w:r w:rsidRPr="00FA433F">
              <w:rPr>
                <w:b/>
                <w:noProof/>
                <w:sz w:val="20"/>
              </w:rPr>
              <w:t>2027</w:t>
            </w:r>
          </w:p>
        </w:tc>
        <w:tc>
          <w:tcPr>
            <w:tcW w:w="505" w:type="pct"/>
            <w:tcBorders>
              <w:top w:val="nil"/>
              <w:left w:val="nil"/>
              <w:bottom w:val="single" w:sz="8" w:space="0" w:color="auto"/>
              <w:right w:val="single" w:sz="4" w:space="0" w:color="auto"/>
            </w:tcBorders>
            <w:vAlign w:val="center"/>
            <w:hideMark/>
          </w:tcPr>
          <w:p w14:paraId="5AC608FF" w14:textId="77777777" w:rsidR="00757196" w:rsidRPr="00FA433F" w:rsidRDefault="00757196" w:rsidP="00757196">
            <w:pPr>
              <w:spacing w:before="0" w:after="0"/>
              <w:jc w:val="center"/>
              <w:rPr>
                <w:b/>
                <w:bCs/>
                <w:noProof/>
                <w:sz w:val="20"/>
                <w:szCs w:val="20"/>
              </w:rPr>
            </w:pPr>
            <w:r w:rsidRPr="00FA433F">
              <w:rPr>
                <w:b/>
                <w:noProof/>
                <w:sz w:val="20"/>
              </w:rPr>
              <w:t>2028</w:t>
            </w:r>
          </w:p>
        </w:tc>
        <w:tc>
          <w:tcPr>
            <w:tcW w:w="491" w:type="pct"/>
            <w:tcBorders>
              <w:top w:val="nil"/>
              <w:left w:val="single" w:sz="4" w:space="0" w:color="auto"/>
              <w:bottom w:val="single" w:sz="8" w:space="0" w:color="auto"/>
              <w:right w:val="single" w:sz="4" w:space="0" w:color="auto"/>
            </w:tcBorders>
            <w:vAlign w:val="center"/>
          </w:tcPr>
          <w:p w14:paraId="7A53FA59" w14:textId="77777777" w:rsidR="00757196" w:rsidRPr="00FA433F" w:rsidRDefault="00757196" w:rsidP="00757196">
            <w:pPr>
              <w:spacing w:before="0" w:after="0"/>
              <w:jc w:val="center"/>
              <w:rPr>
                <w:b/>
                <w:bCs/>
                <w:noProof/>
                <w:sz w:val="20"/>
                <w:szCs w:val="20"/>
              </w:rPr>
            </w:pPr>
            <w:r w:rsidRPr="00FA433F">
              <w:rPr>
                <w:b/>
                <w:noProof/>
                <w:sz w:val="20"/>
              </w:rPr>
              <w:t>2029</w:t>
            </w:r>
          </w:p>
        </w:tc>
        <w:tc>
          <w:tcPr>
            <w:tcW w:w="491" w:type="pct"/>
            <w:tcBorders>
              <w:top w:val="nil"/>
              <w:left w:val="single" w:sz="4" w:space="0" w:color="auto"/>
              <w:bottom w:val="single" w:sz="8" w:space="0" w:color="auto"/>
              <w:right w:val="single" w:sz="8" w:space="0" w:color="auto"/>
            </w:tcBorders>
            <w:vAlign w:val="center"/>
            <w:hideMark/>
          </w:tcPr>
          <w:p w14:paraId="02B80EC3" w14:textId="77777777" w:rsidR="00757196" w:rsidRPr="00FA433F" w:rsidRDefault="00757196" w:rsidP="00757196">
            <w:pPr>
              <w:spacing w:before="0" w:after="0"/>
              <w:jc w:val="center"/>
              <w:rPr>
                <w:b/>
                <w:bCs/>
                <w:noProof/>
                <w:sz w:val="20"/>
                <w:szCs w:val="20"/>
              </w:rPr>
            </w:pPr>
            <w:r w:rsidRPr="00FA433F">
              <w:rPr>
                <w:b/>
                <w:noProof/>
                <w:sz w:val="20"/>
              </w:rPr>
              <w:t>2030</w:t>
            </w:r>
          </w:p>
        </w:tc>
        <w:tc>
          <w:tcPr>
            <w:tcW w:w="577" w:type="pct"/>
            <w:vMerge/>
            <w:tcBorders>
              <w:top w:val="single" w:sz="8" w:space="0" w:color="auto"/>
              <w:left w:val="single" w:sz="8" w:space="0" w:color="auto"/>
              <w:bottom w:val="single" w:sz="8" w:space="0" w:color="auto"/>
              <w:right w:val="single" w:sz="8" w:space="0" w:color="auto"/>
            </w:tcBorders>
            <w:vAlign w:val="center"/>
            <w:hideMark/>
          </w:tcPr>
          <w:p w14:paraId="6A1B0E01" w14:textId="77777777" w:rsidR="00757196" w:rsidRPr="00FA433F" w:rsidRDefault="00757196" w:rsidP="00757196">
            <w:pPr>
              <w:spacing w:before="0" w:after="0"/>
              <w:jc w:val="left"/>
              <w:rPr>
                <w:b/>
                <w:bCs/>
                <w:noProof/>
                <w:sz w:val="20"/>
                <w:szCs w:val="20"/>
                <w:lang w:eastAsia="en-IE"/>
              </w:rPr>
            </w:pPr>
          </w:p>
        </w:tc>
      </w:tr>
      <w:tr w:rsidR="00757196" w:rsidRPr="00FA433F" w14:paraId="716403D2" w14:textId="77777777" w:rsidTr="006F209F">
        <w:trPr>
          <w:trHeight w:val="300"/>
          <w:jc w:val="right"/>
        </w:trPr>
        <w:tc>
          <w:tcPr>
            <w:tcW w:w="81" w:type="pct"/>
            <w:tcBorders>
              <w:top w:val="single" w:sz="8" w:space="0" w:color="auto"/>
              <w:left w:val="single" w:sz="8" w:space="0" w:color="auto"/>
              <w:bottom w:val="single" w:sz="8" w:space="0" w:color="auto"/>
              <w:right w:val="single" w:sz="4" w:space="0" w:color="auto"/>
            </w:tcBorders>
          </w:tcPr>
          <w:p w14:paraId="1816C96C" w14:textId="77777777" w:rsidR="00757196" w:rsidRPr="00FA433F" w:rsidRDefault="00757196">
            <w:pPr>
              <w:spacing w:before="0" w:after="0"/>
              <w:jc w:val="left"/>
              <w:rPr>
                <w:noProof/>
                <w:sz w:val="21"/>
                <w:szCs w:val="21"/>
                <w:lang w:eastAsia="en-IE"/>
              </w:rPr>
            </w:pPr>
          </w:p>
        </w:tc>
        <w:tc>
          <w:tcPr>
            <w:tcW w:w="4919" w:type="pct"/>
            <w:gridSpan w:val="9"/>
            <w:tcBorders>
              <w:top w:val="single" w:sz="8" w:space="0" w:color="auto"/>
              <w:left w:val="single" w:sz="4" w:space="0" w:color="auto"/>
              <w:bottom w:val="single" w:sz="8" w:space="0" w:color="auto"/>
              <w:right w:val="single" w:sz="4" w:space="0" w:color="auto"/>
            </w:tcBorders>
            <w:vAlign w:val="center"/>
            <w:hideMark/>
          </w:tcPr>
          <w:p w14:paraId="3D39E71C" w14:textId="77777777" w:rsidR="00757196" w:rsidRPr="00FA433F" w:rsidRDefault="00757196">
            <w:pPr>
              <w:spacing w:before="0" w:after="0"/>
              <w:jc w:val="left"/>
              <w:rPr>
                <w:noProof/>
                <w:sz w:val="21"/>
                <w:szCs w:val="21"/>
              </w:rPr>
            </w:pPr>
            <w:r w:rsidRPr="00FA433F">
              <w:rPr>
                <w:noProof/>
                <w:sz w:val="21"/>
              </w:rPr>
              <w:t xml:space="preserve">Środki operacyjne </w:t>
            </w:r>
          </w:p>
        </w:tc>
      </w:tr>
      <w:tr w:rsidR="00800175" w:rsidRPr="00FA433F" w14:paraId="442F5379" w14:textId="77777777" w:rsidTr="006F209F">
        <w:trPr>
          <w:trHeight w:val="288"/>
          <w:jc w:val="right"/>
        </w:trPr>
        <w:tc>
          <w:tcPr>
            <w:tcW w:w="887" w:type="pct"/>
            <w:gridSpan w:val="2"/>
            <w:vMerge w:val="restart"/>
            <w:tcBorders>
              <w:top w:val="nil"/>
              <w:left w:val="single" w:sz="8" w:space="0" w:color="auto"/>
              <w:bottom w:val="single" w:sz="8" w:space="0" w:color="auto"/>
              <w:right w:val="single" w:sz="8" w:space="0" w:color="auto"/>
            </w:tcBorders>
            <w:noWrap/>
            <w:vAlign w:val="center"/>
            <w:hideMark/>
          </w:tcPr>
          <w:p w14:paraId="24F389A6" w14:textId="025AB114" w:rsidR="00757196" w:rsidRPr="00FA433F" w:rsidRDefault="00757196" w:rsidP="00BC482A">
            <w:pPr>
              <w:spacing w:before="0" w:after="0"/>
              <w:jc w:val="left"/>
              <w:rPr>
                <w:noProof/>
                <w:sz w:val="20"/>
                <w:szCs w:val="20"/>
              </w:rPr>
            </w:pPr>
            <w:r w:rsidRPr="00FA433F">
              <w:rPr>
                <w:noProof/>
                <w:sz w:val="20"/>
              </w:rPr>
              <w:t>YY YY YY</w:t>
            </w:r>
            <w:r w:rsidRPr="00FA433F">
              <w:rPr>
                <w:noProof/>
                <w:sz w:val="22"/>
              </w:rPr>
              <w:t xml:space="preserve"> </w:t>
            </w:r>
            <w:r w:rsidRPr="00FA433F">
              <w:rPr>
                <w:noProof/>
                <w:sz w:val="20"/>
              </w:rPr>
              <w:t>Tymczasowy</w:t>
            </w:r>
          </w:p>
          <w:p w14:paraId="2DF4709C" w14:textId="77777777" w:rsidR="00757196" w:rsidRPr="00FA433F" w:rsidRDefault="00757196" w:rsidP="00BC482A">
            <w:pPr>
              <w:spacing w:before="0" w:after="0"/>
              <w:jc w:val="left"/>
              <w:rPr>
                <w:noProof/>
                <w:sz w:val="22"/>
              </w:rPr>
            </w:pPr>
            <w:r w:rsidRPr="00FA433F">
              <w:rPr>
                <w:noProof/>
                <w:sz w:val="20"/>
              </w:rPr>
              <w:t>Fundusz Dekarbonizacji</w:t>
            </w:r>
          </w:p>
        </w:tc>
        <w:tc>
          <w:tcPr>
            <w:tcW w:w="531" w:type="pct"/>
            <w:tcBorders>
              <w:top w:val="nil"/>
              <w:left w:val="nil"/>
              <w:bottom w:val="single" w:sz="8" w:space="0" w:color="auto"/>
              <w:right w:val="single" w:sz="8" w:space="0" w:color="auto"/>
            </w:tcBorders>
            <w:vAlign w:val="center"/>
            <w:hideMark/>
          </w:tcPr>
          <w:p w14:paraId="1590D935" w14:textId="77777777" w:rsidR="00757196" w:rsidRPr="00FA433F" w:rsidRDefault="00757196">
            <w:pPr>
              <w:spacing w:before="0" w:after="0"/>
              <w:rPr>
                <w:noProof/>
                <w:sz w:val="18"/>
                <w:szCs w:val="18"/>
              </w:rPr>
            </w:pPr>
            <w:r w:rsidRPr="00FA433F">
              <w:rPr>
                <w:noProof/>
                <w:sz w:val="18"/>
              </w:rPr>
              <w:t>Środki na zobowiązania</w:t>
            </w:r>
          </w:p>
        </w:tc>
        <w:tc>
          <w:tcPr>
            <w:tcW w:w="506" w:type="pct"/>
            <w:tcBorders>
              <w:top w:val="single" w:sz="8" w:space="0" w:color="auto"/>
              <w:left w:val="nil"/>
              <w:bottom w:val="single" w:sz="8" w:space="0" w:color="auto"/>
              <w:right w:val="single" w:sz="8" w:space="0" w:color="auto"/>
            </w:tcBorders>
            <w:vAlign w:val="center"/>
            <w:hideMark/>
          </w:tcPr>
          <w:p w14:paraId="70E97322" w14:textId="77777777" w:rsidR="00757196" w:rsidRPr="00FA433F" w:rsidRDefault="00757196">
            <w:pPr>
              <w:spacing w:before="0" w:after="0"/>
              <w:jc w:val="center"/>
              <w:rPr>
                <w:noProof/>
                <w:sz w:val="14"/>
                <w:szCs w:val="14"/>
              </w:rPr>
            </w:pPr>
            <w:r w:rsidRPr="00FA433F">
              <w:rPr>
                <w:noProof/>
                <w:sz w:val="14"/>
              </w:rPr>
              <w:t>(1a)</w:t>
            </w:r>
          </w:p>
        </w:tc>
        <w:tc>
          <w:tcPr>
            <w:tcW w:w="506" w:type="pct"/>
            <w:tcBorders>
              <w:top w:val="nil"/>
              <w:left w:val="nil"/>
              <w:bottom w:val="single" w:sz="8" w:space="0" w:color="auto"/>
              <w:right w:val="single" w:sz="8" w:space="0" w:color="auto"/>
            </w:tcBorders>
            <w:vAlign w:val="center"/>
            <w:hideMark/>
          </w:tcPr>
          <w:p w14:paraId="46F2D7FC" w14:textId="77777777" w:rsidR="00757196" w:rsidRPr="00FA433F" w:rsidRDefault="00757196">
            <w:pPr>
              <w:spacing w:before="0" w:after="0"/>
              <w:jc w:val="right"/>
              <w:rPr>
                <w:noProof/>
                <w:sz w:val="20"/>
                <w:szCs w:val="20"/>
                <w:lang w:eastAsia="en-IE"/>
              </w:rPr>
            </w:pPr>
          </w:p>
        </w:tc>
        <w:tc>
          <w:tcPr>
            <w:tcW w:w="505" w:type="pct"/>
            <w:tcBorders>
              <w:top w:val="nil"/>
              <w:left w:val="nil"/>
              <w:bottom w:val="single" w:sz="8" w:space="0" w:color="auto"/>
              <w:right w:val="single" w:sz="8" w:space="0" w:color="auto"/>
            </w:tcBorders>
            <w:vAlign w:val="center"/>
            <w:hideMark/>
          </w:tcPr>
          <w:p w14:paraId="6D54C978" w14:textId="77777777" w:rsidR="00757196" w:rsidRPr="00FA433F" w:rsidRDefault="00757196">
            <w:pPr>
              <w:spacing w:before="0" w:after="0"/>
              <w:jc w:val="right"/>
              <w:rPr>
                <w:noProof/>
                <w:sz w:val="20"/>
                <w:szCs w:val="20"/>
              </w:rPr>
            </w:pPr>
            <w:r w:rsidRPr="00FA433F">
              <w:rPr>
                <w:noProof/>
                <w:sz w:val="20"/>
              </w:rPr>
              <w:t>0,000</w:t>
            </w:r>
          </w:p>
        </w:tc>
        <w:tc>
          <w:tcPr>
            <w:tcW w:w="505" w:type="pct"/>
            <w:tcBorders>
              <w:top w:val="nil"/>
              <w:left w:val="nil"/>
              <w:bottom w:val="single" w:sz="8" w:space="0" w:color="auto"/>
              <w:right w:val="single" w:sz="4" w:space="0" w:color="auto"/>
            </w:tcBorders>
            <w:vAlign w:val="center"/>
            <w:hideMark/>
          </w:tcPr>
          <w:p w14:paraId="68C1E226" w14:textId="77777777" w:rsidR="00757196" w:rsidRPr="00FA433F" w:rsidRDefault="00332250">
            <w:pPr>
              <w:spacing w:before="0" w:after="0"/>
              <w:jc w:val="right"/>
              <w:rPr>
                <w:noProof/>
                <w:sz w:val="20"/>
                <w:szCs w:val="20"/>
              </w:rPr>
            </w:pPr>
            <w:r w:rsidRPr="00FA433F">
              <w:rPr>
                <w:noProof/>
                <w:sz w:val="20"/>
              </w:rPr>
              <w:t>p.m.</w:t>
            </w:r>
          </w:p>
        </w:tc>
        <w:tc>
          <w:tcPr>
            <w:tcW w:w="491" w:type="pct"/>
            <w:tcBorders>
              <w:top w:val="nil"/>
              <w:left w:val="single" w:sz="4" w:space="0" w:color="auto"/>
              <w:bottom w:val="single" w:sz="8" w:space="0" w:color="auto"/>
              <w:right w:val="single" w:sz="4" w:space="0" w:color="auto"/>
            </w:tcBorders>
            <w:vAlign w:val="center"/>
          </w:tcPr>
          <w:p w14:paraId="710DB8D3" w14:textId="77777777" w:rsidR="00757196" w:rsidRPr="00FA433F" w:rsidRDefault="00134CAD">
            <w:pPr>
              <w:spacing w:before="0" w:after="0"/>
              <w:jc w:val="right"/>
              <w:rPr>
                <w:noProof/>
                <w:sz w:val="20"/>
                <w:szCs w:val="20"/>
              </w:rPr>
            </w:pPr>
            <w:r w:rsidRPr="00FA433F">
              <w:rPr>
                <w:noProof/>
                <w:sz w:val="20"/>
              </w:rPr>
              <w:t>p.m.</w:t>
            </w:r>
          </w:p>
        </w:tc>
        <w:tc>
          <w:tcPr>
            <w:tcW w:w="491" w:type="pct"/>
            <w:tcBorders>
              <w:top w:val="nil"/>
              <w:left w:val="single" w:sz="4" w:space="0" w:color="auto"/>
              <w:bottom w:val="single" w:sz="8" w:space="0" w:color="auto"/>
              <w:right w:val="single" w:sz="8" w:space="0" w:color="auto"/>
            </w:tcBorders>
            <w:vAlign w:val="center"/>
            <w:hideMark/>
          </w:tcPr>
          <w:p w14:paraId="36785B82" w14:textId="77777777" w:rsidR="00757196" w:rsidRPr="00FA433F" w:rsidRDefault="00757196">
            <w:pPr>
              <w:spacing w:before="0" w:after="0"/>
              <w:jc w:val="right"/>
              <w:rPr>
                <w:noProof/>
                <w:sz w:val="20"/>
                <w:szCs w:val="20"/>
                <w:lang w:eastAsia="en-IE"/>
              </w:rPr>
            </w:pPr>
          </w:p>
        </w:tc>
        <w:tc>
          <w:tcPr>
            <w:tcW w:w="577" w:type="pct"/>
            <w:tcBorders>
              <w:top w:val="nil"/>
              <w:left w:val="nil"/>
              <w:bottom w:val="single" w:sz="8" w:space="0" w:color="auto"/>
              <w:right w:val="single" w:sz="8" w:space="0" w:color="auto"/>
            </w:tcBorders>
            <w:shd w:val="clear" w:color="000000" w:fill="D9D9D9"/>
            <w:vAlign w:val="center"/>
            <w:hideMark/>
          </w:tcPr>
          <w:p w14:paraId="425B5096" w14:textId="77777777" w:rsidR="00757196" w:rsidRPr="00FA433F" w:rsidRDefault="00C356AD">
            <w:pPr>
              <w:spacing w:before="0" w:after="0"/>
              <w:jc w:val="right"/>
              <w:rPr>
                <w:b/>
                <w:bCs/>
                <w:noProof/>
                <w:sz w:val="20"/>
                <w:szCs w:val="20"/>
              </w:rPr>
            </w:pPr>
            <w:r w:rsidRPr="00FA433F">
              <w:rPr>
                <w:b/>
                <w:noProof/>
                <w:sz w:val="20"/>
              </w:rPr>
              <w:t>p.m.</w:t>
            </w:r>
          </w:p>
        </w:tc>
      </w:tr>
      <w:tr w:rsidR="00800175" w:rsidRPr="00FA433F" w14:paraId="6A00F3AC" w14:textId="77777777" w:rsidTr="006F209F">
        <w:trPr>
          <w:trHeight w:val="315"/>
          <w:jc w:val="right"/>
        </w:trPr>
        <w:tc>
          <w:tcPr>
            <w:tcW w:w="887" w:type="pct"/>
            <w:gridSpan w:val="2"/>
            <w:vMerge/>
            <w:tcBorders>
              <w:top w:val="nil"/>
              <w:left w:val="single" w:sz="8" w:space="0" w:color="auto"/>
              <w:bottom w:val="single" w:sz="8" w:space="0" w:color="auto"/>
              <w:right w:val="single" w:sz="8" w:space="0" w:color="auto"/>
            </w:tcBorders>
            <w:vAlign w:val="center"/>
            <w:hideMark/>
          </w:tcPr>
          <w:p w14:paraId="66A21FA6" w14:textId="77777777" w:rsidR="00757196" w:rsidRPr="00FA433F" w:rsidRDefault="00757196">
            <w:pPr>
              <w:spacing w:before="0" w:after="0"/>
              <w:jc w:val="left"/>
              <w:rPr>
                <w:noProof/>
                <w:sz w:val="22"/>
                <w:lang w:eastAsia="en-IE"/>
              </w:rPr>
            </w:pPr>
          </w:p>
        </w:tc>
        <w:tc>
          <w:tcPr>
            <w:tcW w:w="531" w:type="pct"/>
            <w:tcBorders>
              <w:top w:val="nil"/>
              <w:left w:val="nil"/>
              <w:bottom w:val="single" w:sz="8" w:space="0" w:color="auto"/>
              <w:right w:val="single" w:sz="8" w:space="0" w:color="auto"/>
            </w:tcBorders>
            <w:vAlign w:val="center"/>
            <w:hideMark/>
          </w:tcPr>
          <w:p w14:paraId="74A50336" w14:textId="77777777" w:rsidR="00757196" w:rsidRPr="00FA433F" w:rsidRDefault="00757196">
            <w:pPr>
              <w:spacing w:before="0" w:after="0"/>
              <w:rPr>
                <w:noProof/>
                <w:sz w:val="18"/>
                <w:szCs w:val="18"/>
              </w:rPr>
            </w:pPr>
            <w:r w:rsidRPr="00FA433F">
              <w:rPr>
                <w:noProof/>
                <w:sz w:val="18"/>
              </w:rPr>
              <w:t>Środki na płatności</w:t>
            </w:r>
          </w:p>
        </w:tc>
        <w:tc>
          <w:tcPr>
            <w:tcW w:w="506" w:type="pct"/>
            <w:tcBorders>
              <w:top w:val="single" w:sz="8" w:space="0" w:color="auto"/>
              <w:left w:val="nil"/>
              <w:bottom w:val="single" w:sz="8" w:space="0" w:color="auto"/>
              <w:right w:val="single" w:sz="8" w:space="0" w:color="auto"/>
            </w:tcBorders>
            <w:vAlign w:val="center"/>
            <w:hideMark/>
          </w:tcPr>
          <w:p w14:paraId="79791BA2" w14:textId="77777777" w:rsidR="00757196" w:rsidRPr="00FA433F" w:rsidRDefault="00757196">
            <w:pPr>
              <w:spacing w:before="0" w:after="0"/>
              <w:jc w:val="center"/>
              <w:rPr>
                <w:noProof/>
                <w:sz w:val="14"/>
                <w:szCs w:val="14"/>
              </w:rPr>
            </w:pPr>
            <w:r w:rsidRPr="00FA433F">
              <w:rPr>
                <w:noProof/>
                <w:sz w:val="14"/>
              </w:rPr>
              <w:t>(2a)</w:t>
            </w:r>
          </w:p>
        </w:tc>
        <w:tc>
          <w:tcPr>
            <w:tcW w:w="506" w:type="pct"/>
            <w:tcBorders>
              <w:top w:val="nil"/>
              <w:left w:val="nil"/>
              <w:bottom w:val="single" w:sz="8" w:space="0" w:color="auto"/>
              <w:right w:val="single" w:sz="8" w:space="0" w:color="auto"/>
            </w:tcBorders>
            <w:vAlign w:val="center"/>
            <w:hideMark/>
          </w:tcPr>
          <w:p w14:paraId="36262125" w14:textId="77777777" w:rsidR="00757196" w:rsidRPr="00FA433F" w:rsidRDefault="00757196">
            <w:pPr>
              <w:spacing w:before="0" w:after="0"/>
              <w:jc w:val="right"/>
              <w:rPr>
                <w:noProof/>
                <w:sz w:val="20"/>
                <w:szCs w:val="20"/>
                <w:lang w:eastAsia="en-IE"/>
              </w:rPr>
            </w:pPr>
          </w:p>
        </w:tc>
        <w:tc>
          <w:tcPr>
            <w:tcW w:w="505" w:type="pct"/>
            <w:tcBorders>
              <w:top w:val="nil"/>
              <w:left w:val="nil"/>
              <w:bottom w:val="single" w:sz="8" w:space="0" w:color="auto"/>
              <w:right w:val="single" w:sz="8" w:space="0" w:color="auto"/>
            </w:tcBorders>
            <w:vAlign w:val="center"/>
            <w:hideMark/>
          </w:tcPr>
          <w:p w14:paraId="6FD255B1" w14:textId="77777777" w:rsidR="00757196" w:rsidRPr="00FA433F" w:rsidRDefault="00757196">
            <w:pPr>
              <w:spacing w:before="0" w:after="0"/>
              <w:jc w:val="right"/>
              <w:rPr>
                <w:noProof/>
                <w:sz w:val="20"/>
                <w:szCs w:val="20"/>
                <w:lang w:eastAsia="en-IE"/>
              </w:rPr>
            </w:pPr>
          </w:p>
        </w:tc>
        <w:tc>
          <w:tcPr>
            <w:tcW w:w="505" w:type="pct"/>
            <w:tcBorders>
              <w:top w:val="nil"/>
              <w:left w:val="nil"/>
              <w:bottom w:val="single" w:sz="8" w:space="0" w:color="auto"/>
              <w:right w:val="single" w:sz="4" w:space="0" w:color="auto"/>
            </w:tcBorders>
            <w:vAlign w:val="center"/>
            <w:hideMark/>
          </w:tcPr>
          <w:p w14:paraId="732E4B8D" w14:textId="77777777" w:rsidR="00757196" w:rsidRPr="00FA433F" w:rsidRDefault="00332250">
            <w:pPr>
              <w:spacing w:before="0" w:after="0"/>
              <w:jc w:val="right"/>
              <w:rPr>
                <w:noProof/>
                <w:sz w:val="20"/>
                <w:szCs w:val="20"/>
              </w:rPr>
            </w:pPr>
            <w:r w:rsidRPr="00FA433F">
              <w:rPr>
                <w:noProof/>
                <w:sz w:val="20"/>
              </w:rPr>
              <w:t>p.m.</w:t>
            </w:r>
          </w:p>
        </w:tc>
        <w:tc>
          <w:tcPr>
            <w:tcW w:w="491" w:type="pct"/>
            <w:tcBorders>
              <w:top w:val="nil"/>
              <w:left w:val="single" w:sz="4" w:space="0" w:color="auto"/>
              <w:bottom w:val="single" w:sz="8" w:space="0" w:color="auto"/>
              <w:right w:val="single" w:sz="4" w:space="0" w:color="auto"/>
            </w:tcBorders>
            <w:vAlign w:val="center"/>
          </w:tcPr>
          <w:p w14:paraId="521561EC" w14:textId="77777777" w:rsidR="00757196" w:rsidRPr="00FA433F" w:rsidRDefault="00134CAD">
            <w:pPr>
              <w:spacing w:before="0" w:after="0"/>
              <w:jc w:val="right"/>
              <w:rPr>
                <w:noProof/>
                <w:sz w:val="20"/>
                <w:szCs w:val="20"/>
              </w:rPr>
            </w:pPr>
            <w:r w:rsidRPr="00FA433F">
              <w:rPr>
                <w:noProof/>
                <w:sz w:val="20"/>
              </w:rPr>
              <w:t>p.m.</w:t>
            </w:r>
          </w:p>
        </w:tc>
        <w:tc>
          <w:tcPr>
            <w:tcW w:w="491" w:type="pct"/>
            <w:tcBorders>
              <w:top w:val="nil"/>
              <w:left w:val="single" w:sz="4" w:space="0" w:color="auto"/>
              <w:bottom w:val="single" w:sz="8" w:space="0" w:color="auto"/>
              <w:right w:val="single" w:sz="8" w:space="0" w:color="auto"/>
            </w:tcBorders>
            <w:vAlign w:val="center"/>
            <w:hideMark/>
          </w:tcPr>
          <w:p w14:paraId="195A84C3" w14:textId="77777777" w:rsidR="00757196" w:rsidRPr="00FA433F" w:rsidRDefault="00C356AD">
            <w:pPr>
              <w:spacing w:before="0" w:after="0"/>
              <w:jc w:val="right"/>
              <w:rPr>
                <w:noProof/>
                <w:sz w:val="20"/>
                <w:szCs w:val="20"/>
              </w:rPr>
            </w:pPr>
            <w:r w:rsidRPr="00FA433F">
              <w:rPr>
                <w:noProof/>
                <w:sz w:val="20"/>
              </w:rPr>
              <w:t>p.m.</w:t>
            </w:r>
          </w:p>
        </w:tc>
        <w:tc>
          <w:tcPr>
            <w:tcW w:w="577" w:type="pct"/>
            <w:tcBorders>
              <w:top w:val="nil"/>
              <w:left w:val="nil"/>
              <w:bottom w:val="single" w:sz="8" w:space="0" w:color="auto"/>
              <w:right w:val="single" w:sz="8" w:space="0" w:color="auto"/>
            </w:tcBorders>
            <w:shd w:val="clear" w:color="000000" w:fill="D9D9D9"/>
            <w:vAlign w:val="center"/>
            <w:hideMark/>
          </w:tcPr>
          <w:p w14:paraId="40A3E124" w14:textId="77777777" w:rsidR="00757196" w:rsidRPr="00FA433F" w:rsidRDefault="00C356AD">
            <w:pPr>
              <w:spacing w:before="0" w:after="0"/>
              <w:jc w:val="right"/>
              <w:rPr>
                <w:b/>
                <w:bCs/>
                <w:noProof/>
                <w:sz w:val="20"/>
                <w:szCs w:val="20"/>
              </w:rPr>
            </w:pPr>
            <w:r w:rsidRPr="00FA433F">
              <w:rPr>
                <w:b/>
                <w:noProof/>
                <w:sz w:val="20"/>
              </w:rPr>
              <w:t>p.m.</w:t>
            </w:r>
          </w:p>
        </w:tc>
      </w:tr>
      <w:tr w:rsidR="00800175" w:rsidRPr="00FA433F" w14:paraId="46B464B7" w14:textId="77777777" w:rsidTr="006F209F">
        <w:trPr>
          <w:trHeight w:val="315"/>
          <w:jc w:val="right"/>
        </w:trPr>
        <w:tc>
          <w:tcPr>
            <w:tcW w:w="887" w:type="pct"/>
            <w:gridSpan w:val="2"/>
            <w:vMerge w:val="restart"/>
            <w:tcBorders>
              <w:top w:val="nil"/>
              <w:left w:val="single" w:sz="8" w:space="0" w:color="auto"/>
              <w:bottom w:val="single" w:sz="8" w:space="0" w:color="auto"/>
              <w:right w:val="single" w:sz="8" w:space="0" w:color="auto"/>
            </w:tcBorders>
            <w:vAlign w:val="center"/>
            <w:hideMark/>
          </w:tcPr>
          <w:p w14:paraId="41910645" w14:textId="6C47F0AE" w:rsidR="00757196" w:rsidRPr="00FA433F" w:rsidRDefault="00757196" w:rsidP="00757196">
            <w:pPr>
              <w:spacing w:before="0" w:after="0"/>
              <w:rPr>
                <w:noProof/>
                <w:sz w:val="20"/>
                <w:szCs w:val="20"/>
              </w:rPr>
            </w:pPr>
            <w:r w:rsidRPr="00FA433F">
              <w:rPr>
                <w:noProof/>
                <w:sz w:val="20"/>
              </w:rPr>
              <w:t>YY YY YY</w:t>
            </w:r>
            <w:r w:rsidRPr="00FA433F">
              <w:rPr>
                <w:noProof/>
              </w:rPr>
              <w:t xml:space="preserve"> </w:t>
            </w:r>
            <w:r w:rsidRPr="00FA433F">
              <w:rPr>
                <w:noProof/>
                <w:sz w:val="20"/>
              </w:rPr>
              <w:t>Tymczasowy</w:t>
            </w:r>
          </w:p>
          <w:p w14:paraId="73AA5769" w14:textId="77777777" w:rsidR="00757196" w:rsidRPr="00FA433F" w:rsidRDefault="00757196" w:rsidP="00757196">
            <w:pPr>
              <w:spacing w:before="0" w:after="0"/>
              <w:rPr>
                <w:noProof/>
                <w:sz w:val="20"/>
                <w:szCs w:val="20"/>
              </w:rPr>
            </w:pPr>
            <w:r w:rsidRPr="00FA433F">
              <w:rPr>
                <w:noProof/>
                <w:sz w:val="20"/>
              </w:rPr>
              <w:t>Fundusz Dekarbonizacji – wydatki administracyjne</w:t>
            </w:r>
          </w:p>
        </w:tc>
        <w:tc>
          <w:tcPr>
            <w:tcW w:w="531" w:type="pct"/>
            <w:tcBorders>
              <w:top w:val="nil"/>
              <w:left w:val="nil"/>
              <w:bottom w:val="single" w:sz="8" w:space="0" w:color="auto"/>
              <w:right w:val="single" w:sz="8" w:space="0" w:color="auto"/>
            </w:tcBorders>
            <w:vAlign w:val="center"/>
            <w:hideMark/>
          </w:tcPr>
          <w:p w14:paraId="68E848E2" w14:textId="77777777" w:rsidR="00757196" w:rsidRPr="00FA433F" w:rsidRDefault="00757196">
            <w:pPr>
              <w:spacing w:before="0" w:after="0"/>
              <w:rPr>
                <w:noProof/>
                <w:sz w:val="18"/>
                <w:szCs w:val="18"/>
              </w:rPr>
            </w:pPr>
            <w:r w:rsidRPr="00FA433F">
              <w:rPr>
                <w:noProof/>
                <w:sz w:val="18"/>
              </w:rPr>
              <w:t>Środki na zobowiązania</w:t>
            </w:r>
          </w:p>
        </w:tc>
        <w:tc>
          <w:tcPr>
            <w:tcW w:w="506" w:type="pct"/>
            <w:tcBorders>
              <w:top w:val="single" w:sz="8" w:space="0" w:color="auto"/>
              <w:left w:val="nil"/>
              <w:bottom w:val="single" w:sz="8" w:space="0" w:color="auto"/>
              <w:right w:val="single" w:sz="8" w:space="0" w:color="auto"/>
            </w:tcBorders>
            <w:vAlign w:val="center"/>
            <w:hideMark/>
          </w:tcPr>
          <w:p w14:paraId="3240FC1D" w14:textId="77777777" w:rsidR="00757196" w:rsidRPr="00FA433F" w:rsidRDefault="00757196">
            <w:pPr>
              <w:spacing w:before="0" w:after="0"/>
              <w:jc w:val="center"/>
              <w:rPr>
                <w:noProof/>
                <w:sz w:val="14"/>
                <w:szCs w:val="14"/>
              </w:rPr>
            </w:pPr>
            <w:r w:rsidRPr="00FA433F">
              <w:rPr>
                <w:noProof/>
                <w:sz w:val="14"/>
              </w:rPr>
              <w:t>(1b)</w:t>
            </w:r>
          </w:p>
        </w:tc>
        <w:tc>
          <w:tcPr>
            <w:tcW w:w="506" w:type="pct"/>
            <w:tcBorders>
              <w:top w:val="nil"/>
              <w:left w:val="nil"/>
              <w:bottom w:val="single" w:sz="8" w:space="0" w:color="auto"/>
              <w:right w:val="single" w:sz="8" w:space="0" w:color="auto"/>
            </w:tcBorders>
            <w:vAlign w:val="center"/>
            <w:hideMark/>
          </w:tcPr>
          <w:p w14:paraId="0214C19A" w14:textId="77777777" w:rsidR="00757196" w:rsidRPr="00FA433F" w:rsidRDefault="00757196">
            <w:pPr>
              <w:spacing w:before="0" w:after="0"/>
              <w:jc w:val="right"/>
              <w:rPr>
                <w:noProof/>
                <w:sz w:val="20"/>
                <w:szCs w:val="20"/>
                <w:lang w:eastAsia="en-IE"/>
              </w:rPr>
            </w:pPr>
          </w:p>
        </w:tc>
        <w:tc>
          <w:tcPr>
            <w:tcW w:w="505" w:type="pct"/>
            <w:tcBorders>
              <w:top w:val="nil"/>
              <w:left w:val="nil"/>
              <w:bottom w:val="single" w:sz="8" w:space="0" w:color="auto"/>
              <w:right w:val="single" w:sz="8" w:space="0" w:color="auto"/>
            </w:tcBorders>
            <w:vAlign w:val="center"/>
            <w:hideMark/>
          </w:tcPr>
          <w:p w14:paraId="7153D4FC" w14:textId="77777777" w:rsidR="00757196" w:rsidRPr="00FA433F" w:rsidRDefault="00870732">
            <w:pPr>
              <w:spacing w:before="0" w:after="0"/>
              <w:jc w:val="right"/>
              <w:rPr>
                <w:noProof/>
                <w:sz w:val="20"/>
                <w:szCs w:val="20"/>
              </w:rPr>
            </w:pPr>
            <w:r w:rsidRPr="00FA433F">
              <w:rPr>
                <w:noProof/>
                <w:sz w:val="20"/>
              </w:rPr>
              <w:t>0,000</w:t>
            </w:r>
          </w:p>
        </w:tc>
        <w:tc>
          <w:tcPr>
            <w:tcW w:w="505" w:type="pct"/>
            <w:tcBorders>
              <w:top w:val="nil"/>
              <w:left w:val="nil"/>
              <w:bottom w:val="single" w:sz="8" w:space="0" w:color="auto"/>
              <w:right w:val="single" w:sz="4" w:space="0" w:color="auto"/>
            </w:tcBorders>
            <w:vAlign w:val="center"/>
            <w:hideMark/>
          </w:tcPr>
          <w:p w14:paraId="381EAF8D" w14:textId="77777777" w:rsidR="00757196" w:rsidRPr="00FA433F" w:rsidRDefault="007C6F33">
            <w:pPr>
              <w:spacing w:before="0" w:after="0"/>
              <w:jc w:val="right"/>
              <w:rPr>
                <w:noProof/>
                <w:sz w:val="20"/>
                <w:szCs w:val="20"/>
              </w:rPr>
            </w:pPr>
            <w:r w:rsidRPr="00FA433F">
              <w:rPr>
                <w:noProof/>
                <w:sz w:val="20"/>
              </w:rPr>
              <w:t>1,329</w:t>
            </w:r>
          </w:p>
        </w:tc>
        <w:tc>
          <w:tcPr>
            <w:tcW w:w="491" w:type="pct"/>
            <w:tcBorders>
              <w:top w:val="nil"/>
              <w:left w:val="single" w:sz="4" w:space="0" w:color="auto"/>
              <w:bottom w:val="single" w:sz="8" w:space="0" w:color="auto"/>
              <w:right w:val="single" w:sz="4" w:space="0" w:color="auto"/>
            </w:tcBorders>
            <w:vAlign w:val="center"/>
          </w:tcPr>
          <w:p w14:paraId="0C418347" w14:textId="77777777" w:rsidR="00757196" w:rsidRPr="00FA433F" w:rsidRDefault="007C6F33">
            <w:pPr>
              <w:spacing w:before="0" w:after="0"/>
              <w:jc w:val="right"/>
              <w:rPr>
                <w:noProof/>
                <w:sz w:val="20"/>
                <w:szCs w:val="20"/>
              </w:rPr>
            </w:pPr>
            <w:r w:rsidRPr="00FA433F">
              <w:rPr>
                <w:noProof/>
                <w:sz w:val="20"/>
              </w:rPr>
              <w:t>0,953</w:t>
            </w:r>
          </w:p>
        </w:tc>
        <w:tc>
          <w:tcPr>
            <w:tcW w:w="491" w:type="pct"/>
            <w:tcBorders>
              <w:top w:val="nil"/>
              <w:left w:val="single" w:sz="4" w:space="0" w:color="auto"/>
              <w:bottom w:val="single" w:sz="8" w:space="0" w:color="auto"/>
              <w:right w:val="single" w:sz="8" w:space="0" w:color="auto"/>
            </w:tcBorders>
            <w:vAlign w:val="center"/>
            <w:hideMark/>
          </w:tcPr>
          <w:p w14:paraId="4855E01B" w14:textId="77777777" w:rsidR="00757196" w:rsidRPr="00FA433F" w:rsidRDefault="007C6F33">
            <w:pPr>
              <w:spacing w:before="0" w:after="0"/>
              <w:jc w:val="right"/>
              <w:rPr>
                <w:noProof/>
                <w:sz w:val="20"/>
                <w:szCs w:val="20"/>
              </w:rPr>
            </w:pPr>
            <w:r w:rsidRPr="00FA433F">
              <w:rPr>
                <w:noProof/>
                <w:sz w:val="20"/>
              </w:rPr>
              <w:t>0,751</w:t>
            </w:r>
          </w:p>
        </w:tc>
        <w:tc>
          <w:tcPr>
            <w:tcW w:w="577" w:type="pct"/>
            <w:tcBorders>
              <w:top w:val="nil"/>
              <w:left w:val="nil"/>
              <w:bottom w:val="single" w:sz="8" w:space="0" w:color="auto"/>
              <w:right w:val="single" w:sz="8" w:space="0" w:color="auto"/>
            </w:tcBorders>
            <w:shd w:val="clear" w:color="000000" w:fill="D9D9D9"/>
            <w:vAlign w:val="center"/>
            <w:hideMark/>
          </w:tcPr>
          <w:p w14:paraId="2183572F" w14:textId="77777777" w:rsidR="00757196" w:rsidRPr="00FA433F" w:rsidRDefault="00097524">
            <w:pPr>
              <w:spacing w:before="0" w:after="0"/>
              <w:jc w:val="right"/>
              <w:rPr>
                <w:b/>
                <w:bCs/>
                <w:noProof/>
                <w:sz w:val="20"/>
                <w:szCs w:val="20"/>
              </w:rPr>
            </w:pPr>
            <w:r w:rsidRPr="00FA433F">
              <w:rPr>
                <w:b/>
                <w:noProof/>
                <w:sz w:val="20"/>
              </w:rPr>
              <w:t>3,262</w:t>
            </w:r>
          </w:p>
        </w:tc>
      </w:tr>
      <w:tr w:rsidR="00800175" w:rsidRPr="00FA433F" w14:paraId="5BD881F4" w14:textId="77777777" w:rsidTr="006F209F">
        <w:trPr>
          <w:trHeight w:val="315"/>
          <w:jc w:val="right"/>
        </w:trPr>
        <w:tc>
          <w:tcPr>
            <w:tcW w:w="887" w:type="pct"/>
            <w:gridSpan w:val="2"/>
            <w:vMerge/>
            <w:tcBorders>
              <w:top w:val="nil"/>
              <w:left w:val="single" w:sz="8" w:space="0" w:color="auto"/>
              <w:bottom w:val="single" w:sz="8" w:space="0" w:color="auto"/>
              <w:right w:val="single" w:sz="8" w:space="0" w:color="auto"/>
            </w:tcBorders>
            <w:vAlign w:val="center"/>
            <w:hideMark/>
          </w:tcPr>
          <w:p w14:paraId="118894A1" w14:textId="77777777" w:rsidR="00757196" w:rsidRPr="00FA433F" w:rsidRDefault="00757196">
            <w:pPr>
              <w:spacing w:before="0" w:after="0"/>
              <w:jc w:val="left"/>
              <w:rPr>
                <w:noProof/>
                <w:sz w:val="20"/>
                <w:szCs w:val="20"/>
                <w:lang w:eastAsia="en-IE"/>
              </w:rPr>
            </w:pPr>
          </w:p>
        </w:tc>
        <w:tc>
          <w:tcPr>
            <w:tcW w:w="531" w:type="pct"/>
            <w:tcBorders>
              <w:top w:val="nil"/>
              <w:left w:val="nil"/>
              <w:bottom w:val="single" w:sz="8" w:space="0" w:color="auto"/>
              <w:right w:val="single" w:sz="8" w:space="0" w:color="auto"/>
            </w:tcBorders>
            <w:vAlign w:val="center"/>
            <w:hideMark/>
          </w:tcPr>
          <w:p w14:paraId="3FBA974A" w14:textId="77777777" w:rsidR="00757196" w:rsidRPr="00FA433F" w:rsidRDefault="00757196">
            <w:pPr>
              <w:spacing w:before="0" w:after="0"/>
              <w:rPr>
                <w:noProof/>
                <w:sz w:val="18"/>
                <w:szCs w:val="18"/>
              </w:rPr>
            </w:pPr>
            <w:r w:rsidRPr="00FA433F">
              <w:rPr>
                <w:noProof/>
                <w:sz w:val="18"/>
              </w:rPr>
              <w:t>Środki na płatności</w:t>
            </w:r>
          </w:p>
        </w:tc>
        <w:tc>
          <w:tcPr>
            <w:tcW w:w="506" w:type="pct"/>
            <w:tcBorders>
              <w:top w:val="single" w:sz="8" w:space="0" w:color="auto"/>
              <w:left w:val="nil"/>
              <w:bottom w:val="single" w:sz="8" w:space="0" w:color="auto"/>
              <w:right w:val="single" w:sz="8" w:space="0" w:color="auto"/>
            </w:tcBorders>
            <w:vAlign w:val="center"/>
            <w:hideMark/>
          </w:tcPr>
          <w:p w14:paraId="744AD190" w14:textId="77777777" w:rsidR="00757196" w:rsidRPr="00FA433F" w:rsidRDefault="00757196">
            <w:pPr>
              <w:spacing w:before="0" w:after="0"/>
              <w:jc w:val="center"/>
              <w:rPr>
                <w:noProof/>
                <w:sz w:val="14"/>
                <w:szCs w:val="14"/>
              </w:rPr>
            </w:pPr>
            <w:r w:rsidRPr="00FA433F">
              <w:rPr>
                <w:noProof/>
                <w:sz w:val="14"/>
              </w:rPr>
              <w:t>(2b)</w:t>
            </w:r>
          </w:p>
        </w:tc>
        <w:tc>
          <w:tcPr>
            <w:tcW w:w="506" w:type="pct"/>
            <w:tcBorders>
              <w:top w:val="nil"/>
              <w:left w:val="nil"/>
              <w:bottom w:val="single" w:sz="8" w:space="0" w:color="auto"/>
              <w:right w:val="single" w:sz="8" w:space="0" w:color="auto"/>
            </w:tcBorders>
            <w:vAlign w:val="center"/>
            <w:hideMark/>
          </w:tcPr>
          <w:p w14:paraId="75567FCA" w14:textId="77777777" w:rsidR="00757196" w:rsidRPr="00FA433F" w:rsidRDefault="00757196">
            <w:pPr>
              <w:spacing w:before="0" w:after="0"/>
              <w:jc w:val="right"/>
              <w:rPr>
                <w:noProof/>
                <w:sz w:val="20"/>
                <w:szCs w:val="20"/>
                <w:lang w:eastAsia="en-IE"/>
              </w:rPr>
            </w:pPr>
          </w:p>
        </w:tc>
        <w:tc>
          <w:tcPr>
            <w:tcW w:w="505" w:type="pct"/>
            <w:tcBorders>
              <w:top w:val="nil"/>
              <w:left w:val="nil"/>
              <w:bottom w:val="single" w:sz="8" w:space="0" w:color="auto"/>
              <w:right w:val="single" w:sz="8" w:space="0" w:color="auto"/>
            </w:tcBorders>
            <w:vAlign w:val="center"/>
            <w:hideMark/>
          </w:tcPr>
          <w:p w14:paraId="1271599A" w14:textId="77777777" w:rsidR="00757196" w:rsidRPr="00FA433F" w:rsidRDefault="00870732">
            <w:pPr>
              <w:spacing w:before="0" w:after="0"/>
              <w:jc w:val="right"/>
              <w:rPr>
                <w:noProof/>
                <w:sz w:val="20"/>
                <w:szCs w:val="20"/>
              </w:rPr>
            </w:pPr>
            <w:r w:rsidRPr="00FA433F">
              <w:rPr>
                <w:noProof/>
                <w:sz w:val="20"/>
              </w:rPr>
              <w:t>0,000</w:t>
            </w:r>
          </w:p>
        </w:tc>
        <w:tc>
          <w:tcPr>
            <w:tcW w:w="505" w:type="pct"/>
            <w:tcBorders>
              <w:top w:val="nil"/>
              <w:left w:val="nil"/>
              <w:bottom w:val="single" w:sz="8" w:space="0" w:color="auto"/>
              <w:right w:val="single" w:sz="4" w:space="0" w:color="auto"/>
            </w:tcBorders>
            <w:vAlign w:val="center"/>
            <w:hideMark/>
          </w:tcPr>
          <w:p w14:paraId="21872E1B" w14:textId="77777777" w:rsidR="00757196" w:rsidRPr="00FA433F" w:rsidRDefault="007C6F33">
            <w:pPr>
              <w:spacing w:before="0" w:after="0"/>
              <w:jc w:val="right"/>
              <w:rPr>
                <w:noProof/>
                <w:sz w:val="20"/>
                <w:szCs w:val="20"/>
              </w:rPr>
            </w:pPr>
            <w:r w:rsidRPr="00FA433F">
              <w:rPr>
                <w:noProof/>
                <w:sz w:val="20"/>
              </w:rPr>
              <w:t>1,329</w:t>
            </w:r>
          </w:p>
        </w:tc>
        <w:tc>
          <w:tcPr>
            <w:tcW w:w="491" w:type="pct"/>
            <w:tcBorders>
              <w:top w:val="nil"/>
              <w:left w:val="single" w:sz="4" w:space="0" w:color="auto"/>
              <w:bottom w:val="single" w:sz="4" w:space="0" w:color="auto"/>
              <w:right w:val="single" w:sz="4" w:space="0" w:color="auto"/>
            </w:tcBorders>
            <w:vAlign w:val="center"/>
          </w:tcPr>
          <w:p w14:paraId="5A008E62" w14:textId="77777777" w:rsidR="00757196" w:rsidRPr="00FA433F" w:rsidRDefault="00097524">
            <w:pPr>
              <w:spacing w:before="0" w:after="0"/>
              <w:jc w:val="right"/>
              <w:rPr>
                <w:noProof/>
                <w:sz w:val="20"/>
                <w:szCs w:val="20"/>
              </w:rPr>
            </w:pPr>
            <w:r w:rsidRPr="00FA433F">
              <w:rPr>
                <w:noProof/>
                <w:sz w:val="20"/>
              </w:rPr>
              <w:t>0,953</w:t>
            </w:r>
          </w:p>
        </w:tc>
        <w:tc>
          <w:tcPr>
            <w:tcW w:w="491" w:type="pct"/>
            <w:tcBorders>
              <w:top w:val="nil"/>
              <w:left w:val="single" w:sz="4" w:space="0" w:color="auto"/>
              <w:bottom w:val="single" w:sz="8" w:space="0" w:color="auto"/>
              <w:right w:val="single" w:sz="8" w:space="0" w:color="auto"/>
            </w:tcBorders>
            <w:vAlign w:val="center"/>
            <w:hideMark/>
          </w:tcPr>
          <w:p w14:paraId="626337DE" w14:textId="77777777" w:rsidR="00757196" w:rsidRPr="00FA433F" w:rsidRDefault="00097524">
            <w:pPr>
              <w:spacing w:before="0" w:after="0"/>
              <w:jc w:val="right"/>
              <w:rPr>
                <w:noProof/>
                <w:sz w:val="20"/>
                <w:szCs w:val="20"/>
              </w:rPr>
            </w:pPr>
            <w:r w:rsidRPr="00FA433F">
              <w:rPr>
                <w:noProof/>
                <w:sz w:val="20"/>
              </w:rPr>
              <w:t>0,751</w:t>
            </w:r>
          </w:p>
        </w:tc>
        <w:tc>
          <w:tcPr>
            <w:tcW w:w="577" w:type="pct"/>
            <w:tcBorders>
              <w:top w:val="nil"/>
              <w:left w:val="nil"/>
              <w:bottom w:val="single" w:sz="8" w:space="0" w:color="auto"/>
              <w:right w:val="single" w:sz="8" w:space="0" w:color="auto"/>
            </w:tcBorders>
            <w:shd w:val="clear" w:color="000000" w:fill="D9D9D9"/>
            <w:vAlign w:val="center"/>
            <w:hideMark/>
          </w:tcPr>
          <w:p w14:paraId="13631991" w14:textId="77777777" w:rsidR="00757196" w:rsidRPr="00FA433F" w:rsidRDefault="00097524">
            <w:pPr>
              <w:spacing w:before="0" w:after="0"/>
              <w:jc w:val="right"/>
              <w:rPr>
                <w:b/>
                <w:bCs/>
                <w:noProof/>
                <w:sz w:val="20"/>
                <w:szCs w:val="20"/>
              </w:rPr>
            </w:pPr>
            <w:r w:rsidRPr="00FA433F">
              <w:rPr>
                <w:b/>
                <w:noProof/>
                <w:sz w:val="20"/>
              </w:rPr>
              <w:t>3,262</w:t>
            </w:r>
          </w:p>
        </w:tc>
      </w:tr>
      <w:tr w:rsidR="00757196" w:rsidRPr="00FA433F" w14:paraId="003E401F" w14:textId="77777777" w:rsidTr="006F209F">
        <w:trPr>
          <w:trHeight w:val="288"/>
          <w:jc w:val="right"/>
        </w:trPr>
        <w:tc>
          <w:tcPr>
            <w:tcW w:w="81" w:type="pct"/>
            <w:tcBorders>
              <w:top w:val="single" w:sz="8" w:space="0" w:color="auto"/>
              <w:left w:val="single" w:sz="8" w:space="0" w:color="auto"/>
              <w:bottom w:val="single" w:sz="8" w:space="0" w:color="auto"/>
              <w:right w:val="single" w:sz="8" w:space="0" w:color="auto"/>
            </w:tcBorders>
          </w:tcPr>
          <w:p w14:paraId="1BFE42E9" w14:textId="77777777" w:rsidR="00757196" w:rsidRPr="00FA433F" w:rsidRDefault="00757196">
            <w:pPr>
              <w:spacing w:before="0" w:after="0"/>
              <w:jc w:val="left"/>
              <w:rPr>
                <w:noProof/>
                <w:sz w:val="22"/>
                <w:lang w:eastAsia="en-IE"/>
              </w:rPr>
            </w:pPr>
          </w:p>
        </w:tc>
        <w:tc>
          <w:tcPr>
            <w:tcW w:w="4919" w:type="pct"/>
            <w:gridSpan w:val="9"/>
            <w:tcBorders>
              <w:top w:val="single" w:sz="8" w:space="0" w:color="auto"/>
              <w:left w:val="single" w:sz="8" w:space="0" w:color="auto"/>
              <w:bottom w:val="single" w:sz="8" w:space="0" w:color="auto"/>
              <w:right w:val="single" w:sz="8" w:space="0" w:color="auto"/>
            </w:tcBorders>
            <w:noWrap/>
            <w:vAlign w:val="bottom"/>
            <w:hideMark/>
          </w:tcPr>
          <w:p w14:paraId="0459B340" w14:textId="2E23AFAE" w:rsidR="00757196" w:rsidRPr="00FA433F" w:rsidRDefault="00757196">
            <w:pPr>
              <w:spacing w:before="0" w:after="0"/>
              <w:jc w:val="left"/>
              <w:rPr>
                <w:noProof/>
                <w:sz w:val="22"/>
              </w:rPr>
            </w:pPr>
            <w:r w:rsidRPr="00FA433F">
              <w:rPr>
                <w:noProof/>
                <w:sz w:val="22"/>
              </w:rPr>
              <w:t>Środki administracyjne finansowane ze środków przydzielonych na określone programy</w:t>
            </w:r>
            <w:r w:rsidRPr="00FA433F">
              <w:rPr>
                <w:noProof/>
              </w:rPr>
              <w:t xml:space="preserve"> [Wsparcie techniczne lub administracyjne oraz wydatki na wsparcie</w:t>
            </w:r>
            <w:r w:rsidR="00FA433F" w:rsidRPr="00FA433F">
              <w:rPr>
                <w:noProof/>
              </w:rPr>
              <w:t xml:space="preserve"> w</w:t>
            </w:r>
            <w:r w:rsidR="00FA433F">
              <w:rPr>
                <w:noProof/>
              </w:rPr>
              <w:t> </w:t>
            </w:r>
            <w:r w:rsidR="00FA433F" w:rsidRPr="00FA433F">
              <w:rPr>
                <w:noProof/>
              </w:rPr>
              <w:t>zak</w:t>
            </w:r>
            <w:r w:rsidRPr="00FA433F">
              <w:rPr>
                <w:noProof/>
              </w:rPr>
              <w:t>resie wprowadzania</w:t>
            </w:r>
            <w:r w:rsidR="00FA433F" w:rsidRPr="00FA433F">
              <w:rPr>
                <w:noProof/>
              </w:rPr>
              <w:t xml:space="preserve"> w</w:t>
            </w:r>
            <w:r w:rsidR="00FA433F">
              <w:rPr>
                <w:noProof/>
              </w:rPr>
              <w:t> </w:t>
            </w:r>
            <w:r w:rsidR="00FA433F" w:rsidRPr="00FA433F">
              <w:rPr>
                <w:noProof/>
              </w:rPr>
              <w:t>życ</w:t>
            </w:r>
            <w:r w:rsidRPr="00FA433F">
              <w:rPr>
                <w:noProof/>
              </w:rPr>
              <w:t>ie programów lub działań UE (dawne linie „BA”), pośrednie badania naukowe, bezpośrednie badania naukowe.]</w:t>
            </w:r>
          </w:p>
        </w:tc>
      </w:tr>
      <w:tr w:rsidR="00800175" w:rsidRPr="00FA433F" w14:paraId="581BC4CF" w14:textId="77777777" w:rsidTr="006F209F">
        <w:trPr>
          <w:trHeight w:val="288"/>
          <w:jc w:val="right"/>
        </w:trPr>
        <w:tc>
          <w:tcPr>
            <w:tcW w:w="887" w:type="pct"/>
            <w:gridSpan w:val="2"/>
            <w:tcBorders>
              <w:top w:val="nil"/>
              <w:left w:val="single" w:sz="8" w:space="0" w:color="auto"/>
              <w:bottom w:val="single" w:sz="8" w:space="0" w:color="auto"/>
              <w:right w:val="single" w:sz="8" w:space="0" w:color="auto"/>
            </w:tcBorders>
            <w:vAlign w:val="center"/>
            <w:hideMark/>
          </w:tcPr>
          <w:p w14:paraId="6F2E9CA2" w14:textId="77777777" w:rsidR="00757196" w:rsidRPr="00FA433F" w:rsidRDefault="00757196">
            <w:pPr>
              <w:spacing w:before="0" w:after="0"/>
              <w:rPr>
                <w:noProof/>
                <w:sz w:val="20"/>
                <w:szCs w:val="20"/>
              </w:rPr>
            </w:pPr>
            <w:r w:rsidRPr="00FA433F">
              <w:rPr>
                <w:noProof/>
                <w:sz w:val="20"/>
              </w:rPr>
              <w:t>Linia budżetowa</w:t>
            </w:r>
          </w:p>
        </w:tc>
        <w:tc>
          <w:tcPr>
            <w:tcW w:w="531" w:type="pct"/>
            <w:tcBorders>
              <w:top w:val="nil"/>
              <w:left w:val="nil"/>
              <w:bottom w:val="single" w:sz="8" w:space="0" w:color="auto"/>
              <w:right w:val="single" w:sz="8" w:space="0" w:color="auto"/>
            </w:tcBorders>
            <w:vAlign w:val="center"/>
            <w:hideMark/>
          </w:tcPr>
          <w:p w14:paraId="6A3BD59B" w14:textId="77777777" w:rsidR="00757196" w:rsidRPr="00FA433F" w:rsidRDefault="00757196">
            <w:pPr>
              <w:spacing w:before="0" w:after="0"/>
              <w:jc w:val="right"/>
              <w:rPr>
                <w:noProof/>
                <w:sz w:val="18"/>
                <w:szCs w:val="18"/>
                <w:lang w:eastAsia="en-IE"/>
              </w:rPr>
            </w:pPr>
          </w:p>
        </w:tc>
        <w:tc>
          <w:tcPr>
            <w:tcW w:w="506" w:type="pct"/>
            <w:tcBorders>
              <w:top w:val="single" w:sz="8" w:space="0" w:color="auto"/>
              <w:left w:val="nil"/>
              <w:bottom w:val="single" w:sz="8" w:space="0" w:color="auto"/>
              <w:right w:val="single" w:sz="8" w:space="0" w:color="auto"/>
            </w:tcBorders>
            <w:vAlign w:val="center"/>
            <w:hideMark/>
          </w:tcPr>
          <w:p w14:paraId="147E92F9" w14:textId="77777777" w:rsidR="00757196" w:rsidRPr="00FA433F" w:rsidRDefault="00757196">
            <w:pPr>
              <w:spacing w:before="0" w:after="0"/>
              <w:jc w:val="center"/>
              <w:rPr>
                <w:noProof/>
                <w:sz w:val="14"/>
                <w:szCs w:val="14"/>
              </w:rPr>
            </w:pPr>
            <w:r w:rsidRPr="00FA433F">
              <w:rPr>
                <w:noProof/>
                <w:sz w:val="14"/>
              </w:rPr>
              <w:t>(3)</w:t>
            </w:r>
          </w:p>
        </w:tc>
        <w:tc>
          <w:tcPr>
            <w:tcW w:w="506" w:type="pct"/>
            <w:tcBorders>
              <w:top w:val="nil"/>
              <w:left w:val="nil"/>
              <w:bottom w:val="single" w:sz="8" w:space="0" w:color="auto"/>
              <w:right w:val="single" w:sz="8" w:space="0" w:color="auto"/>
            </w:tcBorders>
            <w:vAlign w:val="center"/>
            <w:hideMark/>
          </w:tcPr>
          <w:p w14:paraId="56D91101" w14:textId="77777777" w:rsidR="00757196" w:rsidRPr="00FA433F" w:rsidRDefault="00757196">
            <w:pPr>
              <w:spacing w:before="0" w:after="0"/>
              <w:jc w:val="right"/>
              <w:rPr>
                <w:b/>
                <w:bCs/>
                <w:noProof/>
                <w:sz w:val="20"/>
                <w:szCs w:val="20"/>
                <w:lang w:eastAsia="en-IE"/>
              </w:rPr>
            </w:pPr>
          </w:p>
        </w:tc>
        <w:tc>
          <w:tcPr>
            <w:tcW w:w="505" w:type="pct"/>
            <w:tcBorders>
              <w:top w:val="nil"/>
              <w:left w:val="nil"/>
              <w:bottom w:val="single" w:sz="8" w:space="0" w:color="auto"/>
              <w:right w:val="single" w:sz="8" w:space="0" w:color="auto"/>
            </w:tcBorders>
            <w:vAlign w:val="center"/>
            <w:hideMark/>
          </w:tcPr>
          <w:p w14:paraId="606E3631" w14:textId="77777777" w:rsidR="00757196" w:rsidRPr="00FA433F" w:rsidRDefault="00757196">
            <w:pPr>
              <w:spacing w:before="0" w:after="0"/>
              <w:jc w:val="right"/>
              <w:rPr>
                <w:b/>
                <w:bCs/>
                <w:noProof/>
                <w:sz w:val="20"/>
                <w:szCs w:val="20"/>
                <w:lang w:eastAsia="en-IE"/>
              </w:rPr>
            </w:pPr>
          </w:p>
        </w:tc>
        <w:tc>
          <w:tcPr>
            <w:tcW w:w="505" w:type="pct"/>
            <w:tcBorders>
              <w:top w:val="nil"/>
              <w:left w:val="nil"/>
              <w:bottom w:val="single" w:sz="8" w:space="0" w:color="auto"/>
              <w:right w:val="single" w:sz="4" w:space="0" w:color="auto"/>
            </w:tcBorders>
            <w:vAlign w:val="center"/>
            <w:hideMark/>
          </w:tcPr>
          <w:p w14:paraId="7F21E60A" w14:textId="77777777" w:rsidR="00757196" w:rsidRPr="00FA433F" w:rsidRDefault="00757196">
            <w:pPr>
              <w:spacing w:before="0" w:after="0"/>
              <w:jc w:val="right"/>
              <w:rPr>
                <w:b/>
                <w:bCs/>
                <w:noProof/>
                <w:sz w:val="20"/>
                <w:szCs w:val="20"/>
                <w:lang w:eastAsia="en-IE"/>
              </w:rPr>
            </w:pPr>
          </w:p>
        </w:tc>
        <w:tc>
          <w:tcPr>
            <w:tcW w:w="491" w:type="pct"/>
            <w:tcBorders>
              <w:top w:val="single" w:sz="4" w:space="0" w:color="auto"/>
              <w:left w:val="single" w:sz="4" w:space="0" w:color="auto"/>
              <w:bottom w:val="single" w:sz="8" w:space="0" w:color="auto"/>
              <w:right w:val="single" w:sz="4" w:space="0" w:color="auto"/>
            </w:tcBorders>
          </w:tcPr>
          <w:p w14:paraId="52831195" w14:textId="77777777" w:rsidR="00757196" w:rsidRPr="00FA433F" w:rsidRDefault="00757196">
            <w:pPr>
              <w:spacing w:before="0" w:after="0"/>
              <w:jc w:val="right"/>
              <w:rPr>
                <w:b/>
                <w:bCs/>
                <w:noProof/>
                <w:sz w:val="20"/>
                <w:szCs w:val="20"/>
                <w:lang w:eastAsia="en-IE"/>
              </w:rPr>
            </w:pPr>
          </w:p>
        </w:tc>
        <w:tc>
          <w:tcPr>
            <w:tcW w:w="491" w:type="pct"/>
            <w:tcBorders>
              <w:top w:val="nil"/>
              <w:left w:val="single" w:sz="4" w:space="0" w:color="auto"/>
              <w:bottom w:val="single" w:sz="8" w:space="0" w:color="auto"/>
              <w:right w:val="single" w:sz="8" w:space="0" w:color="auto"/>
            </w:tcBorders>
            <w:vAlign w:val="center"/>
            <w:hideMark/>
          </w:tcPr>
          <w:p w14:paraId="09465607" w14:textId="77777777" w:rsidR="00757196" w:rsidRPr="00FA433F" w:rsidRDefault="00757196">
            <w:pPr>
              <w:spacing w:before="0" w:after="0"/>
              <w:jc w:val="right"/>
              <w:rPr>
                <w:b/>
                <w:bCs/>
                <w:noProof/>
                <w:sz w:val="20"/>
                <w:szCs w:val="20"/>
                <w:lang w:eastAsia="en-IE"/>
              </w:rPr>
            </w:pPr>
          </w:p>
        </w:tc>
        <w:tc>
          <w:tcPr>
            <w:tcW w:w="577" w:type="pct"/>
            <w:tcBorders>
              <w:top w:val="nil"/>
              <w:left w:val="nil"/>
              <w:bottom w:val="single" w:sz="8" w:space="0" w:color="auto"/>
              <w:right w:val="single" w:sz="8" w:space="0" w:color="auto"/>
            </w:tcBorders>
            <w:shd w:val="clear" w:color="000000" w:fill="D9D9D9"/>
            <w:vAlign w:val="center"/>
            <w:hideMark/>
          </w:tcPr>
          <w:p w14:paraId="6A5EF64D" w14:textId="77777777" w:rsidR="00757196" w:rsidRPr="00FA433F" w:rsidRDefault="00757196">
            <w:pPr>
              <w:spacing w:before="0" w:after="0"/>
              <w:jc w:val="right"/>
              <w:rPr>
                <w:b/>
                <w:bCs/>
                <w:noProof/>
                <w:sz w:val="20"/>
                <w:szCs w:val="20"/>
              </w:rPr>
            </w:pPr>
            <w:r w:rsidRPr="00FA433F">
              <w:rPr>
                <w:b/>
                <w:noProof/>
                <w:sz w:val="20"/>
              </w:rPr>
              <w:t>0,000</w:t>
            </w:r>
          </w:p>
        </w:tc>
      </w:tr>
      <w:tr w:rsidR="00800175" w:rsidRPr="00FA433F" w14:paraId="4D40839B" w14:textId="77777777" w:rsidTr="006F209F">
        <w:trPr>
          <w:trHeight w:val="288"/>
          <w:jc w:val="right"/>
        </w:trPr>
        <w:tc>
          <w:tcPr>
            <w:tcW w:w="887" w:type="pct"/>
            <w:gridSpan w:val="2"/>
            <w:vMerge w:val="restart"/>
            <w:tcBorders>
              <w:top w:val="nil"/>
              <w:left w:val="single" w:sz="8" w:space="0" w:color="auto"/>
              <w:right w:val="single" w:sz="8" w:space="0" w:color="auto"/>
            </w:tcBorders>
            <w:vAlign w:val="center"/>
            <w:hideMark/>
          </w:tcPr>
          <w:p w14:paraId="3C5A1510" w14:textId="77777777" w:rsidR="00B75AE4" w:rsidRPr="00FA433F" w:rsidRDefault="00B75AE4" w:rsidP="00B75AE4">
            <w:pPr>
              <w:spacing w:before="0" w:after="0"/>
              <w:jc w:val="center"/>
              <w:rPr>
                <w:b/>
                <w:bCs/>
                <w:noProof/>
                <w:sz w:val="22"/>
              </w:rPr>
            </w:pPr>
            <w:r w:rsidRPr="00FA433F">
              <w:rPr>
                <w:b/>
                <w:noProof/>
                <w:sz w:val="22"/>
              </w:rPr>
              <w:t>OGÓŁEM środki</w:t>
            </w:r>
          </w:p>
          <w:p w14:paraId="66E6D4D0" w14:textId="253A8C3F" w:rsidR="00B75AE4" w:rsidRPr="00FA433F" w:rsidRDefault="00B75AE4" w:rsidP="00B75AE4">
            <w:pPr>
              <w:spacing w:before="0" w:after="0"/>
              <w:jc w:val="center"/>
              <w:rPr>
                <w:b/>
                <w:bCs/>
                <w:noProof/>
                <w:sz w:val="22"/>
              </w:rPr>
            </w:pPr>
            <w:r w:rsidRPr="00FA433F">
              <w:rPr>
                <w:b/>
                <w:noProof/>
                <w:sz w:val="22"/>
              </w:rPr>
              <w:t>dla DG ds. Działań</w:t>
            </w:r>
            <w:r w:rsidR="00FA433F" w:rsidRPr="00FA433F">
              <w:rPr>
                <w:b/>
                <w:noProof/>
                <w:sz w:val="22"/>
              </w:rPr>
              <w:t xml:space="preserve"> w</w:t>
            </w:r>
            <w:r w:rsidR="00FA433F">
              <w:rPr>
                <w:b/>
                <w:noProof/>
                <w:sz w:val="22"/>
              </w:rPr>
              <w:t> </w:t>
            </w:r>
            <w:r w:rsidR="00FA433F" w:rsidRPr="00FA433F">
              <w:rPr>
                <w:b/>
                <w:noProof/>
                <w:sz w:val="22"/>
              </w:rPr>
              <w:t>dzi</w:t>
            </w:r>
            <w:r w:rsidRPr="00FA433F">
              <w:rPr>
                <w:b/>
                <w:noProof/>
                <w:sz w:val="22"/>
              </w:rPr>
              <w:t>edzinie Klimatu/DG ds. Podatków</w:t>
            </w:r>
            <w:r w:rsidR="00FA433F" w:rsidRPr="00FA433F">
              <w:rPr>
                <w:b/>
                <w:noProof/>
                <w:sz w:val="22"/>
              </w:rPr>
              <w:t xml:space="preserve"> i</w:t>
            </w:r>
            <w:r w:rsidR="00FA433F">
              <w:rPr>
                <w:b/>
                <w:noProof/>
                <w:sz w:val="22"/>
              </w:rPr>
              <w:t> </w:t>
            </w:r>
            <w:r w:rsidR="00FA433F" w:rsidRPr="00FA433F">
              <w:rPr>
                <w:b/>
                <w:noProof/>
                <w:sz w:val="22"/>
              </w:rPr>
              <w:t>Uni</w:t>
            </w:r>
            <w:r w:rsidRPr="00FA433F">
              <w:rPr>
                <w:b/>
                <w:noProof/>
                <w:sz w:val="22"/>
              </w:rPr>
              <w:t>i Celnej</w:t>
            </w:r>
          </w:p>
        </w:tc>
        <w:tc>
          <w:tcPr>
            <w:tcW w:w="531" w:type="pct"/>
            <w:tcBorders>
              <w:top w:val="nil"/>
              <w:left w:val="nil"/>
              <w:bottom w:val="single" w:sz="8" w:space="0" w:color="auto"/>
              <w:right w:val="single" w:sz="8" w:space="0" w:color="auto"/>
            </w:tcBorders>
            <w:vAlign w:val="center"/>
            <w:hideMark/>
          </w:tcPr>
          <w:p w14:paraId="407F0CC6" w14:textId="77777777" w:rsidR="00B75AE4" w:rsidRPr="00FA433F" w:rsidRDefault="00B75AE4" w:rsidP="00B75AE4">
            <w:pPr>
              <w:spacing w:before="0" w:after="0"/>
              <w:rPr>
                <w:noProof/>
                <w:sz w:val="18"/>
                <w:szCs w:val="18"/>
              </w:rPr>
            </w:pPr>
            <w:r w:rsidRPr="00FA433F">
              <w:rPr>
                <w:noProof/>
                <w:sz w:val="18"/>
              </w:rPr>
              <w:t>Środki na zobowiązania</w:t>
            </w:r>
          </w:p>
        </w:tc>
        <w:tc>
          <w:tcPr>
            <w:tcW w:w="506" w:type="pct"/>
            <w:tcBorders>
              <w:top w:val="single" w:sz="8" w:space="0" w:color="auto"/>
              <w:left w:val="nil"/>
              <w:bottom w:val="single" w:sz="8" w:space="0" w:color="auto"/>
              <w:right w:val="single" w:sz="8" w:space="0" w:color="auto"/>
            </w:tcBorders>
            <w:vAlign w:val="center"/>
            <w:hideMark/>
          </w:tcPr>
          <w:p w14:paraId="6519E045" w14:textId="77777777" w:rsidR="00B75AE4" w:rsidRPr="00FA433F" w:rsidRDefault="00B75AE4" w:rsidP="00B75AE4">
            <w:pPr>
              <w:spacing w:before="0" w:after="0"/>
              <w:jc w:val="center"/>
              <w:rPr>
                <w:noProof/>
                <w:sz w:val="14"/>
                <w:szCs w:val="14"/>
              </w:rPr>
            </w:pPr>
            <w:r w:rsidRPr="00FA433F">
              <w:rPr>
                <w:noProof/>
                <w:sz w:val="14"/>
              </w:rPr>
              <w:t>=1a+1b+3</w:t>
            </w:r>
          </w:p>
        </w:tc>
        <w:tc>
          <w:tcPr>
            <w:tcW w:w="506" w:type="pct"/>
            <w:tcBorders>
              <w:top w:val="nil"/>
              <w:left w:val="nil"/>
              <w:bottom w:val="single" w:sz="8" w:space="0" w:color="auto"/>
              <w:right w:val="single" w:sz="8" w:space="0" w:color="auto"/>
            </w:tcBorders>
            <w:shd w:val="clear" w:color="000000" w:fill="D9D9D9"/>
            <w:vAlign w:val="center"/>
            <w:hideMark/>
          </w:tcPr>
          <w:p w14:paraId="2CBD96D4" w14:textId="77777777" w:rsidR="00B75AE4" w:rsidRPr="00FA433F" w:rsidRDefault="00B75AE4" w:rsidP="00B75AE4">
            <w:pPr>
              <w:spacing w:before="0" w:after="0"/>
              <w:jc w:val="right"/>
              <w:rPr>
                <w:b/>
                <w:bCs/>
                <w:noProof/>
                <w:sz w:val="20"/>
                <w:szCs w:val="20"/>
              </w:rPr>
            </w:pPr>
            <w:r w:rsidRPr="00FA433F">
              <w:rPr>
                <w:b/>
                <w:noProof/>
                <w:sz w:val="20"/>
              </w:rPr>
              <w:t>0</w:t>
            </w:r>
          </w:p>
        </w:tc>
        <w:tc>
          <w:tcPr>
            <w:tcW w:w="505" w:type="pct"/>
            <w:tcBorders>
              <w:top w:val="nil"/>
              <w:left w:val="nil"/>
              <w:bottom w:val="single" w:sz="8" w:space="0" w:color="auto"/>
              <w:right w:val="single" w:sz="8" w:space="0" w:color="auto"/>
            </w:tcBorders>
            <w:shd w:val="clear" w:color="000000" w:fill="D9D9D9"/>
            <w:vAlign w:val="center"/>
            <w:hideMark/>
          </w:tcPr>
          <w:p w14:paraId="004FFBBE" w14:textId="77777777" w:rsidR="00B75AE4" w:rsidRPr="00FA433F" w:rsidRDefault="001D4379" w:rsidP="00B75AE4">
            <w:pPr>
              <w:spacing w:before="0" w:after="0"/>
              <w:jc w:val="right"/>
              <w:rPr>
                <w:b/>
                <w:bCs/>
                <w:noProof/>
                <w:sz w:val="20"/>
                <w:szCs w:val="20"/>
              </w:rPr>
            </w:pPr>
            <w:r w:rsidRPr="00FA433F">
              <w:rPr>
                <w:b/>
                <w:noProof/>
                <w:sz w:val="20"/>
              </w:rPr>
              <w:t>0,000</w:t>
            </w:r>
          </w:p>
        </w:tc>
        <w:tc>
          <w:tcPr>
            <w:tcW w:w="505" w:type="pct"/>
            <w:tcBorders>
              <w:top w:val="nil"/>
              <w:left w:val="nil"/>
              <w:bottom w:val="single" w:sz="8" w:space="0" w:color="auto"/>
              <w:right w:val="single" w:sz="4" w:space="0" w:color="auto"/>
            </w:tcBorders>
            <w:shd w:val="clear" w:color="000000" w:fill="D9D9D9"/>
            <w:vAlign w:val="center"/>
            <w:hideMark/>
          </w:tcPr>
          <w:p w14:paraId="17794865" w14:textId="77777777" w:rsidR="00B75AE4" w:rsidRPr="00FA433F" w:rsidRDefault="00B75AE4" w:rsidP="00B75AE4">
            <w:pPr>
              <w:spacing w:before="0" w:after="0"/>
              <w:jc w:val="right"/>
              <w:rPr>
                <w:b/>
                <w:bCs/>
                <w:noProof/>
                <w:sz w:val="20"/>
                <w:szCs w:val="20"/>
              </w:rPr>
            </w:pPr>
            <w:r w:rsidRPr="00FA433F">
              <w:rPr>
                <w:b/>
                <w:noProof/>
                <w:sz w:val="20"/>
              </w:rPr>
              <w:t>1,329</w:t>
            </w:r>
          </w:p>
        </w:tc>
        <w:tc>
          <w:tcPr>
            <w:tcW w:w="491" w:type="pct"/>
            <w:tcBorders>
              <w:top w:val="single" w:sz="8" w:space="0" w:color="auto"/>
              <w:left w:val="single" w:sz="4" w:space="0" w:color="auto"/>
              <w:bottom w:val="single" w:sz="8" w:space="0" w:color="auto"/>
              <w:right w:val="single" w:sz="4" w:space="0" w:color="auto"/>
            </w:tcBorders>
            <w:shd w:val="clear" w:color="000000" w:fill="D9D9D9"/>
          </w:tcPr>
          <w:p w14:paraId="22DB1027" w14:textId="77777777" w:rsidR="00B75AE4" w:rsidRPr="00FA433F" w:rsidRDefault="001D4379" w:rsidP="00B75AE4">
            <w:pPr>
              <w:spacing w:before="0" w:after="0"/>
              <w:jc w:val="right"/>
              <w:rPr>
                <w:b/>
                <w:bCs/>
                <w:noProof/>
                <w:sz w:val="20"/>
                <w:szCs w:val="20"/>
              </w:rPr>
            </w:pPr>
            <w:r w:rsidRPr="00FA433F">
              <w:rPr>
                <w:b/>
                <w:noProof/>
                <w:sz w:val="20"/>
              </w:rPr>
              <w:t>0,953</w:t>
            </w:r>
          </w:p>
        </w:tc>
        <w:tc>
          <w:tcPr>
            <w:tcW w:w="491" w:type="pct"/>
            <w:tcBorders>
              <w:top w:val="nil"/>
              <w:left w:val="single" w:sz="4" w:space="0" w:color="auto"/>
              <w:bottom w:val="single" w:sz="8" w:space="0" w:color="auto"/>
              <w:right w:val="single" w:sz="8" w:space="0" w:color="auto"/>
            </w:tcBorders>
            <w:shd w:val="clear" w:color="000000" w:fill="D9D9D9"/>
            <w:vAlign w:val="center"/>
            <w:hideMark/>
          </w:tcPr>
          <w:p w14:paraId="4907789F" w14:textId="77777777" w:rsidR="00B75AE4" w:rsidRPr="00FA433F" w:rsidRDefault="00B75AE4" w:rsidP="00B75AE4">
            <w:pPr>
              <w:spacing w:before="0" w:after="0"/>
              <w:jc w:val="right"/>
              <w:rPr>
                <w:b/>
                <w:bCs/>
                <w:noProof/>
                <w:sz w:val="20"/>
                <w:szCs w:val="20"/>
              </w:rPr>
            </w:pPr>
            <w:r w:rsidRPr="00FA433F">
              <w:rPr>
                <w:b/>
                <w:noProof/>
                <w:sz w:val="20"/>
              </w:rPr>
              <w:t>0,751</w:t>
            </w:r>
          </w:p>
        </w:tc>
        <w:tc>
          <w:tcPr>
            <w:tcW w:w="577" w:type="pct"/>
            <w:tcBorders>
              <w:top w:val="nil"/>
              <w:left w:val="nil"/>
              <w:bottom w:val="single" w:sz="8" w:space="0" w:color="auto"/>
              <w:right w:val="single" w:sz="8" w:space="0" w:color="auto"/>
            </w:tcBorders>
            <w:shd w:val="clear" w:color="000000" w:fill="D9D9D9"/>
            <w:vAlign w:val="center"/>
            <w:hideMark/>
          </w:tcPr>
          <w:p w14:paraId="3EAB509E" w14:textId="77777777" w:rsidR="00B75AE4" w:rsidRPr="00FA433F" w:rsidRDefault="00B75AE4" w:rsidP="00B75AE4">
            <w:pPr>
              <w:spacing w:before="0" w:after="0"/>
              <w:jc w:val="right"/>
              <w:rPr>
                <w:b/>
                <w:bCs/>
                <w:noProof/>
                <w:sz w:val="20"/>
                <w:szCs w:val="20"/>
              </w:rPr>
            </w:pPr>
            <w:r w:rsidRPr="00FA433F">
              <w:rPr>
                <w:b/>
                <w:noProof/>
                <w:sz w:val="20"/>
              </w:rPr>
              <w:t>4,162</w:t>
            </w:r>
          </w:p>
        </w:tc>
      </w:tr>
      <w:tr w:rsidR="00800175" w:rsidRPr="00FA433F" w14:paraId="54D6AE6D" w14:textId="77777777" w:rsidTr="006F209F">
        <w:trPr>
          <w:trHeight w:val="288"/>
          <w:jc w:val="right"/>
        </w:trPr>
        <w:tc>
          <w:tcPr>
            <w:tcW w:w="887" w:type="pct"/>
            <w:gridSpan w:val="2"/>
            <w:vMerge/>
            <w:tcBorders>
              <w:left w:val="single" w:sz="8" w:space="0" w:color="auto"/>
              <w:bottom w:val="single" w:sz="8" w:space="0" w:color="auto"/>
              <w:right w:val="single" w:sz="8" w:space="0" w:color="auto"/>
            </w:tcBorders>
            <w:vAlign w:val="center"/>
            <w:hideMark/>
          </w:tcPr>
          <w:p w14:paraId="3F05B2B7" w14:textId="77777777" w:rsidR="00B75AE4" w:rsidRPr="00FA433F" w:rsidRDefault="00B75AE4" w:rsidP="00B75AE4">
            <w:pPr>
              <w:spacing w:before="0" w:after="0"/>
              <w:jc w:val="center"/>
              <w:rPr>
                <w:b/>
                <w:bCs/>
                <w:noProof/>
                <w:sz w:val="22"/>
                <w:lang w:eastAsia="en-IE"/>
              </w:rPr>
            </w:pPr>
          </w:p>
        </w:tc>
        <w:tc>
          <w:tcPr>
            <w:tcW w:w="531" w:type="pct"/>
            <w:tcBorders>
              <w:top w:val="nil"/>
              <w:left w:val="nil"/>
              <w:bottom w:val="single" w:sz="8" w:space="0" w:color="auto"/>
              <w:right w:val="single" w:sz="8" w:space="0" w:color="auto"/>
            </w:tcBorders>
            <w:vAlign w:val="center"/>
            <w:hideMark/>
          </w:tcPr>
          <w:p w14:paraId="58A5F56A" w14:textId="77777777" w:rsidR="00B75AE4" w:rsidRPr="00FA433F" w:rsidRDefault="00B75AE4" w:rsidP="00B75AE4">
            <w:pPr>
              <w:spacing w:before="0" w:after="0"/>
              <w:rPr>
                <w:noProof/>
                <w:sz w:val="18"/>
                <w:szCs w:val="18"/>
              </w:rPr>
            </w:pPr>
            <w:r w:rsidRPr="00FA433F">
              <w:rPr>
                <w:noProof/>
                <w:sz w:val="18"/>
              </w:rPr>
              <w:t>Środki na płatności</w:t>
            </w:r>
          </w:p>
        </w:tc>
        <w:tc>
          <w:tcPr>
            <w:tcW w:w="506" w:type="pct"/>
            <w:tcBorders>
              <w:top w:val="single" w:sz="8" w:space="0" w:color="auto"/>
              <w:left w:val="nil"/>
              <w:bottom w:val="single" w:sz="8" w:space="0" w:color="auto"/>
              <w:right w:val="single" w:sz="8" w:space="0" w:color="auto"/>
            </w:tcBorders>
            <w:vAlign w:val="center"/>
            <w:hideMark/>
          </w:tcPr>
          <w:p w14:paraId="71C4C2AA" w14:textId="77777777" w:rsidR="00B75AE4" w:rsidRPr="00FA433F" w:rsidRDefault="00B75AE4" w:rsidP="00B75AE4">
            <w:pPr>
              <w:spacing w:before="0" w:after="0"/>
              <w:jc w:val="center"/>
              <w:rPr>
                <w:noProof/>
                <w:sz w:val="14"/>
                <w:szCs w:val="14"/>
              </w:rPr>
            </w:pPr>
            <w:r w:rsidRPr="00FA433F">
              <w:rPr>
                <w:noProof/>
                <w:sz w:val="14"/>
              </w:rPr>
              <w:t>=2a+2b+3</w:t>
            </w:r>
          </w:p>
        </w:tc>
        <w:tc>
          <w:tcPr>
            <w:tcW w:w="506" w:type="pct"/>
            <w:tcBorders>
              <w:top w:val="nil"/>
              <w:left w:val="nil"/>
              <w:bottom w:val="single" w:sz="8" w:space="0" w:color="auto"/>
              <w:right w:val="single" w:sz="8" w:space="0" w:color="auto"/>
            </w:tcBorders>
            <w:shd w:val="clear" w:color="000000" w:fill="D9D9D9"/>
            <w:vAlign w:val="center"/>
            <w:hideMark/>
          </w:tcPr>
          <w:p w14:paraId="246CE7D3" w14:textId="77777777" w:rsidR="00B75AE4" w:rsidRPr="00FA433F" w:rsidRDefault="00B75AE4" w:rsidP="00B75AE4">
            <w:pPr>
              <w:spacing w:before="0" w:after="0"/>
              <w:jc w:val="right"/>
              <w:rPr>
                <w:b/>
                <w:bCs/>
                <w:noProof/>
                <w:sz w:val="20"/>
                <w:szCs w:val="20"/>
                <w:lang w:eastAsia="en-IE"/>
              </w:rPr>
            </w:pPr>
          </w:p>
        </w:tc>
        <w:tc>
          <w:tcPr>
            <w:tcW w:w="505" w:type="pct"/>
            <w:tcBorders>
              <w:top w:val="nil"/>
              <w:left w:val="nil"/>
              <w:bottom w:val="single" w:sz="8" w:space="0" w:color="auto"/>
              <w:right w:val="single" w:sz="8" w:space="0" w:color="auto"/>
            </w:tcBorders>
            <w:shd w:val="clear" w:color="000000" w:fill="D9D9D9"/>
            <w:vAlign w:val="center"/>
            <w:hideMark/>
          </w:tcPr>
          <w:p w14:paraId="01064B12" w14:textId="77777777" w:rsidR="00B75AE4" w:rsidRPr="00FA433F" w:rsidRDefault="001D4379" w:rsidP="00B75AE4">
            <w:pPr>
              <w:spacing w:before="0" w:after="0"/>
              <w:jc w:val="right"/>
              <w:rPr>
                <w:b/>
                <w:bCs/>
                <w:noProof/>
                <w:sz w:val="20"/>
                <w:szCs w:val="20"/>
              </w:rPr>
            </w:pPr>
            <w:r w:rsidRPr="00FA433F">
              <w:rPr>
                <w:b/>
                <w:noProof/>
                <w:sz w:val="20"/>
              </w:rPr>
              <w:t>0,000</w:t>
            </w:r>
          </w:p>
        </w:tc>
        <w:tc>
          <w:tcPr>
            <w:tcW w:w="505" w:type="pct"/>
            <w:tcBorders>
              <w:top w:val="nil"/>
              <w:left w:val="nil"/>
              <w:bottom w:val="single" w:sz="8" w:space="0" w:color="auto"/>
              <w:right w:val="single" w:sz="4" w:space="0" w:color="auto"/>
            </w:tcBorders>
            <w:shd w:val="clear" w:color="000000" w:fill="D9D9D9"/>
            <w:vAlign w:val="center"/>
            <w:hideMark/>
          </w:tcPr>
          <w:p w14:paraId="697A949A" w14:textId="77777777" w:rsidR="00B75AE4" w:rsidRPr="00FA433F" w:rsidRDefault="00B75AE4" w:rsidP="00B75AE4">
            <w:pPr>
              <w:spacing w:before="0" w:after="0"/>
              <w:jc w:val="right"/>
              <w:rPr>
                <w:b/>
                <w:bCs/>
                <w:noProof/>
                <w:sz w:val="20"/>
                <w:szCs w:val="20"/>
              </w:rPr>
            </w:pPr>
            <w:r w:rsidRPr="00FA433F">
              <w:rPr>
                <w:b/>
                <w:noProof/>
                <w:sz w:val="20"/>
              </w:rPr>
              <w:t>1,329</w:t>
            </w:r>
          </w:p>
        </w:tc>
        <w:tc>
          <w:tcPr>
            <w:tcW w:w="491" w:type="pct"/>
            <w:tcBorders>
              <w:top w:val="single" w:sz="8" w:space="0" w:color="auto"/>
              <w:left w:val="single" w:sz="4" w:space="0" w:color="auto"/>
              <w:bottom w:val="single" w:sz="4" w:space="0" w:color="auto"/>
              <w:right w:val="single" w:sz="4" w:space="0" w:color="auto"/>
            </w:tcBorders>
            <w:shd w:val="clear" w:color="000000" w:fill="D9D9D9"/>
          </w:tcPr>
          <w:p w14:paraId="1EA3D873" w14:textId="77777777" w:rsidR="00B75AE4" w:rsidRPr="00FA433F" w:rsidRDefault="001D4379" w:rsidP="00B75AE4">
            <w:pPr>
              <w:spacing w:before="0" w:after="0"/>
              <w:jc w:val="right"/>
              <w:rPr>
                <w:b/>
                <w:bCs/>
                <w:noProof/>
                <w:sz w:val="20"/>
                <w:szCs w:val="20"/>
              </w:rPr>
            </w:pPr>
            <w:r w:rsidRPr="00FA433F">
              <w:rPr>
                <w:b/>
                <w:noProof/>
                <w:sz w:val="20"/>
              </w:rPr>
              <w:t>0,953</w:t>
            </w:r>
          </w:p>
        </w:tc>
        <w:tc>
          <w:tcPr>
            <w:tcW w:w="491" w:type="pct"/>
            <w:tcBorders>
              <w:top w:val="nil"/>
              <w:left w:val="single" w:sz="4" w:space="0" w:color="auto"/>
              <w:bottom w:val="single" w:sz="8" w:space="0" w:color="auto"/>
              <w:right w:val="single" w:sz="8" w:space="0" w:color="auto"/>
            </w:tcBorders>
            <w:shd w:val="clear" w:color="000000" w:fill="D9D9D9"/>
            <w:vAlign w:val="center"/>
            <w:hideMark/>
          </w:tcPr>
          <w:p w14:paraId="0EB3866D" w14:textId="77777777" w:rsidR="00B75AE4" w:rsidRPr="00FA433F" w:rsidRDefault="00805537" w:rsidP="00B75AE4">
            <w:pPr>
              <w:spacing w:before="0" w:after="0"/>
              <w:jc w:val="right"/>
              <w:rPr>
                <w:b/>
                <w:bCs/>
                <w:noProof/>
                <w:sz w:val="20"/>
                <w:szCs w:val="20"/>
              </w:rPr>
            </w:pPr>
            <w:r w:rsidRPr="00FA433F">
              <w:rPr>
                <w:b/>
                <w:noProof/>
                <w:sz w:val="20"/>
              </w:rPr>
              <w:t>0,751</w:t>
            </w:r>
          </w:p>
        </w:tc>
        <w:tc>
          <w:tcPr>
            <w:tcW w:w="577" w:type="pct"/>
            <w:tcBorders>
              <w:top w:val="nil"/>
              <w:left w:val="nil"/>
              <w:bottom w:val="single" w:sz="8" w:space="0" w:color="auto"/>
              <w:right w:val="single" w:sz="8" w:space="0" w:color="auto"/>
            </w:tcBorders>
            <w:shd w:val="clear" w:color="000000" w:fill="D9D9D9"/>
            <w:vAlign w:val="center"/>
            <w:hideMark/>
          </w:tcPr>
          <w:p w14:paraId="1838C47D" w14:textId="77777777" w:rsidR="00B75AE4" w:rsidRPr="00FA433F" w:rsidRDefault="00805537" w:rsidP="00B75AE4">
            <w:pPr>
              <w:spacing w:before="0" w:after="0"/>
              <w:jc w:val="right"/>
              <w:rPr>
                <w:b/>
                <w:bCs/>
                <w:noProof/>
                <w:sz w:val="20"/>
                <w:szCs w:val="20"/>
              </w:rPr>
            </w:pPr>
            <w:r w:rsidRPr="00FA433F">
              <w:rPr>
                <w:b/>
                <w:noProof/>
                <w:sz w:val="20"/>
              </w:rPr>
              <w:t>4,162</w:t>
            </w:r>
          </w:p>
        </w:tc>
      </w:tr>
    </w:tbl>
    <w:p w14:paraId="4AEE5C38" w14:textId="3A682F4D" w:rsidR="008A4C15" w:rsidRPr="00FA433F" w:rsidRDefault="008A4C15">
      <w:pPr>
        <w:pStyle w:val="ManualHeading3"/>
        <w:rPr>
          <w:bCs/>
          <w:noProof/>
          <w:szCs w:val="24"/>
        </w:rPr>
      </w:pPr>
      <w:bookmarkStart w:id="142" w:name="_Toc514938054"/>
      <w:bookmarkStart w:id="143" w:name="_Toc520485053"/>
      <w:bookmarkStart w:id="144" w:name="_Toc160804597"/>
      <w:bookmarkStart w:id="145" w:name="_Toc167220289"/>
      <w:bookmarkStart w:id="146" w:name="_Toc177549022"/>
      <w:r w:rsidRPr="00FA433F">
        <w:rPr>
          <w:noProof/>
        </w:rPr>
        <w:t>3.2.2.</w:t>
      </w:r>
      <w:r w:rsidRPr="00FA433F">
        <w:rPr>
          <w:noProof/>
        </w:rPr>
        <w:tab/>
        <w:t>Szacowany produkt finansowany ze środków operacyjnych</w:t>
      </w:r>
      <w:bookmarkEnd w:id="142"/>
      <w:bookmarkEnd w:id="143"/>
      <w:r w:rsidRPr="00FA433F">
        <w:rPr>
          <w:noProof/>
        </w:rPr>
        <w:t xml:space="preserve"> (nie wypełniać</w:t>
      </w:r>
      <w:r w:rsidR="00FA433F" w:rsidRPr="00FA433F">
        <w:rPr>
          <w:noProof/>
        </w:rPr>
        <w:t xml:space="preserve"> w</w:t>
      </w:r>
      <w:r w:rsidR="00FA433F">
        <w:rPr>
          <w:noProof/>
        </w:rPr>
        <w:t> </w:t>
      </w:r>
      <w:r w:rsidR="00FA433F" w:rsidRPr="00FA433F">
        <w:rPr>
          <w:noProof/>
        </w:rPr>
        <w:t>prz</w:t>
      </w:r>
      <w:r w:rsidRPr="00FA433F">
        <w:rPr>
          <w:noProof/>
        </w:rPr>
        <w:t>ypadku agencji zdecentralizowanych)</w:t>
      </w:r>
      <w:bookmarkEnd w:id="144"/>
      <w:bookmarkEnd w:id="145"/>
      <w:bookmarkEnd w:id="146"/>
    </w:p>
    <w:p w14:paraId="3554BB44" w14:textId="3817D507" w:rsidR="008A4C15" w:rsidRPr="00FA433F" w:rsidRDefault="008A4C15">
      <w:pPr>
        <w:jc w:val="right"/>
        <w:rPr>
          <w:noProof/>
          <w:sz w:val="20"/>
        </w:rPr>
      </w:pPr>
      <w:r w:rsidRPr="00FA433F">
        <w:rPr>
          <w:noProof/>
          <w:sz w:val="20"/>
        </w:rPr>
        <w:t>Środki na zobowiązania</w:t>
      </w:r>
      <w:r w:rsidR="00FA433F" w:rsidRPr="00FA433F">
        <w:rPr>
          <w:noProof/>
          <w:sz w:val="20"/>
        </w:rPr>
        <w:t xml:space="preserve"> w</w:t>
      </w:r>
      <w:r w:rsidR="00FA433F">
        <w:rPr>
          <w:noProof/>
          <w:sz w:val="20"/>
        </w:rPr>
        <w:t> </w:t>
      </w:r>
      <w:r w:rsidR="00FA433F" w:rsidRPr="00FA433F">
        <w:rPr>
          <w:noProof/>
          <w:sz w:val="20"/>
        </w:rPr>
        <w:t>mln</w:t>
      </w:r>
      <w:r w:rsidRPr="00FA433F">
        <w:rPr>
          <w:noProof/>
          <w:sz w:val="20"/>
        </w:rPr>
        <w:t xml:space="preserve"> EUR (do trzech miejsc po przecinku)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4D55FB" w:rsidRPr="00FA433F" w14:paraId="0B9999C0" w14:textId="77777777">
        <w:trPr>
          <w:jc w:val="center"/>
        </w:trPr>
        <w:tc>
          <w:tcPr>
            <w:tcW w:w="1423" w:type="dxa"/>
            <w:vMerge w:val="restart"/>
            <w:vAlign w:val="center"/>
          </w:tcPr>
          <w:p w14:paraId="0EA10143" w14:textId="2D6AB433" w:rsidR="008A4C15" w:rsidRPr="00FA433F" w:rsidRDefault="008A4C15">
            <w:pPr>
              <w:ind w:right="-29"/>
              <w:jc w:val="center"/>
              <w:rPr>
                <w:b/>
                <w:noProof/>
                <w:sz w:val="18"/>
                <w:szCs w:val="18"/>
              </w:rPr>
            </w:pPr>
            <w:r w:rsidRPr="00FA433F">
              <w:rPr>
                <w:b/>
                <w:noProof/>
                <w:sz w:val="18"/>
              </w:rPr>
              <w:lastRenderedPageBreak/>
              <w:t>Określić cele</w:t>
            </w:r>
            <w:r w:rsidR="00FA433F" w:rsidRPr="00FA433F">
              <w:rPr>
                <w:b/>
                <w:noProof/>
                <w:sz w:val="18"/>
              </w:rPr>
              <w:t xml:space="preserve"> i</w:t>
            </w:r>
            <w:r w:rsidR="00FA433F">
              <w:rPr>
                <w:b/>
                <w:noProof/>
                <w:sz w:val="18"/>
              </w:rPr>
              <w:t> </w:t>
            </w:r>
            <w:r w:rsidR="00FA433F" w:rsidRPr="00FA433F">
              <w:rPr>
                <w:b/>
                <w:noProof/>
                <w:sz w:val="18"/>
              </w:rPr>
              <w:t>pro</w:t>
            </w:r>
            <w:r w:rsidRPr="00FA433F">
              <w:rPr>
                <w:b/>
                <w:noProof/>
                <w:sz w:val="18"/>
              </w:rPr>
              <w:t xml:space="preserve">dukty </w:t>
            </w:r>
          </w:p>
          <w:p w14:paraId="51BA2DD9" w14:textId="77777777" w:rsidR="008A4C15" w:rsidRPr="00FA433F" w:rsidRDefault="008A4C15">
            <w:pPr>
              <w:ind w:right="-29"/>
              <w:jc w:val="center"/>
              <w:rPr>
                <w:b/>
                <w:noProof/>
                <w:sz w:val="18"/>
                <w:szCs w:val="18"/>
              </w:rPr>
            </w:pPr>
          </w:p>
          <w:p w14:paraId="6E7DB4BF" w14:textId="77777777" w:rsidR="008A4C15" w:rsidRPr="00FA433F" w:rsidRDefault="008A4C15">
            <w:pPr>
              <w:ind w:right="-29"/>
              <w:jc w:val="center"/>
              <w:rPr>
                <w:noProof/>
                <w:sz w:val="18"/>
                <w:szCs w:val="18"/>
              </w:rPr>
            </w:pPr>
            <w:r w:rsidRPr="00FA433F">
              <w:rPr>
                <w:rFonts w:ascii="Wingdings" w:hAnsi="Wingdings"/>
                <w:noProof/>
                <w:sz w:val="18"/>
              </w:rPr>
              <w:t></w:t>
            </w:r>
          </w:p>
        </w:tc>
        <w:tc>
          <w:tcPr>
            <w:tcW w:w="720" w:type="dxa"/>
            <w:vAlign w:val="center"/>
          </w:tcPr>
          <w:p w14:paraId="678BF833" w14:textId="77777777" w:rsidR="008A4C15" w:rsidRPr="00FA433F" w:rsidRDefault="008A4C15">
            <w:pPr>
              <w:ind w:right="-29"/>
              <w:jc w:val="center"/>
              <w:rPr>
                <w:noProof/>
                <w:sz w:val="18"/>
                <w:szCs w:val="18"/>
              </w:rPr>
            </w:pPr>
          </w:p>
        </w:tc>
        <w:tc>
          <w:tcPr>
            <w:tcW w:w="701" w:type="dxa"/>
            <w:vAlign w:val="center"/>
          </w:tcPr>
          <w:p w14:paraId="7FBD9D42" w14:textId="77777777" w:rsidR="008A4C15" w:rsidRPr="00FA433F" w:rsidRDefault="008A4C15">
            <w:pPr>
              <w:ind w:right="-29"/>
              <w:jc w:val="center"/>
              <w:rPr>
                <w:noProof/>
                <w:sz w:val="18"/>
                <w:szCs w:val="18"/>
              </w:rPr>
            </w:pPr>
          </w:p>
        </w:tc>
        <w:tc>
          <w:tcPr>
            <w:tcW w:w="1224" w:type="dxa"/>
            <w:gridSpan w:val="2"/>
            <w:tcBorders>
              <w:left w:val="nil"/>
            </w:tcBorders>
            <w:vAlign w:val="center"/>
          </w:tcPr>
          <w:p w14:paraId="2846D9ED" w14:textId="7B378D66" w:rsidR="008A4C15" w:rsidRPr="00FA433F" w:rsidRDefault="008A4C15">
            <w:pPr>
              <w:ind w:right="-29"/>
              <w:jc w:val="center"/>
              <w:rPr>
                <w:noProof/>
                <w:sz w:val="18"/>
                <w:szCs w:val="18"/>
              </w:rPr>
            </w:pPr>
            <w:r w:rsidRPr="00FA433F">
              <w:rPr>
                <w:noProof/>
                <w:sz w:val="18"/>
              </w:rPr>
              <w:t xml:space="preserve">Rok </w:t>
            </w:r>
            <w:r w:rsidRPr="00FA433F">
              <w:rPr>
                <w:noProof/>
              </w:rPr>
              <w:br/>
            </w:r>
            <w:r w:rsidRPr="00FA433F">
              <w:rPr>
                <w:b/>
                <w:noProof/>
                <w:sz w:val="18"/>
              </w:rPr>
              <w:t>2028</w:t>
            </w:r>
          </w:p>
        </w:tc>
        <w:tc>
          <w:tcPr>
            <w:tcW w:w="1260" w:type="dxa"/>
            <w:gridSpan w:val="2"/>
            <w:vAlign w:val="center"/>
          </w:tcPr>
          <w:p w14:paraId="412310C5" w14:textId="1D388AA7" w:rsidR="008A4C15" w:rsidRPr="00FA433F" w:rsidRDefault="008A4C15">
            <w:pPr>
              <w:ind w:right="-29"/>
              <w:jc w:val="center"/>
              <w:rPr>
                <w:noProof/>
                <w:sz w:val="18"/>
                <w:szCs w:val="18"/>
              </w:rPr>
            </w:pPr>
            <w:r w:rsidRPr="00FA433F">
              <w:rPr>
                <w:noProof/>
                <w:sz w:val="18"/>
              </w:rPr>
              <w:t xml:space="preserve">Rok </w:t>
            </w:r>
            <w:r w:rsidRPr="00FA433F">
              <w:rPr>
                <w:noProof/>
              </w:rPr>
              <w:br/>
            </w:r>
            <w:r w:rsidRPr="00FA433F">
              <w:rPr>
                <w:b/>
                <w:noProof/>
                <w:sz w:val="18"/>
              </w:rPr>
              <w:t>2029</w:t>
            </w:r>
          </w:p>
        </w:tc>
        <w:tc>
          <w:tcPr>
            <w:tcW w:w="1440" w:type="dxa"/>
            <w:gridSpan w:val="2"/>
            <w:vAlign w:val="center"/>
          </w:tcPr>
          <w:p w14:paraId="79472DD4" w14:textId="1D2BE13E" w:rsidR="008A4C15" w:rsidRPr="00FA433F" w:rsidRDefault="008A4C15">
            <w:pPr>
              <w:ind w:right="-29"/>
              <w:jc w:val="center"/>
              <w:rPr>
                <w:noProof/>
                <w:sz w:val="18"/>
                <w:szCs w:val="18"/>
              </w:rPr>
            </w:pPr>
            <w:r w:rsidRPr="00FA433F">
              <w:rPr>
                <w:noProof/>
                <w:sz w:val="18"/>
              </w:rPr>
              <w:t>Rok</w:t>
            </w:r>
            <w:r w:rsidRPr="00FA433F">
              <w:rPr>
                <w:noProof/>
              </w:rPr>
              <w:t xml:space="preserve"> </w:t>
            </w:r>
            <w:r w:rsidRPr="00FA433F">
              <w:rPr>
                <w:noProof/>
              </w:rPr>
              <w:br/>
            </w:r>
            <w:r w:rsidRPr="00FA433F">
              <w:rPr>
                <w:b/>
                <w:noProof/>
                <w:sz w:val="18"/>
              </w:rPr>
              <w:t>2030</w:t>
            </w:r>
          </w:p>
        </w:tc>
        <w:tc>
          <w:tcPr>
            <w:tcW w:w="1620" w:type="dxa"/>
            <w:gridSpan w:val="3"/>
            <w:vAlign w:val="center"/>
          </w:tcPr>
          <w:p w14:paraId="3AB61D2B" w14:textId="376CC052" w:rsidR="008A4C15" w:rsidRPr="00FA433F" w:rsidRDefault="008A4C15">
            <w:pPr>
              <w:ind w:right="-29"/>
              <w:jc w:val="center"/>
              <w:rPr>
                <w:noProof/>
                <w:sz w:val="18"/>
                <w:szCs w:val="18"/>
              </w:rPr>
            </w:pPr>
            <w:r w:rsidRPr="00FA433F">
              <w:rPr>
                <w:noProof/>
                <w:sz w:val="18"/>
              </w:rPr>
              <w:t>Rok</w:t>
            </w:r>
            <w:r w:rsidRPr="00FA433F">
              <w:rPr>
                <w:noProof/>
              </w:rPr>
              <w:t xml:space="preserve"> </w:t>
            </w:r>
            <w:r w:rsidRPr="00FA433F">
              <w:rPr>
                <w:noProof/>
              </w:rPr>
              <w:br/>
            </w:r>
            <w:r w:rsidRPr="00FA433F">
              <w:rPr>
                <w:b/>
                <w:noProof/>
                <w:sz w:val="18"/>
              </w:rPr>
              <w:t>2031</w:t>
            </w:r>
          </w:p>
        </w:tc>
        <w:tc>
          <w:tcPr>
            <w:tcW w:w="3600" w:type="dxa"/>
            <w:gridSpan w:val="6"/>
            <w:vAlign w:val="center"/>
          </w:tcPr>
          <w:p w14:paraId="7789DDE6" w14:textId="77777777" w:rsidR="008A4C15" w:rsidRPr="00FA433F" w:rsidRDefault="008A4C15">
            <w:pPr>
              <w:jc w:val="center"/>
              <w:rPr>
                <w:noProof/>
                <w:sz w:val="18"/>
                <w:szCs w:val="18"/>
              </w:rPr>
            </w:pPr>
            <w:r w:rsidRPr="00FA433F">
              <w:rPr>
                <w:noProof/>
                <w:sz w:val="18"/>
              </w:rPr>
              <w:t>Wprowadzić taką liczbę kolumn dla poszczególnych lat, jaka jest niezbędna, by odzwierciedlić cały okres wpływu (por. sekcja 1.6)</w:t>
            </w:r>
          </w:p>
        </w:tc>
        <w:tc>
          <w:tcPr>
            <w:tcW w:w="1620" w:type="dxa"/>
            <w:gridSpan w:val="2"/>
            <w:tcBorders>
              <w:left w:val="nil"/>
              <w:bottom w:val="nil"/>
            </w:tcBorders>
            <w:vAlign w:val="center"/>
          </w:tcPr>
          <w:p w14:paraId="7F12B43E" w14:textId="77777777" w:rsidR="008A4C15" w:rsidRPr="00FA433F" w:rsidRDefault="008A4C15">
            <w:pPr>
              <w:ind w:right="-29"/>
              <w:jc w:val="center"/>
              <w:rPr>
                <w:noProof/>
                <w:sz w:val="18"/>
                <w:szCs w:val="18"/>
              </w:rPr>
            </w:pPr>
            <w:r w:rsidRPr="00FA433F">
              <w:rPr>
                <w:b/>
                <w:noProof/>
                <w:sz w:val="18"/>
              </w:rPr>
              <w:t>OGÓŁEM</w:t>
            </w:r>
          </w:p>
        </w:tc>
      </w:tr>
      <w:tr w:rsidR="004D55FB" w:rsidRPr="00FA433F" w14:paraId="2ECBA65A" w14:textId="77777777">
        <w:trPr>
          <w:jc w:val="center"/>
        </w:trPr>
        <w:tc>
          <w:tcPr>
            <w:tcW w:w="1423" w:type="dxa"/>
            <w:vMerge/>
            <w:vAlign w:val="center"/>
          </w:tcPr>
          <w:p w14:paraId="1EAC0B88" w14:textId="77777777" w:rsidR="008A4C15" w:rsidRPr="00FA433F" w:rsidRDefault="008A4C15">
            <w:pPr>
              <w:ind w:right="-29"/>
              <w:jc w:val="center"/>
              <w:rPr>
                <w:noProof/>
                <w:sz w:val="18"/>
                <w:szCs w:val="18"/>
              </w:rPr>
            </w:pPr>
          </w:p>
        </w:tc>
        <w:tc>
          <w:tcPr>
            <w:tcW w:w="12185" w:type="dxa"/>
            <w:gridSpan w:val="19"/>
            <w:vAlign w:val="center"/>
          </w:tcPr>
          <w:p w14:paraId="49431D66" w14:textId="77777777" w:rsidR="008A4C15" w:rsidRPr="00FA433F" w:rsidRDefault="008A4C15">
            <w:pPr>
              <w:spacing w:before="60" w:after="60"/>
              <w:ind w:right="-29"/>
              <w:jc w:val="center"/>
              <w:rPr>
                <w:noProof/>
                <w:sz w:val="18"/>
                <w:szCs w:val="18"/>
              </w:rPr>
            </w:pPr>
            <w:r w:rsidRPr="00FA433F">
              <w:rPr>
                <w:b/>
                <w:noProof/>
                <w:sz w:val="18"/>
              </w:rPr>
              <w:t>PRODUKT</w:t>
            </w:r>
          </w:p>
        </w:tc>
      </w:tr>
      <w:tr w:rsidR="004D55FB" w:rsidRPr="00FA433F" w14:paraId="718F0AAD" w14:textId="77777777">
        <w:trPr>
          <w:cantSplit/>
          <w:trHeight w:val="1134"/>
          <w:jc w:val="center"/>
        </w:trPr>
        <w:tc>
          <w:tcPr>
            <w:tcW w:w="1423" w:type="dxa"/>
            <w:vMerge/>
            <w:vAlign w:val="center"/>
          </w:tcPr>
          <w:p w14:paraId="55B98B6F" w14:textId="77777777" w:rsidR="008A4C15" w:rsidRPr="00FA433F" w:rsidRDefault="008A4C15">
            <w:pPr>
              <w:rPr>
                <w:noProof/>
                <w:sz w:val="18"/>
                <w:szCs w:val="18"/>
              </w:rPr>
            </w:pPr>
          </w:p>
        </w:tc>
        <w:tc>
          <w:tcPr>
            <w:tcW w:w="720" w:type="dxa"/>
            <w:vAlign w:val="center"/>
          </w:tcPr>
          <w:p w14:paraId="4A26F8C4" w14:textId="77777777" w:rsidR="008A4C15" w:rsidRPr="00FA433F" w:rsidRDefault="008A4C15">
            <w:pPr>
              <w:jc w:val="center"/>
              <w:rPr>
                <w:noProof/>
                <w:sz w:val="18"/>
                <w:szCs w:val="18"/>
              </w:rPr>
            </w:pPr>
            <w:r w:rsidRPr="00FA433F">
              <w:rPr>
                <w:noProof/>
                <w:sz w:val="18"/>
              </w:rPr>
              <w:t>Rodzaj</w:t>
            </w:r>
            <w:r w:rsidRPr="00FA433F">
              <w:rPr>
                <w:rStyle w:val="Odwoanieprzypisudolnego"/>
                <w:noProof/>
                <w:sz w:val="18"/>
              </w:rPr>
              <w:footnoteReference w:id="33"/>
            </w:r>
          </w:p>
          <w:p w14:paraId="54225011" w14:textId="77777777" w:rsidR="008A4C15" w:rsidRPr="00FA433F" w:rsidRDefault="008A4C15">
            <w:pPr>
              <w:spacing w:before="0" w:after="0"/>
              <w:jc w:val="center"/>
              <w:rPr>
                <w:noProof/>
                <w:sz w:val="18"/>
                <w:szCs w:val="18"/>
              </w:rPr>
            </w:pPr>
          </w:p>
        </w:tc>
        <w:tc>
          <w:tcPr>
            <w:tcW w:w="701" w:type="dxa"/>
            <w:vAlign w:val="center"/>
          </w:tcPr>
          <w:p w14:paraId="43668659" w14:textId="77777777" w:rsidR="008A4C15" w:rsidRPr="00FA433F" w:rsidRDefault="008A4C15">
            <w:pPr>
              <w:jc w:val="center"/>
              <w:rPr>
                <w:noProof/>
                <w:sz w:val="18"/>
                <w:szCs w:val="18"/>
              </w:rPr>
            </w:pPr>
            <w:r w:rsidRPr="00FA433F">
              <w:rPr>
                <w:noProof/>
                <w:sz w:val="18"/>
              </w:rPr>
              <w:t>Średni koszt</w:t>
            </w:r>
          </w:p>
        </w:tc>
        <w:tc>
          <w:tcPr>
            <w:tcW w:w="504" w:type="dxa"/>
            <w:tcBorders>
              <w:left w:val="nil"/>
              <w:right w:val="dashSmallGap" w:sz="4" w:space="0" w:color="auto"/>
            </w:tcBorders>
            <w:shd w:val="pct10" w:color="auto" w:fill="auto"/>
            <w:textDirection w:val="btLr"/>
            <w:vAlign w:val="center"/>
          </w:tcPr>
          <w:p w14:paraId="4F3CECEE" w14:textId="77777777" w:rsidR="008A4C15" w:rsidRPr="00FA433F" w:rsidRDefault="008A4C15">
            <w:pPr>
              <w:ind w:left="113" w:right="113"/>
              <w:jc w:val="center"/>
              <w:rPr>
                <w:noProof/>
                <w:sz w:val="18"/>
                <w:szCs w:val="18"/>
              </w:rPr>
            </w:pPr>
            <w:r w:rsidRPr="00FA433F">
              <w:rPr>
                <w:noProof/>
                <w:sz w:val="18"/>
              </w:rPr>
              <w:t>Liczba</w:t>
            </w:r>
          </w:p>
        </w:tc>
        <w:tc>
          <w:tcPr>
            <w:tcW w:w="720" w:type="dxa"/>
            <w:tcBorders>
              <w:left w:val="dashSmallGap" w:sz="4" w:space="0" w:color="auto"/>
            </w:tcBorders>
            <w:shd w:val="pct10" w:color="auto" w:fill="auto"/>
            <w:vAlign w:val="center"/>
          </w:tcPr>
          <w:p w14:paraId="6F5A562D" w14:textId="77777777" w:rsidR="008A4C15" w:rsidRPr="00FA433F" w:rsidRDefault="008A4C15">
            <w:pPr>
              <w:jc w:val="center"/>
              <w:rPr>
                <w:noProof/>
                <w:sz w:val="18"/>
                <w:szCs w:val="18"/>
              </w:rPr>
            </w:pPr>
            <w:r w:rsidRPr="00FA433F">
              <w:rPr>
                <w:noProof/>
                <w:sz w:val="18"/>
              </w:rPr>
              <w:t>Koszt</w:t>
            </w:r>
          </w:p>
        </w:tc>
        <w:tc>
          <w:tcPr>
            <w:tcW w:w="540" w:type="dxa"/>
            <w:tcBorders>
              <w:right w:val="dashSmallGap" w:sz="4" w:space="0" w:color="auto"/>
            </w:tcBorders>
            <w:shd w:val="pct10" w:color="auto" w:fill="auto"/>
            <w:textDirection w:val="btLr"/>
            <w:vAlign w:val="center"/>
          </w:tcPr>
          <w:p w14:paraId="77A8F5E1" w14:textId="77777777" w:rsidR="008A4C15" w:rsidRPr="00FA433F" w:rsidRDefault="008A4C15">
            <w:pPr>
              <w:ind w:left="113" w:right="113"/>
              <w:jc w:val="center"/>
              <w:rPr>
                <w:noProof/>
                <w:sz w:val="18"/>
                <w:szCs w:val="18"/>
              </w:rPr>
            </w:pPr>
            <w:r w:rsidRPr="00FA433F">
              <w:rPr>
                <w:noProof/>
                <w:sz w:val="18"/>
              </w:rPr>
              <w:t>Liczba</w:t>
            </w:r>
          </w:p>
        </w:tc>
        <w:tc>
          <w:tcPr>
            <w:tcW w:w="720" w:type="dxa"/>
            <w:tcBorders>
              <w:left w:val="dashSmallGap" w:sz="4" w:space="0" w:color="auto"/>
            </w:tcBorders>
            <w:shd w:val="pct10" w:color="auto" w:fill="auto"/>
            <w:vAlign w:val="center"/>
          </w:tcPr>
          <w:p w14:paraId="27EDAA8E" w14:textId="77777777" w:rsidR="008A4C15" w:rsidRPr="00FA433F" w:rsidRDefault="008A4C15">
            <w:pPr>
              <w:jc w:val="center"/>
              <w:rPr>
                <w:noProof/>
                <w:sz w:val="18"/>
                <w:szCs w:val="18"/>
              </w:rPr>
            </w:pPr>
            <w:r w:rsidRPr="00FA433F">
              <w:rPr>
                <w:noProof/>
                <w:sz w:val="18"/>
              </w:rPr>
              <w:t>Koszt</w:t>
            </w:r>
          </w:p>
        </w:tc>
        <w:tc>
          <w:tcPr>
            <w:tcW w:w="720" w:type="dxa"/>
            <w:tcBorders>
              <w:right w:val="dashSmallGap" w:sz="4" w:space="0" w:color="auto"/>
            </w:tcBorders>
            <w:shd w:val="pct10" w:color="auto" w:fill="auto"/>
            <w:textDirection w:val="btLr"/>
            <w:vAlign w:val="center"/>
          </w:tcPr>
          <w:p w14:paraId="63B4E020" w14:textId="77777777" w:rsidR="008A4C15" w:rsidRPr="00FA433F" w:rsidRDefault="008A4C15">
            <w:pPr>
              <w:ind w:left="113" w:right="113"/>
              <w:jc w:val="center"/>
              <w:rPr>
                <w:noProof/>
                <w:sz w:val="18"/>
                <w:szCs w:val="18"/>
              </w:rPr>
            </w:pPr>
            <w:r w:rsidRPr="00FA433F">
              <w:rPr>
                <w:noProof/>
                <w:sz w:val="18"/>
              </w:rPr>
              <w:t>Liczba</w:t>
            </w:r>
          </w:p>
        </w:tc>
        <w:tc>
          <w:tcPr>
            <w:tcW w:w="720" w:type="dxa"/>
            <w:tcBorders>
              <w:left w:val="dashSmallGap" w:sz="4" w:space="0" w:color="auto"/>
            </w:tcBorders>
            <w:shd w:val="pct10" w:color="auto" w:fill="auto"/>
            <w:vAlign w:val="center"/>
          </w:tcPr>
          <w:p w14:paraId="2D0723F6" w14:textId="77777777" w:rsidR="008A4C15" w:rsidRPr="00FA433F" w:rsidRDefault="008A4C15">
            <w:pPr>
              <w:jc w:val="center"/>
              <w:rPr>
                <w:noProof/>
                <w:sz w:val="18"/>
                <w:szCs w:val="18"/>
              </w:rPr>
            </w:pPr>
            <w:r w:rsidRPr="00FA433F">
              <w:rPr>
                <w:noProof/>
                <w:sz w:val="18"/>
              </w:rPr>
              <w:t>Koszt</w:t>
            </w:r>
          </w:p>
        </w:tc>
        <w:tc>
          <w:tcPr>
            <w:tcW w:w="900" w:type="dxa"/>
            <w:tcBorders>
              <w:right w:val="dashSmallGap" w:sz="4" w:space="0" w:color="auto"/>
            </w:tcBorders>
            <w:shd w:val="pct10" w:color="auto" w:fill="auto"/>
            <w:textDirection w:val="btLr"/>
            <w:vAlign w:val="center"/>
          </w:tcPr>
          <w:p w14:paraId="05FB6345" w14:textId="77777777" w:rsidR="008A4C15" w:rsidRPr="00FA433F" w:rsidRDefault="008A4C15">
            <w:pPr>
              <w:ind w:left="113" w:right="113"/>
              <w:jc w:val="center"/>
              <w:rPr>
                <w:noProof/>
                <w:sz w:val="18"/>
                <w:szCs w:val="18"/>
              </w:rPr>
            </w:pPr>
            <w:r w:rsidRPr="00FA433F">
              <w:rPr>
                <w:noProof/>
                <w:sz w:val="18"/>
              </w:rPr>
              <w:t>Liczba</w:t>
            </w:r>
          </w:p>
        </w:tc>
        <w:tc>
          <w:tcPr>
            <w:tcW w:w="720" w:type="dxa"/>
            <w:gridSpan w:val="2"/>
            <w:tcBorders>
              <w:left w:val="dashSmallGap" w:sz="4" w:space="0" w:color="auto"/>
            </w:tcBorders>
            <w:shd w:val="pct10" w:color="auto" w:fill="auto"/>
            <w:vAlign w:val="center"/>
          </w:tcPr>
          <w:p w14:paraId="181C0BCF" w14:textId="77777777" w:rsidR="008A4C15" w:rsidRPr="00FA433F" w:rsidRDefault="008A4C15">
            <w:pPr>
              <w:jc w:val="center"/>
              <w:rPr>
                <w:noProof/>
                <w:sz w:val="18"/>
                <w:szCs w:val="18"/>
              </w:rPr>
            </w:pPr>
            <w:r w:rsidRPr="00FA433F">
              <w:rPr>
                <w:noProof/>
                <w:sz w:val="18"/>
              </w:rPr>
              <w:t>Koszt</w:t>
            </w:r>
          </w:p>
        </w:tc>
        <w:tc>
          <w:tcPr>
            <w:tcW w:w="540" w:type="dxa"/>
            <w:tcBorders>
              <w:right w:val="dashSmallGap" w:sz="4" w:space="0" w:color="auto"/>
            </w:tcBorders>
            <w:shd w:val="pct10" w:color="auto" w:fill="auto"/>
            <w:textDirection w:val="btLr"/>
            <w:vAlign w:val="center"/>
          </w:tcPr>
          <w:p w14:paraId="06FDD174" w14:textId="77777777" w:rsidR="008A4C15" w:rsidRPr="00FA433F" w:rsidRDefault="008A4C15">
            <w:pPr>
              <w:ind w:left="113" w:right="113"/>
              <w:jc w:val="center"/>
              <w:rPr>
                <w:noProof/>
                <w:sz w:val="18"/>
                <w:szCs w:val="18"/>
              </w:rPr>
            </w:pPr>
            <w:r w:rsidRPr="00FA433F">
              <w:rPr>
                <w:noProof/>
                <w:sz w:val="18"/>
              </w:rPr>
              <w:t>Liczba</w:t>
            </w:r>
          </w:p>
        </w:tc>
        <w:tc>
          <w:tcPr>
            <w:tcW w:w="648" w:type="dxa"/>
            <w:tcBorders>
              <w:left w:val="dashSmallGap" w:sz="4" w:space="0" w:color="auto"/>
            </w:tcBorders>
            <w:shd w:val="pct10" w:color="auto" w:fill="auto"/>
            <w:vAlign w:val="center"/>
          </w:tcPr>
          <w:p w14:paraId="52590D08" w14:textId="77777777" w:rsidR="008A4C15" w:rsidRPr="00FA433F" w:rsidRDefault="008A4C15">
            <w:pPr>
              <w:jc w:val="center"/>
              <w:rPr>
                <w:noProof/>
                <w:sz w:val="18"/>
                <w:szCs w:val="18"/>
              </w:rPr>
            </w:pPr>
            <w:r w:rsidRPr="00FA433F">
              <w:rPr>
                <w:noProof/>
                <w:sz w:val="18"/>
              </w:rPr>
              <w:t>Koszt</w:t>
            </w:r>
          </w:p>
        </w:tc>
        <w:tc>
          <w:tcPr>
            <w:tcW w:w="432" w:type="dxa"/>
            <w:tcBorders>
              <w:right w:val="dashSmallGap" w:sz="4" w:space="0" w:color="auto"/>
            </w:tcBorders>
            <w:shd w:val="pct10" w:color="auto" w:fill="auto"/>
            <w:textDirection w:val="btLr"/>
            <w:vAlign w:val="center"/>
          </w:tcPr>
          <w:p w14:paraId="3D55C718" w14:textId="77777777" w:rsidR="008A4C15" w:rsidRPr="00FA433F" w:rsidRDefault="008A4C15">
            <w:pPr>
              <w:ind w:left="113" w:right="113"/>
              <w:jc w:val="center"/>
              <w:rPr>
                <w:noProof/>
                <w:sz w:val="18"/>
                <w:szCs w:val="18"/>
              </w:rPr>
            </w:pPr>
            <w:r w:rsidRPr="00FA433F">
              <w:rPr>
                <w:noProof/>
                <w:sz w:val="18"/>
              </w:rPr>
              <w:t>Liczba</w:t>
            </w:r>
          </w:p>
        </w:tc>
        <w:tc>
          <w:tcPr>
            <w:tcW w:w="720" w:type="dxa"/>
            <w:tcBorders>
              <w:left w:val="dashSmallGap" w:sz="4" w:space="0" w:color="auto"/>
            </w:tcBorders>
            <w:shd w:val="pct10" w:color="auto" w:fill="auto"/>
            <w:vAlign w:val="center"/>
          </w:tcPr>
          <w:p w14:paraId="1EC3BFBC" w14:textId="77777777" w:rsidR="008A4C15" w:rsidRPr="00FA433F" w:rsidRDefault="008A4C15">
            <w:pPr>
              <w:jc w:val="center"/>
              <w:rPr>
                <w:noProof/>
                <w:sz w:val="18"/>
                <w:szCs w:val="18"/>
              </w:rPr>
            </w:pPr>
            <w:r w:rsidRPr="00FA433F">
              <w:rPr>
                <w:noProof/>
                <w:sz w:val="18"/>
              </w:rPr>
              <w:t>Koszt</w:t>
            </w:r>
          </w:p>
        </w:tc>
        <w:tc>
          <w:tcPr>
            <w:tcW w:w="540" w:type="dxa"/>
            <w:tcBorders>
              <w:right w:val="dashSmallGap" w:sz="4" w:space="0" w:color="auto"/>
            </w:tcBorders>
            <w:shd w:val="pct10" w:color="auto" w:fill="auto"/>
            <w:textDirection w:val="btLr"/>
            <w:vAlign w:val="center"/>
          </w:tcPr>
          <w:p w14:paraId="569F44DF" w14:textId="77777777" w:rsidR="008A4C15" w:rsidRPr="00FA433F" w:rsidRDefault="008A4C15">
            <w:pPr>
              <w:ind w:left="113" w:right="113"/>
              <w:jc w:val="center"/>
              <w:rPr>
                <w:noProof/>
                <w:sz w:val="18"/>
                <w:szCs w:val="18"/>
              </w:rPr>
            </w:pPr>
            <w:r w:rsidRPr="00FA433F">
              <w:rPr>
                <w:noProof/>
                <w:sz w:val="18"/>
              </w:rPr>
              <w:t>Liczba</w:t>
            </w:r>
          </w:p>
        </w:tc>
        <w:tc>
          <w:tcPr>
            <w:tcW w:w="720" w:type="dxa"/>
            <w:tcBorders>
              <w:left w:val="dashSmallGap" w:sz="4" w:space="0" w:color="auto"/>
            </w:tcBorders>
            <w:shd w:val="pct10" w:color="auto" w:fill="auto"/>
            <w:vAlign w:val="center"/>
          </w:tcPr>
          <w:p w14:paraId="3721F3FB" w14:textId="77777777" w:rsidR="008A4C15" w:rsidRPr="00FA433F" w:rsidRDefault="008A4C15">
            <w:pPr>
              <w:jc w:val="center"/>
              <w:rPr>
                <w:noProof/>
                <w:sz w:val="18"/>
                <w:szCs w:val="18"/>
              </w:rPr>
            </w:pPr>
            <w:r w:rsidRPr="00FA433F">
              <w:rPr>
                <w:noProof/>
                <w:sz w:val="18"/>
              </w:rPr>
              <w:t>Koszt</w:t>
            </w:r>
          </w:p>
        </w:tc>
        <w:tc>
          <w:tcPr>
            <w:tcW w:w="720" w:type="dxa"/>
            <w:tcBorders>
              <w:right w:val="dashSmallGap" w:sz="4" w:space="0" w:color="auto"/>
            </w:tcBorders>
            <w:shd w:val="pct10" w:color="auto" w:fill="auto"/>
            <w:vAlign w:val="center"/>
          </w:tcPr>
          <w:p w14:paraId="2C99BD46" w14:textId="77777777" w:rsidR="008A4C15" w:rsidRPr="00FA433F" w:rsidRDefault="008A4C15">
            <w:pPr>
              <w:jc w:val="center"/>
              <w:rPr>
                <w:noProof/>
                <w:sz w:val="18"/>
                <w:szCs w:val="18"/>
              </w:rPr>
            </w:pPr>
            <w:r w:rsidRPr="00FA433F">
              <w:rPr>
                <w:noProof/>
                <w:sz w:val="18"/>
              </w:rPr>
              <w:t>Liczba ogółem</w:t>
            </w:r>
          </w:p>
        </w:tc>
        <w:tc>
          <w:tcPr>
            <w:tcW w:w="900" w:type="dxa"/>
            <w:tcBorders>
              <w:left w:val="dashSmallGap" w:sz="4" w:space="0" w:color="auto"/>
            </w:tcBorders>
            <w:shd w:val="pct10" w:color="auto" w:fill="auto"/>
            <w:vAlign w:val="center"/>
          </w:tcPr>
          <w:p w14:paraId="20FEFF26" w14:textId="77777777" w:rsidR="008A4C15" w:rsidRPr="00FA433F" w:rsidRDefault="008A4C15">
            <w:pPr>
              <w:jc w:val="center"/>
              <w:rPr>
                <w:noProof/>
                <w:sz w:val="18"/>
                <w:szCs w:val="18"/>
              </w:rPr>
            </w:pPr>
            <w:r w:rsidRPr="00FA433F">
              <w:rPr>
                <w:noProof/>
                <w:sz w:val="18"/>
              </w:rPr>
              <w:t>Koszt całkowity</w:t>
            </w:r>
          </w:p>
        </w:tc>
      </w:tr>
      <w:tr w:rsidR="004D55FB" w:rsidRPr="00FA433F" w14:paraId="295423D0" w14:textId="77777777">
        <w:trPr>
          <w:jc w:val="center"/>
        </w:trPr>
        <w:tc>
          <w:tcPr>
            <w:tcW w:w="2844" w:type="dxa"/>
            <w:gridSpan w:val="3"/>
            <w:vAlign w:val="center"/>
          </w:tcPr>
          <w:p w14:paraId="17997FB1" w14:textId="3465BB89" w:rsidR="008A4C15" w:rsidRPr="00FA433F" w:rsidRDefault="008A4C15">
            <w:pPr>
              <w:spacing w:before="60" w:after="60"/>
              <w:ind w:right="-29"/>
              <w:jc w:val="center"/>
              <w:rPr>
                <w:noProof/>
                <w:sz w:val="18"/>
                <w:szCs w:val="18"/>
              </w:rPr>
            </w:pPr>
            <w:r w:rsidRPr="00FA433F">
              <w:rPr>
                <w:noProof/>
                <w:sz w:val="18"/>
              </w:rPr>
              <w:t>CEL SZCZEGÓŁOWY nr</w:t>
            </w:r>
            <w:r w:rsidR="00FA433F" w:rsidRPr="00FA433F">
              <w:rPr>
                <w:noProof/>
                <w:sz w:val="18"/>
              </w:rPr>
              <w:t> </w:t>
            </w:r>
            <w:r w:rsidRPr="00FA433F">
              <w:rPr>
                <w:noProof/>
                <w:sz w:val="18"/>
              </w:rPr>
              <w:t>1</w:t>
            </w:r>
            <w:r w:rsidRPr="00FA433F">
              <w:rPr>
                <w:rStyle w:val="Odwoanieprzypisudolnego"/>
                <w:noProof/>
                <w:sz w:val="18"/>
              </w:rPr>
              <w:footnoteReference w:id="34"/>
            </w:r>
          </w:p>
        </w:tc>
        <w:tc>
          <w:tcPr>
            <w:tcW w:w="504" w:type="dxa"/>
            <w:tcBorders>
              <w:top w:val="nil"/>
              <w:left w:val="nil"/>
              <w:bottom w:val="nil"/>
              <w:right w:val="nil"/>
            </w:tcBorders>
          </w:tcPr>
          <w:p w14:paraId="76C4720E"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69586B3C" w14:textId="77777777" w:rsidR="008A4C15" w:rsidRPr="00FA433F" w:rsidRDefault="008A4C15">
            <w:pPr>
              <w:spacing w:before="60" w:after="60"/>
              <w:ind w:right="-29"/>
              <w:jc w:val="center"/>
              <w:rPr>
                <w:noProof/>
                <w:sz w:val="18"/>
                <w:szCs w:val="18"/>
              </w:rPr>
            </w:pPr>
          </w:p>
        </w:tc>
        <w:tc>
          <w:tcPr>
            <w:tcW w:w="540" w:type="dxa"/>
            <w:tcBorders>
              <w:top w:val="nil"/>
              <w:left w:val="nil"/>
              <w:bottom w:val="nil"/>
              <w:right w:val="nil"/>
            </w:tcBorders>
          </w:tcPr>
          <w:p w14:paraId="0016C939"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05323CD1"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7353DEBD"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7394E4B9" w14:textId="77777777" w:rsidR="008A4C15" w:rsidRPr="00FA433F" w:rsidRDefault="008A4C15">
            <w:pPr>
              <w:spacing w:before="60" w:after="60"/>
              <w:ind w:right="-29"/>
              <w:jc w:val="center"/>
              <w:rPr>
                <w:noProof/>
                <w:sz w:val="18"/>
                <w:szCs w:val="18"/>
              </w:rPr>
            </w:pPr>
          </w:p>
        </w:tc>
        <w:tc>
          <w:tcPr>
            <w:tcW w:w="900" w:type="dxa"/>
            <w:tcBorders>
              <w:top w:val="nil"/>
              <w:left w:val="nil"/>
              <w:bottom w:val="nil"/>
              <w:right w:val="nil"/>
            </w:tcBorders>
          </w:tcPr>
          <w:p w14:paraId="321782C5" w14:textId="77777777" w:rsidR="008A4C15" w:rsidRPr="00FA433F" w:rsidRDefault="008A4C15">
            <w:pPr>
              <w:spacing w:before="60" w:after="60"/>
              <w:ind w:right="-29"/>
              <w:jc w:val="center"/>
              <w:rPr>
                <w:noProof/>
                <w:sz w:val="18"/>
                <w:szCs w:val="18"/>
              </w:rPr>
            </w:pPr>
          </w:p>
        </w:tc>
        <w:tc>
          <w:tcPr>
            <w:tcW w:w="720" w:type="dxa"/>
            <w:gridSpan w:val="2"/>
            <w:tcBorders>
              <w:top w:val="nil"/>
              <w:left w:val="nil"/>
              <w:bottom w:val="nil"/>
              <w:right w:val="nil"/>
            </w:tcBorders>
          </w:tcPr>
          <w:p w14:paraId="4B009941" w14:textId="77777777" w:rsidR="008A4C15" w:rsidRPr="00FA433F" w:rsidRDefault="008A4C15">
            <w:pPr>
              <w:spacing w:before="60" w:after="60"/>
              <w:ind w:right="-29"/>
              <w:jc w:val="center"/>
              <w:rPr>
                <w:noProof/>
                <w:sz w:val="18"/>
                <w:szCs w:val="18"/>
              </w:rPr>
            </w:pPr>
          </w:p>
        </w:tc>
        <w:tc>
          <w:tcPr>
            <w:tcW w:w="540" w:type="dxa"/>
            <w:tcBorders>
              <w:top w:val="nil"/>
              <w:left w:val="nil"/>
              <w:bottom w:val="nil"/>
              <w:right w:val="nil"/>
            </w:tcBorders>
          </w:tcPr>
          <w:p w14:paraId="71043CB6" w14:textId="77777777" w:rsidR="008A4C15" w:rsidRPr="00FA433F" w:rsidRDefault="008A4C15">
            <w:pPr>
              <w:spacing w:before="60" w:after="60"/>
              <w:ind w:right="-29"/>
              <w:jc w:val="center"/>
              <w:rPr>
                <w:noProof/>
                <w:sz w:val="18"/>
                <w:szCs w:val="18"/>
              </w:rPr>
            </w:pPr>
          </w:p>
        </w:tc>
        <w:tc>
          <w:tcPr>
            <w:tcW w:w="648" w:type="dxa"/>
            <w:tcBorders>
              <w:top w:val="nil"/>
              <w:left w:val="nil"/>
              <w:bottom w:val="nil"/>
              <w:right w:val="nil"/>
            </w:tcBorders>
          </w:tcPr>
          <w:p w14:paraId="4A99F3C0" w14:textId="77777777" w:rsidR="008A4C15" w:rsidRPr="00FA433F" w:rsidRDefault="008A4C15">
            <w:pPr>
              <w:spacing w:before="60" w:after="60"/>
              <w:ind w:right="-29"/>
              <w:jc w:val="center"/>
              <w:rPr>
                <w:noProof/>
                <w:sz w:val="18"/>
                <w:szCs w:val="18"/>
              </w:rPr>
            </w:pPr>
          </w:p>
        </w:tc>
        <w:tc>
          <w:tcPr>
            <w:tcW w:w="432" w:type="dxa"/>
            <w:tcBorders>
              <w:top w:val="nil"/>
              <w:left w:val="nil"/>
              <w:bottom w:val="nil"/>
              <w:right w:val="nil"/>
            </w:tcBorders>
          </w:tcPr>
          <w:p w14:paraId="0F28DA4E"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2D4B95BD" w14:textId="77777777" w:rsidR="008A4C15" w:rsidRPr="00FA433F" w:rsidRDefault="008A4C15">
            <w:pPr>
              <w:spacing w:before="60" w:after="60"/>
              <w:ind w:right="-29"/>
              <w:jc w:val="center"/>
              <w:rPr>
                <w:noProof/>
                <w:sz w:val="18"/>
                <w:szCs w:val="18"/>
              </w:rPr>
            </w:pPr>
          </w:p>
        </w:tc>
        <w:tc>
          <w:tcPr>
            <w:tcW w:w="540" w:type="dxa"/>
            <w:tcBorders>
              <w:top w:val="nil"/>
              <w:left w:val="nil"/>
              <w:bottom w:val="nil"/>
              <w:right w:val="nil"/>
            </w:tcBorders>
          </w:tcPr>
          <w:p w14:paraId="47BC3E5D"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1BB1534C"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7CD55875" w14:textId="77777777" w:rsidR="008A4C15" w:rsidRPr="00FA433F" w:rsidRDefault="008A4C15">
            <w:pPr>
              <w:spacing w:before="60" w:after="60"/>
              <w:ind w:right="-29"/>
              <w:jc w:val="center"/>
              <w:rPr>
                <w:noProof/>
                <w:sz w:val="18"/>
                <w:szCs w:val="18"/>
              </w:rPr>
            </w:pPr>
          </w:p>
        </w:tc>
        <w:tc>
          <w:tcPr>
            <w:tcW w:w="900" w:type="dxa"/>
            <w:tcBorders>
              <w:top w:val="nil"/>
              <w:left w:val="nil"/>
              <w:bottom w:val="nil"/>
              <w:right w:val="nil"/>
            </w:tcBorders>
          </w:tcPr>
          <w:p w14:paraId="1FAF7625" w14:textId="77777777" w:rsidR="008A4C15" w:rsidRPr="00FA433F" w:rsidRDefault="008A4C15">
            <w:pPr>
              <w:spacing w:before="60" w:after="60"/>
              <w:ind w:right="-29"/>
              <w:jc w:val="center"/>
              <w:rPr>
                <w:noProof/>
                <w:sz w:val="18"/>
                <w:szCs w:val="18"/>
              </w:rPr>
            </w:pPr>
          </w:p>
        </w:tc>
      </w:tr>
      <w:tr w:rsidR="004D55FB" w:rsidRPr="00FA433F" w14:paraId="6FAF06C1" w14:textId="77777777">
        <w:trPr>
          <w:trHeight w:hRule="exact" w:val="369"/>
          <w:jc w:val="center"/>
        </w:trPr>
        <w:tc>
          <w:tcPr>
            <w:tcW w:w="1423" w:type="dxa"/>
          </w:tcPr>
          <w:p w14:paraId="1BEEA926" w14:textId="77777777" w:rsidR="008A4C15" w:rsidRPr="00FA433F" w:rsidRDefault="008A4C15">
            <w:pPr>
              <w:ind w:right="-29"/>
              <w:jc w:val="center"/>
              <w:rPr>
                <w:noProof/>
                <w:sz w:val="18"/>
                <w:szCs w:val="18"/>
              </w:rPr>
            </w:pPr>
            <w:r w:rsidRPr="00FA433F">
              <w:rPr>
                <w:noProof/>
                <w:sz w:val="18"/>
              </w:rPr>
              <w:t>- Produkt</w:t>
            </w:r>
          </w:p>
        </w:tc>
        <w:tc>
          <w:tcPr>
            <w:tcW w:w="720" w:type="dxa"/>
          </w:tcPr>
          <w:p w14:paraId="2DDBCE54" w14:textId="77777777" w:rsidR="008A4C15" w:rsidRPr="00FA433F" w:rsidRDefault="008A4C15">
            <w:pPr>
              <w:ind w:right="-29"/>
              <w:jc w:val="center"/>
              <w:rPr>
                <w:noProof/>
                <w:sz w:val="18"/>
                <w:szCs w:val="18"/>
              </w:rPr>
            </w:pPr>
          </w:p>
        </w:tc>
        <w:tc>
          <w:tcPr>
            <w:tcW w:w="701" w:type="dxa"/>
          </w:tcPr>
          <w:p w14:paraId="648736D8" w14:textId="77777777" w:rsidR="008A4C15" w:rsidRPr="00FA433F" w:rsidRDefault="008A4C15">
            <w:pPr>
              <w:ind w:right="-29"/>
              <w:jc w:val="center"/>
              <w:rPr>
                <w:noProof/>
                <w:sz w:val="18"/>
                <w:szCs w:val="18"/>
              </w:rPr>
            </w:pPr>
          </w:p>
        </w:tc>
        <w:tc>
          <w:tcPr>
            <w:tcW w:w="504" w:type="dxa"/>
            <w:tcBorders>
              <w:right w:val="dashSmallGap" w:sz="4" w:space="0" w:color="auto"/>
            </w:tcBorders>
          </w:tcPr>
          <w:p w14:paraId="324FDD81" w14:textId="77777777" w:rsidR="008A4C15" w:rsidRPr="00FA433F" w:rsidRDefault="008A4C15">
            <w:pPr>
              <w:ind w:right="-29"/>
              <w:jc w:val="center"/>
              <w:rPr>
                <w:noProof/>
                <w:sz w:val="18"/>
                <w:szCs w:val="18"/>
              </w:rPr>
            </w:pPr>
          </w:p>
        </w:tc>
        <w:tc>
          <w:tcPr>
            <w:tcW w:w="720" w:type="dxa"/>
            <w:tcBorders>
              <w:left w:val="dashSmallGap" w:sz="4" w:space="0" w:color="auto"/>
            </w:tcBorders>
          </w:tcPr>
          <w:p w14:paraId="3CF159F5" w14:textId="77777777" w:rsidR="008A4C15" w:rsidRPr="00FA433F" w:rsidRDefault="008A4C15">
            <w:pPr>
              <w:ind w:right="-29"/>
              <w:jc w:val="center"/>
              <w:rPr>
                <w:noProof/>
                <w:sz w:val="18"/>
                <w:szCs w:val="18"/>
              </w:rPr>
            </w:pPr>
          </w:p>
        </w:tc>
        <w:tc>
          <w:tcPr>
            <w:tcW w:w="540" w:type="dxa"/>
            <w:tcBorders>
              <w:right w:val="dashSmallGap" w:sz="4" w:space="0" w:color="auto"/>
            </w:tcBorders>
          </w:tcPr>
          <w:p w14:paraId="1214D968" w14:textId="77777777" w:rsidR="008A4C15" w:rsidRPr="00FA433F" w:rsidRDefault="008A4C15">
            <w:pPr>
              <w:ind w:right="-29"/>
              <w:jc w:val="center"/>
              <w:rPr>
                <w:noProof/>
                <w:sz w:val="18"/>
                <w:szCs w:val="18"/>
              </w:rPr>
            </w:pPr>
          </w:p>
        </w:tc>
        <w:tc>
          <w:tcPr>
            <w:tcW w:w="720" w:type="dxa"/>
            <w:tcBorders>
              <w:left w:val="dashSmallGap" w:sz="4" w:space="0" w:color="auto"/>
            </w:tcBorders>
          </w:tcPr>
          <w:p w14:paraId="44E5369C" w14:textId="77777777" w:rsidR="008A4C15" w:rsidRPr="00FA433F" w:rsidRDefault="008A4C15">
            <w:pPr>
              <w:ind w:right="-29"/>
              <w:jc w:val="center"/>
              <w:rPr>
                <w:noProof/>
                <w:sz w:val="18"/>
                <w:szCs w:val="18"/>
              </w:rPr>
            </w:pPr>
          </w:p>
        </w:tc>
        <w:tc>
          <w:tcPr>
            <w:tcW w:w="720" w:type="dxa"/>
            <w:tcBorders>
              <w:right w:val="dashSmallGap" w:sz="4" w:space="0" w:color="auto"/>
            </w:tcBorders>
          </w:tcPr>
          <w:p w14:paraId="286CD19F" w14:textId="77777777" w:rsidR="008A4C15" w:rsidRPr="00FA433F" w:rsidRDefault="008A4C15">
            <w:pPr>
              <w:ind w:right="-29"/>
              <w:jc w:val="center"/>
              <w:rPr>
                <w:noProof/>
                <w:sz w:val="18"/>
                <w:szCs w:val="18"/>
              </w:rPr>
            </w:pPr>
          </w:p>
        </w:tc>
        <w:tc>
          <w:tcPr>
            <w:tcW w:w="720" w:type="dxa"/>
            <w:tcBorders>
              <w:left w:val="dashSmallGap" w:sz="4" w:space="0" w:color="auto"/>
            </w:tcBorders>
          </w:tcPr>
          <w:p w14:paraId="71B27728" w14:textId="77777777" w:rsidR="008A4C15" w:rsidRPr="00FA433F" w:rsidRDefault="008A4C15">
            <w:pPr>
              <w:ind w:right="-29"/>
              <w:jc w:val="center"/>
              <w:rPr>
                <w:noProof/>
                <w:sz w:val="18"/>
                <w:szCs w:val="18"/>
              </w:rPr>
            </w:pPr>
          </w:p>
        </w:tc>
        <w:tc>
          <w:tcPr>
            <w:tcW w:w="900" w:type="dxa"/>
            <w:tcBorders>
              <w:right w:val="dashSmallGap" w:sz="4" w:space="0" w:color="auto"/>
            </w:tcBorders>
          </w:tcPr>
          <w:p w14:paraId="669234C9" w14:textId="77777777" w:rsidR="008A4C15" w:rsidRPr="00FA433F" w:rsidRDefault="008A4C15">
            <w:pPr>
              <w:ind w:right="-29"/>
              <w:jc w:val="center"/>
              <w:rPr>
                <w:noProof/>
                <w:sz w:val="18"/>
                <w:szCs w:val="18"/>
              </w:rPr>
            </w:pPr>
          </w:p>
        </w:tc>
        <w:tc>
          <w:tcPr>
            <w:tcW w:w="720" w:type="dxa"/>
            <w:gridSpan w:val="2"/>
            <w:tcBorders>
              <w:left w:val="dashSmallGap" w:sz="4" w:space="0" w:color="auto"/>
            </w:tcBorders>
          </w:tcPr>
          <w:p w14:paraId="11FFFB95" w14:textId="77777777" w:rsidR="008A4C15" w:rsidRPr="00FA433F" w:rsidRDefault="008A4C15">
            <w:pPr>
              <w:ind w:right="-29"/>
              <w:jc w:val="center"/>
              <w:rPr>
                <w:noProof/>
                <w:sz w:val="18"/>
                <w:szCs w:val="18"/>
              </w:rPr>
            </w:pPr>
          </w:p>
        </w:tc>
        <w:tc>
          <w:tcPr>
            <w:tcW w:w="540" w:type="dxa"/>
            <w:tcBorders>
              <w:right w:val="dashSmallGap" w:sz="4" w:space="0" w:color="auto"/>
            </w:tcBorders>
          </w:tcPr>
          <w:p w14:paraId="24634092" w14:textId="77777777" w:rsidR="008A4C15" w:rsidRPr="00FA433F" w:rsidRDefault="008A4C15">
            <w:pPr>
              <w:ind w:right="-29"/>
              <w:jc w:val="center"/>
              <w:rPr>
                <w:noProof/>
                <w:sz w:val="18"/>
                <w:szCs w:val="18"/>
              </w:rPr>
            </w:pPr>
          </w:p>
        </w:tc>
        <w:tc>
          <w:tcPr>
            <w:tcW w:w="648" w:type="dxa"/>
            <w:tcBorders>
              <w:left w:val="dashSmallGap" w:sz="4" w:space="0" w:color="auto"/>
            </w:tcBorders>
          </w:tcPr>
          <w:p w14:paraId="0EB0F8C9" w14:textId="77777777" w:rsidR="008A4C15" w:rsidRPr="00FA433F" w:rsidRDefault="008A4C15">
            <w:pPr>
              <w:ind w:right="-29"/>
              <w:jc w:val="center"/>
              <w:rPr>
                <w:noProof/>
                <w:sz w:val="18"/>
                <w:szCs w:val="18"/>
              </w:rPr>
            </w:pPr>
          </w:p>
        </w:tc>
        <w:tc>
          <w:tcPr>
            <w:tcW w:w="432" w:type="dxa"/>
            <w:tcBorders>
              <w:right w:val="dashSmallGap" w:sz="4" w:space="0" w:color="auto"/>
            </w:tcBorders>
          </w:tcPr>
          <w:p w14:paraId="3644DF08" w14:textId="77777777" w:rsidR="008A4C15" w:rsidRPr="00FA433F" w:rsidRDefault="008A4C15">
            <w:pPr>
              <w:ind w:right="-29"/>
              <w:jc w:val="center"/>
              <w:rPr>
                <w:noProof/>
                <w:sz w:val="18"/>
                <w:szCs w:val="18"/>
              </w:rPr>
            </w:pPr>
          </w:p>
        </w:tc>
        <w:tc>
          <w:tcPr>
            <w:tcW w:w="720" w:type="dxa"/>
            <w:tcBorders>
              <w:left w:val="dashSmallGap" w:sz="4" w:space="0" w:color="auto"/>
            </w:tcBorders>
          </w:tcPr>
          <w:p w14:paraId="0B2D0F99" w14:textId="77777777" w:rsidR="008A4C15" w:rsidRPr="00FA433F" w:rsidRDefault="008A4C15">
            <w:pPr>
              <w:ind w:right="-29"/>
              <w:jc w:val="center"/>
              <w:rPr>
                <w:noProof/>
                <w:sz w:val="18"/>
                <w:szCs w:val="18"/>
              </w:rPr>
            </w:pPr>
          </w:p>
        </w:tc>
        <w:tc>
          <w:tcPr>
            <w:tcW w:w="540" w:type="dxa"/>
            <w:tcBorders>
              <w:right w:val="dashSmallGap" w:sz="4" w:space="0" w:color="auto"/>
            </w:tcBorders>
          </w:tcPr>
          <w:p w14:paraId="5ABC2451" w14:textId="77777777" w:rsidR="008A4C15" w:rsidRPr="00FA433F" w:rsidRDefault="008A4C15">
            <w:pPr>
              <w:ind w:right="-29"/>
              <w:jc w:val="center"/>
              <w:rPr>
                <w:noProof/>
                <w:sz w:val="18"/>
                <w:szCs w:val="18"/>
              </w:rPr>
            </w:pPr>
          </w:p>
        </w:tc>
        <w:tc>
          <w:tcPr>
            <w:tcW w:w="720" w:type="dxa"/>
            <w:tcBorders>
              <w:left w:val="dashSmallGap" w:sz="4" w:space="0" w:color="auto"/>
            </w:tcBorders>
          </w:tcPr>
          <w:p w14:paraId="7ECA190E" w14:textId="77777777" w:rsidR="008A4C15" w:rsidRPr="00FA433F" w:rsidRDefault="008A4C15">
            <w:pPr>
              <w:ind w:right="-29"/>
              <w:jc w:val="center"/>
              <w:rPr>
                <w:noProof/>
                <w:sz w:val="18"/>
                <w:szCs w:val="18"/>
              </w:rPr>
            </w:pPr>
          </w:p>
        </w:tc>
        <w:tc>
          <w:tcPr>
            <w:tcW w:w="720" w:type="dxa"/>
          </w:tcPr>
          <w:p w14:paraId="2A3021ED" w14:textId="77777777" w:rsidR="008A4C15" w:rsidRPr="00FA433F" w:rsidRDefault="008A4C15">
            <w:pPr>
              <w:ind w:right="-29"/>
              <w:jc w:val="center"/>
              <w:rPr>
                <w:noProof/>
                <w:sz w:val="18"/>
                <w:szCs w:val="18"/>
              </w:rPr>
            </w:pPr>
          </w:p>
        </w:tc>
        <w:tc>
          <w:tcPr>
            <w:tcW w:w="900" w:type="dxa"/>
          </w:tcPr>
          <w:p w14:paraId="1392540C" w14:textId="77777777" w:rsidR="008A4C15" w:rsidRPr="00FA433F" w:rsidRDefault="008A4C15">
            <w:pPr>
              <w:ind w:right="-29"/>
              <w:jc w:val="center"/>
              <w:rPr>
                <w:noProof/>
                <w:sz w:val="18"/>
                <w:szCs w:val="18"/>
              </w:rPr>
            </w:pPr>
          </w:p>
        </w:tc>
      </w:tr>
      <w:tr w:rsidR="004D55FB" w:rsidRPr="00FA433F" w14:paraId="2D2ED36B" w14:textId="77777777">
        <w:trPr>
          <w:trHeight w:hRule="exact" w:val="369"/>
          <w:jc w:val="center"/>
        </w:trPr>
        <w:tc>
          <w:tcPr>
            <w:tcW w:w="1423" w:type="dxa"/>
          </w:tcPr>
          <w:p w14:paraId="28A3155F" w14:textId="77777777" w:rsidR="008A4C15" w:rsidRPr="00FA433F" w:rsidRDefault="008A4C15">
            <w:pPr>
              <w:ind w:right="-29"/>
              <w:jc w:val="center"/>
              <w:rPr>
                <w:noProof/>
                <w:sz w:val="18"/>
                <w:szCs w:val="18"/>
              </w:rPr>
            </w:pPr>
            <w:r w:rsidRPr="00FA433F">
              <w:rPr>
                <w:noProof/>
                <w:sz w:val="18"/>
              </w:rPr>
              <w:t>- Produkt</w:t>
            </w:r>
          </w:p>
        </w:tc>
        <w:tc>
          <w:tcPr>
            <w:tcW w:w="720" w:type="dxa"/>
          </w:tcPr>
          <w:p w14:paraId="1377AFB6" w14:textId="77777777" w:rsidR="008A4C15" w:rsidRPr="00FA433F" w:rsidRDefault="008A4C15">
            <w:pPr>
              <w:ind w:right="-29"/>
              <w:jc w:val="center"/>
              <w:rPr>
                <w:noProof/>
                <w:sz w:val="18"/>
                <w:szCs w:val="18"/>
              </w:rPr>
            </w:pPr>
          </w:p>
        </w:tc>
        <w:tc>
          <w:tcPr>
            <w:tcW w:w="701" w:type="dxa"/>
          </w:tcPr>
          <w:p w14:paraId="719C968E" w14:textId="77777777" w:rsidR="008A4C15" w:rsidRPr="00FA433F" w:rsidRDefault="008A4C15">
            <w:pPr>
              <w:ind w:right="-29"/>
              <w:jc w:val="center"/>
              <w:rPr>
                <w:noProof/>
                <w:sz w:val="18"/>
                <w:szCs w:val="18"/>
              </w:rPr>
            </w:pPr>
          </w:p>
        </w:tc>
        <w:tc>
          <w:tcPr>
            <w:tcW w:w="504" w:type="dxa"/>
            <w:tcBorders>
              <w:right w:val="dashSmallGap" w:sz="4" w:space="0" w:color="auto"/>
            </w:tcBorders>
          </w:tcPr>
          <w:p w14:paraId="1F48C3B1" w14:textId="77777777" w:rsidR="008A4C15" w:rsidRPr="00FA433F" w:rsidRDefault="008A4C15">
            <w:pPr>
              <w:ind w:right="-29"/>
              <w:jc w:val="center"/>
              <w:rPr>
                <w:noProof/>
                <w:sz w:val="18"/>
                <w:szCs w:val="18"/>
              </w:rPr>
            </w:pPr>
          </w:p>
        </w:tc>
        <w:tc>
          <w:tcPr>
            <w:tcW w:w="720" w:type="dxa"/>
            <w:tcBorders>
              <w:left w:val="dashSmallGap" w:sz="4" w:space="0" w:color="auto"/>
            </w:tcBorders>
          </w:tcPr>
          <w:p w14:paraId="45882BC0" w14:textId="77777777" w:rsidR="008A4C15" w:rsidRPr="00FA433F" w:rsidRDefault="008A4C15">
            <w:pPr>
              <w:ind w:right="-29"/>
              <w:jc w:val="center"/>
              <w:rPr>
                <w:noProof/>
                <w:sz w:val="18"/>
                <w:szCs w:val="18"/>
              </w:rPr>
            </w:pPr>
          </w:p>
        </w:tc>
        <w:tc>
          <w:tcPr>
            <w:tcW w:w="540" w:type="dxa"/>
            <w:tcBorders>
              <w:right w:val="dashSmallGap" w:sz="4" w:space="0" w:color="auto"/>
            </w:tcBorders>
          </w:tcPr>
          <w:p w14:paraId="14034569" w14:textId="77777777" w:rsidR="008A4C15" w:rsidRPr="00FA433F" w:rsidRDefault="008A4C15">
            <w:pPr>
              <w:ind w:right="-29"/>
              <w:jc w:val="center"/>
              <w:rPr>
                <w:noProof/>
                <w:sz w:val="18"/>
                <w:szCs w:val="18"/>
              </w:rPr>
            </w:pPr>
          </w:p>
        </w:tc>
        <w:tc>
          <w:tcPr>
            <w:tcW w:w="720" w:type="dxa"/>
            <w:tcBorders>
              <w:left w:val="dashSmallGap" w:sz="4" w:space="0" w:color="auto"/>
            </w:tcBorders>
          </w:tcPr>
          <w:p w14:paraId="5C8A8CC2" w14:textId="77777777" w:rsidR="008A4C15" w:rsidRPr="00FA433F" w:rsidRDefault="008A4C15">
            <w:pPr>
              <w:ind w:right="-29"/>
              <w:jc w:val="center"/>
              <w:rPr>
                <w:noProof/>
                <w:sz w:val="18"/>
                <w:szCs w:val="18"/>
              </w:rPr>
            </w:pPr>
          </w:p>
        </w:tc>
        <w:tc>
          <w:tcPr>
            <w:tcW w:w="720" w:type="dxa"/>
            <w:tcBorders>
              <w:right w:val="dashSmallGap" w:sz="4" w:space="0" w:color="auto"/>
            </w:tcBorders>
          </w:tcPr>
          <w:p w14:paraId="4A46D07C" w14:textId="77777777" w:rsidR="008A4C15" w:rsidRPr="00FA433F" w:rsidRDefault="008A4C15">
            <w:pPr>
              <w:ind w:right="-29"/>
              <w:jc w:val="center"/>
              <w:rPr>
                <w:noProof/>
                <w:sz w:val="18"/>
                <w:szCs w:val="18"/>
              </w:rPr>
            </w:pPr>
          </w:p>
        </w:tc>
        <w:tc>
          <w:tcPr>
            <w:tcW w:w="720" w:type="dxa"/>
            <w:tcBorders>
              <w:left w:val="dashSmallGap" w:sz="4" w:space="0" w:color="auto"/>
            </w:tcBorders>
          </w:tcPr>
          <w:p w14:paraId="19B8EF01" w14:textId="77777777" w:rsidR="008A4C15" w:rsidRPr="00FA433F" w:rsidRDefault="008A4C15">
            <w:pPr>
              <w:ind w:right="-29"/>
              <w:jc w:val="center"/>
              <w:rPr>
                <w:noProof/>
                <w:sz w:val="18"/>
                <w:szCs w:val="18"/>
              </w:rPr>
            </w:pPr>
          </w:p>
        </w:tc>
        <w:tc>
          <w:tcPr>
            <w:tcW w:w="900" w:type="dxa"/>
            <w:tcBorders>
              <w:right w:val="dashSmallGap" w:sz="4" w:space="0" w:color="auto"/>
            </w:tcBorders>
          </w:tcPr>
          <w:p w14:paraId="66B5B78D" w14:textId="77777777" w:rsidR="008A4C15" w:rsidRPr="00FA433F" w:rsidRDefault="008A4C15">
            <w:pPr>
              <w:ind w:right="-29"/>
              <w:jc w:val="center"/>
              <w:rPr>
                <w:noProof/>
                <w:sz w:val="18"/>
                <w:szCs w:val="18"/>
              </w:rPr>
            </w:pPr>
          </w:p>
        </w:tc>
        <w:tc>
          <w:tcPr>
            <w:tcW w:w="720" w:type="dxa"/>
            <w:gridSpan w:val="2"/>
            <w:tcBorders>
              <w:left w:val="dashSmallGap" w:sz="4" w:space="0" w:color="auto"/>
            </w:tcBorders>
          </w:tcPr>
          <w:p w14:paraId="644F9348" w14:textId="77777777" w:rsidR="008A4C15" w:rsidRPr="00FA433F" w:rsidRDefault="008A4C15">
            <w:pPr>
              <w:ind w:right="-29"/>
              <w:jc w:val="center"/>
              <w:rPr>
                <w:noProof/>
                <w:sz w:val="18"/>
                <w:szCs w:val="18"/>
              </w:rPr>
            </w:pPr>
          </w:p>
        </w:tc>
        <w:tc>
          <w:tcPr>
            <w:tcW w:w="540" w:type="dxa"/>
            <w:tcBorders>
              <w:right w:val="dashSmallGap" w:sz="4" w:space="0" w:color="auto"/>
            </w:tcBorders>
          </w:tcPr>
          <w:p w14:paraId="5BD2230C" w14:textId="77777777" w:rsidR="008A4C15" w:rsidRPr="00FA433F" w:rsidRDefault="008A4C15">
            <w:pPr>
              <w:ind w:right="-29"/>
              <w:jc w:val="center"/>
              <w:rPr>
                <w:noProof/>
                <w:sz w:val="18"/>
                <w:szCs w:val="18"/>
              </w:rPr>
            </w:pPr>
          </w:p>
        </w:tc>
        <w:tc>
          <w:tcPr>
            <w:tcW w:w="648" w:type="dxa"/>
            <w:tcBorders>
              <w:left w:val="dashSmallGap" w:sz="4" w:space="0" w:color="auto"/>
            </w:tcBorders>
          </w:tcPr>
          <w:p w14:paraId="279760CC" w14:textId="77777777" w:rsidR="008A4C15" w:rsidRPr="00FA433F" w:rsidRDefault="008A4C15">
            <w:pPr>
              <w:ind w:right="-29"/>
              <w:jc w:val="center"/>
              <w:rPr>
                <w:noProof/>
                <w:sz w:val="18"/>
                <w:szCs w:val="18"/>
              </w:rPr>
            </w:pPr>
          </w:p>
        </w:tc>
        <w:tc>
          <w:tcPr>
            <w:tcW w:w="432" w:type="dxa"/>
            <w:tcBorders>
              <w:right w:val="dashSmallGap" w:sz="4" w:space="0" w:color="auto"/>
            </w:tcBorders>
          </w:tcPr>
          <w:p w14:paraId="756938FD" w14:textId="77777777" w:rsidR="008A4C15" w:rsidRPr="00FA433F" w:rsidRDefault="008A4C15">
            <w:pPr>
              <w:ind w:right="-29"/>
              <w:jc w:val="center"/>
              <w:rPr>
                <w:noProof/>
                <w:sz w:val="18"/>
                <w:szCs w:val="18"/>
              </w:rPr>
            </w:pPr>
          </w:p>
        </w:tc>
        <w:tc>
          <w:tcPr>
            <w:tcW w:w="720" w:type="dxa"/>
            <w:tcBorders>
              <w:left w:val="dashSmallGap" w:sz="4" w:space="0" w:color="auto"/>
            </w:tcBorders>
          </w:tcPr>
          <w:p w14:paraId="60BC3BAB" w14:textId="77777777" w:rsidR="008A4C15" w:rsidRPr="00FA433F" w:rsidRDefault="008A4C15">
            <w:pPr>
              <w:ind w:right="-29"/>
              <w:jc w:val="center"/>
              <w:rPr>
                <w:noProof/>
                <w:sz w:val="18"/>
                <w:szCs w:val="18"/>
              </w:rPr>
            </w:pPr>
          </w:p>
        </w:tc>
        <w:tc>
          <w:tcPr>
            <w:tcW w:w="540" w:type="dxa"/>
            <w:tcBorders>
              <w:right w:val="dashSmallGap" w:sz="4" w:space="0" w:color="auto"/>
            </w:tcBorders>
          </w:tcPr>
          <w:p w14:paraId="3049EF68" w14:textId="77777777" w:rsidR="008A4C15" w:rsidRPr="00FA433F" w:rsidRDefault="008A4C15">
            <w:pPr>
              <w:ind w:right="-29"/>
              <w:jc w:val="center"/>
              <w:rPr>
                <w:noProof/>
                <w:sz w:val="18"/>
                <w:szCs w:val="18"/>
              </w:rPr>
            </w:pPr>
          </w:p>
        </w:tc>
        <w:tc>
          <w:tcPr>
            <w:tcW w:w="720" w:type="dxa"/>
            <w:tcBorders>
              <w:left w:val="dashSmallGap" w:sz="4" w:space="0" w:color="auto"/>
            </w:tcBorders>
          </w:tcPr>
          <w:p w14:paraId="1F722BEB" w14:textId="77777777" w:rsidR="008A4C15" w:rsidRPr="00FA433F" w:rsidRDefault="008A4C15">
            <w:pPr>
              <w:ind w:right="-29"/>
              <w:jc w:val="center"/>
              <w:rPr>
                <w:noProof/>
                <w:sz w:val="18"/>
                <w:szCs w:val="18"/>
              </w:rPr>
            </w:pPr>
          </w:p>
        </w:tc>
        <w:tc>
          <w:tcPr>
            <w:tcW w:w="720" w:type="dxa"/>
          </w:tcPr>
          <w:p w14:paraId="7A0BA69E" w14:textId="77777777" w:rsidR="008A4C15" w:rsidRPr="00FA433F" w:rsidRDefault="008A4C15">
            <w:pPr>
              <w:ind w:right="-29"/>
              <w:jc w:val="center"/>
              <w:rPr>
                <w:noProof/>
                <w:sz w:val="18"/>
                <w:szCs w:val="18"/>
              </w:rPr>
            </w:pPr>
          </w:p>
        </w:tc>
        <w:tc>
          <w:tcPr>
            <w:tcW w:w="900" w:type="dxa"/>
          </w:tcPr>
          <w:p w14:paraId="2C03E9D8" w14:textId="77777777" w:rsidR="008A4C15" w:rsidRPr="00FA433F" w:rsidRDefault="008A4C15">
            <w:pPr>
              <w:ind w:right="-29"/>
              <w:jc w:val="center"/>
              <w:rPr>
                <w:noProof/>
                <w:sz w:val="18"/>
                <w:szCs w:val="18"/>
              </w:rPr>
            </w:pPr>
          </w:p>
        </w:tc>
      </w:tr>
      <w:tr w:rsidR="004D55FB" w:rsidRPr="00FA433F" w14:paraId="3F1E5F66" w14:textId="77777777">
        <w:trPr>
          <w:trHeight w:hRule="exact" w:val="369"/>
          <w:jc w:val="center"/>
        </w:trPr>
        <w:tc>
          <w:tcPr>
            <w:tcW w:w="1423" w:type="dxa"/>
          </w:tcPr>
          <w:p w14:paraId="78718270" w14:textId="77777777" w:rsidR="008A4C15" w:rsidRPr="00FA433F" w:rsidRDefault="008A4C15">
            <w:pPr>
              <w:ind w:right="-29"/>
              <w:jc w:val="center"/>
              <w:rPr>
                <w:noProof/>
                <w:sz w:val="18"/>
                <w:szCs w:val="18"/>
              </w:rPr>
            </w:pPr>
            <w:r w:rsidRPr="00FA433F">
              <w:rPr>
                <w:noProof/>
                <w:sz w:val="18"/>
              </w:rPr>
              <w:t>- Produkt</w:t>
            </w:r>
          </w:p>
        </w:tc>
        <w:tc>
          <w:tcPr>
            <w:tcW w:w="720" w:type="dxa"/>
          </w:tcPr>
          <w:p w14:paraId="35A60956" w14:textId="77777777" w:rsidR="008A4C15" w:rsidRPr="00FA433F" w:rsidRDefault="008A4C15">
            <w:pPr>
              <w:ind w:right="-29"/>
              <w:jc w:val="center"/>
              <w:rPr>
                <w:noProof/>
                <w:sz w:val="18"/>
                <w:szCs w:val="18"/>
              </w:rPr>
            </w:pPr>
          </w:p>
        </w:tc>
        <w:tc>
          <w:tcPr>
            <w:tcW w:w="701" w:type="dxa"/>
          </w:tcPr>
          <w:p w14:paraId="3DC0EB74" w14:textId="77777777" w:rsidR="008A4C15" w:rsidRPr="00FA433F" w:rsidRDefault="008A4C15">
            <w:pPr>
              <w:ind w:right="-29"/>
              <w:jc w:val="center"/>
              <w:rPr>
                <w:noProof/>
                <w:sz w:val="18"/>
                <w:szCs w:val="18"/>
              </w:rPr>
            </w:pPr>
          </w:p>
        </w:tc>
        <w:tc>
          <w:tcPr>
            <w:tcW w:w="504" w:type="dxa"/>
          </w:tcPr>
          <w:p w14:paraId="2D15985C" w14:textId="77777777" w:rsidR="008A4C15" w:rsidRPr="00FA433F" w:rsidRDefault="008A4C15">
            <w:pPr>
              <w:ind w:right="-29"/>
              <w:jc w:val="center"/>
              <w:rPr>
                <w:noProof/>
                <w:sz w:val="18"/>
                <w:szCs w:val="18"/>
              </w:rPr>
            </w:pPr>
          </w:p>
        </w:tc>
        <w:tc>
          <w:tcPr>
            <w:tcW w:w="720" w:type="dxa"/>
          </w:tcPr>
          <w:p w14:paraId="3082C562" w14:textId="77777777" w:rsidR="008A4C15" w:rsidRPr="00FA433F" w:rsidRDefault="008A4C15">
            <w:pPr>
              <w:ind w:right="-29"/>
              <w:jc w:val="center"/>
              <w:rPr>
                <w:noProof/>
                <w:sz w:val="18"/>
                <w:szCs w:val="18"/>
              </w:rPr>
            </w:pPr>
          </w:p>
        </w:tc>
        <w:tc>
          <w:tcPr>
            <w:tcW w:w="540" w:type="dxa"/>
          </w:tcPr>
          <w:p w14:paraId="23DB10C7" w14:textId="77777777" w:rsidR="008A4C15" w:rsidRPr="00FA433F" w:rsidRDefault="008A4C15">
            <w:pPr>
              <w:ind w:right="-29"/>
              <w:jc w:val="center"/>
              <w:rPr>
                <w:noProof/>
                <w:sz w:val="18"/>
                <w:szCs w:val="18"/>
              </w:rPr>
            </w:pPr>
          </w:p>
        </w:tc>
        <w:tc>
          <w:tcPr>
            <w:tcW w:w="720" w:type="dxa"/>
          </w:tcPr>
          <w:p w14:paraId="261F6368" w14:textId="77777777" w:rsidR="008A4C15" w:rsidRPr="00FA433F" w:rsidRDefault="008A4C15">
            <w:pPr>
              <w:ind w:right="-29"/>
              <w:jc w:val="center"/>
              <w:rPr>
                <w:noProof/>
                <w:sz w:val="18"/>
                <w:szCs w:val="18"/>
              </w:rPr>
            </w:pPr>
          </w:p>
        </w:tc>
        <w:tc>
          <w:tcPr>
            <w:tcW w:w="720" w:type="dxa"/>
          </w:tcPr>
          <w:p w14:paraId="1D3560B4" w14:textId="77777777" w:rsidR="008A4C15" w:rsidRPr="00FA433F" w:rsidRDefault="008A4C15">
            <w:pPr>
              <w:ind w:right="-29"/>
              <w:jc w:val="center"/>
              <w:rPr>
                <w:noProof/>
                <w:sz w:val="18"/>
                <w:szCs w:val="18"/>
              </w:rPr>
            </w:pPr>
          </w:p>
        </w:tc>
        <w:tc>
          <w:tcPr>
            <w:tcW w:w="720" w:type="dxa"/>
          </w:tcPr>
          <w:p w14:paraId="23CB9DA7" w14:textId="77777777" w:rsidR="008A4C15" w:rsidRPr="00FA433F" w:rsidRDefault="008A4C15">
            <w:pPr>
              <w:ind w:right="-29"/>
              <w:jc w:val="center"/>
              <w:rPr>
                <w:noProof/>
                <w:sz w:val="18"/>
                <w:szCs w:val="18"/>
              </w:rPr>
            </w:pPr>
          </w:p>
        </w:tc>
        <w:tc>
          <w:tcPr>
            <w:tcW w:w="900" w:type="dxa"/>
          </w:tcPr>
          <w:p w14:paraId="556BD55A" w14:textId="77777777" w:rsidR="008A4C15" w:rsidRPr="00FA433F" w:rsidRDefault="008A4C15">
            <w:pPr>
              <w:ind w:right="-29"/>
              <w:jc w:val="center"/>
              <w:rPr>
                <w:noProof/>
                <w:sz w:val="18"/>
                <w:szCs w:val="18"/>
              </w:rPr>
            </w:pPr>
          </w:p>
        </w:tc>
        <w:tc>
          <w:tcPr>
            <w:tcW w:w="720" w:type="dxa"/>
            <w:gridSpan w:val="2"/>
          </w:tcPr>
          <w:p w14:paraId="24E4B4B0" w14:textId="77777777" w:rsidR="008A4C15" w:rsidRPr="00FA433F" w:rsidRDefault="008A4C15">
            <w:pPr>
              <w:ind w:right="-29"/>
              <w:jc w:val="center"/>
              <w:rPr>
                <w:noProof/>
                <w:sz w:val="18"/>
                <w:szCs w:val="18"/>
              </w:rPr>
            </w:pPr>
          </w:p>
        </w:tc>
        <w:tc>
          <w:tcPr>
            <w:tcW w:w="540" w:type="dxa"/>
          </w:tcPr>
          <w:p w14:paraId="74F4995A" w14:textId="77777777" w:rsidR="008A4C15" w:rsidRPr="00FA433F" w:rsidRDefault="008A4C15">
            <w:pPr>
              <w:ind w:right="-29"/>
              <w:jc w:val="center"/>
              <w:rPr>
                <w:noProof/>
                <w:sz w:val="18"/>
                <w:szCs w:val="18"/>
              </w:rPr>
            </w:pPr>
          </w:p>
        </w:tc>
        <w:tc>
          <w:tcPr>
            <w:tcW w:w="648" w:type="dxa"/>
          </w:tcPr>
          <w:p w14:paraId="66AC1498" w14:textId="77777777" w:rsidR="008A4C15" w:rsidRPr="00FA433F" w:rsidRDefault="008A4C15">
            <w:pPr>
              <w:ind w:right="-29"/>
              <w:jc w:val="center"/>
              <w:rPr>
                <w:noProof/>
                <w:sz w:val="18"/>
                <w:szCs w:val="18"/>
              </w:rPr>
            </w:pPr>
          </w:p>
        </w:tc>
        <w:tc>
          <w:tcPr>
            <w:tcW w:w="432" w:type="dxa"/>
          </w:tcPr>
          <w:p w14:paraId="729EF1A5" w14:textId="77777777" w:rsidR="008A4C15" w:rsidRPr="00FA433F" w:rsidRDefault="008A4C15">
            <w:pPr>
              <w:ind w:right="-29"/>
              <w:jc w:val="center"/>
              <w:rPr>
                <w:noProof/>
                <w:sz w:val="18"/>
                <w:szCs w:val="18"/>
              </w:rPr>
            </w:pPr>
          </w:p>
        </w:tc>
        <w:tc>
          <w:tcPr>
            <w:tcW w:w="720" w:type="dxa"/>
          </w:tcPr>
          <w:p w14:paraId="56A92C65" w14:textId="77777777" w:rsidR="008A4C15" w:rsidRPr="00FA433F" w:rsidRDefault="008A4C15">
            <w:pPr>
              <w:ind w:right="-29"/>
              <w:jc w:val="center"/>
              <w:rPr>
                <w:noProof/>
                <w:sz w:val="18"/>
                <w:szCs w:val="18"/>
              </w:rPr>
            </w:pPr>
          </w:p>
        </w:tc>
        <w:tc>
          <w:tcPr>
            <w:tcW w:w="540" w:type="dxa"/>
          </w:tcPr>
          <w:p w14:paraId="3318F66F" w14:textId="77777777" w:rsidR="008A4C15" w:rsidRPr="00FA433F" w:rsidRDefault="008A4C15">
            <w:pPr>
              <w:ind w:right="-29"/>
              <w:jc w:val="center"/>
              <w:rPr>
                <w:noProof/>
                <w:sz w:val="18"/>
                <w:szCs w:val="18"/>
              </w:rPr>
            </w:pPr>
          </w:p>
        </w:tc>
        <w:tc>
          <w:tcPr>
            <w:tcW w:w="720" w:type="dxa"/>
          </w:tcPr>
          <w:p w14:paraId="5FB2CEB3" w14:textId="77777777" w:rsidR="008A4C15" w:rsidRPr="00FA433F" w:rsidRDefault="008A4C15">
            <w:pPr>
              <w:ind w:right="-29"/>
              <w:jc w:val="center"/>
              <w:rPr>
                <w:noProof/>
                <w:sz w:val="18"/>
                <w:szCs w:val="18"/>
              </w:rPr>
            </w:pPr>
          </w:p>
        </w:tc>
        <w:tc>
          <w:tcPr>
            <w:tcW w:w="720" w:type="dxa"/>
          </w:tcPr>
          <w:p w14:paraId="69B082B7" w14:textId="77777777" w:rsidR="008A4C15" w:rsidRPr="00FA433F" w:rsidRDefault="008A4C15">
            <w:pPr>
              <w:ind w:right="-29"/>
              <w:jc w:val="center"/>
              <w:rPr>
                <w:noProof/>
                <w:sz w:val="18"/>
                <w:szCs w:val="18"/>
              </w:rPr>
            </w:pPr>
          </w:p>
        </w:tc>
        <w:tc>
          <w:tcPr>
            <w:tcW w:w="900" w:type="dxa"/>
          </w:tcPr>
          <w:p w14:paraId="33939094" w14:textId="77777777" w:rsidR="008A4C15" w:rsidRPr="00FA433F" w:rsidRDefault="008A4C15">
            <w:pPr>
              <w:ind w:right="-29"/>
              <w:jc w:val="center"/>
              <w:rPr>
                <w:noProof/>
                <w:sz w:val="18"/>
                <w:szCs w:val="18"/>
              </w:rPr>
            </w:pPr>
          </w:p>
        </w:tc>
      </w:tr>
      <w:tr w:rsidR="004D55FB" w:rsidRPr="00FA433F" w14:paraId="20D1DA4E" w14:textId="77777777">
        <w:trPr>
          <w:trHeight w:val="77"/>
          <w:jc w:val="center"/>
        </w:trPr>
        <w:tc>
          <w:tcPr>
            <w:tcW w:w="2844" w:type="dxa"/>
            <w:gridSpan w:val="3"/>
            <w:tcBorders>
              <w:bottom w:val="single" w:sz="12" w:space="0" w:color="auto"/>
            </w:tcBorders>
            <w:vAlign w:val="center"/>
          </w:tcPr>
          <w:p w14:paraId="0B3E9989" w14:textId="2C3ABDA2" w:rsidR="008A4C15" w:rsidRPr="00FA433F" w:rsidRDefault="008A4C15">
            <w:pPr>
              <w:ind w:right="-29"/>
              <w:jc w:val="center"/>
              <w:rPr>
                <w:noProof/>
                <w:sz w:val="18"/>
                <w:szCs w:val="18"/>
              </w:rPr>
            </w:pPr>
            <w:r w:rsidRPr="00FA433F">
              <w:rPr>
                <w:noProof/>
                <w:sz w:val="18"/>
              </w:rPr>
              <w:t>Cel szczegółowy nr</w:t>
            </w:r>
            <w:r w:rsidR="00FA433F" w:rsidRPr="00FA433F">
              <w:rPr>
                <w:noProof/>
                <w:sz w:val="18"/>
              </w:rPr>
              <w:t> </w:t>
            </w:r>
            <w:r w:rsidRPr="00FA433F">
              <w:rPr>
                <w:noProof/>
                <w:sz w:val="18"/>
              </w:rPr>
              <w:t>1 – suma cząstkowa</w:t>
            </w:r>
          </w:p>
        </w:tc>
        <w:tc>
          <w:tcPr>
            <w:tcW w:w="504" w:type="dxa"/>
            <w:tcBorders>
              <w:bottom w:val="single" w:sz="12" w:space="0" w:color="auto"/>
            </w:tcBorders>
          </w:tcPr>
          <w:p w14:paraId="7B94C933" w14:textId="77777777" w:rsidR="008A4C15" w:rsidRPr="00FA433F" w:rsidRDefault="008A4C15">
            <w:pPr>
              <w:ind w:right="-29"/>
              <w:jc w:val="center"/>
              <w:rPr>
                <w:noProof/>
                <w:sz w:val="18"/>
                <w:szCs w:val="18"/>
              </w:rPr>
            </w:pPr>
          </w:p>
        </w:tc>
        <w:tc>
          <w:tcPr>
            <w:tcW w:w="720" w:type="dxa"/>
            <w:tcBorders>
              <w:bottom w:val="single" w:sz="12" w:space="0" w:color="auto"/>
            </w:tcBorders>
          </w:tcPr>
          <w:p w14:paraId="15F79EB8" w14:textId="77777777" w:rsidR="008A4C15" w:rsidRPr="00FA433F" w:rsidRDefault="008A4C15">
            <w:pPr>
              <w:ind w:right="-29"/>
              <w:jc w:val="center"/>
              <w:rPr>
                <w:noProof/>
                <w:sz w:val="18"/>
                <w:szCs w:val="18"/>
              </w:rPr>
            </w:pPr>
          </w:p>
        </w:tc>
        <w:tc>
          <w:tcPr>
            <w:tcW w:w="540" w:type="dxa"/>
            <w:tcBorders>
              <w:bottom w:val="single" w:sz="12" w:space="0" w:color="auto"/>
            </w:tcBorders>
          </w:tcPr>
          <w:p w14:paraId="5790AF9D" w14:textId="77777777" w:rsidR="008A4C15" w:rsidRPr="00FA433F" w:rsidRDefault="008A4C15">
            <w:pPr>
              <w:ind w:right="-29"/>
              <w:jc w:val="center"/>
              <w:rPr>
                <w:noProof/>
                <w:sz w:val="18"/>
                <w:szCs w:val="18"/>
              </w:rPr>
            </w:pPr>
          </w:p>
        </w:tc>
        <w:tc>
          <w:tcPr>
            <w:tcW w:w="720" w:type="dxa"/>
            <w:tcBorders>
              <w:bottom w:val="single" w:sz="12" w:space="0" w:color="auto"/>
            </w:tcBorders>
          </w:tcPr>
          <w:p w14:paraId="64AE11C5" w14:textId="77777777" w:rsidR="008A4C15" w:rsidRPr="00FA433F" w:rsidRDefault="008A4C15">
            <w:pPr>
              <w:ind w:right="-29"/>
              <w:jc w:val="center"/>
              <w:rPr>
                <w:noProof/>
                <w:sz w:val="18"/>
                <w:szCs w:val="18"/>
              </w:rPr>
            </w:pPr>
          </w:p>
        </w:tc>
        <w:tc>
          <w:tcPr>
            <w:tcW w:w="720" w:type="dxa"/>
            <w:tcBorders>
              <w:bottom w:val="single" w:sz="12" w:space="0" w:color="auto"/>
            </w:tcBorders>
          </w:tcPr>
          <w:p w14:paraId="04EC9673" w14:textId="77777777" w:rsidR="008A4C15" w:rsidRPr="00FA433F" w:rsidRDefault="008A4C15">
            <w:pPr>
              <w:ind w:right="-29"/>
              <w:jc w:val="center"/>
              <w:rPr>
                <w:noProof/>
                <w:sz w:val="18"/>
                <w:szCs w:val="18"/>
              </w:rPr>
            </w:pPr>
          </w:p>
        </w:tc>
        <w:tc>
          <w:tcPr>
            <w:tcW w:w="720" w:type="dxa"/>
            <w:tcBorders>
              <w:bottom w:val="single" w:sz="12" w:space="0" w:color="auto"/>
            </w:tcBorders>
          </w:tcPr>
          <w:p w14:paraId="03547221" w14:textId="77777777" w:rsidR="008A4C15" w:rsidRPr="00FA433F" w:rsidRDefault="008A4C15">
            <w:pPr>
              <w:ind w:right="-29"/>
              <w:jc w:val="center"/>
              <w:rPr>
                <w:noProof/>
                <w:sz w:val="18"/>
                <w:szCs w:val="18"/>
              </w:rPr>
            </w:pPr>
          </w:p>
        </w:tc>
        <w:tc>
          <w:tcPr>
            <w:tcW w:w="900" w:type="dxa"/>
            <w:tcBorders>
              <w:bottom w:val="single" w:sz="12" w:space="0" w:color="auto"/>
            </w:tcBorders>
          </w:tcPr>
          <w:p w14:paraId="59AAFFE1" w14:textId="77777777" w:rsidR="008A4C15" w:rsidRPr="00FA433F" w:rsidRDefault="008A4C15">
            <w:pPr>
              <w:ind w:right="-29"/>
              <w:jc w:val="center"/>
              <w:rPr>
                <w:noProof/>
                <w:sz w:val="18"/>
                <w:szCs w:val="18"/>
              </w:rPr>
            </w:pPr>
          </w:p>
        </w:tc>
        <w:tc>
          <w:tcPr>
            <w:tcW w:w="720" w:type="dxa"/>
            <w:gridSpan w:val="2"/>
            <w:tcBorders>
              <w:bottom w:val="single" w:sz="12" w:space="0" w:color="auto"/>
            </w:tcBorders>
          </w:tcPr>
          <w:p w14:paraId="102734CF" w14:textId="77777777" w:rsidR="008A4C15" w:rsidRPr="00FA433F" w:rsidRDefault="008A4C15">
            <w:pPr>
              <w:ind w:right="-29"/>
              <w:jc w:val="center"/>
              <w:rPr>
                <w:noProof/>
                <w:sz w:val="18"/>
                <w:szCs w:val="18"/>
              </w:rPr>
            </w:pPr>
          </w:p>
        </w:tc>
        <w:tc>
          <w:tcPr>
            <w:tcW w:w="540" w:type="dxa"/>
            <w:tcBorders>
              <w:bottom w:val="single" w:sz="12" w:space="0" w:color="auto"/>
            </w:tcBorders>
          </w:tcPr>
          <w:p w14:paraId="4B219A0D" w14:textId="77777777" w:rsidR="008A4C15" w:rsidRPr="00FA433F" w:rsidRDefault="008A4C15">
            <w:pPr>
              <w:ind w:right="-29"/>
              <w:jc w:val="center"/>
              <w:rPr>
                <w:noProof/>
                <w:sz w:val="18"/>
                <w:szCs w:val="18"/>
              </w:rPr>
            </w:pPr>
          </w:p>
        </w:tc>
        <w:tc>
          <w:tcPr>
            <w:tcW w:w="648" w:type="dxa"/>
            <w:tcBorders>
              <w:bottom w:val="single" w:sz="12" w:space="0" w:color="auto"/>
            </w:tcBorders>
          </w:tcPr>
          <w:p w14:paraId="631FCF0B" w14:textId="77777777" w:rsidR="008A4C15" w:rsidRPr="00FA433F" w:rsidRDefault="008A4C15">
            <w:pPr>
              <w:ind w:right="-29"/>
              <w:jc w:val="center"/>
              <w:rPr>
                <w:noProof/>
                <w:sz w:val="18"/>
                <w:szCs w:val="18"/>
              </w:rPr>
            </w:pPr>
          </w:p>
        </w:tc>
        <w:tc>
          <w:tcPr>
            <w:tcW w:w="432" w:type="dxa"/>
            <w:tcBorders>
              <w:bottom w:val="single" w:sz="12" w:space="0" w:color="auto"/>
            </w:tcBorders>
          </w:tcPr>
          <w:p w14:paraId="5656CF88" w14:textId="77777777" w:rsidR="008A4C15" w:rsidRPr="00FA433F" w:rsidRDefault="008A4C15">
            <w:pPr>
              <w:ind w:right="-29"/>
              <w:jc w:val="center"/>
              <w:rPr>
                <w:noProof/>
                <w:sz w:val="18"/>
                <w:szCs w:val="18"/>
              </w:rPr>
            </w:pPr>
          </w:p>
        </w:tc>
        <w:tc>
          <w:tcPr>
            <w:tcW w:w="720" w:type="dxa"/>
            <w:tcBorders>
              <w:bottom w:val="single" w:sz="12" w:space="0" w:color="auto"/>
            </w:tcBorders>
          </w:tcPr>
          <w:p w14:paraId="5B647BE2" w14:textId="77777777" w:rsidR="008A4C15" w:rsidRPr="00FA433F" w:rsidRDefault="008A4C15">
            <w:pPr>
              <w:ind w:right="-29"/>
              <w:jc w:val="center"/>
              <w:rPr>
                <w:noProof/>
                <w:sz w:val="18"/>
                <w:szCs w:val="18"/>
              </w:rPr>
            </w:pPr>
          </w:p>
        </w:tc>
        <w:tc>
          <w:tcPr>
            <w:tcW w:w="540" w:type="dxa"/>
            <w:tcBorders>
              <w:bottom w:val="single" w:sz="12" w:space="0" w:color="auto"/>
            </w:tcBorders>
          </w:tcPr>
          <w:p w14:paraId="38F16106" w14:textId="77777777" w:rsidR="008A4C15" w:rsidRPr="00FA433F" w:rsidRDefault="008A4C15">
            <w:pPr>
              <w:ind w:right="-29"/>
              <w:jc w:val="center"/>
              <w:rPr>
                <w:noProof/>
                <w:sz w:val="18"/>
                <w:szCs w:val="18"/>
              </w:rPr>
            </w:pPr>
          </w:p>
        </w:tc>
        <w:tc>
          <w:tcPr>
            <w:tcW w:w="720" w:type="dxa"/>
            <w:tcBorders>
              <w:bottom w:val="single" w:sz="12" w:space="0" w:color="auto"/>
            </w:tcBorders>
          </w:tcPr>
          <w:p w14:paraId="1F23E771" w14:textId="77777777" w:rsidR="008A4C15" w:rsidRPr="00FA433F" w:rsidRDefault="008A4C15">
            <w:pPr>
              <w:ind w:right="-29"/>
              <w:jc w:val="center"/>
              <w:rPr>
                <w:noProof/>
                <w:sz w:val="18"/>
                <w:szCs w:val="18"/>
              </w:rPr>
            </w:pPr>
          </w:p>
        </w:tc>
        <w:tc>
          <w:tcPr>
            <w:tcW w:w="720" w:type="dxa"/>
            <w:tcBorders>
              <w:bottom w:val="single" w:sz="12" w:space="0" w:color="auto"/>
            </w:tcBorders>
          </w:tcPr>
          <w:p w14:paraId="3F729FBC" w14:textId="77777777" w:rsidR="008A4C15" w:rsidRPr="00FA433F" w:rsidRDefault="008A4C15">
            <w:pPr>
              <w:ind w:right="-29"/>
              <w:jc w:val="center"/>
              <w:rPr>
                <w:noProof/>
                <w:sz w:val="18"/>
                <w:szCs w:val="18"/>
              </w:rPr>
            </w:pPr>
          </w:p>
        </w:tc>
        <w:tc>
          <w:tcPr>
            <w:tcW w:w="900" w:type="dxa"/>
            <w:tcBorders>
              <w:bottom w:val="single" w:sz="12" w:space="0" w:color="auto"/>
            </w:tcBorders>
          </w:tcPr>
          <w:p w14:paraId="2B66C64A" w14:textId="77777777" w:rsidR="008A4C15" w:rsidRPr="00FA433F" w:rsidRDefault="008A4C15">
            <w:pPr>
              <w:ind w:right="-29"/>
              <w:jc w:val="center"/>
              <w:rPr>
                <w:noProof/>
                <w:sz w:val="18"/>
                <w:szCs w:val="18"/>
              </w:rPr>
            </w:pPr>
          </w:p>
        </w:tc>
      </w:tr>
      <w:tr w:rsidR="004D55FB" w:rsidRPr="00FA433F" w14:paraId="10C6FADD" w14:textId="77777777">
        <w:trPr>
          <w:jc w:val="center"/>
        </w:trPr>
        <w:tc>
          <w:tcPr>
            <w:tcW w:w="2844" w:type="dxa"/>
            <w:gridSpan w:val="3"/>
            <w:vAlign w:val="center"/>
          </w:tcPr>
          <w:p w14:paraId="2DB09883" w14:textId="130E93DE" w:rsidR="008A4C15" w:rsidRPr="00FA433F" w:rsidRDefault="008A4C15">
            <w:pPr>
              <w:spacing w:before="60" w:after="60"/>
              <w:ind w:right="-29"/>
              <w:jc w:val="center"/>
              <w:rPr>
                <w:noProof/>
                <w:sz w:val="18"/>
                <w:szCs w:val="18"/>
              </w:rPr>
            </w:pPr>
            <w:r w:rsidRPr="00FA433F">
              <w:rPr>
                <w:noProof/>
                <w:sz w:val="18"/>
              </w:rPr>
              <w:t>CEL SZCZEGÓŁOWY nr</w:t>
            </w:r>
            <w:r w:rsidR="00FA433F" w:rsidRPr="00FA433F">
              <w:rPr>
                <w:noProof/>
                <w:sz w:val="18"/>
              </w:rPr>
              <w:t> </w:t>
            </w:r>
            <w:r w:rsidRPr="00FA433F">
              <w:rPr>
                <w:noProof/>
                <w:sz w:val="18"/>
              </w:rPr>
              <w:t>2</w:t>
            </w:r>
          </w:p>
        </w:tc>
        <w:tc>
          <w:tcPr>
            <w:tcW w:w="504" w:type="dxa"/>
            <w:tcBorders>
              <w:top w:val="nil"/>
              <w:left w:val="nil"/>
              <w:bottom w:val="nil"/>
              <w:right w:val="nil"/>
            </w:tcBorders>
          </w:tcPr>
          <w:p w14:paraId="6AD79994"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6C2BA13F" w14:textId="77777777" w:rsidR="008A4C15" w:rsidRPr="00FA433F" w:rsidRDefault="008A4C15">
            <w:pPr>
              <w:spacing w:before="60" w:after="60"/>
              <w:ind w:right="-29"/>
              <w:jc w:val="center"/>
              <w:rPr>
                <w:noProof/>
                <w:sz w:val="18"/>
                <w:szCs w:val="18"/>
              </w:rPr>
            </w:pPr>
          </w:p>
        </w:tc>
        <w:tc>
          <w:tcPr>
            <w:tcW w:w="540" w:type="dxa"/>
            <w:tcBorders>
              <w:top w:val="nil"/>
              <w:left w:val="nil"/>
              <w:bottom w:val="nil"/>
              <w:right w:val="nil"/>
            </w:tcBorders>
          </w:tcPr>
          <w:p w14:paraId="60D5F009"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0A6676BE"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17E618F7"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71586936" w14:textId="77777777" w:rsidR="008A4C15" w:rsidRPr="00FA433F" w:rsidRDefault="008A4C15">
            <w:pPr>
              <w:spacing w:before="60" w:after="60"/>
              <w:ind w:right="-29"/>
              <w:jc w:val="center"/>
              <w:rPr>
                <w:noProof/>
                <w:sz w:val="18"/>
                <w:szCs w:val="18"/>
              </w:rPr>
            </w:pPr>
          </w:p>
        </w:tc>
        <w:tc>
          <w:tcPr>
            <w:tcW w:w="900" w:type="dxa"/>
            <w:tcBorders>
              <w:top w:val="nil"/>
              <w:left w:val="nil"/>
              <w:bottom w:val="nil"/>
              <w:right w:val="nil"/>
            </w:tcBorders>
          </w:tcPr>
          <w:p w14:paraId="67C92045" w14:textId="77777777" w:rsidR="008A4C15" w:rsidRPr="00FA433F" w:rsidRDefault="008A4C15">
            <w:pPr>
              <w:spacing w:before="60" w:after="60"/>
              <w:ind w:right="-29"/>
              <w:jc w:val="center"/>
              <w:rPr>
                <w:noProof/>
                <w:sz w:val="18"/>
                <w:szCs w:val="18"/>
              </w:rPr>
            </w:pPr>
          </w:p>
        </w:tc>
        <w:tc>
          <w:tcPr>
            <w:tcW w:w="720" w:type="dxa"/>
            <w:gridSpan w:val="2"/>
            <w:tcBorders>
              <w:top w:val="nil"/>
              <w:left w:val="nil"/>
              <w:bottom w:val="nil"/>
              <w:right w:val="nil"/>
            </w:tcBorders>
          </w:tcPr>
          <w:p w14:paraId="29E7E763" w14:textId="77777777" w:rsidR="008A4C15" w:rsidRPr="00FA433F" w:rsidRDefault="008A4C15">
            <w:pPr>
              <w:spacing w:before="60" w:after="60"/>
              <w:ind w:right="-29"/>
              <w:jc w:val="center"/>
              <w:rPr>
                <w:noProof/>
                <w:sz w:val="18"/>
                <w:szCs w:val="18"/>
              </w:rPr>
            </w:pPr>
          </w:p>
        </w:tc>
        <w:tc>
          <w:tcPr>
            <w:tcW w:w="540" w:type="dxa"/>
            <w:tcBorders>
              <w:top w:val="nil"/>
              <w:left w:val="nil"/>
              <w:bottom w:val="nil"/>
              <w:right w:val="nil"/>
            </w:tcBorders>
          </w:tcPr>
          <w:p w14:paraId="40A47F28" w14:textId="77777777" w:rsidR="008A4C15" w:rsidRPr="00FA433F" w:rsidRDefault="008A4C15">
            <w:pPr>
              <w:spacing w:before="60" w:after="60"/>
              <w:ind w:right="-29"/>
              <w:jc w:val="center"/>
              <w:rPr>
                <w:noProof/>
                <w:sz w:val="18"/>
                <w:szCs w:val="18"/>
              </w:rPr>
            </w:pPr>
          </w:p>
        </w:tc>
        <w:tc>
          <w:tcPr>
            <w:tcW w:w="648" w:type="dxa"/>
            <w:tcBorders>
              <w:top w:val="nil"/>
              <w:left w:val="nil"/>
              <w:bottom w:val="nil"/>
              <w:right w:val="nil"/>
            </w:tcBorders>
          </w:tcPr>
          <w:p w14:paraId="01AEF23C" w14:textId="77777777" w:rsidR="008A4C15" w:rsidRPr="00FA433F" w:rsidRDefault="008A4C15">
            <w:pPr>
              <w:spacing w:before="60" w:after="60"/>
              <w:ind w:right="-29"/>
              <w:jc w:val="center"/>
              <w:rPr>
                <w:noProof/>
                <w:sz w:val="18"/>
                <w:szCs w:val="18"/>
              </w:rPr>
            </w:pPr>
          </w:p>
        </w:tc>
        <w:tc>
          <w:tcPr>
            <w:tcW w:w="432" w:type="dxa"/>
            <w:tcBorders>
              <w:top w:val="nil"/>
              <w:left w:val="nil"/>
              <w:bottom w:val="nil"/>
              <w:right w:val="nil"/>
            </w:tcBorders>
          </w:tcPr>
          <w:p w14:paraId="2F8F8CF6"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311F96CE" w14:textId="77777777" w:rsidR="008A4C15" w:rsidRPr="00FA433F" w:rsidRDefault="008A4C15">
            <w:pPr>
              <w:spacing w:before="60" w:after="60"/>
              <w:ind w:right="-29"/>
              <w:jc w:val="center"/>
              <w:rPr>
                <w:noProof/>
                <w:sz w:val="18"/>
                <w:szCs w:val="18"/>
              </w:rPr>
            </w:pPr>
          </w:p>
        </w:tc>
        <w:tc>
          <w:tcPr>
            <w:tcW w:w="540" w:type="dxa"/>
            <w:tcBorders>
              <w:top w:val="nil"/>
              <w:left w:val="nil"/>
              <w:bottom w:val="nil"/>
              <w:right w:val="nil"/>
            </w:tcBorders>
          </w:tcPr>
          <w:p w14:paraId="23E93AB9"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457E9589" w14:textId="77777777" w:rsidR="008A4C15" w:rsidRPr="00FA433F" w:rsidRDefault="008A4C15">
            <w:pPr>
              <w:spacing w:before="60" w:after="60"/>
              <w:ind w:right="-29"/>
              <w:jc w:val="center"/>
              <w:rPr>
                <w:noProof/>
                <w:sz w:val="18"/>
                <w:szCs w:val="18"/>
              </w:rPr>
            </w:pPr>
          </w:p>
        </w:tc>
        <w:tc>
          <w:tcPr>
            <w:tcW w:w="720" w:type="dxa"/>
            <w:tcBorders>
              <w:top w:val="nil"/>
              <w:left w:val="nil"/>
              <w:bottom w:val="nil"/>
              <w:right w:val="nil"/>
            </w:tcBorders>
          </w:tcPr>
          <w:p w14:paraId="243B89CE" w14:textId="77777777" w:rsidR="008A4C15" w:rsidRPr="00FA433F" w:rsidRDefault="008A4C15">
            <w:pPr>
              <w:spacing w:before="60" w:after="60"/>
              <w:ind w:right="-29"/>
              <w:jc w:val="center"/>
              <w:rPr>
                <w:noProof/>
                <w:sz w:val="18"/>
                <w:szCs w:val="18"/>
              </w:rPr>
            </w:pPr>
          </w:p>
        </w:tc>
        <w:tc>
          <w:tcPr>
            <w:tcW w:w="900" w:type="dxa"/>
            <w:tcBorders>
              <w:top w:val="nil"/>
              <w:left w:val="nil"/>
              <w:bottom w:val="nil"/>
              <w:right w:val="nil"/>
            </w:tcBorders>
          </w:tcPr>
          <w:p w14:paraId="1B225FEE" w14:textId="77777777" w:rsidR="008A4C15" w:rsidRPr="00FA433F" w:rsidRDefault="008A4C15">
            <w:pPr>
              <w:spacing w:before="60" w:after="60"/>
              <w:ind w:right="-29"/>
              <w:jc w:val="center"/>
              <w:rPr>
                <w:noProof/>
                <w:sz w:val="18"/>
                <w:szCs w:val="18"/>
              </w:rPr>
            </w:pPr>
          </w:p>
        </w:tc>
      </w:tr>
      <w:tr w:rsidR="004D55FB" w:rsidRPr="00FA433F" w14:paraId="3AF6AB60" w14:textId="77777777">
        <w:trPr>
          <w:trHeight w:hRule="exact" w:val="369"/>
          <w:jc w:val="center"/>
        </w:trPr>
        <w:tc>
          <w:tcPr>
            <w:tcW w:w="1423" w:type="dxa"/>
          </w:tcPr>
          <w:p w14:paraId="3C92BC1D" w14:textId="77777777" w:rsidR="008A4C15" w:rsidRPr="00FA433F" w:rsidRDefault="008A4C15">
            <w:pPr>
              <w:ind w:right="-29"/>
              <w:jc w:val="center"/>
              <w:rPr>
                <w:noProof/>
                <w:sz w:val="18"/>
                <w:szCs w:val="18"/>
              </w:rPr>
            </w:pPr>
            <w:r w:rsidRPr="00FA433F">
              <w:rPr>
                <w:noProof/>
                <w:sz w:val="18"/>
              </w:rPr>
              <w:t>- Produkt</w:t>
            </w:r>
          </w:p>
        </w:tc>
        <w:tc>
          <w:tcPr>
            <w:tcW w:w="720" w:type="dxa"/>
          </w:tcPr>
          <w:p w14:paraId="6447777B" w14:textId="77777777" w:rsidR="008A4C15" w:rsidRPr="00FA433F" w:rsidRDefault="008A4C15">
            <w:pPr>
              <w:ind w:right="-29"/>
              <w:jc w:val="center"/>
              <w:rPr>
                <w:noProof/>
                <w:sz w:val="18"/>
                <w:szCs w:val="18"/>
              </w:rPr>
            </w:pPr>
          </w:p>
        </w:tc>
        <w:tc>
          <w:tcPr>
            <w:tcW w:w="701" w:type="dxa"/>
          </w:tcPr>
          <w:p w14:paraId="24BF8672" w14:textId="77777777" w:rsidR="008A4C15" w:rsidRPr="00FA433F" w:rsidRDefault="008A4C15">
            <w:pPr>
              <w:ind w:right="-29"/>
              <w:jc w:val="center"/>
              <w:rPr>
                <w:noProof/>
                <w:sz w:val="18"/>
                <w:szCs w:val="18"/>
              </w:rPr>
            </w:pPr>
          </w:p>
        </w:tc>
        <w:tc>
          <w:tcPr>
            <w:tcW w:w="504" w:type="dxa"/>
          </w:tcPr>
          <w:p w14:paraId="6295984E" w14:textId="77777777" w:rsidR="008A4C15" w:rsidRPr="00FA433F" w:rsidRDefault="008A4C15">
            <w:pPr>
              <w:ind w:right="-29"/>
              <w:jc w:val="center"/>
              <w:rPr>
                <w:noProof/>
                <w:sz w:val="18"/>
                <w:szCs w:val="18"/>
              </w:rPr>
            </w:pPr>
          </w:p>
        </w:tc>
        <w:tc>
          <w:tcPr>
            <w:tcW w:w="720" w:type="dxa"/>
          </w:tcPr>
          <w:p w14:paraId="2000E0D3" w14:textId="77777777" w:rsidR="008A4C15" w:rsidRPr="00FA433F" w:rsidRDefault="008A4C15">
            <w:pPr>
              <w:ind w:right="-29"/>
              <w:jc w:val="center"/>
              <w:rPr>
                <w:noProof/>
                <w:sz w:val="18"/>
                <w:szCs w:val="18"/>
              </w:rPr>
            </w:pPr>
          </w:p>
        </w:tc>
        <w:tc>
          <w:tcPr>
            <w:tcW w:w="540" w:type="dxa"/>
          </w:tcPr>
          <w:p w14:paraId="5CBDB520" w14:textId="77777777" w:rsidR="008A4C15" w:rsidRPr="00FA433F" w:rsidRDefault="008A4C15">
            <w:pPr>
              <w:ind w:right="-29"/>
              <w:jc w:val="center"/>
              <w:rPr>
                <w:noProof/>
                <w:sz w:val="18"/>
                <w:szCs w:val="18"/>
              </w:rPr>
            </w:pPr>
          </w:p>
        </w:tc>
        <w:tc>
          <w:tcPr>
            <w:tcW w:w="720" w:type="dxa"/>
          </w:tcPr>
          <w:p w14:paraId="74DA687C" w14:textId="77777777" w:rsidR="008A4C15" w:rsidRPr="00FA433F" w:rsidRDefault="008A4C15">
            <w:pPr>
              <w:ind w:right="-29"/>
              <w:jc w:val="center"/>
              <w:rPr>
                <w:noProof/>
                <w:sz w:val="18"/>
                <w:szCs w:val="18"/>
              </w:rPr>
            </w:pPr>
          </w:p>
        </w:tc>
        <w:tc>
          <w:tcPr>
            <w:tcW w:w="720" w:type="dxa"/>
          </w:tcPr>
          <w:p w14:paraId="79E75168" w14:textId="77777777" w:rsidR="008A4C15" w:rsidRPr="00FA433F" w:rsidRDefault="008A4C15">
            <w:pPr>
              <w:ind w:right="-29"/>
              <w:jc w:val="center"/>
              <w:rPr>
                <w:noProof/>
                <w:sz w:val="18"/>
                <w:szCs w:val="18"/>
              </w:rPr>
            </w:pPr>
          </w:p>
        </w:tc>
        <w:tc>
          <w:tcPr>
            <w:tcW w:w="720" w:type="dxa"/>
          </w:tcPr>
          <w:p w14:paraId="3A2B066E" w14:textId="77777777" w:rsidR="008A4C15" w:rsidRPr="00FA433F" w:rsidRDefault="008A4C15">
            <w:pPr>
              <w:ind w:right="-29"/>
              <w:jc w:val="center"/>
              <w:rPr>
                <w:noProof/>
                <w:sz w:val="18"/>
                <w:szCs w:val="18"/>
              </w:rPr>
            </w:pPr>
          </w:p>
        </w:tc>
        <w:tc>
          <w:tcPr>
            <w:tcW w:w="900" w:type="dxa"/>
          </w:tcPr>
          <w:p w14:paraId="1FA28959" w14:textId="77777777" w:rsidR="008A4C15" w:rsidRPr="00FA433F" w:rsidRDefault="008A4C15">
            <w:pPr>
              <w:ind w:right="-29"/>
              <w:jc w:val="center"/>
              <w:rPr>
                <w:noProof/>
                <w:sz w:val="18"/>
                <w:szCs w:val="18"/>
              </w:rPr>
            </w:pPr>
          </w:p>
        </w:tc>
        <w:tc>
          <w:tcPr>
            <w:tcW w:w="720" w:type="dxa"/>
            <w:gridSpan w:val="2"/>
          </w:tcPr>
          <w:p w14:paraId="397BD793" w14:textId="77777777" w:rsidR="008A4C15" w:rsidRPr="00FA433F" w:rsidRDefault="008A4C15">
            <w:pPr>
              <w:ind w:right="-29"/>
              <w:jc w:val="center"/>
              <w:rPr>
                <w:noProof/>
                <w:sz w:val="18"/>
                <w:szCs w:val="18"/>
              </w:rPr>
            </w:pPr>
          </w:p>
        </w:tc>
        <w:tc>
          <w:tcPr>
            <w:tcW w:w="540" w:type="dxa"/>
          </w:tcPr>
          <w:p w14:paraId="5F09FDBD" w14:textId="77777777" w:rsidR="008A4C15" w:rsidRPr="00FA433F" w:rsidRDefault="008A4C15">
            <w:pPr>
              <w:ind w:right="-29"/>
              <w:jc w:val="center"/>
              <w:rPr>
                <w:noProof/>
                <w:sz w:val="18"/>
                <w:szCs w:val="18"/>
              </w:rPr>
            </w:pPr>
          </w:p>
        </w:tc>
        <w:tc>
          <w:tcPr>
            <w:tcW w:w="648" w:type="dxa"/>
          </w:tcPr>
          <w:p w14:paraId="1D58259C" w14:textId="77777777" w:rsidR="008A4C15" w:rsidRPr="00FA433F" w:rsidRDefault="008A4C15">
            <w:pPr>
              <w:ind w:right="-29"/>
              <w:jc w:val="center"/>
              <w:rPr>
                <w:noProof/>
                <w:sz w:val="18"/>
                <w:szCs w:val="18"/>
              </w:rPr>
            </w:pPr>
          </w:p>
        </w:tc>
        <w:tc>
          <w:tcPr>
            <w:tcW w:w="432" w:type="dxa"/>
          </w:tcPr>
          <w:p w14:paraId="59A7A55E" w14:textId="77777777" w:rsidR="008A4C15" w:rsidRPr="00FA433F" w:rsidRDefault="008A4C15">
            <w:pPr>
              <w:ind w:right="-29"/>
              <w:jc w:val="center"/>
              <w:rPr>
                <w:noProof/>
                <w:sz w:val="18"/>
                <w:szCs w:val="18"/>
              </w:rPr>
            </w:pPr>
          </w:p>
        </w:tc>
        <w:tc>
          <w:tcPr>
            <w:tcW w:w="720" w:type="dxa"/>
          </w:tcPr>
          <w:p w14:paraId="0F7FDCDF" w14:textId="77777777" w:rsidR="008A4C15" w:rsidRPr="00FA433F" w:rsidRDefault="008A4C15">
            <w:pPr>
              <w:ind w:right="-29"/>
              <w:jc w:val="center"/>
              <w:rPr>
                <w:noProof/>
                <w:sz w:val="18"/>
                <w:szCs w:val="18"/>
              </w:rPr>
            </w:pPr>
          </w:p>
        </w:tc>
        <w:tc>
          <w:tcPr>
            <w:tcW w:w="540" w:type="dxa"/>
          </w:tcPr>
          <w:p w14:paraId="374902B2" w14:textId="77777777" w:rsidR="008A4C15" w:rsidRPr="00FA433F" w:rsidRDefault="008A4C15">
            <w:pPr>
              <w:ind w:right="-29"/>
              <w:jc w:val="center"/>
              <w:rPr>
                <w:noProof/>
                <w:sz w:val="18"/>
                <w:szCs w:val="18"/>
              </w:rPr>
            </w:pPr>
          </w:p>
        </w:tc>
        <w:tc>
          <w:tcPr>
            <w:tcW w:w="720" w:type="dxa"/>
          </w:tcPr>
          <w:p w14:paraId="06F93C89" w14:textId="77777777" w:rsidR="008A4C15" w:rsidRPr="00FA433F" w:rsidRDefault="008A4C15">
            <w:pPr>
              <w:ind w:right="-29"/>
              <w:jc w:val="center"/>
              <w:rPr>
                <w:noProof/>
                <w:sz w:val="18"/>
                <w:szCs w:val="18"/>
              </w:rPr>
            </w:pPr>
          </w:p>
        </w:tc>
        <w:tc>
          <w:tcPr>
            <w:tcW w:w="720" w:type="dxa"/>
          </w:tcPr>
          <w:p w14:paraId="22940D64" w14:textId="77777777" w:rsidR="008A4C15" w:rsidRPr="00FA433F" w:rsidRDefault="008A4C15">
            <w:pPr>
              <w:ind w:right="-29"/>
              <w:jc w:val="center"/>
              <w:rPr>
                <w:noProof/>
                <w:sz w:val="18"/>
                <w:szCs w:val="18"/>
              </w:rPr>
            </w:pPr>
          </w:p>
        </w:tc>
        <w:tc>
          <w:tcPr>
            <w:tcW w:w="900" w:type="dxa"/>
          </w:tcPr>
          <w:p w14:paraId="24D282F5" w14:textId="77777777" w:rsidR="008A4C15" w:rsidRPr="00FA433F" w:rsidRDefault="008A4C15">
            <w:pPr>
              <w:ind w:right="-29"/>
              <w:jc w:val="center"/>
              <w:rPr>
                <w:noProof/>
                <w:sz w:val="18"/>
                <w:szCs w:val="18"/>
              </w:rPr>
            </w:pPr>
          </w:p>
        </w:tc>
      </w:tr>
      <w:tr w:rsidR="004D55FB" w:rsidRPr="00FA433F" w14:paraId="18DA2872" w14:textId="77777777">
        <w:trPr>
          <w:jc w:val="center"/>
        </w:trPr>
        <w:tc>
          <w:tcPr>
            <w:tcW w:w="2844" w:type="dxa"/>
            <w:gridSpan w:val="3"/>
            <w:tcBorders>
              <w:bottom w:val="single" w:sz="12" w:space="0" w:color="auto"/>
            </w:tcBorders>
            <w:vAlign w:val="center"/>
          </w:tcPr>
          <w:p w14:paraId="24194876" w14:textId="3390002B" w:rsidR="008A4C15" w:rsidRPr="00FA433F" w:rsidRDefault="008A4C15">
            <w:pPr>
              <w:jc w:val="center"/>
              <w:rPr>
                <w:noProof/>
                <w:sz w:val="18"/>
                <w:szCs w:val="18"/>
              </w:rPr>
            </w:pPr>
            <w:r w:rsidRPr="00FA433F">
              <w:rPr>
                <w:noProof/>
                <w:sz w:val="18"/>
              </w:rPr>
              <w:t>Cel szczegółowy nr</w:t>
            </w:r>
            <w:r w:rsidR="00FA433F" w:rsidRPr="00FA433F">
              <w:rPr>
                <w:noProof/>
                <w:sz w:val="18"/>
              </w:rPr>
              <w:t> </w:t>
            </w:r>
            <w:r w:rsidRPr="00FA433F">
              <w:rPr>
                <w:noProof/>
                <w:sz w:val="18"/>
              </w:rPr>
              <w:t>2 – suma cząstkowa</w:t>
            </w:r>
          </w:p>
        </w:tc>
        <w:tc>
          <w:tcPr>
            <w:tcW w:w="504" w:type="dxa"/>
            <w:tcBorders>
              <w:bottom w:val="single" w:sz="12" w:space="0" w:color="auto"/>
            </w:tcBorders>
          </w:tcPr>
          <w:p w14:paraId="78FD8E63" w14:textId="77777777" w:rsidR="008A4C15" w:rsidRPr="00FA433F" w:rsidRDefault="008A4C15">
            <w:pPr>
              <w:ind w:right="-29"/>
              <w:jc w:val="center"/>
              <w:rPr>
                <w:noProof/>
                <w:sz w:val="18"/>
                <w:szCs w:val="18"/>
              </w:rPr>
            </w:pPr>
          </w:p>
        </w:tc>
        <w:tc>
          <w:tcPr>
            <w:tcW w:w="720" w:type="dxa"/>
            <w:tcBorders>
              <w:bottom w:val="single" w:sz="12" w:space="0" w:color="auto"/>
            </w:tcBorders>
          </w:tcPr>
          <w:p w14:paraId="324C5CA8" w14:textId="77777777" w:rsidR="008A4C15" w:rsidRPr="00FA433F" w:rsidRDefault="008A4C15">
            <w:pPr>
              <w:ind w:right="-29"/>
              <w:jc w:val="center"/>
              <w:rPr>
                <w:noProof/>
                <w:sz w:val="18"/>
                <w:szCs w:val="18"/>
              </w:rPr>
            </w:pPr>
          </w:p>
        </w:tc>
        <w:tc>
          <w:tcPr>
            <w:tcW w:w="540" w:type="dxa"/>
            <w:tcBorders>
              <w:bottom w:val="single" w:sz="12" w:space="0" w:color="auto"/>
            </w:tcBorders>
          </w:tcPr>
          <w:p w14:paraId="368B7A10" w14:textId="77777777" w:rsidR="008A4C15" w:rsidRPr="00FA433F" w:rsidRDefault="008A4C15">
            <w:pPr>
              <w:ind w:right="-29"/>
              <w:jc w:val="center"/>
              <w:rPr>
                <w:noProof/>
                <w:sz w:val="18"/>
                <w:szCs w:val="18"/>
              </w:rPr>
            </w:pPr>
          </w:p>
        </w:tc>
        <w:tc>
          <w:tcPr>
            <w:tcW w:w="720" w:type="dxa"/>
            <w:tcBorders>
              <w:bottom w:val="single" w:sz="12" w:space="0" w:color="auto"/>
            </w:tcBorders>
          </w:tcPr>
          <w:p w14:paraId="1FD69A45" w14:textId="77777777" w:rsidR="008A4C15" w:rsidRPr="00FA433F" w:rsidRDefault="008A4C15">
            <w:pPr>
              <w:ind w:right="-29"/>
              <w:jc w:val="center"/>
              <w:rPr>
                <w:noProof/>
                <w:sz w:val="18"/>
                <w:szCs w:val="18"/>
              </w:rPr>
            </w:pPr>
          </w:p>
        </w:tc>
        <w:tc>
          <w:tcPr>
            <w:tcW w:w="720" w:type="dxa"/>
            <w:tcBorders>
              <w:bottom w:val="single" w:sz="12" w:space="0" w:color="auto"/>
            </w:tcBorders>
          </w:tcPr>
          <w:p w14:paraId="06E91679" w14:textId="77777777" w:rsidR="008A4C15" w:rsidRPr="00FA433F" w:rsidRDefault="008A4C15">
            <w:pPr>
              <w:ind w:right="-29"/>
              <w:jc w:val="center"/>
              <w:rPr>
                <w:noProof/>
                <w:sz w:val="18"/>
                <w:szCs w:val="18"/>
              </w:rPr>
            </w:pPr>
          </w:p>
        </w:tc>
        <w:tc>
          <w:tcPr>
            <w:tcW w:w="720" w:type="dxa"/>
            <w:tcBorders>
              <w:bottom w:val="single" w:sz="12" w:space="0" w:color="auto"/>
            </w:tcBorders>
          </w:tcPr>
          <w:p w14:paraId="370FC56C" w14:textId="77777777" w:rsidR="008A4C15" w:rsidRPr="00FA433F" w:rsidRDefault="008A4C15">
            <w:pPr>
              <w:ind w:right="-29"/>
              <w:jc w:val="center"/>
              <w:rPr>
                <w:noProof/>
                <w:sz w:val="18"/>
                <w:szCs w:val="18"/>
              </w:rPr>
            </w:pPr>
          </w:p>
        </w:tc>
        <w:tc>
          <w:tcPr>
            <w:tcW w:w="951" w:type="dxa"/>
            <w:gridSpan w:val="2"/>
            <w:tcBorders>
              <w:bottom w:val="single" w:sz="12" w:space="0" w:color="auto"/>
            </w:tcBorders>
          </w:tcPr>
          <w:p w14:paraId="7315932D" w14:textId="77777777" w:rsidR="008A4C15" w:rsidRPr="00FA433F" w:rsidRDefault="008A4C15">
            <w:pPr>
              <w:ind w:right="-29"/>
              <w:jc w:val="center"/>
              <w:rPr>
                <w:noProof/>
                <w:sz w:val="18"/>
                <w:szCs w:val="18"/>
              </w:rPr>
            </w:pPr>
          </w:p>
        </w:tc>
        <w:tc>
          <w:tcPr>
            <w:tcW w:w="669" w:type="dxa"/>
            <w:tcBorders>
              <w:bottom w:val="single" w:sz="12" w:space="0" w:color="auto"/>
            </w:tcBorders>
          </w:tcPr>
          <w:p w14:paraId="1DBC2879" w14:textId="77777777" w:rsidR="008A4C15" w:rsidRPr="00FA433F" w:rsidRDefault="008A4C15">
            <w:pPr>
              <w:ind w:right="-29"/>
              <w:jc w:val="center"/>
              <w:rPr>
                <w:noProof/>
                <w:sz w:val="18"/>
                <w:szCs w:val="18"/>
              </w:rPr>
            </w:pPr>
          </w:p>
        </w:tc>
        <w:tc>
          <w:tcPr>
            <w:tcW w:w="540" w:type="dxa"/>
            <w:tcBorders>
              <w:bottom w:val="single" w:sz="12" w:space="0" w:color="auto"/>
            </w:tcBorders>
          </w:tcPr>
          <w:p w14:paraId="56697F00" w14:textId="77777777" w:rsidR="008A4C15" w:rsidRPr="00FA433F" w:rsidRDefault="008A4C15">
            <w:pPr>
              <w:ind w:right="-29"/>
              <w:jc w:val="center"/>
              <w:rPr>
                <w:noProof/>
                <w:sz w:val="18"/>
                <w:szCs w:val="18"/>
              </w:rPr>
            </w:pPr>
          </w:p>
        </w:tc>
        <w:tc>
          <w:tcPr>
            <w:tcW w:w="648" w:type="dxa"/>
            <w:tcBorders>
              <w:bottom w:val="single" w:sz="12" w:space="0" w:color="auto"/>
            </w:tcBorders>
          </w:tcPr>
          <w:p w14:paraId="283A030F" w14:textId="77777777" w:rsidR="008A4C15" w:rsidRPr="00FA433F" w:rsidRDefault="008A4C15">
            <w:pPr>
              <w:ind w:right="-29"/>
              <w:jc w:val="center"/>
              <w:rPr>
                <w:noProof/>
                <w:sz w:val="18"/>
                <w:szCs w:val="18"/>
              </w:rPr>
            </w:pPr>
          </w:p>
        </w:tc>
        <w:tc>
          <w:tcPr>
            <w:tcW w:w="432" w:type="dxa"/>
            <w:tcBorders>
              <w:bottom w:val="single" w:sz="12" w:space="0" w:color="auto"/>
            </w:tcBorders>
          </w:tcPr>
          <w:p w14:paraId="54942B0B" w14:textId="77777777" w:rsidR="008A4C15" w:rsidRPr="00FA433F" w:rsidRDefault="008A4C15">
            <w:pPr>
              <w:ind w:right="-29"/>
              <w:jc w:val="center"/>
              <w:rPr>
                <w:noProof/>
                <w:sz w:val="18"/>
                <w:szCs w:val="18"/>
              </w:rPr>
            </w:pPr>
          </w:p>
        </w:tc>
        <w:tc>
          <w:tcPr>
            <w:tcW w:w="720" w:type="dxa"/>
            <w:tcBorders>
              <w:bottom w:val="single" w:sz="12" w:space="0" w:color="auto"/>
            </w:tcBorders>
          </w:tcPr>
          <w:p w14:paraId="5344219B" w14:textId="77777777" w:rsidR="008A4C15" w:rsidRPr="00FA433F" w:rsidRDefault="008A4C15">
            <w:pPr>
              <w:ind w:right="-29"/>
              <w:jc w:val="center"/>
              <w:rPr>
                <w:noProof/>
                <w:sz w:val="18"/>
                <w:szCs w:val="18"/>
              </w:rPr>
            </w:pPr>
          </w:p>
        </w:tc>
        <w:tc>
          <w:tcPr>
            <w:tcW w:w="540" w:type="dxa"/>
            <w:tcBorders>
              <w:bottom w:val="single" w:sz="12" w:space="0" w:color="auto"/>
            </w:tcBorders>
          </w:tcPr>
          <w:p w14:paraId="77CA24A0" w14:textId="77777777" w:rsidR="008A4C15" w:rsidRPr="00FA433F" w:rsidRDefault="008A4C15">
            <w:pPr>
              <w:ind w:right="-29"/>
              <w:jc w:val="center"/>
              <w:rPr>
                <w:noProof/>
                <w:sz w:val="18"/>
                <w:szCs w:val="18"/>
              </w:rPr>
            </w:pPr>
          </w:p>
        </w:tc>
        <w:tc>
          <w:tcPr>
            <w:tcW w:w="720" w:type="dxa"/>
            <w:tcBorders>
              <w:bottom w:val="single" w:sz="12" w:space="0" w:color="auto"/>
            </w:tcBorders>
          </w:tcPr>
          <w:p w14:paraId="20EC0EDB" w14:textId="77777777" w:rsidR="008A4C15" w:rsidRPr="00FA433F" w:rsidRDefault="008A4C15">
            <w:pPr>
              <w:ind w:right="-29"/>
              <w:jc w:val="center"/>
              <w:rPr>
                <w:noProof/>
                <w:sz w:val="18"/>
                <w:szCs w:val="18"/>
              </w:rPr>
            </w:pPr>
          </w:p>
        </w:tc>
        <w:tc>
          <w:tcPr>
            <w:tcW w:w="720" w:type="dxa"/>
            <w:tcBorders>
              <w:bottom w:val="single" w:sz="12" w:space="0" w:color="auto"/>
            </w:tcBorders>
          </w:tcPr>
          <w:p w14:paraId="1B029D6F" w14:textId="77777777" w:rsidR="008A4C15" w:rsidRPr="00FA433F" w:rsidRDefault="008A4C15">
            <w:pPr>
              <w:ind w:right="-29"/>
              <w:jc w:val="center"/>
              <w:rPr>
                <w:noProof/>
                <w:sz w:val="18"/>
                <w:szCs w:val="18"/>
              </w:rPr>
            </w:pPr>
          </w:p>
        </w:tc>
        <w:tc>
          <w:tcPr>
            <w:tcW w:w="900" w:type="dxa"/>
            <w:tcBorders>
              <w:bottom w:val="single" w:sz="12" w:space="0" w:color="auto"/>
            </w:tcBorders>
          </w:tcPr>
          <w:p w14:paraId="4E5E75CD" w14:textId="77777777" w:rsidR="008A4C15" w:rsidRPr="00FA433F" w:rsidRDefault="008A4C15">
            <w:pPr>
              <w:ind w:right="-29"/>
              <w:jc w:val="center"/>
              <w:rPr>
                <w:noProof/>
                <w:sz w:val="18"/>
                <w:szCs w:val="18"/>
              </w:rPr>
            </w:pPr>
          </w:p>
        </w:tc>
      </w:tr>
      <w:tr w:rsidR="004D55FB" w:rsidRPr="00FA433F" w14:paraId="55A0FAF4" w14:textId="77777777">
        <w:trPr>
          <w:jc w:val="center"/>
        </w:trPr>
        <w:tc>
          <w:tcPr>
            <w:tcW w:w="2844" w:type="dxa"/>
            <w:gridSpan w:val="3"/>
            <w:tcBorders>
              <w:top w:val="single" w:sz="12" w:space="0" w:color="auto"/>
              <w:left w:val="single" w:sz="12" w:space="0" w:color="auto"/>
              <w:bottom w:val="single" w:sz="12" w:space="0" w:color="auto"/>
            </w:tcBorders>
            <w:vAlign w:val="center"/>
          </w:tcPr>
          <w:p w14:paraId="044E5145" w14:textId="77777777" w:rsidR="008A4C15" w:rsidRPr="00FA433F" w:rsidRDefault="008A4C15">
            <w:pPr>
              <w:ind w:right="-29"/>
              <w:jc w:val="center"/>
              <w:rPr>
                <w:noProof/>
                <w:sz w:val="18"/>
                <w:szCs w:val="18"/>
              </w:rPr>
            </w:pPr>
            <w:r w:rsidRPr="00FA433F">
              <w:rPr>
                <w:b/>
                <w:noProof/>
                <w:sz w:val="18"/>
              </w:rPr>
              <w:t>OGÓŁEM</w:t>
            </w:r>
          </w:p>
        </w:tc>
        <w:tc>
          <w:tcPr>
            <w:tcW w:w="504" w:type="dxa"/>
            <w:tcBorders>
              <w:top w:val="single" w:sz="12" w:space="0" w:color="auto"/>
              <w:bottom w:val="single" w:sz="12" w:space="0" w:color="auto"/>
            </w:tcBorders>
          </w:tcPr>
          <w:p w14:paraId="4B906BDA" w14:textId="77777777" w:rsidR="008A4C15" w:rsidRPr="00FA433F" w:rsidRDefault="008A4C15">
            <w:pPr>
              <w:spacing w:before="180" w:after="180"/>
              <w:ind w:right="-29"/>
              <w:jc w:val="center"/>
              <w:rPr>
                <w:noProof/>
                <w:sz w:val="18"/>
                <w:szCs w:val="18"/>
              </w:rPr>
            </w:pPr>
          </w:p>
        </w:tc>
        <w:tc>
          <w:tcPr>
            <w:tcW w:w="720" w:type="dxa"/>
            <w:tcBorders>
              <w:top w:val="single" w:sz="12" w:space="0" w:color="auto"/>
              <w:bottom w:val="single" w:sz="12" w:space="0" w:color="auto"/>
            </w:tcBorders>
          </w:tcPr>
          <w:p w14:paraId="7E867557" w14:textId="77777777" w:rsidR="008A4C15" w:rsidRPr="00FA433F" w:rsidRDefault="008A4C15">
            <w:pPr>
              <w:spacing w:before="180" w:after="180"/>
              <w:ind w:right="-29"/>
              <w:jc w:val="center"/>
              <w:rPr>
                <w:noProof/>
                <w:sz w:val="18"/>
                <w:szCs w:val="18"/>
              </w:rPr>
            </w:pPr>
          </w:p>
        </w:tc>
        <w:tc>
          <w:tcPr>
            <w:tcW w:w="540" w:type="dxa"/>
            <w:tcBorders>
              <w:top w:val="single" w:sz="12" w:space="0" w:color="auto"/>
              <w:bottom w:val="single" w:sz="12" w:space="0" w:color="auto"/>
            </w:tcBorders>
          </w:tcPr>
          <w:p w14:paraId="07508112" w14:textId="77777777" w:rsidR="008A4C15" w:rsidRPr="00FA433F" w:rsidRDefault="008A4C15">
            <w:pPr>
              <w:spacing w:before="180" w:after="180"/>
              <w:ind w:right="-29"/>
              <w:jc w:val="center"/>
              <w:rPr>
                <w:noProof/>
                <w:sz w:val="18"/>
                <w:szCs w:val="18"/>
              </w:rPr>
            </w:pPr>
          </w:p>
        </w:tc>
        <w:tc>
          <w:tcPr>
            <w:tcW w:w="720" w:type="dxa"/>
            <w:tcBorders>
              <w:top w:val="single" w:sz="12" w:space="0" w:color="auto"/>
              <w:bottom w:val="single" w:sz="12" w:space="0" w:color="auto"/>
            </w:tcBorders>
          </w:tcPr>
          <w:p w14:paraId="367449C2" w14:textId="77777777" w:rsidR="008A4C15" w:rsidRPr="00FA433F" w:rsidRDefault="008A4C15">
            <w:pPr>
              <w:spacing w:before="180" w:after="180"/>
              <w:ind w:right="-29"/>
              <w:jc w:val="center"/>
              <w:rPr>
                <w:noProof/>
                <w:sz w:val="18"/>
                <w:szCs w:val="18"/>
              </w:rPr>
            </w:pPr>
          </w:p>
        </w:tc>
        <w:tc>
          <w:tcPr>
            <w:tcW w:w="720" w:type="dxa"/>
            <w:tcBorders>
              <w:top w:val="single" w:sz="12" w:space="0" w:color="auto"/>
              <w:bottom w:val="single" w:sz="12" w:space="0" w:color="auto"/>
            </w:tcBorders>
          </w:tcPr>
          <w:p w14:paraId="263E767D" w14:textId="77777777" w:rsidR="008A4C15" w:rsidRPr="00FA433F" w:rsidRDefault="008A4C15">
            <w:pPr>
              <w:spacing w:before="180" w:after="180"/>
              <w:ind w:right="-29"/>
              <w:jc w:val="center"/>
              <w:rPr>
                <w:noProof/>
                <w:sz w:val="18"/>
                <w:szCs w:val="18"/>
              </w:rPr>
            </w:pPr>
          </w:p>
        </w:tc>
        <w:tc>
          <w:tcPr>
            <w:tcW w:w="720" w:type="dxa"/>
            <w:tcBorders>
              <w:top w:val="single" w:sz="12" w:space="0" w:color="auto"/>
              <w:bottom w:val="single" w:sz="12" w:space="0" w:color="auto"/>
            </w:tcBorders>
          </w:tcPr>
          <w:p w14:paraId="4554592D" w14:textId="77777777" w:rsidR="008A4C15" w:rsidRPr="00FA433F" w:rsidRDefault="008A4C15">
            <w:pPr>
              <w:spacing w:before="180" w:after="180"/>
              <w:ind w:right="-29"/>
              <w:jc w:val="center"/>
              <w:rPr>
                <w:noProof/>
                <w:sz w:val="18"/>
                <w:szCs w:val="18"/>
              </w:rPr>
            </w:pPr>
          </w:p>
        </w:tc>
        <w:tc>
          <w:tcPr>
            <w:tcW w:w="900" w:type="dxa"/>
            <w:tcBorders>
              <w:top w:val="single" w:sz="12" w:space="0" w:color="auto"/>
              <w:bottom w:val="single" w:sz="12" w:space="0" w:color="auto"/>
            </w:tcBorders>
          </w:tcPr>
          <w:p w14:paraId="4FEDDCED" w14:textId="77777777" w:rsidR="008A4C15" w:rsidRPr="00FA433F" w:rsidRDefault="008A4C15">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7341582C" w14:textId="77777777" w:rsidR="008A4C15" w:rsidRPr="00FA433F" w:rsidRDefault="008A4C15">
            <w:pPr>
              <w:spacing w:before="180" w:after="180"/>
              <w:ind w:right="-29"/>
              <w:jc w:val="center"/>
              <w:rPr>
                <w:noProof/>
                <w:sz w:val="18"/>
                <w:szCs w:val="18"/>
              </w:rPr>
            </w:pPr>
          </w:p>
        </w:tc>
        <w:tc>
          <w:tcPr>
            <w:tcW w:w="540" w:type="dxa"/>
            <w:tcBorders>
              <w:top w:val="single" w:sz="12" w:space="0" w:color="auto"/>
              <w:bottom w:val="single" w:sz="12" w:space="0" w:color="auto"/>
            </w:tcBorders>
          </w:tcPr>
          <w:p w14:paraId="2CE0754A" w14:textId="77777777" w:rsidR="008A4C15" w:rsidRPr="00FA433F" w:rsidRDefault="008A4C15">
            <w:pPr>
              <w:spacing w:before="180" w:after="180"/>
              <w:ind w:right="-29"/>
              <w:jc w:val="center"/>
              <w:rPr>
                <w:noProof/>
                <w:sz w:val="18"/>
                <w:szCs w:val="18"/>
              </w:rPr>
            </w:pPr>
          </w:p>
        </w:tc>
        <w:tc>
          <w:tcPr>
            <w:tcW w:w="648" w:type="dxa"/>
            <w:tcBorders>
              <w:top w:val="single" w:sz="12" w:space="0" w:color="auto"/>
              <w:bottom w:val="single" w:sz="12" w:space="0" w:color="auto"/>
            </w:tcBorders>
          </w:tcPr>
          <w:p w14:paraId="3A00618A" w14:textId="77777777" w:rsidR="008A4C15" w:rsidRPr="00FA433F" w:rsidRDefault="008A4C15">
            <w:pPr>
              <w:spacing w:before="180" w:after="180"/>
              <w:ind w:right="-29"/>
              <w:jc w:val="center"/>
              <w:rPr>
                <w:noProof/>
                <w:sz w:val="18"/>
                <w:szCs w:val="18"/>
              </w:rPr>
            </w:pPr>
          </w:p>
        </w:tc>
        <w:tc>
          <w:tcPr>
            <w:tcW w:w="432" w:type="dxa"/>
            <w:tcBorders>
              <w:top w:val="single" w:sz="12" w:space="0" w:color="auto"/>
              <w:bottom w:val="single" w:sz="12" w:space="0" w:color="auto"/>
            </w:tcBorders>
          </w:tcPr>
          <w:p w14:paraId="3BAAB3D0" w14:textId="77777777" w:rsidR="008A4C15" w:rsidRPr="00FA433F" w:rsidRDefault="008A4C15">
            <w:pPr>
              <w:spacing w:before="180" w:after="180"/>
              <w:ind w:right="-29"/>
              <w:jc w:val="center"/>
              <w:rPr>
                <w:noProof/>
                <w:sz w:val="18"/>
                <w:szCs w:val="18"/>
              </w:rPr>
            </w:pPr>
          </w:p>
        </w:tc>
        <w:tc>
          <w:tcPr>
            <w:tcW w:w="720" w:type="dxa"/>
            <w:tcBorders>
              <w:top w:val="single" w:sz="12" w:space="0" w:color="auto"/>
              <w:bottom w:val="single" w:sz="12" w:space="0" w:color="auto"/>
            </w:tcBorders>
          </w:tcPr>
          <w:p w14:paraId="1EC113BF" w14:textId="77777777" w:rsidR="008A4C15" w:rsidRPr="00FA433F" w:rsidRDefault="008A4C15">
            <w:pPr>
              <w:spacing w:before="180" w:after="180"/>
              <w:ind w:right="-29"/>
              <w:jc w:val="center"/>
              <w:rPr>
                <w:noProof/>
                <w:sz w:val="18"/>
                <w:szCs w:val="18"/>
              </w:rPr>
            </w:pPr>
          </w:p>
        </w:tc>
        <w:tc>
          <w:tcPr>
            <w:tcW w:w="540" w:type="dxa"/>
            <w:tcBorders>
              <w:top w:val="single" w:sz="12" w:space="0" w:color="auto"/>
              <w:bottom w:val="single" w:sz="12" w:space="0" w:color="auto"/>
            </w:tcBorders>
          </w:tcPr>
          <w:p w14:paraId="701F506A" w14:textId="77777777" w:rsidR="008A4C15" w:rsidRPr="00FA433F" w:rsidRDefault="008A4C15">
            <w:pPr>
              <w:spacing w:before="180" w:after="180"/>
              <w:ind w:right="-29"/>
              <w:jc w:val="center"/>
              <w:rPr>
                <w:noProof/>
                <w:sz w:val="18"/>
                <w:szCs w:val="18"/>
              </w:rPr>
            </w:pPr>
          </w:p>
        </w:tc>
        <w:tc>
          <w:tcPr>
            <w:tcW w:w="720" w:type="dxa"/>
            <w:tcBorders>
              <w:top w:val="single" w:sz="12" w:space="0" w:color="auto"/>
              <w:bottom w:val="single" w:sz="12" w:space="0" w:color="auto"/>
            </w:tcBorders>
          </w:tcPr>
          <w:p w14:paraId="7C5CDE07" w14:textId="77777777" w:rsidR="008A4C15" w:rsidRPr="00FA433F" w:rsidRDefault="008A4C15">
            <w:pPr>
              <w:spacing w:before="180" w:after="180"/>
              <w:ind w:right="-29"/>
              <w:jc w:val="center"/>
              <w:rPr>
                <w:noProof/>
                <w:sz w:val="18"/>
                <w:szCs w:val="18"/>
              </w:rPr>
            </w:pPr>
          </w:p>
        </w:tc>
        <w:tc>
          <w:tcPr>
            <w:tcW w:w="720" w:type="dxa"/>
            <w:tcBorders>
              <w:top w:val="single" w:sz="12" w:space="0" w:color="auto"/>
              <w:bottom w:val="single" w:sz="12" w:space="0" w:color="auto"/>
            </w:tcBorders>
          </w:tcPr>
          <w:p w14:paraId="11BEA590" w14:textId="77777777" w:rsidR="008A4C15" w:rsidRPr="00FA433F" w:rsidRDefault="008A4C15">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59E231E5" w14:textId="77777777" w:rsidR="008A4C15" w:rsidRPr="00FA433F" w:rsidRDefault="008A4C15">
            <w:pPr>
              <w:spacing w:before="180" w:after="180"/>
              <w:ind w:right="-29"/>
              <w:jc w:val="center"/>
              <w:rPr>
                <w:noProof/>
                <w:sz w:val="18"/>
                <w:szCs w:val="18"/>
              </w:rPr>
            </w:pPr>
          </w:p>
        </w:tc>
      </w:tr>
    </w:tbl>
    <w:p w14:paraId="1BC83789" w14:textId="77777777" w:rsidR="008A4C15" w:rsidRPr="00FA433F" w:rsidRDefault="008A4C15">
      <w:pPr>
        <w:rPr>
          <w:noProof/>
        </w:rPr>
        <w:sectPr w:rsidR="008A4C15" w:rsidRPr="00FA433F" w:rsidSect="007E5C27">
          <w:headerReference w:type="default" r:id="rId17"/>
          <w:footerReference w:type="default" r:id="rId18"/>
          <w:pgSz w:w="16840" w:h="11907" w:orient="landscape" w:code="9"/>
          <w:pgMar w:top="1134" w:right="1418" w:bottom="567" w:left="1418" w:header="709" w:footer="709" w:gutter="0"/>
          <w:cols w:space="708"/>
          <w:docGrid w:linePitch="360"/>
        </w:sectPr>
      </w:pPr>
    </w:p>
    <w:p w14:paraId="6B0754E3" w14:textId="77777777" w:rsidR="008A4C15" w:rsidRPr="00FA433F" w:rsidRDefault="008A4C15">
      <w:pPr>
        <w:pStyle w:val="ManualHeading3"/>
        <w:rPr>
          <w:bCs/>
          <w:noProof/>
          <w:szCs w:val="24"/>
        </w:rPr>
      </w:pPr>
      <w:bookmarkStart w:id="147" w:name="_Toc514938055"/>
      <w:bookmarkStart w:id="148" w:name="_Toc520485054"/>
      <w:bookmarkStart w:id="149" w:name="_Toc160804598"/>
      <w:bookmarkStart w:id="150" w:name="_Toc167220290"/>
      <w:bookmarkStart w:id="151" w:name="_Toc177549023"/>
      <w:r w:rsidRPr="00FA433F">
        <w:rPr>
          <w:noProof/>
        </w:rPr>
        <w:lastRenderedPageBreak/>
        <w:t>3.2.3.</w:t>
      </w:r>
      <w:r w:rsidRPr="00FA433F">
        <w:rPr>
          <w:noProof/>
        </w:rPr>
        <w:tab/>
        <w:t>Podsumowanie szacunkowego wpływu na środki administracyjne</w:t>
      </w:r>
      <w:bookmarkEnd w:id="147"/>
      <w:bookmarkEnd w:id="148"/>
      <w:bookmarkEnd w:id="149"/>
      <w:bookmarkEnd w:id="150"/>
      <w:bookmarkEnd w:id="151"/>
      <w:r w:rsidRPr="00FA433F">
        <w:rPr>
          <w:noProof/>
        </w:rPr>
        <w:t xml:space="preserve"> </w:t>
      </w:r>
    </w:p>
    <w:p w14:paraId="13508BAB" w14:textId="229BC422" w:rsidR="008A4C15" w:rsidRPr="00FA433F" w:rsidRDefault="008A4C15">
      <w:pPr>
        <w:pStyle w:val="ListDash1"/>
        <w:rPr>
          <w:noProof/>
        </w:rPr>
      </w:pPr>
      <w:r w:rsidRPr="00FA433F">
        <w:rPr>
          <w:rFonts w:ascii="Wingdings" w:hAnsi="Wingdings"/>
          <w:noProof/>
        </w:rPr>
        <w:t></w:t>
      </w:r>
      <w:r w:rsidRPr="00FA433F">
        <w:rPr>
          <w:noProof/>
        </w:rPr>
        <w:tab/>
        <w:t>Wniosek/inicjatywa nie wiąże się</w:t>
      </w:r>
      <w:r w:rsidR="00FA433F" w:rsidRPr="00FA433F">
        <w:rPr>
          <w:noProof/>
        </w:rPr>
        <w:t xml:space="preserve"> z</w:t>
      </w:r>
      <w:r w:rsidR="00FA433F">
        <w:rPr>
          <w:noProof/>
        </w:rPr>
        <w:t> </w:t>
      </w:r>
      <w:r w:rsidR="00FA433F" w:rsidRPr="00FA433F">
        <w:rPr>
          <w:noProof/>
        </w:rPr>
        <w:t>kon</w:t>
      </w:r>
      <w:r w:rsidRPr="00FA433F">
        <w:rPr>
          <w:noProof/>
        </w:rPr>
        <w:t xml:space="preserve">iecznością wykorzystania środków administracyjnych </w:t>
      </w:r>
    </w:p>
    <w:p w14:paraId="140AD4B3" w14:textId="595C011D" w:rsidR="008A4C15" w:rsidRPr="00FA433F" w:rsidRDefault="00BB1D70">
      <w:pPr>
        <w:pStyle w:val="ListDash1"/>
        <w:rPr>
          <w:noProof/>
        </w:rPr>
      </w:pPr>
      <w:r w:rsidRPr="00FA433F">
        <w:rPr>
          <w:rFonts w:ascii="Wingdings" w:hAnsi="Wingdings"/>
          <w:noProof/>
        </w:rPr>
        <w:t></w:t>
      </w:r>
      <w:r w:rsidRPr="00FA433F">
        <w:rPr>
          <w:noProof/>
        </w:rPr>
        <w:tab/>
        <w:t>Wniosek/inicjatywa wiąże się</w:t>
      </w:r>
      <w:r w:rsidR="00FA433F" w:rsidRPr="00FA433F">
        <w:rPr>
          <w:noProof/>
        </w:rPr>
        <w:t xml:space="preserve"> z</w:t>
      </w:r>
      <w:r w:rsidR="00FA433F">
        <w:rPr>
          <w:noProof/>
        </w:rPr>
        <w:t> </w:t>
      </w:r>
      <w:r w:rsidR="00FA433F" w:rsidRPr="00FA433F">
        <w:rPr>
          <w:noProof/>
        </w:rPr>
        <w:t>kon</w:t>
      </w:r>
      <w:r w:rsidRPr="00FA433F">
        <w:rPr>
          <w:noProof/>
        </w:rPr>
        <w:t>iecznością wykorzystania środków administracyjnych, jak określono poniżej</w:t>
      </w:r>
    </w:p>
    <w:p w14:paraId="7E8E85A1" w14:textId="317241F8" w:rsidR="008A4C15" w:rsidRPr="00FA433F" w:rsidRDefault="008A4C15">
      <w:pPr>
        <w:pStyle w:val="ManualHeading3"/>
        <w:rPr>
          <w:noProof/>
        </w:rPr>
      </w:pPr>
      <w:bookmarkStart w:id="152" w:name="_Toc167220291"/>
      <w:bookmarkStart w:id="153" w:name="_Toc177549024"/>
      <w:r w:rsidRPr="00FA433F">
        <w:rPr>
          <w:noProof/>
        </w:rPr>
        <w:t>3.2.3.1. Środki</w:t>
      </w:r>
      <w:r w:rsidR="00FA433F" w:rsidRPr="00FA433F">
        <w:rPr>
          <w:noProof/>
        </w:rPr>
        <w:t xml:space="preserve"> z</w:t>
      </w:r>
      <w:r w:rsidR="00FA433F">
        <w:rPr>
          <w:noProof/>
        </w:rPr>
        <w:t> </w:t>
      </w:r>
      <w:r w:rsidR="00FA433F" w:rsidRPr="00FA433F">
        <w:rPr>
          <w:noProof/>
        </w:rPr>
        <w:t>uch</w:t>
      </w:r>
      <w:r w:rsidRPr="00FA433F">
        <w:rPr>
          <w:noProof/>
        </w:rPr>
        <w:t>walonego budżetu</w:t>
      </w:r>
      <w:bookmarkEnd w:id="152"/>
      <w:bookmarkEnd w:id="153"/>
    </w:p>
    <w:tbl>
      <w:tblPr>
        <w:tblW w:w="5000" w:type="pct"/>
        <w:tblLook w:val="04A0" w:firstRow="1" w:lastRow="0" w:firstColumn="1" w:lastColumn="0" w:noHBand="0" w:noVBand="1"/>
      </w:tblPr>
      <w:tblGrid>
        <w:gridCol w:w="896"/>
        <w:gridCol w:w="2627"/>
        <w:gridCol w:w="896"/>
        <w:gridCol w:w="896"/>
        <w:gridCol w:w="897"/>
        <w:gridCol w:w="897"/>
        <w:gridCol w:w="897"/>
        <w:gridCol w:w="1047"/>
      </w:tblGrid>
      <w:tr w:rsidR="00BB1D70" w:rsidRPr="00FA433F" w14:paraId="5BE41ED9" w14:textId="77777777" w:rsidTr="00EA3058">
        <w:trPr>
          <w:trHeight w:val="300"/>
        </w:trPr>
        <w:tc>
          <w:tcPr>
            <w:tcW w:w="1952"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3CA970F1" w14:textId="77777777" w:rsidR="00BB1D70" w:rsidRPr="00FA433F" w:rsidRDefault="00BB1D70" w:rsidP="00BB1D70">
            <w:pPr>
              <w:spacing w:before="0" w:after="0"/>
              <w:jc w:val="center"/>
              <w:rPr>
                <w:b/>
                <w:bCs/>
                <w:noProof/>
                <w:sz w:val="18"/>
                <w:szCs w:val="18"/>
              </w:rPr>
            </w:pPr>
            <w:r w:rsidRPr="00FA433F">
              <w:rPr>
                <w:b/>
                <w:noProof/>
                <w:sz w:val="18"/>
              </w:rPr>
              <w:t>ZATWIERDZONE ŚRODKI</w:t>
            </w:r>
          </w:p>
        </w:tc>
        <w:tc>
          <w:tcPr>
            <w:tcW w:w="498" w:type="pct"/>
            <w:tcBorders>
              <w:top w:val="single" w:sz="8" w:space="0" w:color="auto"/>
              <w:left w:val="nil"/>
              <w:bottom w:val="single" w:sz="8" w:space="0" w:color="auto"/>
              <w:right w:val="single" w:sz="8" w:space="0" w:color="auto"/>
            </w:tcBorders>
            <w:vAlign w:val="center"/>
            <w:hideMark/>
          </w:tcPr>
          <w:p w14:paraId="4B5EA657" w14:textId="77777777" w:rsidR="00BB1D70" w:rsidRPr="00FA433F" w:rsidRDefault="00BB1D70" w:rsidP="00BB1D70">
            <w:pPr>
              <w:spacing w:before="0" w:after="0"/>
              <w:jc w:val="center"/>
              <w:rPr>
                <w:noProof/>
                <w:sz w:val="18"/>
                <w:szCs w:val="18"/>
              </w:rPr>
            </w:pPr>
            <w:r w:rsidRPr="00FA433F">
              <w:rPr>
                <w:noProof/>
                <w:sz w:val="18"/>
              </w:rPr>
              <w:t>Rok</w:t>
            </w:r>
          </w:p>
        </w:tc>
        <w:tc>
          <w:tcPr>
            <w:tcW w:w="498" w:type="pct"/>
            <w:tcBorders>
              <w:top w:val="single" w:sz="8" w:space="0" w:color="auto"/>
              <w:left w:val="nil"/>
              <w:bottom w:val="single" w:sz="8" w:space="0" w:color="auto"/>
              <w:right w:val="single" w:sz="8" w:space="0" w:color="auto"/>
            </w:tcBorders>
            <w:vAlign w:val="center"/>
            <w:hideMark/>
          </w:tcPr>
          <w:p w14:paraId="09203AD0" w14:textId="77777777" w:rsidR="00BB1D70" w:rsidRPr="00FA433F" w:rsidRDefault="00BB1D70" w:rsidP="00BB1D70">
            <w:pPr>
              <w:spacing w:before="0" w:after="0"/>
              <w:jc w:val="center"/>
              <w:rPr>
                <w:noProof/>
                <w:sz w:val="18"/>
                <w:szCs w:val="18"/>
              </w:rPr>
            </w:pPr>
            <w:r w:rsidRPr="00FA433F">
              <w:rPr>
                <w:noProof/>
                <w:sz w:val="18"/>
              </w:rPr>
              <w:t>Rok</w:t>
            </w:r>
          </w:p>
        </w:tc>
        <w:tc>
          <w:tcPr>
            <w:tcW w:w="498" w:type="pct"/>
            <w:tcBorders>
              <w:top w:val="single" w:sz="8" w:space="0" w:color="auto"/>
              <w:left w:val="nil"/>
              <w:bottom w:val="single" w:sz="8" w:space="0" w:color="auto"/>
              <w:right w:val="single" w:sz="4" w:space="0" w:color="auto"/>
            </w:tcBorders>
            <w:vAlign w:val="center"/>
            <w:hideMark/>
          </w:tcPr>
          <w:p w14:paraId="347D03EC" w14:textId="77777777" w:rsidR="00BB1D70" w:rsidRPr="00FA433F" w:rsidRDefault="00BB1D70" w:rsidP="00BB1D70">
            <w:pPr>
              <w:spacing w:before="0" w:after="0"/>
              <w:jc w:val="center"/>
              <w:rPr>
                <w:noProof/>
                <w:sz w:val="18"/>
                <w:szCs w:val="18"/>
              </w:rPr>
            </w:pPr>
            <w:r w:rsidRPr="00FA433F">
              <w:rPr>
                <w:noProof/>
                <w:sz w:val="18"/>
              </w:rPr>
              <w:t>Rok</w:t>
            </w:r>
          </w:p>
        </w:tc>
        <w:tc>
          <w:tcPr>
            <w:tcW w:w="498" w:type="pct"/>
            <w:tcBorders>
              <w:top w:val="single" w:sz="4" w:space="0" w:color="auto"/>
              <w:left w:val="single" w:sz="4" w:space="0" w:color="auto"/>
              <w:bottom w:val="single" w:sz="8" w:space="0" w:color="auto"/>
              <w:right w:val="single" w:sz="4" w:space="0" w:color="auto"/>
            </w:tcBorders>
            <w:vAlign w:val="center"/>
          </w:tcPr>
          <w:p w14:paraId="3B0C3DB7" w14:textId="77777777" w:rsidR="00BB1D70" w:rsidRPr="00FA433F" w:rsidRDefault="00BB1D70" w:rsidP="00BB1D70">
            <w:pPr>
              <w:spacing w:before="0" w:after="0"/>
              <w:jc w:val="center"/>
              <w:rPr>
                <w:noProof/>
                <w:sz w:val="18"/>
                <w:szCs w:val="18"/>
              </w:rPr>
            </w:pPr>
            <w:r w:rsidRPr="00FA433F">
              <w:rPr>
                <w:noProof/>
                <w:sz w:val="18"/>
              </w:rPr>
              <w:t>Rok</w:t>
            </w:r>
          </w:p>
        </w:tc>
        <w:tc>
          <w:tcPr>
            <w:tcW w:w="498" w:type="pct"/>
            <w:tcBorders>
              <w:top w:val="single" w:sz="8" w:space="0" w:color="auto"/>
              <w:left w:val="single" w:sz="4" w:space="0" w:color="auto"/>
              <w:bottom w:val="single" w:sz="8" w:space="0" w:color="auto"/>
              <w:right w:val="single" w:sz="8" w:space="0" w:color="auto"/>
            </w:tcBorders>
            <w:vAlign w:val="center"/>
            <w:hideMark/>
          </w:tcPr>
          <w:p w14:paraId="5FA86C2C" w14:textId="77777777" w:rsidR="00BB1D70" w:rsidRPr="00FA433F" w:rsidRDefault="00BB1D70" w:rsidP="00BB1D70">
            <w:pPr>
              <w:spacing w:before="0" w:after="0"/>
              <w:jc w:val="center"/>
              <w:rPr>
                <w:noProof/>
                <w:sz w:val="18"/>
                <w:szCs w:val="18"/>
              </w:rPr>
            </w:pPr>
            <w:r w:rsidRPr="00FA433F">
              <w:rPr>
                <w:noProof/>
                <w:sz w:val="18"/>
              </w:rPr>
              <w:t>Rok</w:t>
            </w:r>
          </w:p>
        </w:tc>
        <w:tc>
          <w:tcPr>
            <w:tcW w:w="558" w:type="pct"/>
            <w:vMerge w:val="restart"/>
            <w:tcBorders>
              <w:top w:val="single" w:sz="8" w:space="0" w:color="auto"/>
              <w:left w:val="single" w:sz="8" w:space="0" w:color="auto"/>
              <w:bottom w:val="single" w:sz="8" w:space="0" w:color="auto"/>
              <w:right w:val="single" w:sz="8" w:space="0" w:color="auto"/>
            </w:tcBorders>
            <w:vAlign w:val="center"/>
            <w:hideMark/>
          </w:tcPr>
          <w:p w14:paraId="5B4AB3E4" w14:textId="77777777" w:rsidR="00BB1D70" w:rsidRPr="00FA433F" w:rsidRDefault="00BB1D70" w:rsidP="00BB1D70">
            <w:pPr>
              <w:spacing w:before="0" w:after="0"/>
              <w:jc w:val="center"/>
              <w:rPr>
                <w:b/>
                <w:bCs/>
                <w:noProof/>
                <w:sz w:val="18"/>
                <w:szCs w:val="18"/>
              </w:rPr>
            </w:pPr>
            <w:r w:rsidRPr="00FA433F">
              <w:rPr>
                <w:b/>
                <w:noProof/>
                <w:sz w:val="18"/>
              </w:rPr>
              <w:t>OGÓŁEM 2026–2030</w:t>
            </w:r>
          </w:p>
        </w:tc>
      </w:tr>
      <w:tr w:rsidR="00BB1D70" w:rsidRPr="00FA433F" w14:paraId="42A72F36" w14:textId="77777777" w:rsidTr="00EA3058">
        <w:trPr>
          <w:trHeight w:val="300"/>
        </w:trPr>
        <w:tc>
          <w:tcPr>
            <w:tcW w:w="1952" w:type="pct"/>
            <w:gridSpan w:val="2"/>
            <w:vMerge/>
            <w:tcBorders>
              <w:top w:val="single" w:sz="8" w:space="0" w:color="auto"/>
              <w:left w:val="single" w:sz="8" w:space="0" w:color="auto"/>
              <w:bottom w:val="single" w:sz="8" w:space="0" w:color="auto"/>
              <w:right w:val="single" w:sz="8" w:space="0" w:color="auto"/>
            </w:tcBorders>
            <w:vAlign w:val="center"/>
            <w:hideMark/>
          </w:tcPr>
          <w:p w14:paraId="59804FAF" w14:textId="77777777" w:rsidR="00BB1D70" w:rsidRPr="00FA433F" w:rsidRDefault="00BB1D70" w:rsidP="00BB1D70">
            <w:pPr>
              <w:spacing w:before="0" w:after="0"/>
              <w:jc w:val="left"/>
              <w:rPr>
                <w:b/>
                <w:bCs/>
                <w:noProof/>
                <w:sz w:val="18"/>
                <w:szCs w:val="18"/>
                <w:lang w:eastAsia="en-IE"/>
              </w:rPr>
            </w:pPr>
          </w:p>
        </w:tc>
        <w:tc>
          <w:tcPr>
            <w:tcW w:w="498" w:type="pct"/>
            <w:tcBorders>
              <w:top w:val="nil"/>
              <w:left w:val="nil"/>
              <w:bottom w:val="single" w:sz="8" w:space="0" w:color="auto"/>
              <w:right w:val="single" w:sz="8" w:space="0" w:color="auto"/>
            </w:tcBorders>
            <w:vAlign w:val="center"/>
            <w:hideMark/>
          </w:tcPr>
          <w:p w14:paraId="2A7DD926" w14:textId="77777777" w:rsidR="00BB1D70" w:rsidRPr="00FA433F" w:rsidRDefault="00BB1D70" w:rsidP="00BB1D70">
            <w:pPr>
              <w:spacing w:before="0" w:after="0"/>
              <w:jc w:val="center"/>
              <w:rPr>
                <w:b/>
                <w:bCs/>
                <w:noProof/>
                <w:sz w:val="18"/>
                <w:szCs w:val="18"/>
              </w:rPr>
            </w:pPr>
            <w:r w:rsidRPr="00FA433F">
              <w:rPr>
                <w:b/>
                <w:noProof/>
                <w:sz w:val="18"/>
              </w:rPr>
              <w:t>2026</w:t>
            </w:r>
          </w:p>
        </w:tc>
        <w:tc>
          <w:tcPr>
            <w:tcW w:w="498" w:type="pct"/>
            <w:tcBorders>
              <w:top w:val="nil"/>
              <w:left w:val="nil"/>
              <w:bottom w:val="single" w:sz="8" w:space="0" w:color="auto"/>
              <w:right w:val="single" w:sz="8" w:space="0" w:color="auto"/>
            </w:tcBorders>
            <w:vAlign w:val="center"/>
            <w:hideMark/>
          </w:tcPr>
          <w:p w14:paraId="390041D9" w14:textId="77777777" w:rsidR="00BB1D70" w:rsidRPr="00FA433F" w:rsidRDefault="00BB1D70" w:rsidP="00BB1D70">
            <w:pPr>
              <w:spacing w:before="0" w:after="0"/>
              <w:jc w:val="center"/>
              <w:rPr>
                <w:b/>
                <w:bCs/>
                <w:noProof/>
                <w:sz w:val="18"/>
                <w:szCs w:val="18"/>
              </w:rPr>
            </w:pPr>
            <w:r w:rsidRPr="00FA433F">
              <w:rPr>
                <w:b/>
                <w:noProof/>
                <w:sz w:val="18"/>
              </w:rPr>
              <w:t>2027</w:t>
            </w:r>
          </w:p>
        </w:tc>
        <w:tc>
          <w:tcPr>
            <w:tcW w:w="498" w:type="pct"/>
            <w:tcBorders>
              <w:top w:val="nil"/>
              <w:left w:val="nil"/>
              <w:bottom w:val="single" w:sz="8" w:space="0" w:color="auto"/>
              <w:right w:val="single" w:sz="4" w:space="0" w:color="auto"/>
            </w:tcBorders>
            <w:vAlign w:val="center"/>
            <w:hideMark/>
          </w:tcPr>
          <w:p w14:paraId="59EB00C4" w14:textId="77777777" w:rsidR="00BB1D70" w:rsidRPr="00FA433F" w:rsidRDefault="00BB1D70" w:rsidP="00BB1D70">
            <w:pPr>
              <w:spacing w:before="0" w:after="0"/>
              <w:jc w:val="center"/>
              <w:rPr>
                <w:b/>
                <w:bCs/>
                <w:noProof/>
                <w:sz w:val="18"/>
                <w:szCs w:val="18"/>
              </w:rPr>
            </w:pPr>
            <w:r w:rsidRPr="00FA433F">
              <w:rPr>
                <w:b/>
                <w:noProof/>
                <w:sz w:val="18"/>
              </w:rPr>
              <w:t>2028</w:t>
            </w:r>
          </w:p>
        </w:tc>
        <w:tc>
          <w:tcPr>
            <w:tcW w:w="498" w:type="pct"/>
            <w:tcBorders>
              <w:top w:val="nil"/>
              <w:left w:val="single" w:sz="4" w:space="0" w:color="auto"/>
              <w:bottom w:val="single" w:sz="8" w:space="0" w:color="auto"/>
              <w:right w:val="single" w:sz="4" w:space="0" w:color="auto"/>
            </w:tcBorders>
            <w:vAlign w:val="center"/>
          </w:tcPr>
          <w:p w14:paraId="27893E5D" w14:textId="77777777" w:rsidR="00BB1D70" w:rsidRPr="00FA433F" w:rsidRDefault="00BB1D70" w:rsidP="00BB1D70">
            <w:pPr>
              <w:spacing w:before="0" w:after="0"/>
              <w:jc w:val="center"/>
              <w:rPr>
                <w:b/>
                <w:bCs/>
                <w:noProof/>
                <w:sz w:val="18"/>
                <w:szCs w:val="18"/>
              </w:rPr>
            </w:pPr>
            <w:r w:rsidRPr="00FA433F">
              <w:rPr>
                <w:b/>
                <w:noProof/>
                <w:sz w:val="18"/>
              </w:rPr>
              <w:t>2029</w:t>
            </w:r>
          </w:p>
        </w:tc>
        <w:tc>
          <w:tcPr>
            <w:tcW w:w="498" w:type="pct"/>
            <w:tcBorders>
              <w:top w:val="nil"/>
              <w:left w:val="single" w:sz="4" w:space="0" w:color="auto"/>
              <w:bottom w:val="single" w:sz="8" w:space="0" w:color="auto"/>
              <w:right w:val="single" w:sz="8" w:space="0" w:color="auto"/>
            </w:tcBorders>
            <w:vAlign w:val="center"/>
            <w:hideMark/>
          </w:tcPr>
          <w:p w14:paraId="572A437C" w14:textId="77777777" w:rsidR="00BB1D70" w:rsidRPr="00FA433F" w:rsidRDefault="00BB1D70" w:rsidP="00BB1D70">
            <w:pPr>
              <w:spacing w:before="0" w:after="0"/>
              <w:jc w:val="center"/>
              <w:rPr>
                <w:b/>
                <w:bCs/>
                <w:noProof/>
                <w:sz w:val="18"/>
                <w:szCs w:val="18"/>
              </w:rPr>
            </w:pPr>
            <w:r w:rsidRPr="00FA433F">
              <w:rPr>
                <w:b/>
                <w:noProof/>
                <w:sz w:val="18"/>
              </w:rPr>
              <w:t>2030</w:t>
            </w:r>
          </w:p>
        </w:tc>
        <w:tc>
          <w:tcPr>
            <w:tcW w:w="558" w:type="pct"/>
            <w:vMerge/>
            <w:tcBorders>
              <w:top w:val="single" w:sz="8" w:space="0" w:color="auto"/>
              <w:left w:val="single" w:sz="8" w:space="0" w:color="auto"/>
              <w:bottom w:val="single" w:sz="8" w:space="0" w:color="auto"/>
              <w:right w:val="single" w:sz="8" w:space="0" w:color="auto"/>
            </w:tcBorders>
            <w:vAlign w:val="center"/>
            <w:hideMark/>
          </w:tcPr>
          <w:p w14:paraId="0B6BD3C0" w14:textId="77777777" w:rsidR="00BB1D70" w:rsidRPr="00FA433F" w:rsidRDefault="00BB1D70" w:rsidP="00BB1D70">
            <w:pPr>
              <w:spacing w:before="0" w:after="0"/>
              <w:jc w:val="left"/>
              <w:rPr>
                <w:b/>
                <w:bCs/>
                <w:noProof/>
                <w:sz w:val="18"/>
                <w:szCs w:val="18"/>
                <w:lang w:eastAsia="en-IE"/>
              </w:rPr>
            </w:pPr>
          </w:p>
        </w:tc>
      </w:tr>
      <w:tr w:rsidR="00BB1D70" w:rsidRPr="00FA433F" w14:paraId="100AD54A" w14:textId="77777777" w:rsidTr="00BB1D70">
        <w:trPr>
          <w:trHeight w:val="300"/>
        </w:trPr>
        <w:tc>
          <w:tcPr>
            <w:tcW w:w="498" w:type="pct"/>
            <w:tcBorders>
              <w:top w:val="single" w:sz="8" w:space="0" w:color="auto"/>
              <w:left w:val="single" w:sz="8" w:space="0" w:color="auto"/>
              <w:bottom w:val="single" w:sz="8" w:space="0" w:color="auto"/>
              <w:right w:val="single" w:sz="4" w:space="0" w:color="auto"/>
            </w:tcBorders>
          </w:tcPr>
          <w:p w14:paraId="22CB08E1" w14:textId="77777777" w:rsidR="00BB1D70" w:rsidRPr="00FA433F" w:rsidRDefault="00BB1D70">
            <w:pPr>
              <w:spacing w:before="0" w:after="0"/>
              <w:jc w:val="left"/>
              <w:rPr>
                <w:b/>
                <w:bCs/>
                <w:noProof/>
                <w:sz w:val="16"/>
                <w:szCs w:val="16"/>
                <w:lang w:eastAsia="en-IE"/>
              </w:rPr>
            </w:pPr>
          </w:p>
        </w:tc>
        <w:tc>
          <w:tcPr>
            <w:tcW w:w="4502" w:type="pct"/>
            <w:gridSpan w:val="7"/>
            <w:tcBorders>
              <w:top w:val="single" w:sz="8" w:space="0" w:color="auto"/>
              <w:left w:val="single" w:sz="4" w:space="0" w:color="auto"/>
              <w:bottom w:val="single" w:sz="8" w:space="0" w:color="auto"/>
              <w:right w:val="single" w:sz="4" w:space="0" w:color="auto"/>
            </w:tcBorders>
            <w:vAlign w:val="center"/>
            <w:hideMark/>
          </w:tcPr>
          <w:p w14:paraId="6220668B" w14:textId="77777777" w:rsidR="00BB1D70" w:rsidRPr="00FA433F" w:rsidRDefault="00BB1D70">
            <w:pPr>
              <w:spacing w:before="0" w:after="0"/>
              <w:jc w:val="left"/>
              <w:rPr>
                <w:b/>
                <w:bCs/>
                <w:noProof/>
                <w:sz w:val="16"/>
                <w:szCs w:val="16"/>
              </w:rPr>
            </w:pPr>
            <w:r w:rsidRPr="00FA433F">
              <w:rPr>
                <w:b/>
                <w:noProof/>
                <w:sz w:val="16"/>
              </w:rPr>
              <w:t>DZIAŁ 7</w:t>
            </w:r>
          </w:p>
        </w:tc>
      </w:tr>
      <w:tr w:rsidR="00F34BD4" w:rsidRPr="00FA433F" w14:paraId="2F11888F" w14:textId="77777777" w:rsidTr="00EA3058">
        <w:trPr>
          <w:trHeight w:val="300"/>
        </w:trPr>
        <w:tc>
          <w:tcPr>
            <w:tcW w:w="1952" w:type="pct"/>
            <w:gridSpan w:val="2"/>
            <w:tcBorders>
              <w:top w:val="nil"/>
              <w:left w:val="single" w:sz="8" w:space="0" w:color="auto"/>
              <w:bottom w:val="single" w:sz="8" w:space="0" w:color="auto"/>
              <w:right w:val="single" w:sz="8" w:space="0" w:color="auto"/>
            </w:tcBorders>
            <w:vAlign w:val="center"/>
            <w:hideMark/>
          </w:tcPr>
          <w:p w14:paraId="0AA535DA" w14:textId="77777777" w:rsidR="00F34BD4" w:rsidRPr="00FA433F" w:rsidRDefault="00F34BD4" w:rsidP="00F34BD4">
            <w:pPr>
              <w:spacing w:before="0" w:after="0"/>
              <w:jc w:val="left"/>
              <w:rPr>
                <w:noProof/>
                <w:sz w:val="16"/>
                <w:szCs w:val="16"/>
              </w:rPr>
            </w:pPr>
            <w:r w:rsidRPr="00FA433F">
              <w:rPr>
                <w:noProof/>
                <w:sz w:val="16"/>
              </w:rPr>
              <w:t xml:space="preserve">Zasoby ludzkie </w:t>
            </w:r>
          </w:p>
        </w:tc>
        <w:tc>
          <w:tcPr>
            <w:tcW w:w="498" w:type="pct"/>
            <w:tcBorders>
              <w:top w:val="nil"/>
              <w:left w:val="nil"/>
              <w:bottom w:val="single" w:sz="8" w:space="0" w:color="auto"/>
              <w:right w:val="single" w:sz="8" w:space="0" w:color="auto"/>
            </w:tcBorders>
            <w:shd w:val="clear" w:color="000000" w:fill="D9D9D9"/>
            <w:vAlign w:val="center"/>
            <w:hideMark/>
          </w:tcPr>
          <w:p w14:paraId="7F0FA7FC" w14:textId="77777777" w:rsidR="00F34BD4" w:rsidRPr="00FA433F" w:rsidRDefault="00A74BB3" w:rsidP="00F34BD4">
            <w:pPr>
              <w:spacing w:before="0" w:after="0"/>
              <w:jc w:val="right"/>
              <w:rPr>
                <w:noProof/>
                <w:sz w:val="16"/>
                <w:szCs w:val="16"/>
              </w:rPr>
            </w:pPr>
            <w:r w:rsidRPr="00FA433F">
              <w:rPr>
                <w:noProof/>
                <w:sz w:val="16"/>
              </w:rPr>
              <w:t>0,808</w:t>
            </w:r>
          </w:p>
        </w:tc>
        <w:tc>
          <w:tcPr>
            <w:tcW w:w="498" w:type="pct"/>
            <w:tcBorders>
              <w:top w:val="nil"/>
              <w:left w:val="nil"/>
              <w:bottom w:val="single" w:sz="8" w:space="0" w:color="auto"/>
              <w:right w:val="single" w:sz="8" w:space="0" w:color="auto"/>
            </w:tcBorders>
            <w:shd w:val="clear" w:color="000000" w:fill="D9D9D9"/>
            <w:vAlign w:val="center"/>
            <w:hideMark/>
          </w:tcPr>
          <w:p w14:paraId="16AC6CCE" w14:textId="77777777" w:rsidR="00F34BD4" w:rsidRPr="00FA433F" w:rsidRDefault="00F34BD4" w:rsidP="00F34BD4">
            <w:pPr>
              <w:spacing w:before="0" w:after="0"/>
              <w:jc w:val="right"/>
              <w:rPr>
                <w:noProof/>
                <w:sz w:val="16"/>
                <w:szCs w:val="16"/>
              </w:rPr>
            </w:pPr>
            <w:r w:rsidRPr="00FA433F">
              <w:rPr>
                <w:noProof/>
                <w:sz w:val="16"/>
              </w:rPr>
              <w:t>0,909</w:t>
            </w:r>
          </w:p>
        </w:tc>
        <w:tc>
          <w:tcPr>
            <w:tcW w:w="498" w:type="pct"/>
            <w:tcBorders>
              <w:top w:val="nil"/>
              <w:left w:val="nil"/>
              <w:bottom w:val="single" w:sz="8" w:space="0" w:color="auto"/>
              <w:right w:val="single" w:sz="4" w:space="0" w:color="auto"/>
            </w:tcBorders>
            <w:shd w:val="clear" w:color="000000" w:fill="D9D9D9"/>
            <w:vAlign w:val="center"/>
            <w:hideMark/>
          </w:tcPr>
          <w:p w14:paraId="6FD6D0DB"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single" w:sz="4" w:space="0" w:color="auto"/>
              <w:bottom w:val="single" w:sz="8" w:space="0" w:color="auto"/>
              <w:right w:val="single" w:sz="4" w:space="0" w:color="auto"/>
            </w:tcBorders>
            <w:shd w:val="clear" w:color="000000" w:fill="D9D9D9"/>
            <w:vAlign w:val="center"/>
          </w:tcPr>
          <w:p w14:paraId="1F176057"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single" w:sz="4" w:space="0" w:color="auto"/>
              <w:bottom w:val="single" w:sz="8" w:space="0" w:color="auto"/>
              <w:right w:val="single" w:sz="8" w:space="0" w:color="auto"/>
            </w:tcBorders>
            <w:shd w:val="clear" w:color="000000" w:fill="D9D9D9"/>
            <w:vAlign w:val="center"/>
            <w:hideMark/>
          </w:tcPr>
          <w:p w14:paraId="5ED7A9F8" w14:textId="77777777" w:rsidR="00F34BD4" w:rsidRPr="00FA433F" w:rsidRDefault="00F34BD4" w:rsidP="00F34BD4">
            <w:pPr>
              <w:spacing w:before="0" w:after="0"/>
              <w:jc w:val="right"/>
              <w:rPr>
                <w:noProof/>
                <w:sz w:val="16"/>
                <w:szCs w:val="16"/>
              </w:rPr>
            </w:pPr>
            <w:r w:rsidRPr="00FA433F">
              <w:rPr>
                <w:noProof/>
                <w:sz w:val="16"/>
              </w:rPr>
              <w:t>0,000</w:t>
            </w:r>
          </w:p>
        </w:tc>
        <w:tc>
          <w:tcPr>
            <w:tcW w:w="558" w:type="pct"/>
            <w:tcBorders>
              <w:top w:val="nil"/>
              <w:left w:val="nil"/>
              <w:bottom w:val="single" w:sz="8" w:space="0" w:color="auto"/>
              <w:right w:val="single" w:sz="8" w:space="0" w:color="auto"/>
            </w:tcBorders>
            <w:shd w:val="clear" w:color="000000" w:fill="D9D9D9"/>
            <w:vAlign w:val="center"/>
            <w:hideMark/>
          </w:tcPr>
          <w:p w14:paraId="12A06A0F" w14:textId="77777777" w:rsidR="00F34BD4" w:rsidRPr="00FA433F" w:rsidRDefault="009C0F78" w:rsidP="00F34BD4">
            <w:pPr>
              <w:spacing w:before="0" w:after="0"/>
              <w:jc w:val="right"/>
              <w:rPr>
                <w:b/>
                <w:bCs/>
                <w:noProof/>
                <w:sz w:val="16"/>
                <w:szCs w:val="16"/>
              </w:rPr>
            </w:pPr>
            <w:r w:rsidRPr="00FA433F">
              <w:rPr>
                <w:b/>
                <w:noProof/>
                <w:sz w:val="16"/>
              </w:rPr>
              <w:t>1,717</w:t>
            </w:r>
          </w:p>
        </w:tc>
      </w:tr>
      <w:tr w:rsidR="00F34BD4" w:rsidRPr="00FA433F" w14:paraId="0B258002" w14:textId="77777777" w:rsidTr="00EA3058">
        <w:trPr>
          <w:trHeight w:val="300"/>
        </w:trPr>
        <w:tc>
          <w:tcPr>
            <w:tcW w:w="1952" w:type="pct"/>
            <w:gridSpan w:val="2"/>
            <w:tcBorders>
              <w:top w:val="nil"/>
              <w:left w:val="single" w:sz="8" w:space="0" w:color="auto"/>
              <w:bottom w:val="single" w:sz="8" w:space="0" w:color="auto"/>
              <w:right w:val="single" w:sz="8" w:space="0" w:color="auto"/>
            </w:tcBorders>
            <w:vAlign w:val="center"/>
            <w:hideMark/>
          </w:tcPr>
          <w:p w14:paraId="4EB097E3" w14:textId="77777777" w:rsidR="00F34BD4" w:rsidRPr="00FA433F" w:rsidRDefault="00F34BD4" w:rsidP="00F34BD4">
            <w:pPr>
              <w:spacing w:before="0" w:after="0"/>
              <w:jc w:val="left"/>
              <w:rPr>
                <w:noProof/>
                <w:sz w:val="16"/>
                <w:szCs w:val="16"/>
              </w:rPr>
            </w:pPr>
            <w:r w:rsidRPr="00FA433F">
              <w:rPr>
                <w:noProof/>
                <w:sz w:val="16"/>
              </w:rPr>
              <w:t xml:space="preserve">Pozostałe wydatki administracyjne </w:t>
            </w:r>
          </w:p>
        </w:tc>
        <w:tc>
          <w:tcPr>
            <w:tcW w:w="498" w:type="pct"/>
            <w:tcBorders>
              <w:top w:val="nil"/>
              <w:left w:val="nil"/>
              <w:bottom w:val="single" w:sz="8" w:space="0" w:color="auto"/>
              <w:right w:val="single" w:sz="8" w:space="0" w:color="auto"/>
            </w:tcBorders>
            <w:shd w:val="clear" w:color="000000" w:fill="D9D9D9"/>
            <w:vAlign w:val="center"/>
            <w:hideMark/>
          </w:tcPr>
          <w:p w14:paraId="67BFB34F" w14:textId="77777777" w:rsidR="00F34BD4" w:rsidRPr="00FA433F" w:rsidRDefault="00F34BD4" w:rsidP="00F34BD4">
            <w:pPr>
              <w:spacing w:before="0" w:after="0"/>
              <w:jc w:val="right"/>
              <w:rPr>
                <w:noProof/>
                <w:sz w:val="16"/>
                <w:szCs w:val="16"/>
              </w:rPr>
            </w:pPr>
            <w:r w:rsidRPr="00FA433F">
              <w:rPr>
                <w:noProof/>
                <w:sz w:val="16"/>
              </w:rPr>
              <w:t>0,200</w:t>
            </w:r>
          </w:p>
        </w:tc>
        <w:tc>
          <w:tcPr>
            <w:tcW w:w="498" w:type="pct"/>
            <w:tcBorders>
              <w:top w:val="nil"/>
              <w:left w:val="nil"/>
              <w:bottom w:val="single" w:sz="8" w:space="0" w:color="auto"/>
              <w:right w:val="single" w:sz="8" w:space="0" w:color="auto"/>
            </w:tcBorders>
            <w:shd w:val="clear" w:color="000000" w:fill="D9D9D9"/>
            <w:vAlign w:val="center"/>
            <w:hideMark/>
          </w:tcPr>
          <w:p w14:paraId="404EC15B" w14:textId="77777777" w:rsidR="00F34BD4" w:rsidRPr="00FA433F" w:rsidRDefault="00F34BD4" w:rsidP="00F34BD4">
            <w:pPr>
              <w:spacing w:before="0" w:after="0"/>
              <w:jc w:val="right"/>
              <w:rPr>
                <w:noProof/>
                <w:sz w:val="16"/>
                <w:szCs w:val="16"/>
              </w:rPr>
            </w:pPr>
            <w:r w:rsidRPr="00FA433F">
              <w:rPr>
                <w:noProof/>
                <w:sz w:val="16"/>
              </w:rPr>
              <w:t>0,200</w:t>
            </w:r>
          </w:p>
        </w:tc>
        <w:tc>
          <w:tcPr>
            <w:tcW w:w="498" w:type="pct"/>
            <w:tcBorders>
              <w:top w:val="nil"/>
              <w:left w:val="nil"/>
              <w:bottom w:val="single" w:sz="8" w:space="0" w:color="auto"/>
              <w:right w:val="single" w:sz="4" w:space="0" w:color="auto"/>
            </w:tcBorders>
            <w:shd w:val="clear" w:color="000000" w:fill="D9D9D9"/>
            <w:vAlign w:val="center"/>
            <w:hideMark/>
          </w:tcPr>
          <w:p w14:paraId="285C89DD"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single" w:sz="4" w:space="0" w:color="auto"/>
              <w:bottom w:val="single" w:sz="8" w:space="0" w:color="auto"/>
              <w:right w:val="single" w:sz="4" w:space="0" w:color="auto"/>
            </w:tcBorders>
            <w:shd w:val="clear" w:color="000000" w:fill="D9D9D9"/>
            <w:vAlign w:val="center"/>
          </w:tcPr>
          <w:p w14:paraId="0121B9E8"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single" w:sz="4" w:space="0" w:color="auto"/>
              <w:bottom w:val="single" w:sz="8" w:space="0" w:color="auto"/>
              <w:right w:val="single" w:sz="8" w:space="0" w:color="auto"/>
            </w:tcBorders>
            <w:shd w:val="clear" w:color="000000" w:fill="D9D9D9"/>
            <w:vAlign w:val="center"/>
            <w:hideMark/>
          </w:tcPr>
          <w:p w14:paraId="05E5ABDD" w14:textId="77777777" w:rsidR="00F34BD4" w:rsidRPr="00FA433F" w:rsidRDefault="00F34BD4" w:rsidP="00F34BD4">
            <w:pPr>
              <w:spacing w:before="0" w:after="0"/>
              <w:jc w:val="right"/>
              <w:rPr>
                <w:noProof/>
                <w:sz w:val="16"/>
                <w:szCs w:val="16"/>
              </w:rPr>
            </w:pPr>
            <w:r w:rsidRPr="00FA433F">
              <w:rPr>
                <w:noProof/>
                <w:sz w:val="16"/>
              </w:rPr>
              <w:t>0,000</w:t>
            </w:r>
          </w:p>
        </w:tc>
        <w:tc>
          <w:tcPr>
            <w:tcW w:w="558" w:type="pct"/>
            <w:tcBorders>
              <w:top w:val="nil"/>
              <w:left w:val="nil"/>
              <w:bottom w:val="single" w:sz="8" w:space="0" w:color="auto"/>
              <w:right w:val="single" w:sz="8" w:space="0" w:color="auto"/>
            </w:tcBorders>
            <w:shd w:val="clear" w:color="000000" w:fill="D9D9D9"/>
            <w:vAlign w:val="center"/>
            <w:hideMark/>
          </w:tcPr>
          <w:p w14:paraId="56FEE1B3" w14:textId="77777777" w:rsidR="00F34BD4" w:rsidRPr="00FA433F" w:rsidRDefault="00F34BD4" w:rsidP="00F34BD4">
            <w:pPr>
              <w:spacing w:before="0" w:after="0"/>
              <w:jc w:val="right"/>
              <w:rPr>
                <w:b/>
                <w:bCs/>
                <w:noProof/>
                <w:sz w:val="16"/>
                <w:szCs w:val="16"/>
              </w:rPr>
            </w:pPr>
            <w:r w:rsidRPr="00FA433F">
              <w:rPr>
                <w:b/>
                <w:noProof/>
                <w:sz w:val="16"/>
              </w:rPr>
              <w:t>0,400</w:t>
            </w:r>
          </w:p>
        </w:tc>
      </w:tr>
      <w:tr w:rsidR="00F34BD4" w:rsidRPr="00FA433F" w14:paraId="2F3E01FA" w14:textId="77777777">
        <w:trPr>
          <w:trHeight w:val="300"/>
        </w:trPr>
        <w:tc>
          <w:tcPr>
            <w:tcW w:w="1952" w:type="pct"/>
            <w:gridSpan w:val="2"/>
            <w:tcBorders>
              <w:top w:val="nil"/>
              <w:left w:val="single" w:sz="8" w:space="0" w:color="auto"/>
              <w:bottom w:val="single" w:sz="8" w:space="0" w:color="auto"/>
              <w:right w:val="single" w:sz="8" w:space="0" w:color="auto"/>
            </w:tcBorders>
            <w:shd w:val="clear" w:color="000000" w:fill="CCCCCC"/>
            <w:vAlign w:val="center"/>
            <w:hideMark/>
          </w:tcPr>
          <w:p w14:paraId="38AC7723" w14:textId="77777777" w:rsidR="00F34BD4" w:rsidRPr="00FA433F" w:rsidRDefault="00F34BD4" w:rsidP="00F34BD4">
            <w:pPr>
              <w:spacing w:before="0" w:after="0"/>
              <w:jc w:val="center"/>
              <w:rPr>
                <w:b/>
                <w:bCs/>
                <w:noProof/>
                <w:sz w:val="16"/>
                <w:szCs w:val="16"/>
              </w:rPr>
            </w:pPr>
            <w:r w:rsidRPr="00FA433F">
              <w:rPr>
                <w:b/>
                <w:noProof/>
                <w:sz w:val="16"/>
              </w:rPr>
              <w:t>Suma cząstkowa DZIAŁ 7</w:t>
            </w:r>
          </w:p>
        </w:tc>
        <w:tc>
          <w:tcPr>
            <w:tcW w:w="498" w:type="pct"/>
            <w:tcBorders>
              <w:top w:val="nil"/>
              <w:left w:val="nil"/>
              <w:bottom w:val="single" w:sz="8" w:space="0" w:color="auto"/>
              <w:right w:val="single" w:sz="8" w:space="0" w:color="auto"/>
            </w:tcBorders>
            <w:shd w:val="clear" w:color="000000" w:fill="D9D9D9"/>
            <w:vAlign w:val="center"/>
            <w:hideMark/>
          </w:tcPr>
          <w:p w14:paraId="4B634C36" w14:textId="77777777" w:rsidR="00F34BD4" w:rsidRPr="00FA433F" w:rsidRDefault="00A74BB3" w:rsidP="00F34BD4">
            <w:pPr>
              <w:spacing w:before="0" w:after="0"/>
              <w:jc w:val="right"/>
              <w:rPr>
                <w:b/>
                <w:bCs/>
                <w:noProof/>
                <w:sz w:val="16"/>
                <w:szCs w:val="16"/>
              </w:rPr>
            </w:pPr>
            <w:r w:rsidRPr="00FA433F">
              <w:rPr>
                <w:b/>
                <w:noProof/>
                <w:sz w:val="16"/>
              </w:rPr>
              <w:t>1,008</w:t>
            </w:r>
          </w:p>
        </w:tc>
        <w:tc>
          <w:tcPr>
            <w:tcW w:w="498" w:type="pct"/>
            <w:tcBorders>
              <w:top w:val="nil"/>
              <w:left w:val="nil"/>
              <w:bottom w:val="single" w:sz="8" w:space="0" w:color="auto"/>
              <w:right w:val="single" w:sz="8" w:space="0" w:color="auto"/>
            </w:tcBorders>
            <w:shd w:val="clear" w:color="000000" w:fill="D9D9D9"/>
            <w:vAlign w:val="center"/>
            <w:hideMark/>
          </w:tcPr>
          <w:p w14:paraId="3B6F8CEF" w14:textId="77777777" w:rsidR="00F34BD4" w:rsidRPr="00FA433F" w:rsidRDefault="00FE0F29" w:rsidP="00F34BD4">
            <w:pPr>
              <w:spacing w:before="0" w:after="0"/>
              <w:jc w:val="right"/>
              <w:rPr>
                <w:b/>
                <w:bCs/>
                <w:noProof/>
                <w:sz w:val="16"/>
                <w:szCs w:val="16"/>
              </w:rPr>
            </w:pPr>
            <w:r w:rsidRPr="00FA433F">
              <w:rPr>
                <w:b/>
                <w:noProof/>
                <w:sz w:val="16"/>
              </w:rPr>
              <w:t>1,109</w:t>
            </w:r>
          </w:p>
        </w:tc>
        <w:tc>
          <w:tcPr>
            <w:tcW w:w="498" w:type="pct"/>
            <w:tcBorders>
              <w:top w:val="nil"/>
              <w:left w:val="nil"/>
              <w:bottom w:val="single" w:sz="8" w:space="0" w:color="auto"/>
              <w:right w:val="single" w:sz="4" w:space="0" w:color="auto"/>
            </w:tcBorders>
            <w:shd w:val="clear" w:color="000000" w:fill="D9D9D9"/>
            <w:vAlign w:val="center"/>
            <w:hideMark/>
          </w:tcPr>
          <w:p w14:paraId="417E7415" w14:textId="77777777" w:rsidR="00F34BD4" w:rsidRPr="00FA433F" w:rsidRDefault="00F34BD4" w:rsidP="00F34BD4">
            <w:pPr>
              <w:spacing w:before="0" w:after="0"/>
              <w:jc w:val="right"/>
              <w:rPr>
                <w:b/>
                <w:bCs/>
                <w:noProof/>
                <w:sz w:val="16"/>
                <w:szCs w:val="16"/>
              </w:rPr>
            </w:pPr>
            <w:r w:rsidRPr="00FA433F">
              <w:rPr>
                <w:b/>
                <w:noProof/>
                <w:sz w:val="16"/>
              </w:rPr>
              <w:t>0,000</w:t>
            </w:r>
          </w:p>
        </w:tc>
        <w:tc>
          <w:tcPr>
            <w:tcW w:w="498" w:type="pct"/>
            <w:tcBorders>
              <w:top w:val="nil"/>
              <w:left w:val="single" w:sz="4" w:space="0" w:color="auto"/>
              <w:bottom w:val="single" w:sz="8" w:space="0" w:color="auto"/>
              <w:right w:val="single" w:sz="4" w:space="0" w:color="auto"/>
            </w:tcBorders>
            <w:shd w:val="clear" w:color="000000" w:fill="D9D9D9"/>
            <w:vAlign w:val="center"/>
          </w:tcPr>
          <w:p w14:paraId="2B381981" w14:textId="77777777" w:rsidR="00F34BD4" w:rsidRPr="00FA433F" w:rsidRDefault="00F34BD4" w:rsidP="00F34BD4">
            <w:pPr>
              <w:spacing w:before="0" w:after="0"/>
              <w:jc w:val="right"/>
              <w:rPr>
                <w:b/>
                <w:bCs/>
                <w:noProof/>
                <w:sz w:val="16"/>
                <w:szCs w:val="16"/>
              </w:rPr>
            </w:pPr>
            <w:r w:rsidRPr="00FA433F">
              <w:rPr>
                <w:b/>
                <w:noProof/>
                <w:sz w:val="16"/>
              </w:rPr>
              <w:t>0,000</w:t>
            </w:r>
          </w:p>
        </w:tc>
        <w:tc>
          <w:tcPr>
            <w:tcW w:w="498" w:type="pct"/>
            <w:tcBorders>
              <w:top w:val="nil"/>
              <w:left w:val="single" w:sz="4" w:space="0" w:color="auto"/>
              <w:bottom w:val="single" w:sz="8" w:space="0" w:color="auto"/>
              <w:right w:val="single" w:sz="8" w:space="0" w:color="auto"/>
            </w:tcBorders>
            <w:shd w:val="clear" w:color="000000" w:fill="D9D9D9"/>
            <w:vAlign w:val="center"/>
            <w:hideMark/>
          </w:tcPr>
          <w:p w14:paraId="22373578" w14:textId="77777777" w:rsidR="00F34BD4" w:rsidRPr="00FA433F" w:rsidRDefault="00F34BD4" w:rsidP="00F34BD4">
            <w:pPr>
              <w:spacing w:before="0" w:after="0"/>
              <w:jc w:val="right"/>
              <w:rPr>
                <w:b/>
                <w:bCs/>
                <w:noProof/>
                <w:sz w:val="16"/>
                <w:szCs w:val="16"/>
              </w:rPr>
            </w:pPr>
            <w:r w:rsidRPr="00FA433F">
              <w:rPr>
                <w:b/>
                <w:noProof/>
                <w:sz w:val="16"/>
              </w:rPr>
              <w:t>0,000</w:t>
            </w:r>
          </w:p>
        </w:tc>
        <w:tc>
          <w:tcPr>
            <w:tcW w:w="558" w:type="pct"/>
            <w:tcBorders>
              <w:top w:val="nil"/>
              <w:left w:val="nil"/>
              <w:bottom w:val="single" w:sz="8" w:space="0" w:color="auto"/>
              <w:right w:val="single" w:sz="8" w:space="0" w:color="auto"/>
            </w:tcBorders>
            <w:shd w:val="clear" w:color="000000" w:fill="D9D9D9"/>
            <w:vAlign w:val="center"/>
            <w:hideMark/>
          </w:tcPr>
          <w:p w14:paraId="3B0AFAA3" w14:textId="77777777" w:rsidR="00F34BD4" w:rsidRPr="00FA433F" w:rsidRDefault="009C0F78" w:rsidP="00F34BD4">
            <w:pPr>
              <w:spacing w:before="0" w:after="0"/>
              <w:jc w:val="right"/>
              <w:rPr>
                <w:b/>
                <w:bCs/>
                <w:noProof/>
                <w:sz w:val="16"/>
                <w:szCs w:val="16"/>
              </w:rPr>
            </w:pPr>
            <w:r w:rsidRPr="00FA433F">
              <w:rPr>
                <w:b/>
                <w:noProof/>
                <w:sz w:val="16"/>
              </w:rPr>
              <w:t>2,117</w:t>
            </w:r>
          </w:p>
        </w:tc>
      </w:tr>
      <w:tr w:rsidR="00BB1D70" w:rsidRPr="00FA433F" w14:paraId="1CB02A80" w14:textId="77777777" w:rsidTr="00BB1D70">
        <w:trPr>
          <w:trHeight w:val="300"/>
        </w:trPr>
        <w:tc>
          <w:tcPr>
            <w:tcW w:w="498" w:type="pct"/>
            <w:tcBorders>
              <w:top w:val="single" w:sz="8" w:space="0" w:color="auto"/>
              <w:left w:val="single" w:sz="8" w:space="0" w:color="auto"/>
              <w:bottom w:val="single" w:sz="8" w:space="0" w:color="auto"/>
              <w:right w:val="single" w:sz="4" w:space="0" w:color="auto"/>
            </w:tcBorders>
          </w:tcPr>
          <w:p w14:paraId="78DEA796" w14:textId="77777777" w:rsidR="00BB1D70" w:rsidRPr="00FA433F" w:rsidRDefault="00BB1D70">
            <w:pPr>
              <w:spacing w:before="0" w:after="0"/>
              <w:jc w:val="left"/>
              <w:rPr>
                <w:b/>
                <w:bCs/>
                <w:noProof/>
                <w:sz w:val="16"/>
                <w:szCs w:val="16"/>
                <w:lang w:eastAsia="en-IE"/>
              </w:rPr>
            </w:pPr>
          </w:p>
        </w:tc>
        <w:tc>
          <w:tcPr>
            <w:tcW w:w="4502" w:type="pct"/>
            <w:gridSpan w:val="7"/>
            <w:tcBorders>
              <w:top w:val="single" w:sz="8" w:space="0" w:color="auto"/>
              <w:left w:val="single" w:sz="4" w:space="0" w:color="auto"/>
              <w:bottom w:val="single" w:sz="8" w:space="0" w:color="auto"/>
              <w:right w:val="single" w:sz="4" w:space="0" w:color="auto"/>
            </w:tcBorders>
            <w:vAlign w:val="center"/>
            <w:hideMark/>
          </w:tcPr>
          <w:p w14:paraId="10D0288C" w14:textId="77777777" w:rsidR="00BB1D70" w:rsidRPr="00FA433F" w:rsidRDefault="00BB1D70">
            <w:pPr>
              <w:spacing w:before="0" w:after="0"/>
              <w:jc w:val="left"/>
              <w:rPr>
                <w:b/>
                <w:bCs/>
                <w:noProof/>
                <w:sz w:val="16"/>
                <w:szCs w:val="16"/>
              </w:rPr>
            </w:pPr>
            <w:r w:rsidRPr="00FA433F">
              <w:rPr>
                <w:b/>
                <w:noProof/>
                <w:sz w:val="16"/>
              </w:rPr>
              <w:t>Poza DZIAŁEM 7</w:t>
            </w:r>
          </w:p>
        </w:tc>
      </w:tr>
      <w:tr w:rsidR="00F34BD4" w:rsidRPr="00FA433F" w14:paraId="6B45AC9A" w14:textId="77777777" w:rsidTr="00EA3058">
        <w:trPr>
          <w:trHeight w:val="300"/>
        </w:trPr>
        <w:tc>
          <w:tcPr>
            <w:tcW w:w="1952" w:type="pct"/>
            <w:gridSpan w:val="2"/>
            <w:tcBorders>
              <w:top w:val="nil"/>
              <w:left w:val="single" w:sz="8" w:space="0" w:color="auto"/>
              <w:bottom w:val="single" w:sz="8" w:space="0" w:color="auto"/>
              <w:right w:val="single" w:sz="8" w:space="0" w:color="auto"/>
            </w:tcBorders>
            <w:vAlign w:val="center"/>
            <w:hideMark/>
          </w:tcPr>
          <w:p w14:paraId="2D5B2759" w14:textId="77777777" w:rsidR="00F34BD4" w:rsidRPr="00FA433F" w:rsidRDefault="00F34BD4" w:rsidP="00F34BD4">
            <w:pPr>
              <w:spacing w:before="0" w:after="0"/>
              <w:jc w:val="left"/>
              <w:rPr>
                <w:noProof/>
                <w:sz w:val="16"/>
                <w:szCs w:val="16"/>
              </w:rPr>
            </w:pPr>
            <w:r w:rsidRPr="00FA433F">
              <w:rPr>
                <w:noProof/>
                <w:sz w:val="16"/>
              </w:rPr>
              <w:t xml:space="preserve">Zasoby ludzkie </w:t>
            </w:r>
          </w:p>
        </w:tc>
        <w:tc>
          <w:tcPr>
            <w:tcW w:w="498" w:type="pct"/>
            <w:tcBorders>
              <w:top w:val="nil"/>
              <w:left w:val="nil"/>
              <w:bottom w:val="single" w:sz="8" w:space="0" w:color="auto"/>
              <w:right w:val="single" w:sz="8" w:space="0" w:color="auto"/>
            </w:tcBorders>
            <w:shd w:val="clear" w:color="000000" w:fill="D9D9D9"/>
            <w:vAlign w:val="center"/>
            <w:hideMark/>
          </w:tcPr>
          <w:p w14:paraId="1D0159AD"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nil"/>
              <w:bottom w:val="single" w:sz="8" w:space="0" w:color="auto"/>
              <w:right w:val="single" w:sz="8" w:space="0" w:color="auto"/>
            </w:tcBorders>
            <w:shd w:val="clear" w:color="000000" w:fill="D9D9D9"/>
            <w:vAlign w:val="center"/>
            <w:hideMark/>
          </w:tcPr>
          <w:p w14:paraId="57D9FB3E"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nil"/>
              <w:bottom w:val="single" w:sz="8" w:space="0" w:color="auto"/>
              <w:right w:val="single" w:sz="4" w:space="0" w:color="auto"/>
            </w:tcBorders>
            <w:shd w:val="clear" w:color="000000" w:fill="D9D9D9"/>
            <w:vAlign w:val="center"/>
            <w:hideMark/>
          </w:tcPr>
          <w:p w14:paraId="6088589B"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single" w:sz="4" w:space="0" w:color="auto"/>
              <w:bottom w:val="single" w:sz="8" w:space="0" w:color="auto"/>
              <w:right w:val="single" w:sz="4" w:space="0" w:color="auto"/>
            </w:tcBorders>
            <w:shd w:val="clear" w:color="000000" w:fill="D9D9D9"/>
            <w:vAlign w:val="center"/>
          </w:tcPr>
          <w:p w14:paraId="69BC1F67"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single" w:sz="4" w:space="0" w:color="auto"/>
              <w:bottom w:val="single" w:sz="8" w:space="0" w:color="auto"/>
              <w:right w:val="single" w:sz="8" w:space="0" w:color="auto"/>
            </w:tcBorders>
            <w:shd w:val="clear" w:color="000000" w:fill="D9D9D9"/>
            <w:vAlign w:val="center"/>
            <w:hideMark/>
          </w:tcPr>
          <w:p w14:paraId="710D9E3D" w14:textId="77777777" w:rsidR="00F34BD4" w:rsidRPr="00FA433F" w:rsidRDefault="00F34BD4" w:rsidP="00F34BD4">
            <w:pPr>
              <w:spacing w:before="0" w:after="0"/>
              <w:jc w:val="right"/>
              <w:rPr>
                <w:noProof/>
                <w:sz w:val="16"/>
                <w:szCs w:val="16"/>
              </w:rPr>
            </w:pPr>
            <w:r w:rsidRPr="00FA433F">
              <w:rPr>
                <w:noProof/>
                <w:sz w:val="16"/>
              </w:rPr>
              <w:t>0,000</w:t>
            </w:r>
          </w:p>
        </w:tc>
        <w:tc>
          <w:tcPr>
            <w:tcW w:w="558" w:type="pct"/>
            <w:tcBorders>
              <w:top w:val="nil"/>
              <w:left w:val="nil"/>
              <w:bottom w:val="single" w:sz="8" w:space="0" w:color="auto"/>
              <w:right w:val="single" w:sz="8" w:space="0" w:color="auto"/>
            </w:tcBorders>
            <w:shd w:val="clear" w:color="000000" w:fill="D9D9D9"/>
            <w:vAlign w:val="center"/>
            <w:hideMark/>
          </w:tcPr>
          <w:p w14:paraId="327C729D" w14:textId="77777777" w:rsidR="00F34BD4" w:rsidRPr="00FA433F" w:rsidRDefault="00F34BD4" w:rsidP="00F34BD4">
            <w:pPr>
              <w:spacing w:before="0" w:after="0"/>
              <w:jc w:val="right"/>
              <w:rPr>
                <w:b/>
                <w:bCs/>
                <w:noProof/>
                <w:sz w:val="16"/>
                <w:szCs w:val="16"/>
              </w:rPr>
            </w:pPr>
            <w:r w:rsidRPr="00FA433F">
              <w:rPr>
                <w:b/>
                <w:noProof/>
                <w:sz w:val="16"/>
              </w:rPr>
              <w:t>0,000</w:t>
            </w:r>
          </w:p>
        </w:tc>
      </w:tr>
      <w:tr w:rsidR="00F34BD4" w:rsidRPr="00FA433F" w14:paraId="30D0827D" w14:textId="77777777" w:rsidTr="00EA3058">
        <w:trPr>
          <w:trHeight w:val="300"/>
        </w:trPr>
        <w:tc>
          <w:tcPr>
            <w:tcW w:w="1952" w:type="pct"/>
            <w:gridSpan w:val="2"/>
            <w:tcBorders>
              <w:top w:val="nil"/>
              <w:left w:val="single" w:sz="8" w:space="0" w:color="auto"/>
              <w:bottom w:val="single" w:sz="8" w:space="0" w:color="auto"/>
              <w:right w:val="single" w:sz="8" w:space="0" w:color="auto"/>
            </w:tcBorders>
            <w:vAlign w:val="center"/>
            <w:hideMark/>
          </w:tcPr>
          <w:p w14:paraId="6AFB794B" w14:textId="74AC3BE5" w:rsidR="00F34BD4" w:rsidRPr="00FA433F" w:rsidRDefault="00F34BD4" w:rsidP="00F34BD4">
            <w:pPr>
              <w:spacing w:before="0" w:after="0"/>
              <w:jc w:val="left"/>
              <w:rPr>
                <w:noProof/>
                <w:sz w:val="16"/>
                <w:szCs w:val="16"/>
              </w:rPr>
            </w:pPr>
            <w:r w:rsidRPr="00FA433F">
              <w:rPr>
                <w:noProof/>
                <w:sz w:val="16"/>
              </w:rPr>
              <w:t>Pozostałe wydatki</w:t>
            </w:r>
            <w:r w:rsidR="00FA433F" w:rsidRPr="00FA433F">
              <w:rPr>
                <w:noProof/>
                <w:sz w:val="16"/>
              </w:rPr>
              <w:t xml:space="preserve"> o</w:t>
            </w:r>
            <w:r w:rsidR="00FA433F">
              <w:rPr>
                <w:noProof/>
                <w:sz w:val="16"/>
              </w:rPr>
              <w:t> </w:t>
            </w:r>
            <w:r w:rsidR="00FA433F" w:rsidRPr="00FA433F">
              <w:rPr>
                <w:noProof/>
                <w:sz w:val="16"/>
              </w:rPr>
              <w:t>cha</w:t>
            </w:r>
            <w:r w:rsidRPr="00FA433F">
              <w:rPr>
                <w:noProof/>
                <w:sz w:val="16"/>
              </w:rPr>
              <w:t>rakterze administracyjnym</w:t>
            </w:r>
          </w:p>
        </w:tc>
        <w:tc>
          <w:tcPr>
            <w:tcW w:w="498" w:type="pct"/>
            <w:tcBorders>
              <w:top w:val="nil"/>
              <w:left w:val="nil"/>
              <w:bottom w:val="single" w:sz="8" w:space="0" w:color="auto"/>
              <w:right w:val="single" w:sz="8" w:space="0" w:color="auto"/>
            </w:tcBorders>
            <w:shd w:val="clear" w:color="000000" w:fill="D9D9D9"/>
            <w:vAlign w:val="center"/>
            <w:hideMark/>
          </w:tcPr>
          <w:p w14:paraId="4C691B12"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nil"/>
              <w:bottom w:val="single" w:sz="8" w:space="0" w:color="auto"/>
              <w:right w:val="single" w:sz="8" w:space="0" w:color="auto"/>
            </w:tcBorders>
            <w:shd w:val="clear" w:color="000000" w:fill="D9D9D9"/>
            <w:vAlign w:val="center"/>
            <w:hideMark/>
          </w:tcPr>
          <w:p w14:paraId="77405FDF"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nil"/>
              <w:bottom w:val="single" w:sz="8" w:space="0" w:color="auto"/>
              <w:right w:val="single" w:sz="4" w:space="0" w:color="auto"/>
            </w:tcBorders>
            <w:shd w:val="clear" w:color="000000" w:fill="D9D9D9"/>
            <w:vAlign w:val="center"/>
            <w:hideMark/>
          </w:tcPr>
          <w:p w14:paraId="7BAAE226"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single" w:sz="4" w:space="0" w:color="auto"/>
              <w:bottom w:val="single" w:sz="8" w:space="0" w:color="auto"/>
              <w:right w:val="single" w:sz="4" w:space="0" w:color="auto"/>
            </w:tcBorders>
            <w:shd w:val="clear" w:color="000000" w:fill="D9D9D9"/>
            <w:vAlign w:val="center"/>
          </w:tcPr>
          <w:p w14:paraId="65B2BA9F"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single" w:sz="4" w:space="0" w:color="auto"/>
              <w:bottom w:val="single" w:sz="8" w:space="0" w:color="auto"/>
              <w:right w:val="single" w:sz="8" w:space="0" w:color="auto"/>
            </w:tcBorders>
            <w:shd w:val="clear" w:color="000000" w:fill="D9D9D9"/>
            <w:vAlign w:val="center"/>
            <w:hideMark/>
          </w:tcPr>
          <w:p w14:paraId="14AE587B" w14:textId="77777777" w:rsidR="00F34BD4" w:rsidRPr="00FA433F" w:rsidRDefault="00F34BD4" w:rsidP="00F34BD4">
            <w:pPr>
              <w:spacing w:before="0" w:after="0"/>
              <w:jc w:val="right"/>
              <w:rPr>
                <w:noProof/>
                <w:sz w:val="16"/>
                <w:szCs w:val="16"/>
              </w:rPr>
            </w:pPr>
            <w:r w:rsidRPr="00FA433F">
              <w:rPr>
                <w:noProof/>
                <w:sz w:val="16"/>
              </w:rPr>
              <w:t>0,000</w:t>
            </w:r>
          </w:p>
        </w:tc>
        <w:tc>
          <w:tcPr>
            <w:tcW w:w="558" w:type="pct"/>
            <w:tcBorders>
              <w:top w:val="nil"/>
              <w:left w:val="nil"/>
              <w:bottom w:val="single" w:sz="8" w:space="0" w:color="auto"/>
              <w:right w:val="single" w:sz="8" w:space="0" w:color="auto"/>
            </w:tcBorders>
            <w:shd w:val="clear" w:color="000000" w:fill="D9D9D9"/>
            <w:vAlign w:val="center"/>
            <w:hideMark/>
          </w:tcPr>
          <w:p w14:paraId="7F851DAD" w14:textId="77777777" w:rsidR="00F34BD4" w:rsidRPr="00FA433F" w:rsidRDefault="00F34BD4" w:rsidP="00F34BD4">
            <w:pPr>
              <w:spacing w:before="0" w:after="0"/>
              <w:jc w:val="right"/>
              <w:rPr>
                <w:b/>
                <w:bCs/>
                <w:noProof/>
                <w:sz w:val="16"/>
                <w:szCs w:val="16"/>
              </w:rPr>
            </w:pPr>
            <w:r w:rsidRPr="00FA433F">
              <w:rPr>
                <w:b/>
                <w:noProof/>
                <w:sz w:val="16"/>
              </w:rPr>
              <w:t>0,000</w:t>
            </w:r>
          </w:p>
        </w:tc>
      </w:tr>
      <w:tr w:rsidR="00F34BD4" w:rsidRPr="00FA433F" w14:paraId="3991A9F7" w14:textId="77777777">
        <w:trPr>
          <w:trHeight w:val="300"/>
        </w:trPr>
        <w:tc>
          <w:tcPr>
            <w:tcW w:w="1952" w:type="pct"/>
            <w:gridSpan w:val="2"/>
            <w:tcBorders>
              <w:top w:val="nil"/>
              <w:left w:val="single" w:sz="8" w:space="0" w:color="auto"/>
              <w:bottom w:val="single" w:sz="8" w:space="0" w:color="auto"/>
              <w:right w:val="single" w:sz="8" w:space="0" w:color="auto"/>
            </w:tcBorders>
            <w:shd w:val="clear" w:color="000000" w:fill="CCCCCC"/>
            <w:vAlign w:val="center"/>
            <w:hideMark/>
          </w:tcPr>
          <w:p w14:paraId="4A2ACD00" w14:textId="77777777" w:rsidR="00F34BD4" w:rsidRPr="00FA433F" w:rsidRDefault="00F34BD4" w:rsidP="00F34BD4">
            <w:pPr>
              <w:spacing w:before="0" w:after="0"/>
              <w:jc w:val="center"/>
              <w:rPr>
                <w:b/>
                <w:bCs/>
                <w:noProof/>
                <w:sz w:val="16"/>
                <w:szCs w:val="16"/>
              </w:rPr>
            </w:pPr>
            <w:r w:rsidRPr="00FA433F">
              <w:rPr>
                <w:b/>
                <w:noProof/>
                <w:sz w:val="16"/>
              </w:rPr>
              <w:t>Suma cząstkowa poza DZIAŁEM 7</w:t>
            </w:r>
          </w:p>
        </w:tc>
        <w:tc>
          <w:tcPr>
            <w:tcW w:w="498" w:type="pct"/>
            <w:tcBorders>
              <w:top w:val="nil"/>
              <w:left w:val="nil"/>
              <w:bottom w:val="single" w:sz="8" w:space="0" w:color="auto"/>
              <w:right w:val="single" w:sz="8" w:space="0" w:color="auto"/>
            </w:tcBorders>
            <w:shd w:val="clear" w:color="000000" w:fill="D9D9D9"/>
            <w:vAlign w:val="center"/>
            <w:hideMark/>
          </w:tcPr>
          <w:p w14:paraId="67075FCD" w14:textId="77777777" w:rsidR="00F34BD4" w:rsidRPr="00FA433F" w:rsidRDefault="00F34BD4" w:rsidP="00F34BD4">
            <w:pPr>
              <w:spacing w:before="0" w:after="0"/>
              <w:jc w:val="right"/>
              <w:rPr>
                <w:b/>
                <w:bCs/>
                <w:noProof/>
                <w:sz w:val="16"/>
                <w:szCs w:val="16"/>
              </w:rPr>
            </w:pPr>
            <w:r w:rsidRPr="00FA433F">
              <w:rPr>
                <w:b/>
                <w:noProof/>
                <w:sz w:val="16"/>
              </w:rPr>
              <w:t>0,000</w:t>
            </w:r>
          </w:p>
        </w:tc>
        <w:tc>
          <w:tcPr>
            <w:tcW w:w="498" w:type="pct"/>
            <w:tcBorders>
              <w:top w:val="nil"/>
              <w:left w:val="nil"/>
              <w:bottom w:val="single" w:sz="8" w:space="0" w:color="auto"/>
              <w:right w:val="single" w:sz="8" w:space="0" w:color="auto"/>
            </w:tcBorders>
            <w:shd w:val="clear" w:color="000000" w:fill="D9D9D9"/>
            <w:vAlign w:val="center"/>
            <w:hideMark/>
          </w:tcPr>
          <w:p w14:paraId="20F31D68" w14:textId="77777777" w:rsidR="00F34BD4" w:rsidRPr="00FA433F" w:rsidRDefault="00F34BD4" w:rsidP="00F34BD4">
            <w:pPr>
              <w:spacing w:before="0" w:after="0"/>
              <w:jc w:val="right"/>
              <w:rPr>
                <w:b/>
                <w:bCs/>
                <w:noProof/>
                <w:sz w:val="16"/>
                <w:szCs w:val="16"/>
              </w:rPr>
            </w:pPr>
            <w:r w:rsidRPr="00FA433F">
              <w:rPr>
                <w:b/>
                <w:noProof/>
                <w:sz w:val="16"/>
              </w:rPr>
              <w:t>0,000</w:t>
            </w:r>
          </w:p>
        </w:tc>
        <w:tc>
          <w:tcPr>
            <w:tcW w:w="498" w:type="pct"/>
            <w:tcBorders>
              <w:top w:val="nil"/>
              <w:left w:val="nil"/>
              <w:bottom w:val="single" w:sz="8" w:space="0" w:color="auto"/>
              <w:right w:val="single" w:sz="4" w:space="0" w:color="auto"/>
            </w:tcBorders>
            <w:shd w:val="clear" w:color="000000" w:fill="D9D9D9"/>
            <w:vAlign w:val="center"/>
            <w:hideMark/>
          </w:tcPr>
          <w:p w14:paraId="29BBE1C5" w14:textId="77777777" w:rsidR="00F34BD4" w:rsidRPr="00FA433F" w:rsidRDefault="00F34BD4" w:rsidP="00F34BD4">
            <w:pPr>
              <w:spacing w:before="0" w:after="0"/>
              <w:jc w:val="right"/>
              <w:rPr>
                <w:b/>
                <w:bCs/>
                <w:noProof/>
                <w:sz w:val="16"/>
                <w:szCs w:val="16"/>
              </w:rPr>
            </w:pPr>
            <w:r w:rsidRPr="00FA433F">
              <w:rPr>
                <w:b/>
                <w:noProof/>
                <w:sz w:val="16"/>
              </w:rPr>
              <w:t>0,000</w:t>
            </w:r>
          </w:p>
        </w:tc>
        <w:tc>
          <w:tcPr>
            <w:tcW w:w="498" w:type="pct"/>
            <w:tcBorders>
              <w:top w:val="nil"/>
              <w:left w:val="single" w:sz="4" w:space="0" w:color="auto"/>
              <w:bottom w:val="single" w:sz="8" w:space="0" w:color="auto"/>
              <w:right w:val="single" w:sz="4" w:space="0" w:color="auto"/>
            </w:tcBorders>
            <w:shd w:val="clear" w:color="000000" w:fill="D9D9D9"/>
            <w:vAlign w:val="center"/>
          </w:tcPr>
          <w:p w14:paraId="27D104E1" w14:textId="77777777" w:rsidR="00F34BD4" w:rsidRPr="00FA433F" w:rsidRDefault="00F34BD4" w:rsidP="00F34BD4">
            <w:pPr>
              <w:spacing w:before="0" w:after="0"/>
              <w:jc w:val="right"/>
              <w:rPr>
                <w:b/>
                <w:bCs/>
                <w:noProof/>
                <w:sz w:val="16"/>
                <w:szCs w:val="16"/>
              </w:rPr>
            </w:pPr>
            <w:r w:rsidRPr="00FA433F">
              <w:rPr>
                <w:b/>
                <w:noProof/>
                <w:sz w:val="16"/>
              </w:rPr>
              <w:t>0,000</w:t>
            </w:r>
          </w:p>
        </w:tc>
        <w:tc>
          <w:tcPr>
            <w:tcW w:w="498" w:type="pct"/>
            <w:tcBorders>
              <w:top w:val="nil"/>
              <w:left w:val="single" w:sz="4" w:space="0" w:color="auto"/>
              <w:bottom w:val="single" w:sz="8" w:space="0" w:color="auto"/>
              <w:right w:val="single" w:sz="8" w:space="0" w:color="auto"/>
            </w:tcBorders>
            <w:shd w:val="clear" w:color="000000" w:fill="D9D9D9"/>
            <w:vAlign w:val="center"/>
            <w:hideMark/>
          </w:tcPr>
          <w:p w14:paraId="18B4FC10" w14:textId="77777777" w:rsidR="00F34BD4" w:rsidRPr="00FA433F" w:rsidRDefault="00F34BD4" w:rsidP="00F34BD4">
            <w:pPr>
              <w:spacing w:before="0" w:after="0"/>
              <w:jc w:val="right"/>
              <w:rPr>
                <w:b/>
                <w:bCs/>
                <w:noProof/>
                <w:sz w:val="16"/>
                <w:szCs w:val="16"/>
              </w:rPr>
            </w:pPr>
            <w:r w:rsidRPr="00FA433F">
              <w:rPr>
                <w:b/>
                <w:noProof/>
                <w:sz w:val="16"/>
              </w:rPr>
              <w:t>0,000</w:t>
            </w:r>
          </w:p>
        </w:tc>
        <w:tc>
          <w:tcPr>
            <w:tcW w:w="558" w:type="pct"/>
            <w:tcBorders>
              <w:top w:val="nil"/>
              <w:left w:val="nil"/>
              <w:bottom w:val="single" w:sz="8" w:space="0" w:color="auto"/>
              <w:right w:val="single" w:sz="8" w:space="0" w:color="auto"/>
            </w:tcBorders>
            <w:shd w:val="clear" w:color="000000" w:fill="D9D9D9"/>
            <w:vAlign w:val="center"/>
            <w:hideMark/>
          </w:tcPr>
          <w:p w14:paraId="7236C0DC" w14:textId="77777777" w:rsidR="00F34BD4" w:rsidRPr="00FA433F" w:rsidRDefault="00F34BD4" w:rsidP="00F34BD4">
            <w:pPr>
              <w:spacing w:before="0" w:after="0"/>
              <w:jc w:val="right"/>
              <w:rPr>
                <w:b/>
                <w:bCs/>
                <w:noProof/>
                <w:sz w:val="16"/>
                <w:szCs w:val="16"/>
              </w:rPr>
            </w:pPr>
            <w:r w:rsidRPr="00FA433F">
              <w:rPr>
                <w:b/>
                <w:noProof/>
                <w:sz w:val="16"/>
              </w:rPr>
              <w:t>0,000</w:t>
            </w:r>
          </w:p>
        </w:tc>
      </w:tr>
      <w:tr w:rsidR="00BB1D70" w:rsidRPr="00FA433F" w14:paraId="7D7471AE" w14:textId="77777777" w:rsidTr="00BB1D70">
        <w:trPr>
          <w:trHeight w:val="300"/>
        </w:trPr>
        <w:tc>
          <w:tcPr>
            <w:tcW w:w="498" w:type="pct"/>
            <w:tcBorders>
              <w:top w:val="single" w:sz="8" w:space="0" w:color="auto"/>
              <w:left w:val="single" w:sz="8" w:space="0" w:color="auto"/>
              <w:bottom w:val="single" w:sz="8" w:space="0" w:color="auto"/>
              <w:right w:val="single" w:sz="4" w:space="0" w:color="auto"/>
            </w:tcBorders>
          </w:tcPr>
          <w:p w14:paraId="24322DE4" w14:textId="77777777" w:rsidR="00BB1D70" w:rsidRPr="00FA433F" w:rsidRDefault="00BB1D70">
            <w:pPr>
              <w:spacing w:before="0" w:after="0"/>
              <w:jc w:val="center"/>
              <w:rPr>
                <w:noProof/>
                <w:sz w:val="16"/>
                <w:szCs w:val="16"/>
                <w:lang w:eastAsia="en-IE"/>
              </w:rPr>
            </w:pPr>
          </w:p>
        </w:tc>
        <w:tc>
          <w:tcPr>
            <w:tcW w:w="4502" w:type="pct"/>
            <w:gridSpan w:val="7"/>
            <w:tcBorders>
              <w:top w:val="single" w:sz="8" w:space="0" w:color="auto"/>
              <w:left w:val="single" w:sz="4" w:space="0" w:color="auto"/>
              <w:bottom w:val="single" w:sz="8" w:space="0" w:color="auto"/>
              <w:right w:val="single" w:sz="4" w:space="0" w:color="auto"/>
            </w:tcBorders>
            <w:noWrap/>
            <w:vAlign w:val="center"/>
            <w:hideMark/>
          </w:tcPr>
          <w:p w14:paraId="34175068" w14:textId="77777777" w:rsidR="00BB1D70" w:rsidRPr="00FA433F" w:rsidRDefault="00BB1D70">
            <w:pPr>
              <w:spacing w:before="0" w:after="0"/>
              <w:jc w:val="center"/>
              <w:rPr>
                <w:noProof/>
                <w:sz w:val="16"/>
                <w:szCs w:val="16"/>
                <w:lang w:eastAsia="en-IE"/>
              </w:rPr>
            </w:pPr>
          </w:p>
        </w:tc>
      </w:tr>
      <w:tr w:rsidR="00F34BD4" w:rsidRPr="00FA433F" w14:paraId="542B876E" w14:textId="77777777" w:rsidTr="00EA3058">
        <w:trPr>
          <w:trHeight w:val="300"/>
        </w:trPr>
        <w:tc>
          <w:tcPr>
            <w:tcW w:w="1952" w:type="pct"/>
            <w:gridSpan w:val="2"/>
            <w:tcBorders>
              <w:top w:val="nil"/>
              <w:left w:val="single" w:sz="8" w:space="0" w:color="auto"/>
              <w:bottom w:val="single" w:sz="8" w:space="0" w:color="auto"/>
              <w:right w:val="single" w:sz="8" w:space="0" w:color="auto"/>
            </w:tcBorders>
            <w:vAlign w:val="center"/>
            <w:hideMark/>
          </w:tcPr>
          <w:p w14:paraId="773A207C" w14:textId="77777777" w:rsidR="00F34BD4" w:rsidRPr="00FA433F" w:rsidRDefault="00F34BD4" w:rsidP="00F34BD4">
            <w:pPr>
              <w:spacing w:before="0" w:after="0"/>
              <w:jc w:val="center"/>
              <w:rPr>
                <w:b/>
                <w:bCs/>
                <w:noProof/>
                <w:sz w:val="16"/>
                <w:szCs w:val="16"/>
              </w:rPr>
            </w:pPr>
            <w:r w:rsidRPr="00FA433F">
              <w:rPr>
                <w:b/>
                <w:noProof/>
                <w:sz w:val="16"/>
              </w:rPr>
              <w:t>OGÓŁEM</w:t>
            </w:r>
          </w:p>
        </w:tc>
        <w:tc>
          <w:tcPr>
            <w:tcW w:w="498" w:type="pct"/>
            <w:tcBorders>
              <w:top w:val="nil"/>
              <w:left w:val="nil"/>
              <w:bottom w:val="single" w:sz="8" w:space="0" w:color="auto"/>
              <w:right w:val="single" w:sz="8" w:space="0" w:color="auto"/>
            </w:tcBorders>
            <w:shd w:val="clear" w:color="000000" w:fill="D9D9D9"/>
            <w:vAlign w:val="center"/>
            <w:hideMark/>
          </w:tcPr>
          <w:p w14:paraId="0BFD340E" w14:textId="77777777" w:rsidR="00F34BD4" w:rsidRPr="00FA433F" w:rsidRDefault="008A53CA" w:rsidP="00F34BD4">
            <w:pPr>
              <w:spacing w:before="0" w:after="0"/>
              <w:jc w:val="right"/>
              <w:rPr>
                <w:b/>
                <w:bCs/>
                <w:noProof/>
                <w:sz w:val="16"/>
                <w:szCs w:val="16"/>
              </w:rPr>
            </w:pPr>
            <w:r w:rsidRPr="00FA433F">
              <w:rPr>
                <w:b/>
                <w:noProof/>
                <w:sz w:val="16"/>
              </w:rPr>
              <w:t>1,008</w:t>
            </w:r>
          </w:p>
        </w:tc>
        <w:tc>
          <w:tcPr>
            <w:tcW w:w="498" w:type="pct"/>
            <w:tcBorders>
              <w:top w:val="nil"/>
              <w:left w:val="nil"/>
              <w:bottom w:val="single" w:sz="8" w:space="0" w:color="auto"/>
              <w:right w:val="single" w:sz="8" w:space="0" w:color="auto"/>
            </w:tcBorders>
            <w:shd w:val="clear" w:color="000000" w:fill="D9D9D9"/>
            <w:vAlign w:val="center"/>
            <w:hideMark/>
          </w:tcPr>
          <w:p w14:paraId="0BC2AC12" w14:textId="77777777" w:rsidR="00F34BD4" w:rsidRPr="00FA433F" w:rsidRDefault="009C0F78" w:rsidP="00F34BD4">
            <w:pPr>
              <w:spacing w:before="0" w:after="0"/>
              <w:jc w:val="right"/>
              <w:rPr>
                <w:b/>
                <w:bCs/>
                <w:noProof/>
                <w:sz w:val="16"/>
                <w:szCs w:val="16"/>
              </w:rPr>
            </w:pPr>
            <w:r w:rsidRPr="00FA433F">
              <w:rPr>
                <w:b/>
                <w:noProof/>
                <w:sz w:val="16"/>
              </w:rPr>
              <w:t>1,109</w:t>
            </w:r>
          </w:p>
        </w:tc>
        <w:tc>
          <w:tcPr>
            <w:tcW w:w="498" w:type="pct"/>
            <w:tcBorders>
              <w:top w:val="nil"/>
              <w:left w:val="nil"/>
              <w:bottom w:val="single" w:sz="8" w:space="0" w:color="auto"/>
              <w:right w:val="single" w:sz="4" w:space="0" w:color="auto"/>
            </w:tcBorders>
            <w:shd w:val="clear" w:color="000000" w:fill="D9D9D9"/>
            <w:vAlign w:val="center"/>
            <w:hideMark/>
          </w:tcPr>
          <w:p w14:paraId="464FDDBE" w14:textId="77777777" w:rsidR="00F34BD4" w:rsidRPr="00FA433F" w:rsidRDefault="00F34BD4" w:rsidP="00F34BD4">
            <w:pPr>
              <w:spacing w:before="0" w:after="0"/>
              <w:jc w:val="right"/>
              <w:rPr>
                <w:b/>
                <w:bCs/>
                <w:noProof/>
                <w:sz w:val="16"/>
                <w:szCs w:val="16"/>
              </w:rPr>
            </w:pPr>
            <w:r w:rsidRPr="00FA433F">
              <w:rPr>
                <w:b/>
                <w:noProof/>
                <w:sz w:val="16"/>
              </w:rPr>
              <w:t>0,000</w:t>
            </w:r>
          </w:p>
        </w:tc>
        <w:tc>
          <w:tcPr>
            <w:tcW w:w="498" w:type="pct"/>
            <w:tcBorders>
              <w:top w:val="nil"/>
              <w:left w:val="single" w:sz="4" w:space="0" w:color="auto"/>
              <w:bottom w:val="single" w:sz="4" w:space="0" w:color="auto"/>
              <w:right w:val="single" w:sz="4" w:space="0" w:color="auto"/>
            </w:tcBorders>
            <w:shd w:val="clear" w:color="000000" w:fill="D9D9D9"/>
            <w:vAlign w:val="center"/>
          </w:tcPr>
          <w:p w14:paraId="00FAAC80" w14:textId="77777777" w:rsidR="00F34BD4" w:rsidRPr="00FA433F" w:rsidRDefault="00F34BD4" w:rsidP="00F34BD4">
            <w:pPr>
              <w:spacing w:before="0" w:after="0"/>
              <w:jc w:val="right"/>
              <w:rPr>
                <w:b/>
                <w:bCs/>
                <w:noProof/>
                <w:sz w:val="16"/>
                <w:szCs w:val="16"/>
              </w:rPr>
            </w:pPr>
            <w:r w:rsidRPr="00FA433F">
              <w:rPr>
                <w:b/>
                <w:noProof/>
                <w:sz w:val="16"/>
              </w:rPr>
              <w:t>0,000</w:t>
            </w:r>
          </w:p>
        </w:tc>
        <w:tc>
          <w:tcPr>
            <w:tcW w:w="498" w:type="pct"/>
            <w:tcBorders>
              <w:top w:val="nil"/>
              <w:left w:val="single" w:sz="4" w:space="0" w:color="auto"/>
              <w:bottom w:val="single" w:sz="8" w:space="0" w:color="auto"/>
              <w:right w:val="single" w:sz="8" w:space="0" w:color="auto"/>
            </w:tcBorders>
            <w:shd w:val="clear" w:color="000000" w:fill="D9D9D9"/>
            <w:vAlign w:val="center"/>
            <w:hideMark/>
          </w:tcPr>
          <w:p w14:paraId="2BB86240" w14:textId="77777777" w:rsidR="00F34BD4" w:rsidRPr="00FA433F" w:rsidRDefault="00F34BD4" w:rsidP="00F34BD4">
            <w:pPr>
              <w:spacing w:before="0" w:after="0"/>
              <w:jc w:val="right"/>
              <w:rPr>
                <w:b/>
                <w:bCs/>
                <w:noProof/>
                <w:sz w:val="16"/>
                <w:szCs w:val="16"/>
              </w:rPr>
            </w:pPr>
            <w:r w:rsidRPr="00FA433F">
              <w:rPr>
                <w:b/>
                <w:noProof/>
                <w:sz w:val="16"/>
              </w:rPr>
              <w:t>0,000</w:t>
            </w:r>
          </w:p>
        </w:tc>
        <w:tc>
          <w:tcPr>
            <w:tcW w:w="558" w:type="pct"/>
            <w:tcBorders>
              <w:top w:val="nil"/>
              <w:left w:val="nil"/>
              <w:bottom w:val="single" w:sz="8" w:space="0" w:color="auto"/>
              <w:right w:val="single" w:sz="8" w:space="0" w:color="auto"/>
            </w:tcBorders>
            <w:shd w:val="clear" w:color="000000" w:fill="D9D9D9"/>
            <w:vAlign w:val="center"/>
            <w:hideMark/>
          </w:tcPr>
          <w:p w14:paraId="5B9DEA1F" w14:textId="77777777" w:rsidR="00F34BD4" w:rsidRPr="00FA433F" w:rsidRDefault="009C0F78" w:rsidP="00F34BD4">
            <w:pPr>
              <w:spacing w:before="0" w:after="0"/>
              <w:jc w:val="right"/>
              <w:rPr>
                <w:b/>
                <w:bCs/>
                <w:noProof/>
                <w:sz w:val="16"/>
                <w:szCs w:val="16"/>
              </w:rPr>
            </w:pPr>
            <w:r w:rsidRPr="00FA433F">
              <w:rPr>
                <w:b/>
                <w:noProof/>
                <w:sz w:val="16"/>
              </w:rPr>
              <w:t>2,117</w:t>
            </w:r>
          </w:p>
        </w:tc>
      </w:tr>
    </w:tbl>
    <w:p w14:paraId="24F77927" w14:textId="77777777" w:rsidR="008A4C15" w:rsidRPr="00FA433F" w:rsidRDefault="008A4C15">
      <w:pPr>
        <w:spacing w:after="40"/>
        <w:rPr>
          <w:noProof/>
        </w:rPr>
      </w:pPr>
      <w:r w:rsidRPr="00FA433F">
        <w:rPr>
          <w:noProof/>
        </w:rPr>
        <w:t>===================================================================</w:t>
      </w:r>
    </w:p>
    <w:p w14:paraId="44EFA01D" w14:textId="76E4D60F" w:rsidR="008A4C15" w:rsidRPr="00FA433F" w:rsidRDefault="008A4C15">
      <w:pPr>
        <w:spacing w:after="40"/>
        <w:rPr>
          <w:noProof/>
        </w:rPr>
      </w:pPr>
      <w:r w:rsidRPr="00FA433F">
        <w:rPr>
          <w:noProof/>
        </w:rPr>
        <w:t>Nieobowiązkowo: jeżeli wniosek jest częściowo lub</w:t>
      </w:r>
      <w:r w:rsidR="00FA433F" w:rsidRPr="00FA433F">
        <w:rPr>
          <w:noProof/>
        </w:rPr>
        <w:t xml:space="preserve"> w</w:t>
      </w:r>
      <w:r w:rsidR="00FA433F">
        <w:rPr>
          <w:noProof/>
        </w:rPr>
        <w:t> </w:t>
      </w:r>
      <w:r w:rsidR="00FA433F" w:rsidRPr="00FA433F">
        <w:rPr>
          <w:noProof/>
        </w:rPr>
        <w:t>peł</w:t>
      </w:r>
      <w:r w:rsidRPr="00FA433F">
        <w:rPr>
          <w:noProof/>
        </w:rPr>
        <w:t>ni finansowany</w:t>
      </w:r>
      <w:r w:rsidR="00FA433F" w:rsidRPr="00FA433F">
        <w:rPr>
          <w:noProof/>
        </w:rPr>
        <w:t xml:space="preserve"> z</w:t>
      </w:r>
      <w:r w:rsidR="00FA433F">
        <w:rPr>
          <w:noProof/>
        </w:rPr>
        <w:t> </w:t>
      </w:r>
      <w:r w:rsidR="00FA433F" w:rsidRPr="00FA433F">
        <w:rPr>
          <w:noProof/>
        </w:rPr>
        <w:t>zew</w:t>
      </w:r>
      <w:r w:rsidRPr="00FA433F">
        <w:rPr>
          <w:noProof/>
        </w:rPr>
        <w:t>nętrznych dochodów przeznaczonych na określony cel, wypełnić tabele</w:t>
      </w:r>
      <w:r w:rsidR="00FA433F" w:rsidRPr="00FA433F">
        <w:rPr>
          <w:noProof/>
        </w:rPr>
        <w:t xml:space="preserve"> w</w:t>
      </w:r>
      <w:r w:rsidR="00FA433F">
        <w:rPr>
          <w:noProof/>
        </w:rPr>
        <w:t> </w:t>
      </w:r>
      <w:r w:rsidR="00FA433F" w:rsidRPr="00FA433F">
        <w:rPr>
          <w:noProof/>
        </w:rPr>
        <w:t>sek</w:t>
      </w:r>
      <w:r w:rsidRPr="00FA433F">
        <w:rPr>
          <w:noProof/>
        </w:rPr>
        <w:t>cjach 3.2.3.2.</w:t>
      </w:r>
      <w:r w:rsidR="00FA433F" w:rsidRPr="00FA433F">
        <w:rPr>
          <w:noProof/>
        </w:rPr>
        <w:t xml:space="preserve"> i</w:t>
      </w:r>
      <w:r w:rsidR="00FA433F">
        <w:rPr>
          <w:noProof/>
        </w:rPr>
        <w:t> </w:t>
      </w:r>
      <w:r w:rsidR="00FA433F" w:rsidRPr="00FA433F">
        <w:rPr>
          <w:noProof/>
        </w:rPr>
        <w:t>3</w:t>
      </w:r>
      <w:r w:rsidRPr="00FA433F">
        <w:rPr>
          <w:noProof/>
        </w:rPr>
        <w:t>.2.3.3</w:t>
      </w:r>
      <w:r w:rsidR="00FA433F" w:rsidRPr="00FA433F">
        <w:rPr>
          <w:noProof/>
        </w:rPr>
        <w:t>. W</w:t>
      </w:r>
      <w:r w:rsidR="00FA433F">
        <w:rPr>
          <w:noProof/>
        </w:rPr>
        <w:t> </w:t>
      </w:r>
      <w:r w:rsidR="00FA433F" w:rsidRPr="00FA433F">
        <w:rPr>
          <w:noProof/>
        </w:rPr>
        <w:t>prz</w:t>
      </w:r>
      <w:r w:rsidRPr="00FA433F">
        <w:rPr>
          <w:noProof/>
        </w:rPr>
        <w:t>eciwnym wypadku usunąć obie sekcje.</w:t>
      </w:r>
    </w:p>
    <w:p w14:paraId="37DE554C" w14:textId="2E2D68CA" w:rsidR="008A4C15" w:rsidRPr="00FA433F" w:rsidRDefault="008A4C15">
      <w:pPr>
        <w:pStyle w:val="ManualHeading3"/>
        <w:rPr>
          <w:noProof/>
        </w:rPr>
      </w:pPr>
      <w:bookmarkStart w:id="154" w:name="_Toc167220292"/>
      <w:bookmarkStart w:id="155" w:name="_Toc177549025"/>
      <w:r w:rsidRPr="00FA433F">
        <w:rPr>
          <w:noProof/>
        </w:rPr>
        <w:t>3.2.3.2.</w:t>
      </w:r>
      <w:r w:rsidRPr="00FA433F">
        <w:rPr>
          <w:noProof/>
        </w:rPr>
        <w:tab/>
        <w:t>Środki</w:t>
      </w:r>
      <w:r w:rsidR="00FA433F" w:rsidRPr="00FA433F">
        <w:rPr>
          <w:noProof/>
        </w:rPr>
        <w:t xml:space="preserve"> z</w:t>
      </w:r>
      <w:r w:rsidR="00FA433F">
        <w:rPr>
          <w:noProof/>
        </w:rPr>
        <w:t> </w:t>
      </w:r>
      <w:r w:rsidR="00FA433F" w:rsidRPr="00FA433F">
        <w:rPr>
          <w:noProof/>
        </w:rPr>
        <w:t>zew</w:t>
      </w:r>
      <w:r w:rsidRPr="00FA433F">
        <w:rPr>
          <w:noProof/>
        </w:rPr>
        <w:t>nętrznych dochodów przeznaczonych na określony cel</w:t>
      </w:r>
      <w:bookmarkEnd w:id="154"/>
      <w:bookmarkEnd w:id="155"/>
    </w:p>
    <w:tbl>
      <w:tblPr>
        <w:tblW w:w="5000" w:type="pct"/>
        <w:tblLook w:val="04A0" w:firstRow="1" w:lastRow="0" w:firstColumn="1" w:lastColumn="0" w:noHBand="0" w:noVBand="1"/>
      </w:tblPr>
      <w:tblGrid>
        <w:gridCol w:w="896"/>
        <w:gridCol w:w="2625"/>
        <w:gridCol w:w="897"/>
        <w:gridCol w:w="897"/>
        <w:gridCol w:w="897"/>
        <w:gridCol w:w="897"/>
        <w:gridCol w:w="897"/>
        <w:gridCol w:w="1047"/>
      </w:tblGrid>
      <w:tr w:rsidR="00F34BD4" w:rsidRPr="00FA433F" w14:paraId="26856C49" w14:textId="77777777" w:rsidTr="00F34BD4">
        <w:trPr>
          <w:trHeight w:val="300"/>
        </w:trPr>
        <w:tc>
          <w:tcPr>
            <w:tcW w:w="1951"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677B1980" w14:textId="77777777" w:rsidR="00F34BD4" w:rsidRPr="00FA433F" w:rsidRDefault="00F34BD4">
            <w:pPr>
              <w:spacing w:before="0" w:after="0"/>
              <w:jc w:val="center"/>
              <w:rPr>
                <w:b/>
                <w:bCs/>
                <w:noProof/>
                <w:sz w:val="18"/>
                <w:szCs w:val="18"/>
              </w:rPr>
            </w:pPr>
            <w:r w:rsidRPr="00FA433F">
              <w:rPr>
                <w:b/>
                <w:noProof/>
                <w:sz w:val="18"/>
              </w:rPr>
              <w:t>ZEWNĘTRZNE DOCHODY PRZEZNACZONE NA OKREŚLONY CEL</w:t>
            </w:r>
          </w:p>
        </w:tc>
        <w:tc>
          <w:tcPr>
            <w:tcW w:w="498" w:type="pct"/>
            <w:tcBorders>
              <w:top w:val="single" w:sz="8" w:space="0" w:color="auto"/>
              <w:left w:val="nil"/>
              <w:bottom w:val="nil"/>
              <w:right w:val="single" w:sz="8" w:space="0" w:color="auto"/>
            </w:tcBorders>
            <w:vAlign w:val="center"/>
            <w:hideMark/>
          </w:tcPr>
          <w:p w14:paraId="788E3BFB" w14:textId="77777777" w:rsidR="00F34BD4" w:rsidRPr="00FA433F" w:rsidRDefault="00F34BD4">
            <w:pPr>
              <w:spacing w:before="0" w:after="0"/>
              <w:jc w:val="center"/>
              <w:rPr>
                <w:noProof/>
                <w:sz w:val="18"/>
                <w:szCs w:val="18"/>
              </w:rPr>
            </w:pPr>
            <w:r w:rsidRPr="00FA433F">
              <w:rPr>
                <w:noProof/>
                <w:sz w:val="18"/>
              </w:rPr>
              <w:t>Rok</w:t>
            </w:r>
          </w:p>
        </w:tc>
        <w:tc>
          <w:tcPr>
            <w:tcW w:w="498" w:type="pct"/>
            <w:tcBorders>
              <w:top w:val="single" w:sz="8" w:space="0" w:color="auto"/>
              <w:left w:val="nil"/>
              <w:bottom w:val="nil"/>
              <w:right w:val="single" w:sz="8" w:space="0" w:color="auto"/>
            </w:tcBorders>
            <w:vAlign w:val="center"/>
            <w:hideMark/>
          </w:tcPr>
          <w:p w14:paraId="03A00F63" w14:textId="77777777" w:rsidR="00F34BD4" w:rsidRPr="00FA433F" w:rsidRDefault="00F34BD4">
            <w:pPr>
              <w:spacing w:before="0" w:after="0"/>
              <w:jc w:val="center"/>
              <w:rPr>
                <w:noProof/>
                <w:sz w:val="18"/>
                <w:szCs w:val="18"/>
              </w:rPr>
            </w:pPr>
            <w:r w:rsidRPr="00FA433F">
              <w:rPr>
                <w:noProof/>
                <w:sz w:val="18"/>
              </w:rPr>
              <w:t>Rok</w:t>
            </w:r>
          </w:p>
        </w:tc>
        <w:tc>
          <w:tcPr>
            <w:tcW w:w="498" w:type="pct"/>
            <w:tcBorders>
              <w:top w:val="single" w:sz="8" w:space="0" w:color="auto"/>
              <w:left w:val="nil"/>
              <w:bottom w:val="nil"/>
              <w:right w:val="single" w:sz="4" w:space="0" w:color="auto"/>
            </w:tcBorders>
            <w:vAlign w:val="center"/>
            <w:hideMark/>
          </w:tcPr>
          <w:p w14:paraId="2E7AFE8A" w14:textId="77777777" w:rsidR="00F34BD4" w:rsidRPr="00FA433F" w:rsidRDefault="00F34BD4">
            <w:pPr>
              <w:spacing w:before="0" w:after="0"/>
              <w:jc w:val="center"/>
              <w:rPr>
                <w:noProof/>
                <w:sz w:val="18"/>
                <w:szCs w:val="18"/>
              </w:rPr>
            </w:pPr>
            <w:r w:rsidRPr="00FA433F">
              <w:rPr>
                <w:noProof/>
                <w:sz w:val="18"/>
              </w:rPr>
              <w:t>Rok</w:t>
            </w:r>
          </w:p>
        </w:tc>
        <w:tc>
          <w:tcPr>
            <w:tcW w:w="498" w:type="pct"/>
            <w:tcBorders>
              <w:top w:val="single" w:sz="4" w:space="0" w:color="auto"/>
              <w:left w:val="single" w:sz="4" w:space="0" w:color="auto"/>
              <w:bottom w:val="nil"/>
              <w:right w:val="single" w:sz="4" w:space="0" w:color="auto"/>
            </w:tcBorders>
          </w:tcPr>
          <w:p w14:paraId="3F83C91A" w14:textId="77777777" w:rsidR="00F34BD4" w:rsidRPr="00FA433F" w:rsidRDefault="00F34BD4">
            <w:pPr>
              <w:spacing w:before="0" w:after="0"/>
              <w:jc w:val="center"/>
              <w:rPr>
                <w:noProof/>
                <w:sz w:val="18"/>
                <w:szCs w:val="18"/>
              </w:rPr>
            </w:pPr>
            <w:r w:rsidRPr="00FA433F">
              <w:rPr>
                <w:noProof/>
                <w:sz w:val="18"/>
              </w:rPr>
              <w:t>Rok</w:t>
            </w:r>
          </w:p>
        </w:tc>
        <w:tc>
          <w:tcPr>
            <w:tcW w:w="498" w:type="pct"/>
            <w:tcBorders>
              <w:top w:val="single" w:sz="8" w:space="0" w:color="auto"/>
              <w:left w:val="single" w:sz="4" w:space="0" w:color="auto"/>
              <w:bottom w:val="nil"/>
              <w:right w:val="single" w:sz="8" w:space="0" w:color="auto"/>
            </w:tcBorders>
            <w:vAlign w:val="center"/>
            <w:hideMark/>
          </w:tcPr>
          <w:p w14:paraId="3DC6C389" w14:textId="77777777" w:rsidR="00F34BD4" w:rsidRPr="00FA433F" w:rsidRDefault="00F34BD4">
            <w:pPr>
              <w:spacing w:before="0" w:after="0"/>
              <w:jc w:val="center"/>
              <w:rPr>
                <w:noProof/>
                <w:sz w:val="18"/>
                <w:szCs w:val="18"/>
              </w:rPr>
            </w:pPr>
            <w:r w:rsidRPr="00FA433F">
              <w:rPr>
                <w:noProof/>
                <w:sz w:val="18"/>
              </w:rPr>
              <w:t>Rok</w:t>
            </w:r>
          </w:p>
        </w:tc>
        <w:tc>
          <w:tcPr>
            <w:tcW w:w="559" w:type="pct"/>
            <w:vMerge w:val="restart"/>
            <w:tcBorders>
              <w:top w:val="single" w:sz="8" w:space="0" w:color="auto"/>
              <w:left w:val="single" w:sz="8" w:space="0" w:color="auto"/>
              <w:bottom w:val="single" w:sz="8" w:space="0" w:color="000000"/>
              <w:right w:val="single" w:sz="8" w:space="0" w:color="auto"/>
            </w:tcBorders>
            <w:vAlign w:val="center"/>
            <w:hideMark/>
          </w:tcPr>
          <w:p w14:paraId="0D48377D" w14:textId="77777777" w:rsidR="00F34BD4" w:rsidRPr="00FA433F" w:rsidRDefault="00F34BD4">
            <w:pPr>
              <w:spacing w:before="0" w:after="0"/>
              <w:jc w:val="center"/>
              <w:rPr>
                <w:b/>
                <w:bCs/>
                <w:noProof/>
                <w:sz w:val="18"/>
                <w:szCs w:val="18"/>
              </w:rPr>
            </w:pPr>
            <w:r w:rsidRPr="00FA433F">
              <w:rPr>
                <w:b/>
                <w:noProof/>
                <w:sz w:val="18"/>
              </w:rPr>
              <w:t>OGÓŁEM 2026–2030</w:t>
            </w:r>
          </w:p>
        </w:tc>
      </w:tr>
      <w:tr w:rsidR="00F34BD4" w:rsidRPr="00FA433F" w14:paraId="11D19DB8" w14:textId="77777777" w:rsidTr="00F34BD4">
        <w:trPr>
          <w:trHeight w:val="300"/>
        </w:trPr>
        <w:tc>
          <w:tcPr>
            <w:tcW w:w="1951" w:type="pct"/>
            <w:gridSpan w:val="2"/>
            <w:vMerge/>
            <w:tcBorders>
              <w:top w:val="single" w:sz="8" w:space="0" w:color="auto"/>
              <w:left w:val="single" w:sz="8" w:space="0" w:color="auto"/>
              <w:bottom w:val="single" w:sz="8" w:space="0" w:color="auto"/>
              <w:right w:val="single" w:sz="8" w:space="0" w:color="auto"/>
            </w:tcBorders>
            <w:vAlign w:val="center"/>
            <w:hideMark/>
          </w:tcPr>
          <w:p w14:paraId="6797F6FF" w14:textId="77777777" w:rsidR="00F34BD4" w:rsidRPr="00FA433F" w:rsidRDefault="00F34BD4">
            <w:pPr>
              <w:spacing w:before="0" w:after="0"/>
              <w:jc w:val="left"/>
              <w:rPr>
                <w:b/>
                <w:bCs/>
                <w:noProof/>
                <w:sz w:val="18"/>
                <w:szCs w:val="18"/>
                <w:lang w:eastAsia="en-IE"/>
              </w:rPr>
            </w:pPr>
          </w:p>
        </w:tc>
        <w:tc>
          <w:tcPr>
            <w:tcW w:w="498" w:type="pct"/>
            <w:tcBorders>
              <w:top w:val="nil"/>
              <w:left w:val="nil"/>
              <w:bottom w:val="single" w:sz="8" w:space="0" w:color="auto"/>
              <w:right w:val="single" w:sz="8" w:space="0" w:color="auto"/>
            </w:tcBorders>
            <w:vAlign w:val="center"/>
            <w:hideMark/>
          </w:tcPr>
          <w:p w14:paraId="4BEB839B" w14:textId="77777777" w:rsidR="00F34BD4" w:rsidRPr="00FA433F" w:rsidRDefault="00F34BD4">
            <w:pPr>
              <w:spacing w:before="0" w:after="0"/>
              <w:jc w:val="center"/>
              <w:rPr>
                <w:b/>
                <w:bCs/>
                <w:noProof/>
                <w:sz w:val="18"/>
                <w:szCs w:val="18"/>
              </w:rPr>
            </w:pPr>
            <w:r w:rsidRPr="00FA433F">
              <w:rPr>
                <w:b/>
                <w:noProof/>
                <w:sz w:val="18"/>
              </w:rPr>
              <w:t>2026</w:t>
            </w:r>
          </w:p>
        </w:tc>
        <w:tc>
          <w:tcPr>
            <w:tcW w:w="498" w:type="pct"/>
            <w:tcBorders>
              <w:top w:val="nil"/>
              <w:left w:val="nil"/>
              <w:bottom w:val="single" w:sz="8" w:space="0" w:color="auto"/>
              <w:right w:val="single" w:sz="8" w:space="0" w:color="auto"/>
            </w:tcBorders>
            <w:vAlign w:val="center"/>
            <w:hideMark/>
          </w:tcPr>
          <w:p w14:paraId="2524AB86" w14:textId="77777777" w:rsidR="00F34BD4" w:rsidRPr="00FA433F" w:rsidRDefault="00F34BD4">
            <w:pPr>
              <w:spacing w:before="0" w:after="0"/>
              <w:jc w:val="center"/>
              <w:rPr>
                <w:b/>
                <w:bCs/>
                <w:noProof/>
                <w:sz w:val="18"/>
                <w:szCs w:val="18"/>
              </w:rPr>
            </w:pPr>
            <w:r w:rsidRPr="00FA433F">
              <w:rPr>
                <w:b/>
                <w:noProof/>
                <w:sz w:val="18"/>
              </w:rPr>
              <w:t>2027</w:t>
            </w:r>
          </w:p>
        </w:tc>
        <w:tc>
          <w:tcPr>
            <w:tcW w:w="498" w:type="pct"/>
            <w:tcBorders>
              <w:top w:val="nil"/>
              <w:left w:val="nil"/>
              <w:bottom w:val="single" w:sz="8" w:space="0" w:color="auto"/>
              <w:right w:val="single" w:sz="4" w:space="0" w:color="auto"/>
            </w:tcBorders>
            <w:vAlign w:val="center"/>
            <w:hideMark/>
          </w:tcPr>
          <w:p w14:paraId="0AD501D5" w14:textId="77777777" w:rsidR="00F34BD4" w:rsidRPr="00FA433F" w:rsidRDefault="00F34BD4">
            <w:pPr>
              <w:spacing w:before="0" w:after="0"/>
              <w:jc w:val="center"/>
              <w:rPr>
                <w:b/>
                <w:bCs/>
                <w:noProof/>
                <w:sz w:val="18"/>
                <w:szCs w:val="18"/>
              </w:rPr>
            </w:pPr>
            <w:r w:rsidRPr="00FA433F">
              <w:rPr>
                <w:b/>
                <w:noProof/>
                <w:sz w:val="18"/>
              </w:rPr>
              <w:t>2028</w:t>
            </w:r>
          </w:p>
        </w:tc>
        <w:tc>
          <w:tcPr>
            <w:tcW w:w="498" w:type="pct"/>
            <w:tcBorders>
              <w:top w:val="nil"/>
              <w:left w:val="single" w:sz="4" w:space="0" w:color="auto"/>
              <w:bottom w:val="single" w:sz="8" w:space="0" w:color="auto"/>
              <w:right w:val="single" w:sz="4" w:space="0" w:color="auto"/>
            </w:tcBorders>
          </w:tcPr>
          <w:p w14:paraId="28B40D2A" w14:textId="77777777" w:rsidR="00F34BD4" w:rsidRPr="00FA433F" w:rsidRDefault="00F34BD4">
            <w:pPr>
              <w:spacing w:before="0" w:after="0"/>
              <w:jc w:val="center"/>
              <w:rPr>
                <w:b/>
                <w:bCs/>
                <w:noProof/>
                <w:sz w:val="18"/>
                <w:szCs w:val="18"/>
              </w:rPr>
            </w:pPr>
            <w:r w:rsidRPr="00FA433F">
              <w:rPr>
                <w:b/>
                <w:noProof/>
                <w:sz w:val="18"/>
              </w:rPr>
              <w:t>2029</w:t>
            </w:r>
          </w:p>
        </w:tc>
        <w:tc>
          <w:tcPr>
            <w:tcW w:w="498" w:type="pct"/>
            <w:tcBorders>
              <w:top w:val="nil"/>
              <w:left w:val="single" w:sz="4" w:space="0" w:color="auto"/>
              <w:bottom w:val="single" w:sz="8" w:space="0" w:color="auto"/>
              <w:right w:val="single" w:sz="8" w:space="0" w:color="auto"/>
            </w:tcBorders>
            <w:vAlign w:val="center"/>
            <w:hideMark/>
          </w:tcPr>
          <w:p w14:paraId="1E69D45C" w14:textId="77777777" w:rsidR="00F34BD4" w:rsidRPr="00FA433F" w:rsidRDefault="00F34BD4">
            <w:pPr>
              <w:spacing w:before="0" w:after="0"/>
              <w:jc w:val="center"/>
              <w:rPr>
                <w:b/>
                <w:bCs/>
                <w:noProof/>
                <w:sz w:val="18"/>
                <w:szCs w:val="18"/>
              </w:rPr>
            </w:pPr>
            <w:r w:rsidRPr="00FA433F">
              <w:rPr>
                <w:b/>
                <w:noProof/>
                <w:sz w:val="18"/>
              </w:rPr>
              <w:t>2030</w:t>
            </w:r>
          </w:p>
        </w:tc>
        <w:tc>
          <w:tcPr>
            <w:tcW w:w="559" w:type="pct"/>
            <w:vMerge/>
            <w:tcBorders>
              <w:top w:val="single" w:sz="8" w:space="0" w:color="auto"/>
              <w:left w:val="single" w:sz="8" w:space="0" w:color="auto"/>
              <w:bottom w:val="single" w:sz="8" w:space="0" w:color="auto"/>
              <w:right w:val="single" w:sz="8" w:space="0" w:color="auto"/>
            </w:tcBorders>
            <w:vAlign w:val="center"/>
            <w:hideMark/>
          </w:tcPr>
          <w:p w14:paraId="5D048791" w14:textId="77777777" w:rsidR="00F34BD4" w:rsidRPr="00FA433F" w:rsidRDefault="00F34BD4">
            <w:pPr>
              <w:spacing w:before="0" w:after="0"/>
              <w:jc w:val="left"/>
              <w:rPr>
                <w:b/>
                <w:bCs/>
                <w:noProof/>
                <w:sz w:val="18"/>
                <w:szCs w:val="18"/>
                <w:lang w:eastAsia="en-IE"/>
              </w:rPr>
            </w:pPr>
          </w:p>
        </w:tc>
      </w:tr>
      <w:tr w:rsidR="00F34BD4" w:rsidRPr="00FA433F" w14:paraId="4E88F450" w14:textId="77777777" w:rsidTr="00F34BD4">
        <w:trPr>
          <w:trHeight w:val="300"/>
        </w:trPr>
        <w:tc>
          <w:tcPr>
            <w:tcW w:w="498" w:type="pct"/>
            <w:tcBorders>
              <w:top w:val="single" w:sz="8" w:space="0" w:color="auto"/>
              <w:left w:val="single" w:sz="8" w:space="0" w:color="auto"/>
              <w:bottom w:val="single" w:sz="8" w:space="0" w:color="auto"/>
              <w:right w:val="single" w:sz="4" w:space="0" w:color="auto"/>
            </w:tcBorders>
          </w:tcPr>
          <w:p w14:paraId="319C5FBB" w14:textId="77777777" w:rsidR="00F34BD4" w:rsidRPr="00FA433F" w:rsidRDefault="00F34BD4">
            <w:pPr>
              <w:spacing w:before="0" w:after="0"/>
              <w:jc w:val="left"/>
              <w:rPr>
                <w:b/>
                <w:bCs/>
                <w:noProof/>
                <w:sz w:val="16"/>
                <w:szCs w:val="16"/>
                <w:lang w:eastAsia="en-IE"/>
              </w:rPr>
            </w:pPr>
          </w:p>
        </w:tc>
        <w:tc>
          <w:tcPr>
            <w:tcW w:w="4502" w:type="pct"/>
            <w:gridSpan w:val="7"/>
            <w:tcBorders>
              <w:top w:val="single" w:sz="8" w:space="0" w:color="auto"/>
              <w:left w:val="single" w:sz="4" w:space="0" w:color="auto"/>
              <w:bottom w:val="single" w:sz="8" w:space="0" w:color="auto"/>
              <w:right w:val="single" w:sz="4" w:space="0" w:color="auto"/>
            </w:tcBorders>
            <w:vAlign w:val="center"/>
            <w:hideMark/>
          </w:tcPr>
          <w:p w14:paraId="57115223" w14:textId="77777777" w:rsidR="00F34BD4" w:rsidRPr="00FA433F" w:rsidRDefault="00F34BD4">
            <w:pPr>
              <w:spacing w:before="0" w:after="0"/>
              <w:jc w:val="left"/>
              <w:rPr>
                <w:b/>
                <w:bCs/>
                <w:noProof/>
                <w:sz w:val="16"/>
                <w:szCs w:val="16"/>
              </w:rPr>
            </w:pPr>
            <w:r w:rsidRPr="00FA433F">
              <w:rPr>
                <w:b/>
                <w:noProof/>
                <w:sz w:val="16"/>
              </w:rPr>
              <w:t>DZIAŁ 7</w:t>
            </w:r>
          </w:p>
        </w:tc>
      </w:tr>
      <w:tr w:rsidR="00F34BD4" w:rsidRPr="00FA433F" w14:paraId="6C152AFE" w14:textId="77777777" w:rsidTr="00EA3058">
        <w:trPr>
          <w:trHeight w:val="300"/>
        </w:trPr>
        <w:tc>
          <w:tcPr>
            <w:tcW w:w="1951" w:type="pct"/>
            <w:gridSpan w:val="2"/>
            <w:tcBorders>
              <w:top w:val="nil"/>
              <w:left w:val="single" w:sz="8" w:space="0" w:color="auto"/>
              <w:bottom w:val="single" w:sz="8" w:space="0" w:color="auto"/>
              <w:right w:val="single" w:sz="8" w:space="0" w:color="auto"/>
            </w:tcBorders>
            <w:vAlign w:val="center"/>
            <w:hideMark/>
          </w:tcPr>
          <w:p w14:paraId="7711749B" w14:textId="77777777" w:rsidR="00F34BD4" w:rsidRPr="00FA433F" w:rsidRDefault="00F34BD4" w:rsidP="00F34BD4">
            <w:pPr>
              <w:spacing w:before="0" w:after="0"/>
              <w:jc w:val="left"/>
              <w:rPr>
                <w:noProof/>
                <w:sz w:val="16"/>
                <w:szCs w:val="16"/>
              </w:rPr>
            </w:pPr>
            <w:r w:rsidRPr="00FA433F">
              <w:rPr>
                <w:noProof/>
                <w:sz w:val="16"/>
              </w:rPr>
              <w:t xml:space="preserve">Zasoby ludzkie </w:t>
            </w:r>
          </w:p>
        </w:tc>
        <w:tc>
          <w:tcPr>
            <w:tcW w:w="498" w:type="pct"/>
            <w:tcBorders>
              <w:top w:val="nil"/>
              <w:left w:val="nil"/>
              <w:bottom w:val="single" w:sz="8" w:space="0" w:color="auto"/>
              <w:right w:val="single" w:sz="8" w:space="0" w:color="auto"/>
            </w:tcBorders>
            <w:shd w:val="clear" w:color="000000" w:fill="D9D9D9"/>
            <w:vAlign w:val="center"/>
            <w:hideMark/>
          </w:tcPr>
          <w:p w14:paraId="73B34C73"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nil"/>
              <w:bottom w:val="single" w:sz="8" w:space="0" w:color="auto"/>
              <w:right w:val="single" w:sz="8" w:space="0" w:color="auto"/>
            </w:tcBorders>
            <w:shd w:val="clear" w:color="000000" w:fill="D9D9D9"/>
            <w:vAlign w:val="center"/>
            <w:hideMark/>
          </w:tcPr>
          <w:p w14:paraId="4088D894"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nil"/>
              <w:bottom w:val="single" w:sz="8" w:space="0" w:color="auto"/>
              <w:right w:val="single" w:sz="4" w:space="0" w:color="auto"/>
            </w:tcBorders>
            <w:shd w:val="clear" w:color="000000" w:fill="D9D9D9"/>
            <w:vAlign w:val="center"/>
            <w:hideMark/>
          </w:tcPr>
          <w:p w14:paraId="5CE988E5"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single" w:sz="4" w:space="0" w:color="auto"/>
              <w:bottom w:val="single" w:sz="8" w:space="0" w:color="auto"/>
              <w:right w:val="single" w:sz="4" w:space="0" w:color="auto"/>
            </w:tcBorders>
            <w:shd w:val="clear" w:color="000000" w:fill="D9D9D9"/>
            <w:vAlign w:val="center"/>
          </w:tcPr>
          <w:p w14:paraId="06359EF3"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single" w:sz="4" w:space="0" w:color="auto"/>
              <w:bottom w:val="single" w:sz="8" w:space="0" w:color="auto"/>
              <w:right w:val="single" w:sz="8" w:space="0" w:color="auto"/>
            </w:tcBorders>
            <w:shd w:val="clear" w:color="000000" w:fill="D9D9D9"/>
            <w:vAlign w:val="center"/>
            <w:hideMark/>
          </w:tcPr>
          <w:p w14:paraId="521F7704" w14:textId="77777777" w:rsidR="00F34BD4" w:rsidRPr="00FA433F" w:rsidRDefault="00F34BD4" w:rsidP="00F34BD4">
            <w:pPr>
              <w:spacing w:before="0" w:after="0"/>
              <w:jc w:val="right"/>
              <w:rPr>
                <w:noProof/>
                <w:sz w:val="16"/>
                <w:szCs w:val="16"/>
              </w:rPr>
            </w:pPr>
            <w:r w:rsidRPr="00FA433F">
              <w:rPr>
                <w:noProof/>
                <w:sz w:val="16"/>
              </w:rPr>
              <w:t>0,000</w:t>
            </w:r>
          </w:p>
        </w:tc>
        <w:tc>
          <w:tcPr>
            <w:tcW w:w="559" w:type="pct"/>
            <w:tcBorders>
              <w:top w:val="nil"/>
              <w:left w:val="nil"/>
              <w:bottom w:val="single" w:sz="8" w:space="0" w:color="auto"/>
              <w:right w:val="single" w:sz="8" w:space="0" w:color="auto"/>
            </w:tcBorders>
            <w:shd w:val="clear" w:color="000000" w:fill="D9D9D9"/>
            <w:vAlign w:val="center"/>
            <w:hideMark/>
          </w:tcPr>
          <w:p w14:paraId="1C25AAC6" w14:textId="77777777" w:rsidR="00F34BD4" w:rsidRPr="00FA433F" w:rsidRDefault="00F34BD4" w:rsidP="00F34BD4">
            <w:pPr>
              <w:spacing w:before="0" w:after="0"/>
              <w:jc w:val="right"/>
              <w:rPr>
                <w:b/>
                <w:bCs/>
                <w:noProof/>
                <w:sz w:val="16"/>
                <w:szCs w:val="16"/>
              </w:rPr>
            </w:pPr>
            <w:r w:rsidRPr="00FA433F">
              <w:rPr>
                <w:b/>
                <w:noProof/>
                <w:sz w:val="16"/>
              </w:rPr>
              <w:t>0,000</w:t>
            </w:r>
          </w:p>
        </w:tc>
      </w:tr>
      <w:tr w:rsidR="00F34BD4" w:rsidRPr="00FA433F" w14:paraId="082B339F" w14:textId="77777777" w:rsidTr="00EA3058">
        <w:trPr>
          <w:trHeight w:val="300"/>
        </w:trPr>
        <w:tc>
          <w:tcPr>
            <w:tcW w:w="1951" w:type="pct"/>
            <w:gridSpan w:val="2"/>
            <w:tcBorders>
              <w:top w:val="nil"/>
              <w:left w:val="single" w:sz="8" w:space="0" w:color="auto"/>
              <w:bottom w:val="single" w:sz="8" w:space="0" w:color="auto"/>
              <w:right w:val="single" w:sz="8" w:space="0" w:color="auto"/>
            </w:tcBorders>
            <w:vAlign w:val="center"/>
            <w:hideMark/>
          </w:tcPr>
          <w:p w14:paraId="031F53E7" w14:textId="77777777" w:rsidR="00F34BD4" w:rsidRPr="00FA433F" w:rsidRDefault="00F34BD4" w:rsidP="00F34BD4">
            <w:pPr>
              <w:spacing w:before="0" w:after="0"/>
              <w:jc w:val="left"/>
              <w:rPr>
                <w:noProof/>
                <w:sz w:val="16"/>
                <w:szCs w:val="16"/>
              </w:rPr>
            </w:pPr>
            <w:r w:rsidRPr="00FA433F">
              <w:rPr>
                <w:noProof/>
                <w:sz w:val="16"/>
              </w:rPr>
              <w:t xml:space="preserve">Pozostałe wydatki administracyjne </w:t>
            </w:r>
          </w:p>
        </w:tc>
        <w:tc>
          <w:tcPr>
            <w:tcW w:w="498" w:type="pct"/>
            <w:tcBorders>
              <w:top w:val="nil"/>
              <w:left w:val="nil"/>
              <w:bottom w:val="single" w:sz="8" w:space="0" w:color="auto"/>
              <w:right w:val="single" w:sz="8" w:space="0" w:color="auto"/>
            </w:tcBorders>
            <w:shd w:val="clear" w:color="000000" w:fill="D9D9D9"/>
            <w:vAlign w:val="center"/>
            <w:hideMark/>
          </w:tcPr>
          <w:p w14:paraId="63E281AF"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nil"/>
              <w:bottom w:val="single" w:sz="8" w:space="0" w:color="auto"/>
              <w:right w:val="single" w:sz="8" w:space="0" w:color="auto"/>
            </w:tcBorders>
            <w:shd w:val="clear" w:color="000000" w:fill="D9D9D9"/>
            <w:vAlign w:val="center"/>
            <w:hideMark/>
          </w:tcPr>
          <w:p w14:paraId="0395FC55"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nil"/>
              <w:bottom w:val="single" w:sz="8" w:space="0" w:color="auto"/>
              <w:right w:val="single" w:sz="4" w:space="0" w:color="auto"/>
            </w:tcBorders>
            <w:shd w:val="clear" w:color="000000" w:fill="D9D9D9"/>
            <w:vAlign w:val="center"/>
            <w:hideMark/>
          </w:tcPr>
          <w:p w14:paraId="2BFE069F"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single" w:sz="4" w:space="0" w:color="auto"/>
              <w:bottom w:val="single" w:sz="8" w:space="0" w:color="auto"/>
              <w:right w:val="single" w:sz="4" w:space="0" w:color="auto"/>
            </w:tcBorders>
            <w:shd w:val="clear" w:color="000000" w:fill="D9D9D9"/>
            <w:vAlign w:val="center"/>
          </w:tcPr>
          <w:p w14:paraId="4B50CF03"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single" w:sz="4" w:space="0" w:color="auto"/>
              <w:bottom w:val="single" w:sz="8" w:space="0" w:color="auto"/>
              <w:right w:val="single" w:sz="8" w:space="0" w:color="auto"/>
            </w:tcBorders>
            <w:shd w:val="clear" w:color="000000" w:fill="D9D9D9"/>
            <w:vAlign w:val="center"/>
            <w:hideMark/>
          </w:tcPr>
          <w:p w14:paraId="76228A57" w14:textId="77777777" w:rsidR="00F34BD4" w:rsidRPr="00FA433F" w:rsidRDefault="00F34BD4" w:rsidP="00F34BD4">
            <w:pPr>
              <w:spacing w:before="0" w:after="0"/>
              <w:jc w:val="right"/>
              <w:rPr>
                <w:noProof/>
                <w:sz w:val="16"/>
                <w:szCs w:val="16"/>
              </w:rPr>
            </w:pPr>
            <w:r w:rsidRPr="00FA433F">
              <w:rPr>
                <w:noProof/>
                <w:sz w:val="16"/>
              </w:rPr>
              <w:t>0,000</w:t>
            </w:r>
          </w:p>
        </w:tc>
        <w:tc>
          <w:tcPr>
            <w:tcW w:w="559" w:type="pct"/>
            <w:tcBorders>
              <w:top w:val="nil"/>
              <w:left w:val="nil"/>
              <w:bottom w:val="single" w:sz="8" w:space="0" w:color="auto"/>
              <w:right w:val="single" w:sz="8" w:space="0" w:color="auto"/>
            </w:tcBorders>
            <w:shd w:val="clear" w:color="000000" w:fill="D9D9D9"/>
            <w:vAlign w:val="center"/>
            <w:hideMark/>
          </w:tcPr>
          <w:p w14:paraId="26222D29" w14:textId="77777777" w:rsidR="00F34BD4" w:rsidRPr="00FA433F" w:rsidRDefault="00F34BD4" w:rsidP="00F34BD4">
            <w:pPr>
              <w:spacing w:before="0" w:after="0"/>
              <w:jc w:val="right"/>
              <w:rPr>
                <w:b/>
                <w:bCs/>
                <w:noProof/>
                <w:sz w:val="16"/>
                <w:szCs w:val="16"/>
              </w:rPr>
            </w:pPr>
            <w:r w:rsidRPr="00FA433F">
              <w:rPr>
                <w:b/>
                <w:noProof/>
                <w:sz w:val="16"/>
              </w:rPr>
              <w:t>0,000</w:t>
            </w:r>
          </w:p>
        </w:tc>
      </w:tr>
      <w:tr w:rsidR="00F34BD4" w:rsidRPr="00FA433F" w14:paraId="512D2A03" w14:textId="77777777">
        <w:trPr>
          <w:trHeight w:val="300"/>
        </w:trPr>
        <w:tc>
          <w:tcPr>
            <w:tcW w:w="1951" w:type="pct"/>
            <w:gridSpan w:val="2"/>
            <w:tcBorders>
              <w:top w:val="nil"/>
              <w:left w:val="single" w:sz="8" w:space="0" w:color="auto"/>
              <w:bottom w:val="single" w:sz="8" w:space="0" w:color="auto"/>
              <w:right w:val="single" w:sz="8" w:space="0" w:color="auto"/>
            </w:tcBorders>
            <w:shd w:val="clear" w:color="000000" w:fill="CCCCCC"/>
            <w:vAlign w:val="center"/>
            <w:hideMark/>
          </w:tcPr>
          <w:p w14:paraId="7C68174D" w14:textId="77777777" w:rsidR="00F34BD4" w:rsidRPr="00FA433F" w:rsidRDefault="00F34BD4" w:rsidP="00F34BD4">
            <w:pPr>
              <w:spacing w:before="0" w:after="0"/>
              <w:jc w:val="center"/>
              <w:rPr>
                <w:b/>
                <w:bCs/>
                <w:noProof/>
                <w:sz w:val="16"/>
                <w:szCs w:val="16"/>
              </w:rPr>
            </w:pPr>
            <w:r w:rsidRPr="00FA433F">
              <w:rPr>
                <w:b/>
                <w:noProof/>
                <w:sz w:val="16"/>
              </w:rPr>
              <w:t>Suma cząstkowa DZIAŁ 7</w:t>
            </w:r>
          </w:p>
        </w:tc>
        <w:tc>
          <w:tcPr>
            <w:tcW w:w="498" w:type="pct"/>
            <w:tcBorders>
              <w:top w:val="nil"/>
              <w:left w:val="nil"/>
              <w:bottom w:val="single" w:sz="8" w:space="0" w:color="auto"/>
              <w:right w:val="single" w:sz="8" w:space="0" w:color="auto"/>
            </w:tcBorders>
            <w:shd w:val="clear" w:color="000000" w:fill="D9D9D9"/>
            <w:vAlign w:val="center"/>
            <w:hideMark/>
          </w:tcPr>
          <w:p w14:paraId="4052DC2F" w14:textId="77777777" w:rsidR="00F34BD4" w:rsidRPr="00FA433F" w:rsidRDefault="00F34BD4" w:rsidP="00F34BD4">
            <w:pPr>
              <w:spacing w:before="0" w:after="0"/>
              <w:jc w:val="right"/>
              <w:rPr>
                <w:b/>
                <w:bCs/>
                <w:noProof/>
                <w:sz w:val="16"/>
                <w:szCs w:val="16"/>
              </w:rPr>
            </w:pPr>
            <w:r w:rsidRPr="00FA433F">
              <w:rPr>
                <w:b/>
                <w:noProof/>
                <w:sz w:val="16"/>
              </w:rPr>
              <w:t>0,000</w:t>
            </w:r>
          </w:p>
        </w:tc>
        <w:tc>
          <w:tcPr>
            <w:tcW w:w="498" w:type="pct"/>
            <w:tcBorders>
              <w:top w:val="nil"/>
              <w:left w:val="nil"/>
              <w:bottom w:val="single" w:sz="8" w:space="0" w:color="auto"/>
              <w:right w:val="single" w:sz="8" w:space="0" w:color="auto"/>
            </w:tcBorders>
            <w:shd w:val="clear" w:color="000000" w:fill="D9D9D9"/>
            <w:vAlign w:val="center"/>
            <w:hideMark/>
          </w:tcPr>
          <w:p w14:paraId="45D5D09D" w14:textId="77777777" w:rsidR="00F34BD4" w:rsidRPr="00FA433F" w:rsidRDefault="00F34BD4" w:rsidP="00F34BD4">
            <w:pPr>
              <w:spacing w:before="0" w:after="0"/>
              <w:jc w:val="right"/>
              <w:rPr>
                <w:b/>
                <w:bCs/>
                <w:noProof/>
                <w:sz w:val="16"/>
                <w:szCs w:val="16"/>
              </w:rPr>
            </w:pPr>
            <w:r w:rsidRPr="00FA433F">
              <w:rPr>
                <w:b/>
                <w:noProof/>
                <w:sz w:val="16"/>
              </w:rPr>
              <w:t>0,000</w:t>
            </w:r>
          </w:p>
        </w:tc>
        <w:tc>
          <w:tcPr>
            <w:tcW w:w="498" w:type="pct"/>
            <w:tcBorders>
              <w:top w:val="nil"/>
              <w:left w:val="nil"/>
              <w:bottom w:val="single" w:sz="8" w:space="0" w:color="auto"/>
              <w:right w:val="single" w:sz="4" w:space="0" w:color="auto"/>
            </w:tcBorders>
            <w:shd w:val="clear" w:color="000000" w:fill="D9D9D9"/>
            <w:vAlign w:val="center"/>
            <w:hideMark/>
          </w:tcPr>
          <w:p w14:paraId="36B0F333" w14:textId="77777777" w:rsidR="00F34BD4" w:rsidRPr="00FA433F" w:rsidRDefault="00F34BD4" w:rsidP="00F34BD4">
            <w:pPr>
              <w:spacing w:before="0" w:after="0"/>
              <w:jc w:val="right"/>
              <w:rPr>
                <w:b/>
                <w:bCs/>
                <w:noProof/>
                <w:sz w:val="16"/>
                <w:szCs w:val="16"/>
              </w:rPr>
            </w:pPr>
            <w:r w:rsidRPr="00FA433F">
              <w:rPr>
                <w:b/>
                <w:noProof/>
                <w:sz w:val="16"/>
              </w:rPr>
              <w:t>0,000</w:t>
            </w:r>
          </w:p>
        </w:tc>
        <w:tc>
          <w:tcPr>
            <w:tcW w:w="498" w:type="pct"/>
            <w:tcBorders>
              <w:top w:val="nil"/>
              <w:left w:val="single" w:sz="4" w:space="0" w:color="auto"/>
              <w:bottom w:val="single" w:sz="8" w:space="0" w:color="auto"/>
              <w:right w:val="single" w:sz="4" w:space="0" w:color="auto"/>
            </w:tcBorders>
            <w:shd w:val="clear" w:color="000000" w:fill="D9D9D9"/>
            <w:vAlign w:val="center"/>
          </w:tcPr>
          <w:p w14:paraId="3D6EAF0A" w14:textId="77777777" w:rsidR="00F34BD4" w:rsidRPr="00FA433F" w:rsidRDefault="00F34BD4" w:rsidP="00F34BD4">
            <w:pPr>
              <w:spacing w:before="0" w:after="0"/>
              <w:jc w:val="right"/>
              <w:rPr>
                <w:b/>
                <w:bCs/>
                <w:noProof/>
                <w:sz w:val="16"/>
                <w:szCs w:val="16"/>
              </w:rPr>
            </w:pPr>
            <w:r w:rsidRPr="00FA433F">
              <w:rPr>
                <w:b/>
                <w:noProof/>
                <w:sz w:val="16"/>
              </w:rPr>
              <w:t>0,000</w:t>
            </w:r>
          </w:p>
        </w:tc>
        <w:tc>
          <w:tcPr>
            <w:tcW w:w="498" w:type="pct"/>
            <w:tcBorders>
              <w:top w:val="nil"/>
              <w:left w:val="single" w:sz="4" w:space="0" w:color="auto"/>
              <w:bottom w:val="single" w:sz="8" w:space="0" w:color="auto"/>
              <w:right w:val="single" w:sz="8" w:space="0" w:color="auto"/>
            </w:tcBorders>
            <w:shd w:val="clear" w:color="000000" w:fill="D9D9D9"/>
            <w:vAlign w:val="center"/>
            <w:hideMark/>
          </w:tcPr>
          <w:p w14:paraId="5A3DDF5C" w14:textId="77777777" w:rsidR="00F34BD4" w:rsidRPr="00FA433F" w:rsidRDefault="00F34BD4" w:rsidP="00F34BD4">
            <w:pPr>
              <w:spacing w:before="0" w:after="0"/>
              <w:jc w:val="right"/>
              <w:rPr>
                <w:b/>
                <w:bCs/>
                <w:noProof/>
                <w:sz w:val="16"/>
                <w:szCs w:val="16"/>
              </w:rPr>
            </w:pPr>
            <w:r w:rsidRPr="00FA433F">
              <w:rPr>
                <w:b/>
                <w:noProof/>
                <w:sz w:val="16"/>
              </w:rPr>
              <w:t>0,000</w:t>
            </w:r>
          </w:p>
        </w:tc>
        <w:tc>
          <w:tcPr>
            <w:tcW w:w="559" w:type="pct"/>
            <w:tcBorders>
              <w:top w:val="nil"/>
              <w:left w:val="nil"/>
              <w:bottom w:val="single" w:sz="8" w:space="0" w:color="auto"/>
              <w:right w:val="single" w:sz="8" w:space="0" w:color="auto"/>
            </w:tcBorders>
            <w:shd w:val="clear" w:color="000000" w:fill="D9D9D9"/>
            <w:vAlign w:val="center"/>
            <w:hideMark/>
          </w:tcPr>
          <w:p w14:paraId="12AEA644" w14:textId="77777777" w:rsidR="00F34BD4" w:rsidRPr="00FA433F" w:rsidRDefault="00F34BD4" w:rsidP="00F34BD4">
            <w:pPr>
              <w:spacing w:before="0" w:after="0"/>
              <w:jc w:val="right"/>
              <w:rPr>
                <w:b/>
                <w:bCs/>
                <w:noProof/>
                <w:sz w:val="16"/>
                <w:szCs w:val="16"/>
              </w:rPr>
            </w:pPr>
            <w:r w:rsidRPr="00FA433F">
              <w:rPr>
                <w:b/>
                <w:noProof/>
                <w:sz w:val="16"/>
              </w:rPr>
              <w:t>0,000</w:t>
            </w:r>
          </w:p>
        </w:tc>
      </w:tr>
      <w:tr w:rsidR="00F34BD4" w:rsidRPr="00FA433F" w14:paraId="57AF0065" w14:textId="77777777" w:rsidTr="00F34BD4">
        <w:trPr>
          <w:trHeight w:val="300"/>
        </w:trPr>
        <w:tc>
          <w:tcPr>
            <w:tcW w:w="498" w:type="pct"/>
            <w:tcBorders>
              <w:top w:val="single" w:sz="8" w:space="0" w:color="auto"/>
              <w:left w:val="single" w:sz="8" w:space="0" w:color="auto"/>
              <w:bottom w:val="single" w:sz="8" w:space="0" w:color="auto"/>
              <w:right w:val="single" w:sz="4" w:space="0" w:color="auto"/>
            </w:tcBorders>
          </w:tcPr>
          <w:p w14:paraId="4CB18E7B" w14:textId="77777777" w:rsidR="00F34BD4" w:rsidRPr="00FA433F" w:rsidRDefault="00F34BD4">
            <w:pPr>
              <w:spacing w:before="0" w:after="0"/>
              <w:jc w:val="left"/>
              <w:rPr>
                <w:b/>
                <w:bCs/>
                <w:noProof/>
                <w:sz w:val="16"/>
                <w:szCs w:val="16"/>
                <w:lang w:eastAsia="en-IE"/>
              </w:rPr>
            </w:pPr>
          </w:p>
        </w:tc>
        <w:tc>
          <w:tcPr>
            <w:tcW w:w="4502" w:type="pct"/>
            <w:gridSpan w:val="7"/>
            <w:tcBorders>
              <w:top w:val="single" w:sz="8" w:space="0" w:color="auto"/>
              <w:left w:val="single" w:sz="4" w:space="0" w:color="auto"/>
              <w:bottom w:val="single" w:sz="8" w:space="0" w:color="auto"/>
              <w:right w:val="single" w:sz="4" w:space="0" w:color="auto"/>
            </w:tcBorders>
            <w:vAlign w:val="center"/>
            <w:hideMark/>
          </w:tcPr>
          <w:p w14:paraId="52B3D2E8" w14:textId="77777777" w:rsidR="00F34BD4" w:rsidRPr="00FA433F" w:rsidRDefault="00F34BD4">
            <w:pPr>
              <w:spacing w:before="0" w:after="0"/>
              <w:jc w:val="left"/>
              <w:rPr>
                <w:b/>
                <w:bCs/>
                <w:noProof/>
                <w:sz w:val="16"/>
                <w:szCs w:val="16"/>
              </w:rPr>
            </w:pPr>
            <w:r w:rsidRPr="00FA433F">
              <w:rPr>
                <w:b/>
                <w:noProof/>
                <w:sz w:val="16"/>
              </w:rPr>
              <w:t>Poza DZIAŁEM 4</w:t>
            </w:r>
          </w:p>
        </w:tc>
      </w:tr>
      <w:tr w:rsidR="00F34BD4" w:rsidRPr="00FA433F" w14:paraId="26EB6B5E" w14:textId="77777777" w:rsidTr="00EA3058">
        <w:trPr>
          <w:trHeight w:val="300"/>
        </w:trPr>
        <w:tc>
          <w:tcPr>
            <w:tcW w:w="1951" w:type="pct"/>
            <w:gridSpan w:val="2"/>
            <w:tcBorders>
              <w:top w:val="nil"/>
              <w:left w:val="single" w:sz="8" w:space="0" w:color="auto"/>
              <w:bottom w:val="single" w:sz="8" w:space="0" w:color="auto"/>
              <w:right w:val="single" w:sz="8" w:space="0" w:color="auto"/>
            </w:tcBorders>
            <w:vAlign w:val="center"/>
            <w:hideMark/>
          </w:tcPr>
          <w:p w14:paraId="6FAF1508" w14:textId="77777777" w:rsidR="00F34BD4" w:rsidRPr="00FA433F" w:rsidRDefault="00F34BD4" w:rsidP="00F34BD4">
            <w:pPr>
              <w:spacing w:before="0" w:after="0"/>
              <w:jc w:val="left"/>
              <w:rPr>
                <w:noProof/>
                <w:sz w:val="16"/>
                <w:szCs w:val="16"/>
              </w:rPr>
            </w:pPr>
            <w:r w:rsidRPr="00FA433F">
              <w:rPr>
                <w:noProof/>
                <w:sz w:val="16"/>
              </w:rPr>
              <w:t xml:space="preserve">Zasoby ludzkie </w:t>
            </w:r>
          </w:p>
        </w:tc>
        <w:tc>
          <w:tcPr>
            <w:tcW w:w="498" w:type="pct"/>
            <w:tcBorders>
              <w:top w:val="nil"/>
              <w:left w:val="nil"/>
              <w:bottom w:val="single" w:sz="8" w:space="0" w:color="auto"/>
              <w:right w:val="single" w:sz="8" w:space="0" w:color="auto"/>
            </w:tcBorders>
            <w:shd w:val="clear" w:color="000000" w:fill="D9D9D9"/>
            <w:vAlign w:val="center"/>
            <w:hideMark/>
          </w:tcPr>
          <w:p w14:paraId="2AC6B4CA" w14:textId="77777777" w:rsidR="00F34BD4" w:rsidRPr="00FA433F" w:rsidRDefault="00F34BD4" w:rsidP="00F34BD4">
            <w:pPr>
              <w:spacing w:before="0" w:after="0"/>
              <w:jc w:val="right"/>
              <w:rPr>
                <w:noProof/>
                <w:sz w:val="16"/>
                <w:szCs w:val="16"/>
              </w:rPr>
            </w:pPr>
            <w:r w:rsidRPr="00FA433F">
              <w:rPr>
                <w:noProof/>
                <w:sz w:val="16"/>
              </w:rPr>
              <w:t>0,000</w:t>
            </w:r>
          </w:p>
        </w:tc>
        <w:tc>
          <w:tcPr>
            <w:tcW w:w="498" w:type="pct"/>
            <w:tcBorders>
              <w:top w:val="nil"/>
              <w:left w:val="nil"/>
              <w:bottom w:val="single" w:sz="8" w:space="0" w:color="auto"/>
              <w:right w:val="single" w:sz="8" w:space="0" w:color="auto"/>
            </w:tcBorders>
            <w:shd w:val="clear" w:color="000000" w:fill="D9D9D9"/>
            <w:vAlign w:val="center"/>
            <w:hideMark/>
          </w:tcPr>
          <w:p w14:paraId="24127DFB" w14:textId="77777777" w:rsidR="00F34BD4" w:rsidRPr="00FA433F" w:rsidRDefault="004B5843" w:rsidP="00F34BD4">
            <w:pPr>
              <w:spacing w:before="0" w:after="0"/>
              <w:jc w:val="right"/>
              <w:rPr>
                <w:noProof/>
                <w:sz w:val="16"/>
                <w:szCs w:val="16"/>
              </w:rPr>
            </w:pPr>
            <w:r w:rsidRPr="00FA433F">
              <w:rPr>
                <w:noProof/>
                <w:sz w:val="16"/>
              </w:rPr>
              <w:t>0,000</w:t>
            </w:r>
          </w:p>
        </w:tc>
        <w:tc>
          <w:tcPr>
            <w:tcW w:w="498" w:type="pct"/>
            <w:tcBorders>
              <w:top w:val="nil"/>
              <w:left w:val="nil"/>
              <w:bottom w:val="single" w:sz="8" w:space="0" w:color="auto"/>
              <w:right w:val="single" w:sz="4" w:space="0" w:color="auto"/>
            </w:tcBorders>
            <w:shd w:val="clear" w:color="000000" w:fill="D9D9D9"/>
            <w:vAlign w:val="center"/>
            <w:hideMark/>
          </w:tcPr>
          <w:p w14:paraId="7477BC6E" w14:textId="77777777" w:rsidR="00F34BD4" w:rsidRPr="00FA433F" w:rsidRDefault="001D1459" w:rsidP="00F34BD4">
            <w:pPr>
              <w:spacing w:before="0" w:after="0"/>
              <w:jc w:val="right"/>
              <w:rPr>
                <w:noProof/>
                <w:sz w:val="16"/>
                <w:szCs w:val="16"/>
              </w:rPr>
            </w:pPr>
            <w:r w:rsidRPr="00FA433F">
              <w:rPr>
                <w:noProof/>
                <w:sz w:val="16"/>
              </w:rPr>
              <w:t>1,129</w:t>
            </w:r>
          </w:p>
        </w:tc>
        <w:tc>
          <w:tcPr>
            <w:tcW w:w="498" w:type="pct"/>
            <w:tcBorders>
              <w:top w:val="nil"/>
              <w:left w:val="single" w:sz="4" w:space="0" w:color="auto"/>
              <w:bottom w:val="single" w:sz="8" w:space="0" w:color="auto"/>
              <w:right w:val="single" w:sz="4" w:space="0" w:color="auto"/>
            </w:tcBorders>
            <w:shd w:val="clear" w:color="000000" w:fill="D9D9D9"/>
            <w:vAlign w:val="center"/>
          </w:tcPr>
          <w:p w14:paraId="3084B548" w14:textId="77777777" w:rsidR="00F34BD4" w:rsidRPr="00FA433F" w:rsidRDefault="001D1459" w:rsidP="00F34BD4">
            <w:pPr>
              <w:spacing w:before="0" w:after="0"/>
              <w:jc w:val="right"/>
              <w:rPr>
                <w:noProof/>
                <w:sz w:val="16"/>
                <w:szCs w:val="16"/>
              </w:rPr>
            </w:pPr>
            <w:r w:rsidRPr="00FA433F">
              <w:rPr>
                <w:noProof/>
                <w:sz w:val="16"/>
              </w:rPr>
              <w:t>0,753</w:t>
            </w:r>
          </w:p>
        </w:tc>
        <w:tc>
          <w:tcPr>
            <w:tcW w:w="498" w:type="pct"/>
            <w:tcBorders>
              <w:top w:val="nil"/>
              <w:left w:val="single" w:sz="4" w:space="0" w:color="auto"/>
              <w:bottom w:val="single" w:sz="8" w:space="0" w:color="auto"/>
              <w:right w:val="single" w:sz="8" w:space="0" w:color="auto"/>
            </w:tcBorders>
            <w:shd w:val="clear" w:color="000000" w:fill="D9D9D9"/>
            <w:vAlign w:val="center"/>
            <w:hideMark/>
          </w:tcPr>
          <w:p w14:paraId="6E2B6598" w14:textId="77777777" w:rsidR="00F34BD4" w:rsidRPr="00FA433F" w:rsidRDefault="00F34BD4" w:rsidP="00F34BD4">
            <w:pPr>
              <w:spacing w:before="0" w:after="0"/>
              <w:jc w:val="right"/>
              <w:rPr>
                <w:noProof/>
                <w:sz w:val="16"/>
                <w:szCs w:val="16"/>
              </w:rPr>
            </w:pPr>
            <w:r w:rsidRPr="00FA433F">
              <w:rPr>
                <w:noProof/>
                <w:sz w:val="16"/>
              </w:rPr>
              <w:t>0,251</w:t>
            </w:r>
          </w:p>
        </w:tc>
        <w:tc>
          <w:tcPr>
            <w:tcW w:w="559" w:type="pct"/>
            <w:tcBorders>
              <w:top w:val="nil"/>
              <w:left w:val="nil"/>
              <w:bottom w:val="single" w:sz="8" w:space="0" w:color="auto"/>
              <w:right w:val="single" w:sz="8" w:space="0" w:color="auto"/>
            </w:tcBorders>
            <w:shd w:val="clear" w:color="000000" w:fill="D9D9D9"/>
            <w:vAlign w:val="center"/>
            <w:hideMark/>
          </w:tcPr>
          <w:p w14:paraId="11E55B47" w14:textId="77777777" w:rsidR="00F34BD4" w:rsidRPr="00FA433F" w:rsidRDefault="00D721EB" w:rsidP="00F34BD4">
            <w:pPr>
              <w:spacing w:before="0" w:after="0"/>
              <w:jc w:val="right"/>
              <w:rPr>
                <w:b/>
                <w:bCs/>
                <w:noProof/>
                <w:sz w:val="16"/>
                <w:szCs w:val="16"/>
              </w:rPr>
            </w:pPr>
            <w:r w:rsidRPr="00FA433F">
              <w:rPr>
                <w:b/>
                <w:noProof/>
                <w:sz w:val="16"/>
              </w:rPr>
              <w:t>2,133</w:t>
            </w:r>
          </w:p>
        </w:tc>
      </w:tr>
      <w:tr w:rsidR="002A3785" w:rsidRPr="00FA433F" w14:paraId="680A5812" w14:textId="77777777" w:rsidTr="00EA3058">
        <w:trPr>
          <w:trHeight w:val="300"/>
        </w:trPr>
        <w:tc>
          <w:tcPr>
            <w:tcW w:w="1951" w:type="pct"/>
            <w:gridSpan w:val="2"/>
            <w:tcBorders>
              <w:top w:val="nil"/>
              <w:left w:val="single" w:sz="8" w:space="0" w:color="auto"/>
              <w:bottom w:val="single" w:sz="8" w:space="0" w:color="auto"/>
              <w:right w:val="single" w:sz="8" w:space="0" w:color="auto"/>
            </w:tcBorders>
            <w:vAlign w:val="center"/>
            <w:hideMark/>
          </w:tcPr>
          <w:p w14:paraId="3082ADF2" w14:textId="2E80F248" w:rsidR="002A3785" w:rsidRPr="00FA433F" w:rsidRDefault="002A3785" w:rsidP="002A3785">
            <w:pPr>
              <w:spacing w:before="0" w:after="0"/>
              <w:jc w:val="left"/>
              <w:rPr>
                <w:noProof/>
                <w:sz w:val="16"/>
                <w:szCs w:val="16"/>
              </w:rPr>
            </w:pPr>
            <w:r w:rsidRPr="00FA433F">
              <w:rPr>
                <w:noProof/>
                <w:sz w:val="16"/>
              </w:rPr>
              <w:t>Pozostałe wydatki</w:t>
            </w:r>
            <w:r w:rsidR="00FA433F" w:rsidRPr="00FA433F">
              <w:rPr>
                <w:noProof/>
                <w:sz w:val="16"/>
              </w:rPr>
              <w:t xml:space="preserve"> o</w:t>
            </w:r>
            <w:r w:rsidR="00FA433F">
              <w:rPr>
                <w:noProof/>
                <w:sz w:val="16"/>
              </w:rPr>
              <w:t> </w:t>
            </w:r>
            <w:r w:rsidR="00FA433F" w:rsidRPr="00FA433F">
              <w:rPr>
                <w:noProof/>
                <w:sz w:val="16"/>
              </w:rPr>
              <w:t>cha</w:t>
            </w:r>
            <w:r w:rsidRPr="00FA433F">
              <w:rPr>
                <w:noProof/>
                <w:sz w:val="16"/>
              </w:rPr>
              <w:t>rakterze administracyjnym</w:t>
            </w:r>
          </w:p>
        </w:tc>
        <w:tc>
          <w:tcPr>
            <w:tcW w:w="498" w:type="pct"/>
            <w:tcBorders>
              <w:top w:val="nil"/>
              <w:left w:val="nil"/>
              <w:bottom w:val="single" w:sz="8" w:space="0" w:color="auto"/>
              <w:right w:val="single" w:sz="8" w:space="0" w:color="auto"/>
            </w:tcBorders>
            <w:shd w:val="clear" w:color="000000" w:fill="D9D9D9"/>
            <w:vAlign w:val="center"/>
            <w:hideMark/>
          </w:tcPr>
          <w:p w14:paraId="2057EA9E" w14:textId="77777777" w:rsidR="002A3785" w:rsidRPr="00FA433F" w:rsidRDefault="002A3785" w:rsidP="002A3785">
            <w:pPr>
              <w:spacing w:before="0" w:after="0"/>
              <w:jc w:val="right"/>
              <w:rPr>
                <w:noProof/>
                <w:sz w:val="16"/>
                <w:szCs w:val="16"/>
              </w:rPr>
            </w:pPr>
            <w:r w:rsidRPr="00FA433F">
              <w:rPr>
                <w:noProof/>
                <w:sz w:val="16"/>
              </w:rPr>
              <w:t>0,000</w:t>
            </w:r>
          </w:p>
        </w:tc>
        <w:tc>
          <w:tcPr>
            <w:tcW w:w="498" w:type="pct"/>
            <w:tcBorders>
              <w:top w:val="nil"/>
              <w:left w:val="nil"/>
              <w:bottom w:val="single" w:sz="8" w:space="0" w:color="auto"/>
              <w:right w:val="single" w:sz="8" w:space="0" w:color="auto"/>
            </w:tcBorders>
            <w:shd w:val="clear" w:color="000000" w:fill="D9D9D9"/>
            <w:vAlign w:val="center"/>
            <w:hideMark/>
          </w:tcPr>
          <w:p w14:paraId="67D070BC" w14:textId="77777777" w:rsidR="002A3785" w:rsidRPr="00FA433F" w:rsidRDefault="002A3785" w:rsidP="002A3785">
            <w:pPr>
              <w:spacing w:before="0" w:after="0"/>
              <w:jc w:val="right"/>
              <w:rPr>
                <w:noProof/>
                <w:sz w:val="16"/>
                <w:szCs w:val="16"/>
              </w:rPr>
            </w:pPr>
            <w:r w:rsidRPr="00FA433F">
              <w:rPr>
                <w:noProof/>
                <w:sz w:val="16"/>
              </w:rPr>
              <w:t>0,000</w:t>
            </w:r>
          </w:p>
        </w:tc>
        <w:tc>
          <w:tcPr>
            <w:tcW w:w="498" w:type="pct"/>
            <w:tcBorders>
              <w:top w:val="nil"/>
              <w:left w:val="nil"/>
              <w:bottom w:val="single" w:sz="8" w:space="0" w:color="auto"/>
              <w:right w:val="single" w:sz="4" w:space="0" w:color="auto"/>
            </w:tcBorders>
            <w:shd w:val="clear" w:color="000000" w:fill="D9D9D9"/>
            <w:vAlign w:val="center"/>
            <w:hideMark/>
          </w:tcPr>
          <w:p w14:paraId="4281C51F" w14:textId="77777777" w:rsidR="002A3785" w:rsidRPr="00FA433F" w:rsidRDefault="002A3785" w:rsidP="002A3785">
            <w:pPr>
              <w:spacing w:before="0" w:after="0"/>
              <w:jc w:val="right"/>
              <w:rPr>
                <w:noProof/>
                <w:sz w:val="16"/>
                <w:szCs w:val="16"/>
              </w:rPr>
            </w:pPr>
            <w:r w:rsidRPr="00FA433F">
              <w:rPr>
                <w:noProof/>
                <w:sz w:val="16"/>
              </w:rPr>
              <w:t>0,200</w:t>
            </w:r>
          </w:p>
        </w:tc>
        <w:tc>
          <w:tcPr>
            <w:tcW w:w="498" w:type="pct"/>
            <w:tcBorders>
              <w:top w:val="nil"/>
              <w:left w:val="single" w:sz="4" w:space="0" w:color="auto"/>
              <w:bottom w:val="single" w:sz="8" w:space="0" w:color="auto"/>
              <w:right w:val="single" w:sz="4" w:space="0" w:color="auto"/>
            </w:tcBorders>
            <w:shd w:val="clear" w:color="000000" w:fill="D9D9D9"/>
            <w:vAlign w:val="center"/>
          </w:tcPr>
          <w:p w14:paraId="07741486" w14:textId="77777777" w:rsidR="002A3785" w:rsidRPr="00FA433F" w:rsidRDefault="002A3785" w:rsidP="002A3785">
            <w:pPr>
              <w:spacing w:before="0" w:after="0"/>
              <w:jc w:val="right"/>
              <w:rPr>
                <w:noProof/>
                <w:sz w:val="16"/>
                <w:szCs w:val="16"/>
              </w:rPr>
            </w:pPr>
            <w:r w:rsidRPr="00FA433F">
              <w:rPr>
                <w:noProof/>
                <w:sz w:val="16"/>
              </w:rPr>
              <w:t>0,500</w:t>
            </w:r>
          </w:p>
        </w:tc>
        <w:tc>
          <w:tcPr>
            <w:tcW w:w="498" w:type="pct"/>
            <w:tcBorders>
              <w:top w:val="nil"/>
              <w:left w:val="single" w:sz="4" w:space="0" w:color="auto"/>
              <w:bottom w:val="single" w:sz="8" w:space="0" w:color="auto"/>
              <w:right w:val="single" w:sz="8" w:space="0" w:color="auto"/>
            </w:tcBorders>
            <w:shd w:val="clear" w:color="000000" w:fill="D9D9D9"/>
            <w:vAlign w:val="center"/>
            <w:hideMark/>
          </w:tcPr>
          <w:p w14:paraId="0B441F7E" w14:textId="77777777" w:rsidR="002A3785" w:rsidRPr="00FA433F" w:rsidRDefault="002A3785" w:rsidP="002A3785">
            <w:pPr>
              <w:spacing w:before="0" w:after="0"/>
              <w:jc w:val="right"/>
              <w:rPr>
                <w:noProof/>
                <w:sz w:val="16"/>
                <w:szCs w:val="16"/>
              </w:rPr>
            </w:pPr>
            <w:r w:rsidRPr="00FA433F">
              <w:rPr>
                <w:noProof/>
                <w:sz w:val="16"/>
              </w:rPr>
              <w:t>0,000</w:t>
            </w:r>
          </w:p>
        </w:tc>
        <w:tc>
          <w:tcPr>
            <w:tcW w:w="559" w:type="pct"/>
            <w:tcBorders>
              <w:top w:val="nil"/>
              <w:left w:val="nil"/>
              <w:bottom w:val="single" w:sz="8" w:space="0" w:color="auto"/>
              <w:right w:val="single" w:sz="8" w:space="0" w:color="auto"/>
            </w:tcBorders>
            <w:shd w:val="clear" w:color="000000" w:fill="D9D9D9"/>
            <w:vAlign w:val="center"/>
            <w:hideMark/>
          </w:tcPr>
          <w:p w14:paraId="4F78CAD6" w14:textId="77777777" w:rsidR="002A3785" w:rsidRPr="00FA433F" w:rsidRDefault="002A3785" w:rsidP="002A3785">
            <w:pPr>
              <w:spacing w:before="0" w:after="0"/>
              <w:jc w:val="right"/>
              <w:rPr>
                <w:b/>
                <w:bCs/>
                <w:noProof/>
                <w:sz w:val="16"/>
                <w:szCs w:val="16"/>
              </w:rPr>
            </w:pPr>
            <w:r w:rsidRPr="00FA433F">
              <w:rPr>
                <w:b/>
                <w:noProof/>
                <w:sz w:val="16"/>
              </w:rPr>
              <w:t>0,700</w:t>
            </w:r>
          </w:p>
        </w:tc>
      </w:tr>
      <w:tr w:rsidR="002A3785" w:rsidRPr="00FA433F" w14:paraId="2CFC35BC" w14:textId="77777777">
        <w:trPr>
          <w:trHeight w:val="300"/>
        </w:trPr>
        <w:tc>
          <w:tcPr>
            <w:tcW w:w="1951" w:type="pct"/>
            <w:gridSpan w:val="2"/>
            <w:tcBorders>
              <w:top w:val="nil"/>
              <w:left w:val="single" w:sz="8" w:space="0" w:color="auto"/>
              <w:bottom w:val="single" w:sz="8" w:space="0" w:color="auto"/>
              <w:right w:val="single" w:sz="8" w:space="0" w:color="auto"/>
            </w:tcBorders>
            <w:shd w:val="clear" w:color="000000" w:fill="CCCCCC"/>
            <w:vAlign w:val="center"/>
            <w:hideMark/>
          </w:tcPr>
          <w:p w14:paraId="6FE18CB1" w14:textId="77777777" w:rsidR="002A3785" w:rsidRPr="00FA433F" w:rsidRDefault="002A3785" w:rsidP="002A3785">
            <w:pPr>
              <w:spacing w:before="0" w:after="0"/>
              <w:jc w:val="center"/>
              <w:rPr>
                <w:b/>
                <w:bCs/>
                <w:noProof/>
                <w:sz w:val="16"/>
                <w:szCs w:val="16"/>
              </w:rPr>
            </w:pPr>
            <w:r w:rsidRPr="00FA433F">
              <w:rPr>
                <w:b/>
                <w:noProof/>
                <w:sz w:val="16"/>
              </w:rPr>
              <w:t>Suma cząstkowa poza DZIAŁEM 4</w:t>
            </w:r>
          </w:p>
        </w:tc>
        <w:tc>
          <w:tcPr>
            <w:tcW w:w="498" w:type="pct"/>
            <w:tcBorders>
              <w:top w:val="nil"/>
              <w:left w:val="nil"/>
              <w:bottom w:val="single" w:sz="8" w:space="0" w:color="auto"/>
              <w:right w:val="single" w:sz="8" w:space="0" w:color="auto"/>
            </w:tcBorders>
            <w:shd w:val="clear" w:color="000000" w:fill="D9D9D9"/>
            <w:vAlign w:val="center"/>
            <w:hideMark/>
          </w:tcPr>
          <w:p w14:paraId="3ADF608E" w14:textId="77777777" w:rsidR="002A3785" w:rsidRPr="00FA433F" w:rsidRDefault="002A3785" w:rsidP="002A3785">
            <w:pPr>
              <w:spacing w:before="0" w:after="0"/>
              <w:jc w:val="right"/>
              <w:rPr>
                <w:b/>
                <w:bCs/>
                <w:noProof/>
                <w:sz w:val="16"/>
                <w:szCs w:val="16"/>
              </w:rPr>
            </w:pPr>
            <w:r w:rsidRPr="00FA433F">
              <w:rPr>
                <w:b/>
                <w:noProof/>
                <w:sz w:val="16"/>
              </w:rPr>
              <w:t>0,000</w:t>
            </w:r>
          </w:p>
        </w:tc>
        <w:tc>
          <w:tcPr>
            <w:tcW w:w="498" w:type="pct"/>
            <w:tcBorders>
              <w:top w:val="nil"/>
              <w:left w:val="nil"/>
              <w:bottom w:val="single" w:sz="8" w:space="0" w:color="auto"/>
              <w:right w:val="single" w:sz="8" w:space="0" w:color="auto"/>
            </w:tcBorders>
            <w:shd w:val="clear" w:color="000000" w:fill="D9D9D9"/>
            <w:vAlign w:val="center"/>
            <w:hideMark/>
          </w:tcPr>
          <w:p w14:paraId="268803F9" w14:textId="1EE927B2" w:rsidR="002A3785" w:rsidRPr="00FA433F" w:rsidRDefault="002525A0" w:rsidP="002A3785">
            <w:pPr>
              <w:spacing w:before="0" w:after="0"/>
              <w:jc w:val="right"/>
              <w:rPr>
                <w:b/>
                <w:bCs/>
                <w:noProof/>
                <w:sz w:val="16"/>
                <w:szCs w:val="16"/>
              </w:rPr>
            </w:pPr>
            <w:r w:rsidRPr="00FA433F">
              <w:rPr>
                <w:b/>
                <w:noProof/>
                <w:sz w:val="16"/>
              </w:rPr>
              <w:t>0,000</w:t>
            </w:r>
          </w:p>
        </w:tc>
        <w:tc>
          <w:tcPr>
            <w:tcW w:w="498" w:type="pct"/>
            <w:tcBorders>
              <w:top w:val="nil"/>
              <w:left w:val="nil"/>
              <w:bottom w:val="single" w:sz="8" w:space="0" w:color="auto"/>
              <w:right w:val="single" w:sz="4" w:space="0" w:color="auto"/>
            </w:tcBorders>
            <w:shd w:val="clear" w:color="000000" w:fill="D9D9D9"/>
            <w:vAlign w:val="center"/>
            <w:hideMark/>
          </w:tcPr>
          <w:p w14:paraId="4B0D3FDF" w14:textId="77777777" w:rsidR="002A3785" w:rsidRPr="00FA433F" w:rsidRDefault="002A3785" w:rsidP="002A3785">
            <w:pPr>
              <w:spacing w:before="0" w:after="0"/>
              <w:jc w:val="right"/>
              <w:rPr>
                <w:b/>
                <w:bCs/>
                <w:noProof/>
                <w:sz w:val="16"/>
                <w:szCs w:val="16"/>
              </w:rPr>
            </w:pPr>
            <w:r w:rsidRPr="00FA433F">
              <w:rPr>
                <w:b/>
                <w:noProof/>
                <w:sz w:val="16"/>
              </w:rPr>
              <w:t>1,329</w:t>
            </w:r>
          </w:p>
        </w:tc>
        <w:tc>
          <w:tcPr>
            <w:tcW w:w="498" w:type="pct"/>
            <w:tcBorders>
              <w:top w:val="nil"/>
              <w:left w:val="single" w:sz="4" w:space="0" w:color="auto"/>
              <w:bottom w:val="single" w:sz="8" w:space="0" w:color="auto"/>
              <w:right w:val="single" w:sz="4" w:space="0" w:color="auto"/>
            </w:tcBorders>
            <w:shd w:val="clear" w:color="000000" w:fill="D9D9D9"/>
            <w:vAlign w:val="center"/>
          </w:tcPr>
          <w:p w14:paraId="565834BD" w14:textId="77777777" w:rsidR="002A3785" w:rsidRPr="00FA433F" w:rsidRDefault="002A3785" w:rsidP="002A3785">
            <w:pPr>
              <w:spacing w:before="0" w:after="0"/>
              <w:jc w:val="right"/>
              <w:rPr>
                <w:b/>
                <w:bCs/>
                <w:noProof/>
                <w:sz w:val="16"/>
                <w:szCs w:val="16"/>
              </w:rPr>
            </w:pPr>
            <w:r w:rsidRPr="00FA433F">
              <w:rPr>
                <w:b/>
                <w:noProof/>
                <w:sz w:val="16"/>
              </w:rPr>
              <w:t>1,253</w:t>
            </w:r>
          </w:p>
        </w:tc>
        <w:tc>
          <w:tcPr>
            <w:tcW w:w="498" w:type="pct"/>
            <w:tcBorders>
              <w:top w:val="nil"/>
              <w:left w:val="single" w:sz="4" w:space="0" w:color="auto"/>
              <w:bottom w:val="single" w:sz="8" w:space="0" w:color="auto"/>
              <w:right w:val="single" w:sz="8" w:space="0" w:color="auto"/>
            </w:tcBorders>
            <w:shd w:val="clear" w:color="000000" w:fill="D9D9D9"/>
            <w:vAlign w:val="center"/>
            <w:hideMark/>
          </w:tcPr>
          <w:p w14:paraId="10EC11A0" w14:textId="77777777" w:rsidR="002A3785" w:rsidRPr="00FA433F" w:rsidRDefault="002A3785" w:rsidP="002A3785">
            <w:pPr>
              <w:spacing w:before="0" w:after="0"/>
              <w:jc w:val="right"/>
              <w:rPr>
                <w:b/>
                <w:bCs/>
                <w:noProof/>
                <w:sz w:val="16"/>
                <w:szCs w:val="16"/>
              </w:rPr>
            </w:pPr>
            <w:r w:rsidRPr="00FA433F">
              <w:rPr>
                <w:b/>
                <w:noProof/>
                <w:sz w:val="16"/>
              </w:rPr>
              <w:t>0,251</w:t>
            </w:r>
          </w:p>
        </w:tc>
        <w:tc>
          <w:tcPr>
            <w:tcW w:w="559" w:type="pct"/>
            <w:tcBorders>
              <w:top w:val="nil"/>
              <w:left w:val="nil"/>
              <w:bottom w:val="single" w:sz="8" w:space="0" w:color="auto"/>
              <w:right w:val="single" w:sz="8" w:space="0" w:color="auto"/>
            </w:tcBorders>
            <w:shd w:val="clear" w:color="000000" w:fill="D9D9D9"/>
            <w:vAlign w:val="center"/>
            <w:hideMark/>
          </w:tcPr>
          <w:p w14:paraId="4B6CEE3B" w14:textId="77777777" w:rsidR="002A3785" w:rsidRPr="00FA433F" w:rsidRDefault="00881C86" w:rsidP="002A3785">
            <w:pPr>
              <w:spacing w:before="0" w:after="0"/>
              <w:jc w:val="right"/>
              <w:rPr>
                <w:b/>
                <w:bCs/>
                <w:noProof/>
                <w:sz w:val="16"/>
                <w:szCs w:val="16"/>
              </w:rPr>
            </w:pPr>
            <w:r w:rsidRPr="00FA433F">
              <w:rPr>
                <w:b/>
                <w:noProof/>
                <w:sz w:val="16"/>
              </w:rPr>
              <w:t>2,833</w:t>
            </w:r>
          </w:p>
        </w:tc>
      </w:tr>
      <w:tr w:rsidR="002A3785" w:rsidRPr="00FA433F" w14:paraId="5903271A" w14:textId="77777777" w:rsidTr="004529B7">
        <w:trPr>
          <w:trHeight w:val="300"/>
        </w:trPr>
        <w:tc>
          <w:tcPr>
            <w:tcW w:w="498" w:type="pct"/>
            <w:tcBorders>
              <w:top w:val="single" w:sz="8" w:space="0" w:color="auto"/>
              <w:left w:val="single" w:sz="8" w:space="0" w:color="auto"/>
              <w:bottom w:val="single" w:sz="8" w:space="0" w:color="auto"/>
              <w:right w:val="single" w:sz="4" w:space="0" w:color="auto"/>
            </w:tcBorders>
          </w:tcPr>
          <w:p w14:paraId="62A64124" w14:textId="77777777" w:rsidR="002A3785" w:rsidRPr="00FA433F" w:rsidRDefault="002A3785" w:rsidP="002A3785">
            <w:pPr>
              <w:spacing w:before="0" w:after="0"/>
              <w:jc w:val="center"/>
              <w:rPr>
                <w:noProof/>
                <w:sz w:val="16"/>
                <w:szCs w:val="16"/>
                <w:lang w:eastAsia="en-IE"/>
              </w:rPr>
            </w:pPr>
          </w:p>
        </w:tc>
        <w:tc>
          <w:tcPr>
            <w:tcW w:w="4502" w:type="pct"/>
            <w:gridSpan w:val="7"/>
            <w:tcBorders>
              <w:top w:val="single" w:sz="8" w:space="0" w:color="auto"/>
              <w:left w:val="single" w:sz="4" w:space="0" w:color="auto"/>
              <w:bottom w:val="single" w:sz="8" w:space="0" w:color="auto"/>
              <w:right w:val="single" w:sz="4" w:space="0" w:color="auto"/>
            </w:tcBorders>
            <w:noWrap/>
            <w:vAlign w:val="center"/>
            <w:hideMark/>
          </w:tcPr>
          <w:p w14:paraId="1F1DE5BC" w14:textId="77777777" w:rsidR="002A3785" w:rsidRPr="00FA433F" w:rsidRDefault="002A3785" w:rsidP="002A3785">
            <w:pPr>
              <w:spacing w:before="0" w:after="0"/>
              <w:jc w:val="center"/>
              <w:rPr>
                <w:noProof/>
                <w:sz w:val="16"/>
                <w:szCs w:val="16"/>
                <w:lang w:eastAsia="en-IE"/>
              </w:rPr>
            </w:pPr>
          </w:p>
        </w:tc>
      </w:tr>
      <w:tr w:rsidR="000C18DD" w:rsidRPr="00FA433F" w14:paraId="2A1BC093" w14:textId="77777777" w:rsidTr="004529B7">
        <w:trPr>
          <w:trHeight w:val="312"/>
        </w:trPr>
        <w:tc>
          <w:tcPr>
            <w:tcW w:w="1951" w:type="pct"/>
            <w:gridSpan w:val="2"/>
            <w:tcBorders>
              <w:top w:val="single" w:sz="8" w:space="0" w:color="auto"/>
              <w:left w:val="single" w:sz="8" w:space="0" w:color="auto"/>
              <w:bottom w:val="single" w:sz="8" w:space="0" w:color="auto"/>
              <w:right w:val="single" w:sz="8" w:space="0" w:color="auto"/>
            </w:tcBorders>
            <w:vAlign w:val="center"/>
            <w:hideMark/>
          </w:tcPr>
          <w:p w14:paraId="68FFE70F" w14:textId="77777777" w:rsidR="000C18DD" w:rsidRPr="00FA433F" w:rsidRDefault="000C18DD" w:rsidP="000C18DD">
            <w:pPr>
              <w:spacing w:before="0" w:after="0"/>
              <w:jc w:val="center"/>
              <w:rPr>
                <w:b/>
                <w:bCs/>
                <w:noProof/>
                <w:sz w:val="16"/>
                <w:szCs w:val="16"/>
              </w:rPr>
            </w:pPr>
            <w:r w:rsidRPr="00FA433F">
              <w:rPr>
                <w:b/>
                <w:noProof/>
                <w:sz w:val="16"/>
              </w:rPr>
              <w:t>OGÓŁEM</w:t>
            </w:r>
          </w:p>
        </w:tc>
        <w:tc>
          <w:tcPr>
            <w:tcW w:w="49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5029C1" w14:textId="77777777" w:rsidR="000C18DD" w:rsidRPr="00FA433F" w:rsidRDefault="000C18DD" w:rsidP="000C18DD">
            <w:pPr>
              <w:spacing w:before="0" w:after="0"/>
              <w:jc w:val="right"/>
              <w:rPr>
                <w:b/>
                <w:bCs/>
                <w:noProof/>
                <w:sz w:val="16"/>
                <w:szCs w:val="16"/>
              </w:rPr>
            </w:pPr>
            <w:r w:rsidRPr="00FA433F">
              <w:rPr>
                <w:b/>
                <w:noProof/>
                <w:sz w:val="16"/>
              </w:rPr>
              <w:t>0,000</w:t>
            </w:r>
          </w:p>
        </w:tc>
        <w:tc>
          <w:tcPr>
            <w:tcW w:w="49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5E9BE4" w14:textId="71A49208" w:rsidR="000C18DD" w:rsidRPr="00FA433F" w:rsidRDefault="00D721EB" w:rsidP="000C18DD">
            <w:pPr>
              <w:spacing w:before="0" w:after="0"/>
              <w:jc w:val="right"/>
              <w:rPr>
                <w:b/>
                <w:bCs/>
                <w:noProof/>
                <w:sz w:val="16"/>
                <w:szCs w:val="16"/>
              </w:rPr>
            </w:pPr>
            <w:r w:rsidRPr="00FA433F">
              <w:rPr>
                <w:b/>
                <w:noProof/>
                <w:sz w:val="16"/>
              </w:rPr>
              <w:t>0,000</w:t>
            </w:r>
          </w:p>
        </w:tc>
        <w:tc>
          <w:tcPr>
            <w:tcW w:w="49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8F5E4F" w14:textId="77777777" w:rsidR="000C18DD" w:rsidRPr="00FA433F" w:rsidRDefault="000C18DD" w:rsidP="000C18DD">
            <w:pPr>
              <w:spacing w:before="0" w:after="0"/>
              <w:jc w:val="right"/>
              <w:rPr>
                <w:b/>
                <w:bCs/>
                <w:noProof/>
                <w:sz w:val="16"/>
                <w:szCs w:val="16"/>
              </w:rPr>
            </w:pPr>
            <w:r w:rsidRPr="00FA433F">
              <w:rPr>
                <w:b/>
                <w:noProof/>
                <w:sz w:val="16"/>
              </w:rPr>
              <w:t>1,329</w:t>
            </w:r>
          </w:p>
        </w:tc>
        <w:tc>
          <w:tcPr>
            <w:tcW w:w="498" w:type="pct"/>
            <w:tcBorders>
              <w:top w:val="single" w:sz="8" w:space="0" w:color="auto"/>
              <w:left w:val="single" w:sz="8" w:space="0" w:color="auto"/>
              <w:bottom w:val="single" w:sz="8" w:space="0" w:color="auto"/>
              <w:right w:val="single" w:sz="8" w:space="0" w:color="auto"/>
            </w:tcBorders>
            <w:shd w:val="clear" w:color="000000" w:fill="D9D9D9"/>
            <w:vAlign w:val="center"/>
          </w:tcPr>
          <w:p w14:paraId="7921C66D" w14:textId="77777777" w:rsidR="000C18DD" w:rsidRPr="00FA433F" w:rsidRDefault="000C18DD" w:rsidP="000C18DD">
            <w:pPr>
              <w:spacing w:before="0" w:after="0"/>
              <w:jc w:val="right"/>
              <w:rPr>
                <w:b/>
                <w:bCs/>
                <w:noProof/>
                <w:sz w:val="16"/>
                <w:szCs w:val="16"/>
              </w:rPr>
            </w:pPr>
            <w:r w:rsidRPr="00FA433F">
              <w:rPr>
                <w:b/>
                <w:noProof/>
                <w:sz w:val="16"/>
              </w:rPr>
              <w:t>1,253</w:t>
            </w:r>
          </w:p>
        </w:tc>
        <w:tc>
          <w:tcPr>
            <w:tcW w:w="49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C6399D" w14:textId="77777777" w:rsidR="000C18DD" w:rsidRPr="00FA433F" w:rsidRDefault="000C18DD" w:rsidP="000C18DD">
            <w:pPr>
              <w:spacing w:before="0" w:after="0"/>
              <w:jc w:val="right"/>
              <w:rPr>
                <w:b/>
                <w:bCs/>
                <w:noProof/>
                <w:sz w:val="16"/>
                <w:szCs w:val="16"/>
              </w:rPr>
            </w:pPr>
            <w:r w:rsidRPr="00FA433F">
              <w:rPr>
                <w:b/>
                <w:noProof/>
                <w:sz w:val="16"/>
              </w:rPr>
              <w:t>0,251</w:t>
            </w:r>
          </w:p>
        </w:tc>
        <w:tc>
          <w:tcPr>
            <w:tcW w:w="55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9CF2D0" w14:textId="77777777" w:rsidR="000C18DD" w:rsidRPr="00FA433F" w:rsidRDefault="00A267D4" w:rsidP="000C18DD">
            <w:pPr>
              <w:spacing w:before="0" w:after="0"/>
              <w:jc w:val="right"/>
              <w:rPr>
                <w:b/>
                <w:bCs/>
                <w:noProof/>
                <w:sz w:val="16"/>
                <w:szCs w:val="16"/>
              </w:rPr>
            </w:pPr>
            <w:r w:rsidRPr="00FA433F">
              <w:rPr>
                <w:b/>
                <w:noProof/>
                <w:sz w:val="16"/>
              </w:rPr>
              <w:t>2,833</w:t>
            </w:r>
          </w:p>
        </w:tc>
      </w:tr>
    </w:tbl>
    <w:p w14:paraId="05B784EC" w14:textId="77777777" w:rsidR="008A4C15" w:rsidRPr="00FA433F" w:rsidRDefault="008A4C15">
      <w:pPr>
        <w:pStyle w:val="ManualHeading3"/>
        <w:rPr>
          <w:noProof/>
        </w:rPr>
      </w:pPr>
      <w:bookmarkStart w:id="156" w:name="_Toc167220293"/>
      <w:bookmarkStart w:id="157" w:name="_Toc177549026"/>
      <w:r w:rsidRPr="00FA433F">
        <w:rPr>
          <w:noProof/>
        </w:rPr>
        <w:t>3.2.3.3.</w:t>
      </w:r>
      <w:r w:rsidRPr="00FA433F">
        <w:rPr>
          <w:noProof/>
        </w:rPr>
        <w:tab/>
        <w:t>Ogółem środki</w:t>
      </w:r>
      <w:bookmarkEnd w:id="156"/>
      <w:bookmarkEnd w:id="157"/>
    </w:p>
    <w:tbl>
      <w:tblPr>
        <w:tblW w:w="9289" w:type="dxa"/>
        <w:tblLook w:val="04A0" w:firstRow="1" w:lastRow="0" w:firstColumn="1" w:lastColumn="0" w:noHBand="0" w:noVBand="1"/>
      </w:tblPr>
      <w:tblGrid>
        <w:gridCol w:w="847"/>
        <w:gridCol w:w="2716"/>
        <w:gridCol w:w="935"/>
        <w:gridCol w:w="935"/>
        <w:gridCol w:w="935"/>
        <w:gridCol w:w="935"/>
        <w:gridCol w:w="935"/>
        <w:gridCol w:w="1051"/>
      </w:tblGrid>
      <w:tr w:rsidR="00F14B07" w:rsidRPr="00FA433F" w14:paraId="44A2D9A2" w14:textId="77777777" w:rsidTr="00EA3058">
        <w:trPr>
          <w:trHeight w:val="519"/>
        </w:trPr>
        <w:tc>
          <w:tcPr>
            <w:tcW w:w="3563"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6C730A14" w14:textId="77777777" w:rsidR="00F14B07" w:rsidRPr="00FA433F" w:rsidRDefault="00F14B07" w:rsidP="00F14B07">
            <w:pPr>
              <w:spacing w:before="0" w:after="0"/>
              <w:jc w:val="center"/>
              <w:rPr>
                <w:b/>
                <w:bCs/>
                <w:noProof/>
                <w:sz w:val="18"/>
                <w:szCs w:val="18"/>
              </w:rPr>
            </w:pPr>
            <w:r w:rsidRPr="00FA433F">
              <w:rPr>
                <w:b/>
                <w:noProof/>
                <w:sz w:val="18"/>
              </w:rPr>
              <w:t>OGÓŁEM</w:t>
            </w:r>
            <w:r w:rsidRPr="00FA433F">
              <w:rPr>
                <w:noProof/>
              </w:rPr>
              <w:t xml:space="preserve"> </w:t>
            </w:r>
            <w:r w:rsidRPr="00FA433F">
              <w:rPr>
                <w:noProof/>
              </w:rPr>
              <w:br/>
            </w:r>
            <w:r w:rsidRPr="00FA433F">
              <w:rPr>
                <w:b/>
                <w:noProof/>
                <w:sz w:val="18"/>
              </w:rPr>
              <w:t>ZATWIERDZONE ŚRODKI + ZEWNĘTRZNE DOCHODY PRZEZNACZONE NA OKREŚLONY CEL</w:t>
            </w:r>
          </w:p>
        </w:tc>
        <w:tc>
          <w:tcPr>
            <w:tcW w:w="935" w:type="dxa"/>
            <w:tcBorders>
              <w:top w:val="single" w:sz="8" w:space="0" w:color="auto"/>
              <w:left w:val="nil"/>
              <w:bottom w:val="nil"/>
              <w:right w:val="single" w:sz="8" w:space="0" w:color="auto"/>
            </w:tcBorders>
            <w:vAlign w:val="center"/>
            <w:hideMark/>
          </w:tcPr>
          <w:p w14:paraId="145691E3" w14:textId="77777777" w:rsidR="00F14B07" w:rsidRPr="00FA433F" w:rsidRDefault="00F14B07" w:rsidP="00F14B07">
            <w:pPr>
              <w:spacing w:before="0" w:after="0"/>
              <w:jc w:val="center"/>
              <w:rPr>
                <w:noProof/>
                <w:sz w:val="18"/>
                <w:szCs w:val="18"/>
              </w:rPr>
            </w:pPr>
            <w:r w:rsidRPr="00FA433F">
              <w:rPr>
                <w:noProof/>
                <w:sz w:val="18"/>
              </w:rPr>
              <w:t>Rok</w:t>
            </w:r>
          </w:p>
        </w:tc>
        <w:tc>
          <w:tcPr>
            <w:tcW w:w="935" w:type="dxa"/>
            <w:tcBorders>
              <w:top w:val="single" w:sz="8" w:space="0" w:color="auto"/>
              <w:left w:val="nil"/>
              <w:bottom w:val="nil"/>
              <w:right w:val="single" w:sz="8" w:space="0" w:color="auto"/>
            </w:tcBorders>
            <w:vAlign w:val="center"/>
            <w:hideMark/>
          </w:tcPr>
          <w:p w14:paraId="5827653D" w14:textId="77777777" w:rsidR="00F14B07" w:rsidRPr="00FA433F" w:rsidRDefault="00F14B07" w:rsidP="00F14B07">
            <w:pPr>
              <w:spacing w:before="0" w:after="0"/>
              <w:jc w:val="center"/>
              <w:rPr>
                <w:noProof/>
                <w:sz w:val="18"/>
                <w:szCs w:val="18"/>
              </w:rPr>
            </w:pPr>
            <w:r w:rsidRPr="00FA433F">
              <w:rPr>
                <w:noProof/>
                <w:sz w:val="18"/>
              </w:rPr>
              <w:t>Rok</w:t>
            </w:r>
          </w:p>
        </w:tc>
        <w:tc>
          <w:tcPr>
            <w:tcW w:w="935" w:type="dxa"/>
            <w:tcBorders>
              <w:top w:val="single" w:sz="8" w:space="0" w:color="auto"/>
              <w:left w:val="nil"/>
              <w:bottom w:val="nil"/>
              <w:right w:val="single" w:sz="8" w:space="0" w:color="auto"/>
            </w:tcBorders>
            <w:vAlign w:val="center"/>
            <w:hideMark/>
          </w:tcPr>
          <w:p w14:paraId="7A63C2B4" w14:textId="77777777" w:rsidR="00F14B07" w:rsidRPr="00FA433F" w:rsidRDefault="00F14B07" w:rsidP="00F14B07">
            <w:pPr>
              <w:spacing w:before="0" w:after="0"/>
              <w:jc w:val="center"/>
              <w:rPr>
                <w:noProof/>
                <w:sz w:val="18"/>
                <w:szCs w:val="18"/>
              </w:rPr>
            </w:pPr>
            <w:r w:rsidRPr="00FA433F">
              <w:rPr>
                <w:noProof/>
                <w:sz w:val="18"/>
              </w:rPr>
              <w:t>Rok</w:t>
            </w:r>
          </w:p>
        </w:tc>
        <w:tc>
          <w:tcPr>
            <w:tcW w:w="935" w:type="dxa"/>
            <w:tcBorders>
              <w:top w:val="single" w:sz="8" w:space="0" w:color="auto"/>
              <w:left w:val="nil"/>
              <w:bottom w:val="nil"/>
              <w:right w:val="single" w:sz="8" w:space="0" w:color="auto"/>
            </w:tcBorders>
            <w:vAlign w:val="center"/>
          </w:tcPr>
          <w:p w14:paraId="603162A8" w14:textId="77777777" w:rsidR="00F14B07" w:rsidRPr="00FA433F" w:rsidRDefault="00F14B07" w:rsidP="00F14B07">
            <w:pPr>
              <w:spacing w:before="0" w:after="0"/>
              <w:jc w:val="center"/>
              <w:rPr>
                <w:noProof/>
                <w:sz w:val="18"/>
                <w:szCs w:val="18"/>
              </w:rPr>
            </w:pPr>
            <w:r w:rsidRPr="00FA433F">
              <w:rPr>
                <w:noProof/>
                <w:sz w:val="18"/>
              </w:rPr>
              <w:t>Rok</w:t>
            </w:r>
          </w:p>
        </w:tc>
        <w:tc>
          <w:tcPr>
            <w:tcW w:w="935" w:type="dxa"/>
            <w:tcBorders>
              <w:top w:val="single" w:sz="8" w:space="0" w:color="auto"/>
              <w:left w:val="single" w:sz="8" w:space="0" w:color="auto"/>
              <w:bottom w:val="nil"/>
              <w:right w:val="single" w:sz="8" w:space="0" w:color="auto"/>
            </w:tcBorders>
            <w:vAlign w:val="center"/>
            <w:hideMark/>
          </w:tcPr>
          <w:p w14:paraId="61A2BD31" w14:textId="77777777" w:rsidR="00F14B07" w:rsidRPr="00FA433F" w:rsidRDefault="00F14B07" w:rsidP="00F14B07">
            <w:pPr>
              <w:spacing w:before="0" w:after="0"/>
              <w:jc w:val="center"/>
              <w:rPr>
                <w:noProof/>
                <w:sz w:val="18"/>
                <w:szCs w:val="18"/>
              </w:rPr>
            </w:pPr>
            <w:r w:rsidRPr="00FA433F">
              <w:rPr>
                <w:noProof/>
                <w:sz w:val="18"/>
              </w:rPr>
              <w:t>Rok</w:t>
            </w:r>
          </w:p>
        </w:tc>
        <w:tc>
          <w:tcPr>
            <w:tcW w:w="1051" w:type="dxa"/>
            <w:vMerge w:val="restart"/>
            <w:tcBorders>
              <w:top w:val="single" w:sz="8" w:space="0" w:color="auto"/>
              <w:left w:val="single" w:sz="8" w:space="0" w:color="auto"/>
              <w:bottom w:val="single" w:sz="8" w:space="0" w:color="000000"/>
              <w:right w:val="single" w:sz="8" w:space="0" w:color="auto"/>
            </w:tcBorders>
            <w:vAlign w:val="center"/>
            <w:hideMark/>
          </w:tcPr>
          <w:p w14:paraId="3B40EBCD" w14:textId="77777777" w:rsidR="00F14B07" w:rsidRPr="00FA433F" w:rsidRDefault="00F14B07" w:rsidP="00F14B07">
            <w:pPr>
              <w:spacing w:before="0" w:after="0"/>
              <w:jc w:val="center"/>
              <w:rPr>
                <w:b/>
                <w:bCs/>
                <w:noProof/>
                <w:sz w:val="18"/>
                <w:szCs w:val="18"/>
              </w:rPr>
            </w:pPr>
            <w:r w:rsidRPr="00FA433F">
              <w:rPr>
                <w:b/>
                <w:noProof/>
                <w:sz w:val="18"/>
              </w:rPr>
              <w:t>OGÓŁEM 2026–2030</w:t>
            </w:r>
          </w:p>
        </w:tc>
      </w:tr>
      <w:tr w:rsidR="00F14B07" w:rsidRPr="00FA433F" w14:paraId="11049C37" w14:textId="77777777" w:rsidTr="00EA3058">
        <w:trPr>
          <w:trHeight w:val="519"/>
        </w:trPr>
        <w:tc>
          <w:tcPr>
            <w:tcW w:w="3563" w:type="dxa"/>
            <w:gridSpan w:val="2"/>
            <w:vMerge/>
            <w:tcBorders>
              <w:top w:val="single" w:sz="8" w:space="0" w:color="auto"/>
              <w:left w:val="single" w:sz="8" w:space="0" w:color="auto"/>
              <w:bottom w:val="single" w:sz="8" w:space="0" w:color="auto"/>
              <w:right w:val="single" w:sz="8" w:space="0" w:color="auto"/>
            </w:tcBorders>
            <w:vAlign w:val="center"/>
            <w:hideMark/>
          </w:tcPr>
          <w:p w14:paraId="3684049A" w14:textId="77777777" w:rsidR="00F14B07" w:rsidRPr="00FA433F" w:rsidRDefault="00F14B07" w:rsidP="00F14B07">
            <w:pPr>
              <w:spacing w:before="0" w:after="0"/>
              <w:jc w:val="left"/>
              <w:rPr>
                <w:b/>
                <w:bCs/>
                <w:noProof/>
                <w:sz w:val="18"/>
                <w:szCs w:val="18"/>
                <w:lang w:eastAsia="en-IE"/>
              </w:rPr>
            </w:pPr>
          </w:p>
        </w:tc>
        <w:tc>
          <w:tcPr>
            <w:tcW w:w="935" w:type="dxa"/>
            <w:tcBorders>
              <w:top w:val="nil"/>
              <w:left w:val="nil"/>
              <w:bottom w:val="single" w:sz="8" w:space="0" w:color="auto"/>
              <w:right w:val="single" w:sz="8" w:space="0" w:color="auto"/>
            </w:tcBorders>
            <w:vAlign w:val="center"/>
            <w:hideMark/>
          </w:tcPr>
          <w:p w14:paraId="01B15F3E" w14:textId="77777777" w:rsidR="00F14B07" w:rsidRPr="00FA433F" w:rsidRDefault="00F14B07" w:rsidP="00F14B07">
            <w:pPr>
              <w:spacing w:before="0" w:after="0"/>
              <w:jc w:val="center"/>
              <w:rPr>
                <w:b/>
                <w:bCs/>
                <w:noProof/>
                <w:sz w:val="18"/>
                <w:szCs w:val="18"/>
              </w:rPr>
            </w:pPr>
            <w:r w:rsidRPr="00FA433F">
              <w:rPr>
                <w:b/>
                <w:noProof/>
                <w:sz w:val="18"/>
              </w:rPr>
              <w:t>2026</w:t>
            </w:r>
          </w:p>
        </w:tc>
        <w:tc>
          <w:tcPr>
            <w:tcW w:w="935" w:type="dxa"/>
            <w:tcBorders>
              <w:top w:val="nil"/>
              <w:left w:val="nil"/>
              <w:bottom w:val="single" w:sz="8" w:space="0" w:color="auto"/>
              <w:right w:val="single" w:sz="8" w:space="0" w:color="auto"/>
            </w:tcBorders>
            <w:vAlign w:val="center"/>
            <w:hideMark/>
          </w:tcPr>
          <w:p w14:paraId="0C9F7218" w14:textId="77777777" w:rsidR="00F14B07" w:rsidRPr="00FA433F" w:rsidRDefault="00F14B07" w:rsidP="00F14B07">
            <w:pPr>
              <w:spacing w:before="0" w:after="0"/>
              <w:jc w:val="center"/>
              <w:rPr>
                <w:b/>
                <w:bCs/>
                <w:noProof/>
                <w:sz w:val="18"/>
                <w:szCs w:val="18"/>
              </w:rPr>
            </w:pPr>
            <w:r w:rsidRPr="00FA433F">
              <w:rPr>
                <w:b/>
                <w:noProof/>
                <w:sz w:val="18"/>
              </w:rPr>
              <w:t>2027</w:t>
            </w:r>
          </w:p>
        </w:tc>
        <w:tc>
          <w:tcPr>
            <w:tcW w:w="935" w:type="dxa"/>
            <w:tcBorders>
              <w:top w:val="nil"/>
              <w:left w:val="nil"/>
              <w:bottom w:val="single" w:sz="8" w:space="0" w:color="auto"/>
              <w:right w:val="single" w:sz="8" w:space="0" w:color="auto"/>
            </w:tcBorders>
            <w:vAlign w:val="center"/>
            <w:hideMark/>
          </w:tcPr>
          <w:p w14:paraId="5BE8A869" w14:textId="77777777" w:rsidR="00F14B07" w:rsidRPr="00FA433F" w:rsidRDefault="00F14B07" w:rsidP="00F14B07">
            <w:pPr>
              <w:spacing w:before="0" w:after="0"/>
              <w:jc w:val="center"/>
              <w:rPr>
                <w:b/>
                <w:bCs/>
                <w:noProof/>
                <w:sz w:val="18"/>
                <w:szCs w:val="18"/>
              </w:rPr>
            </w:pPr>
            <w:r w:rsidRPr="00FA433F">
              <w:rPr>
                <w:b/>
                <w:noProof/>
                <w:sz w:val="18"/>
              </w:rPr>
              <w:t>2028</w:t>
            </w:r>
          </w:p>
        </w:tc>
        <w:tc>
          <w:tcPr>
            <w:tcW w:w="935" w:type="dxa"/>
            <w:tcBorders>
              <w:top w:val="nil"/>
              <w:left w:val="nil"/>
              <w:bottom w:val="single" w:sz="8" w:space="0" w:color="auto"/>
              <w:right w:val="single" w:sz="8" w:space="0" w:color="auto"/>
            </w:tcBorders>
            <w:vAlign w:val="center"/>
          </w:tcPr>
          <w:p w14:paraId="07919CA1" w14:textId="77777777" w:rsidR="00F14B07" w:rsidRPr="00FA433F" w:rsidRDefault="00F14B07" w:rsidP="00F14B07">
            <w:pPr>
              <w:spacing w:before="0" w:after="0"/>
              <w:jc w:val="center"/>
              <w:rPr>
                <w:b/>
                <w:bCs/>
                <w:noProof/>
                <w:sz w:val="18"/>
                <w:szCs w:val="18"/>
              </w:rPr>
            </w:pPr>
            <w:r w:rsidRPr="00FA433F">
              <w:rPr>
                <w:b/>
                <w:noProof/>
                <w:sz w:val="18"/>
              </w:rPr>
              <w:t>2029</w:t>
            </w:r>
          </w:p>
        </w:tc>
        <w:tc>
          <w:tcPr>
            <w:tcW w:w="935" w:type="dxa"/>
            <w:tcBorders>
              <w:top w:val="nil"/>
              <w:left w:val="single" w:sz="8" w:space="0" w:color="auto"/>
              <w:bottom w:val="single" w:sz="8" w:space="0" w:color="auto"/>
              <w:right w:val="single" w:sz="8" w:space="0" w:color="auto"/>
            </w:tcBorders>
            <w:vAlign w:val="center"/>
            <w:hideMark/>
          </w:tcPr>
          <w:p w14:paraId="78328488" w14:textId="77777777" w:rsidR="00F14B07" w:rsidRPr="00FA433F" w:rsidRDefault="00F14B07" w:rsidP="00F14B07">
            <w:pPr>
              <w:spacing w:before="0" w:after="0"/>
              <w:jc w:val="center"/>
              <w:rPr>
                <w:b/>
                <w:bCs/>
                <w:noProof/>
                <w:sz w:val="18"/>
                <w:szCs w:val="18"/>
              </w:rPr>
            </w:pPr>
            <w:r w:rsidRPr="00FA433F">
              <w:rPr>
                <w:b/>
                <w:noProof/>
                <w:sz w:val="18"/>
              </w:rPr>
              <w:t>2030</w:t>
            </w:r>
          </w:p>
        </w:tc>
        <w:tc>
          <w:tcPr>
            <w:tcW w:w="1051" w:type="dxa"/>
            <w:vMerge/>
            <w:tcBorders>
              <w:top w:val="single" w:sz="8" w:space="0" w:color="auto"/>
              <w:left w:val="single" w:sz="8" w:space="0" w:color="auto"/>
              <w:bottom w:val="single" w:sz="8" w:space="0" w:color="auto"/>
              <w:right w:val="single" w:sz="8" w:space="0" w:color="auto"/>
            </w:tcBorders>
            <w:vAlign w:val="center"/>
            <w:hideMark/>
          </w:tcPr>
          <w:p w14:paraId="45135083" w14:textId="77777777" w:rsidR="00F14B07" w:rsidRPr="00FA433F" w:rsidRDefault="00F14B07" w:rsidP="00F14B07">
            <w:pPr>
              <w:spacing w:before="0" w:after="0"/>
              <w:jc w:val="left"/>
              <w:rPr>
                <w:b/>
                <w:bCs/>
                <w:noProof/>
                <w:sz w:val="18"/>
                <w:szCs w:val="18"/>
                <w:lang w:eastAsia="en-IE"/>
              </w:rPr>
            </w:pPr>
          </w:p>
        </w:tc>
      </w:tr>
      <w:tr w:rsidR="00F14B07" w:rsidRPr="00FA433F" w14:paraId="2EA2123F" w14:textId="77777777" w:rsidTr="00F14B07">
        <w:trPr>
          <w:trHeight w:val="300"/>
        </w:trPr>
        <w:tc>
          <w:tcPr>
            <w:tcW w:w="847" w:type="dxa"/>
            <w:tcBorders>
              <w:top w:val="single" w:sz="8" w:space="0" w:color="auto"/>
              <w:left w:val="single" w:sz="8" w:space="0" w:color="auto"/>
              <w:bottom w:val="single" w:sz="8" w:space="0" w:color="auto"/>
              <w:right w:val="single" w:sz="4" w:space="0" w:color="auto"/>
            </w:tcBorders>
          </w:tcPr>
          <w:p w14:paraId="78E9AFA9" w14:textId="77777777" w:rsidR="00F14B07" w:rsidRPr="00FA433F" w:rsidRDefault="00F14B07">
            <w:pPr>
              <w:spacing w:before="0" w:after="0"/>
              <w:jc w:val="left"/>
              <w:rPr>
                <w:b/>
                <w:bCs/>
                <w:noProof/>
                <w:sz w:val="16"/>
                <w:szCs w:val="16"/>
                <w:lang w:eastAsia="en-IE"/>
              </w:rPr>
            </w:pPr>
          </w:p>
        </w:tc>
        <w:tc>
          <w:tcPr>
            <w:tcW w:w="8442" w:type="dxa"/>
            <w:gridSpan w:val="7"/>
            <w:tcBorders>
              <w:top w:val="single" w:sz="8" w:space="0" w:color="auto"/>
              <w:left w:val="single" w:sz="8" w:space="0" w:color="auto"/>
              <w:bottom w:val="single" w:sz="8" w:space="0" w:color="auto"/>
              <w:right w:val="single" w:sz="8" w:space="0" w:color="auto"/>
            </w:tcBorders>
            <w:vAlign w:val="center"/>
            <w:hideMark/>
          </w:tcPr>
          <w:p w14:paraId="3804E3C0" w14:textId="77777777" w:rsidR="00F14B07" w:rsidRPr="00FA433F" w:rsidRDefault="00F14B07">
            <w:pPr>
              <w:spacing w:before="0" w:after="0"/>
              <w:jc w:val="left"/>
              <w:rPr>
                <w:b/>
                <w:bCs/>
                <w:noProof/>
                <w:sz w:val="16"/>
                <w:szCs w:val="16"/>
              </w:rPr>
            </w:pPr>
            <w:r w:rsidRPr="00FA433F">
              <w:rPr>
                <w:b/>
                <w:noProof/>
                <w:sz w:val="16"/>
              </w:rPr>
              <w:t>DZIAŁ 7</w:t>
            </w:r>
          </w:p>
        </w:tc>
      </w:tr>
      <w:tr w:rsidR="004529B7" w:rsidRPr="00FA433F" w14:paraId="30BEFFDB" w14:textId="77777777" w:rsidTr="00EA3058">
        <w:trPr>
          <w:trHeight w:val="300"/>
        </w:trPr>
        <w:tc>
          <w:tcPr>
            <w:tcW w:w="3563" w:type="dxa"/>
            <w:gridSpan w:val="2"/>
            <w:tcBorders>
              <w:top w:val="nil"/>
              <w:left w:val="single" w:sz="8" w:space="0" w:color="auto"/>
              <w:bottom w:val="single" w:sz="8" w:space="0" w:color="auto"/>
              <w:right w:val="single" w:sz="8" w:space="0" w:color="auto"/>
            </w:tcBorders>
            <w:vAlign w:val="center"/>
            <w:hideMark/>
          </w:tcPr>
          <w:p w14:paraId="1AA2B808" w14:textId="77777777" w:rsidR="004529B7" w:rsidRPr="00FA433F" w:rsidRDefault="004529B7" w:rsidP="004529B7">
            <w:pPr>
              <w:spacing w:before="0" w:after="0"/>
              <w:jc w:val="left"/>
              <w:rPr>
                <w:noProof/>
                <w:sz w:val="16"/>
                <w:szCs w:val="16"/>
              </w:rPr>
            </w:pPr>
            <w:r w:rsidRPr="00FA433F">
              <w:rPr>
                <w:noProof/>
                <w:sz w:val="16"/>
              </w:rPr>
              <w:t xml:space="preserve">Zasoby ludzkie </w:t>
            </w:r>
          </w:p>
        </w:tc>
        <w:tc>
          <w:tcPr>
            <w:tcW w:w="935" w:type="dxa"/>
            <w:tcBorders>
              <w:top w:val="nil"/>
              <w:left w:val="nil"/>
              <w:bottom w:val="single" w:sz="8" w:space="0" w:color="auto"/>
              <w:right w:val="single" w:sz="8" w:space="0" w:color="auto"/>
            </w:tcBorders>
            <w:shd w:val="clear" w:color="000000" w:fill="D9D9D9"/>
            <w:vAlign w:val="center"/>
            <w:hideMark/>
          </w:tcPr>
          <w:p w14:paraId="6F7AC6C5" w14:textId="77777777" w:rsidR="004529B7" w:rsidRPr="00FA433F" w:rsidRDefault="00E60FAD" w:rsidP="004529B7">
            <w:pPr>
              <w:spacing w:before="0" w:after="0"/>
              <w:jc w:val="right"/>
              <w:rPr>
                <w:noProof/>
                <w:sz w:val="16"/>
                <w:szCs w:val="16"/>
              </w:rPr>
            </w:pPr>
            <w:r w:rsidRPr="00FA433F">
              <w:rPr>
                <w:noProof/>
                <w:sz w:val="16"/>
              </w:rPr>
              <w:t>0,808</w:t>
            </w:r>
          </w:p>
        </w:tc>
        <w:tc>
          <w:tcPr>
            <w:tcW w:w="935" w:type="dxa"/>
            <w:tcBorders>
              <w:top w:val="nil"/>
              <w:left w:val="nil"/>
              <w:bottom w:val="single" w:sz="8" w:space="0" w:color="auto"/>
              <w:right w:val="single" w:sz="8" w:space="0" w:color="auto"/>
            </w:tcBorders>
            <w:shd w:val="clear" w:color="000000" w:fill="D9D9D9"/>
            <w:vAlign w:val="center"/>
            <w:hideMark/>
          </w:tcPr>
          <w:p w14:paraId="542878CA" w14:textId="77777777" w:rsidR="004529B7" w:rsidRPr="00FA433F" w:rsidRDefault="006D4590" w:rsidP="004529B7">
            <w:pPr>
              <w:spacing w:before="0" w:after="0"/>
              <w:jc w:val="right"/>
              <w:rPr>
                <w:noProof/>
                <w:sz w:val="16"/>
                <w:szCs w:val="16"/>
              </w:rPr>
            </w:pPr>
            <w:r w:rsidRPr="00FA433F">
              <w:rPr>
                <w:noProof/>
                <w:sz w:val="16"/>
              </w:rPr>
              <w:t>0,909</w:t>
            </w:r>
          </w:p>
        </w:tc>
        <w:tc>
          <w:tcPr>
            <w:tcW w:w="935" w:type="dxa"/>
            <w:tcBorders>
              <w:top w:val="nil"/>
              <w:left w:val="nil"/>
              <w:bottom w:val="single" w:sz="8" w:space="0" w:color="auto"/>
              <w:right w:val="single" w:sz="8" w:space="0" w:color="auto"/>
            </w:tcBorders>
            <w:shd w:val="clear" w:color="000000" w:fill="D9D9D9"/>
            <w:vAlign w:val="center"/>
            <w:hideMark/>
          </w:tcPr>
          <w:p w14:paraId="2FAEB5B9" w14:textId="77777777" w:rsidR="004529B7" w:rsidRPr="00FA433F" w:rsidRDefault="004529B7" w:rsidP="004529B7">
            <w:pPr>
              <w:spacing w:before="0" w:after="0"/>
              <w:jc w:val="right"/>
              <w:rPr>
                <w:noProof/>
                <w:sz w:val="16"/>
                <w:szCs w:val="16"/>
              </w:rPr>
            </w:pPr>
            <w:r w:rsidRPr="00FA433F">
              <w:rPr>
                <w:noProof/>
                <w:sz w:val="16"/>
              </w:rPr>
              <w:t>0,000</w:t>
            </w:r>
          </w:p>
        </w:tc>
        <w:tc>
          <w:tcPr>
            <w:tcW w:w="935" w:type="dxa"/>
            <w:tcBorders>
              <w:top w:val="single" w:sz="8" w:space="0" w:color="auto"/>
              <w:left w:val="nil"/>
              <w:bottom w:val="single" w:sz="8" w:space="0" w:color="auto"/>
              <w:right w:val="single" w:sz="8" w:space="0" w:color="auto"/>
            </w:tcBorders>
            <w:shd w:val="clear" w:color="000000" w:fill="D9D9D9"/>
            <w:vAlign w:val="center"/>
          </w:tcPr>
          <w:p w14:paraId="5C7E59F7" w14:textId="77777777" w:rsidR="004529B7" w:rsidRPr="00FA433F" w:rsidRDefault="004529B7" w:rsidP="004529B7">
            <w:pPr>
              <w:spacing w:before="0" w:after="0"/>
              <w:jc w:val="right"/>
              <w:rPr>
                <w:noProof/>
                <w:sz w:val="16"/>
                <w:szCs w:val="16"/>
              </w:rPr>
            </w:pPr>
            <w:r w:rsidRPr="00FA433F">
              <w:rPr>
                <w:noProof/>
                <w:sz w:val="16"/>
              </w:rPr>
              <w:t>0,000</w:t>
            </w:r>
          </w:p>
        </w:tc>
        <w:tc>
          <w:tcPr>
            <w:tcW w:w="935" w:type="dxa"/>
            <w:tcBorders>
              <w:top w:val="nil"/>
              <w:left w:val="single" w:sz="8" w:space="0" w:color="auto"/>
              <w:bottom w:val="single" w:sz="8" w:space="0" w:color="auto"/>
              <w:right w:val="single" w:sz="8" w:space="0" w:color="auto"/>
            </w:tcBorders>
            <w:shd w:val="clear" w:color="000000" w:fill="D9D9D9"/>
            <w:vAlign w:val="center"/>
            <w:hideMark/>
          </w:tcPr>
          <w:p w14:paraId="764E37D0" w14:textId="77777777" w:rsidR="004529B7" w:rsidRPr="00FA433F" w:rsidRDefault="004529B7" w:rsidP="004529B7">
            <w:pPr>
              <w:spacing w:before="0" w:after="0"/>
              <w:jc w:val="right"/>
              <w:rPr>
                <w:noProof/>
                <w:sz w:val="16"/>
                <w:szCs w:val="16"/>
              </w:rPr>
            </w:pPr>
            <w:r w:rsidRPr="00FA433F">
              <w:rPr>
                <w:noProof/>
                <w:sz w:val="16"/>
              </w:rPr>
              <w:t>0,000</w:t>
            </w:r>
          </w:p>
        </w:tc>
        <w:tc>
          <w:tcPr>
            <w:tcW w:w="1051" w:type="dxa"/>
            <w:tcBorders>
              <w:top w:val="nil"/>
              <w:left w:val="nil"/>
              <w:bottom w:val="single" w:sz="8" w:space="0" w:color="auto"/>
              <w:right w:val="single" w:sz="8" w:space="0" w:color="auto"/>
            </w:tcBorders>
            <w:shd w:val="clear" w:color="000000" w:fill="D9D9D9"/>
            <w:vAlign w:val="center"/>
            <w:hideMark/>
          </w:tcPr>
          <w:p w14:paraId="31C013A9" w14:textId="77777777" w:rsidR="004529B7" w:rsidRPr="00FA433F" w:rsidRDefault="008C29CD" w:rsidP="004529B7">
            <w:pPr>
              <w:spacing w:before="0" w:after="0"/>
              <w:jc w:val="right"/>
              <w:rPr>
                <w:b/>
                <w:bCs/>
                <w:noProof/>
                <w:sz w:val="16"/>
                <w:szCs w:val="16"/>
              </w:rPr>
            </w:pPr>
            <w:r w:rsidRPr="00FA433F">
              <w:rPr>
                <w:b/>
                <w:noProof/>
                <w:sz w:val="16"/>
              </w:rPr>
              <w:t>1,717</w:t>
            </w:r>
          </w:p>
        </w:tc>
      </w:tr>
      <w:tr w:rsidR="004529B7" w:rsidRPr="00FA433F" w14:paraId="3970F526" w14:textId="77777777" w:rsidTr="00EA3058">
        <w:trPr>
          <w:trHeight w:val="300"/>
        </w:trPr>
        <w:tc>
          <w:tcPr>
            <w:tcW w:w="3563" w:type="dxa"/>
            <w:gridSpan w:val="2"/>
            <w:tcBorders>
              <w:top w:val="nil"/>
              <w:left w:val="single" w:sz="8" w:space="0" w:color="auto"/>
              <w:bottom w:val="single" w:sz="8" w:space="0" w:color="auto"/>
              <w:right w:val="single" w:sz="8" w:space="0" w:color="auto"/>
            </w:tcBorders>
            <w:vAlign w:val="center"/>
            <w:hideMark/>
          </w:tcPr>
          <w:p w14:paraId="2A6A36A6" w14:textId="77777777" w:rsidR="004529B7" w:rsidRPr="00FA433F" w:rsidRDefault="004529B7" w:rsidP="004529B7">
            <w:pPr>
              <w:spacing w:before="0" w:after="0"/>
              <w:jc w:val="left"/>
              <w:rPr>
                <w:noProof/>
                <w:sz w:val="16"/>
                <w:szCs w:val="16"/>
              </w:rPr>
            </w:pPr>
            <w:r w:rsidRPr="00FA433F">
              <w:rPr>
                <w:noProof/>
                <w:sz w:val="16"/>
              </w:rPr>
              <w:lastRenderedPageBreak/>
              <w:t xml:space="preserve">Pozostałe wydatki administracyjne </w:t>
            </w:r>
          </w:p>
        </w:tc>
        <w:tc>
          <w:tcPr>
            <w:tcW w:w="935" w:type="dxa"/>
            <w:tcBorders>
              <w:top w:val="nil"/>
              <w:left w:val="nil"/>
              <w:bottom w:val="single" w:sz="8" w:space="0" w:color="auto"/>
              <w:right w:val="single" w:sz="8" w:space="0" w:color="auto"/>
            </w:tcBorders>
            <w:shd w:val="clear" w:color="000000" w:fill="D9D9D9"/>
            <w:vAlign w:val="center"/>
            <w:hideMark/>
          </w:tcPr>
          <w:p w14:paraId="47BF39B9" w14:textId="77777777" w:rsidR="004529B7" w:rsidRPr="00FA433F" w:rsidRDefault="004529B7" w:rsidP="004529B7">
            <w:pPr>
              <w:spacing w:before="0" w:after="0"/>
              <w:jc w:val="right"/>
              <w:rPr>
                <w:noProof/>
                <w:sz w:val="16"/>
                <w:szCs w:val="16"/>
              </w:rPr>
            </w:pPr>
            <w:r w:rsidRPr="00FA433F">
              <w:rPr>
                <w:noProof/>
                <w:sz w:val="16"/>
              </w:rPr>
              <w:t>0,200</w:t>
            </w:r>
          </w:p>
        </w:tc>
        <w:tc>
          <w:tcPr>
            <w:tcW w:w="935" w:type="dxa"/>
            <w:tcBorders>
              <w:top w:val="nil"/>
              <w:left w:val="nil"/>
              <w:bottom w:val="single" w:sz="8" w:space="0" w:color="auto"/>
              <w:right w:val="single" w:sz="8" w:space="0" w:color="auto"/>
            </w:tcBorders>
            <w:shd w:val="clear" w:color="000000" w:fill="D9D9D9"/>
            <w:vAlign w:val="center"/>
            <w:hideMark/>
          </w:tcPr>
          <w:p w14:paraId="0E16499F" w14:textId="77777777" w:rsidR="004529B7" w:rsidRPr="00FA433F" w:rsidRDefault="006D4590" w:rsidP="004529B7">
            <w:pPr>
              <w:spacing w:before="0" w:after="0"/>
              <w:jc w:val="right"/>
              <w:rPr>
                <w:noProof/>
                <w:sz w:val="16"/>
                <w:szCs w:val="16"/>
              </w:rPr>
            </w:pPr>
            <w:r w:rsidRPr="00FA433F">
              <w:rPr>
                <w:noProof/>
                <w:sz w:val="16"/>
              </w:rPr>
              <w:t>0,200</w:t>
            </w:r>
          </w:p>
        </w:tc>
        <w:tc>
          <w:tcPr>
            <w:tcW w:w="935" w:type="dxa"/>
            <w:tcBorders>
              <w:top w:val="nil"/>
              <w:left w:val="nil"/>
              <w:bottom w:val="single" w:sz="8" w:space="0" w:color="auto"/>
              <w:right w:val="single" w:sz="8" w:space="0" w:color="auto"/>
            </w:tcBorders>
            <w:shd w:val="clear" w:color="000000" w:fill="D9D9D9"/>
            <w:vAlign w:val="center"/>
            <w:hideMark/>
          </w:tcPr>
          <w:p w14:paraId="08132352" w14:textId="77777777" w:rsidR="004529B7" w:rsidRPr="00FA433F" w:rsidRDefault="004529B7" w:rsidP="004529B7">
            <w:pPr>
              <w:spacing w:before="0" w:after="0"/>
              <w:jc w:val="right"/>
              <w:rPr>
                <w:noProof/>
                <w:sz w:val="16"/>
                <w:szCs w:val="16"/>
              </w:rPr>
            </w:pPr>
            <w:r w:rsidRPr="00FA433F">
              <w:rPr>
                <w:noProof/>
                <w:sz w:val="16"/>
              </w:rPr>
              <w:t>0,000</w:t>
            </w:r>
          </w:p>
        </w:tc>
        <w:tc>
          <w:tcPr>
            <w:tcW w:w="935" w:type="dxa"/>
            <w:tcBorders>
              <w:top w:val="single" w:sz="8" w:space="0" w:color="auto"/>
              <w:left w:val="nil"/>
              <w:bottom w:val="single" w:sz="8" w:space="0" w:color="auto"/>
              <w:right w:val="single" w:sz="8" w:space="0" w:color="auto"/>
            </w:tcBorders>
            <w:shd w:val="clear" w:color="000000" w:fill="D9D9D9"/>
            <w:vAlign w:val="center"/>
          </w:tcPr>
          <w:p w14:paraId="613EA9FF" w14:textId="77777777" w:rsidR="004529B7" w:rsidRPr="00FA433F" w:rsidRDefault="004529B7" w:rsidP="004529B7">
            <w:pPr>
              <w:spacing w:before="0" w:after="0"/>
              <w:jc w:val="right"/>
              <w:rPr>
                <w:noProof/>
                <w:sz w:val="16"/>
                <w:szCs w:val="16"/>
              </w:rPr>
            </w:pPr>
            <w:r w:rsidRPr="00FA433F">
              <w:rPr>
                <w:noProof/>
                <w:sz w:val="16"/>
              </w:rPr>
              <w:t>0,000</w:t>
            </w:r>
          </w:p>
        </w:tc>
        <w:tc>
          <w:tcPr>
            <w:tcW w:w="935" w:type="dxa"/>
            <w:tcBorders>
              <w:top w:val="nil"/>
              <w:left w:val="single" w:sz="8" w:space="0" w:color="auto"/>
              <w:bottom w:val="single" w:sz="8" w:space="0" w:color="auto"/>
              <w:right w:val="single" w:sz="8" w:space="0" w:color="auto"/>
            </w:tcBorders>
            <w:shd w:val="clear" w:color="000000" w:fill="D9D9D9"/>
            <w:vAlign w:val="center"/>
            <w:hideMark/>
          </w:tcPr>
          <w:p w14:paraId="3C0C9818" w14:textId="77777777" w:rsidR="004529B7" w:rsidRPr="00FA433F" w:rsidRDefault="004529B7" w:rsidP="004529B7">
            <w:pPr>
              <w:spacing w:before="0" w:after="0"/>
              <w:jc w:val="right"/>
              <w:rPr>
                <w:noProof/>
                <w:sz w:val="16"/>
                <w:szCs w:val="16"/>
              </w:rPr>
            </w:pPr>
            <w:r w:rsidRPr="00FA433F">
              <w:rPr>
                <w:noProof/>
                <w:sz w:val="16"/>
              </w:rPr>
              <w:t>0,000</w:t>
            </w:r>
          </w:p>
        </w:tc>
        <w:tc>
          <w:tcPr>
            <w:tcW w:w="1051" w:type="dxa"/>
            <w:tcBorders>
              <w:top w:val="nil"/>
              <w:left w:val="nil"/>
              <w:bottom w:val="single" w:sz="8" w:space="0" w:color="auto"/>
              <w:right w:val="single" w:sz="8" w:space="0" w:color="auto"/>
            </w:tcBorders>
            <w:shd w:val="clear" w:color="000000" w:fill="D9D9D9"/>
            <w:vAlign w:val="center"/>
            <w:hideMark/>
          </w:tcPr>
          <w:p w14:paraId="4A339F3E" w14:textId="77777777" w:rsidR="004529B7" w:rsidRPr="00FA433F" w:rsidRDefault="008C29CD" w:rsidP="004529B7">
            <w:pPr>
              <w:spacing w:before="0" w:after="0"/>
              <w:jc w:val="right"/>
              <w:rPr>
                <w:b/>
                <w:bCs/>
                <w:noProof/>
                <w:sz w:val="16"/>
                <w:szCs w:val="16"/>
              </w:rPr>
            </w:pPr>
            <w:r w:rsidRPr="00FA433F">
              <w:rPr>
                <w:b/>
                <w:noProof/>
                <w:sz w:val="16"/>
              </w:rPr>
              <w:t>0,400</w:t>
            </w:r>
          </w:p>
        </w:tc>
      </w:tr>
      <w:tr w:rsidR="00731E43" w:rsidRPr="00FA433F" w14:paraId="065CE8B8" w14:textId="77777777">
        <w:trPr>
          <w:trHeight w:val="300"/>
        </w:trPr>
        <w:tc>
          <w:tcPr>
            <w:tcW w:w="3563" w:type="dxa"/>
            <w:gridSpan w:val="2"/>
            <w:tcBorders>
              <w:top w:val="nil"/>
              <w:left w:val="single" w:sz="8" w:space="0" w:color="auto"/>
              <w:bottom w:val="single" w:sz="8" w:space="0" w:color="auto"/>
              <w:right w:val="single" w:sz="8" w:space="0" w:color="auto"/>
            </w:tcBorders>
            <w:shd w:val="clear" w:color="000000" w:fill="CCCCCC"/>
            <w:vAlign w:val="center"/>
            <w:hideMark/>
          </w:tcPr>
          <w:p w14:paraId="3D7994A9" w14:textId="77777777" w:rsidR="00731E43" w:rsidRPr="00FA433F" w:rsidRDefault="00731E43" w:rsidP="00731E43">
            <w:pPr>
              <w:spacing w:before="0" w:after="0"/>
              <w:jc w:val="center"/>
              <w:rPr>
                <w:b/>
                <w:bCs/>
                <w:noProof/>
                <w:sz w:val="16"/>
                <w:szCs w:val="16"/>
              </w:rPr>
            </w:pPr>
            <w:r w:rsidRPr="00FA433F">
              <w:rPr>
                <w:b/>
                <w:noProof/>
                <w:sz w:val="16"/>
              </w:rPr>
              <w:t>Suma cząstkowa DZIAŁ 7</w:t>
            </w:r>
          </w:p>
        </w:tc>
        <w:tc>
          <w:tcPr>
            <w:tcW w:w="935" w:type="dxa"/>
            <w:tcBorders>
              <w:top w:val="nil"/>
              <w:left w:val="nil"/>
              <w:bottom w:val="single" w:sz="8" w:space="0" w:color="auto"/>
              <w:right w:val="single" w:sz="8" w:space="0" w:color="auto"/>
            </w:tcBorders>
            <w:shd w:val="clear" w:color="000000" w:fill="D9D9D9"/>
            <w:vAlign w:val="center"/>
            <w:hideMark/>
          </w:tcPr>
          <w:p w14:paraId="7C48F9C6" w14:textId="77777777" w:rsidR="00731E43" w:rsidRPr="00FA433F" w:rsidRDefault="00E60FAD" w:rsidP="00731E43">
            <w:pPr>
              <w:spacing w:before="0" w:after="0"/>
              <w:jc w:val="right"/>
              <w:rPr>
                <w:b/>
                <w:bCs/>
                <w:noProof/>
                <w:sz w:val="16"/>
                <w:szCs w:val="16"/>
              </w:rPr>
            </w:pPr>
            <w:r w:rsidRPr="00FA433F">
              <w:rPr>
                <w:b/>
                <w:noProof/>
                <w:sz w:val="16"/>
              </w:rPr>
              <w:t>1,008</w:t>
            </w:r>
          </w:p>
        </w:tc>
        <w:tc>
          <w:tcPr>
            <w:tcW w:w="935" w:type="dxa"/>
            <w:tcBorders>
              <w:top w:val="nil"/>
              <w:left w:val="nil"/>
              <w:bottom w:val="single" w:sz="8" w:space="0" w:color="auto"/>
              <w:right w:val="single" w:sz="8" w:space="0" w:color="auto"/>
            </w:tcBorders>
            <w:shd w:val="clear" w:color="000000" w:fill="D9D9D9"/>
            <w:vAlign w:val="center"/>
            <w:hideMark/>
          </w:tcPr>
          <w:p w14:paraId="16A30DBA" w14:textId="77777777" w:rsidR="00731E43" w:rsidRPr="00FA433F" w:rsidRDefault="008C29CD" w:rsidP="00731E43">
            <w:pPr>
              <w:spacing w:before="0" w:after="0"/>
              <w:jc w:val="right"/>
              <w:rPr>
                <w:b/>
                <w:bCs/>
                <w:noProof/>
                <w:sz w:val="16"/>
                <w:szCs w:val="16"/>
              </w:rPr>
            </w:pPr>
            <w:r w:rsidRPr="00FA433F">
              <w:rPr>
                <w:b/>
                <w:noProof/>
                <w:sz w:val="16"/>
              </w:rPr>
              <w:t>1,109</w:t>
            </w:r>
          </w:p>
        </w:tc>
        <w:tc>
          <w:tcPr>
            <w:tcW w:w="935" w:type="dxa"/>
            <w:tcBorders>
              <w:top w:val="nil"/>
              <w:left w:val="nil"/>
              <w:bottom w:val="single" w:sz="8" w:space="0" w:color="auto"/>
              <w:right w:val="single" w:sz="8" w:space="0" w:color="auto"/>
            </w:tcBorders>
            <w:shd w:val="clear" w:color="000000" w:fill="D9D9D9"/>
            <w:vAlign w:val="center"/>
            <w:hideMark/>
          </w:tcPr>
          <w:p w14:paraId="08526886" w14:textId="77777777" w:rsidR="00731E43" w:rsidRPr="00FA433F" w:rsidRDefault="00731E43" w:rsidP="00731E43">
            <w:pPr>
              <w:spacing w:before="0" w:after="0"/>
              <w:jc w:val="right"/>
              <w:rPr>
                <w:b/>
                <w:bCs/>
                <w:noProof/>
                <w:sz w:val="16"/>
                <w:szCs w:val="16"/>
              </w:rPr>
            </w:pPr>
            <w:r w:rsidRPr="00FA433F">
              <w:rPr>
                <w:b/>
                <w:noProof/>
                <w:sz w:val="16"/>
              </w:rPr>
              <w:t>0,000</w:t>
            </w:r>
          </w:p>
        </w:tc>
        <w:tc>
          <w:tcPr>
            <w:tcW w:w="935" w:type="dxa"/>
            <w:tcBorders>
              <w:top w:val="single" w:sz="8" w:space="0" w:color="auto"/>
              <w:left w:val="nil"/>
              <w:bottom w:val="single" w:sz="8" w:space="0" w:color="auto"/>
              <w:right w:val="single" w:sz="8" w:space="0" w:color="auto"/>
            </w:tcBorders>
            <w:shd w:val="clear" w:color="000000" w:fill="D9D9D9"/>
            <w:vAlign w:val="center"/>
          </w:tcPr>
          <w:p w14:paraId="5C8088E3" w14:textId="77777777" w:rsidR="00731E43" w:rsidRPr="00FA433F" w:rsidRDefault="00731E43" w:rsidP="00731E43">
            <w:pPr>
              <w:spacing w:before="0" w:after="0"/>
              <w:jc w:val="right"/>
              <w:rPr>
                <w:b/>
                <w:bCs/>
                <w:noProof/>
                <w:sz w:val="16"/>
                <w:szCs w:val="16"/>
              </w:rPr>
            </w:pPr>
            <w:r w:rsidRPr="00FA433F">
              <w:rPr>
                <w:b/>
                <w:noProof/>
                <w:sz w:val="16"/>
              </w:rPr>
              <w:t>0,000</w:t>
            </w:r>
          </w:p>
        </w:tc>
        <w:tc>
          <w:tcPr>
            <w:tcW w:w="935" w:type="dxa"/>
            <w:tcBorders>
              <w:top w:val="nil"/>
              <w:left w:val="single" w:sz="8" w:space="0" w:color="auto"/>
              <w:bottom w:val="single" w:sz="8" w:space="0" w:color="auto"/>
              <w:right w:val="single" w:sz="8" w:space="0" w:color="auto"/>
            </w:tcBorders>
            <w:shd w:val="clear" w:color="000000" w:fill="D9D9D9"/>
            <w:vAlign w:val="center"/>
            <w:hideMark/>
          </w:tcPr>
          <w:p w14:paraId="4A104CBF" w14:textId="77777777" w:rsidR="00731E43" w:rsidRPr="00FA433F" w:rsidRDefault="00731E43" w:rsidP="00731E43">
            <w:pPr>
              <w:spacing w:before="0" w:after="0"/>
              <w:jc w:val="right"/>
              <w:rPr>
                <w:b/>
                <w:bCs/>
                <w:noProof/>
                <w:sz w:val="16"/>
                <w:szCs w:val="16"/>
              </w:rPr>
            </w:pPr>
            <w:r w:rsidRPr="00FA433F">
              <w:rPr>
                <w:b/>
                <w:noProof/>
                <w:sz w:val="16"/>
              </w:rPr>
              <w:t>0,000</w:t>
            </w:r>
          </w:p>
        </w:tc>
        <w:tc>
          <w:tcPr>
            <w:tcW w:w="1051" w:type="dxa"/>
            <w:tcBorders>
              <w:top w:val="nil"/>
              <w:left w:val="nil"/>
              <w:bottom w:val="single" w:sz="8" w:space="0" w:color="auto"/>
              <w:right w:val="single" w:sz="8" w:space="0" w:color="auto"/>
            </w:tcBorders>
            <w:shd w:val="clear" w:color="000000" w:fill="D9D9D9"/>
            <w:vAlign w:val="center"/>
            <w:hideMark/>
          </w:tcPr>
          <w:p w14:paraId="6E5D24E2" w14:textId="77777777" w:rsidR="00731E43" w:rsidRPr="00FA433F" w:rsidRDefault="00297F20" w:rsidP="00731E43">
            <w:pPr>
              <w:spacing w:before="0" w:after="0"/>
              <w:jc w:val="right"/>
              <w:rPr>
                <w:b/>
                <w:bCs/>
                <w:noProof/>
                <w:sz w:val="16"/>
                <w:szCs w:val="16"/>
              </w:rPr>
            </w:pPr>
            <w:r w:rsidRPr="00FA433F">
              <w:rPr>
                <w:b/>
                <w:noProof/>
                <w:sz w:val="16"/>
              </w:rPr>
              <w:t>2,117</w:t>
            </w:r>
          </w:p>
        </w:tc>
      </w:tr>
      <w:tr w:rsidR="00F14B07" w:rsidRPr="00FA433F" w14:paraId="39B33710" w14:textId="77777777" w:rsidTr="00F14B07">
        <w:trPr>
          <w:trHeight w:val="300"/>
        </w:trPr>
        <w:tc>
          <w:tcPr>
            <w:tcW w:w="847" w:type="dxa"/>
            <w:tcBorders>
              <w:top w:val="single" w:sz="8" w:space="0" w:color="auto"/>
              <w:left w:val="single" w:sz="8" w:space="0" w:color="auto"/>
              <w:bottom w:val="single" w:sz="8" w:space="0" w:color="auto"/>
              <w:right w:val="single" w:sz="4" w:space="0" w:color="auto"/>
            </w:tcBorders>
          </w:tcPr>
          <w:p w14:paraId="35587CA3" w14:textId="77777777" w:rsidR="00F14B07" w:rsidRPr="00FA433F" w:rsidRDefault="00F14B07">
            <w:pPr>
              <w:spacing w:before="0" w:after="0"/>
              <w:jc w:val="left"/>
              <w:rPr>
                <w:b/>
                <w:bCs/>
                <w:noProof/>
                <w:sz w:val="16"/>
                <w:szCs w:val="16"/>
                <w:lang w:eastAsia="en-IE"/>
              </w:rPr>
            </w:pPr>
          </w:p>
        </w:tc>
        <w:tc>
          <w:tcPr>
            <w:tcW w:w="8442" w:type="dxa"/>
            <w:gridSpan w:val="7"/>
            <w:tcBorders>
              <w:top w:val="single" w:sz="8" w:space="0" w:color="auto"/>
              <w:left w:val="single" w:sz="8" w:space="0" w:color="auto"/>
              <w:bottom w:val="single" w:sz="8" w:space="0" w:color="auto"/>
              <w:right w:val="single" w:sz="8" w:space="0" w:color="auto"/>
            </w:tcBorders>
            <w:vAlign w:val="center"/>
            <w:hideMark/>
          </w:tcPr>
          <w:p w14:paraId="1EB24FFC" w14:textId="77777777" w:rsidR="00F14B07" w:rsidRPr="00FA433F" w:rsidRDefault="00F14B07">
            <w:pPr>
              <w:spacing w:before="0" w:after="0"/>
              <w:jc w:val="left"/>
              <w:rPr>
                <w:b/>
                <w:bCs/>
                <w:noProof/>
                <w:sz w:val="16"/>
                <w:szCs w:val="16"/>
              </w:rPr>
            </w:pPr>
            <w:r w:rsidRPr="00FA433F">
              <w:rPr>
                <w:b/>
                <w:noProof/>
                <w:sz w:val="16"/>
              </w:rPr>
              <w:t>Poza DZIAŁEM 7</w:t>
            </w:r>
          </w:p>
        </w:tc>
      </w:tr>
      <w:tr w:rsidR="00B8548A" w:rsidRPr="00FA433F" w14:paraId="48677305" w14:textId="77777777" w:rsidTr="00EA3058">
        <w:trPr>
          <w:trHeight w:val="300"/>
        </w:trPr>
        <w:tc>
          <w:tcPr>
            <w:tcW w:w="3563" w:type="dxa"/>
            <w:gridSpan w:val="2"/>
            <w:tcBorders>
              <w:top w:val="nil"/>
              <w:left w:val="single" w:sz="8" w:space="0" w:color="auto"/>
              <w:bottom w:val="single" w:sz="8" w:space="0" w:color="auto"/>
              <w:right w:val="single" w:sz="8" w:space="0" w:color="auto"/>
            </w:tcBorders>
            <w:vAlign w:val="center"/>
            <w:hideMark/>
          </w:tcPr>
          <w:p w14:paraId="2B54235A" w14:textId="77777777" w:rsidR="00B8548A" w:rsidRPr="00FA433F" w:rsidRDefault="00B8548A" w:rsidP="00B8548A">
            <w:pPr>
              <w:spacing w:before="0" w:after="0"/>
              <w:jc w:val="left"/>
              <w:rPr>
                <w:noProof/>
                <w:sz w:val="16"/>
                <w:szCs w:val="16"/>
              </w:rPr>
            </w:pPr>
            <w:r w:rsidRPr="00FA433F">
              <w:rPr>
                <w:noProof/>
                <w:sz w:val="16"/>
              </w:rPr>
              <w:t xml:space="preserve">Zasoby ludzkie </w:t>
            </w:r>
          </w:p>
        </w:tc>
        <w:tc>
          <w:tcPr>
            <w:tcW w:w="935" w:type="dxa"/>
            <w:tcBorders>
              <w:top w:val="nil"/>
              <w:left w:val="nil"/>
              <w:bottom w:val="single" w:sz="8" w:space="0" w:color="auto"/>
              <w:right w:val="single" w:sz="8" w:space="0" w:color="auto"/>
            </w:tcBorders>
            <w:shd w:val="clear" w:color="000000" w:fill="D9D9D9"/>
            <w:vAlign w:val="center"/>
            <w:hideMark/>
          </w:tcPr>
          <w:p w14:paraId="55DCF28F" w14:textId="77777777" w:rsidR="00B8548A" w:rsidRPr="00FA433F" w:rsidRDefault="00B8548A" w:rsidP="00B8548A">
            <w:pPr>
              <w:spacing w:before="0" w:after="0"/>
              <w:jc w:val="right"/>
              <w:rPr>
                <w:noProof/>
                <w:sz w:val="16"/>
                <w:szCs w:val="16"/>
              </w:rPr>
            </w:pPr>
            <w:r w:rsidRPr="00FA433F">
              <w:rPr>
                <w:noProof/>
                <w:sz w:val="16"/>
              </w:rPr>
              <w:t>0,000</w:t>
            </w:r>
          </w:p>
        </w:tc>
        <w:tc>
          <w:tcPr>
            <w:tcW w:w="935" w:type="dxa"/>
            <w:tcBorders>
              <w:top w:val="nil"/>
              <w:left w:val="nil"/>
              <w:bottom w:val="single" w:sz="8" w:space="0" w:color="auto"/>
              <w:right w:val="single" w:sz="8" w:space="0" w:color="auto"/>
            </w:tcBorders>
            <w:shd w:val="clear" w:color="000000" w:fill="D9D9D9"/>
            <w:vAlign w:val="center"/>
            <w:hideMark/>
          </w:tcPr>
          <w:p w14:paraId="18524100" w14:textId="518329DA" w:rsidR="00B8548A" w:rsidRPr="00FA433F" w:rsidRDefault="00A26356" w:rsidP="00B8548A">
            <w:pPr>
              <w:spacing w:before="0" w:after="0"/>
              <w:jc w:val="right"/>
              <w:rPr>
                <w:noProof/>
                <w:sz w:val="16"/>
                <w:szCs w:val="16"/>
              </w:rPr>
            </w:pPr>
            <w:r w:rsidRPr="00FA433F">
              <w:rPr>
                <w:noProof/>
                <w:sz w:val="16"/>
              </w:rPr>
              <w:t>0,000</w:t>
            </w:r>
          </w:p>
        </w:tc>
        <w:tc>
          <w:tcPr>
            <w:tcW w:w="935" w:type="dxa"/>
            <w:tcBorders>
              <w:top w:val="nil"/>
              <w:left w:val="nil"/>
              <w:bottom w:val="single" w:sz="8" w:space="0" w:color="auto"/>
              <w:right w:val="single" w:sz="8" w:space="0" w:color="auto"/>
            </w:tcBorders>
            <w:shd w:val="clear" w:color="000000" w:fill="D9D9D9"/>
            <w:vAlign w:val="center"/>
            <w:hideMark/>
          </w:tcPr>
          <w:p w14:paraId="269469CE" w14:textId="77777777" w:rsidR="00B8548A" w:rsidRPr="00FA433F" w:rsidRDefault="00B8548A" w:rsidP="00B8548A">
            <w:pPr>
              <w:spacing w:before="0" w:after="0"/>
              <w:jc w:val="right"/>
              <w:rPr>
                <w:noProof/>
                <w:sz w:val="16"/>
                <w:szCs w:val="16"/>
              </w:rPr>
            </w:pPr>
            <w:r w:rsidRPr="00FA433F">
              <w:rPr>
                <w:noProof/>
                <w:sz w:val="16"/>
              </w:rPr>
              <w:t>1,129</w:t>
            </w:r>
          </w:p>
        </w:tc>
        <w:tc>
          <w:tcPr>
            <w:tcW w:w="935" w:type="dxa"/>
            <w:tcBorders>
              <w:top w:val="single" w:sz="8" w:space="0" w:color="auto"/>
              <w:left w:val="nil"/>
              <w:bottom w:val="single" w:sz="8" w:space="0" w:color="auto"/>
              <w:right w:val="single" w:sz="8" w:space="0" w:color="auto"/>
            </w:tcBorders>
            <w:shd w:val="clear" w:color="000000" w:fill="D9D9D9"/>
            <w:vAlign w:val="center"/>
          </w:tcPr>
          <w:p w14:paraId="26ABBE48" w14:textId="77777777" w:rsidR="00B8548A" w:rsidRPr="00FA433F" w:rsidRDefault="00B8548A" w:rsidP="00B8548A">
            <w:pPr>
              <w:spacing w:before="0" w:after="0"/>
              <w:jc w:val="right"/>
              <w:rPr>
                <w:noProof/>
                <w:sz w:val="16"/>
                <w:szCs w:val="16"/>
              </w:rPr>
            </w:pPr>
            <w:r w:rsidRPr="00FA433F">
              <w:rPr>
                <w:noProof/>
                <w:sz w:val="16"/>
              </w:rPr>
              <w:t>0,753</w:t>
            </w:r>
          </w:p>
        </w:tc>
        <w:tc>
          <w:tcPr>
            <w:tcW w:w="935" w:type="dxa"/>
            <w:tcBorders>
              <w:top w:val="nil"/>
              <w:left w:val="single" w:sz="8" w:space="0" w:color="auto"/>
              <w:bottom w:val="single" w:sz="8" w:space="0" w:color="auto"/>
              <w:right w:val="single" w:sz="8" w:space="0" w:color="auto"/>
            </w:tcBorders>
            <w:shd w:val="clear" w:color="000000" w:fill="D9D9D9"/>
            <w:vAlign w:val="center"/>
            <w:hideMark/>
          </w:tcPr>
          <w:p w14:paraId="25AF9DB5" w14:textId="77777777" w:rsidR="00B8548A" w:rsidRPr="00FA433F" w:rsidRDefault="00B8548A" w:rsidP="00B8548A">
            <w:pPr>
              <w:spacing w:before="0" w:after="0"/>
              <w:jc w:val="right"/>
              <w:rPr>
                <w:noProof/>
                <w:sz w:val="16"/>
                <w:szCs w:val="16"/>
              </w:rPr>
            </w:pPr>
            <w:r w:rsidRPr="00FA433F">
              <w:rPr>
                <w:noProof/>
                <w:sz w:val="16"/>
              </w:rPr>
              <w:t>0,251</w:t>
            </w:r>
          </w:p>
        </w:tc>
        <w:tc>
          <w:tcPr>
            <w:tcW w:w="1051" w:type="dxa"/>
            <w:tcBorders>
              <w:top w:val="nil"/>
              <w:left w:val="nil"/>
              <w:bottom w:val="single" w:sz="8" w:space="0" w:color="auto"/>
              <w:right w:val="single" w:sz="8" w:space="0" w:color="auto"/>
            </w:tcBorders>
            <w:shd w:val="clear" w:color="000000" w:fill="D9D9D9"/>
            <w:vAlign w:val="center"/>
            <w:hideMark/>
          </w:tcPr>
          <w:p w14:paraId="5D420284" w14:textId="77777777" w:rsidR="00B8548A" w:rsidRPr="00FA433F" w:rsidRDefault="00297F20" w:rsidP="00B8548A">
            <w:pPr>
              <w:spacing w:before="0" w:after="0"/>
              <w:jc w:val="right"/>
              <w:rPr>
                <w:b/>
                <w:bCs/>
                <w:noProof/>
                <w:sz w:val="16"/>
                <w:szCs w:val="16"/>
              </w:rPr>
            </w:pPr>
            <w:r w:rsidRPr="00FA433F">
              <w:rPr>
                <w:b/>
                <w:noProof/>
                <w:sz w:val="16"/>
              </w:rPr>
              <w:t>2,133</w:t>
            </w:r>
          </w:p>
        </w:tc>
      </w:tr>
      <w:tr w:rsidR="00B8548A" w:rsidRPr="00FA433F" w14:paraId="38D1BB28" w14:textId="77777777" w:rsidTr="00EA3058">
        <w:trPr>
          <w:trHeight w:val="300"/>
        </w:trPr>
        <w:tc>
          <w:tcPr>
            <w:tcW w:w="3563" w:type="dxa"/>
            <w:gridSpan w:val="2"/>
            <w:tcBorders>
              <w:top w:val="nil"/>
              <w:left w:val="single" w:sz="8" w:space="0" w:color="auto"/>
              <w:bottom w:val="single" w:sz="8" w:space="0" w:color="auto"/>
              <w:right w:val="single" w:sz="8" w:space="0" w:color="auto"/>
            </w:tcBorders>
            <w:vAlign w:val="center"/>
            <w:hideMark/>
          </w:tcPr>
          <w:p w14:paraId="43B46454" w14:textId="604A65B5" w:rsidR="00B8548A" w:rsidRPr="00FA433F" w:rsidRDefault="00B8548A" w:rsidP="00B8548A">
            <w:pPr>
              <w:spacing w:before="0" w:after="0"/>
              <w:jc w:val="left"/>
              <w:rPr>
                <w:noProof/>
                <w:sz w:val="16"/>
                <w:szCs w:val="16"/>
              </w:rPr>
            </w:pPr>
            <w:r w:rsidRPr="00FA433F">
              <w:rPr>
                <w:noProof/>
                <w:sz w:val="16"/>
              </w:rPr>
              <w:t>Pozostałe wydatki</w:t>
            </w:r>
            <w:r w:rsidR="00FA433F" w:rsidRPr="00FA433F">
              <w:rPr>
                <w:noProof/>
                <w:sz w:val="16"/>
              </w:rPr>
              <w:t xml:space="preserve"> o</w:t>
            </w:r>
            <w:r w:rsidR="00FA433F">
              <w:rPr>
                <w:noProof/>
                <w:sz w:val="16"/>
              </w:rPr>
              <w:t> </w:t>
            </w:r>
            <w:r w:rsidR="00FA433F" w:rsidRPr="00FA433F">
              <w:rPr>
                <w:noProof/>
                <w:sz w:val="16"/>
              </w:rPr>
              <w:t>cha</w:t>
            </w:r>
            <w:r w:rsidRPr="00FA433F">
              <w:rPr>
                <w:noProof/>
                <w:sz w:val="16"/>
              </w:rPr>
              <w:t>rakterze administracyjnym</w:t>
            </w:r>
          </w:p>
        </w:tc>
        <w:tc>
          <w:tcPr>
            <w:tcW w:w="935" w:type="dxa"/>
            <w:tcBorders>
              <w:top w:val="nil"/>
              <w:left w:val="nil"/>
              <w:bottom w:val="single" w:sz="8" w:space="0" w:color="auto"/>
              <w:right w:val="single" w:sz="8" w:space="0" w:color="auto"/>
            </w:tcBorders>
            <w:shd w:val="clear" w:color="000000" w:fill="D9D9D9"/>
            <w:vAlign w:val="center"/>
            <w:hideMark/>
          </w:tcPr>
          <w:p w14:paraId="7A79B85D" w14:textId="77777777" w:rsidR="00B8548A" w:rsidRPr="00FA433F" w:rsidRDefault="00B8548A" w:rsidP="00B8548A">
            <w:pPr>
              <w:spacing w:before="0" w:after="0"/>
              <w:jc w:val="right"/>
              <w:rPr>
                <w:noProof/>
                <w:sz w:val="16"/>
                <w:szCs w:val="16"/>
              </w:rPr>
            </w:pPr>
            <w:r w:rsidRPr="00FA433F">
              <w:rPr>
                <w:noProof/>
                <w:sz w:val="16"/>
              </w:rPr>
              <w:t>0,000</w:t>
            </w:r>
          </w:p>
        </w:tc>
        <w:tc>
          <w:tcPr>
            <w:tcW w:w="935" w:type="dxa"/>
            <w:tcBorders>
              <w:top w:val="nil"/>
              <w:left w:val="nil"/>
              <w:bottom w:val="single" w:sz="8" w:space="0" w:color="auto"/>
              <w:right w:val="single" w:sz="8" w:space="0" w:color="auto"/>
            </w:tcBorders>
            <w:shd w:val="clear" w:color="000000" w:fill="D9D9D9"/>
            <w:vAlign w:val="center"/>
            <w:hideMark/>
          </w:tcPr>
          <w:p w14:paraId="2AA2BD6D" w14:textId="77777777" w:rsidR="00B8548A" w:rsidRPr="00FA433F" w:rsidRDefault="00B8548A" w:rsidP="00B8548A">
            <w:pPr>
              <w:spacing w:before="0" w:after="0"/>
              <w:jc w:val="right"/>
              <w:rPr>
                <w:noProof/>
                <w:sz w:val="16"/>
                <w:szCs w:val="16"/>
              </w:rPr>
            </w:pPr>
            <w:r w:rsidRPr="00FA433F">
              <w:rPr>
                <w:noProof/>
                <w:sz w:val="16"/>
              </w:rPr>
              <w:t>0,000</w:t>
            </w:r>
          </w:p>
        </w:tc>
        <w:tc>
          <w:tcPr>
            <w:tcW w:w="935" w:type="dxa"/>
            <w:tcBorders>
              <w:top w:val="nil"/>
              <w:left w:val="nil"/>
              <w:bottom w:val="single" w:sz="8" w:space="0" w:color="auto"/>
              <w:right w:val="single" w:sz="8" w:space="0" w:color="auto"/>
            </w:tcBorders>
            <w:shd w:val="clear" w:color="000000" w:fill="D9D9D9"/>
            <w:vAlign w:val="center"/>
            <w:hideMark/>
          </w:tcPr>
          <w:p w14:paraId="4049B8F8" w14:textId="77777777" w:rsidR="00B8548A" w:rsidRPr="00FA433F" w:rsidRDefault="00B8548A" w:rsidP="00B8548A">
            <w:pPr>
              <w:spacing w:before="0" w:after="0"/>
              <w:jc w:val="right"/>
              <w:rPr>
                <w:noProof/>
                <w:sz w:val="16"/>
                <w:szCs w:val="16"/>
              </w:rPr>
            </w:pPr>
            <w:r w:rsidRPr="00FA433F">
              <w:rPr>
                <w:noProof/>
                <w:sz w:val="16"/>
              </w:rPr>
              <w:t>0,200</w:t>
            </w:r>
          </w:p>
        </w:tc>
        <w:tc>
          <w:tcPr>
            <w:tcW w:w="935" w:type="dxa"/>
            <w:tcBorders>
              <w:top w:val="single" w:sz="8" w:space="0" w:color="auto"/>
              <w:left w:val="nil"/>
              <w:bottom w:val="single" w:sz="8" w:space="0" w:color="auto"/>
              <w:right w:val="single" w:sz="8" w:space="0" w:color="auto"/>
            </w:tcBorders>
            <w:shd w:val="clear" w:color="000000" w:fill="D9D9D9"/>
            <w:vAlign w:val="center"/>
          </w:tcPr>
          <w:p w14:paraId="6749C8AD" w14:textId="77777777" w:rsidR="00B8548A" w:rsidRPr="00FA433F" w:rsidRDefault="00B8548A" w:rsidP="00B8548A">
            <w:pPr>
              <w:spacing w:before="0" w:after="0"/>
              <w:jc w:val="right"/>
              <w:rPr>
                <w:noProof/>
                <w:sz w:val="16"/>
                <w:szCs w:val="16"/>
              </w:rPr>
            </w:pPr>
            <w:r w:rsidRPr="00FA433F">
              <w:rPr>
                <w:noProof/>
                <w:sz w:val="16"/>
              </w:rPr>
              <w:t>0,500</w:t>
            </w:r>
          </w:p>
        </w:tc>
        <w:tc>
          <w:tcPr>
            <w:tcW w:w="935" w:type="dxa"/>
            <w:tcBorders>
              <w:top w:val="nil"/>
              <w:left w:val="single" w:sz="8" w:space="0" w:color="auto"/>
              <w:bottom w:val="single" w:sz="8" w:space="0" w:color="auto"/>
              <w:right w:val="single" w:sz="8" w:space="0" w:color="auto"/>
            </w:tcBorders>
            <w:shd w:val="clear" w:color="000000" w:fill="D9D9D9"/>
            <w:vAlign w:val="center"/>
            <w:hideMark/>
          </w:tcPr>
          <w:p w14:paraId="14A472BC" w14:textId="77777777" w:rsidR="00B8548A" w:rsidRPr="00FA433F" w:rsidRDefault="00B8548A" w:rsidP="00B8548A">
            <w:pPr>
              <w:spacing w:before="0" w:after="0"/>
              <w:jc w:val="right"/>
              <w:rPr>
                <w:noProof/>
                <w:sz w:val="16"/>
                <w:szCs w:val="16"/>
              </w:rPr>
            </w:pPr>
            <w:r w:rsidRPr="00FA433F">
              <w:rPr>
                <w:noProof/>
                <w:sz w:val="16"/>
              </w:rPr>
              <w:t>0,000</w:t>
            </w:r>
          </w:p>
        </w:tc>
        <w:tc>
          <w:tcPr>
            <w:tcW w:w="1051" w:type="dxa"/>
            <w:tcBorders>
              <w:top w:val="nil"/>
              <w:left w:val="nil"/>
              <w:bottom w:val="single" w:sz="8" w:space="0" w:color="auto"/>
              <w:right w:val="single" w:sz="8" w:space="0" w:color="auto"/>
            </w:tcBorders>
            <w:shd w:val="clear" w:color="000000" w:fill="D9D9D9"/>
            <w:vAlign w:val="center"/>
            <w:hideMark/>
          </w:tcPr>
          <w:p w14:paraId="03D260A1" w14:textId="77777777" w:rsidR="00B8548A" w:rsidRPr="00FA433F" w:rsidRDefault="00B8548A" w:rsidP="00B8548A">
            <w:pPr>
              <w:spacing w:before="0" w:after="0"/>
              <w:jc w:val="right"/>
              <w:rPr>
                <w:b/>
                <w:bCs/>
                <w:noProof/>
                <w:sz w:val="16"/>
                <w:szCs w:val="16"/>
              </w:rPr>
            </w:pPr>
            <w:r w:rsidRPr="00FA433F">
              <w:rPr>
                <w:b/>
                <w:noProof/>
                <w:sz w:val="16"/>
              </w:rPr>
              <w:t>0,700</w:t>
            </w:r>
          </w:p>
        </w:tc>
      </w:tr>
      <w:tr w:rsidR="00B8548A" w:rsidRPr="00FA433F" w14:paraId="3B8013B5" w14:textId="77777777">
        <w:trPr>
          <w:trHeight w:val="300"/>
        </w:trPr>
        <w:tc>
          <w:tcPr>
            <w:tcW w:w="3563" w:type="dxa"/>
            <w:gridSpan w:val="2"/>
            <w:tcBorders>
              <w:top w:val="nil"/>
              <w:left w:val="single" w:sz="8" w:space="0" w:color="auto"/>
              <w:bottom w:val="single" w:sz="8" w:space="0" w:color="auto"/>
              <w:right w:val="single" w:sz="8" w:space="0" w:color="auto"/>
            </w:tcBorders>
            <w:shd w:val="clear" w:color="000000" w:fill="CCCCCC"/>
            <w:vAlign w:val="center"/>
            <w:hideMark/>
          </w:tcPr>
          <w:p w14:paraId="6105CFFC" w14:textId="77777777" w:rsidR="00B8548A" w:rsidRPr="00FA433F" w:rsidRDefault="00B8548A" w:rsidP="00B8548A">
            <w:pPr>
              <w:spacing w:before="0" w:after="0"/>
              <w:jc w:val="center"/>
              <w:rPr>
                <w:b/>
                <w:bCs/>
                <w:noProof/>
                <w:sz w:val="16"/>
                <w:szCs w:val="16"/>
              </w:rPr>
            </w:pPr>
            <w:r w:rsidRPr="00FA433F">
              <w:rPr>
                <w:b/>
                <w:noProof/>
                <w:sz w:val="16"/>
              </w:rPr>
              <w:t>Suma cząstkowa poza DZIAŁEM 7</w:t>
            </w:r>
          </w:p>
        </w:tc>
        <w:tc>
          <w:tcPr>
            <w:tcW w:w="935" w:type="dxa"/>
            <w:tcBorders>
              <w:top w:val="nil"/>
              <w:left w:val="nil"/>
              <w:bottom w:val="single" w:sz="8" w:space="0" w:color="auto"/>
              <w:right w:val="single" w:sz="8" w:space="0" w:color="auto"/>
            </w:tcBorders>
            <w:shd w:val="clear" w:color="000000" w:fill="D9D9D9"/>
            <w:vAlign w:val="center"/>
            <w:hideMark/>
          </w:tcPr>
          <w:p w14:paraId="3708EA50" w14:textId="77777777" w:rsidR="00B8548A" w:rsidRPr="00FA433F" w:rsidRDefault="00B8548A" w:rsidP="00B8548A">
            <w:pPr>
              <w:spacing w:before="0" w:after="0"/>
              <w:jc w:val="right"/>
              <w:rPr>
                <w:b/>
                <w:bCs/>
                <w:noProof/>
                <w:sz w:val="16"/>
                <w:szCs w:val="16"/>
              </w:rPr>
            </w:pPr>
            <w:r w:rsidRPr="00FA433F">
              <w:rPr>
                <w:b/>
                <w:noProof/>
                <w:sz w:val="16"/>
              </w:rPr>
              <w:t>0,000</w:t>
            </w:r>
          </w:p>
        </w:tc>
        <w:tc>
          <w:tcPr>
            <w:tcW w:w="935" w:type="dxa"/>
            <w:tcBorders>
              <w:top w:val="nil"/>
              <w:left w:val="nil"/>
              <w:bottom w:val="single" w:sz="8" w:space="0" w:color="auto"/>
              <w:right w:val="single" w:sz="8" w:space="0" w:color="auto"/>
            </w:tcBorders>
            <w:shd w:val="clear" w:color="000000" w:fill="D9D9D9"/>
            <w:vAlign w:val="center"/>
            <w:hideMark/>
          </w:tcPr>
          <w:p w14:paraId="6C11CAE3" w14:textId="2FE96E3B" w:rsidR="00B8548A" w:rsidRPr="00FA433F" w:rsidRDefault="00533830" w:rsidP="00B8548A">
            <w:pPr>
              <w:spacing w:before="0" w:after="0"/>
              <w:jc w:val="right"/>
              <w:rPr>
                <w:b/>
                <w:bCs/>
                <w:noProof/>
                <w:sz w:val="16"/>
                <w:szCs w:val="16"/>
              </w:rPr>
            </w:pPr>
            <w:r w:rsidRPr="00FA433F">
              <w:rPr>
                <w:b/>
                <w:noProof/>
                <w:sz w:val="16"/>
              </w:rPr>
              <w:t>0,000</w:t>
            </w:r>
          </w:p>
        </w:tc>
        <w:tc>
          <w:tcPr>
            <w:tcW w:w="935" w:type="dxa"/>
            <w:tcBorders>
              <w:top w:val="nil"/>
              <w:left w:val="nil"/>
              <w:bottom w:val="single" w:sz="8" w:space="0" w:color="auto"/>
              <w:right w:val="single" w:sz="8" w:space="0" w:color="auto"/>
            </w:tcBorders>
            <w:shd w:val="clear" w:color="000000" w:fill="D9D9D9"/>
            <w:vAlign w:val="center"/>
            <w:hideMark/>
          </w:tcPr>
          <w:p w14:paraId="01A15FC7" w14:textId="77777777" w:rsidR="00B8548A" w:rsidRPr="00FA433F" w:rsidRDefault="00B8548A" w:rsidP="00B8548A">
            <w:pPr>
              <w:spacing w:before="0" w:after="0"/>
              <w:jc w:val="right"/>
              <w:rPr>
                <w:b/>
                <w:bCs/>
                <w:noProof/>
                <w:sz w:val="16"/>
                <w:szCs w:val="16"/>
              </w:rPr>
            </w:pPr>
            <w:r w:rsidRPr="00FA433F">
              <w:rPr>
                <w:b/>
                <w:noProof/>
                <w:sz w:val="16"/>
              </w:rPr>
              <w:t>1,329</w:t>
            </w:r>
          </w:p>
        </w:tc>
        <w:tc>
          <w:tcPr>
            <w:tcW w:w="935" w:type="dxa"/>
            <w:tcBorders>
              <w:top w:val="single" w:sz="8" w:space="0" w:color="auto"/>
              <w:left w:val="nil"/>
              <w:bottom w:val="single" w:sz="8" w:space="0" w:color="auto"/>
              <w:right w:val="single" w:sz="8" w:space="0" w:color="auto"/>
            </w:tcBorders>
            <w:shd w:val="clear" w:color="000000" w:fill="D9D9D9"/>
            <w:vAlign w:val="center"/>
          </w:tcPr>
          <w:p w14:paraId="26E40BC5" w14:textId="77777777" w:rsidR="00B8548A" w:rsidRPr="00FA433F" w:rsidRDefault="00B8548A" w:rsidP="00B8548A">
            <w:pPr>
              <w:spacing w:before="0" w:after="0"/>
              <w:jc w:val="right"/>
              <w:rPr>
                <w:b/>
                <w:bCs/>
                <w:noProof/>
                <w:sz w:val="16"/>
                <w:szCs w:val="16"/>
              </w:rPr>
            </w:pPr>
            <w:r w:rsidRPr="00FA433F">
              <w:rPr>
                <w:b/>
                <w:noProof/>
                <w:sz w:val="16"/>
              </w:rPr>
              <w:t>1,253</w:t>
            </w:r>
          </w:p>
        </w:tc>
        <w:tc>
          <w:tcPr>
            <w:tcW w:w="935" w:type="dxa"/>
            <w:tcBorders>
              <w:top w:val="nil"/>
              <w:left w:val="single" w:sz="8" w:space="0" w:color="auto"/>
              <w:bottom w:val="single" w:sz="8" w:space="0" w:color="auto"/>
              <w:right w:val="single" w:sz="8" w:space="0" w:color="auto"/>
            </w:tcBorders>
            <w:shd w:val="clear" w:color="000000" w:fill="D9D9D9"/>
            <w:vAlign w:val="center"/>
            <w:hideMark/>
          </w:tcPr>
          <w:p w14:paraId="15A43A12" w14:textId="77777777" w:rsidR="00B8548A" w:rsidRPr="00FA433F" w:rsidRDefault="00B8548A" w:rsidP="00B8548A">
            <w:pPr>
              <w:spacing w:before="0" w:after="0"/>
              <w:jc w:val="right"/>
              <w:rPr>
                <w:b/>
                <w:bCs/>
                <w:noProof/>
                <w:sz w:val="16"/>
                <w:szCs w:val="16"/>
              </w:rPr>
            </w:pPr>
            <w:r w:rsidRPr="00FA433F">
              <w:rPr>
                <w:b/>
                <w:noProof/>
                <w:sz w:val="16"/>
              </w:rPr>
              <w:t>0,251</w:t>
            </w:r>
          </w:p>
        </w:tc>
        <w:tc>
          <w:tcPr>
            <w:tcW w:w="1051" w:type="dxa"/>
            <w:tcBorders>
              <w:top w:val="nil"/>
              <w:left w:val="nil"/>
              <w:bottom w:val="single" w:sz="8" w:space="0" w:color="auto"/>
              <w:right w:val="single" w:sz="8" w:space="0" w:color="auto"/>
            </w:tcBorders>
            <w:shd w:val="clear" w:color="000000" w:fill="D9D9D9"/>
            <w:vAlign w:val="center"/>
            <w:hideMark/>
          </w:tcPr>
          <w:p w14:paraId="585477AD" w14:textId="77777777" w:rsidR="00B8548A" w:rsidRPr="00FA433F" w:rsidRDefault="00297F20" w:rsidP="00B8548A">
            <w:pPr>
              <w:spacing w:before="0" w:after="0"/>
              <w:jc w:val="right"/>
              <w:rPr>
                <w:b/>
                <w:bCs/>
                <w:noProof/>
                <w:sz w:val="16"/>
                <w:szCs w:val="16"/>
              </w:rPr>
            </w:pPr>
            <w:r w:rsidRPr="00FA433F">
              <w:rPr>
                <w:b/>
                <w:noProof/>
                <w:sz w:val="16"/>
              </w:rPr>
              <w:t>2,833</w:t>
            </w:r>
          </w:p>
        </w:tc>
      </w:tr>
      <w:tr w:rsidR="00731E43" w:rsidRPr="00FA433F" w14:paraId="471CE7DC" w14:textId="77777777" w:rsidTr="004529B7">
        <w:trPr>
          <w:trHeight w:val="300"/>
        </w:trPr>
        <w:tc>
          <w:tcPr>
            <w:tcW w:w="847" w:type="dxa"/>
            <w:tcBorders>
              <w:top w:val="single" w:sz="8" w:space="0" w:color="auto"/>
              <w:left w:val="single" w:sz="8" w:space="0" w:color="auto"/>
              <w:bottom w:val="single" w:sz="8" w:space="0" w:color="auto"/>
              <w:right w:val="single" w:sz="4" w:space="0" w:color="auto"/>
            </w:tcBorders>
          </w:tcPr>
          <w:p w14:paraId="3B80DF78" w14:textId="77777777" w:rsidR="00731E43" w:rsidRPr="00FA433F" w:rsidRDefault="00731E43" w:rsidP="00731E43">
            <w:pPr>
              <w:spacing w:before="0" w:after="0"/>
              <w:jc w:val="center"/>
              <w:rPr>
                <w:noProof/>
                <w:sz w:val="16"/>
                <w:szCs w:val="16"/>
                <w:lang w:eastAsia="en-IE"/>
              </w:rPr>
            </w:pPr>
          </w:p>
        </w:tc>
        <w:tc>
          <w:tcPr>
            <w:tcW w:w="8442" w:type="dxa"/>
            <w:gridSpan w:val="7"/>
            <w:tcBorders>
              <w:top w:val="single" w:sz="8" w:space="0" w:color="auto"/>
              <w:left w:val="single" w:sz="8" w:space="0" w:color="auto"/>
              <w:bottom w:val="single" w:sz="8" w:space="0" w:color="auto"/>
              <w:right w:val="single" w:sz="8" w:space="0" w:color="auto"/>
            </w:tcBorders>
            <w:noWrap/>
            <w:vAlign w:val="center"/>
            <w:hideMark/>
          </w:tcPr>
          <w:p w14:paraId="5A09DAD4" w14:textId="77777777" w:rsidR="00731E43" w:rsidRPr="00FA433F" w:rsidRDefault="00731E43" w:rsidP="00731E43">
            <w:pPr>
              <w:spacing w:before="0" w:after="0"/>
              <w:jc w:val="center"/>
              <w:rPr>
                <w:noProof/>
                <w:sz w:val="16"/>
                <w:szCs w:val="16"/>
                <w:lang w:eastAsia="en-IE"/>
              </w:rPr>
            </w:pPr>
          </w:p>
        </w:tc>
      </w:tr>
      <w:tr w:rsidR="00EF74B6" w:rsidRPr="00FA433F" w14:paraId="4FED7A16" w14:textId="77777777" w:rsidTr="00EA3058">
        <w:trPr>
          <w:trHeight w:val="312"/>
        </w:trPr>
        <w:tc>
          <w:tcPr>
            <w:tcW w:w="3563" w:type="dxa"/>
            <w:gridSpan w:val="2"/>
            <w:tcBorders>
              <w:top w:val="single" w:sz="8" w:space="0" w:color="auto"/>
              <w:left w:val="single" w:sz="8" w:space="0" w:color="auto"/>
              <w:bottom w:val="single" w:sz="8" w:space="0" w:color="auto"/>
              <w:right w:val="single" w:sz="8" w:space="0" w:color="auto"/>
            </w:tcBorders>
            <w:vAlign w:val="center"/>
            <w:hideMark/>
          </w:tcPr>
          <w:p w14:paraId="3AF7AB87" w14:textId="77777777" w:rsidR="00EF74B6" w:rsidRPr="00FA433F" w:rsidRDefault="00EF74B6" w:rsidP="00EF74B6">
            <w:pPr>
              <w:spacing w:before="0" w:after="0"/>
              <w:jc w:val="center"/>
              <w:rPr>
                <w:b/>
                <w:bCs/>
                <w:noProof/>
                <w:sz w:val="16"/>
                <w:szCs w:val="16"/>
              </w:rPr>
            </w:pPr>
            <w:r w:rsidRPr="00FA433F">
              <w:rPr>
                <w:b/>
                <w:noProof/>
                <w:sz w:val="16"/>
              </w:rPr>
              <w:t>OGÓŁEM</w:t>
            </w:r>
          </w:p>
        </w:tc>
        <w:tc>
          <w:tcPr>
            <w:tcW w:w="935" w:type="dxa"/>
            <w:tcBorders>
              <w:top w:val="single" w:sz="8" w:space="0" w:color="auto"/>
              <w:left w:val="nil"/>
              <w:bottom w:val="single" w:sz="8" w:space="0" w:color="auto"/>
              <w:right w:val="single" w:sz="8" w:space="0" w:color="auto"/>
            </w:tcBorders>
            <w:shd w:val="clear" w:color="000000" w:fill="D9D9D9"/>
            <w:vAlign w:val="center"/>
            <w:hideMark/>
          </w:tcPr>
          <w:p w14:paraId="4A7C3442" w14:textId="77777777" w:rsidR="00EF74B6" w:rsidRPr="00FA433F" w:rsidRDefault="00D84B6B" w:rsidP="00EF74B6">
            <w:pPr>
              <w:spacing w:before="0" w:after="0"/>
              <w:jc w:val="right"/>
              <w:rPr>
                <w:b/>
                <w:bCs/>
                <w:noProof/>
                <w:sz w:val="16"/>
                <w:szCs w:val="16"/>
              </w:rPr>
            </w:pPr>
            <w:r w:rsidRPr="00FA433F">
              <w:rPr>
                <w:b/>
                <w:noProof/>
                <w:sz w:val="16"/>
              </w:rPr>
              <w:t>1,008</w:t>
            </w:r>
          </w:p>
        </w:tc>
        <w:tc>
          <w:tcPr>
            <w:tcW w:w="935" w:type="dxa"/>
            <w:tcBorders>
              <w:top w:val="single" w:sz="8" w:space="0" w:color="auto"/>
              <w:left w:val="nil"/>
              <w:bottom w:val="single" w:sz="8" w:space="0" w:color="auto"/>
              <w:right w:val="single" w:sz="8" w:space="0" w:color="auto"/>
            </w:tcBorders>
            <w:shd w:val="clear" w:color="000000" w:fill="D9D9D9"/>
            <w:vAlign w:val="center"/>
            <w:hideMark/>
          </w:tcPr>
          <w:p w14:paraId="19ED9621" w14:textId="77777777" w:rsidR="00EF74B6" w:rsidRPr="00FA433F" w:rsidRDefault="00EF74B6" w:rsidP="00EF74B6">
            <w:pPr>
              <w:spacing w:before="0" w:after="0"/>
              <w:jc w:val="right"/>
              <w:rPr>
                <w:b/>
                <w:bCs/>
                <w:noProof/>
                <w:sz w:val="16"/>
                <w:szCs w:val="16"/>
              </w:rPr>
            </w:pPr>
            <w:r w:rsidRPr="00FA433F">
              <w:rPr>
                <w:b/>
                <w:noProof/>
                <w:sz w:val="16"/>
              </w:rPr>
              <w:t>1,109</w:t>
            </w:r>
          </w:p>
        </w:tc>
        <w:tc>
          <w:tcPr>
            <w:tcW w:w="935" w:type="dxa"/>
            <w:tcBorders>
              <w:top w:val="single" w:sz="8" w:space="0" w:color="auto"/>
              <w:left w:val="nil"/>
              <w:bottom w:val="single" w:sz="8" w:space="0" w:color="auto"/>
              <w:right w:val="single" w:sz="8" w:space="0" w:color="auto"/>
            </w:tcBorders>
            <w:shd w:val="clear" w:color="000000" w:fill="D9D9D9"/>
            <w:vAlign w:val="center"/>
            <w:hideMark/>
          </w:tcPr>
          <w:p w14:paraId="4AA534C6" w14:textId="77777777" w:rsidR="00EF74B6" w:rsidRPr="00FA433F" w:rsidRDefault="00EF74B6" w:rsidP="00EF74B6">
            <w:pPr>
              <w:spacing w:before="0" w:after="0"/>
              <w:jc w:val="right"/>
              <w:rPr>
                <w:b/>
                <w:bCs/>
                <w:noProof/>
                <w:sz w:val="16"/>
                <w:szCs w:val="16"/>
              </w:rPr>
            </w:pPr>
            <w:r w:rsidRPr="00FA433F">
              <w:rPr>
                <w:b/>
                <w:noProof/>
                <w:sz w:val="16"/>
              </w:rPr>
              <w:t>1,329</w:t>
            </w:r>
          </w:p>
        </w:tc>
        <w:tc>
          <w:tcPr>
            <w:tcW w:w="935" w:type="dxa"/>
            <w:tcBorders>
              <w:top w:val="single" w:sz="8" w:space="0" w:color="auto"/>
              <w:left w:val="nil"/>
              <w:bottom w:val="single" w:sz="8" w:space="0" w:color="auto"/>
              <w:right w:val="single" w:sz="8" w:space="0" w:color="auto"/>
            </w:tcBorders>
            <w:shd w:val="clear" w:color="000000" w:fill="D9D9D9"/>
            <w:vAlign w:val="center"/>
          </w:tcPr>
          <w:p w14:paraId="3EE66007" w14:textId="77777777" w:rsidR="00EF74B6" w:rsidRPr="00FA433F" w:rsidRDefault="00EF74B6" w:rsidP="00EF74B6">
            <w:pPr>
              <w:spacing w:before="0" w:after="0"/>
              <w:jc w:val="right"/>
              <w:rPr>
                <w:b/>
                <w:bCs/>
                <w:noProof/>
                <w:sz w:val="16"/>
                <w:szCs w:val="16"/>
              </w:rPr>
            </w:pPr>
            <w:r w:rsidRPr="00FA433F">
              <w:rPr>
                <w:b/>
                <w:noProof/>
                <w:sz w:val="16"/>
              </w:rPr>
              <w:t>1,253</w:t>
            </w:r>
          </w:p>
        </w:tc>
        <w:tc>
          <w:tcPr>
            <w:tcW w:w="93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6FECD0D" w14:textId="77777777" w:rsidR="00EF74B6" w:rsidRPr="00FA433F" w:rsidRDefault="00EF74B6" w:rsidP="00EF74B6">
            <w:pPr>
              <w:spacing w:before="0" w:after="0"/>
              <w:jc w:val="right"/>
              <w:rPr>
                <w:b/>
                <w:bCs/>
                <w:noProof/>
                <w:sz w:val="16"/>
                <w:szCs w:val="16"/>
              </w:rPr>
            </w:pPr>
            <w:r w:rsidRPr="00FA433F">
              <w:rPr>
                <w:b/>
                <w:noProof/>
                <w:sz w:val="16"/>
              </w:rPr>
              <w:t>0,251</w:t>
            </w:r>
          </w:p>
        </w:tc>
        <w:tc>
          <w:tcPr>
            <w:tcW w:w="1051" w:type="dxa"/>
            <w:tcBorders>
              <w:top w:val="single" w:sz="8" w:space="0" w:color="auto"/>
              <w:left w:val="nil"/>
              <w:bottom w:val="single" w:sz="8" w:space="0" w:color="auto"/>
              <w:right w:val="single" w:sz="8" w:space="0" w:color="auto"/>
            </w:tcBorders>
            <w:shd w:val="clear" w:color="000000" w:fill="D9D9D9"/>
            <w:vAlign w:val="center"/>
            <w:hideMark/>
          </w:tcPr>
          <w:p w14:paraId="180D43C4" w14:textId="77777777" w:rsidR="00EF74B6" w:rsidRPr="00FA433F" w:rsidRDefault="00297F20" w:rsidP="00EF74B6">
            <w:pPr>
              <w:spacing w:before="0" w:after="0"/>
              <w:jc w:val="right"/>
              <w:rPr>
                <w:b/>
                <w:bCs/>
                <w:noProof/>
                <w:sz w:val="16"/>
                <w:szCs w:val="16"/>
              </w:rPr>
            </w:pPr>
            <w:r w:rsidRPr="00FA433F">
              <w:rPr>
                <w:b/>
                <w:noProof/>
                <w:sz w:val="16"/>
              </w:rPr>
              <w:t>4,950</w:t>
            </w:r>
          </w:p>
        </w:tc>
      </w:tr>
    </w:tbl>
    <w:p w14:paraId="64718D8F" w14:textId="77777777" w:rsidR="008A4C15" w:rsidRPr="00FA433F" w:rsidRDefault="008A4C15">
      <w:pPr>
        <w:rPr>
          <w:noProof/>
        </w:rPr>
      </w:pPr>
      <w:r w:rsidRPr="00FA433F">
        <w:rPr>
          <w:noProof/>
        </w:rPr>
        <w:t>===================================================================</w:t>
      </w:r>
    </w:p>
    <w:p w14:paraId="7350928B" w14:textId="5B33D9E6" w:rsidR="008A4C15" w:rsidRPr="00FA433F" w:rsidRDefault="00197328">
      <w:pPr>
        <w:rPr>
          <w:noProof/>
          <w:sz w:val="22"/>
          <w:szCs w:val="28"/>
        </w:rPr>
      </w:pPr>
      <w:r w:rsidRPr="00FA433F">
        <w:rPr>
          <w:noProof/>
          <w:sz w:val="22"/>
        </w:rPr>
        <w:t>Od 2026 r. do czasu udostępnienia zewnętrznych dochodów przeznaczonych na określony cel potrzeby</w:t>
      </w:r>
      <w:r w:rsidR="00FA433F" w:rsidRPr="00FA433F">
        <w:rPr>
          <w:noProof/>
          <w:sz w:val="22"/>
        </w:rPr>
        <w:t xml:space="preserve"> w</w:t>
      </w:r>
      <w:r w:rsidR="00FA433F">
        <w:rPr>
          <w:noProof/>
          <w:sz w:val="22"/>
        </w:rPr>
        <w:t> </w:t>
      </w:r>
      <w:r w:rsidR="00FA433F" w:rsidRPr="00FA433F">
        <w:rPr>
          <w:noProof/>
          <w:sz w:val="22"/>
        </w:rPr>
        <w:t>zak</w:t>
      </w:r>
      <w:r w:rsidRPr="00FA433F">
        <w:rPr>
          <w:noProof/>
          <w:sz w:val="22"/>
        </w:rPr>
        <w:t>resie środków na zasoby ludzkie</w:t>
      </w:r>
      <w:r w:rsidR="00FA433F" w:rsidRPr="00FA433F">
        <w:rPr>
          <w:noProof/>
          <w:sz w:val="22"/>
        </w:rPr>
        <w:t xml:space="preserve"> i</w:t>
      </w:r>
      <w:r w:rsidR="00FA433F">
        <w:rPr>
          <w:noProof/>
          <w:sz w:val="22"/>
        </w:rPr>
        <w:t> </w:t>
      </w:r>
      <w:r w:rsidR="00FA433F" w:rsidRPr="00FA433F">
        <w:rPr>
          <w:noProof/>
          <w:sz w:val="22"/>
        </w:rPr>
        <w:t>inn</w:t>
      </w:r>
      <w:r w:rsidRPr="00FA433F">
        <w:rPr>
          <w:noProof/>
          <w:sz w:val="22"/>
        </w:rPr>
        <w:t>e wydatki</w:t>
      </w:r>
      <w:r w:rsidR="00FA433F" w:rsidRPr="00FA433F">
        <w:rPr>
          <w:noProof/>
          <w:sz w:val="22"/>
        </w:rPr>
        <w:t xml:space="preserve"> o</w:t>
      </w:r>
      <w:r w:rsidR="00FA433F">
        <w:rPr>
          <w:noProof/>
          <w:sz w:val="22"/>
        </w:rPr>
        <w:t> </w:t>
      </w:r>
      <w:r w:rsidR="00FA433F" w:rsidRPr="00FA433F">
        <w:rPr>
          <w:noProof/>
          <w:sz w:val="22"/>
        </w:rPr>
        <w:t>cha</w:t>
      </w:r>
      <w:r w:rsidRPr="00FA433F">
        <w:rPr>
          <w:noProof/>
          <w:sz w:val="22"/>
        </w:rPr>
        <w:t>rakterze administracyjnym zostaną pokryte</w:t>
      </w:r>
      <w:r w:rsidR="00FA433F" w:rsidRPr="00FA433F">
        <w:rPr>
          <w:noProof/>
          <w:sz w:val="22"/>
        </w:rPr>
        <w:t xml:space="preserve"> z</w:t>
      </w:r>
      <w:r w:rsidR="00FA433F">
        <w:rPr>
          <w:noProof/>
          <w:sz w:val="22"/>
        </w:rPr>
        <w:t> </w:t>
      </w:r>
      <w:r w:rsidR="00FA433F" w:rsidRPr="00FA433F">
        <w:rPr>
          <w:noProof/>
          <w:sz w:val="22"/>
        </w:rPr>
        <w:t>zas</w:t>
      </w:r>
      <w:r w:rsidRPr="00FA433F">
        <w:rPr>
          <w:noProof/>
          <w:sz w:val="22"/>
        </w:rPr>
        <w:t>obów DG już przydzielonych na zarządzanie tym działaniem lub przesuniętych</w:t>
      </w:r>
      <w:r w:rsidR="00FA433F" w:rsidRPr="00FA433F">
        <w:rPr>
          <w:noProof/>
          <w:sz w:val="22"/>
        </w:rPr>
        <w:t xml:space="preserve"> w</w:t>
      </w:r>
      <w:r w:rsidR="00FA433F">
        <w:rPr>
          <w:noProof/>
          <w:sz w:val="22"/>
        </w:rPr>
        <w:t> </w:t>
      </w:r>
      <w:r w:rsidR="00FA433F" w:rsidRPr="00FA433F">
        <w:rPr>
          <w:noProof/>
          <w:sz w:val="22"/>
        </w:rPr>
        <w:t>ram</w:t>
      </w:r>
      <w:r w:rsidRPr="00FA433F">
        <w:rPr>
          <w:noProof/>
          <w:sz w:val="22"/>
        </w:rPr>
        <w:t>ach dyrekcji generalnej, uzupełnionych</w:t>
      </w:r>
      <w:r w:rsidR="00FA433F" w:rsidRPr="00FA433F">
        <w:rPr>
          <w:noProof/>
          <w:sz w:val="22"/>
        </w:rPr>
        <w:t xml:space="preserve"> w</w:t>
      </w:r>
      <w:r w:rsidR="00FA433F">
        <w:rPr>
          <w:noProof/>
          <w:sz w:val="22"/>
        </w:rPr>
        <w:t> </w:t>
      </w:r>
      <w:r w:rsidR="00FA433F" w:rsidRPr="00FA433F">
        <w:rPr>
          <w:noProof/>
          <w:sz w:val="22"/>
        </w:rPr>
        <w:t>raz</w:t>
      </w:r>
      <w:r w:rsidRPr="00FA433F">
        <w:rPr>
          <w:noProof/>
          <w:sz w:val="22"/>
        </w:rPr>
        <w:t>ie potrzeby wszelkimi dodatkowymi zasobami, które mogą zostać przydzielone zarządzającej dyrekcji generalnej. Od momentu rozpoczęcia poboru dochodów przeznaczonych na określony cel koszty zasobów ludzkich oraz inne koszty administracyjne będą finansowane</w:t>
      </w:r>
      <w:r w:rsidR="00FA433F" w:rsidRPr="00FA433F">
        <w:rPr>
          <w:noProof/>
          <w:sz w:val="22"/>
        </w:rPr>
        <w:t xml:space="preserve"> z</w:t>
      </w:r>
      <w:r w:rsidR="00FA433F">
        <w:rPr>
          <w:noProof/>
          <w:sz w:val="22"/>
        </w:rPr>
        <w:t> </w:t>
      </w:r>
      <w:r w:rsidR="00FA433F" w:rsidRPr="00FA433F">
        <w:rPr>
          <w:noProof/>
          <w:sz w:val="22"/>
        </w:rPr>
        <w:t>tyc</w:t>
      </w:r>
      <w:r w:rsidRPr="00FA433F">
        <w:rPr>
          <w:noProof/>
          <w:sz w:val="22"/>
        </w:rPr>
        <w:t>h dochodów.</w:t>
      </w:r>
    </w:p>
    <w:p w14:paraId="7512D867" w14:textId="77777777" w:rsidR="008A4C15" w:rsidRPr="00FA433F" w:rsidRDefault="008A4C15">
      <w:pPr>
        <w:pStyle w:val="ManualHeading3"/>
        <w:rPr>
          <w:bCs/>
          <w:noProof/>
          <w:szCs w:val="24"/>
        </w:rPr>
      </w:pPr>
      <w:bookmarkStart w:id="158" w:name="_Toc167220294"/>
      <w:bookmarkStart w:id="159" w:name="_Toc177549027"/>
      <w:r w:rsidRPr="00FA433F">
        <w:rPr>
          <w:noProof/>
        </w:rPr>
        <w:t>3.2.4.</w:t>
      </w:r>
      <w:r w:rsidRPr="00FA433F">
        <w:rPr>
          <w:noProof/>
        </w:rPr>
        <w:tab/>
        <w:t>Szacowane zapotrzebowanie na zasoby ludzkie</w:t>
      </w:r>
      <w:bookmarkEnd w:id="158"/>
      <w:bookmarkEnd w:id="159"/>
      <w:r w:rsidRPr="00FA433F">
        <w:rPr>
          <w:noProof/>
        </w:rPr>
        <w:t xml:space="preserve"> </w:t>
      </w:r>
    </w:p>
    <w:p w14:paraId="6F04D5A3" w14:textId="21D7CF18" w:rsidR="008A4C15" w:rsidRPr="00FA433F" w:rsidRDefault="008A4C15">
      <w:pPr>
        <w:pStyle w:val="ListDash1"/>
        <w:rPr>
          <w:noProof/>
        </w:rPr>
      </w:pPr>
      <w:r w:rsidRPr="00FA433F">
        <w:rPr>
          <w:rFonts w:ascii="Wingdings" w:hAnsi="Wingdings"/>
          <w:noProof/>
        </w:rPr>
        <w:t></w:t>
      </w:r>
      <w:r w:rsidRPr="00FA433F">
        <w:rPr>
          <w:noProof/>
        </w:rPr>
        <w:tab/>
        <w:t>Wniosek/inicjatywa nie wiąże się</w:t>
      </w:r>
      <w:r w:rsidR="00FA433F" w:rsidRPr="00FA433F">
        <w:rPr>
          <w:noProof/>
        </w:rPr>
        <w:t xml:space="preserve"> z</w:t>
      </w:r>
      <w:r w:rsidR="00FA433F">
        <w:rPr>
          <w:noProof/>
        </w:rPr>
        <w:t> </w:t>
      </w:r>
      <w:r w:rsidR="00FA433F" w:rsidRPr="00FA433F">
        <w:rPr>
          <w:noProof/>
        </w:rPr>
        <w:t>kon</w:t>
      </w:r>
      <w:r w:rsidRPr="00FA433F">
        <w:rPr>
          <w:noProof/>
        </w:rPr>
        <w:t xml:space="preserve">iecznością wykorzystania zasobów ludzkich </w:t>
      </w:r>
    </w:p>
    <w:p w14:paraId="2784AF8C" w14:textId="2D87827E" w:rsidR="008A4C15" w:rsidRPr="00FA433F" w:rsidRDefault="00EF74B6">
      <w:pPr>
        <w:pStyle w:val="ListDash1"/>
        <w:rPr>
          <w:noProof/>
        </w:rPr>
      </w:pPr>
      <w:r w:rsidRPr="00FA433F">
        <w:rPr>
          <w:rFonts w:ascii="Wingdings" w:hAnsi="Wingdings"/>
          <w:noProof/>
        </w:rPr>
        <w:t></w:t>
      </w:r>
      <w:r w:rsidRPr="00FA433F">
        <w:rPr>
          <w:noProof/>
        </w:rPr>
        <w:tab/>
        <w:t>Wniosek/inicjatywa wiąże się</w:t>
      </w:r>
      <w:r w:rsidR="00FA433F" w:rsidRPr="00FA433F">
        <w:rPr>
          <w:noProof/>
        </w:rPr>
        <w:t xml:space="preserve"> z</w:t>
      </w:r>
      <w:r w:rsidR="00FA433F">
        <w:rPr>
          <w:noProof/>
        </w:rPr>
        <w:t> </w:t>
      </w:r>
      <w:r w:rsidR="00FA433F" w:rsidRPr="00FA433F">
        <w:rPr>
          <w:noProof/>
        </w:rPr>
        <w:t>kon</w:t>
      </w:r>
      <w:r w:rsidRPr="00FA433F">
        <w:rPr>
          <w:noProof/>
        </w:rPr>
        <w:t>iecznością wykorzystania zasobów ludzkich, jak określono poniżej</w:t>
      </w:r>
    </w:p>
    <w:p w14:paraId="284F65E7" w14:textId="10AF6AF4" w:rsidR="008A4C15" w:rsidRPr="00FA433F" w:rsidRDefault="008A4C15">
      <w:pPr>
        <w:pStyle w:val="ManualHeading3"/>
        <w:rPr>
          <w:noProof/>
        </w:rPr>
      </w:pPr>
      <w:bookmarkStart w:id="160" w:name="_Toc167220295"/>
      <w:bookmarkStart w:id="161" w:name="_Toc177549028"/>
      <w:r w:rsidRPr="00FA433F">
        <w:rPr>
          <w:noProof/>
        </w:rPr>
        <w:t>3.2.4.1.</w:t>
      </w:r>
      <w:r w:rsidRPr="00FA433F">
        <w:rPr>
          <w:noProof/>
        </w:rPr>
        <w:tab/>
        <w:t>Finansowane</w:t>
      </w:r>
      <w:r w:rsidR="00FA433F" w:rsidRPr="00FA433F">
        <w:rPr>
          <w:noProof/>
        </w:rPr>
        <w:t xml:space="preserve"> z</w:t>
      </w:r>
      <w:r w:rsidR="00FA433F">
        <w:rPr>
          <w:noProof/>
        </w:rPr>
        <w:t> </w:t>
      </w:r>
      <w:r w:rsidR="00FA433F" w:rsidRPr="00FA433F">
        <w:rPr>
          <w:noProof/>
        </w:rPr>
        <w:t>uch</w:t>
      </w:r>
      <w:r w:rsidRPr="00FA433F">
        <w:rPr>
          <w:noProof/>
        </w:rPr>
        <w:t>walonego budżetu</w:t>
      </w:r>
      <w:bookmarkEnd w:id="160"/>
      <w:bookmarkEnd w:id="161"/>
    </w:p>
    <w:p w14:paraId="090512CF" w14:textId="1FADBF6D" w:rsidR="008A4C15" w:rsidRPr="00FA433F" w:rsidRDefault="008A4C15">
      <w:pPr>
        <w:spacing w:after="60"/>
        <w:jc w:val="right"/>
        <w:rPr>
          <w:i/>
          <w:noProof/>
          <w:sz w:val="20"/>
        </w:rPr>
      </w:pPr>
      <w:r w:rsidRPr="00FA433F">
        <w:rPr>
          <w:i/>
          <w:noProof/>
          <w:sz w:val="20"/>
        </w:rPr>
        <w:t>Wartości szacunkowe należy wyrazić</w:t>
      </w:r>
      <w:r w:rsidR="00FA433F" w:rsidRPr="00FA433F">
        <w:rPr>
          <w:i/>
          <w:noProof/>
          <w:sz w:val="20"/>
        </w:rPr>
        <w:t xml:space="preserve"> w</w:t>
      </w:r>
      <w:r w:rsidR="00FA433F">
        <w:rPr>
          <w:i/>
          <w:noProof/>
          <w:sz w:val="20"/>
        </w:rPr>
        <w:t> </w:t>
      </w:r>
      <w:r w:rsidR="00FA433F" w:rsidRPr="00FA433F">
        <w:rPr>
          <w:i/>
          <w:noProof/>
          <w:sz w:val="20"/>
        </w:rPr>
        <w:t>ekw</w:t>
      </w:r>
      <w:r w:rsidRPr="00FA433F">
        <w:rPr>
          <w:i/>
          <w:noProof/>
          <w:sz w:val="20"/>
        </w:rPr>
        <w:t>iwalentach pełnego czasu pracy (EPC)</w:t>
      </w:r>
    </w:p>
    <w:p w14:paraId="22AF320B" w14:textId="039C540D" w:rsidR="008A4C15" w:rsidRPr="00FA433F" w:rsidRDefault="008A4C15">
      <w:pPr>
        <w:spacing w:after="60"/>
        <w:ind w:left="-142"/>
        <w:rPr>
          <w:noProof/>
        </w:rPr>
      </w:pPr>
      <w:r w:rsidRPr="00FA433F">
        <w:rPr>
          <w:noProof/>
        </w:rPr>
        <w:t>[Proszę określić</w:t>
      </w:r>
      <w:r w:rsidR="00FA433F" w:rsidRPr="00FA433F">
        <w:rPr>
          <w:noProof/>
        </w:rPr>
        <w:t xml:space="preserve"> w</w:t>
      </w:r>
      <w:r w:rsidR="00FA433F">
        <w:rPr>
          <w:noProof/>
        </w:rPr>
        <w:t> </w:t>
      </w:r>
      <w:r w:rsidR="00FA433F" w:rsidRPr="00FA433F">
        <w:rPr>
          <w:noProof/>
        </w:rPr>
        <w:t>tab</w:t>
      </w:r>
      <w:r w:rsidRPr="00FA433F">
        <w:rPr>
          <w:noProof/>
        </w:rPr>
        <w:t>eli poniżej, ile EPC</w:t>
      </w:r>
      <w:r w:rsidR="00FA433F" w:rsidRPr="00FA433F">
        <w:rPr>
          <w:noProof/>
        </w:rPr>
        <w:t xml:space="preserve"> w</w:t>
      </w:r>
      <w:r w:rsidR="00FA433F">
        <w:rPr>
          <w:noProof/>
        </w:rPr>
        <w:t> </w:t>
      </w:r>
      <w:r w:rsidR="00FA433F" w:rsidRPr="00FA433F">
        <w:rPr>
          <w:noProof/>
        </w:rPr>
        <w:t>ram</w:t>
      </w:r>
      <w:r w:rsidRPr="00FA433F">
        <w:rPr>
          <w:noProof/>
        </w:rPr>
        <w:t>ach wskazanej liczby jest już przydzielonych na zarządzanie tym działaniem lub może zostać przesuniętych</w:t>
      </w:r>
      <w:r w:rsidR="00FA433F" w:rsidRPr="00FA433F">
        <w:rPr>
          <w:noProof/>
        </w:rPr>
        <w:t xml:space="preserve"> w</w:t>
      </w:r>
      <w:r w:rsidR="00FA433F">
        <w:rPr>
          <w:noProof/>
        </w:rPr>
        <w:t> </w:t>
      </w:r>
      <w:r w:rsidR="00FA433F" w:rsidRPr="00FA433F">
        <w:rPr>
          <w:noProof/>
        </w:rPr>
        <w:t>ram</w:t>
      </w:r>
      <w:r w:rsidRPr="00FA433F">
        <w:rPr>
          <w:noProof/>
        </w:rPr>
        <w:t>ach Państwa dyrekcji generalnej oraz jakie są Państwa potrzeby netto.]</w:t>
      </w:r>
    </w:p>
    <w:tbl>
      <w:tblPr>
        <w:tblW w:w="5000" w:type="pct"/>
        <w:jc w:val="center"/>
        <w:tblLook w:val="04A0" w:firstRow="1" w:lastRow="0" w:firstColumn="1" w:lastColumn="0" w:noHBand="0" w:noVBand="1"/>
      </w:tblPr>
      <w:tblGrid>
        <w:gridCol w:w="829"/>
        <w:gridCol w:w="468"/>
        <w:gridCol w:w="287"/>
        <w:gridCol w:w="2563"/>
        <w:gridCol w:w="698"/>
        <w:gridCol w:w="698"/>
        <w:gridCol w:w="699"/>
        <w:gridCol w:w="698"/>
        <w:gridCol w:w="696"/>
        <w:gridCol w:w="701"/>
        <w:gridCol w:w="716"/>
      </w:tblGrid>
      <w:tr w:rsidR="005D78D2" w:rsidRPr="00FA433F" w14:paraId="2C2A2BBE" w14:textId="77777777">
        <w:trPr>
          <w:trHeight w:val="300"/>
          <w:jc w:val="center"/>
        </w:trPr>
        <w:tc>
          <w:tcPr>
            <w:tcW w:w="2279"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361F953B" w14:textId="77777777" w:rsidR="005D78D2" w:rsidRPr="00FA433F" w:rsidRDefault="005D78D2" w:rsidP="00391412">
            <w:pPr>
              <w:spacing w:before="0" w:after="0"/>
              <w:jc w:val="center"/>
              <w:rPr>
                <w:b/>
                <w:bCs/>
                <w:noProof/>
                <w:sz w:val="18"/>
                <w:szCs w:val="18"/>
              </w:rPr>
            </w:pPr>
            <w:bookmarkStart w:id="162" w:name="_Hlk156979231"/>
            <w:r w:rsidRPr="00FA433F">
              <w:rPr>
                <w:b/>
                <w:noProof/>
                <w:sz w:val="18"/>
              </w:rPr>
              <w:t>ZATWIERDZONE ŚRODKI</w:t>
            </w:r>
          </w:p>
        </w:tc>
        <w:tc>
          <w:tcPr>
            <w:tcW w:w="389" w:type="pct"/>
            <w:tcBorders>
              <w:top w:val="single" w:sz="8" w:space="0" w:color="auto"/>
              <w:left w:val="nil"/>
              <w:bottom w:val="nil"/>
              <w:right w:val="single" w:sz="8" w:space="0" w:color="auto"/>
            </w:tcBorders>
            <w:vAlign w:val="center"/>
            <w:hideMark/>
          </w:tcPr>
          <w:p w14:paraId="74ACCBFA" w14:textId="77777777" w:rsidR="005D78D2" w:rsidRPr="00FA433F" w:rsidRDefault="005D78D2" w:rsidP="00391412">
            <w:pPr>
              <w:spacing w:before="0" w:after="0"/>
              <w:jc w:val="center"/>
              <w:rPr>
                <w:noProof/>
                <w:sz w:val="20"/>
                <w:szCs w:val="20"/>
              </w:rPr>
            </w:pPr>
            <w:r w:rsidRPr="00FA433F">
              <w:rPr>
                <w:noProof/>
                <w:sz w:val="20"/>
              </w:rPr>
              <w:t>Rok</w:t>
            </w:r>
          </w:p>
        </w:tc>
        <w:tc>
          <w:tcPr>
            <w:tcW w:w="389" w:type="pct"/>
            <w:tcBorders>
              <w:top w:val="single" w:sz="8" w:space="0" w:color="auto"/>
              <w:left w:val="nil"/>
              <w:bottom w:val="nil"/>
              <w:right w:val="single" w:sz="8" w:space="0" w:color="auto"/>
            </w:tcBorders>
            <w:vAlign w:val="center"/>
            <w:hideMark/>
          </w:tcPr>
          <w:p w14:paraId="241A23F8" w14:textId="77777777" w:rsidR="005D78D2" w:rsidRPr="00FA433F" w:rsidRDefault="005D78D2" w:rsidP="00391412">
            <w:pPr>
              <w:spacing w:before="0" w:after="0"/>
              <w:jc w:val="center"/>
              <w:rPr>
                <w:noProof/>
                <w:sz w:val="20"/>
                <w:szCs w:val="20"/>
              </w:rPr>
            </w:pPr>
            <w:r w:rsidRPr="00FA433F">
              <w:rPr>
                <w:noProof/>
                <w:sz w:val="20"/>
              </w:rPr>
              <w:t>Rok</w:t>
            </w:r>
          </w:p>
        </w:tc>
        <w:tc>
          <w:tcPr>
            <w:tcW w:w="389" w:type="pct"/>
            <w:tcBorders>
              <w:top w:val="single" w:sz="8" w:space="0" w:color="auto"/>
              <w:left w:val="nil"/>
              <w:bottom w:val="nil"/>
              <w:right w:val="single" w:sz="8" w:space="0" w:color="auto"/>
            </w:tcBorders>
            <w:vAlign w:val="center"/>
            <w:hideMark/>
          </w:tcPr>
          <w:p w14:paraId="19E2952C" w14:textId="77777777" w:rsidR="005D78D2" w:rsidRPr="00FA433F" w:rsidRDefault="005D78D2" w:rsidP="00391412">
            <w:pPr>
              <w:spacing w:before="0" w:after="0"/>
              <w:jc w:val="center"/>
              <w:rPr>
                <w:noProof/>
                <w:sz w:val="20"/>
                <w:szCs w:val="20"/>
              </w:rPr>
            </w:pPr>
            <w:r w:rsidRPr="00FA433F">
              <w:rPr>
                <w:noProof/>
                <w:sz w:val="20"/>
              </w:rPr>
              <w:t>Rok</w:t>
            </w:r>
          </w:p>
        </w:tc>
        <w:tc>
          <w:tcPr>
            <w:tcW w:w="388" w:type="pct"/>
            <w:tcBorders>
              <w:top w:val="single" w:sz="8" w:space="0" w:color="auto"/>
              <w:left w:val="nil"/>
              <w:bottom w:val="nil"/>
              <w:right w:val="single" w:sz="8" w:space="0" w:color="auto"/>
            </w:tcBorders>
            <w:vAlign w:val="center"/>
          </w:tcPr>
          <w:p w14:paraId="248175AE" w14:textId="77777777" w:rsidR="005D78D2" w:rsidRPr="00FA433F" w:rsidRDefault="005D78D2" w:rsidP="00391412">
            <w:pPr>
              <w:spacing w:before="0" w:after="0"/>
              <w:jc w:val="center"/>
              <w:rPr>
                <w:noProof/>
                <w:sz w:val="20"/>
                <w:szCs w:val="20"/>
              </w:rPr>
            </w:pPr>
            <w:r w:rsidRPr="00FA433F">
              <w:rPr>
                <w:noProof/>
                <w:sz w:val="20"/>
              </w:rPr>
              <w:t>Rok</w:t>
            </w:r>
          </w:p>
        </w:tc>
        <w:tc>
          <w:tcPr>
            <w:tcW w:w="387" w:type="pct"/>
            <w:tcBorders>
              <w:top w:val="single" w:sz="8" w:space="0" w:color="auto"/>
              <w:left w:val="single" w:sz="8" w:space="0" w:color="auto"/>
              <w:bottom w:val="nil"/>
              <w:right w:val="single" w:sz="8" w:space="0" w:color="auto"/>
            </w:tcBorders>
            <w:vAlign w:val="center"/>
          </w:tcPr>
          <w:p w14:paraId="158C4CA3" w14:textId="77777777" w:rsidR="005D78D2" w:rsidRPr="00FA433F" w:rsidRDefault="005D78D2" w:rsidP="00391412">
            <w:pPr>
              <w:spacing w:before="0" w:after="0"/>
              <w:jc w:val="center"/>
              <w:rPr>
                <w:noProof/>
                <w:sz w:val="20"/>
                <w:szCs w:val="20"/>
              </w:rPr>
            </w:pPr>
            <w:r w:rsidRPr="00FA433F">
              <w:rPr>
                <w:noProof/>
                <w:sz w:val="20"/>
              </w:rPr>
              <w:t>Rok</w:t>
            </w:r>
          </w:p>
        </w:tc>
        <w:tc>
          <w:tcPr>
            <w:tcW w:w="389" w:type="pct"/>
            <w:tcBorders>
              <w:top w:val="single" w:sz="8" w:space="0" w:color="auto"/>
              <w:left w:val="single" w:sz="8" w:space="0" w:color="auto"/>
              <w:bottom w:val="nil"/>
              <w:right w:val="single" w:sz="8" w:space="0" w:color="auto"/>
            </w:tcBorders>
            <w:vAlign w:val="center"/>
            <w:hideMark/>
          </w:tcPr>
          <w:p w14:paraId="4264B413" w14:textId="77777777" w:rsidR="005D78D2" w:rsidRPr="00FA433F" w:rsidRDefault="005D78D2" w:rsidP="00391412">
            <w:pPr>
              <w:spacing w:before="0" w:after="0"/>
              <w:jc w:val="center"/>
              <w:rPr>
                <w:noProof/>
                <w:sz w:val="20"/>
                <w:szCs w:val="20"/>
              </w:rPr>
            </w:pPr>
            <w:r w:rsidRPr="00FA433F">
              <w:rPr>
                <w:noProof/>
                <w:sz w:val="20"/>
              </w:rPr>
              <w:t>Rok</w:t>
            </w:r>
          </w:p>
        </w:tc>
        <w:tc>
          <w:tcPr>
            <w:tcW w:w="389" w:type="pct"/>
            <w:vMerge w:val="restart"/>
            <w:tcBorders>
              <w:top w:val="single" w:sz="8" w:space="0" w:color="auto"/>
              <w:left w:val="single" w:sz="8" w:space="0" w:color="auto"/>
              <w:right w:val="single" w:sz="8" w:space="0" w:color="auto"/>
            </w:tcBorders>
            <w:vAlign w:val="center"/>
          </w:tcPr>
          <w:p w14:paraId="2C5D12D9" w14:textId="77777777" w:rsidR="005D78D2" w:rsidRPr="00FA433F" w:rsidRDefault="005D78D2" w:rsidP="00391412">
            <w:pPr>
              <w:spacing w:before="0" w:after="0"/>
              <w:jc w:val="center"/>
              <w:rPr>
                <w:noProof/>
                <w:sz w:val="20"/>
                <w:szCs w:val="20"/>
              </w:rPr>
            </w:pPr>
            <w:r w:rsidRPr="00FA433F">
              <w:rPr>
                <w:noProof/>
                <w:sz w:val="20"/>
              </w:rPr>
              <w:t>Rok</w:t>
            </w:r>
          </w:p>
          <w:p w14:paraId="09A8CF6D" w14:textId="77777777" w:rsidR="005D78D2" w:rsidRPr="00FA433F" w:rsidRDefault="005D78D2" w:rsidP="00391412">
            <w:pPr>
              <w:spacing w:before="0" w:after="0"/>
              <w:jc w:val="center"/>
              <w:rPr>
                <w:b/>
                <w:bCs/>
                <w:noProof/>
                <w:sz w:val="20"/>
                <w:szCs w:val="20"/>
              </w:rPr>
            </w:pPr>
            <w:r w:rsidRPr="00FA433F">
              <w:rPr>
                <w:b/>
                <w:noProof/>
                <w:sz w:val="20"/>
              </w:rPr>
              <w:t>2026–2031</w:t>
            </w:r>
          </w:p>
        </w:tc>
      </w:tr>
      <w:tr w:rsidR="005D78D2" w:rsidRPr="00FA433F" w14:paraId="381A5821" w14:textId="77777777">
        <w:trPr>
          <w:trHeight w:val="300"/>
          <w:jc w:val="center"/>
        </w:trPr>
        <w:tc>
          <w:tcPr>
            <w:tcW w:w="2279" w:type="pct"/>
            <w:gridSpan w:val="4"/>
            <w:vMerge/>
            <w:tcBorders>
              <w:top w:val="single" w:sz="8" w:space="0" w:color="auto"/>
              <w:left w:val="single" w:sz="8" w:space="0" w:color="auto"/>
              <w:bottom w:val="single" w:sz="8" w:space="0" w:color="auto"/>
              <w:right w:val="single" w:sz="8" w:space="0" w:color="000000"/>
            </w:tcBorders>
            <w:vAlign w:val="center"/>
            <w:hideMark/>
          </w:tcPr>
          <w:p w14:paraId="68DCD2C4" w14:textId="77777777" w:rsidR="005D78D2" w:rsidRPr="00FA433F" w:rsidRDefault="005D78D2" w:rsidP="00391412">
            <w:pPr>
              <w:spacing w:before="0" w:after="0"/>
              <w:jc w:val="left"/>
              <w:rPr>
                <w:b/>
                <w:bCs/>
                <w:noProof/>
                <w:sz w:val="18"/>
                <w:szCs w:val="18"/>
                <w:lang w:eastAsia="en-IE"/>
              </w:rPr>
            </w:pPr>
          </w:p>
        </w:tc>
        <w:tc>
          <w:tcPr>
            <w:tcW w:w="389" w:type="pct"/>
            <w:tcBorders>
              <w:top w:val="nil"/>
              <w:left w:val="nil"/>
              <w:bottom w:val="single" w:sz="8" w:space="0" w:color="auto"/>
              <w:right w:val="single" w:sz="8" w:space="0" w:color="auto"/>
            </w:tcBorders>
            <w:vAlign w:val="center"/>
            <w:hideMark/>
          </w:tcPr>
          <w:p w14:paraId="7A8E92A0" w14:textId="77777777" w:rsidR="005D78D2" w:rsidRPr="00FA433F" w:rsidRDefault="005D78D2" w:rsidP="00391412">
            <w:pPr>
              <w:spacing w:before="0" w:after="0"/>
              <w:jc w:val="center"/>
              <w:rPr>
                <w:b/>
                <w:bCs/>
                <w:noProof/>
                <w:sz w:val="20"/>
                <w:szCs w:val="20"/>
              </w:rPr>
            </w:pPr>
            <w:r w:rsidRPr="00FA433F">
              <w:rPr>
                <w:b/>
                <w:noProof/>
                <w:sz w:val="20"/>
              </w:rPr>
              <w:t>2026</w:t>
            </w:r>
          </w:p>
        </w:tc>
        <w:tc>
          <w:tcPr>
            <w:tcW w:w="389" w:type="pct"/>
            <w:tcBorders>
              <w:top w:val="nil"/>
              <w:left w:val="nil"/>
              <w:bottom w:val="single" w:sz="8" w:space="0" w:color="auto"/>
              <w:right w:val="single" w:sz="8" w:space="0" w:color="auto"/>
            </w:tcBorders>
            <w:vAlign w:val="center"/>
            <w:hideMark/>
          </w:tcPr>
          <w:p w14:paraId="4A9BF3C5" w14:textId="77777777" w:rsidR="005D78D2" w:rsidRPr="00FA433F" w:rsidRDefault="005D78D2" w:rsidP="00391412">
            <w:pPr>
              <w:spacing w:before="0" w:after="0"/>
              <w:jc w:val="center"/>
              <w:rPr>
                <w:b/>
                <w:bCs/>
                <w:noProof/>
                <w:sz w:val="20"/>
                <w:szCs w:val="20"/>
              </w:rPr>
            </w:pPr>
            <w:r w:rsidRPr="00FA433F">
              <w:rPr>
                <w:b/>
                <w:noProof/>
                <w:sz w:val="20"/>
              </w:rPr>
              <w:t>2027</w:t>
            </w:r>
          </w:p>
        </w:tc>
        <w:tc>
          <w:tcPr>
            <w:tcW w:w="389" w:type="pct"/>
            <w:tcBorders>
              <w:top w:val="nil"/>
              <w:left w:val="nil"/>
              <w:bottom w:val="single" w:sz="8" w:space="0" w:color="auto"/>
              <w:right w:val="single" w:sz="8" w:space="0" w:color="auto"/>
            </w:tcBorders>
            <w:vAlign w:val="center"/>
            <w:hideMark/>
          </w:tcPr>
          <w:p w14:paraId="5BE398EB" w14:textId="77777777" w:rsidR="005D78D2" w:rsidRPr="00FA433F" w:rsidRDefault="005D78D2" w:rsidP="00391412">
            <w:pPr>
              <w:spacing w:before="0" w:after="0"/>
              <w:jc w:val="center"/>
              <w:rPr>
                <w:b/>
                <w:bCs/>
                <w:noProof/>
                <w:sz w:val="20"/>
                <w:szCs w:val="20"/>
              </w:rPr>
            </w:pPr>
            <w:r w:rsidRPr="00FA433F">
              <w:rPr>
                <w:b/>
                <w:noProof/>
                <w:sz w:val="20"/>
              </w:rPr>
              <w:t>2028</w:t>
            </w:r>
          </w:p>
        </w:tc>
        <w:tc>
          <w:tcPr>
            <w:tcW w:w="388" w:type="pct"/>
            <w:tcBorders>
              <w:top w:val="nil"/>
              <w:left w:val="nil"/>
              <w:bottom w:val="single" w:sz="8" w:space="0" w:color="auto"/>
              <w:right w:val="single" w:sz="8" w:space="0" w:color="auto"/>
            </w:tcBorders>
            <w:vAlign w:val="center"/>
          </w:tcPr>
          <w:p w14:paraId="456E4CBB" w14:textId="77777777" w:rsidR="005D78D2" w:rsidRPr="00FA433F" w:rsidRDefault="005D78D2" w:rsidP="00391412">
            <w:pPr>
              <w:spacing w:before="0" w:after="0"/>
              <w:jc w:val="center"/>
              <w:rPr>
                <w:b/>
                <w:bCs/>
                <w:noProof/>
                <w:sz w:val="20"/>
                <w:szCs w:val="20"/>
              </w:rPr>
            </w:pPr>
            <w:r w:rsidRPr="00FA433F">
              <w:rPr>
                <w:b/>
                <w:noProof/>
                <w:sz w:val="20"/>
              </w:rPr>
              <w:t>2029</w:t>
            </w:r>
          </w:p>
        </w:tc>
        <w:tc>
          <w:tcPr>
            <w:tcW w:w="387" w:type="pct"/>
            <w:tcBorders>
              <w:top w:val="nil"/>
              <w:left w:val="single" w:sz="8" w:space="0" w:color="auto"/>
              <w:bottom w:val="single" w:sz="8" w:space="0" w:color="auto"/>
              <w:right w:val="single" w:sz="8" w:space="0" w:color="auto"/>
            </w:tcBorders>
            <w:vAlign w:val="center"/>
          </w:tcPr>
          <w:p w14:paraId="33828836" w14:textId="77777777" w:rsidR="005D78D2" w:rsidRPr="00FA433F" w:rsidRDefault="005D78D2" w:rsidP="00391412">
            <w:pPr>
              <w:spacing w:before="0" w:after="0"/>
              <w:jc w:val="center"/>
              <w:rPr>
                <w:b/>
                <w:bCs/>
                <w:noProof/>
                <w:sz w:val="20"/>
                <w:szCs w:val="20"/>
              </w:rPr>
            </w:pPr>
            <w:r w:rsidRPr="00FA433F">
              <w:rPr>
                <w:b/>
                <w:noProof/>
                <w:sz w:val="20"/>
              </w:rPr>
              <w:t>2030</w:t>
            </w:r>
          </w:p>
        </w:tc>
        <w:tc>
          <w:tcPr>
            <w:tcW w:w="389" w:type="pct"/>
            <w:tcBorders>
              <w:top w:val="nil"/>
              <w:left w:val="single" w:sz="8" w:space="0" w:color="auto"/>
              <w:bottom w:val="single" w:sz="8" w:space="0" w:color="auto"/>
              <w:right w:val="single" w:sz="8" w:space="0" w:color="auto"/>
            </w:tcBorders>
            <w:vAlign w:val="center"/>
            <w:hideMark/>
          </w:tcPr>
          <w:p w14:paraId="31B05722" w14:textId="77777777" w:rsidR="005D78D2" w:rsidRPr="00FA433F" w:rsidRDefault="005D78D2" w:rsidP="00391412">
            <w:pPr>
              <w:spacing w:before="0" w:after="0"/>
              <w:jc w:val="center"/>
              <w:rPr>
                <w:b/>
                <w:bCs/>
                <w:noProof/>
                <w:sz w:val="20"/>
                <w:szCs w:val="20"/>
              </w:rPr>
            </w:pPr>
            <w:r w:rsidRPr="00FA433F">
              <w:rPr>
                <w:b/>
                <w:noProof/>
                <w:sz w:val="20"/>
              </w:rPr>
              <w:t>2031</w:t>
            </w:r>
          </w:p>
        </w:tc>
        <w:tc>
          <w:tcPr>
            <w:tcW w:w="389" w:type="pct"/>
            <w:vMerge/>
            <w:tcBorders>
              <w:left w:val="single" w:sz="8" w:space="0" w:color="auto"/>
              <w:bottom w:val="single" w:sz="8" w:space="0" w:color="auto"/>
              <w:right w:val="single" w:sz="8" w:space="0" w:color="auto"/>
            </w:tcBorders>
            <w:vAlign w:val="center"/>
          </w:tcPr>
          <w:p w14:paraId="550B932F" w14:textId="77777777" w:rsidR="005D78D2" w:rsidRPr="00FA433F" w:rsidRDefault="005D78D2" w:rsidP="005D78D2">
            <w:pPr>
              <w:spacing w:before="0" w:after="0"/>
              <w:rPr>
                <w:b/>
                <w:bCs/>
                <w:noProof/>
                <w:sz w:val="20"/>
                <w:szCs w:val="20"/>
                <w:lang w:eastAsia="en-IE"/>
              </w:rPr>
            </w:pPr>
          </w:p>
        </w:tc>
      </w:tr>
      <w:tr w:rsidR="00060D72" w:rsidRPr="00FA433F" w14:paraId="399CAE63" w14:textId="77777777" w:rsidTr="005D78D2">
        <w:trPr>
          <w:trHeight w:val="300"/>
          <w:jc w:val="center"/>
        </w:trPr>
        <w:tc>
          <w:tcPr>
            <w:tcW w:w="446" w:type="pct"/>
            <w:tcBorders>
              <w:top w:val="single" w:sz="8" w:space="0" w:color="auto"/>
              <w:left w:val="single" w:sz="8" w:space="0" w:color="auto"/>
              <w:bottom w:val="single" w:sz="8" w:space="0" w:color="auto"/>
              <w:right w:val="single" w:sz="4" w:space="0" w:color="auto"/>
            </w:tcBorders>
          </w:tcPr>
          <w:p w14:paraId="65B3AC99" w14:textId="77777777" w:rsidR="00060D72" w:rsidRPr="00FA433F" w:rsidRDefault="00060D72">
            <w:pPr>
              <w:spacing w:before="0" w:after="0"/>
              <w:jc w:val="left"/>
              <w:rPr>
                <w:rFonts w:ascii="Wingdings" w:hAnsi="Wingdings" w:cs="Calibri"/>
                <w:b/>
                <w:bCs/>
                <w:noProof/>
                <w:sz w:val="16"/>
                <w:szCs w:val="16"/>
                <w:lang w:eastAsia="en-IE"/>
              </w:rPr>
            </w:pPr>
          </w:p>
        </w:tc>
        <w:tc>
          <w:tcPr>
            <w:tcW w:w="414" w:type="pct"/>
            <w:gridSpan w:val="2"/>
            <w:tcBorders>
              <w:top w:val="single" w:sz="8" w:space="0" w:color="auto"/>
              <w:left w:val="single" w:sz="8" w:space="0" w:color="auto"/>
              <w:bottom w:val="single" w:sz="8" w:space="0" w:color="auto"/>
              <w:right w:val="single" w:sz="8" w:space="0" w:color="auto"/>
            </w:tcBorders>
          </w:tcPr>
          <w:p w14:paraId="38F155C7" w14:textId="77777777" w:rsidR="00060D72" w:rsidRPr="00FA433F" w:rsidRDefault="00060D72">
            <w:pPr>
              <w:spacing w:before="0" w:after="0"/>
              <w:jc w:val="left"/>
              <w:rPr>
                <w:rFonts w:ascii="Wingdings" w:hAnsi="Wingdings" w:cs="Calibri"/>
                <w:b/>
                <w:bCs/>
                <w:noProof/>
                <w:sz w:val="16"/>
                <w:szCs w:val="16"/>
                <w:lang w:eastAsia="en-IE"/>
              </w:rPr>
            </w:pPr>
          </w:p>
        </w:tc>
        <w:tc>
          <w:tcPr>
            <w:tcW w:w="3751" w:type="pct"/>
            <w:gridSpan w:val="7"/>
            <w:tcBorders>
              <w:top w:val="single" w:sz="8" w:space="0" w:color="auto"/>
              <w:left w:val="single" w:sz="8" w:space="0" w:color="auto"/>
              <w:bottom w:val="single" w:sz="8" w:space="0" w:color="auto"/>
              <w:right w:val="single" w:sz="4" w:space="0" w:color="auto"/>
            </w:tcBorders>
            <w:vAlign w:val="center"/>
            <w:hideMark/>
          </w:tcPr>
          <w:p w14:paraId="1D749839" w14:textId="4FA82DB9" w:rsidR="00060D72" w:rsidRPr="00FA433F" w:rsidRDefault="00060D72">
            <w:pPr>
              <w:spacing w:before="0" w:after="0"/>
              <w:jc w:val="left"/>
              <w:rPr>
                <w:rFonts w:ascii="Wingdings" w:hAnsi="Wingdings" w:cs="Calibri"/>
                <w:b/>
                <w:bCs/>
                <w:noProof/>
                <w:sz w:val="16"/>
                <w:szCs w:val="16"/>
              </w:rPr>
            </w:pPr>
            <w:r w:rsidRPr="00FA433F">
              <w:rPr>
                <w:rFonts w:ascii="Wingdings" w:hAnsi="Wingdings"/>
                <w:b/>
                <w:noProof/>
                <w:sz w:val="16"/>
              </w:rPr>
              <w:t></w:t>
            </w:r>
            <w:r w:rsidRPr="00FA433F">
              <w:rPr>
                <w:b/>
                <w:noProof/>
                <w:sz w:val="16"/>
              </w:rPr>
              <w:t xml:space="preserve"> Stanowiska przewidziane</w:t>
            </w:r>
            <w:r w:rsidR="00FA433F" w:rsidRPr="00FA433F">
              <w:rPr>
                <w:b/>
                <w:noProof/>
                <w:sz w:val="16"/>
              </w:rPr>
              <w:t xml:space="preserve"> w</w:t>
            </w:r>
            <w:r w:rsidR="00FA433F">
              <w:rPr>
                <w:b/>
                <w:noProof/>
                <w:sz w:val="16"/>
              </w:rPr>
              <w:t> </w:t>
            </w:r>
            <w:r w:rsidR="00FA433F" w:rsidRPr="00FA433F">
              <w:rPr>
                <w:b/>
                <w:noProof/>
                <w:sz w:val="16"/>
              </w:rPr>
              <w:t>pla</w:t>
            </w:r>
            <w:r w:rsidRPr="00FA433F">
              <w:rPr>
                <w:b/>
                <w:noProof/>
                <w:sz w:val="16"/>
              </w:rPr>
              <w:t>nie zatrudnienia (stanowiska urzędników</w:t>
            </w:r>
            <w:r w:rsidR="00FA433F" w:rsidRPr="00FA433F">
              <w:rPr>
                <w:b/>
                <w:noProof/>
                <w:sz w:val="16"/>
              </w:rPr>
              <w:t xml:space="preserve"> i</w:t>
            </w:r>
            <w:r w:rsidR="00FA433F">
              <w:rPr>
                <w:b/>
                <w:noProof/>
                <w:sz w:val="16"/>
              </w:rPr>
              <w:t> </w:t>
            </w:r>
            <w:r w:rsidR="00FA433F" w:rsidRPr="00FA433F">
              <w:rPr>
                <w:b/>
                <w:noProof/>
                <w:sz w:val="16"/>
              </w:rPr>
              <w:t>pra</w:t>
            </w:r>
            <w:r w:rsidRPr="00FA433F">
              <w:rPr>
                <w:b/>
                <w:noProof/>
                <w:sz w:val="16"/>
              </w:rPr>
              <w:t>cowników zatrudnionych na czas określony)</w:t>
            </w:r>
          </w:p>
        </w:tc>
        <w:tc>
          <w:tcPr>
            <w:tcW w:w="389" w:type="pct"/>
            <w:tcBorders>
              <w:top w:val="single" w:sz="8" w:space="0" w:color="auto"/>
              <w:left w:val="single" w:sz="8" w:space="0" w:color="auto"/>
              <w:bottom w:val="single" w:sz="8" w:space="0" w:color="auto"/>
              <w:right w:val="single" w:sz="4" w:space="0" w:color="auto"/>
            </w:tcBorders>
            <w:vAlign w:val="center"/>
          </w:tcPr>
          <w:p w14:paraId="1D008FE3" w14:textId="77777777" w:rsidR="00060D72" w:rsidRPr="00FA433F" w:rsidRDefault="00060D72">
            <w:pPr>
              <w:spacing w:before="0" w:after="0"/>
              <w:jc w:val="left"/>
              <w:rPr>
                <w:rFonts w:ascii="Wingdings" w:hAnsi="Wingdings" w:cs="Calibri"/>
                <w:b/>
                <w:bCs/>
                <w:noProof/>
                <w:sz w:val="16"/>
                <w:szCs w:val="16"/>
                <w:lang w:eastAsia="en-IE"/>
              </w:rPr>
            </w:pPr>
          </w:p>
        </w:tc>
      </w:tr>
      <w:tr w:rsidR="00060D72" w:rsidRPr="00FA433F" w14:paraId="7CB6A24B" w14:textId="77777777" w:rsidTr="005D78D2">
        <w:trPr>
          <w:trHeight w:val="300"/>
          <w:jc w:val="center"/>
        </w:trPr>
        <w:tc>
          <w:tcPr>
            <w:tcW w:w="2279" w:type="pct"/>
            <w:gridSpan w:val="4"/>
            <w:tcBorders>
              <w:top w:val="single" w:sz="8" w:space="0" w:color="auto"/>
              <w:left w:val="single" w:sz="8" w:space="0" w:color="auto"/>
              <w:bottom w:val="single" w:sz="8" w:space="0" w:color="auto"/>
              <w:right w:val="single" w:sz="8" w:space="0" w:color="auto"/>
            </w:tcBorders>
            <w:vAlign w:val="center"/>
            <w:hideMark/>
          </w:tcPr>
          <w:p w14:paraId="4ADAEB46" w14:textId="78891604" w:rsidR="00060D72" w:rsidRPr="00FA433F" w:rsidRDefault="00060D72" w:rsidP="00FA3CE9">
            <w:pPr>
              <w:spacing w:before="0" w:after="0"/>
              <w:ind w:firstLineChars="100" w:firstLine="240"/>
              <w:jc w:val="left"/>
              <w:rPr>
                <w:noProof/>
                <w:sz w:val="16"/>
                <w:szCs w:val="16"/>
              </w:rPr>
            </w:pPr>
            <w:r w:rsidRPr="00FA433F">
              <w:rPr>
                <w:noProof/>
              </w:rPr>
              <w:t>20 01 02 01 (w centrali</w:t>
            </w:r>
            <w:r w:rsidR="00FA433F" w:rsidRPr="00FA433F">
              <w:rPr>
                <w:noProof/>
              </w:rPr>
              <w:t xml:space="preserve"> i</w:t>
            </w:r>
            <w:r w:rsidR="00FA433F">
              <w:rPr>
                <w:noProof/>
              </w:rPr>
              <w:t> </w:t>
            </w:r>
            <w:r w:rsidR="00FA433F" w:rsidRPr="00FA433F">
              <w:rPr>
                <w:noProof/>
              </w:rPr>
              <w:t>w</w:t>
            </w:r>
            <w:r w:rsidR="00FA433F">
              <w:rPr>
                <w:noProof/>
              </w:rPr>
              <w:t> </w:t>
            </w:r>
            <w:r w:rsidR="00FA433F" w:rsidRPr="00FA433F">
              <w:rPr>
                <w:noProof/>
              </w:rPr>
              <w:t>biu</w:t>
            </w:r>
            <w:r w:rsidRPr="00FA433F">
              <w:rPr>
                <w:noProof/>
              </w:rPr>
              <w:t>rach przedstawicielstw Komisji)</w:t>
            </w:r>
          </w:p>
        </w:tc>
        <w:tc>
          <w:tcPr>
            <w:tcW w:w="389" w:type="pct"/>
            <w:tcBorders>
              <w:top w:val="nil"/>
              <w:left w:val="nil"/>
              <w:bottom w:val="single" w:sz="8" w:space="0" w:color="auto"/>
              <w:right w:val="single" w:sz="8" w:space="0" w:color="auto"/>
            </w:tcBorders>
            <w:shd w:val="clear" w:color="000000" w:fill="D9D9D9"/>
            <w:vAlign w:val="center"/>
            <w:hideMark/>
          </w:tcPr>
          <w:p w14:paraId="4B80B811"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242243A3"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5189876D" w14:textId="77777777" w:rsidR="00060D72" w:rsidRPr="00FA433F" w:rsidRDefault="00060D72" w:rsidP="00FA3CE9">
            <w:pPr>
              <w:spacing w:before="0" w:after="0"/>
              <w:jc w:val="center"/>
              <w:rPr>
                <w:noProof/>
                <w:sz w:val="16"/>
                <w:szCs w:val="16"/>
              </w:rPr>
            </w:pPr>
            <w:r w:rsidRPr="00FA433F">
              <w:rPr>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241D37D1" w14:textId="77777777" w:rsidR="00060D72" w:rsidRPr="00FA433F" w:rsidRDefault="00060D72" w:rsidP="00FA3CE9">
            <w:pPr>
              <w:spacing w:before="0" w:after="0"/>
              <w:jc w:val="center"/>
              <w:rPr>
                <w:noProof/>
                <w:sz w:val="16"/>
                <w:szCs w:val="16"/>
              </w:rPr>
            </w:pPr>
            <w:r w:rsidRPr="00FA433F">
              <w:rPr>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0FF310E4"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DBA4A3"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5747E8B1" w14:textId="77777777" w:rsidR="00060D72" w:rsidRPr="00FA433F" w:rsidRDefault="005D78D2" w:rsidP="00FA3CE9">
            <w:pPr>
              <w:spacing w:before="0" w:after="0"/>
              <w:jc w:val="center"/>
              <w:rPr>
                <w:noProof/>
                <w:sz w:val="16"/>
                <w:szCs w:val="16"/>
              </w:rPr>
            </w:pPr>
            <w:r w:rsidRPr="00FA433F">
              <w:rPr>
                <w:noProof/>
                <w:sz w:val="16"/>
              </w:rPr>
              <w:t>0</w:t>
            </w:r>
          </w:p>
        </w:tc>
      </w:tr>
      <w:tr w:rsidR="00060D72" w:rsidRPr="00FA433F" w14:paraId="72B7812B" w14:textId="77777777" w:rsidTr="005D78D2">
        <w:trPr>
          <w:trHeight w:val="300"/>
          <w:jc w:val="center"/>
        </w:trPr>
        <w:tc>
          <w:tcPr>
            <w:tcW w:w="2279" w:type="pct"/>
            <w:gridSpan w:val="4"/>
            <w:tcBorders>
              <w:top w:val="single" w:sz="8" w:space="0" w:color="auto"/>
              <w:left w:val="single" w:sz="8" w:space="0" w:color="auto"/>
              <w:bottom w:val="single" w:sz="8" w:space="0" w:color="auto"/>
              <w:right w:val="single" w:sz="8" w:space="0" w:color="auto"/>
            </w:tcBorders>
            <w:vAlign w:val="center"/>
            <w:hideMark/>
          </w:tcPr>
          <w:p w14:paraId="057D08D7" w14:textId="77777777" w:rsidR="00060D72" w:rsidRPr="00FA433F" w:rsidRDefault="00060D72" w:rsidP="00FA3CE9">
            <w:pPr>
              <w:spacing w:before="0" w:after="0"/>
              <w:ind w:firstLineChars="100" w:firstLine="160"/>
              <w:jc w:val="left"/>
              <w:rPr>
                <w:noProof/>
                <w:sz w:val="16"/>
                <w:szCs w:val="16"/>
              </w:rPr>
            </w:pPr>
            <w:r w:rsidRPr="00FA433F">
              <w:rPr>
                <w:noProof/>
                <w:sz w:val="16"/>
              </w:rPr>
              <w:t>20 01 02 03 (w delegaturach UE)</w:t>
            </w:r>
          </w:p>
        </w:tc>
        <w:tc>
          <w:tcPr>
            <w:tcW w:w="389" w:type="pct"/>
            <w:tcBorders>
              <w:top w:val="nil"/>
              <w:left w:val="nil"/>
              <w:bottom w:val="single" w:sz="8" w:space="0" w:color="auto"/>
              <w:right w:val="single" w:sz="8" w:space="0" w:color="auto"/>
            </w:tcBorders>
            <w:shd w:val="clear" w:color="000000" w:fill="D9D9D9"/>
            <w:vAlign w:val="center"/>
            <w:hideMark/>
          </w:tcPr>
          <w:p w14:paraId="28C8E1AB"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3D86347D"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6098714E" w14:textId="77777777" w:rsidR="00060D72" w:rsidRPr="00FA433F" w:rsidRDefault="00060D72" w:rsidP="00FA3CE9">
            <w:pPr>
              <w:spacing w:before="0" w:after="0"/>
              <w:jc w:val="center"/>
              <w:rPr>
                <w:noProof/>
                <w:sz w:val="16"/>
                <w:szCs w:val="16"/>
              </w:rPr>
            </w:pPr>
            <w:r w:rsidRPr="00FA433F">
              <w:rPr>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533FABA1" w14:textId="77777777" w:rsidR="00060D72" w:rsidRPr="00FA433F" w:rsidRDefault="00060D72" w:rsidP="00FA3CE9">
            <w:pPr>
              <w:spacing w:before="0" w:after="0"/>
              <w:jc w:val="center"/>
              <w:rPr>
                <w:noProof/>
                <w:sz w:val="16"/>
                <w:szCs w:val="16"/>
              </w:rPr>
            </w:pPr>
            <w:r w:rsidRPr="00FA433F">
              <w:rPr>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4CA827B7"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08645B"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5EFEDED5" w14:textId="77777777" w:rsidR="00060D72" w:rsidRPr="00FA433F" w:rsidRDefault="005D78D2" w:rsidP="00FA3CE9">
            <w:pPr>
              <w:spacing w:before="0" w:after="0"/>
              <w:jc w:val="center"/>
              <w:rPr>
                <w:noProof/>
                <w:sz w:val="16"/>
                <w:szCs w:val="16"/>
              </w:rPr>
            </w:pPr>
            <w:r w:rsidRPr="00FA433F">
              <w:rPr>
                <w:noProof/>
                <w:sz w:val="16"/>
              </w:rPr>
              <w:t>0</w:t>
            </w:r>
          </w:p>
        </w:tc>
      </w:tr>
      <w:tr w:rsidR="00060D72" w:rsidRPr="00FA433F" w14:paraId="6C5FA33C" w14:textId="77777777" w:rsidTr="005D78D2">
        <w:trPr>
          <w:trHeight w:val="300"/>
          <w:jc w:val="center"/>
        </w:trPr>
        <w:tc>
          <w:tcPr>
            <w:tcW w:w="2279" w:type="pct"/>
            <w:gridSpan w:val="4"/>
            <w:tcBorders>
              <w:top w:val="single" w:sz="8" w:space="0" w:color="auto"/>
              <w:left w:val="single" w:sz="8" w:space="0" w:color="auto"/>
              <w:bottom w:val="single" w:sz="8" w:space="0" w:color="auto"/>
              <w:right w:val="single" w:sz="8" w:space="0" w:color="auto"/>
            </w:tcBorders>
            <w:vAlign w:val="center"/>
            <w:hideMark/>
          </w:tcPr>
          <w:p w14:paraId="04E34F21" w14:textId="77777777" w:rsidR="00060D72" w:rsidRPr="00FA433F" w:rsidRDefault="00060D72" w:rsidP="00FA3CE9">
            <w:pPr>
              <w:spacing w:before="0" w:after="0"/>
              <w:ind w:firstLineChars="100" w:firstLine="160"/>
              <w:jc w:val="left"/>
              <w:rPr>
                <w:noProof/>
                <w:sz w:val="16"/>
                <w:szCs w:val="16"/>
              </w:rPr>
            </w:pPr>
            <w:r w:rsidRPr="00FA433F">
              <w:rPr>
                <w:noProof/>
                <w:sz w:val="16"/>
              </w:rPr>
              <w:t>01 01 01 01</w:t>
            </w:r>
            <w:r w:rsidRPr="00FA433F">
              <w:rPr>
                <w:noProof/>
              </w:rPr>
              <w:t xml:space="preserve"> </w:t>
            </w:r>
            <w:r w:rsidRPr="00FA433F">
              <w:rPr>
                <w:noProof/>
                <w:sz w:val="16"/>
              </w:rPr>
              <w:t>(pośrednie badania naukowe)</w:t>
            </w:r>
          </w:p>
        </w:tc>
        <w:tc>
          <w:tcPr>
            <w:tcW w:w="389" w:type="pct"/>
            <w:tcBorders>
              <w:top w:val="nil"/>
              <w:left w:val="nil"/>
              <w:bottom w:val="single" w:sz="8" w:space="0" w:color="auto"/>
              <w:right w:val="single" w:sz="8" w:space="0" w:color="auto"/>
            </w:tcBorders>
            <w:shd w:val="clear" w:color="000000" w:fill="D9D9D9"/>
            <w:vAlign w:val="center"/>
            <w:hideMark/>
          </w:tcPr>
          <w:p w14:paraId="1F5F45E2"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2508BEFA"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5B93486C" w14:textId="77777777" w:rsidR="00060D72" w:rsidRPr="00FA433F" w:rsidRDefault="00060D72" w:rsidP="00FA3CE9">
            <w:pPr>
              <w:spacing w:before="0" w:after="0"/>
              <w:jc w:val="center"/>
              <w:rPr>
                <w:noProof/>
                <w:sz w:val="16"/>
                <w:szCs w:val="16"/>
              </w:rPr>
            </w:pPr>
            <w:r w:rsidRPr="00FA433F">
              <w:rPr>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3C4E3BA4" w14:textId="77777777" w:rsidR="00060D72" w:rsidRPr="00FA433F" w:rsidRDefault="00060D72" w:rsidP="00FA3CE9">
            <w:pPr>
              <w:spacing w:before="0" w:after="0"/>
              <w:jc w:val="center"/>
              <w:rPr>
                <w:noProof/>
                <w:sz w:val="16"/>
                <w:szCs w:val="16"/>
              </w:rPr>
            </w:pPr>
            <w:r w:rsidRPr="00FA433F">
              <w:rPr>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2052C557"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696E61"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41BC3590" w14:textId="77777777" w:rsidR="00060D72" w:rsidRPr="00FA433F" w:rsidRDefault="005D78D2" w:rsidP="00FA3CE9">
            <w:pPr>
              <w:spacing w:before="0" w:after="0"/>
              <w:jc w:val="center"/>
              <w:rPr>
                <w:noProof/>
                <w:sz w:val="16"/>
                <w:szCs w:val="16"/>
              </w:rPr>
            </w:pPr>
            <w:r w:rsidRPr="00FA433F">
              <w:rPr>
                <w:noProof/>
                <w:sz w:val="16"/>
              </w:rPr>
              <w:t>0</w:t>
            </w:r>
          </w:p>
        </w:tc>
      </w:tr>
      <w:tr w:rsidR="00060D72" w:rsidRPr="00FA433F" w14:paraId="6F9519F1" w14:textId="77777777" w:rsidTr="005D78D2">
        <w:trPr>
          <w:trHeight w:val="300"/>
          <w:jc w:val="center"/>
        </w:trPr>
        <w:tc>
          <w:tcPr>
            <w:tcW w:w="2279" w:type="pct"/>
            <w:gridSpan w:val="4"/>
            <w:tcBorders>
              <w:top w:val="single" w:sz="8" w:space="0" w:color="auto"/>
              <w:left w:val="single" w:sz="8" w:space="0" w:color="auto"/>
              <w:bottom w:val="single" w:sz="8" w:space="0" w:color="auto"/>
              <w:right w:val="single" w:sz="8" w:space="0" w:color="auto"/>
            </w:tcBorders>
            <w:vAlign w:val="center"/>
            <w:hideMark/>
          </w:tcPr>
          <w:p w14:paraId="2C063167" w14:textId="77777777" w:rsidR="00060D72" w:rsidRPr="00FA433F" w:rsidRDefault="00060D72" w:rsidP="00FA3CE9">
            <w:pPr>
              <w:spacing w:before="0" w:after="0"/>
              <w:ind w:firstLineChars="100" w:firstLine="160"/>
              <w:jc w:val="left"/>
              <w:rPr>
                <w:noProof/>
                <w:sz w:val="16"/>
                <w:szCs w:val="16"/>
              </w:rPr>
            </w:pPr>
            <w:r w:rsidRPr="00FA433F">
              <w:rPr>
                <w:noProof/>
                <w:sz w:val="16"/>
              </w:rPr>
              <w:t>01 01 01 11 (bezpośrednie badania naukowe)</w:t>
            </w:r>
          </w:p>
        </w:tc>
        <w:tc>
          <w:tcPr>
            <w:tcW w:w="389" w:type="pct"/>
            <w:tcBorders>
              <w:top w:val="nil"/>
              <w:left w:val="nil"/>
              <w:bottom w:val="single" w:sz="8" w:space="0" w:color="auto"/>
              <w:right w:val="single" w:sz="8" w:space="0" w:color="auto"/>
            </w:tcBorders>
            <w:shd w:val="clear" w:color="000000" w:fill="D9D9D9"/>
            <w:vAlign w:val="center"/>
            <w:hideMark/>
          </w:tcPr>
          <w:p w14:paraId="04A218F5"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59A42EFE"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0AABA4C3" w14:textId="77777777" w:rsidR="00060D72" w:rsidRPr="00FA433F" w:rsidRDefault="00060D72" w:rsidP="00FA3CE9">
            <w:pPr>
              <w:spacing w:before="0" w:after="0"/>
              <w:jc w:val="center"/>
              <w:rPr>
                <w:noProof/>
                <w:sz w:val="16"/>
                <w:szCs w:val="16"/>
              </w:rPr>
            </w:pPr>
            <w:r w:rsidRPr="00FA433F">
              <w:rPr>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75DC8230" w14:textId="77777777" w:rsidR="00060D72" w:rsidRPr="00FA433F" w:rsidRDefault="00060D72" w:rsidP="00FA3CE9">
            <w:pPr>
              <w:spacing w:before="0" w:after="0"/>
              <w:jc w:val="center"/>
              <w:rPr>
                <w:noProof/>
                <w:sz w:val="16"/>
                <w:szCs w:val="16"/>
              </w:rPr>
            </w:pPr>
            <w:r w:rsidRPr="00FA433F">
              <w:rPr>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277B51DE"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0070D0"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48F4BA1F" w14:textId="77777777" w:rsidR="00060D72" w:rsidRPr="00FA433F" w:rsidRDefault="005D78D2" w:rsidP="00FA3CE9">
            <w:pPr>
              <w:spacing w:before="0" w:after="0"/>
              <w:jc w:val="center"/>
              <w:rPr>
                <w:noProof/>
                <w:sz w:val="16"/>
                <w:szCs w:val="16"/>
              </w:rPr>
            </w:pPr>
            <w:r w:rsidRPr="00FA433F">
              <w:rPr>
                <w:noProof/>
                <w:sz w:val="16"/>
              </w:rPr>
              <w:t>0</w:t>
            </w:r>
          </w:p>
        </w:tc>
      </w:tr>
      <w:tr w:rsidR="00060D72" w:rsidRPr="00FA433F" w14:paraId="0CFD5E79" w14:textId="77777777" w:rsidTr="005D78D2">
        <w:trPr>
          <w:trHeight w:val="300"/>
          <w:jc w:val="center"/>
        </w:trPr>
        <w:tc>
          <w:tcPr>
            <w:tcW w:w="2279" w:type="pct"/>
            <w:gridSpan w:val="4"/>
            <w:tcBorders>
              <w:top w:val="single" w:sz="8" w:space="0" w:color="auto"/>
              <w:left w:val="single" w:sz="8" w:space="0" w:color="auto"/>
              <w:bottom w:val="single" w:sz="8" w:space="0" w:color="auto"/>
              <w:right w:val="single" w:sz="8" w:space="0" w:color="auto"/>
            </w:tcBorders>
            <w:vAlign w:val="center"/>
            <w:hideMark/>
          </w:tcPr>
          <w:p w14:paraId="461114DB" w14:textId="77777777" w:rsidR="00060D72" w:rsidRPr="00FA433F" w:rsidRDefault="00060D72" w:rsidP="00FA3CE9">
            <w:pPr>
              <w:spacing w:before="0" w:after="0"/>
              <w:ind w:firstLineChars="100" w:firstLine="160"/>
              <w:jc w:val="left"/>
              <w:rPr>
                <w:noProof/>
                <w:sz w:val="16"/>
                <w:szCs w:val="16"/>
              </w:rPr>
            </w:pPr>
            <w:r w:rsidRPr="00FA433F">
              <w:rPr>
                <w:noProof/>
                <w:sz w:val="16"/>
              </w:rPr>
              <w:t>Inna linia budżetowa (określić)</w:t>
            </w:r>
          </w:p>
        </w:tc>
        <w:tc>
          <w:tcPr>
            <w:tcW w:w="389" w:type="pct"/>
            <w:tcBorders>
              <w:top w:val="nil"/>
              <w:left w:val="nil"/>
              <w:bottom w:val="single" w:sz="8" w:space="0" w:color="auto"/>
              <w:right w:val="single" w:sz="8" w:space="0" w:color="auto"/>
            </w:tcBorders>
            <w:shd w:val="clear" w:color="000000" w:fill="D9D9D9"/>
            <w:vAlign w:val="center"/>
            <w:hideMark/>
          </w:tcPr>
          <w:p w14:paraId="1859FB64"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4F0DD909"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614C0077" w14:textId="77777777" w:rsidR="00060D72" w:rsidRPr="00FA433F" w:rsidRDefault="00060D72" w:rsidP="00FA3CE9">
            <w:pPr>
              <w:spacing w:before="0" w:after="0"/>
              <w:jc w:val="center"/>
              <w:rPr>
                <w:noProof/>
                <w:sz w:val="16"/>
                <w:szCs w:val="16"/>
              </w:rPr>
            </w:pPr>
            <w:r w:rsidRPr="00FA433F">
              <w:rPr>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3BBAB909" w14:textId="77777777" w:rsidR="00060D72" w:rsidRPr="00FA433F" w:rsidRDefault="00060D72" w:rsidP="00FA3CE9">
            <w:pPr>
              <w:spacing w:before="0" w:after="0"/>
              <w:jc w:val="center"/>
              <w:rPr>
                <w:noProof/>
                <w:sz w:val="16"/>
                <w:szCs w:val="16"/>
              </w:rPr>
            </w:pPr>
            <w:r w:rsidRPr="00FA433F">
              <w:rPr>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05596604"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AB4F77"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341461EC" w14:textId="77777777" w:rsidR="00060D72" w:rsidRPr="00FA433F" w:rsidRDefault="005D78D2" w:rsidP="00FA3CE9">
            <w:pPr>
              <w:spacing w:before="0" w:after="0"/>
              <w:jc w:val="center"/>
              <w:rPr>
                <w:noProof/>
                <w:sz w:val="16"/>
                <w:szCs w:val="16"/>
              </w:rPr>
            </w:pPr>
            <w:r w:rsidRPr="00FA433F">
              <w:rPr>
                <w:noProof/>
                <w:sz w:val="16"/>
              </w:rPr>
              <w:t>0</w:t>
            </w:r>
          </w:p>
        </w:tc>
      </w:tr>
      <w:tr w:rsidR="00060D72" w:rsidRPr="00FA433F" w14:paraId="033F6F5A" w14:textId="77777777" w:rsidTr="005D78D2">
        <w:trPr>
          <w:trHeight w:val="300"/>
          <w:jc w:val="center"/>
        </w:trPr>
        <w:tc>
          <w:tcPr>
            <w:tcW w:w="446" w:type="pct"/>
            <w:tcBorders>
              <w:top w:val="single" w:sz="8" w:space="0" w:color="auto"/>
              <w:left w:val="single" w:sz="8" w:space="0" w:color="auto"/>
              <w:bottom w:val="single" w:sz="8" w:space="0" w:color="auto"/>
              <w:right w:val="single" w:sz="4" w:space="0" w:color="auto"/>
            </w:tcBorders>
          </w:tcPr>
          <w:p w14:paraId="6F1E0339" w14:textId="77777777" w:rsidR="00060D72" w:rsidRPr="00FA433F" w:rsidRDefault="00060D72">
            <w:pPr>
              <w:spacing w:before="0" w:after="0"/>
              <w:jc w:val="left"/>
              <w:rPr>
                <w:rFonts w:ascii="Calibri" w:hAnsi="Calibri" w:cs="Calibri"/>
                <w:b/>
                <w:bCs/>
                <w:noProof/>
                <w:sz w:val="16"/>
                <w:szCs w:val="16"/>
                <w:lang w:eastAsia="en-IE"/>
              </w:rPr>
            </w:pPr>
          </w:p>
        </w:tc>
        <w:tc>
          <w:tcPr>
            <w:tcW w:w="414" w:type="pct"/>
            <w:gridSpan w:val="2"/>
            <w:tcBorders>
              <w:top w:val="single" w:sz="8" w:space="0" w:color="auto"/>
              <w:left w:val="single" w:sz="8" w:space="0" w:color="auto"/>
              <w:bottom w:val="single" w:sz="8" w:space="0" w:color="auto"/>
              <w:right w:val="single" w:sz="8" w:space="0" w:color="auto"/>
            </w:tcBorders>
          </w:tcPr>
          <w:p w14:paraId="6D6E958B" w14:textId="77777777" w:rsidR="00060D72" w:rsidRPr="00FA433F" w:rsidRDefault="00060D72">
            <w:pPr>
              <w:spacing w:before="0" w:after="0"/>
              <w:jc w:val="left"/>
              <w:rPr>
                <w:rFonts w:ascii="Calibri" w:hAnsi="Calibri" w:cs="Calibri"/>
                <w:b/>
                <w:bCs/>
                <w:noProof/>
                <w:sz w:val="16"/>
                <w:szCs w:val="16"/>
                <w:lang w:eastAsia="en-IE"/>
              </w:rPr>
            </w:pPr>
          </w:p>
        </w:tc>
        <w:tc>
          <w:tcPr>
            <w:tcW w:w="3751" w:type="pct"/>
            <w:gridSpan w:val="7"/>
            <w:tcBorders>
              <w:top w:val="single" w:sz="8" w:space="0" w:color="auto"/>
              <w:left w:val="single" w:sz="8" w:space="0" w:color="auto"/>
              <w:bottom w:val="single" w:sz="8" w:space="0" w:color="auto"/>
              <w:right w:val="single" w:sz="8" w:space="0" w:color="auto"/>
            </w:tcBorders>
            <w:vAlign w:val="center"/>
            <w:hideMark/>
          </w:tcPr>
          <w:p w14:paraId="466BEECE" w14:textId="77777777" w:rsidR="00060D72" w:rsidRPr="00FA433F" w:rsidRDefault="00060D72">
            <w:pPr>
              <w:spacing w:before="0" w:after="0"/>
              <w:jc w:val="left"/>
              <w:rPr>
                <w:rFonts w:ascii="Wingdings" w:hAnsi="Wingdings" w:cs="Calibri"/>
                <w:b/>
                <w:bCs/>
                <w:noProof/>
                <w:sz w:val="16"/>
                <w:szCs w:val="16"/>
              </w:rPr>
            </w:pPr>
            <w:r w:rsidRPr="00FA433F">
              <w:rPr>
                <w:rFonts w:ascii="Calibri" w:hAnsi="Calibri"/>
                <w:b/>
                <w:noProof/>
                <w:sz w:val="16"/>
              </w:rPr>
              <w:t>•</w:t>
            </w:r>
            <w:r w:rsidRPr="00FA433F">
              <w:rPr>
                <w:b/>
                <w:noProof/>
                <w:sz w:val="16"/>
              </w:rPr>
              <w:t xml:space="preserve"> Personel zewnętrzny (w EPC)</w:t>
            </w:r>
          </w:p>
        </w:tc>
        <w:tc>
          <w:tcPr>
            <w:tcW w:w="389" w:type="pct"/>
            <w:tcBorders>
              <w:top w:val="single" w:sz="8" w:space="0" w:color="auto"/>
              <w:left w:val="single" w:sz="8" w:space="0" w:color="auto"/>
              <w:bottom w:val="single" w:sz="8" w:space="0" w:color="auto"/>
              <w:right w:val="single" w:sz="8" w:space="0" w:color="auto"/>
            </w:tcBorders>
            <w:vAlign w:val="center"/>
          </w:tcPr>
          <w:p w14:paraId="35B531AC" w14:textId="77777777" w:rsidR="00060D72" w:rsidRPr="00FA433F" w:rsidRDefault="00060D72">
            <w:pPr>
              <w:spacing w:before="0" w:after="0"/>
              <w:jc w:val="left"/>
              <w:rPr>
                <w:rFonts w:ascii="Calibri" w:hAnsi="Calibri" w:cs="Calibri"/>
                <w:b/>
                <w:bCs/>
                <w:noProof/>
                <w:sz w:val="16"/>
                <w:szCs w:val="16"/>
                <w:lang w:eastAsia="en-IE"/>
              </w:rPr>
            </w:pPr>
          </w:p>
        </w:tc>
      </w:tr>
      <w:tr w:rsidR="00060D72" w:rsidRPr="00FA433F" w14:paraId="7AE1FE75" w14:textId="77777777" w:rsidTr="005D78D2">
        <w:trPr>
          <w:trHeight w:val="300"/>
          <w:jc w:val="center"/>
        </w:trPr>
        <w:tc>
          <w:tcPr>
            <w:tcW w:w="2279" w:type="pct"/>
            <w:gridSpan w:val="4"/>
            <w:tcBorders>
              <w:top w:val="single" w:sz="8" w:space="0" w:color="auto"/>
              <w:left w:val="single" w:sz="8" w:space="0" w:color="auto"/>
              <w:bottom w:val="single" w:sz="8" w:space="0" w:color="auto"/>
              <w:right w:val="single" w:sz="8" w:space="0" w:color="auto"/>
            </w:tcBorders>
            <w:vAlign w:val="center"/>
            <w:hideMark/>
          </w:tcPr>
          <w:p w14:paraId="339F7755" w14:textId="7569EEF1" w:rsidR="00060D72" w:rsidRPr="00FA433F" w:rsidRDefault="00060D72" w:rsidP="00FA3CE9">
            <w:pPr>
              <w:spacing w:before="0" w:after="0"/>
              <w:ind w:firstLineChars="100" w:firstLine="160"/>
              <w:jc w:val="left"/>
              <w:rPr>
                <w:noProof/>
                <w:sz w:val="16"/>
                <w:szCs w:val="16"/>
              </w:rPr>
            </w:pPr>
            <w:r w:rsidRPr="00FA433F">
              <w:rPr>
                <w:noProof/>
                <w:sz w:val="16"/>
              </w:rPr>
              <w:t>20 02 01</w:t>
            </w:r>
            <w:r w:rsidRPr="00FA433F">
              <w:rPr>
                <w:rFonts w:ascii="Arial Narrow" w:hAnsi="Arial Narrow"/>
                <w:noProof/>
                <w:sz w:val="20"/>
              </w:rPr>
              <w:t xml:space="preserve"> </w:t>
            </w:r>
            <w:r w:rsidRPr="00FA433F">
              <w:rPr>
                <w:noProof/>
                <w:sz w:val="16"/>
              </w:rPr>
              <w:t>(CA, SNE</w:t>
            </w:r>
            <w:r w:rsidR="00FA433F" w:rsidRPr="00FA433F">
              <w:rPr>
                <w:noProof/>
                <w:sz w:val="16"/>
              </w:rPr>
              <w:t xml:space="preserve"> z</w:t>
            </w:r>
            <w:r w:rsidR="00FA433F">
              <w:rPr>
                <w:noProof/>
                <w:sz w:val="16"/>
              </w:rPr>
              <w:t> </w:t>
            </w:r>
            <w:r w:rsidR="00FA433F" w:rsidRPr="00FA433F">
              <w:rPr>
                <w:noProof/>
                <w:sz w:val="16"/>
              </w:rPr>
              <w:t>glo</w:t>
            </w:r>
            <w:r w:rsidRPr="00FA433F">
              <w:rPr>
                <w:noProof/>
                <w:sz w:val="16"/>
              </w:rPr>
              <w:t>balnej koperty finansowej)</w:t>
            </w:r>
          </w:p>
        </w:tc>
        <w:tc>
          <w:tcPr>
            <w:tcW w:w="389" w:type="pct"/>
            <w:tcBorders>
              <w:top w:val="nil"/>
              <w:left w:val="nil"/>
              <w:bottom w:val="single" w:sz="8" w:space="0" w:color="auto"/>
              <w:right w:val="single" w:sz="8" w:space="0" w:color="auto"/>
            </w:tcBorders>
            <w:shd w:val="clear" w:color="000000" w:fill="D9D9D9"/>
            <w:vAlign w:val="center"/>
            <w:hideMark/>
          </w:tcPr>
          <w:p w14:paraId="07B1D519" w14:textId="77777777" w:rsidR="00060D72" w:rsidRPr="00FA433F" w:rsidRDefault="009130F9" w:rsidP="00FA3CE9">
            <w:pPr>
              <w:spacing w:before="0" w:after="0"/>
              <w:jc w:val="center"/>
              <w:rPr>
                <w:noProof/>
                <w:sz w:val="16"/>
                <w:szCs w:val="16"/>
              </w:rPr>
            </w:pPr>
            <w:r w:rsidRPr="00FA433F">
              <w:rPr>
                <w:noProof/>
                <w:sz w:val="16"/>
              </w:rPr>
              <w:t>8</w:t>
            </w:r>
          </w:p>
        </w:tc>
        <w:tc>
          <w:tcPr>
            <w:tcW w:w="389" w:type="pct"/>
            <w:tcBorders>
              <w:top w:val="nil"/>
              <w:left w:val="nil"/>
              <w:bottom w:val="single" w:sz="8" w:space="0" w:color="auto"/>
              <w:right w:val="single" w:sz="8" w:space="0" w:color="auto"/>
            </w:tcBorders>
            <w:shd w:val="clear" w:color="000000" w:fill="D9D9D9"/>
            <w:vAlign w:val="center"/>
            <w:hideMark/>
          </w:tcPr>
          <w:p w14:paraId="4C48C2B3" w14:textId="77777777" w:rsidR="00060D72" w:rsidRPr="00FA433F" w:rsidRDefault="00295B72" w:rsidP="00FA3CE9">
            <w:pPr>
              <w:spacing w:before="0" w:after="0"/>
              <w:jc w:val="center"/>
              <w:rPr>
                <w:noProof/>
                <w:sz w:val="16"/>
                <w:szCs w:val="16"/>
              </w:rPr>
            </w:pPr>
            <w:r w:rsidRPr="00FA433F">
              <w:rPr>
                <w:noProof/>
                <w:sz w:val="16"/>
              </w:rPr>
              <w:t>9</w:t>
            </w:r>
          </w:p>
        </w:tc>
        <w:tc>
          <w:tcPr>
            <w:tcW w:w="389" w:type="pct"/>
            <w:tcBorders>
              <w:top w:val="nil"/>
              <w:left w:val="nil"/>
              <w:bottom w:val="single" w:sz="8" w:space="0" w:color="auto"/>
              <w:right w:val="single" w:sz="8" w:space="0" w:color="auto"/>
            </w:tcBorders>
            <w:shd w:val="clear" w:color="000000" w:fill="D9D9D9"/>
            <w:vAlign w:val="center"/>
            <w:hideMark/>
          </w:tcPr>
          <w:p w14:paraId="1E6223B9" w14:textId="77777777" w:rsidR="00060D72" w:rsidRPr="00FA433F" w:rsidRDefault="00060D72" w:rsidP="00FA3CE9">
            <w:pPr>
              <w:spacing w:before="0" w:after="0"/>
              <w:jc w:val="center"/>
              <w:rPr>
                <w:noProof/>
                <w:sz w:val="16"/>
                <w:szCs w:val="16"/>
              </w:rPr>
            </w:pPr>
            <w:r w:rsidRPr="00FA433F">
              <w:rPr>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360129C1" w14:textId="77777777" w:rsidR="00060D72" w:rsidRPr="00FA433F" w:rsidRDefault="00060D72" w:rsidP="00FA3CE9">
            <w:pPr>
              <w:spacing w:before="0" w:after="0"/>
              <w:jc w:val="center"/>
              <w:rPr>
                <w:noProof/>
                <w:sz w:val="16"/>
                <w:szCs w:val="16"/>
              </w:rPr>
            </w:pPr>
            <w:r w:rsidRPr="00FA433F">
              <w:rPr>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65AB97C5"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EA456D"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70760671" w14:textId="2936A5B3" w:rsidR="00060D72" w:rsidRPr="00FA433F" w:rsidRDefault="009130F9" w:rsidP="00FA3CE9">
            <w:pPr>
              <w:spacing w:before="0" w:after="0"/>
              <w:jc w:val="center"/>
              <w:rPr>
                <w:noProof/>
                <w:sz w:val="16"/>
                <w:szCs w:val="16"/>
              </w:rPr>
            </w:pPr>
            <w:r w:rsidRPr="00FA433F">
              <w:rPr>
                <w:noProof/>
                <w:sz w:val="16"/>
              </w:rPr>
              <w:t>17</w:t>
            </w:r>
          </w:p>
        </w:tc>
      </w:tr>
      <w:tr w:rsidR="00060D72" w:rsidRPr="00FA433F" w14:paraId="2B03EC0C" w14:textId="77777777" w:rsidTr="005D78D2">
        <w:trPr>
          <w:trHeight w:val="300"/>
          <w:jc w:val="center"/>
        </w:trPr>
        <w:tc>
          <w:tcPr>
            <w:tcW w:w="2279" w:type="pct"/>
            <w:gridSpan w:val="4"/>
            <w:tcBorders>
              <w:top w:val="single" w:sz="8" w:space="0" w:color="auto"/>
              <w:left w:val="single" w:sz="8" w:space="0" w:color="auto"/>
              <w:bottom w:val="single" w:sz="8" w:space="0" w:color="auto"/>
              <w:right w:val="single" w:sz="8" w:space="0" w:color="auto"/>
            </w:tcBorders>
            <w:vAlign w:val="center"/>
            <w:hideMark/>
          </w:tcPr>
          <w:p w14:paraId="4AEBC484" w14:textId="6D200E18" w:rsidR="00060D72" w:rsidRPr="00FA433F" w:rsidRDefault="00060D72" w:rsidP="00FA3CE9">
            <w:pPr>
              <w:spacing w:before="0" w:after="0"/>
              <w:ind w:firstLineChars="100" w:firstLine="160"/>
              <w:jc w:val="left"/>
              <w:rPr>
                <w:noProof/>
                <w:sz w:val="16"/>
                <w:szCs w:val="16"/>
              </w:rPr>
            </w:pPr>
            <w:r w:rsidRPr="00FA433F">
              <w:rPr>
                <w:noProof/>
                <w:sz w:val="16"/>
              </w:rPr>
              <w:t>20 02 03 (CA, LA, SNE i JPD</w:t>
            </w:r>
            <w:r w:rsidR="00FA433F" w:rsidRPr="00FA433F">
              <w:rPr>
                <w:noProof/>
                <w:sz w:val="16"/>
              </w:rPr>
              <w:t xml:space="preserve"> w</w:t>
            </w:r>
            <w:r w:rsidR="00FA433F">
              <w:rPr>
                <w:noProof/>
                <w:sz w:val="16"/>
              </w:rPr>
              <w:t> </w:t>
            </w:r>
            <w:r w:rsidR="00FA433F" w:rsidRPr="00FA433F">
              <w:rPr>
                <w:noProof/>
                <w:sz w:val="16"/>
              </w:rPr>
              <w:t>del</w:t>
            </w:r>
            <w:r w:rsidRPr="00FA433F">
              <w:rPr>
                <w:noProof/>
                <w:sz w:val="16"/>
              </w:rPr>
              <w:t>egaturach UE)</w:t>
            </w:r>
          </w:p>
        </w:tc>
        <w:tc>
          <w:tcPr>
            <w:tcW w:w="389" w:type="pct"/>
            <w:tcBorders>
              <w:top w:val="nil"/>
              <w:left w:val="nil"/>
              <w:bottom w:val="single" w:sz="8" w:space="0" w:color="auto"/>
              <w:right w:val="single" w:sz="8" w:space="0" w:color="auto"/>
            </w:tcBorders>
            <w:shd w:val="clear" w:color="000000" w:fill="D9D9D9"/>
            <w:vAlign w:val="center"/>
            <w:hideMark/>
          </w:tcPr>
          <w:p w14:paraId="51DED917"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6D3B18BA"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0F307B74" w14:textId="77777777" w:rsidR="00060D72" w:rsidRPr="00FA433F" w:rsidRDefault="00060D72" w:rsidP="00FA3CE9">
            <w:pPr>
              <w:spacing w:before="0" w:after="0"/>
              <w:jc w:val="center"/>
              <w:rPr>
                <w:noProof/>
                <w:sz w:val="16"/>
                <w:szCs w:val="16"/>
              </w:rPr>
            </w:pPr>
            <w:r w:rsidRPr="00FA433F">
              <w:rPr>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51FCC990" w14:textId="77777777" w:rsidR="00060D72" w:rsidRPr="00FA433F" w:rsidRDefault="00060D72" w:rsidP="00FA3CE9">
            <w:pPr>
              <w:spacing w:before="0" w:after="0"/>
              <w:jc w:val="center"/>
              <w:rPr>
                <w:noProof/>
                <w:sz w:val="16"/>
                <w:szCs w:val="16"/>
              </w:rPr>
            </w:pPr>
            <w:r w:rsidRPr="00FA433F">
              <w:rPr>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69CD6A88"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87CDFB7"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399F3012" w14:textId="77777777" w:rsidR="00060D72" w:rsidRPr="00FA433F" w:rsidRDefault="005D78D2" w:rsidP="00FA3CE9">
            <w:pPr>
              <w:spacing w:before="0" w:after="0"/>
              <w:jc w:val="center"/>
              <w:rPr>
                <w:noProof/>
                <w:sz w:val="16"/>
                <w:szCs w:val="16"/>
              </w:rPr>
            </w:pPr>
            <w:r w:rsidRPr="00FA433F">
              <w:rPr>
                <w:noProof/>
                <w:sz w:val="16"/>
              </w:rPr>
              <w:t>0</w:t>
            </w:r>
          </w:p>
        </w:tc>
      </w:tr>
      <w:tr w:rsidR="00060D72" w:rsidRPr="00FA433F" w14:paraId="18B41649" w14:textId="77777777" w:rsidTr="005D78D2">
        <w:trPr>
          <w:trHeight w:val="300"/>
          <w:jc w:val="center"/>
        </w:trPr>
        <w:tc>
          <w:tcPr>
            <w:tcW w:w="698" w:type="pct"/>
            <w:gridSpan w:val="2"/>
            <w:vMerge w:val="restart"/>
            <w:tcBorders>
              <w:top w:val="nil"/>
              <w:left w:val="single" w:sz="8" w:space="0" w:color="auto"/>
              <w:bottom w:val="single" w:sz="8" w:space="0" w:color="auto"/>
              <w:right w:val="single" w:sz="8" w:space="0" w:color="auto"/>
            </w:tcBorders>
            <w:vAlign w:val="center"/>
            <w:hideMark/>
          </w:tcPr>
          <w:p w14:paraId="5083431A" w14:textId="77777777" w:rsidR="00060D72" w:rsidRPr="00FA433F" w:rsidRDefault="00060D72" w:rsidP="00FA3CE9">
            <w:pPr>
              <w:spacing w:before="0" w:after="0"/>
              <w:jc w:val="center"/>
              <w:rPr>
                <w:noProof/>
                <w:sz w:val="16"/>
                <w:szCs w:val="16"/>
              </w:rPr>
            </w:pPr>
            <w:r w:rsidRPr="00FA433F">
              <w:rPr>
                <w:noProof/>
                <w:sz w:val="16"/>
              </w:rPr>
              <w:t>Linia budżetowa Linia budżetowa</w:t>
            </w:r>
            <w:r w:rsidRPr="00FA433F">
              <w:rPr>
                <w:noProof/>
              </w:rPr>
              <w:t xml:space="preserve"> </w:t>
            </w:r>
            <w:r w:rsidRPr="00FA433F">
              <w:rPr>
                <w:noProof/>
              </w:rPr>
              <w:br/>
            </w:r>
            <w:r w:rsidRPr="00FA433F">
              <w:rPr>
                <w:noProof/>
                <w:sz w:val="16"/>
              </w:rPr>
              <w:t>[XX.01.YY.YY]</w:t>
            </w:r>
          </w:p>
        </w:tc>
        <w:tc>
          <w:tcPr>
            <w:tcW w:w="1581" w:type="pct"/>
            <w:gridSpan w:val="2"/>
            <w:tcBorders>
              <w:top w:val="nil"/>
              <w:left w:val="nil"/>
              <w:bottom w:val="single" w:sz="8" w:space="0" w:color="auto"/>
              <w:right w:val="single" w:sz="8" w:space="0" w:color="auto"/>
            </w:tcBorders>
            <w:vAlign w:val="center"/>
            <w:hideMark/>
          </w:tcPr>
          <w:p w14:paraId="56B225DE" w14:textId="5D9297B4" w:rsidR="00060D72" w:rsidRPr="00FA433F" w:rsidRDefault="00060D72" w:rsidP="00FA3CE9">
            <w:pPr>
              <w:spacing w:before="0" w:after="0"/>
              <w:ind w:firstLineChars="100" w:firstLine="160"/>
              <w:jc w:val="left"/>
              <w:rPr>
                <w:noProof/>
                <w:sz w:val="16"/>
                <w:szCs w:val="16"/>
              </w:rPr>
            </w:pPr>
            <w:r w:rsidRPr="00FA433F">
              <w:rPr>
                <w:noProof/>
                <w:sz w:val="16"/>
              </w:rPr>
              <w:t>-</w:t>
            </w:r>
            <w:r w:rsidR="00FA433F" w:rsidRPr="00FA433F">
              <w:rPr>
                <w:noProof/>
                <w:sz w:val="16"/>
              </w:rPr>
              <w:t xml:space="preserve"> w</w:t>
            </w:r>
            <w:r w:rsidR="00FA433F">
              <w:rPr>
                <w:noProof/>
                <w:sz w:val="16"/>
              </w:rPr>
              <w:t> </w:t>
            </w:r>
            <w:r w:rsidR="00FA433F" w:rsidRPr="00FA433F">
              <w:rPr>
                <w:noProof/>
                <w:sz w:val="16"/>
              </w:rPr>
              <w:t>cen</w:t>
            </w:r>
            <w:r w:rsidRPr="00FA433F">
              <w:rPr>
                <w:noProof/>
                <w:sz w:val="16"/>
              </w:rPr>
              <w:t>trali</w:t>
            </w:r>
          </w:p>
        </w:tc>
        <w:tc>
          <w:tcPr>
            <w:tcW w:w="389" w:type="pct"/>
            <w:tcBorders>
              <w:top w:val="nil"/>
              <w:left w:val="nil"/>
              <w:bottom w:val="single" w:sz="8" w:space="0" w:color="auto"/>
              <w:right w:val="single" w:sz="8" w:space="0" w:color="auto"/>
            </w:tcBorders>
            <w:shd w:val="clear" w:color="000000" w:fill="D9D9D9"/>
            <w:vAlign w:val="center"/>
            <w:hideMark/>
          </w:tcPr>
          <w:p w14:paraId="0B63A54C"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08C8FA74"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213CDD34" w14:textId="77777777" w:rsidR="00060D72" w:rsidRPr="00FA433F" w:rsidRDefault="00060D72" w:rsidP="00FA3CE9">
            <w:pPr>
              <w:spacing w:before="0" w:after="0"/>
              <w:jc w:val="center"/>
              <w:rPr>
                <w:noProof/>
                <w:sz w:val="16"/>
                <w:szCs w:val="16"/>
              </w:rPr>
            </w:pPr>
            <w:r w:rsidRPr="00FA433F">
              <w:rPr>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36FEDC0C" w14:textId="77777777" w:rsidR="00060D72" w:rsidRPr="00FA433F" w:rsidRDefault="00060D72" w:rsidP="00FA3CE9">
            <w:pPr>
              <w:spacing w:before="0" w:after="0"/>
              <w:jc w:val="center"/>
              <w:rPr>
                <w:noProof/>
                <w:sz w:val="16"/>
                <w:szCs w:val="16"/>
              </w:rPr>
            </w:pPr>
            <w:r w:rsidRPr="00FA433F">
              <w:rPr>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6A4C8F20"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1BA581"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3DA90866" w14:textId="77777777" w:rsidR="00060D72" w:rsidRPr="00FA433F" w:rsidRDefault="005D78D2" w:rsidP="00FA3CE9">
            <w:pPr>
              <w:spacing w:before="0" w:after="0"/>
              <w:jc w:val="center"/>
              <w:rPr>
                <w:noProof/>
                <w:sz w:val="16"/>
                <w:szCs w:val="16"/>
              </w:rPr>
            </w:pPr>
            <w:r w:rsidRPr="00FA433F">
              <w:rPr>
                <w:noProof/>
                <w:sz w:val="16"/>
              </w:rPr>
              <w:t>0</w:t>
            </w:r>
          </w:p>
        </w:tc>
      </w:tr>
      <w:tr w:rsidR="00060D72" w:rsidRPr="00FA433F" w14:paraId="66D5F9A2" w14:textId="77777777" w:rsidTr="005D78D2">
        <w:trPr>
          <w:trHeight w:val="300"/>
          <w:jc w:val="center"/>
        </w:trPr>
        <w:tc>
          <w:tcPr>
            <w:tcW w:w="698" w:type="pct"/>
            <w:gridSpan w:val="2"/>
            <w:vMerge/>
            <w:tcBorders>
              <w:top w:val="nil"/>
              <w:left w:val="single" w:sz="8" w:space="0" w:color="auto"/>
              <w:bottom w:val="single" w:sz="8" w:space="0" w:color="auto"/>
              <w:right w:val="single" w:sz="8" w:space="0" w:color="auto"/>
            </w:tcBorders>
            <w:vAlign w:val="center"/>
            <w:hideMark/>
          </w:tcPr>
          <w:p w14:paraId="4FC7B134" w14:textId="77777777" w:rsidR="00060D72" w:rsidRPr="00FA433F" w:rsidRDefault="00060D72" w:rsidP="00FA3CE9">
            <w:pPr>
              <w:spacing w:before="0" w:after="0"/>
              <w:jc w:val="left"/>
              <w:rPr>
                <w:noProof/>
                <w:sz w:val="16"/>
                <w:szCs w:val="16"/>
                <w:lang w:eastAsia="en-IE"/>
              </w:rPr>
            </w:pPr>
          </w:p>
        </w:tc>
        <w:tc>
          <w:tcPr>
            <w:tcW w:w="1581" w:type="pct"/>
            <w:gridSpan w:val="2"/>
            <w:tcBorders>
              <w:top w:val="nil"/>
              <w:left w:val="nil"/>
              <w:bottom w:val="single" w:sz="8" w:space="0" w:color="auto"/>
              <w:right w:val="single" w:sz="8" w:space="0" w:color="auto"/>
            </w:tcBorders>
            <w:vAlign w:val="center"/>
            <w:hideMark/>
          </w:tcPr>
          <w:p w14:paraId="3AE60B0E" w14:textId="356DD498" w:rsidR="00060D72" w:rsidRPr="00FA433F" w:rsidRDefault="00060D72" w:rsidP="00FA3CE9">
            <w:pPr>
              <w:spacing w:before="0" w:after="0"/>
              <w:ind w:firstLineChars="100" w:firstLine="160"/>
              <w:jc w:val="left"/>
              <w:rPr>
                <w:noProof/>
                <w:sz w:val="16"/>
                <w:szCs w:val="16"/>
              </w:rPr>
            </w:pPr>
            <w:r w:rsidRPr="00FA433F">
              <w:rPr>
                <w:noProof/>
                <w:sz w:val="16"/>
              </w:rPr>
              <w:t>-</w:t>
            </w:r>
            <w:r w:rsidR="00FA433F" w:rsidRPr="00FA433F">
              <w:rPr>
                <w:noProof/>
                <w:sz w:val="16"/>
              </w:rPr>
              <w:t xml:space="preserve"> w</w:t>
            </w:r>
            <w:r w:rsidR="00FA433F">
              <w:rPr>
                <w:noProof/>
                <w:sz w:val="16"/>
              </w:rPr>
              <w:t> </w:t>
            </w:r>
            <w:r w:rsidR="00FA433F" w:rsidRPr="00FA433F">
              <w:rPr>
                <w:noProof/>
                <w:sz w:val="16"/>
              </w:rPr>
              <w:t>del</w:t>
            </w:r>
            <w:r w:rsidRPr="00FA433F">
              <w:rPr>
                <w:noProof/>
                <w:sz w:val="16"/>
              </w:rPr>
              <w:t xml:space="preserve">egaturach UE </w:t>
            </w:r>
          </w:p>
        </w:tc>
        <w:tc>
          <w:tcPr>
            <w:tcW w:w="389" w:type="pct"/>
            <w:tcBorders>
              <w:top w:val="nil"/>
              <w:left w:val="nil"/>
              <w:bottom w:val="single" w:sz="8" w:space="0" w:color="auto"/>
              <w:right w:val="single" w:sz="8" w:space="0" w:color="auto"/>
            </w:tcBorders>
            <w:shd w:val="clear" w:color="000000" w:fill="D9D9D9"/>
            <w:vAlign w:val="center"/>
            <w:hideMark/>
          </w:tcPr>
          <w:p w14:paraId="2642F8E5"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725336BD"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7D67F0C9" w14:textId="77777777" w:rsidR="00060D72" w:rsidRPr="00FA433F" w:rsidRDefault="00060D72" w:rsidP="00FA3CE9">
            <w:pPr>
              <w:spacing w:before="0" w:after="0"/>
              <w:jc w:val="center"/>
              <w:rPr>
                <w:noProof/>
                <w:sz w:val="16"/>
                <w:szCs w:val="16"/>
              </w:rPr>
            </w:pPr>
            <w:r w:rsidRPr="00FA433F">
              <w:rPr>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178D403D" w14:textId="77777777" w:rsidR="00060D72" w:rsidRPr="00FA433F" w:rsidRDefault="00060D72" w:rsidP="00FA3CE9">
            <w:pPr>
              <w:spacing w:before="0" w:after="0"/>
              <w:jc w:val="center"/>
              <w:rPr>
                <w:noProof/>
                <w:sz w:val="16"/>
                <w:szCs w:val="16"/>
              </w:rPr>
            </w:pPr>
            <w:r w:rsidRPr="00FA433F">
              <w:rPr>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20E62952"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CBFB5E"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0477110E" w14:textId="77777777" w:rsidR="00060D72" w:rsidRPr="00FA433F" w:rsidRDefault="005D78D2" w:rsidP="00FA3CE9">
            <w:pPr>
              <w:spacing w:before="0" w:after="0"/>
              <w:jc w:val="center"/>
              <w:rPr>
                <w:noProof/>
                <w:sz w:val="16"/>
                <w:szCs w:val="16"/>
              </w:rPr>
            </w:pPr>
            <w:r w:rsidRPr="00FA433F">
              <w:rPr>
                <w:noProof/>
                <w:sz w:val="16"/>
              </w:rPr>
              <w:t>0</w:t>
            </w:r>
          </w:p>
        </w:tc>
      </w:tr>
      <w:tr w:rsidR="00060D72" w:rsidRPr="00FA433F" w14:paraId="58D996BD" w14:textId="77777777" w:rsidTr="005D78D2">
        <w:trPr>
          <w:trHeight w:val="300"/>
          <w:jc w:val="center"/>
        </w:trPr>
        <w:tc>
          <w:tcPr>
            <w:tcW w:w="2279" w:type="pct"/>
            <w:gridSpan w:val="4"/>
            <w:tcBorders>
              <w:top w:val="single" w:sz="8" w:space="0" w:color="auto"/>
              <w:left w:val="single" w:sz="8" w:space="0" w:color="auto"/>
              <w:bottom w:val="single" w:sz="8" w:space="0" w:color="auto"/>
              <w:right w:val="single" w:sz="8" w:space="0" w:color="auto"/>
            </w:tcBorders>
            <w:vAlign w:val="center"/>
            <w:hideMark/>
          </w:tcPr>
          <w:p w14:paraId="39D6BADB" w14:textId="77777777" w:rsidR="00060D72" w:rsidRPr="00FA433F" w:rsidRDefault="00060D72" w:rsidP="00FA3CE9">
            <w:pPr>
              <w:spacing w:before="0" w:after="0"/>
              <w:ind w:firstLineChars="100" w:firstLine="160"/>
              <w:jc w:val="left"/>
              <w:rPr>
                <w:noProof/>
                <w:sz w:val="16"/>
                <w:szCs w:val="16"/>
              </w:rPr>
            </w:pPr>
            <w:r w:rsidRPr="00FA433F">
              <w:rPr>
                <w:noProof/>
                <w:sz w:val="16"/>
              </w:rPr>
              <w:t>01 01 01 02</w:t>
            </w:r>
            <w:r w:rsidRPr="00FA433F">
              <w:rPr>
                <w:rFonts w:ascii="Arial Narrow" w:hAnsi="Arial Narrow"/>
                <w:noProof/>
                <w:sz w:val="20"/>
              </w:rPr>
              <w:t xml:space="preserve"> </w:t>
            </w:r>
            <w:r w:rsidRPr="00FA433F">
              <w:rPr>
                <w:noProof/>
                <w:sz w:val="16"/>
              </w:rPr>
              <w:t>(CA, SNE – pośrednie badania naukowe)</w:t>
            </w:r>
          </w:p>
        </w:tc>
        <w:tc>
          <w:tcPr>
            <w:tcW w:w="389" w:type="pct"/>
            <w:tcBorders>
              <w:top w:val="nil"/>
              <w:left w:val="nil"/>
              <w:bottom w:val="single" w:sz="8" w:space="0" w:color="auto"/>
              <w:right w:val="single" w:sz="8" w:space="0" w:color="auto"/>
            </w:tcBorders>
            <w:shd w:val="clear" w:color="000000" w:fill="D9D9D9"/>
            <w:vAlign w:val="center"/>
            <w:hideMark/>
          </w:tcPr>
          <w:p w14:paraId="7DCB38D3"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784FEB9D"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2D0ED4B5" w14:textId="77777777" w:rsidR="00060D72" w:rsidRPr="00FA433F" w:rsidRDefault="00060D72" w:rsidP="00FA3CE9">
            <w:pPr>
              <w:spacing w:before="0" w:after="0"/>
              <w:jc w:val="center"/>
              <w:rPr>
                <w:noProof/>
                <w:sz w:val="16"/>
                <w:szCs w:val="16"/>
              </w:rPr>
            </w:pPr>
            <w:r w:rsidRPr="00FA433F">
              <w:rPr>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2D02E22C" w14:textId="77777777" w:rsidR="00060D72" w:rsidRPr="00FA433F" w:rsidRDefault="00060D72" w:rsidP="00FA3CE9">
            <w:pPr>
              <w:spacing w:before="0" w:after="0"/>
              <w:jc w:val="center"/>
              <w:rPr>
                <w:noProof/>
                <w:sz w:val="16"/>
                <w:szCs w:val="16"/>
              </w:rPr>
            </w:pPr>
            <w:r w:rsidRPr="00FA433F">
              <w:rPr>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62AB7139"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237D3C"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7A88455A" w14:textId="77777777" w:rsidR="00060D72" w:rsidRPr="00FA433F" w:rsidRDefault="005D78D2" w:rsidP="00FA3CE9">
            <w:pPr>
              <w:spacing w:before="0" w:after="0"/>
              <w:jc w:val="center"/>
              <w:rPr>
                <w:noProof/>
                <w:sz w:val="16"/>
                <w:szCs w:val="16"/>
              </w:rPr>
            </w:pPr>
            <w:r w:rsidRPr="00FA433F">
              <w:rPr>
                <w:noProof/>
                <w:sz w:val="16"/>
              </w:rPr>
              <w:t>0</w:t>
            </w:r>
          </w:p>
        </w:tc>
      </w:tr>
      <w:tr w:rsidR="00060D72" w:rsidRPr="00FA433F" w14:paraId="5619504F" w14:textId="77777777" w:rsidTr="005D78D2">
        <w:trPr>
          <w:trHeight w:val="300"/>
          <w:jc w:val="center"/>
        </w:trPr>
        <w:tc>
          <w:tcPr>
            <w:tcW w:w="2279" w:type="pct"/>
            <w:gridSpan w:val="4"/>
            <w:tcBorders>
              <w:top w:val="single" w:sz="8" w:space="0" w:color="auto"/>
              <w:left w:val="single" w:sz="8" w:space="0" w:color="auto"/>
              <w:bottom w:val="single" w:sz="8" w:space="0" w:color="auto"/>
              <w:right w:val="single" w:sz="8" w:space="0" w:color="auto"/>
            </w:tcBorders>
            <w:vAlign w:val="center"/>
            <w:hideMark/>
          </w:tcPr>
          <w:p w14:paraId="2E78B30B" w14:textId="77777777" w:rsidR="00060D72" w:rsidRPr="00FA433F" w:rsidRDefault="00060D72" w:rsidP="00FA3CE9">
            <w:pPr>
              <w:spacing w:before="0" w:after="0"/>
              <w:ind w:firstLineChars="100" w:firstLine="160"/>
              <w:jc w:val="left"/>
              <w:rPr>
                <w:noProof/>
                <w:sz w:val="16"/>
                <w:szCs w:val="16"/>
              </w:rPr>
            </w:pPr>
            <w:r w:rsidRPr="00FA433F">
              <w:rPr>
                <w:noProof/>
                <w:sz w:val="16"/>
              </w:rPr>
              <w:t>01 01 01 12 (CA, SNE – bezpośrednie badania naukowe)</w:t>
            </w:r>
          </w:p>
        </w:tc>
        <w:tc>
          <w:tcPr>
            <w:tcW w:w="389" w:type="pct"/>
            <w:tcBorders>
              <w:top w:val="nil"/>
              <w:left w:val="nil"/>
              <w:bottom w:val="single" w:sz="8" w:space="0" w:color="auto"/>
              <w:right w:val="single" w:sz="8" w:space="0" w:color="auto"/>
            </w:tcBorders>
            <w:shd w:val="clear" w:color="000000" w:fill="D9D9D9"/>
            <w:vAlign w:val="center"/>
            <w:hideMark/>
          </w:tcPr>
          <w:p w14:paraId="6779736D"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394E12E9"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03384738" w14:textId="77777777" w:rsidR="00060D72" w:rsidRPr="00FA433F" w:rsidRDefault="00060D72" w:rsidP="00FA3CE9">
            <w:pPr>
              <w:spacing w:before="0" w:after="0"/>
              <w:jc w:val="center"/>
              <w:rPr>
                <w:noProof/>
                <w:sz w:val="16"/>
                <w:szCs w:val="16"/>
              </w:rPr>
            </w:pPr>
            <w:r w:rsidRPr="00FA433F">
              <w:rPr>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2110E944" w14:textId="77777777" w:rsidR="00060D72" w:rsidRPr="00FA433F" w:rsidRDefault="00060D72" w:rsidP="00FA3CE9">
            <w:pPr>
              <w:spacing w:before="0" w:after="0"/>
              <w:jc w:val="center"/>
              <w:rPr>
                <w:noProof/>
                <w:sz w:val="16"/>
                <w:szCs w:val="16"/>
              </w:rPr>
            </w:pPr>
            <w:r w:rsidRPr="00FA433F">
              <w:rPr>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20D198D8"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3E1575C"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16E12370" w14:textId="77777777" w:rsidR="00060D72" w:rsidRPr="00FA433F" w:rsidRDefault="005D78D2" w:rsidP="00FA3CE9">
            <w:pPr>
              <w:spacing w:before="0" w:after="0"/>
              <w:jc w:val="center"/>
              <w:rPr>
                <w:noProof/>
                <w:sz w:val="16"/>
                <w:szCs w:val="16"/>
              </w:rPr>
            </w:pPr>
            <w:r w:rsidRPr="00FA433F">
              <w:rPr>
                <w:noProof/>
                <w:sz w:val="16"/>
              </w:rPr>
              <w:t>0</w:t>
            </w:r>
          </w:p>
        </w:tc>
      </w:tr>
      <w:tr w:rsidR="00060D72" w:rsidRPr="00FA433F" w14:paraId="1818F51F" w14:textId="77777777" w:rsidTr="005D78D2">
        <w:trPr>
          <w:trHeight w:val="300"/>
          <w:jc w:val="center"/>
        </w:trPr>
        <w:tc>
          <w:tcPr>
            <w:tcW w:w="2279" w:type="pct"/>
            <w:gridSpan w:val="4"/>
            <w:tcBorders>
              <w:top w:val="single" w:sz="8" w:space="0" w:color="auto"/>
              <w:left w:val="single" w:sz="8" w:space="0" w:color="auto"/>
              <w:bottom w:val="single" w:sz="8" w:space="0" w:color="auto"/>
              <w:right w:val="single" w:sz="8" w:space="0" w:color="auto"/>
            </w:tcBorders>
            <w:vAlign w:val="center"/>
            <w:hideMark/>
          </w:tcPr>
          <w:p w14:paraId="242AD1A0" w14:textId="77777777" w:rsidR="00060D72" w:rsidRPr="00FA433F" w:rsidRDefault="00060D72" w:rsidP="00FA3CE9">
            <w:pPr>
              <w:spacing w:before="0" w:after="0"/>
              <w:ind w:firstLineChars="100" w:firstLine="160"/>
              <w:jc w:val="left"/>
              <w:rPr>
                <w:noProof/>
                <w:sz w:val="16"/>
                <w:szCs w:val="16"/>
              </w:rPr>
            </w:pPr>
            <w:r w:rsidRPr="00FA433F">
              <w:rPr>
                <w:noProof/>
                <w:sz w:val="16"/>
              </w:rPr>
              <w:t>Inna linia budżetowa (określić) – dział 7</w:t>
            </w:r>
          </w:p>
        </w:tc>
        <w:tc>
          <w:tcPr>
            <w:tcW w:w="389" w:type="pct"/>
            <w:tcBorders>
              <w:top w:val="nil"/>
              <w:left w:val="nil"/>
              <w:bottom w:val="single" w:sz="8" w:space="0" w:color="auto"/>
              <w:right w:val="single" w:sz="8" w:space="0" w:color="auto"/>
            </w:tcBorders>
            <w:shd w:val="clear" w:color="000000" w:fill="D9D9D9"/>
            <w:vAlign w:val="center"/>
            <w:hideMark/>
          </w:tcPr>
          <w:p w14:paraId="19B8A252"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5B37EA4C"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0B243C88" w14:textId="77777777" w:rsidR="00060D72" w:rsidRPr="00FA433F" w:rsidRDefault="00060D72" w:rsidP="00FA3CE9">
            <w:pPr>
              <w:spacing w:before="0" w:after="0"/>
              <w:jc w:val="center"/>
              <w:rPr>
                <w:noProof/>
                <w:sz w:val="16"/>
                <w:szCs w:val="16"/>
              </w:rPr>
            </w:pPr>
            <w:r w:rsidRPr="00FA433F">
              <w:rPr>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0832D57F" w14:textId="77777777" w:rsidR="00060D72" w:rsidRPr="00FA433F" w:rsidRDefault="00060D72" w:rsidP="00FA3CE9">
            <w:pPr>
              <w:spacing w:before="0" w:after="0"/>
              <w:jc w:val="center"/>
              <w:rPr>
                <w:noProof/>
                <w:sz w:val="16"/>
                <w:szCs w:val="16"/>
              </w:rPr>
            </w:pPr>
            <w:r w:rsidRPr="00FA433F">
              <w:rPr>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2135236F"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9D18F1"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3BD29132" w14:textId="77777777" w:rsidR="00060D72" w:rsidRPr="00FA433F" w:rsidRDefault="005D78D2" w:rsidP="00FA3CE9">
            <w:pPr>
              <w:spacing w:before="0" w:after="0"/>
              <w:jc w:val="center"/>
              <w:rPr>
                <w:noProof/>
                <w:sz w:val="16"/>
                <w:szCs w:val="16"/>
              </w:rPr>
            </w:pPr>
            <w:r w:rsidRPr="00FA433F">
              <w:rPr>
                <w:noProof/>
                <w:sz w:val="16"/>
              </w:rPr>
              <w:t>0</w:t>
            </w:r>
          </w:p>
        </w:tc>
      </w:tr>
      <w:tr w:rsidR="00060D72" w:rsidRPr="00FA433F" w14:paraId="4C140960" w14:textId="77777777" w:rsidTr="005D78D2">
        <w:trPr>
          <w:trHeight w:val="300"/>
          <w:jc w:val="center"/>
        </w:trPr>
        <w:tc>
          <w:tcPr>
            <w:tcW w:w="2279" w:type="pct"/>
            <w:gridSpan w:val="4"/>
            <w:tcBorders>
              <w:top w:val="single" w:sz="8" w:space="0" w:color="auto"/>
              <w:left w:val="single" w:sz="8" w:space="0" w:color="auto"/>
              <w:bottom w:val="single" w:sz="8" w:space="0" w:color="auto"/>
              <w:right w:val="single" w:sz="8" w:space="0" w:color="auto"/>
            </w:tcBorders>
            <w:vAlign w:val="center"/>
            <w:hideMark/>
          </w:tcPr>
          <w:p w14:paraId="10806475" w14:textId="77777777" w:rsidR="00060D72" w:rsidRPr="00FA433F" w:rsidRDefault="00060D72" w:rsidP="00FA3CE9">
            <w:pPr>
              <w:spacing w:before="0" w:after="0"/>
              <w:ind w:firstLineChars="100" w:firstLine="160"/>
              <w:jc w:val="left"/>
              <w:rPr>
                <w:noProof/>
                <w:sz w:val="16"/>
                <w:szCs w:val="16"/>
              </w:rPr>
            </w:pPr>
            <w:r w:rsidRPr="00FA433F">
              <w:rPr>
                <w:noProof/>
                <w:sz w:val="16"/>
              </w:rPr>
              <w:lastRenderedPageBreak/>
              <w:t>Inna linia budżetowa (określić) – poza działem 7</w:t>
            </w:r>
          </w:p>
        </w:tc>
        <w:tc>
          <w:tcPr>
            <w:tcW w:w="389" w:type="pct"/>
            <w:tcBorders>
              <w:top w:val="nil"/>
              <w:left w:val="nil"/>
              <w:bottom w:val="single" w:sz="8" w:space="0" w:color="auto"/>
              <w:right w:val="single" w:sz="8" w:space="0" w:color="auto"/>
            </w:tcBorders>
            <w:shd w:val="clear" w:color="000000" w:fill="D9D9D9"/>
            <w:vAlign w:val="center"/>
            <w:hideMark/>
          </w:tcPr>
          <w:p w14:paraId="289A86D7"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4B33B1A2"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1932714A" w14:textId="77777777" w:rsidR="00060D72" w:rsidRPr="00FA433F" w:rsidRDefault="00060D72" w:rsidP="00FA3CE9">
            <w:pPr>
              <w:spacing w:before="0" w:after="0"/>
              <w:jc w:val="center"/>
              <w:rPr>
                <w:noProof/>
                <w:sz w:val="16"/>
                <w:szCs w:val="16"/>
              </w:rPr>
            </w:pPr>
            <w:r w:rsidRPr="00FA433F">
              <w:rPr>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3F30EAC4" w14:textId="77777777" w:rsidR="00060D72" w:rsidRPr="00FA433F" w:rsidRDefault="00060D72" w:rsidP="00FA3CE9">
            <w:pPr>
              <w:spacing w:before="0" w:after="0"/>
              <w:jc w:val="center"/>
              <w:rPr>
                <w:noProof/>
                <w:sz w:val="16"/>
                <w:szCs w:val="16"/>
              </w:rPr>
            </w:pPr>
            <w:r w:rsidRPr="00FA433F">
              <w:rPr>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52AB3499"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0DB1CB" w14:textId="77777777" w:rsidR="00060D72" w:rsidRPr="00FA433F" w:rsidRDefault="00060D72" w:rsidP="00FA3CE9">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616A74E9" w14:textId="77777777" w:rsidR="00060D72" w:rsidRPr="00FA433F" w:rsidRDefault="005D78D2" w:rsidP="00FA3CE9">
            <w:pPr>
              <w:spacing w:before="0" w:after="0"/>
              <w:jc w:val="center"/>
              <w:rPr>
                <w:noProof/>
                <w:sz w:val="16"/>
                <w:szCs w:val="16"/>
              </w:rPr>
            </w:pPr>
            <w:r w:rsidRPr="00FA433F">
              <w:rPr>
                <w:noProof/>
                <w:sz w:val="16"/>
              </w:rPr>
              <w:t>0</w:t>
            </w:r>
          </w:p>
        </w:tc>
      </w:tr>
      <w:tr w:rsidR="00060D72" w:rsidRPr="00FA433F" w14:paraId="2764AC8A" w14:textId="77777777" w:rsidTr="005D78D2">
        <w:trPr>
          <w:trHeight w:val="300"/>
          <w:jc w:val="center"/>
        </w:trPr>
        <w:tc>
          <w:tcPr>
            <w:tcW w:w="2279" w:type="pct"/>
            <w:gridSpan w:val="4"/>
            <w:tcBorders>
              <w:top w:val="single" w:sz="8" w:space="0" w:color="auto"/>
              <w:left w:val="single" w:sz="8" w:space="0" w:color="auto"/>
              <w:bottom w:val="single" w:sz="8" w:space="0" w:color="auto"/>
              <w:right w:val="single" w:sz="8" w:space="0" w:color="auto"/>
            </w:tcBorders>
            <w:vAlign w:val="center"/>
            <w:hideMark/>
          </w:tcPr>
          <w:p w14:paraId="37B895F2" w14:textId="77777777" w:rsidR="00060D72" w:rsidRPr="00FA433F" w:rsidRDefault="00060D72" w:rsidP="00FA3CE9">
            <w:pPr>
              <w:spacing w:before="0" w:after="0"/>
              <w:ind w:firstLineChars="100" w:firstLine="160"/>
              <w:jc w:val="left"/>
              <w:rPr>
                <w:b/>
                <w:bCs/>
                <w:noProof/>
                <w:sz w:val="16"/>
                <w:szCs w:val="16"/>
              </w:rPr>
            </w:pPr>
            <w:r w:rsidRPr="00FA433F">
              <w:rPr>
                <w:b/>
                <w:noProof/>
                <w:sz w:val="16"/>
              </w:rPr>
              <w:t>OGÓŁEM</w:t>
            </w:r>
          </w:p>
        </w:tc>
        <w:tc>
          <w:tcPr>
            <w:tcW w:w="389" w:type="pct"/>
            <w:tcBorders>
              <w:top w:val="nil"/>
              <w:left w:val="nil"/>
              <w:bottom w:val="single" w:sz="8" w:space="0" w:color="auto"/>
              <w:right w:val="single" w:sz="8" w:space="0" w:color="auto"/>
            </w:tcBorders>
            <w:shd w:val="clear" w:color="000000" w:fill="D9D9D9"/>
            <w:vAlign w:val="center"/>
            <w:hideMark/>
          </w:tcPr>
          <w:p w14:paraId="3F5D383C" w14:textId="77777777" w:rsidR="00060D72" w:rsidRPr="00FA433F" w:rsidRDefault="009130F9" w:rsidP="00FA3CE9">
            <w:pPr>
              <w:spacing w:before="0" w:after="0"/>
              <w:jc w:val="center"/>
              <w:rPr>
                <w:b/>
                <w:bCs/>
                <w:noProof/>
                <w:sz w:val="16"/>
                <w:szCs w:val="16"/>
              </w:rPr>
            </w:pPr>
            <w:r w:rsidRPr="00FA433F">
              <w:rPr>
                <w:b/>
                <w:noProof/>
                <w:sz w:val="16"/>
              </w:rPr>
              <w:t>8</w:t>
            </w:r>
          </w:p>
        </w:tc>
        <w:tc>
          <w:tcPr>
            <w:tcW w:w="389" w:type="pct"/>
            <w:tcBorders>
              <w:top w:val="nil"/>
              <w:left w:val="nil"/>
              <w:bottom w:val="single" w:sz="8" w:space="0" w:color="auto"/>
              <w:right w:val="single" w:sz="8" w:space="0" w:color="auto"/>
            </w:tcBorders>
            <w:shd w:val="clear" w:color="000000" w:fill="D9D9D9"/>
            <w:vAlign w:val="center"/>
            <w:hideMark/>
          </w:tcPr>
          <w:p w14:paraId="76432F09" w14:textId="77777777" w:rsidR="00060D72" w:rsidRPr="00FA433F" w:rsidRDefault="00295B72" w:rsidP="00FA3CE9">
            <w:pPr>
              <w:spacing w:before="0" w:after="0"/>
              <w:jc w:val="center"/>
              <w:rPr>
                <w:b/>
                <w:bCs/>
                <w:noProof/>
                <w:sz w:val="16"/>
                <w:szCs w:val="16"/>
              </w:rPr>
            </w:pPr>
            <w:r w:rsidRPr="00FA433F">
              <w:rPr>
                <w:b/>
                <w:noProof/>
                <w:sz w:val="16"/>
              </w:rPr>
              <w:t>9</w:t>
            </w:r>
          </w:p>
        </w:tc>
        <w:tc>
          <w:tcPr>
            <w:tcW w:w="389" w:type="pct"/>
            <w:tcBorders>
              <w:top w:val="nil"/>
              <w:left w:val="nil"/>
              <w:bottom w:val="single" w:sz="8" w:space="0" w:color="auto"/>
              <w:right w:val="single" w:sz="8" w:space="0" w:color="auto"/>
            </w:tcBorders>
            <w:shd w:val="clear" w:color="000000" w:fill="D9D9D9"/>
            <w:vAlign w:val="center"/>
            <w:hideMark/>
          </w:tcPr>
          <w:p w14:paraId="0A7052ED" w14:textId="77777777" w:rsidR="00060D72" w:rsidRPr="00FA433F" w:rsidRDefault="00060D72" w:rsidP="00FA3CE9">
            <w:pPr>
              <w:spacing w:before="0" w:after="0"/>
              <w:jc w:val="center"/>
              <w:rPr>
                <w:b/>
                <w:bCs/>
                <w:noProof/>
                <w:sz w:val="16"/>
                <w:szCs w:val="16"/>
              </w:rPr>
            </w:pPr>
            <w:r w:rsidRPr="00FA433F">
              <w:rPr>
                <w:b/>
                <w:noProof/>
                <w:sz w:val="16"/>
              </w:rPr>
              <w:t>0</w:t>
            </w:r>
          </w:p>
        </w:tc>
        <w:tc>
          <w:tcPr>
            <w:tcW w:w="388" w:type="pct"/>
            <w:tcBorders>
              <w:top w:val="single" w:sz="8" w:space="0" w:color="auto"/>
              <w:left w:val="nil"/>
              <w:bottom w:val="single" w:sz="8" w:space="0" w:color="auto"/>
              <w:right w:val="single" w:sz="8" w:space="0" w:color="auto"/>
            </w:tcBorders>
            <w:shd w:val="clear" w:color="000000" w:fill="D9D9D9"/>
            <w:vAlign w:val="center"/>
          </w:tcPr>
          <w:p w14:paraId="1229FBE2" w14:textId="77777777" w:rsidR="00060D72" w:rsidRPr="00FA433F" w:rsidRDefault="00060D72" w:rsidP="00FA3CE9">
            <w:pPr>
              <w:spacing w:before="0" w:after="0"/>
              <w:jc w:val="center"/>
              <w:rPr>
                <w:b/>
                <w:bCs/>
                <w:noProof/>
                <w:sz w:val="16"/>
                <w:szCs w:val="16"/>
              </w:rPr>
            </w:pPr>
            <w:r w:rsidRPr="00FA433F">
              <w:rPr>
                <w:b/>
                <w:noProof/>
                <w:sz w:val="16"/>
              </w:rPr>
              <w:t>0</w:t>
            </w:r>
          </w:p>
        </w:tc>
        <w:tc>
          <w:tcPr>
            <w:tcW w:w="387" w:type="pct"/>
            <w:tcBorders>
              <w:top w:val="single" w:sz="8" w:space="0" w:color="auto"/>
              <w:left w:val="single" w:sz="8" w:space="0" w:color="auto"/>
              <w:bottom w:val="single" w:sz="8" w:space="0" w:color="auto"/>
              <w:right w:val="single" w:sz="8" w:space="0" w:color="auto"/>
            </w:tcBorders>
            <w:shd w:val="clear" w:color="000000" w:fill="D9D9D9"/>
            <w:vAlign w:val="center"/>
          </w:tcPr>
          <w:p w14:paraId="6FB0BFE6" w14:textId="77777777" w:rsidR="00060D72" w:rsidRPr="00FA433F" w:rsidRDefault="00060D72" w:rsidP="00FA3CE9">
            <w:pPr>
              <w:spacing w:before="0" w:after="0"/>
              <w:jc w:val="center"/>
              <w:rPr>
                <w:b/>
                <w:bCs/>
                <w:noProof/>
                <w:sz w:val="16"/>
                <w:szCs w:val="16"/>
              </w:rPr>
            </w:pPr>
            <w:r w:rsidRPr="00FA433F">
              <w:rPr>
                <w:b/>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BEE099" w14:textId="77777777" w:rsidR="00060D72" w:rsidRPr="00FA433F" w:rsidRDefault="00060D72" w:rsidP="00FA3CE9">
            <w:pPr>
              <w:spacing w:before="0" w:after="0"/>
              <w:jc w:val="center"/>
              <w:rPr>
                <w:b/>
                <w:bCs/>
                <w:noProof/>
                <w:sz w:val="16"/>
                <w:szCs w:val="16"/>
              </w:rPr>
            </w:pPr>
            <w:r w:rsidRPr="00FA433F">
              <w:rPr>
                <w:b/>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37BB4C23" w14:textId="307F9CD2" w:rsidR="00060D72" w:rsidRPr="00FA433F" w:rsidRDefault="00295B72" w:rsidP="00FA3CE9">
            <w:pPr>
              <w:spacing w:before="0" w:after="0"/>
              <w:jc w:val="center"/>
              <w:rPr>
                <w:b/>
                <w:bCs/>
                <w:noProof/>
                <w:sz w:val="16"/>
                <w:szCs w:val="16"/>
              </w:rPr>
            </w:pPr>
            <w:r w:rsidRPr="00FA433F">
              <w:rPr>
                <w:b/>
                <w:noProof/>
                <w:sz w:val="16"/>
              </w:rPr>
              <w:t>17</w:t>
            </w:r>
          </w:p>
        </w:tc>
      </w:tr>
    </w:tbl>
    <w:p w14:paraId="5C3BEB18" w14:textId="77777777" w:rsidR="008A4C15" w:rsidRPr="00FA433F" w:rsidRDefault="008A4C15">
      <w:pPr>
        <w:rPr>
          <w:noProof/>
        </w:rPr>
      </w:pPr>
      <w:r w:rsidRPr="00FA433F">
        <w:rPr>
          <w:noProof/>
        </w:rPr>
        <w:t>===================================================================</w:t>
      </w:r>
    </w:p>
    <w:p w14:paraId="01B6E412" w14:textId="06CBBB61" w:rsidR="008A4C15" w:rsidRPr="00FA433F" w:rsidRDefault="008A4C15">
      <w:pPr>
        <w:spacing w:after="40"/>
        <w:rPr>
          <w:noProof/>
        </w:rPr>
      </w:pPr>
      <w:r w:rsidRPr="00FA433F">
        <w:rPr>
          <w:noProof/>
        </w:rPr>
        <w:t>Nieobowiązkowo: jeżeli wniosek jest częściowo lub</w:t>
      </w:r>
      <w:r w:rsidR="00FA433F" w:rsidRPr="00FA433F">
        <w:rPr>
          <w:noProof/>
        </w:rPr>
        <w:t xml:space="preserve"> w</w:t>
      </w:r>
      <w:r w:rsidR="00FA433F">
        <w:rPr>
          <w:noProof/>
        </w:rPr>
        <w:t> </w:t>
      </w:r>
      <w:r w:rsidR="00FA433F" w:rsidRPr="00FA433F">
        <w:rPr>
          <w:noProof/>
        </w:rPr>
        <w:t>peł</w:t>
      </w:r>
      <w:r w:rsidRPr="00FA433F">
        <w:rPr>
          <w:noProof/>
        </w:rPr>
        <w:t>ni finansowany</w:t>
      </w:r>
      <w:r w:rsidR="00FA433F" w:rsidRPr="00FA433F">
        <w:rPr>
          <w:noProof/>
        </w:rPr>
        <w:t xml:space="preserve"> z</w:t>
      </w:r>
      <w:r w:rsidR="00FA433F">
        <w:rPr>
          <w:noProof/>
        </w:rPr>
        <w:t> </w:t>
      </w:r>
      <w:r w:rsidR="00FA433F" w:rsidRPr="00FA433F">
        <w:rPr>
          <w:noProof/>
        </w:rPr>
        <w:t>zew</w:t>
      </w:r>
      <w:r w:rsidRPr="00FA433F">
        <w:rPr>
          <w:noProof/>
        </w:rPr>
        <w:t>nętrznych dochodów przeznaczonych na określony cel, wypełnić tabele</w:t>
      </w:r>
      <w:r w:rsidR="00FA433F" w:rsidRPr="00FA433F">
        <w:rPr>
          <w:noProof/>
        </w:rPr>
        <w:t xml:space="preserve"> w</w:t>
      </w:r>
      <w:r w:rsidR="00FA433F">
        <w:rPr>
          <w:noProof/>
        </w:rPr>
        <w:t> </w:t>
      </w:r>
      <w:r w:rsidR="00FA433F" w:rsidRPr="00FA433F">
        <w:rPr>
          <w:noProof/>
        </w:rPr>
        <w:t>sek</w:t>
      </w:r>
      <w:r w:rsidRPr="00FA433F">
        <w:rPr>
          <w:noProof/>
        </w:rPr>
        <w:t>cjach 3.2.4.2.</w:t>
      </w:r>
      <w:r w:rsidR="00FA433F" w:rsidRPr="00FA433F">
        <w:rPr>
          <w:noProof/>
        </w:rPr>
        <w:t xml:space="preserve"> i</w:t>
      </w:r>
      <w:r w:rsidR="00FA433F">
        <w:rPr>
          <w:noProof/>
        </w:rPr>
        <w:t> </w:t>
      </w:r>
      <w:r w:rsidR="00FA433F" w:rsidRPr="00FA433F">
        <w:rPr>
          <w:noProof/>
        </w:rPr>
        <w:t>3</w:t>
      </w:r>
      <w:r w:rsidRPr="00FA433F">
        <w:rPr>
          <w:noProof/>
        </w:rPr>
        <w:t>.2.4.3</w:t>
      </w:r>
      <w:r w:rsidR="00FA433F" w:rsidRPr="00FA433F">
        <w:rPr>
          <w:noProof/>
        </w:rPr>
        <w:t>. W</w:t>
      </w:r>
      <w:r w:rsidR="00FA433F">
        <w:rPr>
          <w:noProof/>
        </w:rPr>
        <w:t> </w:t>
      </w:r>
      <w:r w:rsidR="00FA433F" w:rsidRPr="00FA433F">
        <w:rPr>
          <w:noProof/>
        </w:rPr>
        <w:t>prz</w:t>
      </w:r>
      <w:r w:rsidRPr="00FA433F">
        <w:rPr>
          <w:noProof/>
        </w:rPr>
        <w:t>eciwnym wypadku usunąć obie sekcje.</w:t>
      </w:r>
    </w:p>
    <w:p w14:paraId="60582CAD" w14:textId="5AF9EB96" w:rsidR="008A4C15" w:rsidRPr="00FA433F" w:rsidRDefault="008A4C15">
      <w:pPr>
        <w:pStyle w:val="ManualHeading3"/>
        <w:rPr>
          <w:noProof/>
        </w:rPr>
      </w:pPr>
      <w:bookmarkStart w:id="163" w:name="_Toc167220296"/>
      <w:bookmarkStart w:id="164" w:name="_Toc177549029"/>
      <w:r w:rsidRPr="00FA433F">
        <w:rPr>
          <w:noProof/>
        </w:rPr>
        <w:t>3.2.4.2.</w:t>
      </w:r>
      <w:r w:rsidRPr="00FA433F">
        <w:rPr>
          <w:noProof/>
        </w:rPr>
        <w:tab/>
        <w:t>Finansowane</w:t>
      </w:r>
      <w:r w:rsidR="00FA433F" w:rsidRPr="00FA433F">
        <w:rPr>
          <w:noProof/>
        </w:rPr>
        <w:t xml:space="preserve"> z</w:t>
      </w:r>
      <w:r w:rsidR="00FA433F">
        <w:rPr>
          <w:noProof/>
        </w:rPr>
        <w:t> </w:t>
      </w:r>
      <w:r w:rsidR="00FA433F" w:rsidRPr="00FA433F">
        <w:rPr>
          <w:noProof/>
        </w:rPr>
        <w:t>zew</w:t>
      </w:r>
      <w:r w:rsidRPr="00FA433F">
        <w:rPr>
          <w:noProof/>
        </w:rPr>
        <w:t>nętrznych dochodów przeznaczonych na określony cel</w:t>
      </w:r>
      <w:bookmarkEnd w:id="163"/>
      <w:bookmarkEnd w:id="164"/>
    </w:p>
    <w:tbl>
      <w:tblPr>
        <w:tblW w:w="5000" w:type="pct"/>
        <w:tblLook w:val="04A0" w:firstRow="1" w:lastRow="0" w:firstColumn="1" w:lastColumn="0" w:noHBand="0" w:noVBand="1"/>
      </w:tblPr>
      <w:tblGrid>
        <w:gridCol w:w="832"/>
        <w:gridCol w:w="465"/>
        <w:gridCol w:w="296"/>
        <w:gridCol w:w="2549"/>
        <w:gridCol w:w="697"/>
        <w:gridCol w:w="698"/>
        <w:gridCol w:w="699"/>
        <w:gridCol w:w="699"/>
        <w:gridCol w:w="699"/>
        <w:gridCol w:w="703"/>
        <w:gridCol w:w="716"/>
      </w:tblGrid>
      <w:tr w:rsidR="00BF1B1B" w:rsidRPr="00FA433F" w14:paraId="523EFD35" w14:textId="77777777" w:rsidTr="00BF1B1B">
        <w:trPr>
          <w:trHeight w:val="300"/>
        </w:trPr>
        <w:tc>
          <w:tcPr>
            <w:tcW w:w="2276"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31B6D426" w14:textId="77777777" w:rsidR="00BF1B1B" w:rsidRPr="00FA433F" w:rsidRDefault="00BF1B1B" w:rsidP="00FA3CE9">
            <w:pPr>
              <w:spacing w:before="0" w:after="0"/>
              <w:jc w:val="center"/>
              <w:rPr>
                <w:b/>
                <w:bCs/>
                <w:noProof/>
                <w:sz w:val="18"/>
                <w:szCs w:val="18"/>
              </w:rPr>
            </w:pPr>
            <w:r w:rsidRPr="00FA433F">
              <w:rPr>
                <w:b/>
                <w:noProof/>
                <w:sz w:val="18"/>
              </w:rPr>
              <w:t>ZEWNĘTRZNE DOCHODY PRZEZNACZONE NA OKREŚLONY CEL</w:t>
            </w:r>
          </w:p>
        </w:tc>
        <w:tc>
          <w:tcPr>
            <w:tcW w:w="388" w:type="pct"/>
            <w:tcBorders>
              <w:top w:val="single" w:sz="8" w:space="0" w:color="auto"/>
              <w:left w:val="nil"/>
              <w:bottom w:val="nil"/>
              <w:right w:val="single" w:sz="8" w:space="0" w:color="auto"/>
            </w:tcBorders>
            <w:vAlign w:val="center"/>
            <w:hideMark/>
          </w:tcPr>
          <w:p w14:paraId="4DF5847B" w14:textId="77777777" w:rsidR="00BF1B1B" w:rsidRPr="00FA433F" w:rsidRDefault="00BF1B1B" w:rsidP="00FA3CE9">
            <w:pPr>
              <w:spacing w:before="0" w:after="0"/>
              <w:jc w:val="center"/>
              <w:rPr>
                <w:noProof/>
                <w:sz w:val="20"/>
                <w:szCs w:val="20"/>
              </w:rPr>
            </w:pPr>
            <w:r w:rsidRPr="00FA433F">
              <w:rPr>
                <w:noProof/>
                <w:sz w:val="20"/>
              </w:rPr>
              <w:t>Rok</w:t>
            </w:r>
          </w:p>
        </w:tc>
        <w:tc>
          <w:tcPr>
            <w:tcW w:w="389" w:type="pct"/>
            <w:tcBorders>
              <w:top w:val="single" w:sz="8" w:space="0" w:color="auto"/>
              <w:left w:val="nil"/>
              <w:bottom w:val="nil"/>
              <w:right w:val="single" w:sz="8" w:space="0" w:color="auto"/>
            </w:tcBorders>
            <w:vAlign w:val="center"/>
            <w:hideMark/>
          </w:tcPr>
          <w:p w14:paraId="5EE831E2" w14:textId="77777777" w:rsidR="00BF1B1B" w:rsidRPr="00FA433F" w:rsidRDefault="00BF1B1B" w:rsidP="00FA3CE9">
            <w:pPr>
              <w:spacing w:before="0" w:after="0"/>
              <w:jc w:val="center"/>
              <w:rPr>
                <w:noProof/>
                <w:sz w:val="20"/>
                <w:szCs w:val="20"/>
              </w:rPr>
            </w:pPr>
            <w:r w:rsidRPr="00FA433F">
              <w:rPr>
                <w:noProof/>
                <w:sz w:val="20"/>
              </w:rPr>
              <w:t>Rok</w:t>
            </w:r>
          </w:p>
        </w:tc>
        <w:tc>
          <w:tcPr>
            <w:tcW w:w="389" w:type="pct"/>
            <w:tcBorders>
              <w:top w:val="single" w:sz="8" w:space="0" w:color="auto"/>
              <w:left w:val="nil"/>
              <w:bottom w:val="nil"/>
              <w:right w:val="single" w:sz="8" w:space="0" w:color="auto"/>
            </w:tcBorders>
            <w:vAlign w:val="center"/>
          </w:tcPr>
          <w:p w14:paraId="0CCE84B8" w14:textId="77777777" w:rsidR="00BF1B1B" w:rsidRPr="00FA433F" w:rsidRDefault="00BF1B1B" w:rsidP="00FA3CE9">
            <w:pPr>
              <w:spacing w:before="0" w:after="0"/>
              <w:jc w:val="center"/>
              <w:rPr>
                <w:noProof/>
                <w:sz w:val="20"/>
                <w:szCs w:val="20"/>
              </w:rPr>
            </w:pPr>
            <w:r w:rsidRPr="00FA433F">
              <w:rPr>
                <w:noProof/>
                <w:sz w:val="20"/>
              </w:rPr>
              <w:t>Rok</w:t>
            </w:r>
          </w:p>
        </w:tc>
        <w:tc>
          <w:tcPr>
            <w:tcW w:w="389" w:type="pct"/>
            <w:tcBorders>
              <w:top w:val="single" w:sz="8" w:space="0" w:color="auto"/>
              <w:left w:val="single" w:sz="8" w:space="0" w:color="auto"/>
              <w:bottom w:val="nil"/>
              <w:right w:val="single" w:sz="8" w:space="0" w:color="auto"/>
            </w:tcBorders>
            <w:vAlign w:val="center"/>
          </w:tcPr>
          <w:p w14:paraId="69C6439C" w14:textId="77777777" w:rsidR="00BF1B1B" w:rsidRPr="00FA433F" w:rsidRDefault="00BF1B1B" w:rsidP="00FA3CE9">
            <w:pPr>
              <w:spacing w:before="0" w:after="0"/>
              <w:jc w:val="center"/>
              <w:rPr>
                <w:noProof/>
                <w:sz w:val="20"/>
                <w:szCs w:val="20"/>
              </w:rPr>
            </w:pPr>
            <w:r w:rsidRPr="00FA433F">
              <w:rPr>
                <w:noProof/>
                <w:sz w:val="20"/>
              </w:rPr>
              <w:t>Rok</w:t>
            </w:r>
          </w:p>
        </w:tc>
        <w:tc>
          <w:tcPr>
            <w:tcW w:w="389" w:type="pct"/>
            <w:tcBorders>
              <w:top w:val="single" w:sz="8" w:space="0" w:color="auto"/>
              <w:left w:val="single" w:sz="8" w:space="0" w:color="auto"/>
              <w:bottom w:val="nil"/>
              <w:right w:val="single" w:sz="8" w:space="0" w:color="auto"/>
            </w:tcBorders>
            <w:vAlign w:val="center"/>
            <w:hideMark/>
          </w:tcPr>
          <w:p w14:paraId="761C9D6C" w14:textId="77777777" w:rsidR="00BF1B1B" w:rsidRPr="00FA433F" w:rsidRDefault="00BF1B1B" w:rsidP="00FA3CE9">
            <w:pPr>
              <w:spacing w:before="0" w:after="0"/>
              <w:jc w:val="center"/>
              <w:rPr>
                <w:noProof/>
                <w:sz w:val="20"/>
                <w:szCs w:val="20"/>
              </w:rPr>
            </w:pPr>
            <w:r w:rsidRPr="00FA433F">
              <w:rPr>
                <w:noProof/>
                <w:sz w:val="20"/>
              </w:rPr>
              <w:t>Rok</w:t>
            </w:r>
          </w:p>
        </w:tc>
        <w:tc>
          <w:tcPr>
            <w:tcW w:w="390" w:type="pct"/>
            <w:tcBorders>
              <w:top w:val="single" w:sz="8" w:space="0" w:color="auto"/>
              <w:left w:val="nil"/>
              <w:bottom w:val="nil"/>
              <w:right w:val="single" w:sz="8" w:space="0" w:color="auto"/>
            </w:tcBorders>
            <w:vAlign w:val="center"/>
            <w:hideMark/>
          </w:tcPr>
          <w:p w14:paraId="42D02BB3" w14:textId="77777777" w:rsidR="00BF1B1B" w:rsidRPr="00FA433F" w:rsidRDefault="00BF1B1B" w:rsidP="00FA3CE9">
            <w:pPr>
              <w:spacing w:before="0" w:after="0"/>
              <w:jc w:val="center"/>
              <w:rPr>
                <w:noProof/>
                <w:sz w:val="20"/>
                <w:szCs w:val="20"/>
              </w:rPr>
            </w:pPr>
            <w:r w:rsidRPr="00FA433F">
              <w:rPr>
                <w:noProof/>
                <w:sz w:val="20"/>
              </w:rPr>
              <w:t>Rok</w:t>
            </w:r>
          </w:p>
        </w:tc>
        <w:tc>
          <w:tcPr>
            <w:tcW w:w="389" w:type="pct"/>
            <w:vMerge w:val="restart"/>
            <w:tcBorders>
              <w:top w:val="single" w:sz="8" w:space="0" w:color="auto"/>
              <w:left w:val="nil"/>
              <w:right w:val="single" w:sz="8" w:space="0" w:color="auto"/>
            </w:tcBorders>
          </w:tcPr>
          <w:p w14:paraId="4729486B" w14:textId="77777777" w:rsidR="00BF1B1B" w:rsidRPr="00FA433F" w:rsidRDefault="00BF1B1B" w:rsidP="00FA3CE9">
            <w:pPr>
              <w:spacing w:before="0" w:after="0"/>
              <w:jc w:val="center"/>
              <w:rPr>
                <w:noProof/>
                <w:sz w:val="20"/>
                <w:szCs w:val="20"/>
              </w:rPr>
            </w:pPr>
            <w:r w:rsidRPr="00FA433F">
              <w:rPr>
                <w:noProof/>
                <w:sz w:val="20"/>
              </w:rPr>
              <w:t>Rok</w:t>
            </w:r>
          </w:p>
          <w:p w14:paraId="15CC1B46" w14:textId="77777777" w:rsidR="00BF1B1B" w:rsidRPr="00FA433F" w:rsidRDefault="00BF1B1B" w:rsidP="00BF1B1B">
            <w:pPr>
              <w:spacing w:before="0" w:after="0"/>
              <w:jc w:val="center"/>
              <w:rPr>
                <w:b/>
                <w:bCs/>
                <w:noProof/>
                <w:sz w:val="20"/>
                <w:szCs w:val="20"/>
              </w:rPr>
            </w:pPr>
            <w:r w:rsidRPr="00FA433F">
              <w:rPr>
                <w:b/>
                <w:noProof/>
                <w:sz w:val="20"/>
              </w:rPr>
              <w:t>2026–2031</w:t>
            </w:r>
          </w:p>
        </w:tc>
      </w:tr>
      <w:tr w:rsidR="00BF1B1B" w:rsidRPr="00FA433F" w14:paraId="2C0FF2FF" w14:textId="77777777" w:rsidTr="00BF1B1B">
        <w:trPr>
          <w:trHeight w:val="300"/>
        </w:trPr>
        <w:tc>
          <w:tcPr>
            <w:tcW w:w="2276" w:type="pct"/>
            <w:gridSpan w:val="4"/>
            <w:vMerge/>
            <w:tcBorders>
              <w:top w:val="single" w:sz="8" w:space="0" w:color="auto"/>
              <w:left w:val="single" w:sz="8" w:space="0" w:color="auto"/>
              <w:bottom w:val="single" w:sz="8" w:space="0" w:color="auto"/>
              <w:right w:val="single" w:sz="8" w:space="0" w:color="000000"/>
            </w:tcBorders>
            <w:vAlign w:val="center"/>
            <w:hideMark/>
          </w:tcPr>
          <w:p w14:paraId="5584BD9C" w14:textId="77777777" w:rsidR="00BF1B1B" w:rsidRPr="00FA433F" w:rsidRDefault="00BF1B1B" w:rsidP="00FA3CE9">
            <w:pPr>
              <w:spacing w:before="0" w:after="0"/>
              <w:jc w:val="left"/>
              <w:rPr>
                <w:b/>
                <w:bCs/>
                <w:noProof/>
                <w:sz w:val="18"/>
                <w:szCs w:val="18"/>
                <w:lang w:eastAsia="en-IE"/>
              </w:rPr>
            </w:pPr>
          </w:p>
        </w:tc>
        <w:tc>
          <w:tcPr>
            <w:tcW w:w="388" w:type="pct"/>
            <w:tcBorders>
              <w:top w:val="nil"/>
              <w:left w:val="nil"/>
              <w:bottom w:val="single" w:sz="8" w:space="0" w:color="auto"/>
              <w:right w:val="single" w:sz="8" w:space="0" w:color="auto"/>
            </w:tcBorders>
            <w:vAlign w:val="center"/>
            <w:hideMark/>
          </w:tcPr>
          <w:p w14:paraId="606ADDF7" w14:textId="77777777" w:rsidR="00BF1B1B" w:rsidRPr="00FA433F" w:rsidRDefault="00BF1B1B" w:rsidP="00FA3CE9">
            <w:pPr>
              <w:spacing w:before="0" w:after="0"/>
              <w:jc w:val="center"/>
              <w:rPr>
                <w:b/>
                <w:bCs/>
                <w:noProof/>
                <w:sz w:val="20"/>
                <w:szCs w:val="20"/>
              </w:rPr>
            </w:pPr>
            <w:r w:rsidRPr="00FA433F">
              <w:rPr>
                <w:b/>
                <w:noProof/>
                <w:sz w:val="20"/>
              </w:rPr>
              <w:t>2026</w:t>
            </w:r>
          </w:p>
        </w:tc>
        <w:tc>
          <w:tcPr>
            <w:tcW w:w="389" w:type="pct"/>
            <w:tcBorders>
              <w:top w:val="nil"/>
              <w:left w:val="nil"/>
              <w:bottom w:val="single" w:sz="8" w:space="0" w:color="auto"/>
              <w:right w:val="single" w:sz="8" w:space="0" w:color="auto"/>
            </w:tcBorders>
            <w:vAlign w:val="center"/>
            <w:hideMark/>
          </w:tcPr>
          <w:p w14:paraId="7ED233D4" w14:textId="77777777" w:rsidR="00BF1B1B" w:rsidRPr="00FA433F" w:rsidRDefault="00BF1B1B" w:rsidP="00FA3CE9">
            <w:pPr>
              <w:spacing w:before="0" w:after="0"/>
              <w:jc w:val="center"/>
              <w:rPr>
                <w:b/>
                <w:bCs/>
                <w:noProof/>
                <w:sz w:val="20"/>
                <w:szCs w:val="20"/>
              </w:rPr>
            </w:pPr>
            <w:r w:rsidRPr="00FA433F">
              <w:rPr>
                <w:b/>
                <w:noProof/>
                <w:sz w:val="20"/>
              </w:rPr>
              <w:t>2027</w:t>
            </w:r>
          </w:p>
        </w:tc>
        <w:tc>
          <w:tcPr>
            <w:tcW w:w="389" w:type="pct"/>
            <w:tcBorders>
              <w:top w:val="nil"/>
              <w:left w:val="nil"/>
              <w:bottom w:val="single" w:sz="8" w:space="0" w:color="auto"/>
              <w:right w:val="single" w:sz="8" w:space="0" w:color="auto"/>
            </w:tcBorders>
            <w:vAlign w:val="center"/>
          </w:tcPr>
          <w:p w14:paraId="611B49D2" w14:textId="77777777" w:rsidR="00BF1B1B" w:rsidRPr="00FA433F" w:rsidRDefault="00BF1B1B" w:rsidP="00FA3CE9">
            <w:pPr>
              <w:spacing w:before="0" w:after="0"/>
              <w:jc w:val="center"/>
              <w:rPr>
                <w:b/>
                <w:bCs/>
                <w:noProof/>
                <w:sz w:val="20"/>
                <w:szCs w:val="20"/>
              </w:rPr>
            </w:pPr>
            <w:r w:rsidRPr="00FA433F">
              <w:rPr>
                <w:b/>
                <w:noProof/>
                <w:sz w:val="20"/>
              </w:rPr>
              <w:t>2028</w:t>
            </w:r>
          </w:p>
        </w:tc>
        <w:tc>
          <w:tcPr>
            <w:tcW w:w="389" w:type="pct"/>
            <w:tcBorders>
              <w:top w:val="nil"/>
              <w:left w:val="single" w:sz="8" w:space="0" w:color="auto"/>
              <w:bottom w:val="single" w:sz="8" w:space="0" w:color="auto"/>
              <w:right w:val="single" w:sz="8" w:space="0" w:color="auto"/>
            </w:tcBorders>
            <w:vAlign w:val="center"/>
          </w:tcPr>
          <w:p w14:paraId="6EEBD63A" w14:textId="77777777" w:rsidR="00BF1B1B" w:rsidRPr="00FA433F" w:rsidRDefault="00BF1B1B" w:rsidP="00FA3CE9">
            <w:pPr>
              <w:spacing w:before="0" w:after="0"/>
              <w:jc w:val="center"/>
              <w:rPr>
                <w:b/>
                <w:bCs/>
                <w:noProof/>
                <w:sz w:val="20"/>
                <w:szCs w:val="20"/>
              </w:rPr>
            </w:pPr>
            <w:r w:rsidRPr="00FA433F">
              <w:rPr>
                <w:b/>
                <w:noProof/>
                <w:sz w:val="20"/>
              </w:rPr>
              <w:t>2029</w:t>
            </w:r>
          </w:p>
        </w:tc>
        <w:tc>
          <w:tcPr>
            <w:tcW w:w="389" w:type="pct"/>
            <w:tcBorders>
              <w:top w:val="nil"/>
              <w:left w:val="single" w:sz="8" w:space="0" w:color="auto"/>
              <w:bottom w:val="single" w:sz="8" w:space="0" w:color="auto"/>
              <w:right w:val="single" w:sz="8" w:space="0" w:color="auto"/>
            </w:tcBorders>
            <w:vAlign w:val="center"/>
            <w:hideMark/>
          </w:tcPr>
          <w:p w14:paraId="68866036" w14:textId="77777777" w:rsidR="00BF1B1B" w:rsidRPr="00FA433F" w:rsidRDefault="00BF1B1B" w:rsidP="00FA3CE9">
            <w:pPr>
              <w:spacing w:before="0" w:after="0"/>
              <w:jc w:val="center"/>
              <w:rPr>
                <w:b/>
                <w:bCs/>
                <w:noProof/>
                <w:sz w:val="20"/>
                <w:szCs w:val="20"/>
              </w:rPr>
            </w:pPr>
            <w:r w:rsidRPr="00FA433F">
              <w:rPr>
                <w:b/>
                <w:noProof/>
                <w:sz w:val="20"/>
              </w:rPr>
              <w:t>2030</w:t>
            </w:r>
          </w:p>
        </w:tc>
        <w:tc>
          <w:tcPr>
            <w:tcW w:w="390" w:type="pct"/>
            <w:tcBorders>
              <w:top w:val="nil"/>
              <w:left w:val="nil"/>
              <w:bottom w:val="single" w:sz="8" w:space="0" w:color="auto"/>
              <w:right w:val="single" w:sz="8" w:space="0" w:color="auto"/>
            </w:tcBorders>
            <w:vAlign w:val="center"/>
            <w:hideMark/>
          </w:tcPr>
          <w:p w14:paraId="0625DC40" w14:textId="77777777" w:rsidR="00BF1B1B" w:rsidRPr="00FA433F" w:rsidRDefault="00BF1B1B" w:rsidP="00FA3CE9">
            <w:pPr>
              <w:spacing w:before="0" w:after="0"/>
              <w:jc w:val="center"/>
              <w:rPr>
                <w:b/>
                <w:bCs/>
                <w:noProof/>
                <w:sz w:val="20"/>
                <w:szCs w:val="20"/>
              </w:rPr>
            </w:pPr>
            <w:r w:rsidRPr="00FA433F">
              <w:rPr>
                <w:b/>
                <w:noProof/>
                <w:sz w:val="20"/>
              </w:rPr>
              <w:t>2031</w:t>
            </w:r>
          </w:p>
        </w:tc>
        <w:tc>
          <w:tcPr>
            <w:tcW w:w="389" w:type="pct"/>
            <w:vMerge/>
            <w:tcBorders>
              <w:left w:val="nil"/>
              <w:bottom w:val="single" w:sz="8" w:space="0" w:color="auto"/>
              <w:right w:val="single" w:sz="8" w:space="0" w:color="auto"/>
            </w:tcBorders>
          </w:tcPr>
          <w:p w14:paraId="757F348D" w14:textId="77777777" w:rsidR="00BF1B1B" w:rsidRPr="00FA433F" w:rsidRDefault="00BF1B1B" w:rsidP="00FA3CE9">
            <w:pPr>
              <w:spacing w:before="0" w:after="0"/>
              <w:jc w:val="center"/>
              <w:rPr>
                <w:b/>
                <w:bCs/>
                <w:noProof/>
                <w:sz w:val="20"/>
                <w:szCs w:val="20"/>
                <w:lang w:eastAsia="en-IE"/>
              </w:rPr>
            </w:pPr>
          </w:p>
        </w:tc>
      </w:tr>
      <w:tr w:rsidR="00BF1B1B" w:rsidRPr="00FA433F" w14:paraId="3DA2732C" w14:textId="77777777" w:rsidTr="00BF1B1B">
        <w:trPr>
          <w:trHeight w:val="300"/>
        </w:trPr>
        <w:tc>
          <w:tcPr>
            <w:tcW w:w="448" w:type="pct"/>
            <w:tcBorders>
              <w:top w:val="single" w:sz="8" w:space="0" w:color="auto"/>
              <w:left w:val="single" w:sz="8" w:space="0" w:color="auto"/>
              <w:bottom w:val="single" w:sz="8" w:space="0" w:color="auto"/>
              <w:right w:val="single" w:sz="4" w:space="0" w:color="auto"/>
            </w:tcBorders>
          </w:tcPr>
          <w:p w14:paraId="7AE9D828" w14:textId="77777777" w:rsidR="00BF1B1B" w:rsidRPr="00FA433F" w:rsidRDefault="00BF1B1B">
            <w:pPr>
              <w:spacing w:before="0" w:after="0"/>
              <w:jc w:val="left"/>
              <w:rPr>
                <w:rFonts w:ascii="Wingdings" w:hAnsi="Wingdings" w:cs="Calibri"/>
                <w:b/>
                <w:bCs/>
                <w:noProof/>
                <w:sz w:val="16"/>
                <w:szCs w:val="16"/>
                <w:lang w:eastAsia="en-IE"/>
              </w:rPr>
            </w:pPr>
          </w:p>
        </w:tc>
        <w:tc>
          <w:tcPr>
            <w:tcW w:w="417" w:type="pct"/>
            <w:gridSpan w:val="2"/>
            <w:tcBorders>
              <w:top w:val="single" w:sz="8" w:space="0" w:color="auto"/>
              <w:left w:val="single" w:sz="8" w:space="0" w:color="auto"/>
              <w:bottom w:val="single" w:sz="8" w:space="0" w:color="auto"/>
              <w:right w:val="single" w:sz="8" w:space="0" w:color="auto"/>
            </w:tcBorders>
          </w:tcPr>
          <w:p w14:paraId="78166738" w14:textId="77777777" w:rsidR="00BF1B1B" w:rsidRPr="00FA433F" w:rsidRDefault="00BF1B1B">
            <w:pPr>
              <w:spacing w:before="0" w:after="0"/>
              <w:jc w:val="left"/>
              <w:rPr>
                <w:rFonts w:ascii="Wingdings" w:hAnsi="Wingdings" w:cs="Calibri"/>
                <w:b/>
                <w:bCs/>
                <w:noProof/>
                <w:sz w:val="16"/>
                <w:szCs w:val="16"/>
                <w:lang w:eastAsia="en-IE"/>
              </w:rPr>
            </w:pPr>
          </w:p>
        </w:tc>
        <w:tc>
          <w:tcPr>
            <w:tcW w:w="3746" w:type="pct"/>
            <w:gridSpan w:val="7"/>
            <w:tcBorders>
              <w:top w:val="single" w:sz="8" w:space="0" w:color="auto"/>
              <w:left w:val="single" w:sz="8" w:space="0" w:color="auto"/>
              <w:bottom w:val="single" w:sz="8" w:space="0" w:color="auto"/>
              <w:right w:val="single" w:sz="4" w:space="0" w:color="auto"/>
            </w:tcBorders>
            <w:vAlign w:val="center"/>
            <w:hideMark/>
          </w:tcPr>
          <w:p w14:paraId="0E82D6BE" w14:textId="43A78A6F" w:rsidR="00BF1B1B" w:rsidRPr="00FA433F" w:rsidRDefault="00BF1B1B">
            <w:pPr>
              <w:spacing w:before="0" w:after="0"/>
              <w:jc w:val="left"/>
              <w:rPr>
                <w:rFonts w:ascii="Wingdings" w:hAnsi="Wingdings" w:cs="Calibri"/>
                <w:b/>
                <w:bCs/>
                <w:noProof/>
                <w:sz w:val="16"/>
                <w:szCs w:val="16"/>
              </w:rPr>
            </w:pPr>
            <w:r w:rsidRPr="00FA433F">
              <w:rPr>
                <w:rFonts w:ascii="Wingdings" w:hAnsi="Wingdings"/>
                <w:b/>
                <w:noProof/>
                <w:sz w:val="16"/>
              </w:rPr>
              <w:t></w:t>
            </w:r>
            <w:r w:rsidRPr="00FA433F">
              <w:rPr>
                <w:b/>
                <w:noProof/>
                <w:sz w:val="16"/>
              </w:rPr>
              <w:t xml:space="preserve"> Stanowiska przewidziane</w:t>
            </w:r>
            <w:r w:rsidR="00FA433F" w:rsidRPr="00FA433F">
              <w:rPr>
                <w:b/>
                <w:noProof/>
                <w:sz w:val="16"/>
              </w:rPr>
              <w:t xml:space="preserve"> w</w:t>
            </w:r>
            <w:r w:rsidR="00FA433F">
              <w:rPr>
                <w:b/>
                <w:noProof/>
                <w:sz w:val="16"/>
              </w:rPr>
              <w:t> </w:t>
            </w:r>
            <w:r w:rsidR="00FA433F" w:rsidRPr="00FA433F">
              <w:rPr>
                <w:b/>
                <w:noProof/>
                <w:sz w:val="16"/>
              </w:rPr>
              <w:t>pla</w:t>
            </w:r>
            <w:r w:rsidRPr="00FA433F">
              <w:rPr>
                <w:b/>
                <w:noProof/>
                <w:sz w:val="16"/>
              </w:rPr>
              <w:t>nie zatrudnienia (stanowiska urzędników</w:t>
            </w:r>
            <w:r w:rsidR="00FA433F" w:rsidRPr="00FA433F">
              <w:rPr>
                <w:b/>
                <w:noProof/>
                <w:sz w:val="16"/>
              </w:rPr>
              <w:t xml:space="preserve"> i</w:t>
            </w:r>
            <w:r w:rsidR="00FA433F">
              <w:rPr>
                <w:b/>
                <w:noProof/>
                <w:sz w:val="16"/>
              </w:rPr>
              <w:t> </w:t>
            </w:r>
            <w:r w:rsidR="00FA433F" w:rsidRPr="00FA433F">
              <w:rPr>
                <w:b/>
                <w:noProof/>
                <w:sz w:val="16"/>
              </w:rPr>
              <w:t>pra</w:t>
            </w:r>
            <w:r w:rsidRPr="00FA433F">
              <w:rPr>
                <w:b/>
                <w:noProof/>
                <w:sz w:val="16"/>
              </w:rPr>
              <w:t>cowników zatrudnionych na czas określony)</w:t>
            </w:r>
          </w:p>
        </w:tc>
        <w:tc>
          <w:tcPr>
            <w:tcW w:w="389" w:type="pct"/>
            <w:tcBorders>
              <w:top w:val="single" w:sz="8" w:space="0" w:color="auto"/>
              <w:left w:val="single" w:sz="8" w:space="0" w:color="auto"/>
              <w:bottom w:val="single" w:sz="8" w:space="0" w:color="auto"/>
              <w:right w:val="single" w:sz="4" w:space="0" w:color="auto"/>
            </w:tcBorders>
          </w:tcPr>
          <w:p w14:paraId="4C74F331" w14:textId="77777777" w:rsidR="00BF1B1B" w:rsidRPr="00FA433F" w:rsidRDefault="00BF1B1B">
            <w:pPr>
              <w:spacing w:before="0" w:after="0"/>
              <w:jc w:val="left"/>
              <w:rPr>
                <w:rFonts w:ascii="Wingdings" w:hAnsi="Wingdings" w:cs="Calibri"/>
                <w:b/>
                <w:bCs/>
                <w:noProof/>
                <w:sz w:val="16"/>
                <w:szCs w:val="16"/>
                <w:lang w:eastAsia="en-IE"/>
              </w:rPr>
            </w:pPr>
          </w:p>
        </w:tc>
      </w:tr>
      <w:tr w:rsidR="00BF1B1B" w:rsidRPr="00FA433F" w14:paraId="7AD990F4" w14:textId="77777777" w:rsidTr="00081F3E">
        <w:trPr>
          <w:trHeight w:val="300"/>
        </w:trPr>
        <w:tc>
          <w:tcPr>
            <w:tcW w:w="2276" w:type="pct"/>
            <w:gridSpan w:val="4"/>
            <w:tcBorders>
              <w:top w:val="single" w:sz="8" w:space="0" w:color="auto"/>
              <w:left w:val="single" w:sz="8" w:space="0" w:color="auto"/>
              <w:bottom w:val="single" w:sz="8" w:space="0" w:color="auto"/>
              <w:right w:val="single" w:sz="8" w:space="0" w:color="auto"/>
            </w:tcBorders>
            <w:vAlign w:val="center"/>
            <w:hideMark/>
          </w:tcPr>
          <w:p w14:paraId="1C2926B1" w14:textId="206B2CD1" w:rsidR="00BF1B1B" w:rsidRPr="00FA433F" w:rsidRDefault="00BF1B1B" w:rsidP="00B90996">
            <w:pPr>
              <w:spacing w:before="0" w:after="0"/>
              <w:ind w:firstLineChars="100" w:firstLine="240"/>
              <w:jc w:val="left"/>
              <w:rPr>
                <w:noProof/>
                <w:sz w:val="16"/>
                <w:szCs w:val="16"/>
              </w:rPr>
            </w:pPr>
            <w:r w:rsidRPr="00FA433F">
              <w:rPr>
                <w:noProof/>
              </w:rPr>
              <w:t>20 01 02 01 (w centrali</w:t>
            </w:r>
            <w:r w:rsidR="00FA433F" w:rsidRPr="00FA433F">
              <w:rPr>
                <w:noProof/>
              </w:rPr>
              <w:t xml:space="preserve"> i</w:t>
            </w:r>
            <w:r w:rsidR="00FA433F">
              <w:rPr>
                <w:noProof/>
              </w:rPr>
              <w:t> </w:t>
            </w:r>
            <w:r w:rsidR="00FA433F" w:rsidRPr="00FA433F">
              <w:rPr>
                <w:noProof/>
              </w:rPr>
              <w:t>w</w:t>
            </w:r>
            <w:r w:rsidR="00FA433F">
              <w:rPr>
                <w:noProof/>
              </w:rPr>
              <w:t> </w:t>
            </w:r>
            <w:r w:rsidR="00FA433F" w:rsidRPr="00FA433F">
              <w:rPr>
                <w:noProof/>
              </w:rPr>
              <w:t>biu</w:t>
            </w:r>
            <w:r w:rsidRPr="00FA433F">
              <w:rPr>
                <w:noProof/>
              </w:rPr>
              <w:t>rach przedstawicielstw Komisji)</w:t>
            </w:r>
          </w:p>
        </w:tc>
        <w:tc>
          <w:tcPr>
            <w:tcW w:w="388" w:type="pct"/>
            <w:tcBorders>
              <w:top w:val="nil"/>
              <w:left w:val="nil"/>
              <w:bottom w:val="single" w:sz="8" w:space="0" w:color="auto"/>
              <w:right w:val="single" w:sz="8" w:space="0" w:color="auto"/>
            </w:tcBorders>
            <w:shd w:val="clear" w:color="000000" w:fill="D9D9D9"/>
            <w:vAlign w:val="center"/>
            <w:hideMark/>
          </w:tcPr>
          <w:p w14:paraId="71BE279E"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2702D801"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single" w:sz="8" w:space="0" w:color="auto"/>
              <w:left w:val="nil"/>
              <w:bottom w:val="single" w:sz="8" w:space="0" w:color="auto"/>
              <w:right w:val="single" w:sz="8" w:space="0" w:color="auto"/>
            </w:tcBorders>
            <w:shd w:val="clear" w:color="000000" w:fill="D9D9D9"/>
            <w:vAlign w:val="center"/>
          </w:tcPr>
          <w:p w14:paraId="33255EBA"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3BAFE089"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6545AEE0" w14:textId="77777777" w:rsidR="00BF1B1B" w:rsidRPr="00FA433F" w:rsidRDefault="00BF1B1B" w:rsidP="00B90996">
            <w:pPr>
              <w:spacing w:before="0" w:after="0"/>
              <w:jc w:val="center"/>
              <w:rPr>
                <w:noProof/>
                <w:sz w:val="16"/>
                <w:szCs w:val="16"/>
              </w:rPr>
            </w:pPr>
            <w:r w:rsidRPr="00FA433F">
              <w:rPr>
                <w:noProof/>
                <w:sz w:val="16"/>
              </w:rPr>
              <w:t>0</w:t>
            </w:r>
          </w:p>
        </w:tc>
        <w:tc>
          <w:tcPr>
            <w:tcW w:w="390" w:type="pct"/>
            <w:tcBorders>
              <w:top w:val="nil"/>
              <w:left w:val="nil"/>
              <w:bottom w:val="single" w:sz="8" w:space="0" w:color="auto"/>
              <w:right w:val="single" w:sz="8" w:space="0" w:color="auto"/>
            </w:tcBorders>
            <w:shd w:val="clear" w:color="000000" w:fill="D9D9D9"/>
            <w:vAlign w:val="center"/>
            <w:hideMark/>
          </w:tcPr>
          <w:p w14:paraId="3D52AFAD"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282A53B2" w14:textId="77777777" w:rsidR="00BF1B1B" w:rsidRPr="00FA433F" w:rsidRDefault="004A2921" w:rsidP="00B90996">
            <w:pPr>
              <w:spacing w:before="0" w:after="0"/>
              <w:jc w:val="center"/>
              <w:rPr>
                <w:noProof/>
                <w:sz w:val="16"/>
                <w:szCs w:val="16"/>
              </w:rPr>
            </w:pPr>
            <w:r w:rsidRPr="00FA433F">
              <w:rPr>
                <w:noProof/>
                <w:sz w:val="16"/>
              </w:rPr>
              <w:t>0</w:t>
            </w:r>
          </w:p>
        </w:tc>
      </w:tr>
      <w:tr w:rsidR="00BF1B1B" w:rsidRPr="00FA433F" w14:paraId="2B48D7D4" w14:textId="77777777" w:rsidTr="00081F3E">
        <w:trPr>
          <w:trHeight w:val="300"/>
        </w:trPr>
        <w:tc>
          <w:tcPr>
            <w:tcW w:w="2276" w:type="pct"/>
            <w:gridSpan w:val="4"/>
            <w:tcBorders>
              <w:top w:val="single" w:sz="8" w:space="0" w:color="auto"/>
              <w:left w:val="single" w:sz="8" w:space="0" w:color="auto"/>
              <w:bottom w:val="single" w:sz="8" w:space="0" w:color="auto"/>
              <w:right w:val="single" w:sz="8" w:space="0" w:color="auto"/>
            </w:tcBorders>
            <w:vAlign w:val="center"/>
            <w:hideMark/>
          </w:tcPr>
          <w:p w14:paraId="079AD0D0" w14:textId="77777777" w:rsidR="00BF1B1B" w:rsidRPr="00FA433F" w:rsidRDefault="00BF1B1B" w:rsidP="00B90996">
            <w:pPr>
              <w:spacing w:before="0" w:after="0"/>
              <w:ind w:firstLineChars="100" w:firstLine="160"/>
              <w:jc w:val="left"/>
              <w:rPr>
                <w:noProof/>
                <w:sz w:val="16"/>
                <w:szCs w:val="16"/>
              </w:rPr>
            </w:pPr>
            <w:r w:rsidRPr="00FA433F">
              <w:rPr>
                <w:noProof/>
                <w:sz w:val="16"/>
              </w:rPr>
              <w:t>20 01 02 03 (w delegaturach UE)</w:t>
            </w:r>
          </w:p>
        </w:tc>
        <w:tc>
          <w:tcPr>
            <w:tcW w:w="388" w:type="pct"/>
            <w:tcBorders>
              <w:top w:val="nil"/>
              <w:left w:val="nil"/>
              <w:bottom w:val="single" w:sz="8" w:space="0" w:color="auto"/>
              <w:right w:val="single" w:sz="8" w:space="0" w:color="auto"/>
            </w:tcBorders>
            <w:shd w:val="clear" w:color="000000" w:fill="D9D9D9"/>
            <w:vAlign w:val="center"/>
            <w:hideMark/>
          </w:tcPr>
          <w:p w14:paraId="59496BE4"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70BCE9BC"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single" w:sz="8" w:space="0" w:color="auto"/>
              <w:left w:val="nil"/>
              <w:bottom w:val="single" w:sz="8" w:space="0" w:color="auto"/>
              <w:right w:val="single" w:sz="8" w:space="0" w:color="auto"/>
            </w:tcBorders>
            <w:shd w:val="clear" w:color="000000" w:fill="D9D9D9"/>
            <w:vAlign w:val="center"/>
          </w:tcPr>
          <w:p w14:paraId="1A5FBE52"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66150E5A"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50D4863C" w14:textId="77777777" w:rsidR="00BF1B1B" w:rsidRPr="00FA433F" w:rsidRDefault="00BF1B1B" w:rsidP="00B90996">
            <w:pPr>
              <w:spacing w:before="0" w:after="0"/>
              <w:jc w:val="center"/>
              <w:rPr>
                <w:noProof/>
                <w:sz w:val="16"/>
                <w:szCs w:val="16"/>
              </w:rPr>
            </w:pPr>
            <w:r w:rsidRPr="00FA433F">
              <w:rPr>
                <w:noProof/>
                <w:sz w:val="16"/>
              </w:rPr>
              <w:t>0</w:t>
            </w:r>
          </w:p>
        </w:tc>
        <w:tc>
          <w:tcPr>
            <w:tcW w:w="390" w:type="pct"/>
            <w:tcBorders>
              <w:top w:val="nil"/>
              <w:left w:val="nil"/>
              <w:bottom w:val="single" w:sz="8" w:space="0" w:color="auto"/>
              <w:right w:val="single" w:sz="8" w:space="0" w:color="auto"/>
            </w:tcBorders>
            <w:shd w:val="clear" w:color="000000" w:fill="D9D9D9"/>
            <w:vAlign w:val="center"/>
            <w:hideMark/>
          </w:tcPr>
          <w:p w14:paraId="042E8916"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084DC9F1" w14:textId="77777777" w:rsidR="00BF1B1B" w:rsidRPr="00FA433F" w:rsidRDefault="004A2921" w:rsidP="00B90996">
            <w:pPr>
              <w:spacing w:before="0" w:after="0"/>
              <w:jc w:val="center"/>
              <w:rPr>
                <w:noProof/>
                <w:sz w:val="16"/>
                <w:szCs w:val="16"/>
              </w:rPr>
            </w:pPr>
            <w:r w:rsidRPr="00FA433F">
              <w:rPr>
                <w:noProof/>
                <w:sz w:val="16"/>
              </w:rPr>
              <w:t>0</w:t>
            </w:r>
          </w:p>
        </w:tc>
      </w:tr>
      <w:tr w:rsidR="00BF1B1B" w:rsidRPr="00FA433F" w14:paraId="21319366" w14:textId="77777777" w:rsidTr="00081F3E">
        <w:trPr>
          <w:trHeight w:val="300"/>
        </w:trPr>
        <w:tc>
          <w:tcPr>
            <w:tcW w:w="2276" w:type="pct"/>
            <w:gridSpan w:val="4"/>
            <w:tcBorders>
              <w:top w:val="single" w:sz="8" w:space="0" w:color="auto"/>
              <w:left w:val="single" w:sz="8" w:space="0" w:color="auto"/>
              <w:bottom w:val="single" w:sz="8" w:space="0" w:color="auto"/>
              <w:right w:val="single" w:sz="8" w:space="0" w:color="auto"/>
            </w:tcBorders>
            <w:vAlign w:val="center"/>
            <w:hideMark/>
          </w:tcPr>
          <w:p w14:paraId="248C991D" w14:textId="77777777" w:rsidR="00BF1B1B" w:rsidRPr="00FA433F" w:rsidRDefault="00BF1B1B" w:rsidP="00B90996">
            <w:pPr>
              <w:spacing w:before="0" w:after="0"/>
              <w:ind w:firstLineChars="100" w:firstLine="160"/>
              <w:jc w:val="left"/>
              <w:rPr>
                <w:noProof/>
                <w:sz w:val="16"/>
                <w:szCs w:val="16"/>
              </w:rPr>
            </w:pPr>
            <w:r w:rsidRPr="00FA433F">
              <w:rPr>
                <w:noProof/>
                <w:sz w:val="16"/>
              </w:rPr>
              <w:t>01 01 01 01 (pośrednie badania naukowe)</w:t>
            </w:r>
          </w:p>
        </w:tc>
        <w:tc>
          <w:tcPr>
            <w:tcW w:w="388" w:type="pct"/>
            <w:tcBorders>
              <w:top w:val="nil"/>
              <w:left w:val="nil"/>
              <w:bottom w:val="single" w:sz="8" w:space="0" w:color="auto"/>
              <w:right w:val="single" w:sz="8" w:space="0" w:color="auto"/>
            </w:tcBorders>
            <w:shd w:val="clear" w:color="000000" w:fill="D9D9D9"/>
            <w:vAlign w:val="center"/>
            <w:hideMark/>
          </w:tcPr>
          <w:p w14:paraId="40DAB0BF"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20BB669B"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single" w:sz="8" w:space="0" w:color="auto"/>
              <w:left w:val="nil"/>
              <w:bottom w:val="single" w:sz="8" w:space="0" w:color="auto"/>
              <w:right w:val="single" w:sz="8" w:space="0" w:color="auto"/>
            </w:tcBorders>
            <w:shd w:val="clear" w:color="000000" w:fill="D9D9D9"/>
            <w:vAlign w:val="center"/>
          </w:tcPr>
          <w:p w14:paraId="505C0C45"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764F833D"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636AA2A2" w14:textId="77777777" w:rsidR="00BF1B1B" w:rsidRPr="00FA433F" w:rsidRDefault="00BF1B1B" w:rsidP="00B90996">
            <w:pPr>
              <w:spacing w:before="0" w:after="0"/>
              <w:jc w:val="center"/>
              <w:rPr>
                <w:noProof/>
                <w:sz w:val="16"/>
                <w:szCs w:val="16"/>
              </w:rPr>
            </w:pPr>
            <w:r w:rsidRPr="00FA433F">
              <w:rPr>
                <w:noProof/>
                <w:sz w:val="16"/>
              </w:rPr>
              <w:t>0</w:t>
            </w:r>
          </w:p>
        </w:tc>
        <w:tc>
          <w:tcPr>
            <w:tcW w:w="390" w:type="pct"/>
            <w:tcBorders>
              <w:top w:val="nil"/>
              <w:left w:val="nil"/>
              <w:bottom w:val="single" w:sz="8" w:space="0" w:color="auto"/>
              <w:right w:val="single" w:sz="8" w:space="0" w:color="auto"/>
            </w:tcBorders>
            <w:shd w:val="clear" w:color="000000" w:fill="D9D9D9"/>
            <w:vAlign w:val="center"/>
            <w:hideMark/>
          </w:tcPr>
          <w:p w14:paraId="0CEE1B37"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2596B1D9" w14:textId="77777777" w:rsidR="00BF1B1B" w:rsidRPr="00FA433F" w:rsidRDefault="004A2921" w:rsidP="00B90996">
            <w:pPr>
              <w:spacing w:before="0" w:after="0"/>
              <w:jc w:val="center"/>
              <w:rPr>
                <w:noProof/>
                <w:sz w:val="16"/>
                <w:szCs w:val="16"/>
              </w:rPr>
            </w:pPr>
            <w:r w:rsidRPr="00FA433F">
              <w:rPr>
                <w:noProof/>
                <w:sz w:val="16"/>
              </w:rPr>
              <w:t>0</w:t>
            </w:r>
          </w:p>
        </w:tc>
      </w:tr>
      <w:tr w:rsidR="00BF1B1B" w:rsidRPr="00FA433F" w14:paraId="6C827DA0" w14:textId="77777777" w:rsidTr="00081F3E">
        <w:trPr>
          <w:trHeight w:val="300"/>
        </w:trPr>
        <w:tc>
          <w:tcPr>
            <w:tcW w:w="2276" w:type="pct"/>
            <w:gridSpan w:val="4"/>
            <w:tcBorders>
              <w:top w:val="single" w:sz="8" w:space="0" w:color="auto"/>
              <w:left w:val="single" w:sz="8" w:space="0" w:color="auto"/>
              <w:bottom w:val="single" w:sz="8" w:space="0" w:color="auto"/>
              <w:right w:val="single" w:sz="8" w:space="0" w:color="auto"/>
            </w:tcBorders>
            <w:vAlign w:val="center"/>
            <w:hideMark/>
          </w:tcPr>
          <w:p w14:paraId="05F06110" w14:textId="77777777" w:rsidR="00BF1B1B" w:rsidRPr="00FA433F" w:rsidRDefault="00BF1B1B" w:rsidP="00B90996">
            <w:pPr>
              <w:spacing w:before="0" w:after="0"/>
              <w:ind w:firstLineChars="100" w:firstLine="160"/>
              <w:jc w:val="left"/>
              <w:rPr>
                <w:noProof/>
                <w:sz w:val="16"/>
                <w:szCs w:val="16"/>
              </w:rPr>
            </w:pPr>
            <w:r w:rsidRPr="00FA433F">
              <w:rPr>
                <w:noProof/>
                <w:sz w:val="16"/>
              </w:rPr>
              <w:t>01 01 01 11 (bezpośrednie badania naukowe)</w:t>
            </w:r>
          </w:p>
        </w:tc>
        <w:tc>
          <w:tcPr>
            <w:tcW w:w="388" w:type="pct"/>
            <w:tcBorders>
              <w:top w:val="nil"/>
              <w:left w:val="nil"/>
              <w:bottom w:val="single" w:sz="8" w:space="0" w:color="auto"/>
              <w:right w:val="single" w:sz="8" w:space="0" w:color="auto"/>
            </w:tcBorders>
            <w:shd w:val="clear" w:color="000000" w:fill="D9D9D9"/>
            <w:vAlign w:val="center"/>
            <w:hideMark/>
          </w:tcPr>
          <w:p w14:paraId="71C84E58"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2C727444"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single" w:sz="8" w:space="0" w:color="auto"/>
              <w:left w:val="nil"/>
              <w:bottom w:val="single" w:sz="8" w:space="0" w:color="auto"/>
              <w:right w:val="single" w:sz="8" w:space="0" w:color="auto"/>
            </w:tcBorders>
            <w:shd w:val="clear" w:color="000000" w:fill="D9D9D9"/>
            <w:vAlign w:val="center"/>
          </w:tcPr>
          <w:p w14:paraId="3DE31691"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4BE5858D"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3F415A00" w14:textId="77777777" w:rsidR="00BF1B1B" w:rsidRPr="00FA433F" w:rsidRDefault="00BF1B1B" w:rsidP="00B90996">
            <w:pPr>
              <w:spacing w:before="0" w:after="0"/>
              <w:jc w:val="center"/>
              <w:rPr>
                <w:noProof/>
                <w:sz w:val="16"/>
                <w:szCs w:val="16"/>
              </w:rPr>
            </w:pPr>
            <w:r w:rsidRPr="00FA433F">
              <w:rPr>
                <w:noProof/>
                <w:sz w:val="16"/>
              </w:rPr>
              <w:t>0</w:t>
            </w:r>
          </w:p>
        </w:tc>
        <w:tc>
          <w:tcPr>
            <w:tcW w:w="390" w:type="pct"/>
            <w:tcBorders>
              <w:top w:val="nil"/>
              <w:left w:val="nil"/>
              <w:bottom w:val="single" w:sz="8" w:space="0" w:color="auto"/>
              <w:right w:val="single" w:sz="8" w:space="0" w:color="auto"/>
            </w:tcBorders>
            <w:shd w:val="clear" w:color="000000" w:fill="D9D9D9"/>
            <w:vAlign w:val="center"/>
            <w:hideMark/>
          </w:tcPr>
          <w:p w14:paraId="49267B6E"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645A0519" w14:textId="77777777" w:rsidR="00BF1B1B" w:rsidRPr="00FA433F" w:rsidRDefault="004A2921" w:rsidP="00B90996">
            <w:pPr>
              <w:spacing w:before="0" w:after="0"/>
              <w:jc w:val="center"/>
              <w:rPr>
                <w:noProof/>
                <w:sz w:val="16"/>
                <w:szCs w:val="16"/>
              </w:rPr>
            </w:pPr>
            <w:r w:rsidRPr="00FA433F">
              <w:rPr>
                <w:noProof/>
                <w:sz w:val="16"/>
              </w:rPr>
              <w:t>0</w:t>
            </w:r>
          </w:p>
        </w:tc>
      </w:tr>
      <w:tr w:rsidR="00BF1B1B" w:rsidRPr="00FA433F" w14:paraId="44B2EADE" w14:textId="77777777" w:rsidTr="00081F3E">
        <w:trPr>
          <w:trHeight w:val="300"/>
        </w:trPr>
        <w:tc>
          <w:tcPr>
            <w:tcW w:w="2276" w:type="pct"/>
            <w:gridSpan w:val="4"/>
            <w:tcBorders>
              <w:top w:val="single" w:sz="8" w:space="0" w:color="auto"/>
              <w:left w:val="single" w:sz="8" w:space="0" w:color="auto"/>
              <w:bottom w:val="single" w:sz="8" w:space="0" w:color="auto"/>
              <w:right w:val="single" w:sz="8" w:space="0" w:color="auto"/>
            </w:tcBorders>
            <w:vAlign w:val="center"/>
            <w:hideMark/>
          </w:tcPr>
          <w:p w14:paraId="651A5264" w14:textId="77777777" w:rsidR="00BF1B1B" w:rsidRPr="00FA433F" w:rsidRDefault="00BF1B1B" w:rsidP="00B90996">
            <w:pPr>
              <w:spacing w:before="0" w:after="0"/>
              <w:ind w:firstLineChars="100" w:firstLine="160"/>
              <w:jc w:val="left"/>
              <w:rPr>
                <w:noProof/>
                <w:sz w:val="16"/>
                <w:szCs w:val="16"/>
              </w:rPr>
            </w:pPr>
            <w:r w:rsidRPr="00FA433F">
              <w:rPr>
                <w:noProof/>
                <w:sz w:val="16"/>
              </w:rPr>
              <w:t>Inna linia budżetowa (określić)</w:t>
            </w:r>
          </w:p>
        </w:tc>
        <w:tc>
          <w:tcPr>
            <w:tcW w:w="388" w:type="pct"/>
            <w:tcBorders>
              <w:top w:val="nil"/>
              <w:left w:val="nil"/>
              <w:bottom w:val="single" w:sz="8" w:space="0" w:color="auto"/>
              <w:right w:val="single" w:sz="8" w:space="0" w:color="auto"/>
            </w:tcBorders>
            <w:shd w:val="clear" w:color="000000" w:fill="D9D9D9"/>
            <w:vAlign w:val="center"/>
            <w:hideMark/>
          </w:tcPr>
          <w:p w14:paraId="3DD7BC7E"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1866F269"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single" w:sz="8" w:space="0" w:color="auto"/>
              <w:left w:val="nil"/>
              <w:bottom w:val="single" w:sz="8" w:space="0" w:color="auto"/>
              <w:right w:val="single" w:sz="8" w:space="0" w:color="auto"/>
            </w:tcBorders>
            <w:shd w:val="clear" w:color="000000" w:fill="D9D9D9"/>
            <w:vAlign w:val="center"/>
          </w:tcPr>
          <w:p w14:paraId="406E684E"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66A46115"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4B2D6049" w14:textId="77777777" w:rsidR="00BF1B1B" w:rsidRPr="00FA433F" w:rsidRDefault="00BF1B1B" w:rsidP="00B90996">
            <w:pPr>
              <w:spacing w:before="0" w:after="0"/>
              <w:jc w:val="center"/>
              <w:rPr>
                <w:noProof/>
                <w:sz w:val="16"/>
                <w:szCs w:val="16"/>
              </w:rPr>
            </w:pPr>
            <w:r w:rsidRPr="00FA433F">
              <w:rPr>
                <w:noProof/>
                <w:sz w:val="16"/>
              </w:rPr>
              <w:t>0</w:t>
            </w:r>
          </w:p>
        </w:tc>
        <w:tc>
          <w:tcPr>
            <w:tcW w:w="390" w:type="pct"/>
            <w:tcBorders>
              <w:top w:val="nil"/>
              <w:left w:val="nil"/>
              <w:bottom w:val="single" w:sz="8" w:space="0" w:color="auto"/>
              <w:right w:val="single" w:sz="8" w:space="0" w:color="auto"/>
            </w:tcBorders>
            <w:shd w:val="clear" w:color="000000" w:fill="D9D9D9"/>
            <w:vAlign w:val="center"/>
            <w:hideMark/>
          </w:tcPr>
          <w:p w14:paraId="26D39B73"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1EFF56D5" w14:textId="77777777" w:rsidR="00BF1B1B" w:rsidRPr="00FA433F" w:rsidRDefault="004A2921" w:rsidP="00B90996">
            <w:pPr>
              <w:spacing w:before="0" w:after="0"/>
              <w:jc w:val="center"/>
              <w:rPr>
                <w:noProof/>
                <w:sz w:val="16"/>
                <w:szCs w:val="16"/>
              </w:rPr>
            </w:pPr>
            <w:r w:rsidRPr="00FA433F">
              <w:rPr>
                <w:noProof/>
                <w:sz w:val="16"/>
              </w:rPr>
              <w:t>0</w:t>
            </w:r>
          </w:p>
        </w:tc>
      </w:tr>
      <w:tr w:rsidR="00BF1B1B" w:rsidRPr="00FA433F" w14:paraId="6BB2FF20" w14:textId="77777777" w:rsidTr="00081F3E">
        <w:trPr>
          <w:trHeight w:val="300"/>
        </w:trPr>
        <w:tc>
          <w:tcPr>
            <w:tcW w:w="448" w:type="pct"/>
            <w:tcBorders>
              <w:top w:val="single" w:sz="8" w:space="0" w:color="auto"/>
              <w:left w:val="single" w:sz="8" w:space="0" w:color="auto"/>
              <w:bottom w:val="single" w:sz="8" w:space="0" w:color="auto"/>
              <w:right w:val="single" w:sz="4" w:space="0" w:color="auto"/>
            </w:tcBorders>
          </w:tcPr>
          <w:p w14:paraId="1EE9170D" w14:textId="77777777" w:rsidR="00BF1B1B" w:rsidRPr="00FA433F" w:rsidRDefault="00BF1B1B">
            <w:pPr>
              <w:spacing w:before="0" w:after="0"/>
              <w:jc w:val="left"/>
              <w:rPr>
                <w:rFonts w:ascii="Calibri" w:hAnsi="Calibri" w:cs="Calibri"/>
                <w:b/>
                <w:bCs/>
                <w:noProof/>
                <w:sz w:val="16"/>
                <w:szCs w:val="16"/>
                <w:lang w:eastAsia="en-IE"/>
              </w:rPr>
            </w:pPr>
          </w:p>
        </w:tc>
        <w:tc>
          <w:tcPr>
            <w:tcW w:w="417" w:type="pct"/>
            <w:gridSpan w:val="2"/>
            <w:tcBorders>
              <w:top w:val="single" w:sz="8" w:space="0" w:color="auto"/>
              <w:left w:val="single" w:sz="8" w:space="0" w:color="auto"/>
              <w:bottom w:val="single" w:sz="8" w:space="0" w:color="auto"/>
              <w:right w:val="single" w:sz="8" w:space="0" w:color="auto"/>
            </w:tcBorders>
          </w:tcPr>
          <w:p w14:paraId="6F25FD60" w14:textId="77777777" w:rsidR="00BF1B1B" w:rsidRPr="00FA433F" w:rsidRDefault="00BF1B1B">
            <w:pPr>
              <w:spacing w:before="0" w:after="0"/>
              <w:jc w:val="left"/>
              <w:rPr>
                <w:rFonts w:ascii="Calibri" w:hAnsi="Calibri" w:cs="Calibri"/>
                <w:b/>
                <w:bCs/>
                <w:noProof/>
                <w:sz w:val="16"/>
                <w:szCs w:val="16"/>
                <w:lang w:eastAsia="en-IE"/>
              </w:rPr>
            </w:pPr>
          </w:p>
        </w:tc>
        <w:tc>
          <w:tcPr>
            <w:tcW w:w="3746" w:type="pct"/>
            <w:gridSpan w:val="7"/>
            <w:tcBorders>
              <w:top w:val="single" w:sz="8" w:space="0" w:color="auto"/>
              <w:left w:val="single" w:sz="8" w:space="0" w:color="auto"/>
              <w:bottom w:val="single" w:sz="8" w:space="0" w:color="auto"/>
              <w:right w:val="single" w:sz="4" w:space="0" w:color="auto"/>
            </w:tcBorders>
            <w:vAlign w:val="center"/>
            <w:hideMark/>
          </w:tcPr>
          <w:p w14:paraId="1F7639CC" w14:textId="77777777" w:rsidR="00BF1B1B" w:rsidRPr="00FA433F" w:rsidRDefault="00BF1B1B">
            <w:pPr>
              <w:spacing w:before="0" w:after="0"/>
              <w:jc w:val="left"/>
              <w:rPr>
                <w:rFonts w:ascii="Wingdings" w:hAnsi="Wingdings" w:cs="Calibri"/>
                <w:b/>
                <w:bCs/>
                <w:noProof/>
                <w:sz w:val="16"/>
                <w:szCs w:val="16"/>
              </w:rPr>
            </w:pPr>
            <w:r w:rsidRPr="00FA433F">
              <w:rPr>
                <w:rFonts w:ascii="Calibri" w:hAnsi="Calibri"/>
                <w:b/>
                <w:noProof/>
                <w:sz w:val="16"/>
              </w:rPr>
              <w:t>•</w:t>
            </w:r>
            <w:r w:rsidRPr="00FA433F">
              <w:rPr>
                <w:b/>
                <w:noProof/>
                <w:sz w:val="16"/>
              </w:rPr>
              <w:t xml:space="preserve"> Personel zewnętrzny (w EPC)</w:t>
            </w:r>
          </w:p>
        </w:tc>
        <w:tc>
          <w:tcPr>
            <w:tcW w:w="389" w:type="pct"/>
            <w:tcBorders>
              <w:top w:val="single" w:sz="8" w:space="0" w:color="auto"/>
              <w:left w:val="single" w:sz="8" w:space="0" w:color="auto"/>
              <w:bottom w:val="single" w:sz="8" w:space="0" w:color="auto"/>
              <w:right w:val="single" w:sz="4" w:space="0" w:color="auto"/>
            </w:tcBorders>
            <w:vAlign w:val="center"/>
          </w:tcPr>
          <w:p w14:paraId="15940C92" w14:textId="77777777" w:rsidR="00BF1B1B" w:rsidRPr="00FA433F" w:rsidRDefault="00BF1B1B">
            <w:pPr>
              <w:spacing w:before="0" w:after="0"/>
              <w:jc w:val="left"/>
              <w:rPr>
                <w:rFonts w:ascii="Calibri" w:hAnsi="Calibri" w:cs="Calibri"/>
                <w:b/>
                <w:bCs/>
                <w:noProof/>
                <w:sz w:val="16"/>
                <w:szCs w:val="16"/>
                <w:lang w:eastAsia="en-IE"/>
              </w:rPr>
            </w:pPr>
          </w:p>
        </w:tc>
      </w:tr>
      <w:tr w:rsidR="00BF1B1B" w:rsidRPr="00FA433F" w14:paraId="3B7492C2" w14:textId="77777777" w:rsidTr="00081F3E">
        <w:trPr>
          <w:trHeight w:val="300"/>
        </w:trPr>
        <w:tc>
          <w:tcPr>
            <w:tcW w:w="2276" w:type="pct"/>
            <w:gridSpan w:val="4"/>
            <w:tcBorders>
              <w:top w:val="single" w:sz="8" w:space="0" w:color="auto"/>
              <w:left w:val="single" w:sz="8" w:space="0" w:color="auto"/>
              <w:bottom w:val="single" w:sz="8" w:space="0" w:color="auto"/>
              <w:right w:val="single" w:sz="8" w:space="0" w:color="auto"/>
            </w:tcBorders>
            <w:vAlign w:val="center"/>
            <w:hideMark/>
          </w:tcPr>
          <w:p w14:paraId="4CF25068" w14:textId="787B2FC3" w:rsidR="00BF1B1B" w:rsidRPr="00FA433F" w:rsidRDefault="00BF1B1B" w:rsidP="00B90996">
            <w:pPr>
              <w:spacing w:before="0" w:after="0"/>
              <w:ind w:firstLineChars="100" w:firstLine="160"/>
              <w:jc w:val="left"/>
              <w:rPr>
                <w:noProof/>
                <w:sz w:val="16"/>
                <w:szCs w:val="16"/>
              </w:rPr>
            </w:pPr>
            <w:r w:rsidRPr="00FA433F">
              <w:rPr>
                <w:noProof/>
                <w:sz w:val="16"/>
              </w:rPr>
              <w:t>20 02 01</w:t>
            </w:r>
            <w:r w:rsidRPr="00FA433F">
              <w:rPr>
                <w:rFonts w:ascii="Arial Narrow" w:hAnsi="Arial Narrow"/>
                <w:noProof/>
                <w:sz w:val="20"/>
              </w:rPr>
              <w:t xml:space="preserve"> </w:t>
            </w:r>
            <w:r w:rsidRPr="00FA433F">
              <w:rPr>
                <w:noProof/>
                <w:sz w:val="16"/>
              </w:rPr>
              <w:t>(CA, SNE</w:t>
            </w:r>
            <w:r w:rsidR="00FA433F" w:rsidRPr="00FA433F">
              <w:rPr>
                <w:noProof/>
                <w:sz w:val="16"/>
              </w:rPr>
              <w:t xml:space="preserve"> z</w:t>
            </w:r>
            <w:r w:rsidR="00FA433F">
              <w:rPr>
                <w:noProof/>
                <w:sz w:val="16"/>
              </w:rPr>
              <w:t> </w:t>
            </w:r>
            <w:r w:rsidR="00FA433F" w:rsidRPr="00FA433F">
              <w:rPr>
                <w:noProof/>
                <w:sz w:val="16"/>
              </w:rPr>
              <w:t>glo</w:t>
            </w:r>
            <w:r w:rsidRPr="00FA433F">
              <w:rPr>
                <w:noProof/>
                <w:sz w:val="16"/>
              </w:rPr>
              <w:t>balnej koperty finansowej)</w:t>
            </w:r>
          </w:p>
        </w:tc>
        <w:tc>
          <w:tcPr>
            <w:tcW w:w="388" w:type="pct"/>
            <w:tcBorders>
              <w:top w:val="nil"/>
              <w:left w:val="nil"/>
              <w:bottom w:val="single" w:sz="8" w:space="0" w:color="auto"/>
              <w:right w:val="single" w:sz="8" w:space="0" w:color="auto"/>
            </w:tcBorders>
            <w:shd w:val="clear" w:color="000000" w:fill="D9D9D9"/>
            <w:vAlign w:val="center"/>
            <w:hideMark/>
          </w:tcPr>
          <w:p w14:paraId="07038146"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2C830597"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single" w:sz="8" w:space="0" w:color="auto"/>
              <w:left w:val="nil"/>
              <w:bottom w:val="single" w:sz="8" w:space="0" w:color="auto"/>
              <w:right w:val="single" w:sz="8" w:space="0" w:color="auto"/>
            </w:tcBorders>
            <w:shd w:val="clear" w:color="000000" w:fill="D9D9D9"/>
            <w:vAlign w:val="center"/>
          </w:tcPr>
          <w:p w14:paraId="397A3D4F"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single" w:sz="8" w:space="0" w:color="auto"/>
              <w:left w:val="single" w:sz="8" w:space="0" w:color="auto"/>
              <w:bottom w:val="single" w:sz="8" w:space="0" w:color="auto"/>
              <w:right w:val="single" w:sz="8" w:space="0" w:color="auto"/>
            </w:tcBorders>
            <w:shd w:val="clear" w:color="000000" w:fill="D9D9D9"/>
            <w:vAlign w:val="center"/>
          </w:tcPr>
          <w:p w14:paraId="218ED62B"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7FBAFA9F" w14:textId="77777777" w:rsidR="00BF1B1B" w:rsidRPr="00FA433F" w:rsidRDefault="00BF1B1B" w:rsidP="00B90996">
            <w:pPr>
              <w:spacing w:before="0" w:after="0"/>
              <w:jc w:val="center"/>
              <w:rPr>
                <w:noProof/>
                <w:sz w:val="16"/>
                <w:szCs w:val="16"/>
              </w:rPr>
            </w:pPr>
            <w:r w:rsidRPr="00FA433F">
              <w:rPr>
                <w:noProof/>
                <w:sz w:val="16"/>
              </w:rPr>
              <w:t>0</w:t>
            </w:r>
          </w:p>
        </w:tc>
        <w:tc>
          <w:tcPr>
            <w:tcW w:w="390" w:type="pct"/>
            <w:tcBorders>
              <w:top w:val="nil"/>
              <w:left w:val="nil"/>
              <w:bottom w:val="single" w:sz="8" w:space="0" w:color="auto"/>
              <w:right w:val="single" w:sz="8" w:space="0" w:color="auto"/>
            </w:tcBorders>
            <w:shd w:val="clear" w:color="000000" w:fill="D9D9D9"/>
            <w:vAlign w:val="center"/>
            <w:hideMark/>
          </w:tcPr>
          <w:p w14:paraId="432D9F25"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483F322C" w14:textId="77777777" w:rsidR="00BF1B1B" w:rsidRPr="00FA433F" w:rsidRDefault="00081F3E" w:rsidP="00B90996">
            <w:pPr>
              <w:spacing w:before="0" w:after="0"/>
              <w:jc w:val="center"/>
              <w:rPr>
                <w:noProof/>
                <w:sz w:val="16"/>
                <w:szCs w:val="16"/>
              </w:rPr>
            </w:pPr>
            <w:r w:rsidRPr="00FA433F">
              <w:rPr>
                <w:noProof/>
                <w:sz w:val="16"/>
              </w:rPr>
              <w:t>0</w:t>
            </w:r>
          </w:p>
        </w:tc>
      </w:tr>
      <w:tr w:rsidR="00BF1B1B" w:rsidRPr="00FA433F" w14:paraId="5DA34974" w14:textId="77777777" w:rsidTr="00081F3E">
        <w:trPr>
          <w:trHeight w:val="300"/>
        </w:trPr>
        <w:tc>
          <w:tcPr>
            <w:tcW w:w="2276" w:type="pct"/>
            <w:gridSpan w:val="4"/>
            <w:tcBorders>
              <w:top w:val="single" w:sz="8" w:space="0" w:color="auto"/>
              <w:left w:val="single" w:sz="8" w:space="0" w:color="auto"/>
              <w:bottom w:val="single" w:sz="8" w:space="0" w:color="auto"/>
              <w:right w:val="single" w:sz="8" w:space="0" w:color="auto"/>
            </w:tcBorders>
            <w:vAlign w:val="center"/>
            <w:hideMark/>
          </w:tcPr>
          <w:p w14:paraId="022EEEFA" w14:textId="0FD337CC" w:rsidR="00BF1B1B" w:rsidRPr="00FA433F" w:rsidRDefault="00BF1B1B" w:rsidP="00B90996">
            <w:pPr>
              <w:spacing w:before="0" w:after="0"/>
              <w:ind w:firstLineChars="100" w:firstLine="160"/>
              <w:jc w:val="left"/>
              <w:rPr>
                <w:noProof/>
                <w:sz w:val="16"/>
                <w:szCs w:val="16"/>
              </w:rPr>
            </w:pPr>
            <w:r w:rsidRPr="00FA433F">
              <w:rPr>
                <w:noProof/>
                <w:sz w:val="16"/>
              </w:rPr>
              <w:t>20 02 03 (CA, LA, SNE i JPD</w:t>
            </w:r>
            <w:r w:rsidR="00FA433F" w:rsidRPr="00FA433F">
              <w:rPr>
                <w:noProof/>
                <w:sz w:val="16"/>
              </w:rPr>
              <w:t xml:space="preserve"> w</w:t>
            </w:r>
            <w:r w:rsidR="00FA433F">
              <w:rPr>
                <w:noProof/>
                <w:sz w:val="16"/>
              </w:rPr>
              <w:t> </w:t>
            </w:r>
            <w:r w:rsidR="00FA433F" w:rsidRPr="00FA433F">
              <w:rPr>
                <w:noProof/>
                <w:sz w:val="16"/>
              </w:rPr>
              <w:t>del</w:t>
            </w:r>
            <w:r w:rsidRPr="00FA433F">
              <w:rPr>
                <w:noProof/>
                <w:sz w:val="16"/>
              </w:rPr>
              <w:t>egaturach UE)</w:t>
            </w:r>
          </w:p>
        </w:tc>
        <w:tc>
          <w:tcPr>
            <w:tcW w:w="388" w:type="pct"/>
            <w:tcBorders>
              <w:top w:val="nil"/>
              <w:left w:val="nil"/>
              <w:bottom w:val="single" w:sz="8" w:space="0" w:color="auto"/>
              <w:right w:val="single" w:sz="8" w:space="0" w:color="auto"/>
            </w:tcBorders>
            <w:shd w:val="clear" w:color="000000" w:fill="D9D9D9"/>
            <w:vAlign w:val="center"/>
            <w:hideMark/>
          </w:tcPr>
          <w:p w14:paraId="5D929FC5"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5D083630"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1F13B651"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tcPr>
          <w:p w14:paraId="524603F6"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6312D998" w14:textId="77777777" w:rsidR="00BF1B1B" w:rsidRPr="00FA433F" w:rsidRDefault="00BF1B1B" w:rsidP="00B90996">
            <w:pPr>
              <w:spacing w:before="0" w:after="0"/>
              <w:jc w:val="center"/>
              <w:rPr>
                <w:noProof/>
                <w:sz w:val="16"/>
                <w:szCs w:val="16"/>
              </w:rPr>
            </w:pPr>
            <w:r w:rsidRPr="00FA433F">
              <w:rPr>
                <w:noProof/>
                <w:sz w:val="16"/>
              </w:rPr>
              <w:t>0</w:t>
            </w:r>
          </w:p>
        </w:tc>
        <w:tc>
          <w:tcPr>
            <w:tcW w:w="390" w:type="pct"/>
            <w:tcBorders>
              <w:top w:val="nil"/>
              <w:left w:val="nil"/>
              <w:bottom w:val="single" w:sz="8" w:space="0" w:color="auto"/>
              <w:right w:val="single" w:sz="8" w:space="0" w:color="auto"/>
            </w:tcBorders>
            <w:shd w:val="clear" w:color="000000" w:fill="D9D9D9"/>
            <w:vAlign w:val="center"/>
            <w:hideMark/>
          </w:tcPr>
          <w:p w14:paraId="65328544"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5E2F74DE" w14:textId="77777777" w:rsidR="00BF1B1B" w:rsidRPr="00FA433F" w:rsidRDefault="00081F3E" w:rsidP="00B90996">
            <w:pPr>
              <w:spacing w:before="0" w:after="0"/>
              <w:jc w:val="center"/>
              <w:rPr>
                <w:noProof/>
                <w:sz w:val="16"/>
                <w:szCs w:val="16"/>
              </w:rPr>
            </w:pPr>
            <w:r w:rsidRPr="00FA433F">
              <w:rPr>
                <w:noProof/>
                <w:sz w:val="16"/>
              </w:rPr>
              <w:t>0</w:t>
            </w:r>
          </w:p>
        </w:tc>
      </w:tr>
      <w:tr w:rsidR="00BF1B1B" w:rsidRPr="00FA433F" w14:paraId="4AAD2CB4" w14:textId="77777777" w:rsidTr="00081F3E">
        <w:trPr>
          <w:trHeight w:val="300"/>
        </w:trPr>
        <w:tc>
          <w:tcPr>
            <w:tcW w:w="698" w:type="pct"/>
            <w:gridSpan w:val="2"/>
            <w:vMerge w:val="restart"/>
            <w:tcBorders>
              <w:top w:val="nil"/>
              <w:left w:val="single" w:sz="8" w:space="0" w:color="auto"/>
              <w:bottom w:val="single" w:sz="8" w:space="0" w:color="auto"/>
              <w:right w:val="single" w:sz="8" w:space="0" w:color="auto"/>
            </w:tcBorders>
            <w:vAlign w:val="center"/>
            <w:hideMark/>
          </w:tcPr>
          <w:p w14:paraId="5C45DB0E" w14:textId="77777777" w:rsidR="00BF1B1B" w:rsidRPr="00FA433F" w:rsidRDefault="00BF1B1B" w:rsidP="00B90996">
            <w:pPr>
              <w:spacing w:before="0" w:after="0"/>
              <w:jc w:val="center"/>
              <w:rPr>
                <w:noProof/>
                <w:sz w:val="16"/>
                <w:szCs w:val="16"/>
              </w:rPr>
            </w:pPr>
            <w:r w:rsidRPr="00FA433F">
              <w:rPr>
                <w:noProof/>
                <w:sz w:val="16"/>
              </w:rPr>
              <w:t>Linia budżetowa Linia budżetowa na wsparcie</w:t>
            </w:r>
            <w:r w:rsidRPr="00FA433F">
              <w:rPr>
                <w:noProof/>
              </w:rPr>
              <w:t xml:space="preserve"> </w:t>
            </w:r>
            <w:r w:rsidRPr="00FA433F">
              <w:rPr>
                <w:noProof/>
              </w:rPr>
              <w:br/>
            </w:r>
            <w:r w:rsidRPr="00FA433F">
              <w:rPr>
                <w:noProof/>
                <w:sz w:val="16"/>
              </w:rPr>
              <w:t>[XX.01.YY.YY]</w:t>
            </w:r>
          </w:p>
        </w:tc>
        <w:tc>
          <w:tcPr>
            <w:tcW w:w="1578" w:type="pct"/>
            <w:gridSpan w:val="2"/>
            <w:tcBorders>
              <w:top w:val="nil"/>
              <w:left w:val="nil"/>
              <w:bottom w:val="single" w:sz="8" w:space="0" w:color="auto"/>
              <w:right w:val="single" w:sz="8" w:space="0" w:color="auto"/>
            </w:tcBorders>
            <w:vAlign w:val="center"/>
            <w:hideMark/>
          </w:tcPr>
          <w:p w14:paraId="7EF181D9" w14:textId="506C1094" w:rsidR="00BF1B1B" w:rsidRPr="00FA433F" w:rsidRDefault="00BF1B1B" w:rsidP="00B90996">
            <w:pPr>
              <w:spacing w:before="0" w:after="0"/>
              <w:ind w:firstLineChars="100" w:firstLine="160"/>
              <w:jc w:val="left"/>
              <w:rPr>
                <w:noProof/>
                <w:sz w:val="16"/>
                <w:szCs w:val="16"/>
              </w:rPr>
            </w:pPr>
            <w:r w:rsidRPr="00FA433F">
              <w:rPr>
                <w:noProof/>
                <w:sz w:val="16"/>
              </w:rPr>
              <w:t>-</w:t>
            </w:r>
            <w:r w:rsidR="00FA433F" w:rsidRPr="00FA433F">
              <w:rPr>
                <w:noProof/>
                <w:sz w:val="16"/>
              </w:rPr>
              <w:t xml:space="preserve"> w</w:t>
            </w:r>
            <w:r w:rsidR="00FA433F">
              <w:rPr>
                <w:noProof/>
                <w:sz w:val="16"/>
              </w:rPr>
              <w:t> </w:t>
            </w:r>
            <w:r w:rsidR="00FA433F" w:rsidRPr="00FA433F">
              <w:rPr>
                <w:noProof/>
                <w:sz w:val="16"/>
              </w:rPr>
              <w:t>cen</w:t>
            </w:r>
            <w:r w:rsidRPr="00FA433F">
              <w:rPr>
                <w:noProof/>
                <w:sz w:val="16"/>
              </w:rPr>
              <w:t>trali</w:t>
            </w:r>
          </w:p>
        </w:tc>
        <w:tc>
          <w:tcPr>
            <w:tcW w:w="388" w:type="pct"/>
            <w:tcBorders>
              <w:top w:val="nil"/>
              <w:left w:val="nil"/>
              <w:bottom w:val="single" w:sz="8" w:space="0" w:color="auto"/>
              <w:right w:val="single" w:sz="8" w:space="0" w:color="auto"/>
            </w:tcBorders>
            <w:shd w:val="clear" w:color="000000" w:fill="D9D9D9"/>
            <w:vAlign w:val="center"/>
            <w:hideMark/>
          </w:tcPr>
          <w:p w14:paraId="120F52E7"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70EC1F23"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2D737CE6"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tcPr>
          <w:p w14:paraId="428B4EB5"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755756B5" w14:textId="77777777" w:rsidR="00BF1B1B" w:rsidRPr="00FA433F" w:rsidRDefault="00BF1B1B" w:rsidP="00B90996">
            <w:pPr>
              <w:spacing w:before="0" w:after="0"/>
              <w:jc w:val="center"/>
              <w:rPr>
                <w:noProof/>
                <w:sz w:val="16"/>
                <w:szCs w:val="16"/>
              </w:rPr>
            </w:pPr>
            <w:r w:rsidRPr="00FA433F">
              <w:rPr>
                <w:noProof/>
                <w:sz w:val="16"/>
              </w:rPr>
              <w:t>0</w:t>
            </w:r>
          </w:p>
        </w:tc>
        <w:tc>
          <w:tcPr>
            <w:tcW w:w="390" w:type="pct"/>
            <w:tcBorders>
              <w:top w:val="nil"/>
              <w:left w:val="nil"/>
              <w:bottom w:val="single" w:sz="8" w:space="0" w:color="auto"/>
              <w:right w:val="single" w:sz="8" w:space="0" w:color="auto"/>
            </w:tcBorders>
            <w:shd w:val="clear" w:color="000000" w:fill="D9D9D9"/>
            <w:vAlign w:val="center"/>
            <w:hideMark/>
          </w:tcPr>
          <w:p w14:paraId="32A65F9B"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33AE8EE8" w14:textId="77777777" w:rsidR="00BF1B1B" w:rsidRPr="00FA433F" w:rsidRDefault="00081F3E" w:rsidP="00B90996">
            <w:pPr>
              <w:spacing w:before="0" w:after="0"/>
              <w:jc w:val="center"/>
              <w:rPr>
                <w:noProof/>
                <w:sz w:val="16"/>
                <w:szCs w:val="16"/>
              </w:rPr>
            </w:pPr>
            <w:r w:rsidRPr="00FA433F">
              <w:rPr>
                <w:noProof/>
                <w:sz w:val="16"/>
              </w:rPr>
              <w:t>0</w:t>
            </w:r>
          </w:p>
        </w:tc>
      </w:tr>
      <w:tr w:rsidR="00BF1B1B" w:rsidRPr="00FA433F" w14:paraId="6ED8C687" w14:textId="77777777" w:rsidTr="00081F3E">
        <w:trPr>
          <w:trHeight w:val="300"/>
        </w:trPr>
        <w:tc>
          <w:tcPr>
            <w:tcW w:w="698" w:type="pct"/>
            <w:gridSpan w:val="2"/>
            <w:vMerge/>
            <w:tcBorders>
              <w:top w:val="nil"/>
              <w:left w:val="single" w:sz="8" w:space="0" w:color="auto"/>
              <w:bottom w:val="single" w:sz="8" w:space="0" w:color="auto"/>
              <w:right w:val="single" w:sz="8" w:space="0" w:color="auto"/>
            </w:tcBorders>
            <w:vAlign w:val="center"/>
            <w:hideMark/>
          </w:tcPr>
          <w:p w14:paraId="7098C7BC" w14:textId="77777777" w:rsidR="00BF1B1B" w:rsidRPr="00FA433F" w:rsidRDefault="00BF1B1B" w:rsidP="00B90996">
            <w:pPr>
              <w:spacing w:before="0" w:after="0"/>
              <w:jc w:val="left"/>
              <w:rPr>
                <w:noProof/>
                <w:sz w:val="16"/>
                <w:szCs w:val="16"/>
                <w:lang w:eastAsia="en-IE"/>
              </w:rPr>
            </w:pPr>
          </w:p>
        </w:tc>
        <w:tc>
          <w:tcPr>
            <w:tcW w:w="1578" w:type="pct"/>
            <w:gridSpan w:val="2"/>
            <w:tcBorders>
              <w:top w:val="nil"/>
              <w:left w:val="nil"/>
              <w:bottom w:val="single" w:sz="8" w:space="0" w:color="auto"/>
              <w:right w:val="single" w:sz="8" w:space="0" w:color="auto"/>
            </w:tcBorders>
            <w:vAlign w:val="center"/>
            <w:hideMark/>
          </w:tcPr>
          <w:p w14:paraId="3033690A" w14:textId="737551F1" w:rsidR="00BF1B1B" w:rsidRPr="00FA433F" w:rsidRDefault="00BF1B1B" w:rsidP="00B90996">
            <w:pPr>
              <w:spacing w:before="0" w:after="0"/>
              <w:ind w:firstLineChars="100" w:firstLine="160"/>
              <w:jc w:val="left"/>
              <w:rPr>
                <w:noProof/>
                <w:sz w:val="16"/>
                <w:szCs w:val="16"/>
              </w:rPr>
            </w:pPr>
            <w:r w:rsidRPr="00FA433F">
              <w:rPr>
                <w:noProof/>
                <w:sz w:val="16"/>
              </w:rPr>
              <w:t>-</w:t>
            </w:r>
            <w:r w:rsidR="00FA433F" w:rsidRPr="00FA433F">
              <w:rPr>
                <w:noProof/>
                <w:sz w:val="16"/>
              </w:rPr>
              <w:t xml:space="preserve"> w</w:t>
            </w:r>
            <w:r w:rsidR="00FA433F">
              <w:rPr>
                <w:noProof/>
                <w:sz w:val="16"/>
              </w:rPr>
              <w:t> </w:t>
            </w:r>
            <w:r w:rsidR="00FA433F" w:rsidRPr="00FA433F">
              <w:rPr>
                <w:noProof/>
                <w:sz w:val="16"/>
              </w:rPr>
              <w:t>del</w:t>
            </w:r>
            <w:r w:rsidRPr="00FA433F">
              <w:rPr>
                <w:noProof/>
                <w:sz w:val="16"/>
              </w:rPr>
              <w:t xml:space="preserve">egaturach UE </w:t>
            </w:r>
          </w:p>
        </w:tc>
        <w:tc>
          <w:tcPr>
            <w:tcW w:w="388" w:type="pct"/>
            <w:tcBorders>
              <w:top w:val="nil"/>
              <w:left w:val="nil"/>
              <w:bottom w:val="single" w:sz="8" w:space="0" w:color="auto"/>
              <w:right w:val="single" w:sz="8" w:space="0" w:color="auto"/>
            </w:tcBorders>
            <w:shd w:val="clear" w:color="000000" w:fill="D9D9D9"/>
            <w:vAlign w:val="center"/>
            <w:hideMark/>
          </w:tcPr>
          <w:p w14:paraId="3F517448"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32E6CB38"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5B0EEDBF"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tcPr>
          <w:p w14:paraId="66C3A063"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79ECD44C" w14:textId="77777777" w:rsidR="00BF1B1B" w:rsidRPr="00FA433F" w:rsidRDefault="00BF1B1B" w:rsidP="00B90996">
            <w:pPr>
              <w:spacing w:before="0" w:after="0"/>
              <w:jc w:val="center"/>
              <w:rPr>
                <w:noProof/>
                <w:sz w:val="16"/>
                <w:szCs w:val="16"/>
              </w:rPr>
            </w:pPr>
            <w:r w:rsidRPr="00FA433F">
              <w:rPr>
                <w:noProof/>
                <w:sz w:val="16"/>
              </w:rPr>
              <w:t>0</w:t>
            </w:r>
          </w:p>
        </w:tc>
        <w:tc>
          <w:tcPr>
            <w:tcW w:w="390" w:type="pct"/>
            <w:tcBorders>
              <w:top w:val="nil"/>
              <w:left w:val="nil"/>
              <w:bottom w:val="single" w:sz="8" w:space="0" w:color="auto"/>
              <w:right w:val="single" w:sz="8" w:space="0" w:color="auto"/>
            </w:tcBorders>
            <w:shd w:val="clear" w:color="000000" w:fill="D9D9D9"/>
            <w:vAlign w:val="center"/>
            <w:hideMark/>
          </w:tcPr>
          <w:p w14:paraId="0D995BC0"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4F619D34" w14:textId="77777777" w:rsidR="00BF1B1B" w:rsidRPr="00FA433F" w:rsidRDefault="00081F3E" w:rsidP="00B90996">
            <w:pPr>
              <w:spacing w:before="0" w:after="0"/>
              <w:jc w:val="center"/>
              <w:rPr>
                <w:noProof/>
                <w:sz w:val="16"/>
                <w:szCs w:val="16"/>
              </w:rPr>
            </w:pPr>
            <w:r w:rsidRPr="00FA433F">
              <w:rPr>
                <w:noProof/>
                <w:sz w:val="16"/>
              </w:rPr>
              <w:t>0</w:t>
            </w:r>
          </w:p>
        </w:tc>
      </w:tr>
      <w:tr w:rsidR="00BF1B1B" w:rsidRPr="00FA433F" w14:paraId="7C3B0E3C" w14:textId="77777777" w:rsidTr="00081F3E">
        <w:trPr>
          <w:trHeight w:val="300"/>
        </w:trPr>
        <w:tc>
          <w:tcPr>
            <w:tcW w:w="2276" w:type="pct"/>
            <w:gridSpan w:val="4"/>
            <w:tcBorders>
              <w:top w:val="single" w:sz="8" w:space="0" w:color="auto"/>
              <w:left w:val="single" w:sz="8" w:space="0" w:color="auto"/>
              <w:bottom w:val="single" w:sz="8" w:space="0" w:color="auto"/>
              <w:right w:val="single" w:sz="8" w:space="0" w:color="auto"/>
            </w:tcBorders>
            <w:vAlign w:val="center"/>
            <w:hideMark/>
          </w:tcPr>
          <w:p w14:paraId="0D4525CD" w14:textId="77777777" w:rsidR="00BF1B1B" w:rsidRPr="00FA433F" w:rsidRDefault="00BF1B1B" w:rsidP="00B90996">
            <w:pPr>
              <w:spacing w:before="0" w:after="0"/>
              <w:ind w:firstLineChars="100" w:firstLine="160"/>
              <w:jc w:val="left"/>
              <w:rPr>
                <w:noProof/>
                <w:sz w:val="16"/>
                <w:szCs w:val="16"/>
              </w:rPr>
            </w:pPr>
            <w:r w:rsidRPr="00FA433F">
              <w:rPr>
                <w:noProof/>
                <w:sz w:val="16"/>
              </w:rPr>
              <w:t>01 01 01 02</w:t>
            </w:r>
            <w:r w:rsidRPr="00FA433F">
              <w:rPr>
                <w:rFonts w:ascii="Arial Narrow" w:hAnsi="Arial Narrow"/>
                <w:noProof/>
                <w:sz w:val="20"/>
              </w:rPr>
              <w:t xml:space="preserve"> </w:t>
            </w:r>
            <w:r w:rsidRPr="00FA433F">
              <w:rPr>
                <w:noProof/>
                <w:sz w:val="16"/>
              </w:rPr>
              <w:t>(CA, SNE – pośrednie badania naukowe)</w:t>
            </w:r>
          </w:p>
        </w:tc>
        <w:tc>
          <w:tcPr>
            <w:tcW w:w="388" w:type="pct"/>
            <w:tcBorders>
              <w:top w:val="nil"/>
              <w:left w:val="nil"/>
              <w:bottom w:val="single" w:sz="8" w:space="0" w:color="auto"/>
              <w:right w:val="single" w:sz="8" w:space="0" w:color="auto"/>
            </w:tcBorders>
            <w:shd w:val="clear" w:color="000000" w:fill="D9D9D9"/>
            <w:vAlign w:val="center"/>
            <w:hideMark/>
          </w:tcPr>
          <w:p w14:paraId="30C7ED95"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00F24B3E"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6A3D4264"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tcPr>
          <w:p w14:paraId="4B28F15C"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7CC04576" w14:textId="77777777" w:rsidR="00BF1B1B" w:rsidRPr="00FA433F" w:rsidRDefault="00BF1B1B" w:rsidP="00B90996">
            <w:pPr>
              <w:spacing w:before="0" w:after="0"/>
              <w:jc w:val="center"/>
              <w:rPr>
                <w:noProof/>
                <w:sz w:val="16"/>
                <w:szCs w:val="16"/>
              </w:rPr>
            </w:pPr>
            <w:r w:rsidRPr="00FA433F">
              <w:rPr>
                <w:noProof/>
                <w:sz w:val="16"/>
              </w:rPr>
              <w:t>0</w:t>
            </w:r>
          </w:p>
        </w:tc>
        <w:tc>
          <w:tcPr>
            <w:tcW w:w="390" w:type="pct"/>
            <w:tcBorders>
              <w:top w:val="nil"/>
              <w:left w:val="nil"/>
              <w:bottom w:val="single" w:sz="8" w:space="0" w:color="auto"/>
              <w:right w:val="single" w:sz="8" w:space="0" w:color="auto"/>
            </w:tcBorders>
            <w:shd w:val="clear" w:color="000000" w:fill="D9D9D9"/>
            <w:vAlign w:val="center"/>
            <w:hideMark/>
          </w:tcPr>
          <w:p w14:paraId="7735C769"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652FF79C" w14:textId="77777777" w:rsidR="00BF1B1B" w:rsidRPr="00FA433F" w:rsidRDefault="00081F3E" w:rsidP="00B90996">
            <w:pPr>
              <w:spacing w:before="0" w:after="0"/>
              <w:jc w:val="center"/>
              <w:rPr>
                <w:noProof/>
                <w:sz w:val="16"/>
                <w:szCs w:val="16"/>
              </w:rPr>
            </w:pPr>
            <w:r w:rsidRPr="00FA433F">
              <w:rPr>
                <w:noProof/>
                <w:sz w:val="16"/>
              </w:rPr>
              <w:t>0</w:t>
            </w:r>
          </w:p>
        </w:tc>
      </w:tr>
      <w:tr w:rsidR="00BF1B1B" w:rsidRPr="00FA433F" w14:paraId="31028F36" w14:textId="77777777" w:rsidTr="00081F3E">
        <w:trPr>
          <w:trHeight w:val="300"/>
        </w:trPr>
        <w:tc>
          <w:tcPr>
            <w:tcW w:w="2276" w:type="pct"/>
            <w:gridSpan w:val="4"/>
            <w:tcBorders>
              <w:top w:val="single" w:sz="8" w:space="0" w:color="auto"/>
              <w:left w:val="single" w:sz="8" w:space="0" w:color="auto"/>
              <w:bottom w:val="single" w:sz="8" w:space="0" w:color="auto"/>
              <w:right w:val="single" w:sz="8" w:space="0" w:color="auto"/>
            </w:tcBorders>
            <w:vAlign w:val="center"/>
            <w:hideMark/>
          </w:tcPr>
          <w:p w14:paraId="009E0997" w14:textId="77777777" w:rsidR="00BF1B1B" w:rsidRPr="00FA433F" w:rsidRDefault="00BF1B1B" w:rsidP="00B90996">
            <w:pPr>
              <w:spacing w:before="0" w:after="0"/>
              <w:ind w:firstLineChars="100" w:firstLine="160"/>
              <w:jc w:val="left"/>
              <w:rPr>
                <w:noProof/>
                <w:sz w:val="16"/>
                <w:szCs w:val="16"/>
              </w:rPr>
            </w:pPr>
            <w:r w:rsidRPr="00FA433F">
              <w:rPr>
                <w:noProof/>
                <w:sz w:val="16"/>
              </w:rPr>
              <w:t>01 01 01 12 (CA, SNE – bezpośrednie badania naukowe)</w:t>
            </w:r>
          </w:p>
        </w:tc>
        <w:tc>
          <w:tcPr>
            <w:tcW w:w="388" w:type="pct"/>
            <w:tcBorders>
              <w:top w:val="nil"/>
              <w:left w:val="nil"/>
              <w:bottom w:val="single" w:sz="8" w:space="0" w:color="auto"/>
              <w:right w:val="single" w:sz="8" w:space="0" w:color="auto"/>
            </w:tcBorders>
            <w:shd w:val="clear" w:color="000000" w:fill="D9D9D9"/>
            <w:vAlign w:val="center"/>
            <w:hideMark/>
          </w:tcPr>
          <w:p w14:paraId="49E287A6"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127AC213"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0A741EE2"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tcPr>
          <w:p w14:paraId="23D17E9F"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36F36E48" w14:textId="77777777" w:rsidR="00BF1B1B" w:rsidRPr="00FA433F" w:rsidRDefault="00BF1B1B" w:rsidP="00B90996">
            <w:pPr>
              <w:spacing w:before="0" w:after="0"/>
              <w:jc w:val="center"/>
              <w:rPr>
                <w:noProof/>
                <w:sz w:val="16"/>
                <w:szCs w:val="16"/>
              </w:rPr>
            </w:pPr>
            <w:r w:rsidRPr="00FA433F">
              <w:rPr>
                <w:noProof/>
                <w:sz w:val="16"/>
              </w:rPr>
              <w:t>0</w:t>
            </w:r>
          </w:p>
        </w:tc>
        <w:tc>
          <w:tcPr>
            <w:tcW w:w="390" w:type="pct"/>
            <w:tcBorders>
              <w:top w:val="nil"/>
              <w:left w:val="nil"/>
              <w:bottom w:val="single" w:sz="8" w:space="0" w:color="auto"/>
              <w:right w:val="single" w:sz="8" w:space="0" w:color="auto"/>
            </w:tcBorders>
            <w:shd w:val="clear" w:color="000000" w:fill="D9D9D9"/>
            <w:vAlign w:val="center"/>
            <w:hideMark/>
          </w:tcPr>
          <w:p w14:paraId="33DA95CD"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63B1A48D" w14:textId="77777777" w:rsidR="00BF1B1B" w:rsidRPr="00FA433F" w:rsidRDefault="00081F3E" w:rsidP="00B90996">
            <w:pPr>
              <w:spacing w:before="0" w:after="0"/>
              <w:jc w:val="center"/>
              <w:rPr>
                <w:noProof/>
                <w:sz w:val="16"/>
                <w:szCs w:val="16"/>
              </w:rPr>
            </w:pPr>
            <w:r w:rsidRPr="00FA433F">
              <w:rPr>
                <w:noProof/>
                <w:sz w:val="16"/>
              </w:rPr>
              <w:t>0</w:t>
            </w:r>
          </w:p>
        </w:tc>
      </w:tr>
      <w:tr w:rsidR="00BF1B1B" w:rsidRPr="00FA433F" w14:paraId="71581FCE" w14:textId="77777777" w:rsidTr="00081F3E">
        <w:trPr>
          <w:trHeight w:val="300"/>
        </w:trPr>
        <w:tc>
          <w:tcPr>
            <w:tcW w:w="2276" w:type="pct"/>
            <w:gridSpan w:val="4"/>
            <w:tcBorders>
              <w:top w:val="single" w:sz="8" w:space="0" w:color="auto"/>
              <w:left w:val="single" w:sz="8" w:space="0" w:color="auto"/>
              <w:bottom w:val="single" w:sz="8" w:space="0" w:color="auto"/>
              <w:right w:val="single" w:sz="8" w:space="0" w:color="auto"/>
            </w:tcBorders>
            <w:vAlign w:val="center"/>
            <w:hideMark/>
          </w:tcPr>
          <w:p w14:paraId="4A3CEA3A" w14:textId="77777777" w:rsidR="00BF1B1B" w:rsidRPr="00FA433F" w:rsidRDefault="00BF1B1B" w:rsidP="00B90996">
            <w:pPr>
              <w:spacing w:before="0" w:after="0"/>
              <w:ind w:firstLineChars="100" w:firstLine="160"/>
              <w:jc w:val="left"/>
              <w:rPr>
                <w:noProof/>
                <w:sz w:val="16"/>
                <w:szCs w:val="16"/>
              </w:rPr>
            </w:pPr>
            <w:r w:rsidRPr="00FA433F">
              <w:rPr>
                <w:noProof/>
                <w:sz w:val="16"/>
              </w:rPr>
              <w:t>Inna linia budżetowa (określić) – dział 7</w:t>
            </w:r>
          </w:p>
        </w:tc>
        <w:tc>
          <w:tcPr>
            <w:tcW w:w="388" w:type="pct"/>
            <w:tcBorders>
              <w:top w:val="nil"/>
              <w:left w:val="nil"/>
              <w:bottom w:val="single" w:sz="8" w:space="0" w:color="auto"/>
              <w:right w:val="single" w:sz="8" w:space="0" w:color="auto"/>
            </w:tcBorders>
            <w:shd w:val="clear" w:color="000000" w:fill="D9D9D9"/>
            <w:vAlign w:val="center"/>
            <w:hideMark/>
          </w:tcPr>
          <w:p w14:paraId="1DF28438"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7BC72751"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223C3980"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tcPr>
          <w:p w14:paraId="7B76ACB4"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12CC60FE" w14:textId="77777777" w:rsidR="00BF1B1B" w:rsidRPr="00FA433F" w:rsidRDefault="00BF1B1B" w:rsidP="00B90996">
            <w:pPr>
              <w:spacing w:before="0" w:after="0"/>
              <w:jc w:val="center"/>
              <w:rPr>
                <w:noProof/>
                <w:sz w:val="16"/>
                <w:szCs w:val="16"/>
              </w:rPr>
            </w:pPr>
            <w:r w:rsidRPr="00FA433F">
              <w:rPr>
                <w:noProof/>
                <w:sz w:val="16"/>
              </w:rPr>
              <w:t>0</w:t>
            </w:r>
          </w:p>
        </w:tc>
        <w:tc>
          <w:tcPr>
            <w:tcW w:w="390" w:type="pct"/>
            <w:tcBorders>
              <w:top w:val="nil"/>
              <w:left w:val="nil"/>
              <w:bottom w:val="single" w:sz="8" w:space="0" w:color="auto"/>
              <w:right w:val="single" w:sz="8" w:space="0" w:color="auto"/>
            </w:tcBorders>
            <w:shd w:val="clear" w:color="000000" w:fill="D9D9D9"/>
            <w:vAlign w:val="center"/>
            <w:hideMark/>
          </w:tcPr>
          <w:p w14:paraId="45B19D75"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49F25949" w14:textId="77777777" w:rsidR="00BF1B1B" w:rsidRPr="00FA433F" w:rsidRDefault="00081F3E" w:rsidP="00B90996">
            <w:pPr>
              <w:spacing w:before="0" w:after="0"/>
              <w:jc w:val="center"/>
              <w:rPr>
                <w:noProof/>
                <w:sz w:val="16"/>
                <w:szCs w:val="16"/>
              </w:rPr>
            </w:pPr>
            <w:r w:rsidRPr="00FA433F">
              <w:rPr>
                <w:noProof/>
                <w:sz w:val="16"/>
              </w:rPr>
              <w:t>0</w:t>
            </w:r>
          </w:p>
        </w:tc>
      </w:tr>
      <w:tr w:rsidR="00BF1B1B" w:rsidRPr="00FA433F" w14:paraId="09DF0F74" w14:textId="77777777" w:rsidTr="00081F3E">
        <w:trPr>
          <w:trHeight w:val="300"/>
        </w:trPr>
        <w:tc>
          <w:tcPr>
            <w:tcW w:w="2276" w:type="pct"/>
            <w:gridSpan w:val="4"/>
            <w:tcBorders>
              <w:top w:val="single" w:sz="8" w:space="0" w:color="auto"/>
              <w:left w:val="single" w:sz="8" w:space="0" w:color="auto"/>
              <w:bottom w:val="single" w:sz="8" w:space="0" w:color="auto"/>
              <w:right w:val="single" w:sz="8" w:space="0" w:color="auto"/>
            </w:tcBorders>
            <w:vAlign w:val="center"/>
            <w:hideMark/>
          </w:tcPr>
          <w:p w14:paraId="5CC91D51" w14:textId="77777777" w:rsidR="00BF1B1B" w:rsidRPr="00FA433F" w:rsidRDefault="00BF1B1B" w:rsidP="00B90996">
            <w:pPr>
              <w:spacing w:before="0" w:after="0"/>
              <w:ind w:firstLineChars="100" w:firstLine="160"/>
              <w:jc w:val="left"/>
              <w:rPr>
                <w:noProof/>
                <w:sz w:val="16"/>
                <w:szCs w:val="16"/>
              </w:rPr>
            </w:pPr>
            <w:r w:rsidRPr="00FA433F">
              <w:rPr>
                <w:noProof/>
                <w:sz w:val="16"/>
              </w:rPr>
              <w:t>Inna linia budżetowa (określić) – poza działem 7</w:t>
            </w:r>
          </w:p>
        </w:tc>
        <w:tc>
          <w:tcPr>
            <w:tcW w:w="388" w:type="pct"/>
            <w:tcBorders>
              <w:top w:val="nil"/>
              <w:left w:val="nil"/>
              <w:bottom w:val="single" w:sz="8" w:space="0" w:color="auto"/>
              <w:right w:val="single" w:sz="8" w:space="0" w:color="auto"/>
            </w:tcBorders>
            <w:shd w:val="clear" w:color="000000" w:fill="D9D9D9"/>
            <w:vAlign w:val="center"/>
            <w:hideMark/>
          </w:tcPr>
          <w:p w14:paraId="2A769374"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2203999E" w14:textId="77777777" w:rsidR="00BF1B1B" w:rsidRPr="00FA433F" w:rsidRDefault="00F8743A"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7F28F905" w14:textId="77777777" w:rsidR="00BF1B1B" w:rsidRPr="00FA433F" w:rsidRDefault="00BF1B1B" w:rsidP="00B90996">
            <w:pPr>
              <w:spacing w:before="0" w:after="0"/>
              <w:jc w:val="center"/>
              <w:rPr>
                <w:noProof/>
                <w:sz w:val="16"/>
                <w:szCs w:val="16"/>
              </w:rPr>
            </w:pPr>
            <w:r w:rsidRPr="00FA433F">
              <w:rPr>
                <w:noProof/>
                <w:sz w:val="16"/>
              </w:rPr>
              <w:t>9</w:t>
            </w:r>
          </w:p>
        </w:tc>
        <w:tc>
          <w:tcPr>
            <w:tcW w:w="389" w:type="pct"/>
            <w:tcBorders>
              <w:top w:val="nil"/>
              <w:left w:val="single" w:sz="8" w:space="0" w:color="auto"/>
              <w:bottom w:val="single" w:sz="8" w:space="0" w:color="auto"/>
              <w:right w:val="single" w:sz="8" w:space="0" w:color="auto"/>
            </w:tcBorders>
            <w:shd w:val="clear" w:color="000000" w:fill="D9D9D9"/>
            <w:vAlign w:val="center"/>
          </w:tcPr>
          <w:p w14:paraId="61E61E9D" w14:textId="77777777" w:rsidR="00BF1B1B" w:rsidRPr="00FA433F" w:rsidRDefault="00BF1B1B" w:rsidP="00B90996">
            <w:pPr>
              <w:spacing w:before="0" w:after="0"/>
              <w:jc w:val="center"/>
              <w:rPr>
                <w:noProof/>
                <w:sz w:val="16"/>
                <w:szCs w:val="16"/>
              </w:rPr>
            </w:pPr>
            <w:r w:rsidRPr="00FA433F">
              <w:rPr>
                <w:noProof/>
                <w:sz w:val="16"/>
              </w:rPr>
              <w:t>6</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54315928" w14:textId="77777777" w:rsidR="00BF1B1B" w:rsidRPr="00FA433F" w:rsidRDefault="00BF1B1B" w:rsidP="00B90996">
            <w:pPr>
              <w:spacing w:before="0" w:after="0"/>
              <w:jc w:val="center"/>
              <w:rPr>
                <w:noProof/>
                <w:sz w:val="16"/>
                <w:szCs w:val="16"/>
              </w:rPr>
            </w:pPr>
            <w:r w:rsidRPr="00FA433F">
              <w:rPr>
                <w:noProof/>
                <w:sz w:val="16"/>
              </w:rPr>
              <w:t>0</w:t>
            </w:r>
          </w:p>
        </w:tc>
        <w:tc>
          <w:tcPr>
            <w:tcW w:w="390" w:type="pct"/>
            <w:tcBorders>
              <w:top w:val="nil"/>
              <w:left w:val="nil"/>
              <w:bottom w:val="single" w:sz="8" w:space="0" w:color="auto"/>
              <w:right w:val="single" w:sz="8" w:space="0" w:color="auto"/>
            </w:tcBorders>
            <w:shd w:val="clear" w:color="000000" w:fill="D9D9D9"/>
            <w:vAlign w:val="center"/>
            <w:hideMark/>
          </w:tcPr>
          <w:p w14:paraId="0436317F" w14:textId="77777777" w:rsidR="00BF1B1B" w:rsidRPr="00FA433F" w:rsidRDefault="00BF1B1B" w:rsidP="00B90996">
            <w:pPr>
              <w:spacing w:before="0" w:after="0"/>
              <w:jc w:val="center"/>
              <w:rPr>
                <w:noProof/>
                <w:sz w:val="16"/>
                <w:szCs w:val="16"/>
              </w:rPr>
            </w:pPr>
            <w:r w:rsidRPr="00FA433F">
              <w:rPr>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2E158012" w14:textId="2AAFE122" w:rsidR="00BF1B1B" w:rsidRPr="00FA433F" w:rsidRDefault="00081F3E" w:rsidP="00B90996">
            <w:pPr>
              <w:spacing w:before="0" w:after="0"/>
              <w:jc w:val="center"/>
              <w:rPr>
                <w:noProof/>
                <w:sz w:val="16"/>
                <w:szCs w:val="16"/>
              </w:rPr>
            </w:pPr>
            <w:r w:rsidRPr="00FA433F">
              <w:rPr>
                <w:noProof/>
                <w:sz w:val="16"/>
              </w:rPr>
              <w:t>17</w:t>
            </w:r>
          </w:p>
        </w:tc>
      </w:tr>
      <w:tr w:rsidR="00BF1B1B" w:rsidRPr="00FA433F" w14:paraId="740C8B4F" w14:textId="77777777" w:rsidTr="00081F3E">
        <w:trPr>
          <w:trHeight w:val="300"/>
        </w:trPr>
        <w:tc>
          <w:tcPr>
            <w:tcW w:w="2276" w:type="pct"/>
            <w:gridSpan w:val="4"/>
            <w:tcBorders>
              <w:top w:val="single" w:sz="8" w:space="0" w:color="auto"/>
              <w:left w:val="single" w:sz="8" w:space="0" w:color="auto"/>
              <w:bottom w:val="single" w:sz="8" w:space="0" w:color="auto"/>
              <w:right w:val="single" w:sz="8" w:space="0" w:color="auto"/>
            </w:tcBorders>
            <w:vAlign w:val="center"/>
            <w:hideMark/>
          </w:tcPr>
          <w:p w14:paraId="4D60919B" w14:textId="77777777" w:rsidR="00BF1B1B" w:rsidRPr="00FA433F" w:rsidRDefault="00BF1B1B">
            <w:pPr>
              <w:spacing w:before="0" w:after="0"/>
              <w:ind w:firstLineChars="100" w:firstLine="160"/>
              <w:jc w:val="left"/>
              <w:rPr>
                <w:b/>
                <w:bCs/>
                <w:noProof/>
                <w:sz w:val="16"/>
                <w:szCs w:val="16"/>
              </w:rPr>
            </w:pPr>
            <w:r w:rsidRPr="00FA433F">
              <w:rPr>
                <w:b/>
                <w:noProof/>
                <w:sz w:val="16"/>
              </w:rPr>
              <w:t>OGÓŁEM</w:t>
            </w:r>
          </w:p>
        </w:tc>
        <w:tc>
          <w:tcPr>
            <w:tcW w:w="388" w:type="pct"/>
            <w:tcBorders>
              <w:top w:val="nil"/>
              <w:left w:val="nil"/>
              <w:bottom w:val="single" w:sz="8" w:space="0" w:color="auto"/>
              <w:right w:val="single" w:sz="8" w:space="0" w:color="auto"/>
            </w:tcBorders>
            <w:shd w:val="clear" w:color="000000" w:fill="D9D9D9"/>
            <w:vAlign w:val="center"/>
            <w:hideMark/>
          </w:tcPr>
          <w:p w14:paraId="0CBED78E" w14:textId="77777777" w:rsidR="00BF1B1B" w:rsidRPr="00FA433F" w:rsidRDefault="00BF1B1B">
            <w:pPr>
              <w:spacing w:before="0" w:after="0"/>
              <w:jc w:val="center"/>
              <w:rPr>
                <w:b/>
                <w:bCs/>
                <w:noProof/>
                <w:sz w:val="16"/>
                <w:szCs w:val="16"/>
              </w:rPr>
            </w:pPr>
            <w:r w:rsidRPr="00FA433F">
              <w:rPr>
                <w:b/>
                <w:noProof/>
                <w:sz w:val="16"/>
              </w:rPr>
              <w:t>0</w:t>
            </w:r>
          </w:p>
        </w:tc>
        <w:tc>
          <w:tcPr>
            <w:tcW w:w="389" w:type="pct"/>
            <w:tcBorders>
              <w:top w:val="nil"/>
              <w:left w:val="nil"/>
              <w:bottom w:val="single" w:sz="8" w:space="0" w:color="auto"/>
              <w:right w:val="single" w:sz="8" w:space="0" w:color="auto"/>
            </w:tcBorders>
            <w:shd w:val="clear" w:color="000000" w:fill="D9D9D9"/>
            <w:vAlign w:val="center"/>
            <w:hideMark/>
          </w:tcPr>
          <w:p w14:paraId="106019D0" w14:textId="77777777" w:rsidR="00BF1B1B" w:rsidRPr="00FA433F" w:rsidRDefault="00F8743A">
            <w:pPr>
              <w:spacing w:before="0" w:after="0"/>
              <w:jc w:val="center"/>
              <w:rPr>
                <w:b/>
                <w:bCs/>
                <w:noProof/>
                <w:sz w:val="16"/>
                <w:szCs w:val="16"/>
              </w:rPr>
            </w:pPr>
            <w:r w:rsidRPr="00FA433F">
              <w:rPr>
                <w:b/>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51CAEF04" w14:textId="77777777" w:rsidR="00BF1B1B" w:rsidRPr="00FA433F" w:rsidRDefault="00BF1B1B">
            <w:pPr>
              <w:spacing w:before="0" w:after="0"/>
              <w:jc w:val="center"/>
              <w:rPr>
                <w:b/>
                <w:bCs/>
                <w:noProof/>
                <w:sz w:val="16"/>
                <w:szCs w:val="16"/>
              </w:rPr>
            </w:pPr>
            <w:r w:rsidRPr="00FA433F">
              <w:rPr>
                <w:b/>
                <w:noProof/>
                <w:sz w:val="16"/>
              </w:rPr>
              <w:t>9</w:t>
            </w:r>
          </w:p>
        </w:tc>
        <w:tc>
          <w:tcPr>
            <w:tcW w:w="389" w:type="pct"/>
            <w:tcBorders>
              <w:top w:val="nil"/>
              <w:left w:val="single" w:sz="8" w:space="0" w:color="auto"/>
              <w:bottom w:val="single" w:sz="8" w:space="0" w:color="auto"/>
              <w:right w:val="single" w:sz="8" w:space="0" w:color="auto"/>
            </w:tcBorders>
            <w:shd w:val="clear" w:color="000000" w:fill="D9D9D9"/>
            <w:vAlign w:val="center"/>
          </w:tcPr>
          <w:p w14:paraId="71405DF8" w14:textId="77777777" w:rsidR="00BF1B1B" w:rsidRPr="00FA433F" w:rsidRDefault="00BF1B1B">
            <w:pPr>
              <w:spacing w:before="0" w:after="0"/>
              <w:jc w:val="center"/>
              <w:rPr>
                <w:b/>
                <w:bCs/>
                <w:noProof/>
                <w:sz w:val="16"/>
                <w:szCs w:val="16"/>
              </w:rPr>
            </w:pPr>
            <w:r w:rsidRPr="00FA433F">
              <w:rPr>
                <w:b/>
                <w:noProof/>
                <w:sz w:val="16"/>
              </w:rPr>
              <w:t>6</w:t>
            </w:r>
          </w:p>
        </w:tc>
        <w:tc>
          <w:tcPr>
            <w:tcW w:w="389" w:type="pct"/>
            <w:tcBorders>
              <w:top w:val="nil"/>
              <w:left w:val="single" w:sz="8" w:space="0" w:color="auto"/>
              <w:bottom w:val="single" w:sz="8" w:space="0" w:color="auto"/>
              <w:right w:val="single" w:sz="8" w:space="0" w:color="auto"/>
            </w:tcBorders>
            <w:shd w:val="clear" w:color="000000" w:fill="D9D9D9"/>
            <w:vAlign w:val="center"/>
            <w:hideMark/>
          </w:tcPr>
          <w:p w14:paraId="4D61D40D" w14:textId="77777777" w:rsidR="00BF1B1B" w:rsidRPr="00FA433F" w:rsidRDefault="00BF1B1B">
            <w:pPr>
              <w:spacing w:before="0" w:after="0"/>
              <w:jc w:val="center"/>
              <w:rPr>
                <w:b/>
                <w:bCs/>
                <w:noProof/>
                <w:sz w:val="16"/>
                <w:szCs w:val="16"/>
              </w:rPr>
            </w:pPr>
            <w:r w:rsidRPr="00FA433F">
              <w:rPr>
                <w:b/>
                <w:noProof/>
                <w:sz w:val="16"/>
              </w:rPr>
              <w:t>2</w:t>
            </w:r>
          </w:p>
        </w:tc>
        <w:tc>
          <w:tcPr>
            <w:tcW w:w="390" w:type="pct"/>
            <w:tcBorders>
              <w:top w:val="nil"/>
              <w:left w:val="nil"/>
              <w:bottom w:val="single" w:sz="8" w:space="0" w:color="auto"/>
              <w:right w:val="single" w:sz="8" w:space="0" w:color="auto"/>
            </w:tcBorders>
            <w:shd w:val="clear" w:color="000000" w:fill="D9D9D9"/>
            <w:vAlign w:val="center"/>
            <w:hideMark/>
          </w:tcPr>
          <w:p w14:paraId="3D10D25C" w14:textId="77777777" w:rsidR="00BF1B1B" w:rsidRPr="00FA433F" w:rsidRDefault="00BF1B1B">
            <w:pPr>
              <w:spacing w:before="0" w:after="0"/>
              <w:jc w:val="center"/>
              <w:rPr>
                <w:b/>
                <w:bCs/>
                <w:noProof/>
                <w:sz w:val="16"/>
                <w:szCs w:val="16"/>
              </w:rPr>
            </w:pPr>
            <w:r w:rsidRPr="00FA433F">
              <w:rPr>
                <w:b/>
                <w:noProof/>
                <w:sz w:val="16"/>
              </w:rPr>
              <w:t>0</w:t>
            </w:r>
          </w:p>
        </w:tc>
        <w:tc>
          <w:tcPr>
            <w:tcW w:w="389" w:type="pct"/>
            <w:tcBorders>
              <w:top w:val="nil"/>
              <w:left w:val="nil"/>
              <w:bottom w:val="single" w:sz="8" w:space="0" w:color="auto"/>
              <w:right w:val="single" w:sz="8" w:space="0" w:color="auto"/>
            </w:tcBorders>
            <w:shd w:val="clear" w:color="000000" w:fill="D9D9D9"/>
            <w:vAlign w:val="center"/>
          </w:tcPr>
          <w:p w14:paraId="4962F2E1" w14:textId="385C9BB6" w:rsidR="00BF1B1B" w:rsidRPr="00FA433F" w:rsidRDefault="00F8743A">
            <w:pPr>
              <w:spacing w:before="0" w:after="0"/>
              <w:jc w:val="center"/>
              <w:rPr>
                <w:b/>
                <w:bCs/>
                <w:noProof/>
                <w:sz w:val="16"/>
                <w:szCs w:val="16"/>
              </w:rPr>
            </w:pPr>
            <w:r w:rsidRPr="00FA433F">
              <w:rPr>
                <w:b/>
                <w:noProof/>
                <w:sz w:val="16"/>
              </w:rPr>
              <w:t>17</w:t>
            </w:r>
          </w:p>
        </w:tc>
      </w:tr>
    </w:tbl>
    <w:p w14:paraId="20495348" w14:textId="77777777" w:rsidR="008A4C15" w:rsidRPr="00FA433F" w:rsidRDefault="008A4C15">
      <w:pPr>
        <w:pStyle w:val="ManualHeading3"/>
        <w:rPr>
          <w:noProof/>
        </w:rPr>
      </w:pPr>
      <w:bookmarkStart w:id="165" w:name="_Toc167220297"/>
      <w:bookmarkStart w:id="166" w:name="_Toc177549030"/>
      <w:r w:rsidRPr="00FA433F">
        <w:rPr>
          <w:noProof/>
        </w:rPr>
        <w:t>3.2.4.3.</w:t>
      </w:r>
      <w:r w:rsidRPr="00FA433F">
        <w:rPr>
          <w:noProof/>
        </w:rPr>
        <w:tab/>
        <w:t>Zapotrzebowanie na zasoby ludzkie ogółem</w:t>
      </w:r>
      <w:bookmarkEnd w:id="165"/>
      <w:bookmarkEnd w:id="166"/>
    </w:p>
    <w:tbl>
      <w:tblPr>
        <w:tblW w:w="9289" w:type="dxa"/>
        <w:tblLook w:val="04A0" w:firstRow="1" w:lastRow="0" w:firstColumn="1" w:lastColumn="0" w:noHBand="0" w:noVBand="1"/>
      </w:tblPr>
      <w:tblGrid>
        <w:gridCol w:w="963"/>
        <w:gridCol w:w="442"/>
        <w:gridCol w:w="336"/>
        <w:gridCol w:w="2224"/>
        <w:gridCol w:w="794"/>
        <w:gridCol w:w="794"/>
        <w:gridCol w:w="794"/>
        <w:gridCol w:w="693"/>
        <w:gridCol w:w="739"/>
        <w:gridCol w:w="794"/>
        <w:gridCol w:w="716"/>
      </w:tblGrid>
      <w:tr w:rsidR="00D457E5" w:rsidRPr="00FA433F" w14:paraId="040577BE" w14:textId="77777777" w:rsidTr="00D00E0B">
        <w:trPr>
          <w:trHeight w:val="492"/>
        </w:trPr>
        <w:tc>
          <w:tcPr>
            <w:tcW w:w="3968"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380CB51E" w14:textId="77777777" w:rsidR="00D457E5" w:rsidRPr="00FA433F" w:rsidRDefault="00D457E5" w:rsidP="00676CE2">
            <w:pPr>
              <w:spacing w:before="0" w:after="0"/>
              <w:jc w:val="center"/>
              <w:rPr>
                <w:b/>
                <w:bCs/>
                <w:noProof/>
                <w:sz w:val="18"/>
                <w:szCs w:val="18"/>
              </w:rPr>
            </w:pPr>
            <w:r w:rsidRPr="00FA433F">
              <w:rPr>
                <w:b/>
                <w:noProof/>
                <w:sz w:val="18"/>
              </w:rPr>
              <w:t>OGÓŁEM ZATWIERDZONE ŚRODKI + ZEWNĘTRZNE DOCHODY PRZEZNACZONE NA OKREŚLONY CEL</w:t>
            </w:r>
          </w:p>
        </w:tc>
        <w:tc>
          <w:tcPr>
            <w:tcW w:w="795" w:type="dxa"/>
            <w:tcBorders>
              <w:top w:val="single" w:sz="8" w:space="0" w:color="auto"/>
              <w:left w:val="nil"/>
              <w:bottom w:val="nil"/>
              <w:right w:val="single" w:sz="8" w:space="0" w:color="auto"/>
            </w:tcBorders>
            <w:vAlign w:val="center"/>
            <w:hideMark/>
          </w:tcPr>
          <w:p w14:paraId="5A8D1012" w14:textId="77777777" w:rsidR="00D457E5" w:rsidRPr="00FA433F" w:rsidRDefault="00D457E5" w:rsidP="00676CE2">
            <w:pPr>
              <w:spacing w:before="0" w:after="0"/>
              <w:jc w:val="center"/>
              <w:rPr>
                <w:noProof/>
                <w:sz w:val="20"/>
                <w:szCs w:val="20"/>
              </w:rPr>
            </w:pPr>
            <w:r w:rsidRPr="00FA433F">
              <w:rPr>
                <w:noProof/>
                <w:sz w:val="20"/>
              </w:rPr>
              <w:t>Rok</w:t>
            </w:r>
          </w:p>
        </w:tc>
        <w:tc>
          <w:tcPr>
            <w:tcW w:w="795" w:type="dxa"/>
            <w:tcBorders>
              <w:top w:val="single" w:sz="8" w:space="0" w:color="auto"/>
              <w:left w:val="nil"/>
              <w:bottom w:val="nil"/>
              <w:right w:val="single" w:sz="8" w:space="0" w:color="auto"/>
            </w:tcBorders>
            <w:vAlign w:val="center"/>
            <w:hideMark/>
          </w:tcPr>
          <w:p w14:paraId="70AE6A03" w14:textId="77777777" w:rsidR="00D457E5" w:rsidRPr="00FA433F" w:rsidRDefault="00D457E5" w:rsidP="00676CE2">
            <w:pPr>
              <w:spacing w:before="0" w:after="0"/>
              <w:jc w:val="center"/>
              <w:rPr>
                <w:noProof/>
                <w:sz w:val="20"/>
                <w:szCs w:val="20"/>
              </w:rPr>
            </w:pPr>
            <w:r w:rsidRPr="00FA433F">
              <w:rPr>
                <w:noProof/>
                <w:sz w:val="20"/>
              </w:rPr>
              <w:t>Rok</w:t>
            </w:r>
          </w:p>
        </w:tc>
        <w:tc>
          <w:tcPr>
            <w:tcW w:w="795" w:type="dxa"/>
            <w:tcBorders>
              <w:top w:val="single" w:sz="8" w:space="0" w:color="auto"/>
              <w:left w:val="nil"/>
              <w:bottom w:val="nil"/>
              <w:right w:val="single" w:sz="8" w:space="0" w:color="auto"/>
            </w:tcBorders>
            <w:vAlign w:val="center"/>
            <w:hideMark/>
          </w:tcPr>
          <w:p w14:paraId="6E25EF5F" w14:textId="77777777" w:rsidR="00D457E5" w:rsidRPr="00FA433F" w:rsidRDefault="00D457E5" w:rsidP="00676CE2">
            <w:pPr>
              <w:spacing w:before="0" w:after="0"/>
              <w:jc w:val="center"/>
              <w:rPr>
                <w:noProof/>
                <w:sz w:val="20"/>
                <w:szCs w:val="20"/>
              </w:rPr>
            </w:pPr>
            <w:r w:rsidRPr="00FA433F">
              <w:rPr>
                <w:noProof/>
                <w:sz w:val="20"/>
              </w:rPr>
              <w:t>Rok</w:t>
            </w:r>
          </w:p>
        </w:tc>
        <w:tc>
          <w:tcPr>
            <w:tcW w:w="693" w:type="dxa"/>
            <w:tcBorders>
              <w:top w:val="single" w:sz="8" w:space="0" w:color="auto"/>
              <w:left w:val="nil"/>
              <w:bottom w:val="nil"/>
              <w:right w:val="single" w:sz="8" w:space="0" w:color="auto"/>
            </w:tcBorders>
            <w:vAlign w:val="center"/>
          </w:tcPr>
          <w:p w14:paraId="405CFA23" w14:textId="77777777" w:rsidR="00D457E5" w:rsidRPr="00FA433F" w:rsidRDefault="00D457E5" w:rsidP="00676CE2">
            <w:pPr>
              <w:spacing w:before="0" w:after="0"/>
              <w:jc w:val="center"/>
              <w:rPr>
                <w:noProof/>
                <w:sz w:val="20"/>
                <w:szCs w:val="20"/>
              </w:rPr>
            </w:pPr>
            <w:r w:rsidRPr="00FA433F">
              <w:rPr>
                <w:noProof/>
                <w:sz w:val="20"/>
              </w:rPr>
              <w:t>Rok</w:t>
            </w:r>
          </w:p>
        </w:tc>
        <w:tc>
          <w:tcPr>
            <w:tcW w:w="739" w:type="dxa"/>
            <w:tcBorders>
              <w:top w:val="single" w:sz="8" w:space="0" w:color="auto"/>
              <w:left w:val="single" w:sz="8" w:space="0" w:color="auto"/>
              <w:bottom w:val="nil"/>
              <w:right w:val="single" w:sz="8" w:space="0" w:color="auto"/>
            </w:tcBorders>
            <w:vAlign w:val="center"/>
          </w:tcPr>
          <w:p w14:paraId="49F4D679" w14:textId="77777777" w:rsidR="00D457E5" w:rsidRPr="00FA433F" w:rsidRDefault="00D457E5" w:rsidP="00676CE2">
            <w:pPr>
              <w:spacing w:before="0" w:after="0"/>
              <w:jc w:val="center"/>
              <w:rPr>
                <w:noProof/>
                <w:sz w:val="20"/>
                <w:szCs w:val="20"/>
              </w:rPr>
            </w:pPr>
            <w:r w:rsidRPr="00FA433F">
              <w:rPr>
                <w:noProof/>
                <w:sz w:val="20"/>
              </w:rPr>
              <w:t>Rok</w:t>
            </w:r>
          </w:p>
        </w:tc>
        <w:tc>
          <w:tcPr>
            <w:tcW w:w="795" w:type="dxa"/>
            <w:tcBorders>
              <w:top w:val="single" w:sz="8" w:space="0" w:color="auto"/>
              <w:left w:val="single" w:sz="8" w:space="0" w:color="auto"/>
              <w:bottom w:val="nil"/>
              <w:right w:val="single" w:sz="8" w:space="0" w:color="auto"/>
            </w:tcBorders>
            <w:vAlign w:val="center"/>
            <w:hideMark/>
          </w:tcPr>
          <w:p w14:paraId="50D4BDEB" w14:textId="77777777" w:rsidR="00D457E5" w:rsidRPr="00FA433F" w:rsidRDefault="00D457E5" w:rsidP="00676CE2">
            <w:pPr>
              <w:spacing w:before="0" w:after="0"/>
              <w:jc w:val="center"/>
              <w:rPr>
                <w:noProof/>
                <w:sz w:val="20"/>
                <w:szCs w:val="20"/>
              </w:rPr>
            </w:pPr>
            <w:r w:rsidRPr="00FA433F">
              <w:rPr>
                <w:noProof/>
                <w:sz w:val="20"/>
              </w:rPr>
              <w:t>Rok</w:t>
            </w:r>
          </w:p>
        </w:tc>
        <w:tc>
          <w:tcPr>
            <w:tcW w:w="709" w:type="dxa"/>
            <w:vMerge w:val="restart"/>
            <w:tcBorders>
              <w:top w:val="single" w:sz="8" w:space="0" w:color="auto"/>
              <w:left w:val="single" w:sz="8" w:space="0" w:color="auto"/>
              <w:right w:val="single" w:sz="8" w:space="0" w:color="auto"/>
            </w:tcBorders>
            <w:vAlign w:val="center"/>
          </w:tcPr>
          <w:p w14:paraId="0C86B1AC" w14:textId="77777777" w:rsidR="00D457E5" w:rsidRPr="00FA433F" w:rsidRDefault="00D457E5" w:rsidP="00676CE2">
            <w:pPr>
              <w:spacing w:before="0" w:after="0"/>
              <w:jc w:val="center"/>
              <w:rPr>
                <w:noProof/>
                <w:sz w:val="20"/>
                <w:szCs w:val="20"/>
              </w:rPr>
            </w:pPr>
            <w:r w:rsidRPr="00FA433F">
              <w:rPr>
                <w:noProof/>
                <w:sz w:val="20"/>
              </w:rPr>
              <w:t>Rok</w:t>
            </w:r>
          </w:p>
          <w:p w14:paraId="265ACA09" w14:textId="77777777" w:rsidR="00D457E5" w:rsidRPr="00FA433F" w:rsidRDefault="00793CF2" w:rsidP="00676CE2">
            <w:pPr>
              <w:spacing w:before="0" w:after="0"/>
              <w:jc w:val="center"/>
              <w:rPr>
                <w:b/>
                <w:bCs/>
                <w:noProof/>
                <w:sz w:val="20"/>
                <w:szCs w:val="20"/>
              </w:rPr>
            </w:pPr>
            <w:r w:rsidRPr="00FA433F">
              <w:rPr>
                <w:b/>
                <w:noProof/>
                <w:sz w:val="20"/>
              </w:rPr>
              <w:t>2026–2031</w:t>
            </w:r>
          </w:p>
        </w:tc>
      </w:tr>
      <w:tr w:rsidR="00D457E5" w:rsidRPr="00FA433F" w14:paraId="0CA4805C" w14:textId="77777777" w:rsidTr="00D00E0B">
        <w:trPr>
          <w:trHeight w:val="492"/>
        </w:trPr>
        <w:tc>
          <w:tcPr>
            <w:tcW w:w="3968" w:type="dxa"/>
            <w:gridSpan w:val="4"/>
            <w:vMerge/>
            <w:tcBorders>
              <w:top w:val="single" w:sz="8" w:space="0" w:color="auto"/>
              <w:left w:val="single" w:sz="8" w:space="0" w:color="auto"/>
              <w:bottom w:val="single" w:sz="8" w:space="0" w:color="auto"/>
              <w:right w:val="single" w:sz="8" w:space="0" w:color="000000"/>
            </w:tcBorders>
            <w:vAlign w:val="center"/>
            <w:hideMark/>
          </w:tcPr>
          <w:p w14:paraId="60CF578A" w14:textId="77777777" w:rsidR="00D457E5" w:rsidRPr="00FA433F" w:rsidRDefault="00D457E5" w:rsidP="00676CE2">
            <w:pPr>
              <w:spacing w:before="0" w:after="0"/>
              <w:jc w:val="left"/>
              <w:rPr>
                <w:b/>
                <w:bCs/>
                <w:noProof/>
                <w:sz w:val="18"/>
                <w:szCs w:val="18"/>
                <w:lang w:eastAsia="en-IE"/>
              </w:rPr>
            </w:pPr>
          </w:p>
        </w:tc>
        <w:tc>
          <w:tcPr>
            <w:tcW w:w="795" w:type="dxa"/>
            <w:tcBorders>
              <w:top w:val="nil"/>
              <w:left w:val="nil"/>
              <w:bottom w:val="single" w:sz="8" w:space="0" w:color="auto"/>
              <w:right w:val="single" w:sz="8" w:space="0" w:color="auto"/>
            </w:tcBorders>
            <w:vAlign w:val="center"/>
            <w:hideMark/>
          </w:tcPr>
          <w:p w14:paraId="0D5E26B9" w14:textId="77777777" w:rsidR="00D457E5" w:rsidRPr="00FA433F" w:rsidRDefault="00D457E5" w:rsidP="00676CE2">
            <w:pPr>
              <w:spacing w:before="0" w:after="0"/>
              <w:jc w:val="center"/>
              <w:rPr>
                <w:b/>
                <w:bCs/>
                <w:noProof/>
                <w:sz w:val="20"/>
                <w:szCs w:val="20"/>
              </w:rPr>
            </w:pPr>
            <w:r w:rsidRPr="00FA433F">
              <w:rPr>
                <w:b/>
                <w:noProof/>
                <w:sz w:val="20"/>
              </w:rPr>
              <w:t>2026</w:t>
            </w:r>
          </w:p>
        </w:tc>
        <w:tc>
          <w:tcPr>
            <w:tcW w:w="795" w:type="dxa"/>
            <w:tcBorders>
              <w:top w:val="nil"/>
              <w:left w:val="nil"/>
              <w:bottom w:val="single" w:sz="8" w:space="0" w:color="auto"/>
              <w:right w:val="single" w:sz="8" w:space="0" w:color="auto"/>
            </w:tcBorders>
            <w:vAlign w:val="center"/>
            <w:hideMark/>
          </w:tcPr>
          <w:p w14:paraId="700035A9" w14:textId="77777777" w:rsidR="00D457E5" w:rsidRPr="00FA433F" w:rsidRDefault="00D457E5" w:rsidP="00676CE2">
            <w:pPr>
              <w:spacing w:before="0" w:after="0"/>
              <w:jc w:val="center"/>
              <w:rPr>
                <w:b/>
                <w:bCs/>
                <w:noProof/>
                <w:sz w:val="20"/>
                <w:szCs w:val="20"/>
              </w:rPr>
            </w:pPr>
            <w:r w:rsidRPr="00FA433F">
              <w:rPr>
                <w:b/>
                <w:noProof/>
                <w:sz w:val="20"/>
              </w:rPr>
              <w:t>2027</w:t>
            </w:r>
          </w:p>
        </w:tc>
        <w:tc>
          <w:tcPr>
            <w:tcW w:w="795" w:type="dxa"/>
            <w:tcBorders>
              <w:top w:val="nil"/>
              <w:left w:val="nil"/>
              <w:bottom w:val="single" w:sz="8" w:space="0" w:color="auto"/>
              <w:right w:val="single" w:sz="8" w:space="0" w:color="auto"/>
            </w:tcBorders>
            <w:vAlign w:val="center"/>
            <w:hideMark/>
          </w:tcPr>
          <w:p w14:paraId="531785E9" w14:textId="77777777" w:rsidR="00D457E5" w:rsidRPr="00FA433F" w:rsidRDefault="00D457E5" w:rsidP="00676CE2">
            <w:pPr>
              <w:spacing w:before="0" w:after="0"/>
              <w:jc w:val="center"/>
              <w:rPr>
                <w:b/>
                <w:bCs/>
                <w:noProof/>
                <w:sz w:val="20"/>
                <w:szCs w:val="20"/>
              </w:rPr>
            </w:pPr>
            <w:r w:rsidRPr="00FA433F">
              <w:rPr>
                <w:b/>
                <w:noProof/>
                <w:sz w:val="20"/>
              </w:rPr>
              <w:t>2028</w:t>
            </w:r>
          </w:p>
        </w:tc>
        <w:tc>
          <w:tcPr>
            <w:tcW w:w="693" w:type="dxa"/>
            <w:tcBorders>
              <w:top w:val="nil"/>
              <w:left w:val="nil"/>
              <w:bottom w:val="single" w:sz="8" w:space="0" w:color="auto"/>
              <w:right w:val="single" w:sz="8" w:space="0" w:color="auto"/>
            </w:tcBorders>
            <w:vAlign w:val="center"/>
          </w:tcPr>
          <w:p w14:paraId="48791CAD" w14:textId="77777777" w:rsidR="00D457E5" w:rsidRPr="00FA433F" w:rsidRDefault="00D457E5" w:rsidP="00676CE2">
            <w:pPr>
              <w:spacing w:before="0" w:after="0"/>
              <w:jc w:val="center"/>
              <w:rPr>
                <w:b/>
                <w:bCs/>
                <w:noProof/>
                <w:sz w:val="20"/>
                <w:szCs w:val="20"/>
              </w:rPr>
            </w:pPr>
            <w:r w:rsidRPr="00FA433F">
              <w:rPr>
                <w:b/>
                <w:noProof/>
                <w:sz w:val="20"/>
              </w:rPr>
              <w:t>2029</w:t>
            </w:r>
          </w:p>
        </w:tc>
        <w:tc>
          <w:tcPr>
            <w:tcW w:w="739" w:type="dxa"/>
            <w:tcBorders>
              <w:top w:val="nil"/>
              <w:left w:val="single" w:sz="8" w:space="0" w:color="auto"/>
              <w:bottom w:val="single" w:sz="8" w:space="0" w:color="auto"/>
              <w:right w:val="single" w:sz="8" w:space="0" w:color="auto"/>
            </w:tcBorders>
            <w:vAlign w:val="center"/>
          </w:tcPr>
          <w:p w14:paraId="694DFB4D" w14:textId="77777777" w:rsidR="00D457E5" w:rsidRPr="00FA433F" w:rsidRDefault="00D457E5" w:rsidP="00676CE2">
            <w:pPr>
              <w:spacing w:before="0" w:after="0"/>
              <w:jc w:val="center"/>
              <w:rPr>
                <w:b/>
                <w:bCs/>
                <w:noProof/>
                <w:sz w:val="20"/>
                <w:szCs w:val="20"/>
              </w:rPr>
            </w:pPr>
            <w:r w:rsidRPr="00FA433F">
              <w:rPr>
                <w:b/>
                <w:noProof/>
                <w:sz w:val="20"/>
              </w:rPr>
              <w:t>2030</w:t>
            </w:r>
          </w:p>
        </w:tc>
        <w:tc>
          <w:tcPr>
            <w:tcW w:w="795" w:type="dxa"/>
            <w:tcBorders>
              <w:top w:val="nil"/>
              <w:left w:val="single" w:sz="8" w:space="0" w:color="auto"/>
              <w:bottom w:val="single" w:sz="8" w:space="0" w:color="auto"/>
              <w:right w:val="single" w:sz="8" w:space="0" w:color="auto"/>
            </w:tcBorders>
            <w:vAlign w:val="center"/>
            <w:hideMark/>
          </w:tcPr>
          <w:p w14:paraId="6FAEACBC" w14:textId="77777777" w:rsidR="00D457E5" w:rsidRPr="00FA433F" w:rsidRDefault="00D457E5" w:rsidP="00676CE2">
            <w:pPr>
              <w:spacing w:before="0" w:after="0"/>
              <w:jc w:val="center"/>
              <w:rPr>
                <w:b/>
                <w:bCs/>
                <w:noProof/>
                <w:sz w:val="20"/>
                <w:szCs w:val="20"/>
              </w:rPr>
            </w:pPr>
            <w:r w:rsidRPr="00FA433F">
              <w:rPr>
                <w:b/>
                <w:noProof/>
                <w:sz w:val="20"/>
              </w:rPr>
              <w:t>2031</w:t>
            </w:r>
          </w:p>
        </w:tc>
        <w:tc>
          <w:tcPr>
            <w:tcW w:w="709" w:type="dxa"/>
            <w:vMerge/>
            <w:tcBorders>
              <w:left w:val="single" w:sz="8" w:space="0" w:color="auto"/>
              <w:bottom w:val="single" w:sz="8" w:space="0" w:color="auto"/>
              <w:right w:val="single" w:sz="8" w:space="0" w:color="auto"/>
            </w:tcBorders>
            <w:vAlign w:val="center"/>
          </w:tcPr>
          <w:p w14:paraId="1B259A7D" w14:textId="77777777" w:rsidR="00D457E5" w:rsidRPr="00FA433F" w:rsidRDefault="00D457E5" w:rsidP="00676CE2">
            <w:pPr>
              <w:spacing w:before="0" w:after="0"/>
              <w:jc w:val="center"/>
              <w:rPr>
                <w:b/>
                <w:bCs/>
                <w:noProof/>
                <w:sz w:val="20"/>
                <w:szCs w:val="20"/>
                <w:lang w:eastAsia="en-IE"/>
              </w:rPr>
            </w:pPr>
          </w:p>
        </w:tc>
      </w:tr>
      <w:tr w:rsidR="00D457E5" w:rsidRPr="00FA433F" w14:paraId="0DC01FDE" w14:textId="77777777" w:rsidTr="00D00E0B">
        <w:trPr>
          <w:trHeight w:val="300"/>
        </w:trPr>
        <w:tc>
          <w:tcPr>
            <w:tcW w:w="962" w:type="dxa"/>
            <w:tcBorders>
              <w:top w:val="single" w:sz="8" w:space="0" w:color="auto"/>
              <w:left w:val="single" w:sz="8" w:space="0" w:color="auto"/>
              <w:bottom w:val="single" w:sz="8" w:space="0" w:color="auto"/>
              <w:right w:val="single" w:sz="4" w:space="0" w:color="auto"/>
            </w:tcBorders>
          </w:tcPr>
          <w:p w14:paraId="1DDCFFD2" w14:textId="77777777" w:rsidR="00D457E5" w:rsidRPr="00FA433F" w:rsidRDefault="00D457E5">
            <w:pPr>
              <w:spacing w:before="0" w:after="0"/>
              <w:jc w:val="left"/>
              <w:rPr>
                <w:rFonts w:ascii="Wingdings" w:hAnsi="Wingdings" w:cs="Calibri"/>
                <w:b/>
                <w:bCs/>
                <w:noProof/>
                <w:sz w:val="16"/>
                <w:szCs w:val="16"/>
                <w:lang w:eastAsia="en-IE"/>
              </w:rPr>
            </w:pPr>
          </w:p>
        </w:tc>
        <w:tc>
          <w:tcPr>
            <w:tcW w:w="778" w:type="dxa"/>
            <w:gridSpan w:val="2"/>
            <w:tcBorders>
              <w:top w:val="single" w:sz="8" w:space="0" w:color="auto"/>
              <w:left w:val="single" w:sz="8" w:space="0" w:color="auto"/>
              <w:bottom w:val="single" w:sz="8" w:space="0" w:color="auto"/>
              <w:right w:val="single" w:sz="8" w:space="0" w:color="auto"/>
            </w:tcBorders>
          </w:tcPr>
          <w:p w14:paraId="424EF02F" w14:textId="77777777" w:rsidR="00D457E5" w:rsidRPr="00FA433F" w:rsidRDefault="00D457E5">
            <w:pPr>
              <w:spacing w:before="0" w:after="0"/>
              <w:jc w:val="left"/>
              <w:rPr>
                <w:rFonts w:ascii="Wingdings" w:hAnsi="Wingdings" w:cs="Calibri"/>
                <w:b/>
                <w:bCs/>
                <w:noProof/>
                <w:sz w:val="16"/>
                <w:szCs w:val="16"/>
                <w:lang w:eastAsia="en-IE"/>
              </w:rPr>
            </w:pPr>
          </w:p>
        </w:tc>
        <w:tc>
          <w:tcPr>
            <w:tcW w:w="6840" w:type="dxa"/>
            <w:gridSpan w:val="7"/>
            <w:tcBorders>
              <w:top w:val="single" w:sz="8" w:space="0" w:color="auto"/>
              <w:left w:val="single" w:sz="8" w:space="0" w:color="auto"/>
              <w:bottom w:val="single" w:sz="8" w:space="0" w:color="auto"/>
              <w:right w:val="single" w:sz="4" w:space="0" w:color="auto"/>
            </w:tcBorders>
            <w:vAlign w:val="center"/>
            <w:hideMark/>
          </w:tcPr>
          <w:p w14:paraId="69610D32" w14:textId="0E725DA8" w:rsidR="00D457E5" w:rsidRPr="00FA433F" w:rsidRDefault="00D457E5">
            <w:pPr>
              <w:spacing w:before="0" w:after="0"/>
              <w:jc w:val="left"/>
              <w:rPr>
                <w:rFonts w:ascii="Wingdings" w:hAnsi="Wingdings" w:cs="Calibri"/>
                <w:b/>
                <w:bCs/>
                <w:noProof/>
                <w:sz w:val="16"/>
                <w:szCs w:val="16"/>
              </w:rPr>
            </w:pPr>
            <w:r w:rsidRPr="00FA433F">
              <w:rPr>
                <w:rFonts w:ascii="Wingdings" w:hAnsi="Wingdings"/>
                <w:b/>
                <w:noProof/>
                <w:sz w:val="16"/>
              </w:rPr>
              <w:t></w:t>
            </w:r>
            <w:r w:rsidRPr="00FA433F">
              <w:rPr>
                <w:b/>
                <w:noProof/>
                <w:sz w:val="16"/>
              </w:rPr>
              <w:t xml:space="preserve"> Stanowiska przewidziane</w:t>
            </w:r>
            <w:r w:rsidR="00FA433F" w:rsidRPr="00FA433F">
              <w:rPr>
                <w:b/>
                <w:noProof/>
                <w:sz w:val="16"/>
              </w:rPr>
              <w:t xml:space="preserve"> w</w:t>
            </w:r>
            <w:r w:rsidR="00FA433F">
              <w:rPr>
                <w:b/>
                <w:noProof/>
                <w:sz w:val="16"/>
              </w:rPr>
              <w:t> </w:t>
            </w:r>
            <w:r w:rsidR="00FA433F" w:rsidRPr="00FA433F">
              <w:rPr>
                <w:b/>
                <w:noProof/>
                <w:sz w:val="16"/>
              </w:rPr>
              <w:t>pla</w:t>
            </w:r>
            <w:r w:rsidRPr="00FA433F">
              <w:rPr>
                <w:b/>
                <w:noProof/>
                <w:sz w:val="16"/>
              </w:rPr>
              <w:t>nie zatrudnienia (stanowiska urzędników</w:t>
            </w:r>
            <w:r w:rsidR="00FA433F" w:rsidRPr="00FA433F">
              <w:rPr>
                <w:b/>
                <w:noProof/>
                <w:sz w:val="16"/>
              </w:rPr>
              <w:t xml:space="preserve"> i</w:t>
            </w:r>
            <w:r w:rsidR="00FA433F">
              <w:rPr>
                <w:b/>
                <w:noProof/>
                <w:sz w:val="16"/>
              </w:rPr>
              <w:t> </w:t>
            </w:r>
            <w:r w:rsidR="00FA433F" w:rsidRPr="00FA433F">
              <w:rPr>
                <w:b/>
                <w:noProof/>
                <w:sz w:val="16"/>
              </w:rPr>
              <w:t>pra</w:t>
            </w:r>
            <w:r w:rsidRPr="00FA433F">
              <w:rPr>
                <w:b/>
                <w:noProof/>
                <w:sz w:val="16"/>
              </w:rPr>
              <w:t>cowników zatrudnionych na czas określony)</w:t>
            </w:r>
          </w:p>
        </w:tc>
        <w:tc>
          <w:tcPr>
            <w:tcW w:w="709" w:type="dxa"/>
            <w:tcBorders>
              <w:top w:val="single" w:sz="8" w:space="0" w:color="auto"/>
              <w:left w:val="single" w:sz="8" w:space="0" w:color="auto"/>
              <w:bottom w:val="single" w:sz="8" w:space="0" w:color="auto"/>
              <w:right w:val="single" w:sz="4" w:space="0" w:color="auto"/>
            </w:tcBorders>
            <w:vAlign w:val="center"/>
          </w:tcPr>
          <w:p w14:paraId="4B441400" w14:textId="77777777" w:rsidR="00D457E5" w:rsidRPr="00FA433F" w:rsidRDefault="00D457E5">
            <w:pPr>
              <w:spacing w:before="0" w:after="0"/>
              <w:jc w:val="left"/>
              <w:rPr>
                <w:rFonts w:ascii="Wingdings" w:hAnsi="Wingdings" w:cs="Calibri"/>
                <w:b/>
                <w:bCs/>
                <w:noProof/>
                <w:sz w:val="16"/>
                <w:szCs w:val="16"/>
                <w:lang w:eastAsia="en-IE"/>
              </w:rPr>
            </w:pPr>
          </w:p>
        </w:tc>
      </w:tr>
      <w:tr w:rsidR="00D457E5" w:rsidRPr="00FA433F" w14:paraId="4752FF5D" w14:textId="77777777" w:rsidTr="00D00E0B">
        <w:trPr>
          <w:trHeight w:val="300"/>
        </w:trPr>
        <w:tc>
          <w:tcPr>
            <w:tcW w:w="3968" w:type="dxa"/>
            <w:gridSpan w:val="4"/>
            <w:tcBorders>
              <w:top w:val="single" w:sz="8" w:space="0" w:color="auto"/>
              <w:left w:val="single" w:sz="8" w:space="0" w:color="auto"/>
              <w:bottom w:val="single" w:sz="8" w:space="0" w:color="auto"/>
              <w:right w:val="single" w:sz="8" w:space="0" w:color="auto"/>
            </w:tcBorders>
            <w:vAlign w:val="center"/>
            <w:hideMark/>
          </w:tcPr>
          <w:p w14:paraId="1E932F4A" w14:textId="669839B4" w:rsidR="00D457E5" w:rsidRPr="00FA433F" w:rsidRDefault="00D457E5" w:rsidP="00676CE2">
            <w:pPr>
              <w:spacing w:before="0" w:after="0"/>
              <w:ind w:firstLineChars="100" w:firstLine="240"/>
              <w:jc w:val="left"/>
              <w:rPr>
                <w:noProof/>
                <w:sz w:val="16"/>
                <w:szCs w:val="16"/>
              </w:rPr>
            </w:pPr>
            <w:r w:rsidRPr="00FA433F">
              <w:rPr>
                <w:noProof/>
              </w:rPr>
              <w:t>20 01 02 01 (w centrali</w:t>
            </w:r>
            <w:r w:rsidR="00FA433F" w:rsidRPr="00FA433F">
              <w:rPr>
                <w:noProof/>
              </w:rPr>
              <w:t xml:space="preserve"> i</w:t>
            </w:r>
            <w:r w:rsidR="00FA433F">
              <w:rPr>
                <w:noProof/>
              </w:rPr>
              <w:t> </w:t>
            </w:r>
            <w:r w:rsidR="00FA433F" w:rsidRPr="00FA433F">
              <w:rPr>
                <w:noProof/>
              </w:rPr>
              <w:t>w</w:t>
            </w:r>
            <w:r w:rsidR="00FA433F">
              <w:rPr>
                <w:noProof/>
              </w:rPr>
              <w:t> </w:t>
            </w:r>
            <w:r w:rsidR="00FA433F" w:rsidRPr="00FA433F">
              <w:rPr>
                <w:noProof/>
              </w:rPr>
              <w:t>biu</w:t>
            </w:r>
            <w:r w:rsidRPr="00FA433F">
              <w:rPr>
                <w:noProof/>
              </w:rPr>
              <w:t>rach przedstawicielstw Komisji)</w:t>
            </w:r>
          </w:p>
        </w:tc>
        <w:tc>
          <w:tcPr>
            <w:tcW w:w="795" w:type="dxa"/>
            <w:tcBorders>
              <w:top w:val="nil"/>
              <w:left w:val="nil"/>
              <w:bottom w:val="single" w:sz="8" w:space="0" w:color="auto"/>
              <w:right w:val="single" w:sz="8" w:space="0" w:color="auto"/>
            </w:tcBorders>
            <w:shd w:val="clear" w:color="000000" w:fill="D9D9D9"/>
            <w:vAlign w:val="center"/>
            <w:hideMark/>
          </w:tcPr>
          <w:p w14:paraId="0F89E0BC" w14:textId="77777777" w:rsidR="00D457E5" w:rsidRPr="00FA433F" w:rsidRDefault="00F8743A"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377F3E46"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2784E331" w14:textId="77777777" w:rsidR="00D457E5" w:rsidRPr="00FA433F" w:rsidRDefault="00D457E5" w:rsidP="00676CE2">
            <w:pPr>
              <w:spacing w:before="0" w:after="0"/>
              <w:jc w:val="center"/>
              <w:rPr>
                <w:noProof/>
                <w:sz w:val="16"/>
                <w:szCs w:val="16"/>
              </w:rPr>
            </w:pPr>
            <w:r w:rsidRPr="00FA433F">
              <w:rPr>
                <w:noProof/>
                <w:sz w:val="16"/>
              </w:rPr>
              <w:t>0</w:t>
            </w:r>
          </w:p>
        </w:tc>
        <w:tc>
          <w:tcPr>
            <w:tcW w:w="693" w:type="dxa"/>
            <w:tcBorders>
              <w:top w:val="single" w:sz="8" w:space="0" w:color="auto"/>
              <w:left w:val="nil"/>
              <w:bottom w:val="single" w:sz="8" w:space="0" w:color="auto"/>
              <w:right w:val="single" w:sz="8" w:space="0" w:color="auto"/>
            </w:tcBorders>
            <w:shd w:val="clear" w:color="000000" w:fill="D9D9D9"/>
            <w:vAlign w:val="center"/>
          </w:tcPr>
          <w:p w14:paraId="300C8786" w14:textId="77777777" w:rsidR="00D457E5" w:rsidRPr="00FA433F" w:rsidRDefault="00D457E5" w:rsidP="00676CE2">
            <w:pPr>
              <w:spacing w:before="0" w:after="0"/>
              <w:jc w:val="center"/>
              <w:rPr>
                <w:noProof/>
                <w:sz w:val="16"/>
                <w:szCs w:val="16"/>
              </w:rPr>
            </w:pPr>
            <w:r w:rsidRPr="00FA433F">
              <w:rPr>
                <w:noProof/>
                <w:sz w:val="16"/>
              </w:rPr>
              <w:t>0</w:t>
            </w:r>
          </w:p>
        </w:tc>
        <w:tc>
          <w:tcPr>
            <w:tcW w:w="739" w:type="dxa"/>
            <w:tcBorders>
              <w:top w:val="single" w:sz="8" w:space="0" w:color="auto"/>
              <w:left w:val="single" w:sz="8" w:space="0" w:color="auto"/>
              <w:bottom w:val="single" w:sz="8" w:space="0" w:color="auto"/>
              <w:right w:val="single" w:sz="8" w:space="0" w:color="auto"/>
            </w:tcBorders>
            <w:shd w:val="clear" w:color="000000" w:fill="D9D9D9"/>
            <w:vAlign w:val="center"/>
          </w:tcPr>
          <w:p w14:paraId="6BB7E669"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090F35F8" w14:textId="77777777" w:rsidR="00D457E5" w:rsidRPr="00FA433F" w:rsidRDefault="00D457E5" w:rsidP="00676CE2">
            <w:pPr>
              <w:spacing w:before="0" w:after="0"/>
              <w:jc w:val="center"/>
              <w:rPr>
                <w:noProof/>
                <w:sz w:val="16"/>
                <w:szCs w:val="16"/>
              </w:rPr>
            </w:pPr>
            <w:r w:rsidRPr="00FA433F">
              <w:rPr>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27962D42" w14:textId="77777777" w:rsidR="00D457E5" w:rsidRPr="00FA433F" w:rsidRDefault="00F8743A" w:rsidP="00676CE2">
            <w:pPr>
              <w:spacing w:before="0" w:after="0"/>
              <w:jc w:val="center"/>
              <w:rPr>
                <w:noProof/>
                <w:sz w:val="16"/>
                <w:szCs w:val="16"/>
              </w:rPr>
            </w:pPr>
            <w:r w:rsidRPr="00FA433F">
              <w:rPr>
                <w:noProof/>
                <w:sz w:val="16"/>
              </w:rPr>
              <w:t>0</w:t>
            </w:r>
          </w:p>
        </w:tc>
      </w:tr>
      <w:tr w:rsidR="00D457E5" w:rsidRPr="00FA433F" w14:paraId="56EA1CAA" w14:textId="77777777" w:rsidTr="00D00E0B">
        <w:trPr>
          <w:trHeight w:val="300"/>
        </w:trPr>
        <w:tc>
          <w:tcPr>
            <w:tcW w:w="3968" w:type="dxa"/>
            <w:gridSpan w:val="4"/>
            <w:tcBorders>
              <w:top w:val="single" w:sz="8" w:space="0" w:color="auto"/>
              <w:left w:val="single" w:sz="8" w:space="0" w:color="auto"/>
              <w:bottom w:val="single" w:sz="8" w:space="0" w:color="auto"/>
              <w:right w:val="single" w:sz="8" w:space="0" w:color="auto"/>
            </w:tcBorders>
            <w:vAlign w:val="center"/>
            <w:hideMark/>
          </w:tcPr>
          <w:p w14:paraId="561B6A13" w14:textId="77777777" w:rsidR="00D457E5" w:rsidRPr="00FA433F" w:rsidRDefault="00D457E5" w:rsidP="00676CE2">
            <w:pPr>
              <w:spacing w:before="0" w:after="0"/>
              <w:ind w:firstLineChars="100" w:firstLine="160"/>
              <w:jc w:val="left"/>
              <w:rPr>
                <w:noProof/>
                <w:sz w:val="16"/>
                <w:szCs w:val="16"/>
              </w:rPr>
            </w:pPr>
            <w:r w:rsidRPr="00FA433F">
              <w:rPr>
                <w:noProof/>
                <w:sz w:val="16"/>
              </w:rPr>
              <w:t>20 01 02 03 (w delegaturach UE)</w:t>
            </w:r>
          </w:p>
        </w:tc>
        <w:tc>
          <w:tcPr>
            <w:tcW w:w="795" w:type="dxa"/>
            <w:tcBorders>
              <w:top w:val="nil"/>
              <w:left w:val="nil"/>
              <w:bottom w:val="single" w:sz="8" w:space="0" w:color="auto"/>
              <w:right w:val="single" w:sz="8" w:space="0" w:color="auto"/>
            </w:tcBorders>
            <w:shd w:val="clear" w:color="000000" w:fill="D9D9D9"/>
            <w:vAlign w:val="center"/>
            <w:hideMark/>
          </w:tcPr>
          <w:p w14:paraId="74C14C31"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3694E638"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0950B3E9" w14:textId="77777777" w:rsidR="00D457E5" w:rsidRPr="00FA433F" w:rsidRDefault="00D457E5" w:rsidP="00676CE2">
            <w:pPr>
              <w:spacing w:before="0" w:after="0"/>
              <w:jc w:val="center"/>
              <w:rPr>
                <w:noProof/>
                <w:sz w:val="16"/>
                <w:szCs w:val="16"/>
              </w:rPr>
            </w:pPr>
            <w:r w:rsidRPr="00FA433F">
              <w:rPr>
                <w:noProof/>
                <w:sz w:val="16"/>
              </w:rPr>
              <w:t>0</w:t>
            </w:r>
          </w:p>
        </w:tc>
        <w:tc>
          <w:tcPr>
            <w:tcW w:w="693" w:type="dxa"/>
            <w:tcBorders>
              <w:top w:val="single" w:sz="8" w:space="0" w:color="auto"/>
              <w:left w:val="nil"/>
              <w:bottom w:val="single" w:sz="8" w:space="0" w:color="auto"/>
              <w:right w:val="single" w:sz="8" w:space="0" w:color="auto"/>
            </w:tcBorders>
            <w:shd w:val="clear" w:color="000000" w:fill="D9D9D9"/>
            <w:vAlign w:val="center"/>
          </w:tcPr>
          <w:p w14:paraId="7812A2A5" w14:textId="77777777" w:rsidR="00D457E5" w:rsidRPr="00FA433F" w:rsidRDefault="00D457E5" w:rsidP="00676CE2">
            <w:pPr>
              <w:spacing w:before="0" w:after="0"/>
              <w:jc w:val="center"/>
              <w:rPr>
                <w:noProof/>
                <w:sz w:val="16"/>
                <w:szCs w:val="16"/>
              </w:rPr>
            </w:pPr>
            <w:r w:rsidRPr="00FA433F">
              <w:rPr>
                <w:noProof/>
                <w:sz w:val="16"/>
              </w:rPr>
              <w:t>0</w:t>
            </w:r>
          </w:p>
        </w:tc>
        <w:tc>
          <w:tcPr>
            <w:tcW w:w="739" w:type="dxa"/>
            <w:tcBorders>
              <w:top w:val="single" w:sz="8" w:space="0" w:color="auto"/>
              <w:left w:val="single" w:sz="8" w:space="0" w:color="auto"/>
              <w:bottom w:val="single" w:sz="8" w:space="0" w:color="auto"/>
              <w:right w:val="single" w:sz="8" w:space="0" w:color="auto"/>
            </w:tcBorders>
            <w:shd w:val="clear" w:color="000000" w:fill="D9D9D9"/>
            <w:vAlign w:val="center"/>
          </w:tcPr>
          <w:p w14:paraId="7DF68C33"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766D6EE5" w14:textId="77777777" w:rsidR="00D457E5" w:rsidRPr="00FA433F" w:rsidRDefault="00D457E5" w:rsidP="00676CE2">
            <w:pPr>
              <w:spacing w:before="0" w:after="0"/>
              <w:jc w:val="center"/>
              <w:rPr>
                <w:noProof/>
                <w:sz w:val="16"/>
                <w:szCs w:val="16"/>
              </w:rPr>
            </w:pPr>
            <w:r w:rsidRPr="00FA433F">
              <w:rPr>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5F443675" w14:textId="77777777" w:rsidR="00D457E5" w:rsidRPr="00FA433F" w:rsidRDefault="003B4AD3" w:rsidP="00676CE2">
            <w:pPr>
              <w:spacing w:before="0" w:after="0"/>
              <w:jc w:val="center"/>
              <w:rPr>
                <w:noProof/>
                <w:sz w:val="16"/>
                <w:szCs w:val="16"/>
              </w:rPr>
            </w:pPr>
            <w:r w:rsidRPr="00FA433F">
              <w:rPr>
                <w:noProof/>
                <w:sz w:val="16"/>
              </w:rPr>
              <w:t>0</w:t>
            </w:r>
          </w:p>
        </w:tc>
      </w:tr>
      <w:tr w:rsidR="00D457E5" w:rsidRPr="00FA433F" w14:paraId="5D49BBB5" w14:textId="77777777" w:rsidTr="00D00E0B">
        <w:trPr>
          <w:trHeight w:val="300"/>
        </w:trPr>
        <w:tc>
          <w:tcPr>
            <w:tcW w:w="3968" w:type="dxa"/>
            <w:gridSpan w:val="4"/>
            <w:tcBorders>
              <w:top w:val="single" w:sz="8" w:space="0" w:color="auto"/>
              <w:left w:val="single" w:sz="8" w:space="0" w:color="auto"/>
              <w:bottom w:val="single" w:sz="8" w:space="0" w:color="auto"/>
              <w:right w:val="single" w:sz="8" w:space="0" w:color="auto"/>
            </w:tcBorders>
            <w:vAlign w:val="center"/>
            <w:hideMark/>
          </w:tcPr>
          <w:p w14:paraId="6E5A90C1" w14:textId="77777777" w:rsidR="00D457E5" w:rsidRPr="00FA433F" w:rsidRDefault="00D457E5" w:rsidP="00676CE2">
            <w:pPr>
              <w:spacing w:before="0" w:after="0"/>
              <w:ind w:firstLineChars="100" w:firstLine="160"/>
              <w:jc w:val="left"/>
              <w:rPr>
                <w:noProof/>
                <w:sz w:val="16"/>
                <w:szCs w:val="16"/>
              </w:rPr>
            </w:pPr>
            <w:r w:rsidRPr="00FA433F">
              <w:rPr>
                <w:noProof/>
                <w:sz w:val="16"/>
              </w:rPr>
              <w:t>01 01 01 01</w:t>
            </w:r>
            <w:r w:rsidRPr="00FA433F">
              <w:rPr>
                <w:noProof/>
              </w:rPr>
              <w:t xml:space="preserve"> </w:t>
            </w:r>
            <w:r w:rsidRPr="00FA433F">
              <w:rPr>
                <w:noProof/>
                <w:sz w:val="16"/>
              </w:rPr>
              <w:t>(pośrednie badania naukowe)</w:t>
            </w:r>
          </w:p>
        </w:tc>
        <w:tc>
          <w:tcPr>
            <w:tcW w:w="795" w:type="dxa"/>
            <w:tcBorders>
              <w:top w:val="nil"/>
              <w:left w:val="nil"/>
              <w:bottom w:val="single" w:sz="8" w:space="0" w:color="auto"/>
              <w:right w:val="single" w:sz="8" w:space="0" w:color="auto"/>
            </w:tcBorders>
            <w:shd w:val="clear" w:color="000000" w:fill="D9D9D9"/>
            <w:vAlign w:val="center"/>
            <w:hideMark/>
          </w:tcPr>
          <w:p w14:paraId="237024A4"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203A6A0B"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7C02DFE4" w14:textId="77777777" w:rsidR="00D457E5" w:rsidRPr="00FA433F" w:rsidRDefault="00D457E5" w:rsidP="00676CE2">
            <w:pPr>
              <w:spacing w:before="0" w:after="0"/>
              <w:jc w:val="center"/>
              <w:rPr>
                <w:noProof/>
                <w:sz w:val="16"/>
                <w:szCs w:val="16"/>
              </w:rPr>
            </w:pPr>
            <w:r w:rsidRPr="00FA433F">
              <w:rPr>
                <w:noProof/>
                <w:sz w:val="16"/>
              </w:rPr>
              <w:t>0</w:t>
            </w:r>
          </w:p>
        </w:tc>
        <w:tc>
          <w:tcPr>
            <w:tcW w:w="693" w:type="dxa"/>
            <w:tcBorders>
              <w:top w:val="single" w:sz="8" w:space="0" w:color="auto"/>
              <w:left w:val="nil"/>
              <w:bottom w:val="single" w:sz="8" w:space="0" w:color="auto"/>
              <w:right w:val="single" w:sz="8" w:space="0" w:color="auto"/>
            </w:tcBorders>
            <w:shd w:val="clear" w:color="000000" w:fill="D9D9D9"/>
            <w:vAlign w:val="center"/>
          </w:tcPr>
          <w:p w14:paraId="15541B00" w14:textId="77777777" w:rsidR="00D457E5" w:rsidRPr="00FA433F" w:rsidRDefault="00D457E5" w:rsidP="00676CE2">
            <w:pPr>
              <w:spacing w:before="0" w:after="0"/>
              <w:jc w:val="center"/>
              <w:rPr>
                <w:noProof/>
                <w:sz w:val="16"/>
                <w:szCs w:val="16"/>
              </w:rPr>
            </w:pPr>
            <w:r w:rsidRPr="00FA433F">
              <w:rPr>
                <w:noProof/>
                <w:sz w:val="16"/>
              </w:rPr>
              <w:t>0</w:t>
            </w:r>
          </w:p>
        </w:tc>
        <w:tc>
          <w:tcPr>
            <w:tcW w:w="739" w:type="dxa"/>
            <w:tcBorders>
              <w:top w:val="single" w:sz="8" w:space="0" w:color="auto"/>
              <w:left w:val="single" w:sz="8" w:space="0" w:color="auto"/>
              <w:bottom w:val="single" w:sz="8" w:space="0" w:color="auto"/>
              <w:right w:val="single" w:sz="8" w:space="0" w:color="auto"/>
            </w:tcBorders>
            <w:shd w:val="clear" w:color="000000" w:fill="D9D9D9"/>
            <w:vAlign w:val="center"/>
          </w:tcPr>
          <w:p w14:paraId="569C9B80"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510668CC" w14:textId="77777777" w:rsidR="00D457E5" w:rsidRPr="00FA433F" w:rsidRDefault="00D457E5" w:rsidP="00676CE2">
            <w:pPr>
              <w:spacing w:before="0" w:after="0"/>
              <w:jc w:val="center"/>
              <w:rPr>
                <w:noProof/>
                <w:sz w:val="16"/>
                <w:szCs w:val="16"/>
              </w:rPr>
            </w:pPr>
            <w:r w:rsidRPr="00FA433F">
              <w:rPr>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7DEF3824" w14:textId="77777777" w:rsidR="00D457E5" w:rsidRPr="00FA433F" w:rsidRDefault="003B4AD3" w:rsidP="00676CE2">
            <w:pPr>
              <w:spacing w:before="0" w:after="0"/>
              <w:jc w:val="center"/>
              <w:rPr>
                <w:noProof/>
                <w:sz w:val="16"/>
                <w:szCs w:val="16"/>
              </w:rPr>
            </w:pPr>
            <w:r w:rsidRPr="00FA433F">
              <w:rPr>
                <w:noProof/>
                <w:sz w:val="16"/>
              </w:rPr>
              <w:t>0</w:t>
            </w:r>
          </w:p>
        </w:tc>
      </w:tr>
      <w:tr w:rsidR="00D457E5" w:rsidRPr="00FA433F" w14:paraId="5CC256F4" w14:textId="77777777" w:rsidTr="00D00E0B">
        <w:trPr>
          <w:trHeight w:val="300"/>
        </w:trPr>
        <w:tc>
          <w:tcPr>
            <w:tcW w:w="3968" w:type="dxa"/>
            <w:gridSpan w:val="4"/>
            <w:tcBorders>
              <w:top w:val="single" w:sz="8" w:space="0" w:color="auto"/>
              <w:left w:val="single" w:sz="8" w:space="0" w:color="auto"/>
              <w:bottom w:val="single" w:sz="8" w:space="0" w:color="auto"/>
              <w:right w:val="single" w:sz="8" w:space="0" w:color="auto"/>
            </w:tcBorders>
            <w:vAlign w:val="center"/>
            <w:hideMark/>
          </w:tcPr>
          <w:p w14:paraId="70B2E7B1" w14:textId="77777777" w:rsidR="00D457E5" w:rsidRPr="00FA433F" w:rsidRDefault="00D457E5" w:rsidP="00676CE2">
            <w:pPr>
              <w:spacing w:before="0" w:after="0"/>
              <w:ind w:firstLineChars="100" w:firstLine="160"/>
              <w:jc w:val="left"/>
              <w:rPr>
                <w:noProof/>
                <w:sz w:val="16"/>
                <w:szCs w:val="16"/>
              </w:rPr>
            </w:pPr>
            <w:r w:rsidRPr="00FA433F">
              <w:rPr>
                <w:noProof/>
                <w:sz w:val="16"/>
              </w:rPr>
              <w:t>01 01 01 11 (bezpośrednie badania naukowe)</w:t>
            </w:r>
          </w:p>
        </w:tc>
        <w:tc>
          <w:tcPr>
            <w:tcW w:w="795" w:type="dxa"/>
            <w:tcBorders>
              <w:top w:val="nil"/>
              <w:left w:val="nil"/>
              <w:bottom w:val="single" w:sz="8" w:space="0" w:color="auto"/>
              <w:right w:val="single" w:sz="8" w:space="0" w:color="auto"/>
            </w:tcBorders>
            <w:shd w:val="clear" w:color="000000" w:fill="D9D9D9"/>
            <w:vAlign w:val="center"/>
            <w:hideMark/>
          </w:tcPr>
          <w:p w14:paraId="1A6F6272"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3E206DAE"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7D1C83E0" w14:textId="77777777" w:rsidR="00D457E5" w:rsidRPr="00FA433F" w:rsidRDefault="00D457E5" w:rsidP="00676CE2">
            <w:pPr>
              <w:spacing w:before="0" w:after="0"/>
              <w:jc w:val="center"/>
              <w:rPr>
                <w:noProof/>
                <w:sz w:val="16"/>
                <w:szCs w:val="16"/>
              </w:rPr>
            </w:pPr>
            <w:r w:rsidRPr="00FA433F">
              <w:rPr>
                <w:noProof/>
                <w:sz w:val="16"/>
              </w:rPr>
              <w:t>0</w:t>
            </w:r>
          </w:p>
        </w:tc>
        <w:tc>
          <w:tcPr>
            <w:tcW w:w="693" w:type="dxa"/>
            <w:tcBorders>
              <w:top w:val="single" w:sz="8" w:space="0" w:color="auto"/>
              <w:left w:val="nil"/>
              <w:bottom w:val="single" w:sz="8" w:space="0" w:color="auto"/>
              <w:right w:val="single" w:sz="8" w:space="0" w:color="auto"/>
            </w:tcBorders>
            <w:shd w:val="clear" w:color="000000" w:fill="D9D9D9"/>
            <w:vAlign w:val="center"/>
          </w:tcPr>
          <w:p w14:paraId="49FC1625" w14:textId="77777777" w:rsidR="00D457E5" w:rsidRPr="00FA433F" w:rsidRDefault="00D457E5" w:rsidP="00676CE2">
            <w:pPr>
              <w:spacing w:before="0" w:after="0"/>
              <w:jc w:val="center"/>
              <w:rPr>
                <w:noProof/>
                <w:sz w:val="16"/>
                <w:szCs w:val="16"/>
              </w:rPr>
            </w:pPr>
            <w:r w:rsidRPr="00FA433F">
              <w:rPr>
                <w:noProof/>
                <w:sz w:val="16"/>
              </w:rPr>
              <w:t>0</w:t>
            </w:r>
          </w:p>
        </w:tc>
        <w:tc>
          <w:tcPr>
            <w:tcW w:w="739" w:type="dxa"/>
            <w:tcBorders>
              <w:top w:val="single" w:sz="8" w:space="0" w:color="auto"/>
              <w:left w:val="single" w:sz="8" w:space="0" w:color="auto"/>
              <w:bottom w:val="single" w:sz="8" w:space="0" w:color="auto"/>
              <w:right w:val="single" w:sz="8" w:space="0" w:color="auto"/>
            </w:tcBorders>
            <w:shd w:val="clear" w:color="000000" w:fill="D9D9D9"/>
            <w:vAlign w:val="center"/>
          </w:tcPr>
          <w:p w14:paraId="66EA6753"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498ACBD8" w14:textId="77777777" w:rsidR="00D457E5" w:rsidRPr="00FA433F" w:rsidRDefault="00D457E5" w:rsidP="00676CE2">
            <w:pPr>
              <w:spacing w:before="0" w:after="0"/>
              <w:jc w:val="center"/>
              <w:rPr>
                <w:noProof/>
                <w:sz w:val="16"/>
                <w:szCs w:val="16"/>
              </w:rPr>
            </w:pPr>
            <w:r w:rsidRPr="00FA433F">
              <w:rPr>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6CBAFE80" w14:textId="77777777" w:rsidR="00D457E5" w:rsidRPr="00FA433F" w:rsidRDefault="003B4AD3" w:rsidP="00676CE2">
            <w:pPr>
              <w:spacing w:before="0" w:after="0"/>
              <w:jc w:val="center"/>
              <w:rPr>
                <w:noProof/>
                <w:sz w:val="16"/>
                <w:szCs w:val="16"/>
              </w:rPr>
            </w:pPr>
            <w:r w:rsidRPr="00FA433F">
              <w:rPr>
                <w:noProof/>
                <w:sz w:val="16"/>
              </w:rPr>
              <w:t>0</w:t>
            </w:r>
          </w:p>
        </w:tc>
      </w:tr>
      <w:tr w:rsidR="00D457E5" w:rsidRPr="00FA433F" w14:paraId="21F8C34C" w14:textId="77777777" w:rsidTr="00D00E0B">
        <w:trPr>
          <w:trHeight w:val="300"/>
        </w:trPr>
        <w:tc>
          <w:tcPr>
            <w:tcW w:w="3968" w:type="dxa"/>
            <w:gridSpan w:val="4"/>
            <w:tcBorders>
              <w:top w:val="single" w:sz="8" w:space="0" w:color="auto"/>
              <w:left w:val="single" w:sz="8" w:space="0" w:color="auto"/>
              <w:bottom w:val="single" w:sz="8" w:space="0" w:color="auto"/>
              <w:right w:val="single" w:sz="8" w:space="0" w:color="auto"/>
            </w:tcBorders>
            <w:vAlign w:val="center"/>
            <w:hideMark/>
          </w:tcPr>
          <w:p w14:paraId="268EC28E" w14:textId="77777777" w:rsidR="00D457E5" w:rsidRPr="00FA433F" w:rsidRDefault="00D457E5" w:rsidP="00676CE2">
            <w:pPr>
              <w:spacing w:before="0" w:after="0"/>
              <w:ind w:firstLineChars="100" w:firstLine="160"/>
              <w:jc w:val="left"/>
              <w:rPr>
                <w:noProof/>
                <w:sz w:val="16"/>
                <w:szCs w:val="16"/>
              </w:rPr>
            </w:pPr>
            <w:r w:rsidRPr="00FA433F">
              <w:rPr>
                <w:noProof/>
                <w:sz w:val="16"/>
              </w:rPr>
              <w:t>Inna linia budżetowa (określić)</w:t>
            </w:r>
          </w:p>
        </w:tc>
        <w:tc>
          <w:tcPr>
            <w:tcW w:w="795" w:type="dxa"/>
            <w:tcBorders>
              <w:top w:val="nil"/>
              <w:left w:val="nil"/>
              <w:bottom w:val="single" w:sz="8" w:space="0" w:color="auto"/>
              <w:right w:val="single" w:sz="8" w:space="0" w:color="auto"/>
            </w:tcBorders>
            <w:shd w:val="clear" w:color="000000" w:fill="D9D9D9"/>
            <w:vAlign w:val="center"/>
            <w:hideMark/>
          </w:tcPr>
          <w:p w14:paraId="4DCA9B59"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70B69665"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27B4A491" w14:textId="77777777" w:rsidR="00D457E5" w:rsidRPr="00FA433F" w:rsidRDefault="00D457E5" w:rsidP="00676CE2">
            <w:pPr>
              <w:spacing w:before="0" w:after="0"/>
              <w:jc w:val="center"/>
              <w:rPr>
                <w:noProof/>
                <w:sz w:val="16"/>
                <w:szCs w:val="16"/>
              </w:rPr>
            </w:pPr>
            <w:r w:rsidRPr="00FA433F">
              <w:rPr>
                <w:noProof/>
                <w:sz w:val="16"/>
              </w:rPr>
              <w:t>0</w:t>
            </w:r>
          </w:p>
        </w:tc>
        <w:tc>
          <w:tcPr>
            <w:tcW w:w="693" w:type="dxa"/>
            <w:tcBorders>
              <w:top w:val="single" w:sz="8" w:space="0" w:color="auto"/>
              <w:left w:val="nil"/>
              <w:bottom w:val="single" w:sz="8" w:space="0" w:color="auto"/>
              <w:right w:val="single" w:sz="8" w:space="0" w:color="auto"/>
            </w:tcBorders>
            <w:shd w:val="clear" w:color="000000" w:fill="D9D9D9"/>
            <w:vAlign w:val="center"/>
          </w:tcPr>
          <w:p w14:paraId="581A1C86" w14:textId="77777777" w:rsidR="00D457E5" w:rsidRPr="00FA433F" w:rsidRDefault="00D457E5" w:rsidP="00676CE2">
            <w:pPr>
              <w:spacing w:before="0" w:after="0"/>
              <w:jc w:val="center"/>
              <w:rPr>
                <w:noProof/>
                <w:sz w:val="16"/>
                <w:szCs w:val="16"/>
              </w:rPr>
            </w:pPr>
            <w:r w:rsidRPr="00FA433F">
              <w:rPr>
                <w:noProof/>
                <w:sz w:val="16"/>
              </w:rPr>
              <w:t>0</w:t>
            </w:r>
          </w:p>
        </w:tc>
        <w:tc>
          <w:tcPr>
            <w:tcW w:w="739" w:type="dxa"/>
            <w:tcBorders>
              <w:top w:val="single" w:sz="8" w:space="0" w:color="auto"/>
              <w:left w:val="single" w:sz="8" w:space="0" w:color="auto"/>
              <w:bottom w:val="single" w:sz="8" w:space="0" w:color="auto"/>
              <w:right w:val="single" w:sz="8" w:space="0" w:color="auto"/>
            </w:tcBorders>
            <w:shd w:val="clear" w:color="000000" w:fill="D9D9D9"/>
            <w:vAlign w:val="center"/>
          </w:tcPr>
          <w:p w14:paraId="7CC53650"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34C1A202" w14:textId="77777777" w:rsidR="00D457E5" w:rsidRPr="00FA433F" w:rsidRDefault="00D457E5" w:rsidP="00676CE2">
            <w:pPr>
              <w:spacing w:before="0" w:after="0"/>
              <w:jc w:val="center"/>
              <w:rPr>
                <w:noProof/>
                <w:sz w:val="16"/>
                <w:szCs w:val="16"/>
              </w:rPr>
            </w:pPr>
            <w:r w:rsidRPr="00FA433F">
              <w:rPr>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037105D1" w14:textId="77777777" w:rsidR="00D457E5" w:rsidRPr="00FA433F" w:rsidRDefault="003B4AD3" w:rsidP="00676CE2">
            <w:pPr>
              <w:spacing w:before="0" w:after="0"/>
              <w:jc w:val="center"/>
              <w:rPr>
                <w:noProof/>
                <w:sz w:val="16"/>
                <w:szCs w:val="16"/>
              </w:rPr>
            </w:pPr>
            <w:r w:rsidRPr="00FA433F">
              <w:rPr>
                <w:noProof/>
                <w:sz w:val="16"/>
              </w:rPr>
              <w:t>0</w:t>
            </w:r>
          </w:p>
        </w:tc>
      </w:tr>
      <w:tr w:rsidR="00D457E5" w:rsidRPr="00FA433F" w14:paraId="51537138" w14:textId="77777777" w:rsidTr="00D00E0B">
        <w:trPr>
          <w:trHeight w:val="300"/>
        </w:trPr>
        <w:tc>
          <w:tcPr>
            <w:tcW w:w="962" w:type="dxa"/>
            <w:tcBorders>
              <w:top w:val="single" w:sz="8" w:space="0" w:color="auto"/>
              <w:left w:val="single" w:sz="8" w:space="0" w:color="auto"/>
              <w:bottom w:val="single" w:sz="8" w:space="0" w:color="auto"/>
              <w:right w:val="single" w:sz="4" w:space="0" w:color="auto"/>
            </w:tcBorders>
          </w:tcPr>
          <w:p w14:paraId="5F690011" w14:textId="77777777" w:rsidR="00D457E5" w:rsidRPr="00FA433F" w:rsidRDefault="00D457E5">
            <w:pPr>
              <w:spacing w:before="0" w:after="0"/>
              <w:jc w:val="left"/>
              <w:rPr>
                <w:rFonts w:ascii="Calibri" w:hAnsi="Calibri" w:cs="Calibri"/>
                <w:b/>
                <w:bCs/>
                <w:noProof/>
                <w:sz w:val="16"/>
                <w:szCs w:val="16"/>
                <w:lang w:eastAsia="en-IE"/>
              </w:rPr>
            </w:pPr>
          </w:p>
        </w:tc>
        <w:tc>
          <w:tcPr>
            <w:tcW w:w="778" w:type="dxa"/>
            <w:gridSpan w:val="2"/>
            <w:tcBorders>
              <w:top w:val="single" w:sz="8" w:space="0" w:color="auto"/>
              <w:left w:val="single" w:sz="8" w:space="0" w:color="auto"/>
              <w:bottom w:val="single" w:sz="8" w:space="0" w:color="auto"/>
              <w:right w:val="single" w:sz="8" w:space="0" w:color="auto"/>
            </w:tcBorders>
          </w:tcPr>
          <w:p w14:paraId="5A3474A0" w14:textId="77777777" w:rsidR="00D457E5" w:rsidRPr="00FA433F" w:rsidRDefault="00D457E5">
            <w:pPr>
              <w:spacing w:before="0" w:after="0"/>
              <w:jc w:val="left"/>
              <w:rPr>
                <w:rFonts w:ascii="Calibri" w:hAnsi="Calibri" w:cs="Calibri"/>
                <w:b/>
                <w:bCs/>
                <w:noProof/>
                <w:sz w:val="16"/>
                <w:szCs w:val="16"/>
                <w:lang w:eastAsia="en-IE"/>
              </w:rPr>
            </w:pPr>
          </w:p>
        </w:tc>
        <w:tc>
          <w:tcPr>
            <w:tcW w:w="6840" w:type="dxa"/>
            <w:gridSpan w:val="7"/>
            <w:tcBorders>
              <w:top w:val="single" w:sz="8" w:space="0" w:color="auto"/>
              <w:left w:val="single" w:sz="8" w:space="0" w:color="auto"/>
              <w:bottom w:val="single" w:sz="8" w:space="0" w:color="auto"/>
              <w:right w:val="single" w:sz="4" w:space="0" w:color="auto"/>
            </w:tcBorders>
            <w:vAlign w:val="center"/>
            <w:hideMark/>
          </w:tcPr>
          <w:p w14:paraId="296AFFE8" w14:textId="77777777" w:rsidR="00D457E5" w:rsidRPr="00FA433F" w:rsidRDefault="00D457E5">
            <w:pPr>
              <w:spacing w:before="0" w:after="0"/>
              <w:jc w:val="left"/>
              <w:rPr>
                <w:rFonts w:ascii="Wingdings" w:hAnsi="Wingdings" w:cs="Calibri"/>
                <w:b/>
                <w:bCs/>
                <w:noProof/>
                <w:sz w:val="16"/>
                <w:szCs w:val="16"/>
              </w:rPr>
            </w:pPr>
            <w:r w:rsidRPr="00FA433F">
              <w:rPr>
                <w:rFonts w:ascii="Calibri" w:hAnsi="Calibri"/>
                <w:b/>
                <w:noProof/>
                <w:sz w:val="16"/>
              </w:rPr>
              <w:t>•</w:t>
            </w:r>
            <w:r w:rsidRPr="00FA433F">
              <w:rPr>
                <w:b/>
                <w:noProof/>
                <w:sz w:val="16"/>
              </w:rPr>
              <w:t xml:space="preserve"> Personel zewnętrzny (w EPC)</w:t>
            </w:r>
          </w:p>
        </w:tc>
        <w:tc>
          <w:tcPr>
            <w:tcW w:w="709" w:type="dxa"/>
            <w:tcBorders>
              <w:top w:val="single" w:sz="8" w:space="0" w:color="auto"/>
              <w:left w:val="single" w:sz="8" w:space="0" w:color="auto"/>
              <w:bottom w:val="single" w:sz="8" w:space="0" w:color="auto"/>
              <w:right w:val="single" w:sz="4" w:space="0" w:color="auto"/>
            </w:tcBorders>
            <w:vAlign w:val="center"/>
          </w:tcPr>
          <w:p w14:paraId="08E842B3" w14:textId="77777777" w:rsidR="00D457E5" w:rsidRPr="00FA433F" w:rsidRDefault="00D457E5">
            <w:pPr>
              <w:spacing w:before="0" w:after="0"/>
              <w:jc w:val="left"/>
              <w:rPr>
                <w:rFonts w:ascii="Calibri" w:hAnsi="Calibri" w:cs="Calibri"/>
                <w:b/>
                <w:bCs/>
                <w:noProof/>
                <w:sz w:val="16"/>
                <w:szCs w:val="16"/>
                <w:lang w:eastAsia="en-IE"/>
              </w:rPr>
            </w:pPr>
          </w:p>
        </w:tc>
      </w:tr>
      <w:tr w:rsidR="00D457E5" w:rsidRPr="00FA433F" w14:paraId="0AF871EC" w14:textId="77777777" w:rsidTr="00D00E0B">
        <w:trPr>
          <w:trHeight w:val="300"/>
        </w:trPr>
        <w:tc>
          <w:tcPr>
            <w:tcW w:w="3968" w:type="dxa"/>
            <w:gridSpan w:val="4"/>
            <w:tcBorders>
              <w:top w:val="single" w:sz="8" w:space="0" w:color="auto"/>
              <w:left w:val="single" w:sz="8" w:space="0" w:color="auto"/>
              <w:bottom w:val="single" w:sz="8" w:space="0" w:color="auto"/>
              <w:right w:val="single" w:sz="8" w:space="0" w:color="auto"/>
            </w:tcBorders>
            <w:vAlign w:val="center"/>
            <w:hideMark/>
          </w:tcPr>
          <w:p w14:paraId="092B40EC" w14:textId="5229A236" w:rsidR="00D457E5" w:rsidRPr="00FA433F" w:rsidRDefault="00D457E5" w:rsidP="00676CE2">
            <w:pPr>
              <w:spacing w:before="0" w:after="0"/>
              <w:ind w:firstLineChars="100" w:firstLine="160"/>
              <w:jc w:val="left"/>
              <w:rPr>
                <w:noProof/>
                <w:sz w:val="16"/>
                <w:szCs w:val="16"/>
              </w:rPr>
            </w:pPr>
            <w:r w:rsidRPr="00FA433F">
              <w:rPr>
                <w:noProof/>
                <w:sz w:val="16"/>
              </w:rPr>
              <w:t>20 02 01</w:t>
            </w:r>
            <w:r w:rsidRPr="00FA433F">
              <w:rPr>
                <w:rFonts w:ascii="Arial Narrow" w:hAnsi="Arial Narrow"/>
                <w:noProof/>
                <w:sz w:val="20"/>
              </w:rPr>
              <w:t xml:space="preserve"> </w:t>
            </w:r>
            <w:r w:rsidRPr="00FA433F">
              <w:rPr>
                <w:noProof/>
                <w:sz w:val="16"/>
              </w:rPr>
              <w:t>(CA, SNE</w:t>
            </w:r>
            <w:r w:rsidR="00FA433F" w:rsidRPr="00FA433F">
              <w:rPr>
                <w:noProof/>
                <w:sz w:val="16"/>
              </w:rPr>
              <w:t xml:space="preserve"> z</w:t>
            </w:r>
            <w:r w:rsidR="00FA433F">
              <w:rPr>
                <w:noProof/>
                <w:sz w:val="16"/>
              </w:rPr>
              <w:t> </w:t>
            </w:r>
            <w:r w:rsidR="00FA433F" w:rsidRPr="00FA433F">
              <w:rPr>
                <w:noProof/>
                <w:sz w:val="16"/>
              </w:rPr>
              <w:t>glo</w:t>
            </w:r>
            <w:r w:rsidRPr="00FA433F">
              <w:rPr>
                <w:noProof/>
                <w:sz w:val="16"/>
              </w:rPr>
              <w:t>balnej koperty finansowej)</w:t>
            </w:r>
          </w:p>
        </w:tc>
        <w:tc>
          <w:tcPr>
            <w:tcW w:w="795" w:type="dxa"/>
            <w:tcBorders>
              <w:top w:val="nil"/>
              <w:left w:val="nil"/>
              <w:bottom w:val="single" w:sz="8" w:space="0" w:color="auto"/>
              <w:right w:val="single" w:sz="8" w:space="0" w:color="auto"/>
            </w:tcBorders>
            <w:shd w:val="clear" w:color="000000" w:fill="D9D9D9"/>
            <w:vAlign w:val="center"/>
            <w:hideMark/>
          </w:tcPr>
          <w:p w14:paraId="5B664D76" w14:textId="77777777" w:rsidR="00D457E5" w:rsidRPr="00FA433F" w:rsidRDefault="00F8743A" w:rsidP="00676CE2">
            <w:pPr>
              <w:spacing w:before="0" w:after="0"/>
              <w:jc w:val="center"/>
              <w:rPr>
                <w:noProof/>
                <w:sz w:val="16"/>
                <w:szCs w:val="16"/>
              </w:rPr>
            </w:pPr>
            <w:r w:rsidRPr="00FA433F">
              <w:rPr>
                <w:noProof/>
                <w:sz w:val="16"/>
              </w:rPr>
              <w:t>8</w:t>
            </w:r>
          </w:p>
        </w:tc>
        <w:tc>
          <w:tcPr>
            <w:tcW w:w="795" w:type="dxa"/>
            <w:tcBorders>
              <w:top w:val="nil"/>
              <w:left w:val="nil"/>
              <w:bottom w:val="single" w:sz="8" w:space="0" w:color="auto"/>
              <w:right w:val="single" w:sz="8" w:space="0" w:color="auto"/>
            </w:tcBorders>
            <w:shd w:val="clear" w:color="000000" w:fill="D9D9D9"/>
            <w:vAlign w:val="center"/>
            <w:hideMark/>
          </w:tcPr>
          <w:p w14:paraId="7EB69CC0" w14:textId="77777777" w:rsidR="00D457E5" w:rsidRPr="00FA433F" w:rsidRDefault="00F8743A" w:rsidP="00676CE2">
            <w:pPr>
              <w:spacing w:before="0" w:after="0"/>
              <w:jc w:val="center"/>
              <w:rPr>
                <w:noProof/>
                <w:sz w:val="16"/>
                <w:szCs w:val="16"/>
              </w:rPr>
            </w:pPr>
            <w:r w:rsidRPr="00FA433F">
              <w:rPr>
                <w:noProof/>
                <w:sz w:val="16"/>
              </w:rPr>
              <w:t>9</w:t>
            </w:r>
          </w:p>
        </w:tc>
        <w:tc>
          <w:tcPr>
            <w:tcW w:w="795" w:type="dxa"/>
            <w:tcBorders>
              <w:top w:val="nil"/>
              <w:left w:val="nil"/>
              <w:bottom w:val="single" w:sz="8" w:space="0" w:color="auto"/>
              <w:right w:val="single" w:sz="8" w:space="0" w:color="auto"/>
            </w:tcBorders>
            <w:shd w:val="clear" w:color="000000" w:fill="D9D9D9"/>
            <w:vAlign w:val="center"/>
            <w:hideMark/>
          </w:tcPr>
          <w:p w14:paraId="3EA87FBD" w14:textId="77777777" w:rsidR="00D457E5" w:rsidRPr="00FA433F" w:rsidRDefault="00D457E5" w:rsidP="00676CE2">
            <w:pPr>
              <w:spacing w:before="0" w:after="0"/>
              <w:jc w:val="center"/>
              <w:rPr>
                <w:noProof/>
                <w:sz w:val="16"/>
                <w:szCs w:val="16"/>
              </w:rPr>
            </w:pPr>
            <w:r w:rsidRPr="00FA433F">
              <w:rPr>
                <w:noProof/>
                <w:sz w:val="16"/>
              </w:rPr>
              <w:t>0</w:t>
            </w:r>
          </w:p>
        </w:tc>
        <w:tc>
          <w:tcPr>
            <w:tcW w:w="693" w:type="dxa"/>
            <w:tcBorders>
              <w:top w:val="single" w:sz="8" w:space="0" w:color="auto"/>
              <w:left w:val="nil"/>
              <w:bottom w:val="single" w:sz="8" w:space="0" w:color="auto"/>
              <w:right w:val="single" w:sz="8" w:space="0" w:color="auto"/>
            </w:tcBorders>
            <w:shd w:val="clear" w:color="000000" w:fill="D9D9D9"/>
            <w:vAlign w:val="center"/>
          </w:tcPr>
          <w:p w14:paraId="61395797" w14:textId="77777777" w:rsidR="00D457E5" w:rsidRPr="00FA433F" w:rsidRDefault="00D457E5" w:rsidP="00676CE2">
            <w:pPr>
              <w:spacing w:before="0" w:after="0"/>
              <w:jc w:val="center"/>
              <w:rPr>
                <w:noProof/>
                <w:sz w:val="16"/>
                <w:szCs w:val="16"/>
              </w:rPr>
            </w:pPr>
            <w:r w:rsidRPr="00FA433F">
              <w:rPr>
                <w:noProof/>
                <w:sz w:val="16"/>
              </w:rPr>
              <w:t>0</w:t>
            </w:r>
          </w:p>
        </w:tc>
        <w:tc>
          <w:tcPr>
            <w:tcW w:w="739" w:type="dxa"/>
            <w:tcBorders>
              <w:top w:val="single" w:sz="8" w:space="0" w:color="auto"/>
              <w:left w:val="single" w:sz="8" w:space="0" w:color="auto"/>
              <w:bottom w:val="single" w:sz="8" w:space="0" w:color="auto"/>
              <w:right w:val="single" w:sz="8" w:space="0" w:color="auto"/>
            </w:tcBorders>
            <w:shd w:val="clear" w:color="000000" w:fill="D9D9D9"/>
            <w:vAlign w:val="center"/>
          </w:tcPr>
          <w:p w14:paraId="6FE22534"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51BA2491" w14:textId="77777777" w:rsidR="00D457E5" w:rsidRPr="00FA433F" w:rsidRDefault="00D457E5" w:rsidP="00676CE2">
            <w:pPr>
              <w:spacing w:before="0" w:after="0"/>
              <w:jc w:val="center"/>
              <w:rPr>
                <w:noProof/>
                <w:sz w:val="16"/>
                <w:szCs w:val="16"/>
              </w:rPr>
            </w:pPr>
            <w:r w:rsidRPr="00FA433F">
              <w:rPr>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6D199F12" w14:textId="53CE5E19" w:rsidR="00D457E5" w:rsidRPr="00FA433F" w:rsidRDefault="00F8743A" w:rsidP="00676CE2">
            <w:pPr>
              <w:spacing w:before="0" w:after="0"/>
              <w:jc w:val="center"/>
              <w:rPr>
                <w:noProof/>
                <w:sz w:val="16"/>
                <w:szCs w:val="16"/>
              </w:rPr>
            </w:pPr>
            <w:r w:rsidRPr="00FA433F">
              <w:rPr>
                <w:noProof/>
                <w:sz w:val="16"/>
              </w:rPr>
              <w:t>17</w:t>
            </w:r>
          </w:p>
        </w:tc>
      </w:tr>
      <w:tr w:rsidR="00D457E5" w:rsidRPr="00FA433F" w14:paraId="5B6980C9" w14:textId="77777777" w:rsidTr="00D00E0B">
        <w:trPr>
          <w:trHeight w:val="300"/>
        </w:trPr>
        <w:tc>
          <w:tcPr>
            <w:tcW w:w="3968" w:type="dxa"/>
            <w:gridSpan w:val="4"/>
            <w:tcBorders>
              <w:top w:val="single" w:sz="8" w:space="0" w:color="auto"/>
              <w:left w:val="single" w:sz="8" w:space="0" w:color="auto"/>
              <w:bottom w:val="single" w:sz="8" w:space="0" w:color="auto"/>
              <w:right w:val="single" w:sz="8" w:space="0" w:color="auto"/>
            </w:tcBorders>
            <w:vAlign w:val="center"/>
            <w:hideMark/>
          </w:tcPr>
          <w:p w14:paraId="7837324A" w14:textId="4338FC08" w:rsidR="00D457E5" w:rsidRPr="00FA433F" w:rsidRDefault="00D457E5" w:rsidP="00676CE2">
            <w:pPr>
              <w:spacing w:before="0" w:after="0"/>
              <w:ind w:firstLineChars="100" w:firstLine="160"/>
              <w:jc w:val="left"/>
              <w:rPr>
                <w:noProof/>
                <w:sz w:val="16"/>
                <w:szCs w:val="16"/>
              </w:rPr>
            </w:pPr>
            <w:r w:rsidRPr="00FA433F">
              <w:rPr>
                <w:noProof/>
                <w:sz w:val="16"/>
              </w:rPr>
              <w:t>20 02 03 (CA, LA, SNE i JPD</w:t>
            </w:r>
            <w:r w:rsidR="00FA433F" w:rsidRPr="00FA433F">
              <w:rPr>
                <w:noProof/>
                <w:sz w:val="16"/>
              </w:rPr>
              <w:t xml:space="preserve"> w</w:t>
            </w:r>
            <w:r w:rsidR="00FA433F">
              <w:rPr>
                <w:noProof/>
                <w:sz w:val="16"/>
              </w:rPr>
              <w:t> </w:t>
            </w:r>
            <w:r w:rsidR="00FA433F" w:rsidRPr="00FA433F">
              <w:rPr>
                <w:noProof/>
                <w:sz w:val="16"/>
              </w:rPr>
              <w:t>del</w:t>
            </w:r>
            <w:r w:rsidRPr="00FA433F">
              <w:rPr>
                <w:noProof/>
                <w:sz w:val="16"/>
              </w:rPr>
              <w:t>egaturach UE)</w:t>
            </w:r>
          </w:p>
        </w:tc>
        <w:tc>
          <w:tcPr>
            <w:tcW w:w="795" w:type="dxa"/>
            <w:tcBorders>
              <w:top w:val="nil"/>
              <w:left w:val="nil"/>
              <w:bottom w:val="single" w:sz="8" w:space="0" w:color="auto"/>
              <w:right w:val="single" w:sz="8" w:space="0" w:color="auto"/>
            </w:tcBorders>
            <w:shd w:val="clear" w:color="000000" w:fill="D9D9D9"/>
            <w:vAlign w:val="center"/>
            <w:hideMark/>
          </w:tcPr>
          <w:p w14:paraId="78912CA0"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7469FE1E"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2146B8D1" w14:textId="77777777" w:rsidR="00D457E5" w:rsidRPr="00FA433F" w:rsidRDefault="00D457E5" w:rsidP="00676CE2">
            <w:pPr>
              <w:spacing w:before="0" w:after="0"/>
              <w:jc w:val="center"/>
              <w:rPr>
                <w:noProof/>
                <w:sz w:val="16"/>
                <w:szCs w:val="16"/>
              </w:rPr>
            </w:pPr>
            <w:r w:rsidRPr="00FA433F">
              <w:rPr>
                <w:noProof/>
                <w:sz w:val="16"/>
              </w:rPr>
              <w:t>0</w:t>
            </w:r>
          </w:p>
        </w:tc>
        <w:tc>
          <w:tcPr>
            <w:tcW w:w="693" w:type="dxa"/>
            <w:tcBorders>
              <w:top w:val="nil"/>
              <w:left w:val="nil"/>
              <w:bottom w:val="single" w:sz="8" w:space="0" w:color="auto"/>
              <w:right w:val="single" w:sz="8" w:space="0" w:color="auto"/>
            </w:tcBorders>
            <w:shd w:val="clear" w:color="000000" w:fill="D9D9D9"/>
            <w:vAlign w:val="center"/>
          </w:tcPr>
          <w:p w14:paraId="312CDD67" w14:textId="77777777" w:rsidR="00D457E5" w:rsidRPr="00FA433F" w:rsidRDefault="00D457E5" w:rsidP="00676CE2">
            <w:pPr>
              <w:spacing w:before="0" w:after="0"/>
              <w:jc w:val="center"/>
              <w:rPr>
                <w:noProof/>
                <w:sz w:val="16"/>
                <w:szCs w:val="16"/>
              </w:rPr>
            </w:pPr>
            <w:r w:rsidRPr="00FA433F">
              <w:rPr>
                <w:noProof/>
                <w:sz w:val="16"/>
              </w:rPr>
              <w:t>0</w:t>
            </w:r>
          </w:p>
        </w:tc>
        <w:tc>
          <w:tcPr>
            <w:tcW w:w="739" w:type="dxa"/>
            <w:tcBorders>
              <w:top w:val="nil"/>
              <w:left w:val="single" w:sz="8" w:space="0" w:color="auto"/>
              <w:bottom w:val="single" w:sz="8" w:space="0" w:color="auto"/>
              <w:right w:val="single" w:sz="8" w:space="0" w:color="auto"/>
            </w:tcBorders>
            <w:shd w:val="clear" w:color="000000" w:fill="D9D9D9"/>
            <w:vAlign w:val="center"/>
          </w:tcPr>
          <w:p w14:paraId="21368A18"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445C6DBF" w14:textId="77777777" w:rsidR="00D457E5" w:rsidRPr="00FA433F" w:rsidRDefault="00D457E5" w:rsidP="00676CE2">
            <w:pPr>
              <w:spacing w:before="0" w:after="0"/>
              <w:jc w:val="center"/>
              <w:rPr>
                <w:noProof/>
                <w:sz w:val="16"/>
                <w:szCs w:val="16"/>
              </w:rPr>
            </w:pPr>
            <w:r w:rsidRPr="00FA433F">
              <w:rPr>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28EB069D" w14:textId="77777777" w:rsidR="00D457E5" w:rsidRPr="00FA433F" w:rsidRDefault="000B4897" w:rsidP="00676CE2">
            <w:pPr>
              <w:spacing w:before="0" w:after="0"/>
              <w:jc w:val="center"/>
              <w:rPr>
                <w:noProof/>
                <w:sz w:val="16"/>
                <w:szCs w:val="16"/>
              </w:rPr>
            </w:pPr>
            <w:r w:rsidRPr="00FA433F">
              <w:rPr>
                <w:noProof/>
                <w:sz w:val="16"/>
              </w:rPr>
              <w:t>0</w:t>
            </w:r>
          </w:p>
        </w:tc>
      </w:tr>
      <w:tr w:rsidR="00D457E5" w:rsidRPr="00FA433F" w14:paraId="03E7D47C" w14:textId="77777777" w:rsidTr="00D00E0B">
        <w:trPr>
          <w:trHeight w:val="300"/>
        </w:trPr>
        <w:tc>
          <w:tcPr>
            <w:tcW w:w="1404" w:type="dxa"/>
            <w:gridSpan w:val="2"/>
            <w:vMerge w:val="restart"/>
            <w:tcBorders>
              <w:top w:val="nil"/>
              <w:left w:val="single" w:sz="8" w:space="0" w:color="auto"/>
              <w:bottom w:val="single" w:sz="8" w:space="0" w:color="auto"/>
              <w:right w:val="single" w:sz="8" w:space="0" w:color="auto"/>
            </w:tcBorders>
            <w:vAlign w:val="center"/>
            <w:hideMark/>
          </w:tcPr>
          <w:p w14:paraId="797E915B" w14:textId="77777777" w:rsidR="00D457E5" w:rsidRPr="00FA433F" w:rsidRDefault="00D457E5" w:rsidP="00676CE2">
            <w:pPr>
              <w:spacing w:before="0" w:after="0"/>
              <w:jc w:val="center"/>
              <w:rPr>
                <w:noProof/>
                <w:sz w:val="16"/>
                <w:szCs w:val="16"/>
              </w:rPr>
            </w:pPr>
            <w:r w:rsidRPr="00FA433F">
              <w:rPr>
                <w:noProof/>
                <w:sz w:val="16"/>
              </w:rPr>
              <w:t>Linia budżetowa Linia budżetowa na wsparcie</w:t>
            </w:r>
            <w:r w:rsidRPr="00FA433F">
              <w:rPr>
                <w:noProof/>
              </w:rPr>
              <w:t xml:space="preserve"> </w:t>
            </w:r>
            <w:r w:rsidRPr="00FA433F">
              <w:rPr>
                <w:noProof/>
              </w:rPr>
              <w:br/>
            </w:r>
            <w:r w:rsidRPr="00FA433F">
              <w:rPr>
                <w:noProof/>
                <w:sz w:val="16"/>
              </w:rPr>
              <w:t>[XX.01.YY.YY]</w:t>
            </w:r>
          </w:p>
        </w:tc>
        <w:tc>
          <w:tcPr>
            <w:tcW w:w="2564" w:type="dxa"/>
            <w:gridSpan w:val="2"/>
            <w:tcBorders>
              <w:top w:val="nil"/>
              <w:left w:val="nil"/>
              <w:bottom w:val="single" w:sz="8" w:space="0" w:color="auto"/>
              <w:right w:val="single" w:sz="8" w:space="0" w:color="auto"/>
            </w:tcBorders>
            <w:vAlign w:val="center"/>
            <w:hideMark/>
          </w:tcPr>
          <w:p w14:paraId="079B574F" w14:textId="3861C292" w:rsidR="00D457E5" w:rsidRPr="00FA433F" w:rsidRDefault="00D457E5" w:rsidP="00676CE2">
            <w:pPr>
              <w:spacing w:before="0" w:after="0"/>
              <w:ind w:firstLineChars="100" w:firstLine="160"/>
              <w:jc w:val="left"/>
              <w:rPr>
                <w:noProof/>
                <w:sz w:val="16"/>
                <w:szCs w:val="16"/>
              </w:rPr>
            </w:pPr>
            <w:r w:rsidRPr="00FA433F">
              <w:rPr>
                <w:noProof/>
                <w:sz w:val="16"/>
              </w:rPr>
              <w:t>-</w:t>
            </w:r>
            <w:r w:rsidR="00FA433F" w:rsidRPr="00FA433F">
              <w:rPr>
                <w:noProof/>
                <w:sz w:val="16"/>
              </w:rPr>
              <w:t xml:space="preserve"> w</w:t>
            </w:r>
            <w:r w:rsidR="00FA433F">
              <w:rPr>
                <w:noProof/>
                <w:sz w:val="16"/>
              </w:rPr>
              <w:t> </w:t>
            </w:r>
            <w:r w:rsidR="00FA433F" w:rsidRPr="00FA433F">
              <w:rPr>
                <w:noProof/>
                <w:sz w:val="16"/>
              </w:rPr>
              <w:t>cen</w:t>
            </w:r>
            <w:r w:rsidRPr="00FA433F">
              <w:rPr>
                <w:noProof/>
                <w:sz w:val="16"/>
              </w:rPr>
              <w:t>trali</w:t>
            </w:r>
          </w:p>
        </w:tc>
        <w:tc>
          <w:tcPr>
            <w:tcW w:w="795" w:type="dxa"/>
            <w:tcBorders>
              <w:top w:val="nil"/>
              <w:left w:val="nil"/>
              <w:bottom w:val="single" w:sz="8" w:space="0" w:color="auto"/>
              <w:right w:val="single" w:sz="8" w:space="0" w:color="auto"/>
            </w:tcBorders>
            <w:shd w:val="clear" w:color="000000" w:fill="D9D9D9"/>
            <w:vAlign w:val="center"/>
            <w:hideMark/>
          </w:tcPr>
          <w:p w14:paraId="6D711FED"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27E2CA13"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426F01DC" w14:textId="77777777" w:rsidR="00D457E5" w:rsidRPr="00FA433F" w:rsidRDefault="00D457E5" w:rsidP="00676CE2">
            <w:pPr>
              <w:spacing w:before="0" w:after="0"/>
              <w:jc w:val="center"/>
              <w:rPr>
                <w:noProof/>
                <w:sz w:val="16"/>
                <w:szCs w:val="16"/>
              </w:rPr>
            </w:pPr>
            <w:r w:rsidRPr="00FA433F">
              <w:rPr>
                <w:noProof/>
                <w:sz w:val="16"/>
              </w:rPr>
              <w:t>0</w:t>
            </w:r>
          </w:p>
        </w:tc>
        <w:tc>
          <w:tcPr>
            <w:tcW w:w="693" w:type="dxa"/>
            <w:tcBorders>
              <w:top w:val="nil"/>
              <w:left w:val="nil"/>
              <w:bottom w:val="single" w:sz="8" w:space="0" w:color="auto"/>
              <w:right w:val="single" w:sz="8" w:space="0" w:color="auto"/>
            </w:tcBorders>
            <w:shd w:val="clear" w:color="000000" w:fill="D9D9D9"/>
            <w:vAlign w:val="center"/>
          </w:tcPr>
          <w:p w14:paraId="37A72F49" w14:textId="77777777" w:rsidR="00D457E5" w:rsidRPr="00FA433F" w:rsidRDefault="00D457E5" w:rsidP="00676CE2">
            <w:pPr>
              <w:spacing w:before="0" w:after="0"/>
              <w:jc w:val="center"/>
              <w:rPr>
                <w:noProof/>
                <w:sz w:val="16"/>
                <w:szCs w:val="16"/>
              </w:rPr>
            </w:pPr>
            <w:r w:rsidRPr="00FA433F">
              <w:rPr>
                <w:noProof/>
                <w:sz w:val="16"/>
              </w:rPr>
              <w:t>0</w:t>
            </w:r>
          </w:p>
        </w:tc>
        <w:tc>
          <w:tcPr>
            <w:tcW w:w="739" w:type="dxa"/>
            <w:tcBorders>
              <w:top w:val="nil"/>
              <w:left w:val="single" w:sz="8" w:space="0" w:color="auto"/>
              <w:bottom w:val="single" w:sz="8" w:space="0" w:color="auto"/>
              <w:right w:val="single" w:sz="8" w:space="0" w:color="auto"/>
            </w:tcBorders>
            <w:shd w:val="clear" w:color="000000" w:fill="D9D9D9"/>
            <w:vAlign w:val="center"/>
          </w:tcPr>
          <w:p w14:paraId="23CDDF9C"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2C082037" w14:textId="77777777" w:rsidR="00D457E5" w:rsidRPr="00FA433F" w:rsidRDefault="00D457E5" w:rsidP="00676CE2">
            <w:pPr>
              <w:spacing w:before="0" w:after="0"/>
              <w:jc w:val="center"/>
              <w:rPr>
                <w:noProof/>
                <w:sz w:val="16"/>
                <w:szCs w:val="16"/>
              </w:rPr>
            </w:pPr>
            <w:r w:rsidRPr="00FA433F">
              <w:rPr>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4EC8AED4" w14:textId="77777777" w:rsidR="00D457E5" w:rsidRPr="00FA433F" w:rsidRDefault="000B4897" w:rsidP="00676CE2">
            <w:pPr>
              <w:spacing w:before="0" w:after="0"/>
              <w:jc w:val="center"/>
              <w:rPr>
                <w:noProof/>
                <w:sz w:val="16"/>
                <w:szCs w:val="16"/>
              </w:rPr>
            </w:pPr>
            <w:r w:rsidRPr="00FA433F">
              <w:rPr>
                <w:noProof/>
                <w:sz w:val="16"/>
              </w:rPr>
              <w:t>0</w:t>
            </w:r>
          </w:p>
        </w:tc>
      </w:tr>
      <w:tr w:rsidR="00D457E5" w:rsidRPr="00FA433F" w14:paraId="2BE17CC9" w14:textId="77777777" w:rsidTr="00D00E0B">
        <w:trPr>
          <w:trHeight w:val="300"/>
        </w:trPr>
        <w:tc>
          <w:tcPr>
            <w:tcW w:w="1404" w:type="dxa"/>
            <w:gridSpan w:val="2"/>
            <w:vMerge/>
            <w:tcBorders>
              <w:top w:val="nil"/>
              <w:left w:val="single" w:sz="8" w:space="0" w:color="auto"/>
              <w:bottom w:val="single" w:sz="8" w:space="0" w:color="auto"/>
              <w:right w:val="single" w:sz="8" w:space="0" w:color="auto"/>
            </w:tcBorders>
            <w:vAlign w:val="center"/>
            <w:hideMark/>
          </w:tcPr>
          <w:p w14:paraId="6FCF47E0" w14:textId="77777777" w:rsidR="00D457E5" w:rsidRPr="00FA433F" w:rsidRDefault="00D457E5" w:rsidP="00676CE2">
            <w:pPr>
              <w:spacing w:before="0" w:after="0"/>
              <w:jc w:val="left"/>
              <w:rPr>
                <w:noProof/>
                <w:sz w:val="16"/>
                <w:szCs w:val="16"/>
                <w:lang w:eastAsia="en-IE"/>
              </w:rPr>
            </w:pPr>
          </w:p>
        </w:tc>
        <w:tc>
          <w:tcPr>
            <w:tcW w:w="2564" w:type="dxa"/>
            <w:gridSpan w:val="2"/>
            <w:tcBorders>
              <w:top w:val="nil"/>
              <w:left w:val="nil"/>
              <w:bottom w:val="single" w:sz="8" w:space="0" w:color="auto"/>
              <w:right w:val="single" w:sz="8" w:space="0" w:color="auto"/>
            </w:tcBorders>
            <w:vAlign w:val="center"/>
            <w:hideMark/>
          </w:tcPr>
          <w:p w14:paraId="7E054A5E" w14:textId="695ABFFC" w:rsidR="00D457E5" w:rsidRPr="00FA433F" w:rsidRDefault="00D457E5" w:rsidP="00676CE2">
            <w:pPr>
              <w:spacing w:before="0" w:after="0"/>
              <w:ind w:firstLineChars="100" w:firstLine="160"/>
              <w:jc w:val="left"/>
              <w:rPr>
                <w:noProof/>
                <w:sz w:val="16"/>
                <w:szCs w:val="16"/>
              </w:rPr>
            </w:pPr>
            <w:r w:rsidRPr="00FA433F">
              <w:rPr>
                <w:noProof/>
                <w:sz w:val="16"/>
              </w:rPr>
              <w:t>-</w:t>
            </w:r>
            <w:r w:rsidR="00FA433F" w:rsidRPr="00FA433F">
              <w:rPr>
                <w:noProof/>
                <w:sz w:val="16"/>
              </w:rPr>
              <w:t xml:space="preserve"> w</w:t>
            </w:r>
            <w:r w:rsidR="00FA433F">
              <w:rPr>
                <w:noProof/>
                <w:sz w:val="16"/>
              </w:rPr>
              <w:t> </w:t>
            </w:r>
            <w:r w:rsidR="00FA433F" w:rsidRPr="00FA433F">
              <w:rPr>
                <w:noProof/>
                <w:sz w:val="16"/>
              </w:rPr>
              <w:t>del</w:t>
            </w:r>
            <w:r w:rsidRPr="00FA433F">
              <w:rPr>
                <w:noProof/>
                <w:sz w:val="16"/>
              </w:rPr>
              <w:t xml:space="preserve">egaturach UE </w:t>
            </w:r>
          </w:p>
        </w:tc>
        <w:tc>
          <w:tcPr>
            <w:tcW w:w="795" w:type="dxa"/>
            <w:tcBorders>
              <w:top w:val="nil"/>
              <w:left w:val="nil"/>
              <w:bottom w:val="single" w:sz="8" w:space="0" w:color="auto"/>
              <w:right w:val="single" w:sz="8" w:space="0" w:color="auto"/>
            </w:tcBorders>
            <w:shd w:val="clear" w:color="000000" w:fill="D9D9D9"/>
            <w:vAlign w:val="center"/>
            <w:hideMark/>
          </w:tcPr>
          <w:p w14:paraId="2C02EADD"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06F8FDB9"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192A6918" w14:textId="77777777" w:rsidR="00D457E5" w:rsidRPr="00FA433F" w:rsidRDefault="00D457E5" w:rsidP="00676CE2">
            <w:pPr>
              <w:spacing w:before="0" w:after="0"/>
              <w:jc w:val="center"/>
              <w:rPr>
                <w:noProof/>
                <w:sz w:val="16"/>
                <w:szCs w:val="16"/>
              </w:rPr>
            </w:pPr>
            <w:r w:rsidRPr="00FA433F">
              <w:rPr>
                <w:noProof/>
                <w:sz w:val="16"/>
              </w:rPr>
              <w:t>0</w:t>
            </w:r>
          </w:p>
        </w:tc>
        <w:tc>
          <w:tcPr>
            <w:tcW w:w="693" w:type="dxa"/>
            <w:tcBorders>
              <w:top w:val="nil"/>
              <w:left w:val="nil"/>
              <w:bottom w:val="single" w:sz="8" w:space="0" w:color="auto"/>
              <w:right w:val="single" w:sz="8" w:space="0" w:color="auto"/>
            </w:tcBorders>
            <w:shd w:val="clear" w:color="000000" w:fill="D9D9D9"/>
            <w:vAlign w:val="center"/>
          </w:tcPr>
          <w:p w14:paraId="0B0E6AC1" w14:textId="77777777" w:rsidR="00D457E5" w:rsidRPr="00FA433F" w:rsidRDefault="00D457E5" w:rsidP="00676CE2">
            <w:pPr>
              <w:spacing w:before="0" w:after="0"/>
              <w:jc w:val="center"/>
              <w:rPr>
                <w:noProof/>
                <w:sz w:val="16"/>
                <w:szCs w:val="16"/>
              </w:rPr>
            </w:pPr>
            <w:r w:rsidRPr="00FA433F">
              <w:rPr>
                <w:noProof/>
                <w:sz w:val="16"/>
              </w:rPr>
              <w:t>0</w:t>
            </w:r>
          </w:p>
        </w:tc>
        <w:tc>
          <w:tcPr>
            <w:tcW w:w="739" w:type="dxa"/>
            <w:tcBorders>
              <w:top w:val="nil"/>
              <w:left w:val="single" w:sz="8" w:space="0" w:color="auto"/>
              <w:bottom w:val="single" w:sz="8" w:space="0" w:color="auto"/>
              <w:right w:val="single" w:sz="8" w:space="0" w:color="auto"/>
            </w:tcBorders>
            <w:shd w:val="clear" w:color="000000" w:fill="D9D9D9"/>
            <w:vAlign w:val="center"/>
          </w:tcPr>
          <w:p w14:paraId="432227F5"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1063C48A" w14:textId="77777777" w:rsidR="00D457E5" w:rsidRPr="00FA433F" w:rsidRDefault="00D457E5" w:rsidP="00676CE2">
            <w:pPr>
              <w:spacing w:before="0" w:after="0"/>
              <w:jc w:val="center"/>
              <w:rPr>
                <w:noProof/>
                <w:sz w:val="16"/>
                <w:szCs w:val="16"/>
              </w:rPr>
            </w:pPr>
            <w:r w:rsidRPr="00FA433F">
              <w:rPr>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5E779023" w14:textId="77777777" w:rsidR="00D457E5" w:rsidRPr="00FA433F" w:rsidRDefault="000B4897" w:rsidP="00676CE2">
            <w:pPr>
              <w:spacing w:before="0" w:after="0"/>
              <w:jc w:val="center"/>
              <w:rPr>
                <w:noProof/>
                <w:sz w:val="16"/>
                <w:szCs w:val="16"/>
              </w:rPr>
            </w:pPr>
            <w:r w:rsidRPr="00FA433F">
              <w:rPr>
                <w:noProof/>
                <w:sz w:val="16"/>
              </w:rPr>
              <w:t>0</w:t>
            </w:r>
          </w:p>
        </w:tc>
      </w:tr>
      <w:tr w:rsidR="00D457E5" w:rsidRPr="00FA433F" w14:paraId="4BD6418B" w14:textId="77777777" w:rsidTr="00D00E0B">
        <w:trPr>
          <w:trHeight w:val="300"/>
        </w:trPr>
        <w:tc>
          <w:tcPr>
            <w:tcW w:w="3968" w:type="dxa"/>
            <w:gridSpan w:val="4"/>
            <w:tcBorders>
              <w:top w:val="single" w:sz="8" w:space="0" w:color="auto"/>
              <w:left w:val="single" w:sz="8" w:space="0" w:color="auto"/>
              <w:bottom w:val="single" w:sz="8" w:space="0" w:color="auto"/>
              <w:right w:val="single" w:sz="8" w:space="0" w:color="auto"/>
            </w:tcBorders>
            <w:vAlign w:val="center"/>
            <w:hideMark/>
          </w:tcPr>
          <w:p w14:paraId="047CFE58" w14:textId="77777777" w:rsidR="00D457E5" w:rsidRPr="00FA433F" w:rsidRDefault="00D457E5" w:rsidP="00676CE2">
            <w:pPr>
              <w:spacing w:before="0" w:after="0"/>
              <w:ind w:firstLineChars="100" w:firstLine="160"/>
              <w:jc w:val="left"/>
              <w:rPr>
                <w:noProof/>
                <w:sz w:val="16"/>
                <w:szCs w:val="16"/>
              </w:rPr>
            </w:pPr>
            <w:r w:rsidRPr="00FA433F">
              <w:rPr>
                <w:noProof/>
                <w:sz w:val="16"/>
              </w:rPr>
              <w:t>01 01 01 02</w:t>
            </w:r>
            <w:r w:rsidRPr="00FA433F">
              <w:rPr>
                <w:rFonts w:ascii="Arial Narrow" w:hAnsi="Arial Narrow"/>
                <w:noProof/>
                <w:sz w:val="20"/>
              </w:rPr>
              <w:t xml:space="preserve"> </w:t>
            </w:r>
            <w:r w:rsidRPr="00FA433F">
              <w:rPr>
                <w:noProof/>
                <w:sz w:val="16"/>
              </w:rPr>
              <w:t>(CA, SNE – pośrednie badania naukowe)</w:t>
            </w:r>
          </w:p>
        </w:tc>
        <w:tc>
          <w:tcPr>
            <w:tcW w:w="795" w:type="dxa"/>
            <w:tcBorders>
              <w:top w:val="nil"/>
              <w:left w:val="nil"/>
              <w:bottom w:val="single" w:sz="8" w:space="0" w:color="auto"/>
              <w:right w:val="single" w:sz="8" w:space="0" w:color="auto"/>
            </w:tcBorders>
            <w:shd w:val="clear" w:color="000000" w:fill="D9D9D9"/>
            <w:vAlign w:val="center"/>
            <w:hideMark/>
          </w:tcPr>
          <w:p w14:paraId="4A3628D8"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1AC9CD20"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4ACEF242" w14:textId="77777777" w:rsidR="00D457E5" w:rsidRPr="00FA433F" w:rsidRDefault="00D457E5" w:rsidP="00676CE2">
            <w:pPr>
              <w:spacing w:before="0" w:after="0"/>
              <w:jc w:val="center"/>
              <w:rPr>
                <w:noProof/>
                <w:sz w:val="16"/>
                <w:szCs w:val="16"/>
              </w:rPr>
            </w:pPr>
            <w:r w:rsidRPr="00FA433F">
              <w:rPr>
                <w:noProof/>
                <w:sz w:val="16"/>
              </w:rPr>
              <w:t>0</w:t>
            </w:r>
          </w:p>
        </w:tc>
        <w:tc>
          <w:tcPr>
            <w:tcW w:w="693" w:type="dxa"/>
            <w:tcBorders>
              <w:top w:val="nil"/>
              <w:left w:val="nil"/>
              <w:bottom w:val="single" w:sz="8" w:space="0" w:color="auto"/>
              <w:right w:val="single" w:sz="8" w:space="0" w:color="auto"/>
            </w:tcBorders>
            <w:shd w:val="clear" w:color="000000" w:fill="D9D9D9"/>
            <w:vAlign w:val="center"/>
          </w:tcPr>
          <w:p w14:paraId="00309935" w14:textId="77777777" w:rsidR="00D457E5" w:rsidRPr="00FA433F" w:rsidRDefault="00D457E5" w:rsidP="00676CE2">
            <w:pPr>
              <w:spacing w:before="0" w:after="0"/>
              <w:jc w:val="center"/>
              <w:rPr>
                <w:noProof/>
                <w:sz w:val="16"/>
                <w:szCs w:val="16"/>
              </w:rPr>
            </w:pPr>
            <w:r w:rsidRPr="00FA433F">
              <w:rPr>
                <w:noProof/>
                <w:sz w:val="16"/>
              </w:rPr>
              <w:t>0</w:t>
            </w:r>
          </w:p>
        </w:tc>
        <w:tc>
          <w:tcPr>
            <w:tcW w:w="739" w:type="dxa"/>
            <w:tcBorders>
              <w:top w:val="nil"/>
              <w:left w:val="single" w:sz="8" w:space="0" w:color="auto"/>
              <w:bottom w:val="single" w:sz="8" w:space="0" w:color="auto"/>
              <w:right w:val="single" w:sz="8" w:space="0" w:color="auto"/>
            </w:tcBorders>
            <w:shd w:val="clear" w:color="000000" w:fill="D9D9D9"/>
            <w:vAlign w:val="center"/>
          </w:tcPr>
          <w:p w14:paraId="637247D0"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3239F44B" w14:textId="77777777" w:rsidR="00D457E5" w:rsidRPr="00FA433F" w:rsidRDefault="00D457E5" w:rsidP="00676CE2">
            <w:pPr>
              <w:spacing w:before="0" w:after="0"/>
              <w:jc w:val="center"/>
              <w:rPr>
                <w:noProof/>
                <w:sz w:val="16"/>
                <w:szCs w:val="16"/>
              </w:rPr>
            </w:pPr>
            <w:r w:rsidRPr="00FA433F">
              <w:rPr>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745DC187" w14:textId="77777777" w:rsidR="00D457E5" w:rsidRPr="00FA433F" w:rsidRDefault="000B4897" w:rsidP="00676CE2">
            <w:pPr>
              <w:spacing w:before="0" w:after="0"/>
              <w:jc w:val="center"/>
              <w:rPr>
                <w:noProof/>
                <w:sz w:val="16"/>
                <w:szCs w:val="16"/>
              </w:rPr>
            </w:pPr>
            <w:r w:rsidRPr="00FA433F">
              <w:rPr>
                <w:noProof/>
                <w:sz w:val="16"/>
              </w:rPr>
              <w:t>0</w:t>
            </w:r>
          </w:p>
        </w:tc>
      </w:tr>
      <w:tr w:rsidR="00D457E5" w:rsidRPr="00FA433F" w14:paraId="03709FE7" w14:textId="77777777" w:rsidTr="00D00E0B">
        <w:trPr>
          <w:trHeight w:val="300"/>
        </w:trPr>
        <w:tc>
          <w:tcPr>
            <w:tcW w:w="3968" w:type="dxa"/>
            <w:gridSpan w:val="4"/>
            <w:tcBorders>
              <w:top w:val="single" w:sz="8" w:space="0" w:color="auto"/>
              <w:left w:val="single" w:sz="8" w:space="0" w:color="auto"/>
              <w:bottom w:val="single" w:sz="8" w:space="0" w:color="auto"/>
              <w:right w:val="single" w:sz="8" w:space="0" w:color="auto"/>
            </w:tcBorders>
            <w:vAlign w:val="center"/>
            <w:hideMark/>
          </w:tcPr>
          <w:p w14:paraId="759D41BE" w14:textId="77777777" w:rsidR="00D457E5" w:rsidRPr="00FA433F" w:rsidRDefault="00D457E5" w:rsidP="00676CE2">
            <w:pPr>
              <w:spacing w:before="0" w:after="0"/>
              <w:ind w:firstLineChars="100" w:firstLine="160"/>
              <w:jc w:val="left"/>
              <w:rPr>
                <w:noProof/>
                <w:sz w:val="16"/>
                <w:szCs w:val="16"/>
              </w:rPr>
            </w:pPr>
            <w:r w:rsidRPr="00FA433F">
              <w:rPr>
                <w:noProof/>
                <w:sz w:val="16"/>
              </w:rPr>
              <w:t>01 01 01 12 (CA, SNE – bezpośrednie badania naukowe)</w:t>
            </w:r>
          </w:p>
        </w:tc>
        <w:tc>
          <w:tcPr>
            <w:tcW w:w="795" w:type="dxa"/>
            <w:tcBorders>
              <w:top w:val="nil"/>
              <w:left w:val="nil"/>
              <w:bottom w:val="single" w:sz="8" w:space="0" w:color="auto"/>
              <w:right w:val="single" w:sz="8" w:space="0" w:color="auto"/>
            </w:tcBorders>
            <w:shd w:val="clear" w:color="000000" w:fill="D9D9D9"/>
            <w:vAlign w:val="center"/>
            <w:hideMark/>
          </w:tcPr>
          <w:p w14:paraId="2CF00478"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0EE83F8C"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7EDA8A10" w14:textId="77777777" w:rsidR="00D457E5" w:rsidRPr="00FA433F" w:rsidRDefault="00D457E5" w:rsidP="00676CE2">
            <w:pPr>
              <w:spacing w:before="0" w:after="0"/>
              <w:jc w:val="center"/>
              <w:rPr>
                <w:noProof/>
                <w:sz w:val="16"/>
                <w:szCs w:val="16"/>
              </w:rPr>
            </w:pPr>
            <w:r w:rsidRPr="00FA433F">
              <w:rPr>
                <w:noProof/>
                <w:sz w:val="16"/>
              </w:rPr>
              <w:t>0</w:t>
            </w:r>
          </w:p>
        </w:tc>
        <w:tc>
          <w:tcPr>
            <w:tcW w:w="693" w:type="dxa"/>
            <w:tcBorders>
              <w:top w:val="nil"/>
              <w:left w:val="nil"/>
              <w:bottom w:val="single" w:sz="8" w:space="0" w:color="auto"/>
              <w:right w:val="single" w:sz="8" w:space="0" w:color="auto"/>
            </w:tcBorders>
            <w:shd w:val="clear" w:color="000000" w:fill="D9D9D9"/>
            <w:vAlign w:val="center"/>
          </w:tcPr>
          <w:p w14:paraId="20EF8E76" w14:textId="77777777" w:rsidR="00D457E5" w:rsidRPr="00FA433F" w:rsidRDefault="00D457E5" w:rsidP="00676CE2">
            <w:pPr>
              <w:spacing w:before="0" w:after="0"/>
              <w:jc w:val="center"/>
              <w:rPr>
                <w:noProof/>
                <w:sz w:val="16"/>
                <w:szCs w:val="16"/>
              </w:rPr>
            </w:pPr>
            <w:r w:rsidRPr="00FA433F">
              <w:rPr>
                <w:noProof/>
                <w:sz w:val="16"/>
              </w:rPr>
              <w:t>0</w:t>
            </w:r>
          </w:p>
        </w:tc>
        <w:tc>
          <w:tcPr>
            <w:tcW w:w="739" w:type="dxa"/>
            <w:tcBorders>
              <w:top w:val="nil"/>
              <w:left w:val="single" w:sz="8" w:space="0" w:color="auto"/>
              <w:bottom w:val="single" w:sz="8" w:space="0" w:color="auto"/>
              <w:right w:val="single" w:sz="8" w:space="0" w:color="auto"/>
            </w:tcBorders>
            <w:shd w:val="clear" w:color="000000" w:fill="D9D9D9"/>
            <w:vAlign w:val="center"/>
          </w:tcPr>
          <w:p w14:paraId="21390814"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23F7BE7C" w14:textId="77777777" w:rsidR="00D457E5" w:rsidRPr="00FA433F" w:rsidRDefault="00D457E5" w:rsidP="00676CE2">
            <w:pPr>
              <w:spacing w:before="0" w:after="0"/>
              <w:jc w:val="center"/>
              <w:rPr>
                <w:noProof/>
                <w:sz w:val="16"/>
                <w:szCs w:val="16"/>
              </w:rPr>
            </w:pPr>
            <w:r w:rsidRPr="00FA433F">
              <w:rPr>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72535F01" w14:textId="77777777" w:rsidR="00D457E5" w:rsidRPr="00FA433F" w:rsidRDefault="000B4897" w:rsidP="00676CE2">
            <w:pPr>
              <w:spacing w:before="0" w:after="0"/>
              <w:jc w:val="center"/>
              <w:rPr>
                <w:noProof/>
                <w:sz w:val="16"/>
                <w:szCs w:val="16"/>
              </w:rPr>
            </w:pPr>
            <w:r w:rsidRPr="00FA433F">
              <w:rPr>
                <w:noProof/>
                <w:sz w:val="16"/>
              </w:rPr>
              <w:t>0</w:t>
            </w:r>
          </w:p>
        </w:tc>
      </w:tr>
      <w:tr w:rsidR="00D457E5" w:rsidRPr="00FA433F" w14:paraId="556EA78A" w14:textId="77777777" w:rsidTr="00D00E0B">
        <w:trPr>
          <w:trHeight w:val="300"/>
        </w:trPr>
        <w:tc>
          <w:tcPr>
            <w:tcW w:w="3968" w:type="dxa"/>
            <w:gridSpan w:val="4"/>
            <w:tcBorders>
              <w:top w:val="single" w:sz="8" w:space="0" w:color="auto"/>
              <w:left w:val="single" w:sz="8" w:space="0" w:color="auto"/>
              <w:bottom w:val="single" w:sz="8" w:space="0" w:color="auto"/>
              <w:right w:val="single" w:sz="8" w:space="0" w:color="auto"/>
            </w:tcBorders>
            <w:vAlign w:val="center"/>
            <w:hideMark/>
          </w:tcPr>
          <w:p w14:paraId="12B3222F" w14:textId="77777777" w:rsidR="00D457E5" w:rsidRPr="00FA433F" w:rsidRDefault="00D457E5" w:rsidP="00676CE2">
            <w:pPr>
              <w:spacing w:before="0" w:after="0"/>
              <w:ind w:firstLineChars="100" w:firstLine="160"/>
              <w:jc w:val="left"/>
              <w:rPr>
                <w:noProof/>
                <w:sz w:val="16"/>
                <w:szCs w:val="16"/>
              </w:rPr>
            </w:pPr>
            <w:r w:rsidRPr="00FA433F">
              <w:rPr>
                <w:noProof/>
                <w:sz w:val="16"/>
              </w:rPr>
              <w:t>Inna linia budżetowa (określić) – dział 7</w:t>
            </w:r>
          </w:p>
        </w:tc>
        <w:tc>
          <w:tcPr>
            <w:tcW w:w="795" w:type="dxa"/>
            <w:tcBorders>
              <w:top w:val="nil"/>
              <w:left w:val="nil"/>
              <w:bottom w:val="single" w:sz="8" w:space="0" w:color="auto"/>
              <w:right w:val="single" w:sz="8" w:space="0" w:color="auto"/>
            </w:tcBorders>
            <w:shd w:val="clear" w:color="000000" w:fill="D9D9D9"/>
            <w:vAlign w:val="center"/>
            <w:hideMark/>
          </w:tcPr>
          <w:p w14:paraId="7D332090"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2D753D0F"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05B42EF6" w14:textId="77777777" w:rsidR="00D457E5" w:rsidRPr="00FA433F" w:rsidRDefault="00D457E5" w:rsidP="00676CE2">
            <w:pPr>
              <w:spacing w:before="0" w:after="0"/>
              <w:jc w:val="center"/>
              <w:rPr>
                <w:noProof/>
                <w:sz w:val="16"/>
                <w:szCs w:val="16"/>
              </w:rPr>
            </w:pPr>
            <w:r w:rsidRPr="00FA433F">
              <w:rPr>
                <w:noProof/>
                <w:sz w:val="16"/>
              </w:rPr>
              <w:t>0</w:t>
            </w:r>
          </w:p>
        </w:tc>
        <w:tc>
          <w:tcPr>
            <w:tcW w:w="693" w:type="dxa"/>
            <w:tcBorders>
              <w:top w:val="nil"/>
              <w:left w:val="nil"/>
              <w:bottom w:val="single" w:sz="8" w:space="0" w:color="auto"/>
              <w:right w:val="single" w:sz="8" w:space="0" w:color="auto"/>
            </w:tcBorders>
            <w:shd w:val="clear" w:color="000000" w:fill="D9D9D9"/>
            <w:vAlign w:val="center"/>
          </w:tcPr>
          <w:p w14:paraId="6C7A43EB" w14:textId="77777777" w:rsidR="00D457E5" w:rsidRPr="00FA433F" w:rsidRDefault="00D457E5" w:rsidP="00676CE2">
            <w:pPr>
              <w:spacing w:before="0" w:after="0"/>
              <w:jc w:val="center"/>
              <w:rPr>
                <w:noProof/>
                <w:sz w:val="16"/>
                <w:szCs w:val="16"/>
              </w:rPr>
            </w:pPr>
            <w:r w:rsidRPr="00FA433F">
              <w:rPr>
                <w:noProof/>
                <w:sz w:val="16"/>
              </w:rPr>
              <w:t>0</w:t>
            </w:r>
          </w:p>
        </w:tc>
        <w:tc>
          <w:tcPr>
            <w:tcW w:w="739" w:type="dxa"/>
            <w:tcBorders>
              <w:top w:val="nil"/>
              <w:left w:val="single" w:sz="8" w:space="0" w:color="auto"/>
              <w:bottom w:val="single" w:sz="8" w:space="0" w:color="auto"/>
              <w:right w:val="single" w:sz="8" w:space="0" w:color="auto"/>
            </w:tcBorders>
            <w:shd w:val="clear" w:color="000000" w:fill="D9D9D9"/>
            <w:vAlign w:val="center"/>
          </w:tcPr>
          <w:p w14:paraId="298C8330"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0E9182CF" w14:textId="77777777" w:rsidR="00D457E5" w:rsidRPr="00FA433F" w:rsidRDefault="00D457E5" w:rsidP="00676CE2">
            <w:pPr>
              <w:spacing w:before="0" w:after="0"/>
              <w:jc w:val="center"/>
              <w:rPr>
                <w:noProof/>
                <w:sz w:val="16"/>
                <w:szCs w:val="16"/>
              </w:rPr>
            </w:pPr>
            <w:r w:rsidRPr="00FA433F">
              <w:rPr>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7F5405C7" w14:textId="77777777" w:rsidR="00D457E5" w:rsidRPr="00FA433F" w:rsidRDefault="000B4897" w:rsidP="00676CE2">
            <w:pPr>
              <w:spacing w:before="0" w:after="0"/>
              <w:jc w:val="center"/>
              <w:rPr>
                <w:noProof/>
                <w:sz w:val="16"/>
                <w:szCs w:val="16"/>
              </w:rPr>
            </w:pPr>
            <w:r w:rsidRPr="00FA433F">
              <w:rPr>
                <w:noProof/>
                <w:sz w:val="16"/>
              </w:rPr>
              <w:t>0</w:t>
            </w:r>
          </w:p>
        </w:tc>
      </w:tr>
      <w:tr w:rsidR="00D457E5" w:rsidRPr="00FA433F" w14:paraId="314E79BC" w14:textId="77777777" w:rsidTr="00D00E0B">
        <w:trPr>
          <w:trHeight w:val="300"/>
        </w:trPr>
        <w:tc>
          <w:tcPr>
            <w:tcW w:w="3968" w:type="dxa"/>
            <w:gridSpan w:val="4"/>
            <w:tcBorders>
              <w:top w:val="single" w:sz="8" w:space="0" w:color="auto"/>
              <w:left w:val="single" w:sz="8" w:space="0" w:color="auto"/>
              <w:bottom w:val="single" w:sz="8" w:space="0" w:color="auto"/>
              <w:right w:val="single" w:sz="8" w:space="0" w:color="auto"/>
            </w:tcBorders>
            <w:vAlign w:val="center"/>
            <w:hideMark/>
          </w:tcPr>
          <w:p w14:paraId="111E49E7" w14:textId="77777777" w:rsidR="00D457E5" w:rsidRPr="00FA433F" w:rsidRDefault="00D457E5" w:rsidP="00676CE2">
            <w:pPr>
              <w:spacing w:before="0" w:after="0"/>
              <w:ind w:firstLineChars="100" w:firstLine="160"/>
              <w:jc w:val="left"/>
              <w:rPr>
                <w:noProof/>
                <w:sz w:val="16"/>
                <w:szCs w:val="16"/>
              </w:rPr>
            </w:pPr>
            <w:r w:rsidRPr="00FA433F">
              <w:rPr>
                <w:noProof/>
                <w:sz w:val="16"/>
              </w:rPr>
              <w:t>Inna linia budżetowa (określić) – poza działem 7</w:t>
            </w:r>
          </w:p>
          <w:p w14:paraId="5205E48E" w14:textId="77777777" w:rsidR="009B30EC" w:rsidRPr="00FA433F" w:rsidRDefault="009B30EC" w:rsidP="00676CE2">
            <w:pPr>
              <w:spacing w:before="0" w:after="0"/>
              <w:ind w:firstLineChars="100" w:firstLine="160"/>
              <w:jc w:val="left"/>
              <w:rPr>
                <w:noProof/>
                <w:sz w:val="16"/>
                <w:szCs w:val="16"/>
              </w:rPr>
            </w:pPr>
            <w:r w:rsidRPr="00FA433F">
              <w:rPr>
                <w:noProof/>
                <w:sz w:val="16"/>
              </w:rPr>
              <w:t>XX.YYYY Personel Tymczasowego Funduszu Dekarbonizacji</w:t>
            </w:r>
          </w:p>
        </w:tc>
        <w:tc>
          <w:tcPr>
            <w:tcW w:w="795" w:type="dxa"/>
            <w:tcBorders>
              <w:top w:val="nil"/>
              <w:left w:val="nil"/>
              <w:bottom w:val="single" w:sz="8" w:space="0" w:color="auto"/>
              <w:right w:val="single" w:sz="8" w:space="0" w:color="auto"/>
            </w:tcBorders>
            <w:shd w:val="clear" w:color="000000" w:fill="D9D9D9"/>
            <w:vAlign w:val="center"/>
            <w:hideMark/>
          </w:tcPr>
          <w:p w14:paraId="471DF9EC"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6409A082" w14:textId="77777777" w:rsidR="00D457E5" w:rsidRPr="00FA433F" w:rsidRDefault="00D457E5" w:rsidP="00676CE2">
            <w:pPr>
              <w:spacing w:before="0" w:after="0"/>
              <w:jc w:val="center"/>
              <w:rPr>
                <w:noProof/>
                <w:sz w:val="16"/>
                <w:szCs w:val="16"/>
              </w:rPr>
            </w:pPr>
            <w:r w:rsidRPr="00FA433F">
              <w:rPr>
                <w:noProof/>
                <w:sz w:val="16"/>
              </w:rPr>
              <w:t>0</w:t>
            </w:r>
          </w:p>
        </w:tc>
        <w:tc>
          <w:tcPr>
            <w:tcW w:w="795" w:type="dxa"/>
            <w:tcBorders>
              <w:top w:val="nil"/>
              <w:left w:val="nil"/>
              <w:bottom w:val="single" w:sz="8" w:space="0" w:color="auto"/>
              <w:right w:val="single" w:sz="8" w:space="0" w:color="auto"/>
            </w:tcBorders>
            <w:shd w:val="clear" w:color="000000" w:fill="D9D9D9"/>
            <w:vAlign w:val="center"/>
            <w:hideMark/>
          </w:tcPr>
          <w:p w14:paraId="605F89E5" w14:textId="77777777" w:rsidR="00D457E5" w:rsidRPr="00FA433F" w:rsidRDefault="00F8743A" w:rsidP="00676CE2">
            <w:pPr>
              <w:spacing w:before="0" w:after="0"/>
              <w:jc w:val="center"/>
              <w:rPr>
                <w:noProof/>
                <w:sz w:val="16"/>
                <w:szCs w:val="16"/>
              </w:rPr>
            </w:pPr>
            <w:r w:rsidRPr="00FA433F">
              <w:rPr>
                <w:noProof/>
                <w:sz w:val="16"/>
              </w:rPr>
              <w:t>9</w:t>
            </w:r>
          </w:p>
        </w:tc>
        <w:tc>
          <w:tcPr>
            <w:tcW w:w="693" w:type="dxa"/>
            <w:tcBorders>
              <w:top w:val="nil"/>
              <w:left w:val="nil"/>
              <w:bottom w:val="single" w:sz="8" w:space="0" w:color="auto"/>
              <w:right w:val="single" w:sz="8" w:space="0" w:color="auto"/>
            </w:tcBorders>
            <w:shd w:val="clear" w:color="000000" w:fill="D9D9D9"/>
            <w:vAlign w:val="center"/>
          </w:tcPr>
          <w:p w14:paraId="4C39FAE5" w14:textId="77777777" w:rsidR="00D457E5" w:rsidRPr="00FA433F" w:rsidRDefault="00F8743A" w:rsidP="00676CE2">
            <w:pPr>
              <w:spacing w:before="0" w:after="0"/>
              <w:jc w:val="center"/>
              <w:rPr>
                <w:noProof/>
                <w:sz w:val="16"/>
                <w:szCs w:val="16"/>
              </w:rPr>
            </w:pPr>
            <w:r w:rsidRPr="00FA433F">
              <w:rPr>
                <w:noProof/>
                <w:sz w:val="16"/>
              </w:rPr>
              <w:t>6</w:t>
            </w:r>
          </w:p>
        </w:tc>
        <w:tc>
          <w:tcPr>
            <w:tcW w:w="739" w:type="dxa"/>
            <w:tcBorders>
              <w:top w:val="nil"/>
              <w:left w:val="single" w:sz="8" w:space="0" w:color="auto"/>
              <w:bottom w:val="single" w:sz="8" w:space="0" w:color="auto"/>
              <w:right w:val="single" w:sz="8" w:space="0" w:color="auto"/>
            </w:tcBorders>
            <w:shd w:val="clear" w:color="000000" w:fill="D9D9D9"/>
            <w:vAlign w:val="center"/>
          </w:tcPr>
          <w:p w14:paraId="675B01D3" w14:textId="77777777" w:rsidR="00D457E5" w:rsidRPr="00FA433F" w:rsidRDefault="00F8743A" w:rsidP="00676CE2">
            <w:pPr>
              <w:spacing w:before="0" w:after="0"/>
              <w:jc w:val="center"/>
              <w:rPr>
                <w:noProof/>
                <w:sz w:val="16"/>
                <w:szCs w:val="16"/>
              </w:rPr>
            </w:pPr>
            <w:r w:rsidRPr="00FA433F">
              <w:rPr>
                <w:noProof/>
                <w:sz w:val="16"/>
              </w:rPr>
              <w:t>2</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2961E54E" w14:textId="77777777" w:rsidR="00D457E5" w:rsidRPr="00FA433F" w:rsidRDefault="00D457E5" w:rsidP="00676CE2">
            <w:pPr>
              <w:spacing w:before="0" w:after="0"/>
              <w:jc w:val="center"/>
              <w:rPr>
                <w:noProof/>
                <w:sz w:val="16"/>
                <w:szCs w:val="16"/>
              </w:rPr>
            </w:pPr>
            <w:r w:rsidRPr="00FA433F">
              <w:rPr>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2BA69929" w14:textId="2EFCBBC7" w:rsidR="00D457E5" w:rsidRPr="00FA433F" w:rsidRDefault="00F8743A" w:rsidP="00676CE2">
            <w:pPr>
              <w:spacing w:before="0" w:after="0"/>
              <w:jc w:val="center"/>
              <w:rPr>
                <w:noProof/>
                <w:sz w:val="16"/>
                <w:szCs w:val="16"/>
              </w:rPr>
            </w:pPr>
            <w:r w:rsidRPr="00FA433F">
              <w:rPr>
                <w:noProof/>
                <w:sz w:val="16"/>
              </w:rPr>
              <w:t>17</w:t>
            </w:r>
          </w:p>
        </w:tc>
      </w:tr>
      <w:tr w:rsidR="00D457E5" w:rsidRPr="00FA433F" w14:paraId="18C5F128" w14:textId="77777777" w:rsidTr="00D00E0B">
        <w:trPr>
          <w:trHeight w:val="300"/>
        </w:trPr>
        <w:tc>
          <w:tcPr>
            <w:tcW w:w="3968" w:type="dxa"/>
            <w:gridSpan w:val="4"/>
            <w:tcBorders>
              <w:top w:val="single" w:sz="8" w:space="0" w:color="auto"/>
              <w:left w:val="single" w:sz="8" w:space="0" w:color="auto"/>
              <w:bottom w:val="single" w:sz="8" w:space="0" w:color="auto"/>
              <w:right w:val="single" w:sz="8" w:space="0" w:color="auto"/>
            </w:tcBorders>
            <w:vAlign w:val="center"/>
            <w:hideMark/>
          </w:tcPr>
          <w:p w14:paraId="2AA0F1D9" w14:textId="77777777" w:rsidR="00D457E5" w:rsidRPr="00FA433F" w:rsidRDefault="00D457E5" w:rsidP="00676CE2">
            <w:pPr>
              <w:spacing w:before="0" w:after="0"/>
              <w:ind w:firstLineChars="100" w:firstLine="160"/>
              <w:jc w:val="left"/>
              <w:rPr>
                <w:b/>
                <w:bCs/>
                <w:noProof/>
                <w:sz w:val="16"/>
                <w:szCs w:val="16"/>
              </w:rPr>
            </w:pPr>
            <w:r w:rsidRPr="00FA433F">
              <w:rPr>
                <w:b/>
                <w:noProof/>
                <w:sz w:val="16"/>
              </w:rPr>
              <w:t>OGÓŁEM</w:t>
            </w:r>
          </w:p>
        </w:tc>
        <w:tc>
          <w:tcPr>
            <w:tcW w:w="795" w:type="dxa"/>
            <w:tcBorders>
              <w:top w:val="nil"/>
              <w:left w:val="nil"/>
              <w:bottom w:val="single" w:sz="8" w:space="0" w:color="auto"/>
              <w:right w:val="single" w:sz="8" w:space="0" w:color="auto"/>
            </w:tcBorders>
            <w:shd w:val="clear" w:color="000000" w:fill="D9D9D9"/>
            <w:vAlign w:val="center"/>
            <w:hideMark/>
          </w:tcPr>
          <w:p w14:paraId="7B6ACF6B" w14:textId="77777777" w:rsidR="00D457E5" w:rsidRPr="00FA433F" w:rsidRDefault="00801E92" w:rsidP="00676CE2">
            <w:pPr>
              <w:spacing w:before="0" w:after="0"/>
              <w:jc w:val="center"/>
              <w:rPr>
                <w:b/>
                <w:bCs/>
                <w:noProof/>
                <w:sz w:val="16"/>
                <w:szCs w:val="16"/>
              </w:rPr>
            </w:pPr>
            <w:r w:rsidRPr="00FA433F">
              <w:rPr>
                <w:b/>
                <w:noProof/>
                <w:sz w:val="16"/>
              </w:rPr>
              <w:t>8</w:t>
            </w:r>
          </w:p>
        </w:tc>
        <w:tc>
          <w:tcPr>
            <w:tcW w:w="795" w:type="dxa"/>
            <w:tcBorders>
              <w:top w:val="nil"/>
              <w:left w:val="nil"/>
              <w:bottom w:val="single" w:sz="8" w:space="0" w:color="auto"/>
              <w:right w:val="single" w:sz="8" w:space="0" w:color="auto"/>
            </w:tcBorders>
            <w:shd w:val="clear" w:color="000000" w:fill="D9D9D9"/>
            <w:vAlign w:val="center"/>
            <w:hideMark/>
          </w:tcPr>
          <w:p w14:paraId="4BA447E9" w14:textId="77777777" w:rsidR="00D457E5" w:rsidRPr="00FA433F" w:rsidRDefault="00D457E5" w:rsidP="00676CE2">
            <w:pPr>
              <w:spacing w:before="0" w:after="0"/>
              <w:jc w:val="center"/>
              <w:rPr>
                <w:b/>
                <w:bCs/>
                <w:noProof/>
                <w:sz w:val="16"/>
                <w:szCs w:val="16"/>
              </w:rPr>
            </w:pPr>
            <w:r w:rsidRPr="00FA433F">
              <w:rPr>
                <w:b/>
                <w:noProof/>
                <w:sz w:val="16"/>
              </w:rPr>
              <w:t>9</w:t>
            </w:r>
          </w:p>
        </w:tc>
        <w:tc>
          <w:tcPr>
            <w:tcW w:w="795" w:type="dxa"/>
            <w:tcBorders>
              <w:top w:val="nil"/>
              <w:left w:val="nil"/>
              <w:bottom w:val="single" w:sz="8" w:space="0" w:color="auto"/>
              <w:right w:val="single" w:sz="8" w:space="0" w:color="auto"/>
            </w:tcBorders>
            <w:shd w:val="clear" w:color="000000" w:fill="D9D9D9"/>
            <w:vAlign w:val="center"/>
            <w:hideMark/>
          </w:tcPr>
          <w:p w14:paraId="7867A236" w14:textId="77777777" w:rsidR="00D457E5" w:rsidRPr="00FA433F" w:rsidRDefault="00D457E5" w:rsidP="00676CE2">
            <w:pPr>
              <w:spacing w:before="0" w:after="0"/>
              <w:jc w:val="center"/>
              <w:rPr>
                <w:b/>
                <w:bCs/>
                <w:noProof/>
                <w:sz w:val="16"/>
                <w:szCs w:val="16"/>
              </w:rPr>
            </w:pPr>
            <w:r w:rsidRPr="00FA433F">
              <w:rPr>
                <w:b/>
                <w:noProof/>
                <w:sz w:val="16"/>
              </w:rPr>
              <w:t>9</w:t>
            </w:r>
          </w:p>
        </w:tc>
        <w:tc>
          <w:tcPr>
            <w:tcW w:w="693" w:type="dxa"/>
            <w:tcBorders>
              <w:top w:val="nil"/>
              <w:left w:val="nil"/>
              <w:bottom w:val="single" w:sz="8" w:space="0" w:color="auto"/>
              <w:right w:val="single" w:sz="8" w:space="0" w:color="auto"/>
            </w:tcBorders>
            <w:shd w:val="clear" w:color="000000" w:fill="D9D9D9"/>
            <w:vAlign w:val="center"/>
          </w:tcPr>
          <w:p w14:paraId="3AC6F963" w14:textId="77777777" w:rsidR="00D457E5" w:rsidRPr="00FA433F" w:rsidRDefault="00D457E5" w:rsidP="00676CE2">
            <w:pPr>
              <w:spacing w:before="0" w:after="0"/>
              <w:jc w:val="center"/>
              <w:rPr>
                <w:b/>
                <w:bCs/>
                <w:noProof/>
                <w:sz w:val="16"/>
                <w:szCs w:val="16"/>
              </w:rPr>
            </w:pPr>
            <w:r w:rsidRPr="00FA433F">
              <w:rPr>
                <w:b/>
                <w:noProof/>
                <w:sz w:val="16"/>
              </w:rPr>
              <w:t>6</w:t>
            </w:r>
          </w:p>
        </w:tc>
        <w:tc>
          <w:tcPr>
            <w:tcW w:w="739" w:type="dxa"/>
            <w:tcBorders>
              <w:top w:val="nil"/>
              <w:left w:val="single" w:sz="8" w:space="0" w:color="auto"/>
              <w:bottom w:val="single" w:sz="8" w:space="0" w:color="auto"/>
              <w:right w:val="single" w:sz="8" w:space="0" w:color="auto"/>
            </w:tcBorders>
            <w:shd w:val="clear" w:color="000000" w:fill="D9D9D9"/>
            <w:vAlign w:val="center"/>
          </w:tcPr>
          <w:p w14:paraId="7E5A29E5" w14:textId="77777777" w:rsidR="00D457E5" w:rsidRPr="00FA433F" w:rsidRDefault="00D457E5" w:rsidP="00676CE2">
            <w:pPr>
              <w:spacing w:before="0" w:after="0"/>
              <w:jc w:val="center"/>
              <w:rPr>
                <w:b/>
                <w:bCs/>
                <w:noProof/>
                <w:sz w:val="16"/>
                <w:szCs w:val="16"/>
              </w:rPr>
            </w:pPr>
            <w:r w:rsidRPr="00FA433F">
              <w:rPr>
                <w:b/>
                <w:noProof/>
                <w:sz w:val="16"/>
              </w:rPr>
              <w:t>2</w:t>
            </w:r>
          </w:p>
        </w:tc>
        <w:tc>
          <w:tcPr>
            <w:tcW w:w="795" w:type="dxa"/>
            <w:tcBorders>
              <w:top w:val="nil"/>
              <w:left w:val="single" w:sz="8" w:space="0" w:color="auto"/>
              <w:bottom w:val="single" w:sz="8" w:space="0" w:color="auto"/>
              <w:right w:val="single" w:sz="8" w:space="0" w:color="auto"/>
            </w:tcBorders>
            <w:shd w:val="clear" w:color="000000" w:fill="D9D9D9"/>
            <w:vAlign w:val="center"/>
            <w:hideMark/>
          </w:tcPr>
          <w:p w14:paraId="64063BB6" w14:textId="77777777" w:rsidR="00D457E5" w:rsidRPr="00FA433F" w:rsidRDefault="00D457E5" w:rsidP="00676CE2">
            <w:pPr>
              <w:spacing w:before="0" w:after="0"/>
              <w:jc w:val="center"/>
              <w:rPr>
                <w:b/>
                <w:bCs/>
                <w:noProof/>
                <w:sz w:val="16"/>
                <w:szCs w:val="16"/>
              </w:rPr>
            </w:pPr>
            <w:r w:rsidRPr="00FA433F">
              <w:rPr>
                <w:b/>
                <w:noProof/>
                <w:sz w:val="16"/>
              </w:rPr>
              <w:t>0</w:t>
            </w:r>
          </w:p>
        </w:tc>
        <w:tc>
          <w:tcPr>
            <w:tcW w:w="709" w:type="dxa"/>
            <w:tcBorders>
              <w:top w:val="nil"/>
              <w:left w:val="single" w:sz="8" w:space="0" w:color="auto"/>
              <w:bottom w:val="single" w:sz="8" w:space="0" w:color="auto"/>
              <w:right w:val="single" w:sz="8" w:space="0" w:color="auto"/>
            </w:tcBorders>
            <w:shd w:val="clear" w:color="000000" w:fill="D9D9D9"/>
            <w:vAlign w:val="center"/>
          </w:tcPr>
          <w:p w14:paraId="5E2DA954" w14:textId="30BC7AD7" w:rsidR="00D457E5" w:rsidRPr="00FA433F" w:rsidRDefault="00F8743A" w:rsidP="00676CE2">
            <w:pPr>
              <w:spacing w:before="0" w:after="0"/>
              <w:jc w:val="center"/>
              <w:rPr>
                <w:b/>
                <w:bCs/>
                <w:noProof/>
                <w:sz w:val="16"/>
                <w:szCs w:val="16"/>
              </w:rPr>
            </w:pPr>
            <w:r w:rsidRPr="00FA433F">
              <w:rPr>
                <w:b/>
                <w:noProof/>
                <w:sz w:val="16"/>
              </w:rPr>
              <w:t>34</w:t>
            </w:r>
          </w:p>
        </w:tc>
      </w:tr>
    </w:tbl>
    <w:p w14:paraId="7CC145BF" w14:textId="77777777" w:rsidR="008A4C15" w:rsidRPr="00FA433F" w:rsidRDefault="008A4C15">
      <w:pPr>
        <w:rPr>
          <w:noProof/>
        </w:rPr>
      </w:pPr>
      <w:r w:rsidRPr="00FA433F">
        <w:rPr>
          <w:noProof/>
        </w:rPr>
        <w:t>===================================================================</w:t>
      </w:r>
    </w:p>
    <w:p w14:paraId="1D9DB5C3" w14:textId="77777777" w:rsidR="008A4C15" w:rsidRPr="00FA433F" w:rsidRDefault="008A4C15" w:rsidP="00512B3C">
      <w:pPr>
        <w:pStyle w:val="Text1"/>
        <w:rPr>
          <w:noProof/>
        </w:rPr>
      </w:pPr>
      <w:bookmarkStart w:id="167" w:name="_Hlk167692843"/>
      <w:bookmarkEnd w:id="162"/>
      <w:r w:rsidRPr="00FA433F">
        <w:rPr>
          <w:noProof/>
        </w:rPr>
        <w:t xml:space="preserve">Personel niezbędny do wdrożenia wniosku (w EPC): </w:t>
      </w:r>
    </w:p>
    <w:tbl>
      <w:tblPr>
        <w:tblStyle w:val="Tabela-Siatka"/>
        <w:tblW w:w="9487" w:type="dxa"/>
        <w:tblInd w:w="-426" w:type="dxa"/>
        <w:tblLook w:val="04A0" w:firstRow="1" w:lastRow="0" w:firstColumn="1" w:lastColumn="0" w:noHBand="0" w:noVBand="1"/>
      </w:tblPr>
      <w:tblGrid>
        <w:gridCol w:w="1845"/>
        <w:gridCol w:w="2031"/>
        <w:gridCol w:w="1925"/>
        <w:gridCol w:w="1938"/>
        <w:gridCol w:w="1748"/>
      </w:tblGrid>
      <w:tr w:rsidR="004D55FB" w:rsidRPr="00FA433F" w14:paraId="0FD84784" w14:textId="77777777">
        <w:trPr>
          <w:trHeight w:val="300"/>
        </w:trPr>
        <w:tc>
          <w:tcPr>
            <w:tcW w:w="1845" w:type="dxa"/>
          </w:tcPr>
          <w:p w14:paraId="4652B99B" w14:textId="77777777" w:rsidR="008A4C15" w:rsidRPr="00FA433F" w:rsidRDefault="008A4C15">
            <w:pPr>
              <w:pStyle w:val="Text1"/>
              <w:ind w:left="0"/>
              <w:jc w:val="center"/>
              <w:rPr>
                <w:b/>
                <w:bCs/>
                <w:noProof/>
                <w:sz w:val="22"/>
                <w:szCs w:val="28"/>
              </w:rPr>
            </w:pPr>
          </w:p>
        </w:tc>
        <w:tc>
          <w:tcPr>
            <w:tcW w:w="2031" w:type="dxa"/>
          </w:tcPr>
          <w:p w14:paraId="6EA738E3" w14:textId="5E7BB1DA" w:rsidR="008A4C15" w:rsidRPr="00FA433F" w:rsidRDefault="008A4C15">
            <w:pPr>
              <w:pStyle w:val="Text1"/>
              <w:ind w:left="0"/>
              <w:jc w:val="center"/>
              <w:rPr>
                <w:b/>
                <w:bCs/>
                <w:noProof/>
                <w:sz w:val="22"/>
              </w:rPr>
            </w:pPr>
            <w:r w:rsidRPr="00FA433F">
              <w:rPr>
                <w:b/>
                <w:noProof/>
                <w:sz w:val="22"/>
              </w:rPr>
              <w:t>Personel już pracujący</w:t>
            </w:r>
            <w:r w:rsidR="00FA433F" w:rsidRPr="00FA433F">
              <w:rPr>
                <w:b/>
                <w:noProof/>
                <w:sz w:val="22"/>
              </w:rPr>
              <w:t xml:space="preserve"> w</w:t>
            </w:r>
            <w:r w:rsidR="00FA433F">
              <w:rPr>
                <w:b/>
                <w:noProof/>
                <w:sz w:val="22"/>
              </w:rPr>
              <w:t> </w:t>
            </w:r>
            <w:r w:rsidR="00FA433F" w:rsidRPr="00FA433F">
              <w:rPr>
                <w:b/>
                <w:noProof/>
                <w:sz w:val="22"/>
              </w:rPr>
              <w:t>słu</w:t>
            </w:r>
            <w:r w:rsidRPr="00FA433F">
              <w:rPr>
                <w:b/>
                <w:noProof/>
                <w:sz w:val="22"/>
              </w:rPr>
              <w:t xml:space="preserve">żbach Komisji </w:t>
            </w:r>
          </w:p>
        </w:tc>
        <w:tc>
          <w:tcPr>
            <w:tcW w:w="5611" w:type="dxa"/>
            <w:gridSpan w:val="3"/>
          </w:tcPr>
          <w:p w14:paraId="203E448B" w14:textId="77777777" w:rsidR="008A4C15" w:rsidRPr="00FA433F" w:rsidRDefault="008A4C15">
            <w:pPr>
              <w:pStyle w:val="Text1"/>
              <w:ind w:left="0"/>
              <w:jc w:val="center"/>
              <w:rPr>
                <w:b/>
                <w:bCs/>
                <w:noProof/>
                <w:sz w:val="22"/>
              </w:rPr>
            </w:pPr>
            <w:r w:rsidRPr="00FA433F">
              <w:rPr>
                <w:b/>
                <w:noProof/>
                <w:sz w:val="22"/>
              </w:rPr>
              <w:t>Personel dodatkowy*</w:t>
            </w:r>
          </w:p>
        </w:tc>
      </w:tr>
      <w:tr w:rsidR="004D55FB" w:rsidRPr="00FA433F" w14:paraId="0AD01B8E" w14:textId="77777777">
        <w:trPr>
          <w:trHeight w:val="300"/>
        </w:trPr>
        <w:tc>
          <w:tcPr>
            <w:tcW w:w="1845" w:type="dxa"/>
          </w:tcPr>
          <w:p w14:paraId="773C3D36" w14:textId="77777777" w:rsidR="008A4C15" w:rsidRPr="00FA433F" w:rsidRDefault="008A4C15">
            <w:pPr>
              <w:pStyle w:val="Text1"/>
              <w:ind w:left="0"/>
              <w:jc w:val="center"/>
              <w:rPr>
                <w:b/>
                <w:bCs/>
                <w:noProof/>
                <w:sz w:val="22"/>
                <w:szCs w:val="28"/>
              </w:rPr>
            </w:pPr>
          </w:p>
        </w:tc>
        <w:tc>
          <w:tcPr>
            <w:tcW w:w="2031" w:type="dxa"/>
          </w:tcPr>
          <w:p w14:paraId="5D052B8A" w14:textId="77777777" w:rsidR="008A4C15" w:rsidRPr="00FA433F" w:rsidRDefault="008A4C15">
            <w:pPr>
              <w:pStyle w:val="Text1"/>
              <w:ind w:left="0"/>
              <w:jc w:val="center"/>
              <w:rPr>
                <w:b/>
                <w:bCs/>
                <w:noProof/>
                <w:sz w:val="22"/>
                <w:szCs w:val="28"/>
              </w:rPr>
            </w:pPr>
          </w:p>
        </w:tc>
        <w:tc>
          <w:tcPr>
            <w:tcW w:w="1925" w:type="dxa"/>
          </w:tcPr>
          <w:p w14:paraId="2A642EC4" w14:textId="546692BA" w:rsidR="008A4C15" w:rsidRPr="00FA433F" w:rsidRDefault="008A4C15">
            <w:pPr>
              <w:pStyle w:val="Text1"/>
              <w:ind w:left="0"/>
              <w:jc w:val="center"/>
              <w:rPr>
                <w:b/>
                <w:bCs/>
                <w:noProof/>
                <w:sz w:val="22"/>
              </w:rPr>
            </w:pPr>
            <w:r w:rsidRPr="00FA433F">
              <w:rPr>
                <w:b/>
                <w:noProof/>
                <w:sz w:val="22"/>
              </w:rPr>
              <w:t>Finansowany</w:t>
            </w:r>
            <w:r w:rsidR="00FA433F" w:rsidRPr="00FA433F">
              <w:rPr>
                <w:b/>
                <w:noProof/>
                <w:sz w:val="22"/>
              </w:rPr>
              <w:t xml:space="preserve"> z</w:t>
            </w:r>
            <w:r w:rsidR="00FA433F">
              <w:rPr>
                <w:b/>
                <w:noProof/>
                <w:sz w:val="22"/>
              </w:rPr>
              <w:t> </w:t>
            </w:r>
            <w:r w:rsidR="00FA433F" w:rsidRPr="00FA433F">
              <w:rPr>
                <w:b/>
                <w:noProof/>
                <w:sz w:val="22"/>
              </w:rPr>
              <w:t>dzi</w:t>
            </w:r>
            <w:r w:rsidRPr="00FA433F">
              <w:rPr>
                <w:b/>
                <w:noProof/>
                <w:sz w:val="22"/>
              </w:rPr>
              <w:t>ału 7 lub ze środków „Badania naukowe”</w:t>
            </w:r>
          </w:p>
        </w:tc>
        <w:tc>
          <w:tcPr>
            <w:tcW w:w="1938" w:type="dxa"/>
          </w:tcPr>
          <w:p w14:paraId="6062E2AD" w14:textId="33FE62CC" w:rsidR="008A4C15" w:rsidRPr="00FA433F" w:rsidRDefault="008A4C15">
            <w:pPr>
              <w:pStyle w:val="Text1"/>
              <w:ind w:left="0"/>
              <w:jc w:val="center"/>
              <w:rPr>
                <w:b/>
                <w:bCs/>
                <w:noProof/>
                <w:sz w:val="22"/>
                <w:szCs w:val="28"/>
              </w:rPr>
            </w:pPr>
            <w:r w:rsidRPr="00FA433F">
              <w:rPr>
                <w:b/>
                <w:noProof/>
                <w:sz w:val="22"/>
              </w:rPr>
              <w:t>Finansowany</w:t>
            </w:r>
            <w:r w:rsidR="00FA433F" w:rsidRPr="00FA433F">
              <w:rPr>
                <w:b/>
                <w:noProof/>
                <w:sz w:val="22"/>
              </w:rPr>
              <w:t xml:space="preserve"> z</w:t>
            </w:r>
            <w:r w:rsidR="00FA433F">
              <w:rPr>
                <w:b/>
                <w:noProof/>
                <w:sz w:val="22"/>
              </w:rPr>
              <w:t> </w:t>
            </w:r>
            <w:r w:rsidR="00FA433F" w:rsidRPr="00FA433F">
              <w:rPr>
                <w:b/>
                <w:noProof/>
                <w:sz w:val="22"/>
              </w:rPr>
              <w:t>lin</w:t>
            </w:r>
            <w:r w:rsidRPr="00FA433F">
              <w:rPr>
                <w:b/>
                <w:noProof/>
                <w:sz w:val="22"/>
              </w:rPr>
              <w:t>ii BA</w:t>
            </w:r>
          </w:p>
        </w:tc>
        <w:tc>
          <w:tcPr>
            <w:tcW w:w="1748" w:type="dxa"/>
          </w:tcPr>
          <w:p w14:paraId="4C9F0002" w14:textId="2EC35A00" w:rsidR="008A4C15" w:rsidRPr="00FA433F" w:rsidRDefault="008A4C15">
            <w:pPr>
              <w:pStyle w:val="Text1"/>
              <w:ind w:left="0"/>
              <w:jc w:val="center"/>
              <w:rPr>
                <w:b/>
                <w:bCs/>
                <w:noProof/>
                <w:sz w:val="22"/>
                <w:szCs w:val="28"/>
              </w:rPr>
            </w:pPr>
            <w:r w:rsidRPr="00FA433F">
              <w:rPr>
                <w:b/>
                <w:noProof/>
                <w:sz w:val="22"/>
              </w:rPr>
              <w:t>Finansowany</w:t>
            </w:r>
            <w:r w:rsidR="00FA433F" w:rsidRPr="00FA433F">
              <w:rPr>
                <w:b/>
                <w:noProof/>
                <w:sz w:val="22"/>
              </w:rPr>
              <w:t xml:space="preserve"> z</w:t>
            </w:r>
            <w:r w:rsidR="00FA433F">
              <w:rPr>
                <w:b/>
                <w:noProof/>
                <w:sz w:val="22"/>
              </w:rPr>
              <w:t> </w:t>
            </w:r>
            <w:r w:rsidR="00FA433F" w:rsidRPr="00FA433F">
              <w:rPr>
                <w:b/>
                <w:noProof/>
                <w:sz w:val="22"/>
              </w:rPr>
              <w:t>doc</w:t>
            </w:r>
            <w:r w:rsidRPr="00FA433F">
              <w:rPr>
                <w:b/>
                <w:noProof/>
                <w:sz w:val="22"/>
              </w:rPr>
              <w:t>hodów przeznaczonych na określony cel</w:t>
            </w:r>
          </w:p>
        </w:tc>
      </w:tr>
      <w:tr w:rsidR="0083568E" w:rsidRPr="00FA433F" w14:paraId="487FE61B" w14:textId="77777777">
        <w:trPr>
          <w:trHeight w:val="300"/>
        </w:trPr>
        <w:tc>
          <w:tcPr>
            <w:tcW w:w="1845" w:type="dxa"/>
          </w:tcPr>
          <w:p w14:paraId="6CBDCD5B" w14:textId="3BC338CE" w:rsidR="0083568E" w:rsidRPr="00FA433F" w:rsidRDefault="0083568E" w:rsidP="0083568E">
            <w:pPr>
              <w:pStyle w:val="Text1"/>
              <w:ind w:left="0"/>
              <w:rPr>
                <w:noProof/>
                <w:sz w:val="22"/>
                <w:szCs w:val="28"/>
              </w:rPr>
            </w:pPr>
            <w:r w:rsidRPr="00FA433F">
              <w:rPr>
                <w:noProof/>
                <w:sz w:val="22"/>
              </w:rPr>
              <w:t>Stanowiska</w:t>
            </w:r>
            <w:r w:rsidR="00FA433F" w:rsidRPr="00FA433F">
              <w:rPr>
                <w:noProof/>
                <w:sz w:val="22"/>
              </w:rPr>
              <w:t xml:space="preserve"> w</w:t>
            </w:r>
            <w:r w:rsidR="00FA433F">
              <w:rPr>
                <w:noProof/>
                <w:sz w:val="22"/>
              </w:rPr>
              <w:t> </w:t>
            </w:r>
            <w:r w:rsidR="00FA433F" w:rsidRPr="00FA433F">
              <w:rPr>
                <w:noProof/>
                <w:sz w:val="22"/>
              </w:rPr>
              <w:t>pla</w:t>
            </w:r>
            <w:r w:rsidRPr="00FA433F">
              <w:rPr>
                <w:noProof/>
                <w:sz w:val="22"/>
              </w:rPr>
              <w:t>nie zatrudnienia</w:t>
            </w:r>
          </w:p>
        </w:tc>
        <w:tc>
          <w:tcPr>
            <w:tcW w:w="2031" w:type="dxa"/>
          </w:tcPr>
          <w:p w14:paraId="487C13CB" w14:textId="77777777" w:rsidR="0083568E" w:rsidRPr="00FA433F" w:rsidRDefault="0083568E" w:rsidP="0083568E">
            <w:pPr>
              <w:pStyle w:val="Text1"/>
              <w:ind w:left="0"/>
              <w:rPr>
                <w:noProof/>
                <w:sz w:val="22"/>
                <w:szCs w:val="28"/>
              </w:rPr>
            </w:pPr>
            <w:r w:rsidRPr="00FA433F">
              <w:rPr>
                <w:noProof/>
                <w:sz w:val="22"/>
              </w:rPr>
              <w:t>0</w:t>
            </w:r>
          </w:p>
        </w:tc>
        <w:tc>
          <w:tcPr>
            <w:tcW w:w="1925" w:type="dxa"/>
          </w:tcPr>
          <w:p w14:paraId="5B1036C6" w14:textId="77777777" w:rsidR="0083568E" w:rsidRPr="00FA433F" w:rsidRDefault="0083568E" w:rsidP="0083568E">
            <w:pPr>
              <w:pStyle w:val="Text1"/>
              <w:ind w:left="0"/>
              <w:rPr>
                <w:noProof/>
                <w:sz w:val="22"/>
                <w:szCs w:val="28"/>
              </w:rPr>
            </w:pPr>
            <w:r w:rsidRPr="00FA433F">
              <w:rPr>
                <w:noProof/>
                <w:sz w:val="22"/>
              </w:rPr>
              <w:t>Nie dotyczy</w:t>
            </w:r>
          </w:p>
        </w:tc>
        <w:tc>
          <w:tcPr>
            <w:tcW w:w="1938" w:type="dxa"/>
          </w:tcPr>
          <w:p w14:paraId="18123694" w14:textId="77777777" w:rsidR="0083568E" w:rsidRPr="00FA433F" w:rsidRDefault="0083568E" w:rsidP="0083568E">
            <w:pPr>
              <w:pStyle w:val="Text1"/>
              <w:ind w:left="0"/>
              <w:rPr>
                <w:noProof/>
                <w:sz w:val="22"/>
                <w:szCs w:val="28"/>
              </w:rPr>
            </w:pPr>
            <w:r w:rsidRPr="00FA433F">
              <w:rPr>
                <w:noProof/>
                <w:sz w:val="22"/>
              </w:rPr>
              <w:t>Nie dotyczy</w:t>
            </w:r>
          </w:p>
        </w:tc>
        <w:tc>
          <w:tcPr>
            <w:tcW w:w="1748" w:type="dxa"/>
          </w:tcPr>
          <w:p w14:paraId="0DC48DC8" w14:textId="77777777" w:rsidR="0083568E" w:rsidRPr="00FA433F" w:rsidRDefault="0083568E" w:rsidP="0083568E">
            <w:pPr>
              <w:pStyle w:val="Text1"/>
              <w:ind w:left="0"/>
              <w:rPr>
                <w:noProof/>
                <w:sz w:val="22"/>
                <w:szCs w:val="28"/>
              </w:rPr>
            </w:pPr>
            <w:r w:rsidRPr="00FA433F">
              <w:rPr>
                <w:noProof/>
                <w:sz w:val="22"/>
              </w:rPr>
              <w:t>Nie dotyczy</w:t>
            </w:r>
          </w:p>
        </w:tc>
      </w:tr>
      <w:tr w:rsidR="0083568E" w:rsidRPr="00FA433F" w14:paraId="13CC6AFC" w14:textId="77777777">
        <w:trPr>
          <w:trHeight w:val="300"/>
        </w:trPr>
        <w:tc>
          <w:tcPr>
            <w:tcW w:w="1845" w:type="dxa"/>
          </w:tcPr>
          <w:p w14:paraId="6DAB7957" w14:textId="77777777" w:rsidR="0083568E" w:rsidRPr="00FA433F" w:rsidRDefault="0083568E" w:rsidP="0083568E">
            <w:pPr>
              <w:pStyle w:val="Text1"/>
              <w:ind w:left="0"/>
              <w:rPr>
                <w:noProof/>
                <w:sz w:val="22"/>
                <w:szCs w:val="28"/>
              </w:rPr>
            </w:pPr>
            <w:r w:rsidRPr="00FA433F">
              <w:rPr>
                <w:noProof/>
                <w:sz w:val="22"/>
              </w:rPr>
              <w:t>Personel zewnętrzny (CA, SNE, INT)</w:t>
            </w:r>
          </w:p>
        </w:tc>
        <w:tc>
          <w:tcPr>
            <w:tcW w:w="2031" w:type="dxa"/>
          </w:tcPr>
          <w:p w14:paraId="665AEF25" w14:textId="3A44256B" w:rsidR="0083568E" w:rsidRPr="00FA433F" w:rsidRDefault="00EC02E5" w:rsidP="0083568E">
            <w:pPr>
              <w:pStyle w:val="Text1"/>
              <w:ind w:left="0"/>
              <w:rPr>
                <w:noProof/>
                <w:sz w:val="22"/>
                <w:szCs w:val="28"/>
              </w:rPr>
            </w:pPr>
            <w:r w:rsidRPr="00FA433F">
              <w:rPr>
                <w:noProof/>
                <w:sz w:val="22"/>
              </w:rPr>
              <w:t>8</w:t>
            </w:r>
            <w:r w:rsidR="00FA433F" w:rsidRPr="00FA433F">
              <w:rPr>
                <w:noProof/>
                <w:sz w:val="22"/>
              </w:rPr>
              <w:t xml:space="preserve"> w</w:t>
            </w:r>
            <w:r w:rsidR="00FA433F">
              <w:rPr>
                <w:noProof/>
                <w:sz w:val="22"/>
              </w:rPr>
              <w:t> </w:t>
            </w:r>
            <w:r w:rsidR="00FA433F" w:rsidRPr="00FA433F">
              <w:rPr>
                <w:noProof/>
                <w:sz w:val="22"/>
              </w:rPr>
              <w:t>2</w:t>
            </w:r>
            <w:r w:rsidRPr="00FA433F">
              <w:rPr>
                <w:noProof/>
                <w:sz w:val="22"/>
              </w:rPr>
              <w:t>026 r.</w:t>
            </w:r>
            <w:r w:rsidR="00FA433F" w:rsidRPr="00FA433F">
              <w:rPr>
                <w:noProof/>
                <w:sz w:val="22"/>
              </w:rPr>
              <w:t xml:space="preserve"> </w:t>
            </w:r>
            <w:r w:rsidR="0015551E">
              <w:rPr>
                <w:noProof/>
                <w:sz w:val="22"/>
              </w:rPr>
              <w:br/>
            </w:r>
            <w:r w:rsidR="00FA433F" w:rsidRPr="00FA433F">
              <w:rPr>
                <w:noProof/>
                <w:sz w:val="22"/>
              </w:rPr>
              <w:t>i</w:t>
            </w:r>
            <w:r w:rsidR="00FA433F">
              <w:rPr>
                <w:noProof/>
                <w:sz w:val="22"/>
              </w:rPr>
              <w:t> </w:t>
            </w:r>
            <w:r w:rsidR="00FA433F" w:rsidRPr="00FA433F">
              <w:rPr>
                <w:noProof/>
                <w:sz w:val="22"/>
              </w:rPr>
              <w:t>9 w</w:t>
            </w:r>
            <w:r w:rsidR="00FA433F">
              <w:rPr>
                <w:noProof/>
                <w:sz w:val="22"/>
              </w:rPr>
              <w:t> </w:t>
            </w:r>
            <w:r w:rsidR="00FA433F" w:rsidRPr="00FA433F">
              <w:rPr>
                <w:noProof/>
                <w:sz w:val="22"/>
              </w:rPr>
              <w:t>2</w:t>
            </w:r>
            <w:r w:rsidRPr="00FA433F">
              <w:rPr>
                <w:noProof/>
                <w:sz w:val="22"/>
              </w:rPr>
              <w:t>027 r. do czasu udostępnienia dochodów</w:t>
            </w:r>
          </w:p>
        </w:tc>
        <w:tc>
          <w:tcPr>
            <w:tcW w:w="1925" w:type="dxa"/>
          </w:tcPr>
          <w:p w14:paraId="4995580D" w14:textId="77777777" w:rsidR="0083568E" w:rsidRPr="00FA433F" w:rsidRDefault="0083568E" w:rsidP="0083568E">
            <w:pPr>
              <w:pStyle w:val="Text1"/>
              <w:ind w:left="0"/>
              <w:rPr>
                <w:noProof/>
                <w:sz w:val="22"/>
                <w:szCs w:val="28"/>
              </w:rPr>
            </w:pPr>
            <w:r w:rsidRPr="00FA433F">
              <w:rPr>
                <w:noProof/>
                <w:sz w:val="22"/>
              </w:rPr>
              <w:t>Nie dotyczy</w:t>
            </w:r>
          </w:p>
        </w:tc>
        <w:tc>
          <w:tcPr>
            <w:tcW w:w="1938" w:type="dxa"/>
          </w:tcPr>
          <w:p w14:paraId="015FBD00" w14:textId="77777777" w:rsidR="0083568E" w:rsidRPr="00FA433F" w:rsidRDefault="0083568E" w:rsidP="0083568E">
            <w:pPr>
              <w:pStyle w:val="Text1"/>
              <w:ind w:left="0"/>
              <w:rPr>
                <w:noProof/>
                <w:sz w:val="22"/>
                <w:szCs w:val="28"/>
              </w:rPr>
            </w:pPr>
            <w:r w:rsidRPr="00FA433F">
              <w:rPr>
                <w:noProof/>
                <w:sz w:val="22"/>
              </w:rPr>
              <w:t>Nie dotyczy</w:t>
            </w:r>
          </w:p>
        </w:tc>
        <w:tc>
          <w:tcPr>
            <w:tcW w:w="1748" w:type="dxa"/>
          </w:tcPr>
          <w:p w14:paraId="50E2470C" w14:textId="635C57FB" w:rsidR="0083568E" w:rsidRPr="00FA433F" w:rsidRDefault="006575F7" w:rsidP="0083568E">
            <w:pPr>
              <w:pStyle w:val="Text1"/>
              <w:ind w:left="0"/>
              <w:rPr>
                <w:noProof/>
                <w:sz w:val="22"/>
                <w:szCs w:val="28"/>
              </w:rPr>
            </w:pPr>
            <w:r w:rsidRPr="00FA433F">
              <w:rPr>
                <w:noProof/>
                <w:sz w:val="22"/>
              </w:rPr>
              <w:t>9</w:t>
            </w:r>
            <w:r w:rsidR="00FA433F" w:rsidRPr="00FA433F">
              <w:rPr>
                <w:noProof/>
                <w:sz w:val="22"/>
              </w:rPr>
              <w:t xml:space="preserve"> w</w:t>
            </w:r>
            <w:r w:rsidR="00FA433F">
              <w:rPr>
                <w:noProof/>
                <w:sz w:val="22"/>
              </w:rPr>
              <w:t> </w:t>
            </w:r>
            <w:r w:rsidR="00FA433F" w:rsidRPr="00FA433F">
              <w:rPr>
                <w:noProof/>
                <w:sz w:val="22"/>
              </w:rPr>
              <w:t>2</w:t>
            </w:r>
            <w:r w:rsidRPr="00FA433F">
              <w:rPr>
                <w:noProof/>
                <w:sz w:val="22"/>
              </w:rPr>
              <w:t xml:space="preserve">028 r., </w:t>
            </w:r>
            <w:r w:rsidR="0015551E">
              <w:rPr>
                <w:noProof/>
                <w:sz w:val="22"/>
              </w:rPr>
              <w:br/>
            </w:r>
            <w:r w:rsidRPr="00FA433F">
              <w:rPr>
                <w:noProof/>
                <w:sz w:val="22"/>
              </w:rPr>
              <w:t>6</w:t>
            </w:r>
            <w:r w:rsidR="00FA433F" w:rsidRPr="00FA433F">
              <w:rPr>
                <w:noProof/>
                <w:sz w:val="22"/>
              </w:rPr>
              <w:t xml:space="preserve"> w</w:t>
            </w:r>
            <w:r w:rsidR="00FA433F">
              <w:rPr>
                <w:noProof/>
                <w:sz w:val="22"/>
              </w:rPr>
              <w:t> </w:t>
            </w:r>
            <w:r w:rsidR="00FA433F" w:rsidRPr="00FA433F">
              <w:rPr>
                <w:noProof/>
                <w:sz w:val="22"/>
              </w:rPr>
              <w:t>2</w:t>
            </w:r>
            <w:r w:rsidRPr="00FA433F">
              <w:rPr>
                <w:noProof/>
                <w:sz w:val="22"/>
              </w:rPr>
              <w:t>029 r.</w:t>
            </w:r>
            <w:r w:rsidR="00FA433F" w:rsidRPr="00FA433F">
              <w:rPr>
                <w:noProof/>
                <w:sz w:val="22"/>
              </w:rPr>
              <w:t xml:space="preserve"> i</w:t>
            </w:r>
            <w:r w:rsidR="00FA433F">
              <w:rPr>
                <w:noProof/>
                <w:sz w:val="22"/>
              </w:rPr>
              <w:t> </w:t>
            </w:r>
            <w:r w:rsidR="00FA433F" w:rsidRPr="00FA433F">
              <w:rPr>
                <w:noProof/>
                <w:sz w:val="22"/>
              </w:rPr>
              <w:t>2 w</w:t>
            </w:r>
            <w:r w:rsidR="00FA433F">
              <w:rPr>
                <w:noProof/>
                <w:sz w:val="22"/>
              </w:rPr>
              <w:t> </w:t>
            </w:r>
            <w:r w:rsidR="00FA433F" w:rsidRPr="00FA433F">
              <w:rPr>
                <w:noProof/>
                <w:sz w:val="22"/>
              </w:rPr>
              <w:t>2</w:t>
            </w:r>
            <w:r w:rsidRPr="00FA433F">
              <w:rPr>
                <w:noProof/>
                <w:sz w:val="22"/>
              </w:rPr>
              <w:t>030 r., dopiero od momentu udostępnienia dochodów</w:t>
            </w:r>
          </w:p>
        </w:tc>
      </w:tr>
    </w:tbl>
    <w:p w14:paraId="2430F966" w14:textId="4714B756" w:rsidR="00D163E6" w:rsidRPr="00FA433F" w:rsidRDefault="00D163E6" w:rsidP="00D163E6">
      <w:pPr>
        <w:pStyle w:val="Text1"/>
        <w:ind w:left="0"/>
        <w:rPr>
          <w:noProof/>
        </w:rPr>
      </w:pPr>
      <w:r w:rsidRPr="00FA433F">
        <w:rPr>
          <w:noProof/>
        </w:rPr>
        <w:t>W 2026</w:t>
      </w:r>
      <w:r w:rsidR="00FA433F" w:rsidRPr="00FA433F">
        <w:rPr>
          <w:noProof/>
        </w:rPr>
        <w:t> </w:t>
      </w:r>
      <w:r w:rsidRPr="00FA433F">
        <w:rPr>
          <w:noProof/>
        </w:rPr>
        <w:t>r. i do czasu udostępnienia dochodów przeznaczonych na określony cel,</w:t>
      </w:r>
      <w:r w:rsidR="00FA433F" w:rsidRPr="00FA433F">
        <w:rPr>
          <w:noProof/>
        </w:rPr>
        <w:t xml:space="preserve"> z</w:t>
      </w:r>
      <w:r w:rsidR="00FA433F">
        <w:rPr>
          <w:noProof/>
        </w:rPr>
        <w:t> </w:t>
      </w:r>
      <w:r w:rsidR="00FA433F" w:rsidRPr="00FA433F">
        <w:rPr>
          <w:noProof/>
        </w:rPr>
        <w:t>uwa</w:t>
      </w:r>
      <w:r w:rsidRPr="00FA433F">
        <w:rPr>
          <w:noProof/>
        </w:rPr>
        <w:t>gi na ogólną napiętą sytuację</w:t>
      </w:r>
      <w:r w:rsidR="00FA433F" w:rsidRPr="00FA433F">
        <w:rPr>
          <w:noProof/>
        </w:rPr>
        <w:t xml:space="preserve"> w</w:t>
      </w:r>
      <w:r w:rsidR="00FA433F">
        <w:rPr>
          <w:noProof/>
        </w:rPr>
        <w:t> </w:t>
      </w:r>
      <w:r w:rsidR="00FA433F" w:rsidRPr="00FA433F">
        <w:rPr>
          <w:noProof/>
        </w:rPr>
        <w:t>ram</w:t>
      </w:r>
      <w:r w:rsidRPr="00FA433F">
        <w:rPr>
          <w:noProof/>
        </w:rPr>
        <w:t>ach działu 7, zarówno pod względem personelu, jak</w:t>
      </w:r>
      <w:r w:rsidR="00FA433F" w:rsidRPr="00FA433F">
        <w:rPr>
          <w:noProof/>
        </w:rPr>
        <w:t xml:space="preserve"> i</w:t>
      </w:r>
      <w:r w:rsidR="00FA433F">
        <w:rPr>
          <w:noProof/>
        </w:rPr>
        <w:t> </w:t>
      </w:r>
      <w:r w:rsidR="00FA433F" w:rsidRPr="00FA433F">
        <w:rPr>
          <w:noProof/>
        </w:rPr>
        <w:t>poz</w:t>
      </w:r>
      <w:r w:rsidRPr="00FA433F">
        <w:rPr>
          <w:noProof/>
        </w:rPr>
        <w:t>iomu środków, potrzeby</w:t>
      </w:r>
      <w:r w:rsidR="00FA433F" w:rsidRPr="00FA433F">
        <w:rPr>
          <w:noProof/>
        </w:rPr>
        <w:t xml:space="preserve"> w</w:t>
      </w:r>
      <w:r w:rsidR="00FA433F">
        <w:rPr>
          <w:noProof/>
        </w:rPr>
        <w:t> </w:t>
      </w:r>
      <w:r w:rsidR="00FA433F" w:rsidRPr="00FA433F">
        <w:rPr>
          <w:noProof/>
        </w:rPr>
        <w:t>zak</w:t>
      </w:r>
      <w:r w:rsidRPr="00FA433F">
        <w:rPr>
          <w:noProof/>
        </w:rPr>
        <w:t>resie zasobów ludzkich zostaną pokryte przez personel służb wdrażających, który już jest przydzielony lub zostanie przydzielony na zarządzanie tym działaniem</w:t>
      </w:r>
      <w:r w:rsidR="00FA433F" w:rsidRPr="00FA433F">
        <w:rPr>
          <w:noProof/>
        </w:rPr>
        <w:t xml:space="preserve"> i</w:t>
      </w:r>
      <w:r w:rsidR="00FA433F">
        <w:rPr>
          <w:noProof/>
        </w:rPr>
        <w:t> </w:t>
      </w:r>
      <w:r w:rsidR="00FA433F" w:rsidRPr="00FA433F">
        <w:rPr>
          <w:noProof/>
        </w:rPr>
        <w:t>pow</w:t>
      </w:r>
      <w:r w:rsidRPr="00FA433F">
        <w:rPr>
          <w:noProof/>
        </w:rPr>
        <w:t>iązanymi instrumentami polityki, lub został przesunięty</w:t>
      </w:r>
      <w:r w:rsidR="00FA433F" w:rsidRPr="00FA433F">
        <w:rPr>
          <w:noProof/>
        </w:rPr>
        <w:t xml:space="preserve"> w</w:t>
      </w:r>
      <w:r w:rsidR="00FA433F">
        <w:rPr>
          <w:noProof/>
        </w:rPr>
        <w:t> </w:t>
      </w:r>
      <w:r w:rsidR="00FA433F" w:rsidRPr="00FA433F">
        <w:rPr>
          <w:noProof/>
        </w:rPr>
        <w:t>ram</w:t>
      </w:r>
      <w:r w:rsidRPr="00FA433F">
        <w:rPr>
          <w:noProof/>
        </w:rPr>
        <w:t>ach dyrekcji generalnych. Począwszy od poboru dochodów przeznaczonych na określony cel, niezbędne zasoby ludzkie będą finansowane</w:t>
      </w:r>
      <w:r w:rsidR="00FA433F" w:rsidRPr="00FA433F">
        <w:rPr>
          <w:noProof/>
        </w:rPr>
        <w:t xml:space="preserve"> z</w:t>
      </w:r>
      <w:r w:rsidR="00FA433F">
        <w:rPr>
          <w:noProof/>
        </w:rPr>
        <w:t> </w:t>
      </w:r>
      <w:r w:rsidR="00FA433F" w:rsidRPr="00FA433F">
        <w:rPr>
          <w:noProof/>
        </w:rPr>
        <w:t>doc</w:t>
      </w:r>
      <w:r w:rsidRPr="00FA433F">
        <w:rPr>
          <w:noProof/>
        </w:rPr>
        <w:t>hodów przeznaczonych na określony cel.</w:t>
      </w:r>
    </w:p>
    <w:p w14:paraId="05DC8C35" w14:textId="77777777" w:rsidR="008A4C15" w:rsidRPr="00FA433F" w:rsidRDefault="008A4C15" w:rsidP="00512B3C">
      <w:pPr>
        <w:pStyle w:val="Text1"/>
        <w:rPr>
          <w:noProof/>
        </w:rPr>
      </w:pPr>
      <w:r w:rsidRPr="00FA433F">
        <w:rPr>
          <w:noProof/>
        </w:rPr>
        <w:t>Opis zadań do wykonania:</w:t>
      </w:r>
    </w:p>
    <w:tbl>
      <w:tblPr>
        <w:tblW w:w="8838" w:type="dxa"/>
        <w:tblInd w:w="18" w:type="dxa"/>
        <w:tblLook w:val="04A0" w:firstRow="1" w:lastRow="0" w:firstColumn="1" w:lastColumn="0" w:noHBand="0" w:noVBand="1"/>
      </w:tblPr>
      <w:tblGrid>
        <w:gridCol w:w="1027"/>
        <w:gridCol w:w="1878"/>
        <w:gridCol w:w="1226"/>
        <w:gridCol w:w="1226"/>
        <w:gridCol w:w="1226"/>
        <w:gridCol w:w="1226"/>
        <w:gridCol w:w="1226"/>
      </w:tblGrid>
      <w:tr w:rsidR="00874B4B" w:rsidRPr="00FA433F" w14:paraId="375C7DA2" w14:textId="77777777" w:rsidTr="00874B4B">
        <w:trPr>
          <w:trHeight w:val="870"/>
        </w:trPr>
        <w:tc>
          <w:tcPr>
            <w:tcW w:w="869" w:type="dxa"/>
            <w:tcBorders>
              <w:top w:val="single" w:sz="8" w:space="0" w:color="auto"/>
              <w:left w:val="single" w:sz="8" w:space="0" w:color="auto"/>
              <w:bottom w:val="nil"/>
              <w:right w:val="single" w:sz="4" w:space="0" w:color="auto"/>
            </w:tcBorders>
            <w:vAlign w:val="bottom"/>
            <w:hideMark/>
          </w:tcPr>
          <w:p w14:paraId="78FB9209" w14:textId="77777777" w:rsidR="00B703E2" w:rsidRPr="00FA433F" w:rsidRDefault="00B703E2">
            <w:pPr>
              <w:spacing w:before="0" w:after="0"/>
              <w:jc w:val="left"/>
              <w:rPr>
                <w:rFonts w:eastAsia="Times New Roman"/>
                <w:b/>
                <w:bCs/>
                <w:noProof/>
                <w:color w:val="000000"/>
                <w:sz w:val="18"/>
                <w:szCs w:val="18"/>
              </w:rPr>
            </w:pPr>
            <w:r w:rsidRPr="00FA433F">
              <w:rPr>
                <w:b/>
                <w:noProof/>
                <w:color w:val="000000"/>
                <w:sz w:val="18"/>
              </w:rPr>
              <w:t xml:space="preserve"> </w:t>
            </w:r>
          </w:p>
        </w:tc>
        <w:tc>
          <w:tcPr>
            <w:tcW w:w="2356" w:type="dxa"/>
            <w:tcBorders>
              <w:top w:val="single" w:sz="8" w:space="0" w:color="auto"/>
              <w:left w:val="nil"/>
              <w:bottom w:val="single" w:sz="8" w:space="0" w:color="auto"/>
              <w:right w:val="single" w:sz="4" w:space="0" w:color="auto"/>
            </w:tcBorders>
            <w:vAlign w:val="bottom"/>
            <w:hideMark/>
          </w:tcPr>
          <w:p w14:paraId="661E59BB" w14:textId="77777777" w:rsidR="00B703E2" w:rsidRPr="00FA433F" w:rsidRDefault="00B703E2">
            <w:pPr>
              <w:spacing w:before="0" w:after="0"/>
              <w:jc w:val="center"/>
              <w:rPr>
                <w:rFonts w:eastAsia="Times New Roman"/>
                <w:b/>
                <w:bCs/>
                <w:noProof/>
                <w:color w:val="000000"/>
                <w:sz w:val="18"/>
                <w:szCs w:val="18"/>
              </w:rPr>
            </w:pPr>
            <w:r w:rsidRPr="00FA433F">
              <w:rPr>
                <w:b/>
                <w:noProof/>
                <w:color w:val="000000"/>
                <w:sz w:val="18"/>
              </w:rPr>
              <w:t>Zadanie</w:t>
            </w:r>
          </w:p>
        </w:tc>
        <w:tc>
          <w:tcPr>
            <w:tcW w:w="1005" w:type="dxa"/>
            <w:tcBorders>
              <w:top w:val="single" w:sz="8" w:space="0" w:color="auto"/>
              <w:left w:val="nil"/>
              <w:bottom w:val="nil"/>
              <w:right w:val="single" w:sz="4" w:space="0" w:color="auto"/>
            </w:tcBorders>
            <w:vAlign w:val="bottom"/>
            <w:hideMark/>
          </w:tcPr>
          <w:p w14:paraId="35653B84" w14:textId="6A24C889" w:rsidR="00B703E2" w:rsidRPr="00FA433F" w:rsidRDefault="00B703E2">
            <w:pPr>
              <w:spacing w:before="0" w:after="0"/>
              <w:jc w:val="left"/>
              <w:rPr>
                <w:rFonts w:eastAsia="Times New Roman"/>
                <w:b/>
                <w:bCs/>
                <w:noProof/>
                <w:color w:val="000000"/>
                <w:sz w:val="18"/>
                <w:szCs w:val="18"/>
              </w:rPr>
            </w:pPr>
            <w:r w:rsidRPr="00FA433F">
              <w:rPr>
                <w:b/>
                <w:noProof/>
                <w:color w:val="000000"/>
                <w:sz w:val="18"/>
              </w:rPr>
              <w:t>Szacowane zapotrzebowanie na EPC na</w:t>
            </w:r>
            <w:r w:rsidR="00FA433F" w:rsidRPr="00FA433F">
              <w:rPr>
                <w:b/>
                <w:noProof/>
                <w:color w:val="000000"/>
                <w:sz w:val="18"/>
              </w:rPr>
              <w:t> </w:t>
            </w:r>
            <w:r w:rsidRPr="00FA433F">
              <w:rPr>
                <w:b/>
                <w:noProof/>
                <w:color w:val="000000"/>
                <w:sz w:val="18"/>
              </w:rPr>
              <w:t>2026 r.</w:t>
            </w:r>
          </w:p>
        </w:tc>
        <w:tc>
          <w:tcPr>
            <w:tcW w:w="1005" w:type="dxa"/>
            <w:tcBorders>
              <w:top w:val="single" w:sz="8" w:space="0" w:color="auto"/>
              <w:left w:val="nil"/>
              <w:bottom w:val="nil"/>
              <w:right w:val="single" w:sz="4" w:space="0" w:color="auto"/>
            </w:tcBorders>
            <w:vAlign w:val="bottom"/>
            <w:hideMark/>
          </w:tcPr>
          <w:p w14:paraId="07A915F7" w14:textId="228987F5" w:rsidR="00B703E2" w:rsidRPr="00FA433F" w:rsidRDefault="00B703E2">
            <w:pPr>
              <w:spacing w:before="0" w:after="0"/>
              <w:jc w:val="left"/>
              <w:rPr>
                <w:rFonts w:eastAsia="Times New Roman"/>
                <w:b/>
                <w:bCs/>
                <w:noProof/>
                <w:color w:val="000000"/>
                <w:sz w:val="18"/>
                <w:szCs w:val="18"/>
              </w:rPr>
            </w:pPr>
            <w:r w:rsidRPr="00FA433F">
              <w:rPr>
                <w:b/>
                <w:noProof/>
                <w:color w:val="000000"/>
                <w:sz w:val="18"/>
              </w:rPr>
              <w:t>Szacowane zapotrzebowanie na EPC na</w:t>
            </w:r>
            <w:r w:rsidR="00FA433F" w:rsidRPr="00FA433F">
              <w:rPr>
                <w:b/>
                <w:noProof/>
                <w:color w:val="000000"/>
                <w:sz w:val="18"/>
              </w:rPr>
              <w:t> </w:t>
            </w:r>
            <w:r w:rsidRPr="00FA433F">
              <w:rPr>
                <w:b/>
                <w:noProof/>
                <w:color w:val="000000"/>
                <w:sz w:val="18"/>
              </w:rPr>
              <w:t>2027 r.</w:t>
            </w:r>
          </w:p>
        </w:tc>
        <w:tc>
          <w:tcPr>
            <w:tcW w:w="956" w:type="dxa"/>
            <w:tcBorders>
              <w:top w:val="single" w:sz="8" w:space="0" w:color="auto"/>
              <w:left w:val="nil"/>
              <w:bottom w:val="nil"/>
              <w:right w:val="single" w:sz="4" w:space="0" w:color="auto"/>
            </w:tcBorders>
            <w:vAlign w:val="bottom"/>
            <w:hideMark/>
          </w:tcPr>
          <w:p w14:paraId="7CBC647E" w14:textId="32A293C7" w:rsidR="00B703E2" w:rsidRPr="00FA433F" w:rsidRDefault="00B703E2">
            <w:pPr>
              <w:spacing w:before="0" w:after="0"/>
              <w:jc w:val="left"/>
              <w:rPr>
                <w:rFonts w:eastAsia="Times New Roman"/>
                <w:b/>
                <w:bCs/>
                <w:noProof/>
                <w:color w:val="000000"/>
                <w:sz w:val="18"/>
                <w:szCs w:val="18"/>
              </w:rPr>
            </w:pPr>
            <w:r w:rsidRPr="00FA433F">
              <w:rPr>
                <w:b/>
                <w:noProof/>
                <w:color w:val="000000"/>
                <w:sz w:val="18"/>
              </w:rPr>
              <w:t>Szacowane zapotrzebowanie na EPC na</w:t>
            </w:r>
            <w:r w:rsidR="00FA433F" w:rsidRPr="00FA433F">
              <w:rPr>
                <w:b/>
                <w:noProof/>
                <w:color w:val="000000"/>
                <w:sz w:val="18"/>
              </w:rPr>
              <w:t> </w:t>
            </w:r>
            <w:r w:rsidRPr="00FA433F">
              <w:rPr>
                <w:b/>
                <w:noProof/>
                <w:color w:val="000000"/>
                <w:sz w:val="18"/>
              </w:rPr>
              <w:t>2028 r.</w:t>
            </w:r>
          </w:p>
        </w:tc>
        <w:tc>
          <w:tcPr>
            <w:tcW w:w="1264" w:type="dxa"/>
            <w:tcBorders>
              <w:top w:val="single" w:sz="8" w:space="0" w:color="auto"/>
              <w:left w:val="nil"/>
              <w:bottom w:val="nil"/>
              <w:right w:val="nil"/>
            </w:tcBorders>
            <w:vAlign w:val="bottom"/>
            <w:hideMark/>
          </w:tcPr>
          <w:p w14:paraId="626825B7" w14:textId="429A844B" w:rsidR="00B703E2" w:rsidRPr="00FA433F" w:rsidRDefault="00B703E2">
            <w:pPr>
              <w:spacing w:before="0" w:after="0"/>
              <w:jc w:val="left"/>
              <w:rPr>
                <w:rFonts w:eastAsia="Times New Roman"/>
                <w:b/>
                <w:bCs/>
                <w:noProof/>
                <w:color w:val="000000"/>
                <w:sz w:val="18"/>
                <w:szCs w:val="18"/>
              </w:rPr>
            </w:pPr>
            <w:r w:rsidRPr="00FA433F">
              <w:rPr>
                <w:b/>
                <w:noProof/>
                <w:color w:val="000000"/>
                <w:sz w:val="18"/>
              </w:rPr>
              <w:t>Szacowane zapotrzebowanie na EPC na</w:t>
            </w:r>
            <w:r w:rsidR="00FA433F" w:rsidRPr="00FA433F">
              <w:rPr>
                <w:b/>
                <w:noProof/>
                <w:color w:val="000000"/>
                <w:sz w:val="18"/>
              </w:rPr>
              <w:t> </w:t>
            </w:r>
            <w:r w:rsidRPr="00FA433F">
              <w:rPr>
                <w:b/>
                <w:noProof/>
                <w:color w:val="000000"/>
                <w:sz w:val="18"/>
              </w:rPr>
              <w:t>2029 r.</w:t>
            </w:r>
          </w:p>
        </w:tc>
        <w:tc>
          <w:tcPr>
            <w:tcW w:w="1383" w:type="dxa"/>
            <w:tcBorders>
              <w:top w:val="single" w:sz="8" w:space="0" w:color="auto"/>
              <w:left w:val="single" w:sz="4" w:space="0" w:color="auto"/>
              <w:bottom w:val="nil"/>
              <w:right w:val="single" w:sz="8" w:space="0" w:color="auto"/>
            </w:tcBorders>
            <w:vAlign w:val="bottom"/>
            <w:hideMark/>
          </w:tcPr>
          <w:p w14:paraId="507BC5B4" w14:textId="60F77D0D" w:rsidR="00B703E2" w:rsidRPr="00FA433F" w:rsidRDefault="00B703E2">
            <w:pPr>
              <w:spacing w:before="0" w:after="0"/>
              <w:jc w:val="left"/>
              <w:rPr>
                <w:rFonts w:eastAsia="Times New Roman"/>
                <w:b/>
                <w:bCs/>
                <w:noProof/>
                <w:color w:val="000000"/>
                <w:sz w:val="18"/>
                <w:szCs w:val="18"/>
              </w:rPr>
            </w:pPr>
            <w:r w:rsidRPr="00FA433F">
              <w:rPr>
                <w:b/>
                <w:noProof/>
                <w:color w:val="000000"/>
                <w:sz w:val="18"/>
              </w:rPr>
              <w:t>Szacowane zapotrzebowanie na EPC na</w:t>
            </w:r>
            <w:r w:rsidR="00FA433F" w:rsidRPr="00FA433F">
              <w:rPr>
                <w:b/>
                <w:noProof/>
                <w:color w:val="000000"/>
                <w:sz w:val="18"/>
              </w:rPr>
              <w:t> </w:t>
            </w:r>
            <w:r w:rsidRPr="00FA433F">
              <w:rPr>
                <w:b/>
                <w:noProof/>
                <w:color w:val="000000"/>
                <w:sz w:val="18"/>
              </w:rPr>
              <w:t>2030 r.</w:t>
            </w:r>
          </w:p>
        </w:tc>
      </w:tr>
      <w:tr w:rsidR="00874B4B" w:rsidRPr="00FA433F" w14:paraId="576F6E03" w14:textId="77777777" w:rsidTr="00874B4B">
        <w:trPr>
          <w:trHeight w:val="299"/>
        </w:trPr>
        <w:tc>
          <w:tcPr>
            <w:tcW w:w="869" w:type="dxa"/>
            <w:vMerge w:val="restart"/>
            <w:tcBorders>
              <w:top w:val="single" w:sz="8" w:space="0" w:color="auto"/>
              <w:left w:val="single" w:sz="8" w:space="0" w:color="auto"/>
              <w:bottom w:val="single" w:sz="8" w:space="0" w:color="000000"/>
              <w:right w:val="single" w:sz="4" w:space="0" w:color="auto"/>
            </w:tcBorders>
            <w:vAlign w:val="center"/>
            <w:hideMark/>
          </w:tcPr>
          <w:p w14:paraId="724C7143" w14:textId="072DC318" w:rsidR="00B703E2" w:rsidRPr="00FA433F" w:rsidRDefault="00B703E2">
            <w:pPr>
              <w:spacing w:before="0" w:after="0"/>
              <w:jc w:val="center"/>
              <w:rPr>
                <w:rFonts w:eastAsia="Times New Roman"/>
                <w:noProof/>
                <w:color w:val="000000"/>
                <w:sz w:val="18"/>
                <w:szCs w:val="18"/>
              </w:rPr>
            </w:pPr>
            <w:r w:rsidRPr="00FA433F">
              <w:rPr>
                <w:noProof/>
                <w:color w:val="000000"/>
                <w:sz w:val="18"/>
              </w:rPr>
              <w:t>Korzystanie</w:t>
            </w:r>
            <w:r w:rsidR="00FA433F" w:rsidRPr="00FA433F">
              <w:rPr>
                <w:noProof/>
                <w:color w:val="000000"/>
                <w:sz w:val="18"/>
              </w:rPr>
              <w:t xml:space="preserve"> z</w:t>
            </w:r>
            <w:r w:rsidR="00FA433F">
              <w:rPr>
                <w:noProof/>
                <w:color w:val="000000"/>
                <w:sz w:val="18"/>
              </w:rPr>
              <w:t> </w:t>
            </w:r>
            <w:r w:rsidR="00FA433F" w:rsidRPr="00FA433F">
              <w:rPr>
                <w:noProof/>
                <w:color w:val="000000"/>
                <w:sz w:val="18"/>
              </w:rPr>
              <w:t>mec</w:t>
            </w:r>
            <w:r w:rsidRPr="00FA433F">
              <w:rPr>
                <w:noProof/>
                <w:color w:val="000000"/>
                <w:sz w:val="18"/>
              </w:rPr>
              <w:t xml:space="preserve">hanizmu </w:t>
            </w:r>
            <w:r w:rsidRPr="00FA433F">
              <w:rPr>
                <w:i/>
                <w:iCs/>
                <w:noProof/>
                <w:color w:val="000000"/>
                <w:sz w:val="18"/>
              </w:rPr>
              <w:t>opt-in</w:t>
            </w:r>
            <w:r w:rsidRPr="00FA433F">
              <w:rPr>
                <w:noProof/>
                <w:color w:val="000000"/>
                <w:sz w:val="18"/>
              </w:rPr>
              <w:t xml:space="preserve"> przez </w:t>
            </w:r>
            <w:r w:rsidRPr="00FA433F">
              <w:rPr>
                <w:noProof/>
                <w:color w:val="000000"/>
                <w:sz w:val="18"/>
              </w:rPr>
              <w:lastRenderedPageBreak/>
              <w:t>państwo członkowskie</w:t>
            </w:r>
          </w:p>
        </w:tc>
        <w:tc>
          <w:tcPr>
            <w:tcW w:w="2356" w:type="dxa"/>
            <w:tcBorders>
              <w:top w:val="nil"/>
              <w:left w:val="nil"/>
              <w:bottom w:val="nil"/>
              <w:right w:val="nil"/>
            </w:tcBorders>
            <w:noWrap/>
            <w:vAlign w:val="bottom"/>
            <w:hideMark/>
          </w:tcPr>
          <w:p w14:paraId="79A20721" w14:textId="7C86BF14" w:rsidR="00B703E2" w:rsidRPr="00FA433F" w:rsidRDefault="00691CA9">
            <w:pPr>
              <w:spacing w:before="0" w:after="0"/>
              <w:jc w:val="left"/>
              <w:rPr>
                <w:rFonts w:eastAsia="Times New Roman"/>
                <w:noProof/>
                <w:color w:val="242424"/>
                <w:sz w:val="18"/>
                <w:szCs w:val="18"/>
              </w:rPr>
            </w:pPr>
            <w:r w:rsidRPr="00FA433F">
              <w:rPr>
                <w:noProof/>
                <w:color w:val="242424"/>
                <w:sz w:val="18"/>
              </w:rPr>
              <w:lastRenderedPageBreak/>
              <w:t>Opracowanie</w:t>
            </w:r>
            <w:r w:rsidR="00FA433F" w:rsidRPr="00FA433F">
              <w:rPr>
                <w:noProof/>
                <w:color w:val="242424"/>
                <w:sz w:val="18"/>
              </w:rPr>
              <w:t xml:space="preserve"> i</w:t>
            </w:r>
            <w:r w:rsidR="00FA433F">
              <w:rPr>
                <w:noProof/>
                <w:color w:val="242424"/>
                <w:sz w:val="18"/>
              </w:rPr>
              <w:t> </w:t>
            </w:r>
            <w:r w:rsidR="00FA433F" w:rsidRPr="00FA433F">
              <w:rPr>
                <w:noProof/>
                <w:color w:val="242424"/>
                <w:sz w:val="18"/>
              </w:rPr>
              <w:t>prz</w:t>
            </w:r>
            <w:r w:rsidRPr="00FA433F">
              <w:rPr>
                <w:noProof/>
                <w:color w:val="242424"/>
                <w:sz w:val="18"/>
              </w:rPr>
              <w:t>yjęcie aktu delegowanego określającego warunki</w:t>
            </w:r>
            <w:r w:rsidR="00FA433F" w:rsidRPr="00FA433F">
              <w:rPr>
                <w:noProof/>
                <w:color w:val="242424"/>
                <w:sz w:val="18"/>
              </w:rPr>
              <w:t xml:space="preserve"> i</w:t>
            </w:r>
            <w:r w:rsidR="00FA433F">
              <w:rPr>
                <w:noProof/>
                <w:color w:val="242424"/>
                <w:sz w:val="18"/>
              </w:rPr>
              <w:t> </w:t>
            </w:r>
            <w:r w:rsidR="00FA433F" w:rsidRPr="00FA433F">
              <w:rPr>
                <w:noProof/>
                <w:color w:val="242424"/>
                <w:sz w:val="18"/>
              </w:rPr>
              <w:t>pro</w:t>
            </w:r>
            <w:r w:rsidRPr="00FA433F">
              <w:rPr>
                <w:noProof/>
                <w:color w:val="242424"/>
                <w:sz w:val="18"/>
              </w:rPr>
              <w:t xml:space="preserve">cedurę </w:t>
            </w:r>
            <w:r w:rsidRPr="00FA433F">
              <w:rPr>
                <w:noProof/>
                <w:color w:val="242424"/>
                <w:sz w:val="18"/>
              </w:rPr>
              <w:lastRenderedPageBreak/>
              <w:t>korzystania</w:t>
            </w:r>
            <w:r w:rsidR="00FA433F" w:rsidRPr="00FA433F">
              <w:rPr>
                <w:noProof/>
                <w:color w:val="242424"/>
                <w:sz w:val="18"/>
              </w:rPr>
              <w:t xml:space="preserve"> z</w:t>
            </w:r>
            <w:r w:rsidR="00FA433F">
              <w:rPr>
                <w:noProof/>
                <w:color w:val="242424"/>
                <w:sz w:val="18"/>
              </w:rPr>
              <w:t> </w:t>
            </w:r>
            <w:r w:rsidR="00FA433F" w:rsidRPr="00FA433F">
              <w:rPr>
                <w:noProof/>
                <w:color w:val="242424"/>
                <w:sz w:val="18"/>
              </w:rPr>
              <w:t>mec</w:t>
            </w:r>
            <w:r w:rsidRPr="00FA433F">
              <w:rPr>
                <w:noProof/>
                <w:color w:val="242424"/>
                <w:sz w:val="18"/>
              </w:rPr>
              <w:t xml:space="preserve">hanizmu </w:t>
            </w:r>
            <w:r w:rsidRPr="00FA433F">
              <w:rPr>
                <w:i/>
                <w:iCs/>
                <w:noProof/>
                <w:color w:val="242424"/>
                <w:sz w:val="18"/>
              </w:rPr>
              <w:t>opt-in</w:t>
            </w:r>
            <w:r w:rsidRPr="00FA433F">
              <w:rPr>
                <w:noProof/>
                <w:color w:val="242424"/>
                <w:sz w:val="18"/>
              </w:rPr>
              <w:t xml:space="preserve"> przez państwo członkowskie</w:t>
            </w:r>
          </w:p>
        </w:tc>
        <w:tc>
          <w:tcPr>
            <w:tcW w:w="1005" w:type="dxa"/>
            <w:vMerge w:val="restart"/>
            <w:tcBorders>
              <w:top w:val="single" w:sz="8" w:space="0" w:color="auto"/>
              <w:left w:val="single" w:sz="4" w:space="0" w:color="auto"/>
              <w:bottom w:val="single" w:sz="8" w:space="0" w:color="000000"/>
              <w:right w:val="single" w:sz="4" w:space="0" w:color="auto"/>
            </w:tcBorders>
            <w:vAlign w:val="bottom"/>
            <w:hideMark/>
          </w:tcPr>
          <w:p w14:paraId="57F87D7D" w14:textId="77777777" w:rsidR="00B703E2" w:rsidRPr="00FA433F" w:rsidRDefault="00777543">
            <w:pPr>
              <w:spacing w:before="0" w:after="0"/>
              <w:jc w:val="center"/>
              <w:rPr>
                <w:rFonts w:eastAsia="Times New Roman"/>
                <w:noProof/>
                <w:color w:val="000000"/>
                <w:sz w:val="18"/>
                <w:szCs w:val="18"/>
              </w:rPr>
            </w:pPr>
            <w:r w:rsidRPr="00FA433F">
              <w:rPr>
                <w:noProof/>
                <w:color w:val="000000"/>
                <w:sz w:val="18"/>
              </w:rPr>
              <w:lastRenderedPageBreak/>
              <w:t>1,5</w:t>
            </w:r>
          </w:p>
        </w:tc>
        <w:tc>
          <w:tcPr>
            <w:tcW w:w="1005" w:type="dxa"/>
            <w:vMerge w:val="restart"/>
            <w:tcBorders>
              <w:top w:val="single" w:sz="8" w:space="0" w:color="auto"/>
              <w:left w:val="single" w:sz="4" w:space="0" w:color="auto"/>
              <w:bottom w:val="single" w:sz="8" w:space="0" w:color="000000"/>
              <w:right w:val="single" w:sz="4" w:space="0" w:color="auto"/>
            </w:tcBorders>
            <w:vAlign w:val="bottom"/>
            <w:hideMark/>
          </w:tcPr>
          <w:p w14:paraId="72F31207"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3</w:t>
            </w:r>
          </w:p>
        </w:tc>
        <w:tc>
          <w:tcPr>
            <w:tcW w:w="956" w:type="dxa"/>
            <w:vMerge w:val="restart"/>
            <w:tcBorders>
              <w:top w:val="single" w:sz="8" w:space="0" w:color="auto"/>
              <w:left w:val="single" w:sz="4" w:space="0" w:color="auto"/>
              <w:bottom w:val="single" w:sz="8" w:space="0" w:color="000000"/>
              <w:right w:val="single" w:sz="4" w:space="0" w:color="auto"/>
            </w:tcBorders>
            <w:vAlign w:val="bottom"/>
            <w:hideMark/>
          </w:tcPr>
          <w:p w14:paraId="72078CC7"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1,5</w:t>
            </w:r>
          </w:p>
        </w:tc>
        <w:tc>
          <w:tcPr>
            <w:tcW w:w="1264" w:type="dxa"/>
            <w:tcBorders>
              <w:top w:val="single" w:sz="8" w:space="0" w:color="auto"/>
              <w:left w:val="nil"/>
              <w:bottom w:val="nil"/>
              <w:right w:val="nil"/>
            </w:tcBorders>
            <w:vAlign w:val="bottom"/>
            <w:hideMark/>
          </w:tcPr>
          <w:p w14:paraId="26B0A069" w14:textId="77777777" w:rsidR="00B703E2" w:rsidRPr="00FA433F" w:rsidRDefault="00B703E2">
            <w:pPr>
              <w:spacing w:before="0" w:after="0"/>
              <w:jc w:val="left"/>
              <w:rPr>
                <w:rFonts w:eastAsia="Times New Roman"/>
                <w:b/>
                <w:bCs/>
                <w:noProof/>
                <w:color w:val="000000"/>
                <w:sz w:val="18"/>
                <w:szCs w:val="18"/>
              </w:rPr>
            </w:pPr>
            <w:r w:rsidRPr="00FA433F">
              <w:rPr>
                <w:b/>
                <w:noProof/>
                <w:color w:val="000000"/>
                <w:sz w:val="18"/>
              </w:rPr>
              <w:t xml:space="preserve"> </w:t>
            </w:r>
          </w:p>
        </w:tc>
        <w:tc>
          <w:tcPr>
            <w:tcW w:w="1383" w:type="dxa"/>
            <w:tcBorders>
              <w:top w:val="single" w:sz="8" w:space="0" w:color="auto"/>
              <w:left w:val="single" w:sz="4" w:space="0" w:color="auto"/>
              <w:bottom w:val="nil"/>
              <w:right w:val="single" w:sz="8" w:space="0" w:color="auto"/>
            </w:tcBorders>
            <w:vAlign w:val="bottom"/>
            <w:hideMark/>
          </w:tcPr>
          <w:p w14:paraId="6106A832" w14:textId="77777777" w:rsidR="00B703E2" w:rsidRPr="00FA433F" w:rsidRDefault="00B703E2">
            <w:pPr>
              <w:spacing w:before="0" w:after="0"/>
              <w:jc w:val="left"/>
              <w:rPr>
                <w:rFonts w:eastAsia="Times New Roman"/>
                <w:b/>
                <w:bCs/>
                <w:noProof/>
                <w:color w:val="000000"/>
                <w:sz w:val="18"/>
                <w:szCs w:val="18"/>
              </w:rPr>
            </w:pPr>
            <w:r w:rsidRPr="00FA433F">
              <w:rPr>
                <w:b/>
                <w:noProof/>
                <w:color w:val="000000"/>
                <w:sz w:val="18"/>
              </w:rPr>
              <w:t xml:space="preserve"> </w:t>
            </w:r>
          </w:p>
        </w:tc>
      </w:tr>
      <w:tr w:rsidR="00B703E2" w:rsidRPr="00FA433F" w14:paraId="2F4BD940" w14:textId="77777777" w:rsidTr="00874B4B">
        <w:trPr>
          <w:trHeight w:val="285"/>
        </w:trPr>
        <w:tc>
          <w:tcPr>
            <w:tcW w:w="869" w:type="dxa"/>
            <w:vMerge/>
            <w:tcBorders>
              <w:top w:val="single" w:sz="8" w:space="0" w:color="auto"/>
              <w:left w:val="single" w:sz="8" w:space="0" w:color="auto"/>
              <w:bottom w:val="single" w:sz="8" w:space="0" w:color="000000"/>
              <w:right w:val="single" w:sz="4" w:space="0" w:color="auto"/>
            </w:tcBorders>
            <w:vAlign w:val="center"/>
            <w:hideMark/>
          </w:tcPr>
          <w:p w14:paraId="68DC5FD9" w14:textId="77777777" w:rsidR="00B703E2" w:rsidRPr="00FA433F" w:rsidRDefault="00B703E2">
            <w:pPr>
              <w:spacing w:before="0" w:after="0"/>
              <w:jc w:val="left"/>
              <w:rPr>
                <w:rFonts w:eastAsia="Times New Roman"/>
                <w:noProof/>
                <w:color w:val="000000"/>
                <w:sz w:val="18"/>
                <w:szCs w:val="18"/>
                <w:lang w:eastAsia="en-IE"/>
              </w:rPr>
            </w:pPr>
          </w:p>
        </w:tc>
        <w:tc>
          <w:tcPr>
            <w:tcW w:w="2356" w:type="dxa"/>
            <w:tcBorders>
              <w:top w:val="single" w:sz="4" w:space="0" w:color="auto"/>
              <w:left w:val="nil"/>
              <w:bottom w:val="single" w:sz="4" w:space="0" w:color="auto"/>
              <w:right w:val="single" w:sz="4" w:space="0" w:color="auto"/>
            </w:tcBorders>
            <w:vAlign w:val="bottom"/>
            <w:hideMark/>
          </w:tcPr>
          <w:p w14:paraId="69560436" w14:textId="74E12332" w:rsidR="00B703E2" w:rsidRPr="00FA433F" w:rsidRDefault="00691CA9">
            <w:pPr>
              <w:spacing w:before="0" w:after="0"/>
              <w:jc w:val="left"/>
              <w:rPr>
                <w:rFonts w:eastAsia="Times New Roman"/>
                <w:noProof/>
                <w:color w:val="000000"/>
                <w:sz w:val="18"/>
                <w:szCs w:val="18"/>
              </w:rPr>
            </w:pPr>
            <w:r w:rsidRPr="00FA433F">
              <w:rPr>
                <w:noProof/>
                <w:color w:val="000000"/>
                <w:sz w:val="18"/>
              </w:rPr>
              <w:t>Ocena wniosków państw członkowskich</w:t>
            </w:r>
            <w:r w:rsidR="00FA433F" w:rsidRPr="00FA433F">
              <w:rPr>
                <w:noProof/>
                <w:color w:val="000000"/>
                <w:sz w:val="18"/>
              </w:rPr>
              <w:t xml:space="preserve"> o</w:t>
            </w:r>
            <w:r w:rsidR="00FA433F">
              <w:rPr>
                <w:noProof/>
                <w:color w:val="000000"/>
                <w:sz w:val="18"/>
              </w:rPr>
              <w:t> </w:t>
            </w:r>
            <w:r w:rsidR="00FA433F" w:rsidRPr="00FA433F">
              <w:rPr>
                <w:noProof/>
                <w:color w:val="000000"/>
                <w:sz w:val="18"/>
              </w:rPr>
              <w:t>sko</w:t>
            </w:r>
            <w:r w:rsidRPr="00FA433F">
              <w:rPr>
                <w:noProof/>
                <w:color w:val="000000"/>
                <w:sz w:val="18"/>
              </w:rPr>
              <w:t>rzystanie</w:t>
            </w:r>
            <w:r w:rsidR="00FA433F" w:rsidRPr="00FA433F">
              <w:rPr>
                <w:noProof/>
                <w:color w:val="000000"/>
                <w:sz w:val="18"/>
              </w:rPr>
              <w:t xml:space="preserve"> z</w:t>
            </w:r>
            <w:r w:rsidR="00FA433F">
              <w:rPr>
                <w:noProof/>
                <w:color w:val="000000"/>
                <w:sz w:val="18"/>
              </w:rPr>
              <w:t> </w:t>
            </w:r>
            <w:r w:rsidR="00FA433F" w:rsidRPr="00FA433F">
              <w:rPr>
                <w:noProof/>
                <w:color w:val="000000"/>
                <w:sz w:val="18"/>
              </w:rPr>
              <w:t>mec</w:t>
            </w:r>
            <w:r w:rsidRPr="00FA433F">
              <w:rPr>
                <w:noProof/>
                <w:color w:val="000000"/>
                <w:sz w:val="18"/>
              </w:rPr>
              <w:t xml:space="preserve">hanizmu </w:t>
            </w:r>
            <w:r w:rsidRPr="00FA433F">
              <w:rPr>
                <w:i/>
                <w:iCs/>
                <w:noProof/>
                <w:color w:val="000000"/>
                <w:sz w:val="18"/>
              </w:rPr>
              <w:t>opt-in</w:t>
            </w:r>
          </w:p>
        </w:tc>
        <w:tc>
          <w:tcPr>
            <w:tcW w:w="1005" w:type="dxa"/>
            <w:vMerge/>
            <w:tcBorders>
              <w:top w:val="single" w:sz="8" w:space="0" w:color="auto"/>
              <w:left w:val="single" w:sz="4" w:space="0" w:color="auto"/>
              <w:bottom w:val="single" w:sz="8" w:space="0" w:color="000000"/>
              <w:right w:val="single" w:sz="4" w:space="0" w:color="auto"/>
            </w:tcBorders>
            <w:vAlign w:val="center"/>
            <w:hideMark/>
          </w:tcPr>
          <w:p w14:paraId="23EC798A" w14:textId="77777777" w:rsidR="00B703E2" w:rsidRPr="00FA433F" w:rsidRDefault="00B703E2">
            <w:pPr>
              <w:spacing w:before="0" w:after="0"/>
              <w:jc w:val="left"/>
              <w:rPr>
                <w:rFonts w:eastAsia="Times New Roman"/>
                <w:noProof/>
                <w:color w:val="000000"/>
                <w:sz w:val="18"/>
                <w:szCs w:val="18"/>
                <w:lang w:eastAsia="en-IE"/>
              </w:rPr>
            </w:pPr>
          </w:p>
        </w:tc>
        <w:tc>
          <w:tcPr>
            <w:tcW w:w="1005" w:type="dxa"/>
            <w:vMerge/>
            <w:tcBorders>
              <w:top w:val="single" w:sz="8" w:space="0" w:color="auto"/>
              <w:left w:val="single" w:sz="4" w:space="0" w:color="auto"/>
              <w:bottom w:val="single" w:sz="8" w:space="0" w:color="000000"/>
              <w:right w:val="single" w:sz="4" w:space="0" w:color="auto"/>
            </w:tcBorders>
            <w:vAlign w:val="center"/>
            <w:hideMark/>
          </w:tcPr>
          <w:p w14:paraId="41FF6884" w14:textId="77777777" w:rsidR="00B703E2" w:rsidRPr="00FA433F" w:rsidRDefault="00B703E2">
            <w:pPr>
              <w:spacing w:before="0" w:after="0"/>
              <w:jc w:val="left"/>
              <w:rPr>
                <w:rFonts w:eastAsia="Times New Roman"/>
                <w:noProof/>
                <w:color w:val="000000"/>
                <w:sz w:val="18"/>
                <w:szCs w:val="18"/>
                <w:lang w:eastAsia="en-IE"/>
              </w:rPr>
            </w:pPr>
          </w:p>
        </w:tc>
        <w:tc>
          <w:tcPr>
            <w:tcW w:w="956" w:type="dxa"/>
            <w:vMerge/>
            <w:tcBorders>
              <w:top w:val="single" w:sz="8" w:space="0" w:color="auto"/>
              <w:left w:val="single" w:sz="4" w:space="0" w:color="auto"/>
              <w:bottom w:val="single" w:sz="8" w:space="0" w:color="000000"/>
              <w:right w:val="single" w:sz="4" w:space="0" w:color="auto"/>
            </w:tcBorders>
            <w:vAlign w:val="center"/>
            <w:hideMark/>
          </w:tcPr>
          <w:p w14:paraId="7E59716E" w14:textId="77777777" w:rsidR="00B703E2" w:rsidRPr="00FA433F" w:rsidRDefault="00B703E2">
            <w:pPr>
              <w:spacing w:before="0" w:after="0"/>
              <w:jc w:val="left"/>
              <w:rPr>
                <w:rFonts w:eastAsia="Times New Roman"/>
                <w:noProof/>
                <w:color w:val="000000"/>
                <w:sz w:val="18"/>
                <w:szCs w:val="18"/>
                <w:lang w:eastAsia="en-IE"/>
              </w:rPr>
            </w:pPr>
          </w:p>
        </w:tc>
        <w:tc>
          <w:tcPr>
            <w:tcW w:w="1264" w:type="dxa"/>
            <w:tcBorders>
              <w:top w:val="single" w:sz="8" w:space="0" w:color="auto"/>
              <w:left w:val="nil"/>
              <w:bottom w:val="single" w:sz="4" w:space="0" w:color="auto"/>
              <w:right w:val="nil"/>
            </w:tcBorders>
            <w:vAlign w:val="bottom"/>
            <w:hideMark/>
          </w:tcPr>
          <w:p w14:paraId="4861953A"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c>
          <w:tcPr>
            <w:tcW w:w="1383" w:type="dxa"/>
            <w:tcBorders>
              <w:top w:val="single" w:sz="8" w:space="0" w:color="auto"/>
              <w:left w:val="single" w:sz="4" w:space="0" w:color="auto"/>
              <w:bottom w:val="single" w:sz="4" w:space="0" w:color="auto"/>
              <w:right w:val="single" w:sz="8" w:space="0" w:color="auto"/>
            </w:tcBorders>
            <w:vAlign w:val="bottom"/>
            <w:hideMark/>
          </w:tcPr>
          <w:p w14:paraId="62A6AD1B"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r>
      <w:tr w:rsidR="00874B4B" w:rsidRPr="00FA433F" w14:paraId="46AB0575" w14:textId="77777777" w:rsidTr="00874B4B">
        <w:trPr>
          <w:trHeight w:val="299"/>
        </w:trPr>
        <w:tc>
          <w:tcPr>
            <w:tcW w:w="869" w:type="dxa"/>
            <w:vMerge/>
            <w:tcBorders>
              <w:top w:val="single" w:sz="8" w:space="0" w:color="auto"/>
              <w:left w:val="single" w:sz="8" w:space="0" w:color="auto"/>
              <w:bottom w:val="single" w:sz="8" w:space="0" w:color="000000"/>
              <w:right w:val="single" w:sz="4" w:space="0" w:color="auto"/>
            </w:tcBorders>
            <w:vAlign w:val="center"/>
            <w:hideMark/>
          </w:tcPr>
          <w:p w14:paraId="0BDA2A12" w14:textId="77777777" w:rsidR="00B703E2" w:rsidRPr="00FA433F" w:rsidRDefault="00B703E2">
            <w:pPr>
              <w:spacing w:before="0" w:after="0"/>
              <w:jc w:val="left"/>
              <w:rPr>
                <w:rFonts w:eastAsia="Times New Roman"/>
                <w:noProof/>
                <w:color w:val="000000"/>
                <w:sz w:val="18"/>
                <w:szCs w:val="18"/>
                <w:lang w:eastAsia="en-IE"/>
              </w:rPr>
            </w:pPr>
          </w:p>
        </w:tc>
        <w:tc>
          <w:tcPr>
            <w:tcW w:w="2356" w:type="dxa"/>
            <w:tcBorders>
              <w:top w:val="nil"/>
              <w:left w:val="nil"/>
              <w:bottom w:val="single" w:sz="8" w:space="0" w:color="auto"/>
              <w:right w:val="single" w:sz="4" w:space="0" w:color="auto"/>
            </w:tcBorders>
            <w:vAlign w:val="bottom"/>
            <w:hideMark/>
          </w:tcPr>
          <w:p w14:paraId="4B8CA265" w14:textId="5F7AD9EC" w:rsidR="00B703E2" w:rsidRPr="00FA433F" w:rsidRDefault="00691CA9">
            <w:pPr>
              <w:spacing w:before="0" w:after="0"/>
              <w:jc w:val="left"/>
              <w:rPr>
                <w:rFonts w:eastAsia="Times New Roman"/>
                <w:noProof/>
                <w:color w:val="000000"/>
                <w:sz w:val="18"/>
                <w:szCs w:val="18"/>
              </w:rPr>
            </w:pPr>
            <w:r w:rsidRPr="00FA433F">
              <w:rPr>
                <w:noProof/>
                <w:color w:val="000000"/>
                <w:sz w:val="18"/>
              </w:rPr>
              <w:t>Przyjęcie decyzji</w:t>
            </w:r>
            <w:r w:rsidR="00FA433F" w:rsidRPr="00FA433F">
              <w:rPr>
                <w:noProof/>
                <w:color w:val="000000"/>
                <w:sz w:val="18"/>
              </w:rPr>
              <w:t xml:space="preserve"> w</w:t>
            </w:r>
            <w:r w:rsidR="00FA433F">
              <w:rPr>
                <w:noProof/>
                <w:color w:val="000000"/>
                <w:sz w:val="18"/>
              </w:rPr>
              <w:t> </w:t>
            </w:r>
            <w:r w:rsidR="00FA433F" w:rsidRPr="00FA433F">
              <w:rPr>
                <w:noProof/>
                <w:color w:val="000000"/>
                <w:sz w:val="18"/>
              </w:rPr>
              <w:t>spr</w:t>
            </w:r>
            <w:r w:rsidRPr="00FA433F">
              <w:rPr>
                <w:noProof/>
                <w:color w:val="000000"/>
                <w:sz w:val="18"/>
              </w:rPr>
              <w:t>awie wniosków państw członkowskich</w:t>
            </w:r>
            <w:r w:rsidR="00FA433F" w:rsidRPr="00FA433F">
              <w:rPr>
                <w:noProof/>
                <w:color w:val="000000"/>
                <w:sz w:val="18"/>
              </w:rPr>
              <w:t xml:space="preserve"> o</w:t>
            </w:r>
            <w:r w:rsidR="00FA433F">
              <w:rPr>
                <w:noProof/>
                <w:color w:val="000000"/>
                <w:sz w:val="18"/>
              </w:rPr>
              <w:t> </w:t>
            </w:r>
            <w:r w:rsidR="00FA433F" w:rsidRPr="00FA433F">
              <w:rPr>
                <w:noProof/>
                <w:color w:val="000000"/>
                <w:sz w:val="18"/>
              </w:rPr>
              <w:t>sko</w:t>
            </w:r>
            <w:r w:rsidRPr="00FA433F">
              <w:rPr>
                <w:noProof/>
                <w:color w:val="000000"/>
                <w:sz w:val="18"/>
              </w:rPr>
              <w:t>rzystanie</w:t>
            </w:r>
            <w:r w:rsidR="00FA433F" w:rsidRPr="00FA433F">
              <w:rPr>
                <w:noProof/>
                <w:color w:val="000000"/>
                <w:sz w:val="18"/>
              </w:rPr>
              <w:t xml:space="preserve"> z</w:t>
            </w:r>
            <w:r w:rsidR="00FA433F">
              <w:rPr>
                <w:noProof/>
                <w:color w:val="000000"/>
                <w:sz w:val="18"/>
              </w:rPr>
              <w:t> </w:t>
            </w:r>
            <w:r w:rsidR="00FA433F" w:rsidRPr="00FA433F">
              <w:rPr>
                <w:noProof/>
                <w:color w:val="000000"/>
                <w:sz w:val="18"/>
              </w:rPr>
              <w:t>mec</w:t>
            </w:r>
            <w:r w:rsidRPr="00FA433F">
              <w:rPr>
                <w:noProof/>
                <w:color w:val="000000"/>
                <w:sz w:val="18"/>
              </w:rPr>
              <w:t xml:space="preserve">hanizmu </w:t>
            </w:r>
            <w:r w:rsidRPr="00FA433F">
              <w:rPr>
                <w:i/>
                <w:iCs/>
                <w:noProof/>
                <w:color w:val="000000"/>
                <w:sz w:val="18"/>
              </w:rPr>
              <w:t>opt-in</w:t>
            </w:r>
          </w:p>
        </w:tc>
        <w:tc>
          <w:tcPr>
            <w:tcW w:w="1005" w:type="dxa"/>
            <w:vMerge/>
            <w:tcBorders>
              <w:top w:val="single" w:sz="8" w:space="0" w:color="auto"/>
              <w:left w:val="single" w:sz="4" w:space="0" w:color="auto"/>
              <w:bottom w:val="single" w:sz="8" w:space="0" w:color="000000"/>
              <w:right w:val="single" w:sz="4" w:space="0" w:color="auto"/>
            </w:tcBorders>
            <w:vAlign w:val="center"/>
            <w:hideMark/>
          </w:tcPr>
          <w:p w14:paraId="6D3EDCD2" w14:textId="77777777" w:rsidR="00B703E2" w:rsidRPr="00FA433F" w:rsidRDefault="00B703E2">
            <w:pPr>
              <w:spacing w:before="0" w:after="0"/>
              <w:jc w:val="left"/>
              <w:rPr>
                <w:rFonts w:eastAsia="Times New Roman"/>
                <w:noProof/>
                <w:color w:val="000000"/>
                <w:sz w:val="18"/>
                <w:szCs w:val="18"/>
                <w:lang w:eastAsia="en-IE"/>
              </w:rPr>
            </w:pPr>
          </w:p>
        </w:tc>
        <w:tc>
          <w:tcPr>
            <w:tcW w:w="1005" w:type="dxa"/>
            <w:vMerge/>
            <w:tcBorders>
              <w:top w:val="single" w:sz="8" w:space="0" w:color="auto"/>
              <w:left w:val="single" w:sz="4" w:space="0" w:color="auto"/>
              <w:bottom w:val="single" w:sz="8" w:space="0" w:color="000000"/>
              <w:right w:val="single" w:sz="4" w:space="0" w:color="auto"/>
            </w:tcBorders>
            <w:vAlign w:val="center"/>
            <w:hideMark/>
          </w:tcPr>
          <w:p w14:paraId="1FAA6638" w14:textId="77777777" w:rsidR="00B703E2" w:rsidRPr="00FA433F" w:rsidRDefault="00B703E2">
            <w:pPr>
              <w:spacing w:before="0" w:after="0"/>
              <w:jc w:val="left"/>
              <w:rPr>
                <w:rFonts w:eastAsia="Times New Roman"/>
                <w:noProof/>
                <w:color w:val="000000"/>
                <w:sz w:val="18"/>
                <w:szCs w:val="18"/>
                <w:lang w:eastAsia="en-IE"/>
              </w:rPr>
            </w:pPr>
          </w:p>
        </w:tc>
        <w:tc>
          <w:tcPr>
            <w:tcW w:w="956" w:type="dxa"/>
            <w:vMerge/>
            <w:tcBorders>
              <w:top w:val="single" w:sz="8" w:space="0" w:color="auto"/>
              <w:left w:val="single" w:sz="4" w:space="0" w:color="auto"/>
              <w:bottom w:val="single" w:sz="8" w:space="0" w:color="000000"/>
              <w:right w:val="single" w:sz="4" w:space="0" w:color="auto"/>
            </w:tcBorders>
            <w:vAlign w:val="center"/>
            <w:hideMark/>
          </w:tcPr>
          <w:p w14:paraId="6720249E" w14:textId="77777777" w:rsidR="00B703E2" w:rsidRPr="00FA433F" w:rsidRDefault="00B703E2">
            <w:pPr>
              <w:spacing w:before="0" w:after="0"/>
              <w:jc w:val="left"/>
              <w:rPr>
                <w:rFonts w:eastAsia="Times New Roman"/>
                <w:noProof/>
                <w:color w:val="000000"/>
                <w:sz w:val="18"/>
                <w:szCs w:val="18"/>
                <w:lang w:eastAsia="en-IE"/>
              </w:rPr>
            </w:pPr>
          </w:p>
        </w:tc>
        <w:tc>
          <w:tcPr>
            <w:tcW w:w="1264" w:type="dxa"/>
            <w:tcBorders>
              <w:top w:val="nil"/>
              <w:left w:val="nil"/>
              <w:bottom w:val="single" w:sz="8" w:space="0" w:color="auto"/>
              <w:right w:val="nil"/>
            </w:tcBorders>
            <w:vAlign w:val="bottom"/>
            <w:hideMark/>
          </w:tcPr>
          <w:p w14:paraId="5729BD07"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c>
          <w:tcPr>
            <w:tcW w:w="1383" w:type="dxa"/>
            <w:tcBorders>
              <w:top w:val="nil"/>
              <w:left w:val="single" w:sz="4" w:space="0" w:color="auto"/>
              <w:bottom w:val="single" w:sz="8" w:space="0" w:color="auto"/>
              <w:right w:val="single" w:sz="8" w:space="0" w:color="auto"/>
            </w:tcBorders>
            <w:vAlign w:val="bottom"/>
            <w:hideMark/>
          </w:tcPr>
          <w:p w14:paraId="7745AA81"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r>
      <w:tr w:rsidR="00874B4B" w:rsidRPr="00FA433F" w14:paraId="786062DD" w14:textId="77777777" w:rsidTr="00874B4B">
        <w:trPr>
          <w:trHeight w:val="285"/>
        </w:trPr>
        <w:tc>
          <w:tcPr>
            <w:tcW w:w="869" w:type="dxa"/>
            <w:vMerge w:val="restart"/>
            <w:tcBorders>
              <w:top w:val="nil"/>
              <w:left w:val="single" w:sz="8" w:space="0" w:color="auto"/>
              <w:bottom w:val="single" w:sz="8" w:space="0" w:color="000000"/>
              <w:right w:val="single" w:sz="4" w:space="0" w:color="auto"/>
            </w:tcBorders>
            <w:vAlign w:val="center"/>
            <w:hideMark/>
          </w:tcPr>
          <w:p w14:paraId="29FD373E" w14:textId="77777777" w:rsidR="00B703E2" w:rsidRPr="00FA433F" w:rsidRDefault="00691CA9">
            <w:pPr>
              <w:spacing w:before="0" w:after="0"/>
              <w:jc w:val="center"/>
              <w:rPr>
                <w:rFonts w:eastAsia="Times New Roman"/>
                <w:noProof/>
                <w:color w:val="000000"/>
                <w:sz w:val="18"/>
                <w:szCs w:val="18"/>
              </w:rPr>
            </w:pPr>
            <w:r w:rsidRPr="00FA433F">
              <w:rPr>
                <w:noProof/>
                <w:color w:val="000000"/>
                <w:sz w:val="18"/>
              </w:rPr>
              <w:t>Ogólne wdrażanie</w:t>
            </w:r>
          </w:p>
        </w:tc>
        <w:tc>
          <w:tcPr>
            <w:tcW w:w="2356" w:type="dxa"/>
            <w:tcBorders>
              <w:top w:val="nil"/>
              <w:left w:val="nil"/>
              <w:bottom w:val="single" w:sz="4" w:space="0" w:color="auto"/>
              <w:right w:val="single" w:sz="4" w:space="0" w:color="auto"/>
            </w:tcBorders>
            <w:vAlign w:val="bottom"/>
            <w:hideMark/>
          </w:tcPr>
          <w:p w14:paraId="723D01EA" w14:textId="13028BAA" w:rsidR="00B703E2" w:rsidRPr="00FA433F" w:rsidRDefault="00691CA9">
            <w:pPr>
              <w:spacing w:before="0" w:after="0"/>
              <w:jc w:val="left"/>
              <w:rPr>
                <w:rFonts w:eastAsia="Times New Roman"/>
                <w:noProof/>
                <w:color w:val="000000"/>
                <w:sz w:val="18"/>
                <w:szCs w:val="18"/>
              </w:rPr>
            </w:pPr>
            <w:r w:rsidRPr="00FA433F">
              <w:rPr>
                <w:noProof/>
                <w:color w:val="000000"/>
                <w:sz w:val="18"/>
              </w:rPr>
              <w:t>Opracowanie</w:t>
            </w:r>
            <w:r w:rsidR="00FA433F" w:rsidRPr="00FA433F">
              <w:rPr>
                <w:noProof/>
                <w:color w:val="000000"/>
                <w:sz w:val="18"/>
              </w:rPr>
              <w:t xml:space="preserve"> i</w:t>
            </w:r>
            <w:r w:rsidR="00FA433F">
              <w:rPr>
                <w:noProof/>
                <w:color w:val="000000"/>
                <w:sz w:val="18"/>
              </w:rPr>
              <w:t> </w:t>
            </w:r>
            <w:r w:rsidR="00FA433F" w:rsidRPr="00FA433F">
              <w:rPr>
                <w:noProof/>
                <w:color w:val="000000"/>
                <w:sz w:val="18"/>
              </w:rPr>
              <w:t>prz</w:t>
            </w:r>
            <w:r w:rsidRPr="00FA433F">
              <w:rPr>
                <w:noProof/>
                <w:color w:val="000000"/>
                <w:sz w:val="18"/>
              </w:rPr>
              <w:t>yjęcie aktu delegowanego</w:t>
            </w:r>
            <w:r w:rsidR="00FA433F" w:rsidRPr="00FA433F">
              <w:rPr>
                <w:noProof/>
                <w:color w:val="000000"/>
                <w:sz w:val="18"/>
              </w:rPr>
              <w:t xml:space="preserve"> w</w:t>
            </w:r>
            <w:r w:rsidR="00FA433F">
              <w:rPr>
                <w:noProof/>
                <w:color w:val="000000"/>
                <w:sz w:val="18"/>
              </w:rPr>
              <w:t> </w:t>
            </w:r>
            <w:r w:rsidR="00FA433F" w:rsidRPr="00FA433F">
              <w:rPr>
                <w:noProof/>
                <w:color w:val="000000"/>
                <w:sz w:val="18"/>
              </w:rPr>
              <w:t>spr</w:t>
            </w:r>
            <w:r w:rsidRPr="00FA433F">
              <w:rPr>
                <w:noProof/>
                <w:color w:val="000000"/>
                <w:sz w:val="18"/>
              </w:rPr>
              <w:t>awie poboru dochodów</w:t>
            </w:r>
            <w:r w:rsidR="00FA433F" w:rsidRPr="00FA433F">
              <w:rPr>
                <w:noProof/>
                <w:color w:val="000000"/>
                <w:sz w:val="18"/>
              </w:rPr>
              <w:t xml:space="preserve"> i</w:t>
            </w:r>
            <w:r w:rsidR="00FA433F">
              <w:rPr>
                <w:noProof/>
                <w:color w:val="000000"/>
                <w:sz w:val="18"/>
              </w:rPr>
              <w:t> </w:t>
            </w:r>
            <w:r w:rsidR="00FA433F" w:rsidRPr="00FA433F">
              <w:rPr>
                <w:noProof/>
                <w:color w:val="000000"/>
                <w:sz w:val="18"/>
              </w:rPr>
              <w:t>pod</w:t>
            </w:r>
            <w:r w:rsidRPr="00FA433F">
              <w:rPr>
                <w:noProof/>
                <w:color w:val="000000"/>
                <w:sz w:val="18"/>
              </w:rPr>
              <w:t>ziału na państwa członkowskie</w:t>
            </w:r>
          </w:p>
        </w:tc>
        <w:tc>
          <w:tcPr>
            <w:tcW w:w="1005" w:type="dxa"/>
            <w:vMerge w:val="restart"/>
            <w:tcBorders>
              <w:top w:val="nil"/>
              <w:left w:val="single" w:sz="4" w:space="0" w:color="auto"/>
              <w:bottom w:val="single" w:sz="8" w:space="0" w:color="000000"/>
              <w:right w:val="single" w:sz="4" w:space="0" w:color="auto"/>
            </w:tcBorders>
            <w:vAlign w:val="bottom"/>
            <w:hideMark/>
          </w:tcPr>
          <w:p w14:paraId="297F5749" w14:textId="77777777" w:rsidR="00B703E2" w:rsidRPr="00FA433F" w:rsidRDefault="00777543">
            <w:pPr>
              <w:spacing w:before="0" w:after="0"/>
              <w:jc w:val="center"/>
              <w:rPr>
                <w:rFonts w:eastAsia="Times New Roman"/>
                <w:noProof/>
                <w:color w:val="000000"/>
                <w:sz w:val="18"/>
                <w:szCs w:val="18"/>
              </w:rPr>
            </w:pPr>
            <w:r w:rsidRPr="00FA433F">
              <w:rPr>
                <w:noProof/>
                <w:color w:val="000000"/>
                <w:sz w:val="18"/>
              </w:rPr>
              <w:t>3,5</w:t>
            </w:r>
          </w:p>
        </w:tc>
        <w:tc>
          <w:tcPr>
            <w:tcW w:w="1005" w:type="dxa"/>
            <w:vMerge w:val="restart"/>
            <w:tcBorders>
              <w:top w:val="nil"/>
              <w:left w:val="single" w:sz="4" w:space="0" w:color="auto"/>
              <w:bottom w:val="single" w:sz="8" w:space="0" w:color="000000"/>
              <w:right w:val="single" w:sz="4" w:space="0" w:color="auto"/>
            </w:tcBorders>
            <w:vAlign w:val="bottom"/>
            <w:hideMark/>
          </w:tcPr>
          <w:p w14:paraId="154446F1"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2</w:t>
            </w:r>
          </w:p>
        </w:tc>
        <w:tc>
          <w:tcPr>
            <w:tcW w:w="956" w:type="dxa"/>
            <w:tcBorders>
              <w:top w:val="nil"/>
              <w:left w:val="nil"/>
              <w:bottom w:val="single" w:sz="4" w:space="0" w:color="auto"/>
              <w:right w:val="single" w:sz="4" w:space="0" w:color="auto"/>
            </w:tcBorders>
            <w:vAlign w:val="bottom"/>
            <w:hideMark/>
          </w:tcPr>
          <w:p w14:paraId="77624099"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c>
          <w:tcPr>
            <w:tcW w:w="1264" w:type="dxa"/>
            <w:tcBorders>
              <w:top w:val="nil"/>
              <w:left w:val="nil"/>
              <w:bottom w:val="single" w:sz="4" w:space="0" w:color="auto"/>
              <w:right w:val="nil"/>
            </w:tcBorders>
            <w:vAlign w:val="bottom"/>
            <w:hideMark/>
          </w:tcPr>
          <w:p w14:paraId="0F551E81"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c>
          <w:tcPr>
            <w:tcW w:w="1383" w:type="dxa"/>
            <w:tcBorders>
              <w:top w:val="nil"/>
              <w:left w:val="single" w:sz="4" w:space="0" w:color="auto"/>
              <w:bottom w:val="single" w:sz="4" w:space="0" w:color="auto"/>
              <w:right w:val="single" w:sz="8" w:space="0" w:color="auto"/>
            </w:tcBorders>
            <w:vAlign w:val="bottom"/>
            <w:hideMark/>
          </w:tcPr>
          <w:p w14:paraId="4F7FE426"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r>
      <w:tr w:rsidR="00874B4B" w:rsidRPr="00FA433F" w14:paraId="1DF35070" w14:textId="77777777" w:rsidTr="00874B4B">
        <w:trPr>
          <w:trHeight w:val="299"/>
        </w:trPr>
        <w:tc>
          <w:tcPr>
            <w:tcW w:w="869" w:type="dxa"/>
            <w:vMerge/>
            <w:tcBorders>
              <w:top w:val="nil"/>
              <w:left w:val="single" w:sz="8" w:space="0" w:color="auto"/>
              <w:bottom w:val="single" w:sz="8" w:space="0" w:color="000000"/>
              <w:right w:val="single" w:sz="4" w:space="0" w:color="auto"/>
            </w:tcBorders>
            <w:vAlign w:val="center"/>
            <w:hideMark/>
          </w:tcPr>
          <w:p w14:paraId="24BDA90E" w14:textId="77777777" w:rsidR="00B703E2" w:rsidRPr="00FA433F" w:rsidRDefault="00B703E2">
            <w:pPr>
              <w:spacing w:before="0" w:after="0"/>
              <w:jc w:val="left"/>
              <w:rPr>
                <w:rFonts w:eastAsia="Times New Roman"/>
                <w:noProof/>
                <w:color w:val="000000"/>
                <w:sz w:val="18"/>
                <w:szCs w:val="18"/>
                <w:lang w:eastAsia="en-IE"/>
              </w:rPr>
            </w:pPr>
          </w:p>
        </w:tc>
        <w:tc>
          <w:tcPr>
            <w:tcW w:w="2356" w:type="dxa"/>
            <w:tcBorders>
              <w:top w:val="nil"/>
              <w:left w:val="nil"/>
              <w:bottom w:val="single" w:sz="8" w:space="0" w:color="auto"/>
              <w:right w:val="single" w:sz="4" w:space="0" w:color="auto"/>
            </w:tcBorders>
            <w:vAlign w:val="bottom"/>
            <w:hideMark/>
          </w:tcPr>
          <w:p w14:paraId="1B0B3FCD" w14:textId="214FEFC9" w:rsidR="00B703E2" w:rsidRPr="00FA433F" w:rsidRDefault="00691CA9">
            <w:pPr>
              <w:spacing w:before="0" w:after="0"/>
              <w:jc w:val="left"/>
              <w:rPr>
                <w:rFonts w:eastAsia="Times New Roman"/>
                <w:noProof/>
                <w:color w:val="000000"/>
                <w:sz w:val="18"/>
                <w:szCs w:val="18"/>
              </w:rPr>
            </w:pPr>
            <w:r w:rsidRPr="00FA433F">
              <w:rPr>
                <w:noProof/>
                <w:color w:val="000000"/>
                <w:sz w:val="18"/>
              </w:rPr>
              <w:t>Opracowanie</w:t>
            </w:r>
            <w:r w:rsidR="00FA433F" w:rsidRPr="00FA433F">
              <w:rPr>
                <w:noProof/>
                <w:color w:val="000000"/>
                <w:sz w:val="18"/>
              </w:rPr>
              <w:t xml:space="preserve"> i</w:t>
            </w:r>
            <w:r w:rsidR="00FA433F">
              <w:rPr>
                <w:noProof/>
                <w:color w:val="000000"/>
                <w:sz w:val="18"/>
              </w:rPr>
              <w:t> </w:t>
            </w:r>
            <w:r w:rsidR="00FA433F" w:rsidRPr="00FA433F">
              <w:rPr>
                <w:noProof/>
                <w:color w:val="000000"/>
                <w:sz w:val="18"/>
              </w:rPr>
              <w:t>prz</w:t>
            </w:r>
            <w:r w:rsidRPr="00FA433F">
              <w:rPr>
                <w:noProof/>
                <w:color w:val="000000"/>
                <w:sz w:val="18"/>
              </w:rPr>
              <w:t>yjęcie aktu wykonawczego</w:t>
            </w:r>
            <w:r w:rsidR="00FA433F" w:rsidRPr="00FA433F">
              <w:rPr>
                <w:noProof/>
                <w:color w:val="000000"/>
                <w:sz w:val="18"/>
              </w:rPr>
              <w:t xml:space="preserve"> w</w:t>
            </w:r>
            <w:r w:rsidR="00FA433F">
              <w:rPr>
                <w:noProof/>
                <w:color w:val="000000"/>
                <w:sz w:val="18"/>
              </w:rPr>
              <w:t> </w:t>
            </w:r>
            <w:r w:rsidR="00FA433F" w:rsidRPr="00FA433F">
              <w:rPr>
                <w:noProof/>
                <w:color w:val="000000"/>
                <w:sz w:val="18"/>
              </w:rPr>
              <w:t>spr</w:t>
            </w:r>
            <w:r w:rsidRPr="00FA433F">
              <w:rPr>
                <w:noProof/>
                <w:color w:val="000000"/>
                <w:sz w:val="18"/>
              </w:rPr>
              <w:t>awie wymogów warunkowości</w:t>
            </w:r>
          </w:p>
        </w:tc>
        <w:tc>
          <w:tcPr>
            <w:tcW w:w="1005" w:type="dxa"/>
            <w:vMerge/>
            <w:tcBorders>
              <w:top w:val="nil"/>
              <w:left w:val="single" w:sz="4" w:space="0" w:color="auto"/>
              <w:bottom w:val="single" w:sz="8" w:space="0" w:color="000000"/>
              <w:right w:val="single" w:sz="4" w:space="0" w:color="auto"/>
            </w:tcBorders>
            <w:vAlign w:val="center"/>
            <w:hideMark/>
          </w:tcPr>
          <w:p w14:paraId="199B5A6A" w14:textId="77777777" w:rsidR="00B703E2" w:rsidRPr="00FA433F" w:rsidRDefault="00B703E2">
            <w:pPr>
              <w:spacing w:before="0" w:after="0"/>
              <w:jc w:val="left"/>
              <w:rPr>
                <w:rFonts w:eastAsia="Times New Roman"/>
                <w:noProof/>
                <w:color w:val="000000"/>
                <w:sz w:val="18"/>
                <w:szCs w:val="18"/>
                <w:lang w:eastAsia="en-IE"/>
              </w:rPr>
            </w:pPr>
          </w:p>
        </w:tc>
        <w:tc>
          <w:tcPr>
            <w:tcW w:w="1005" w:type="dxa"/>
            <w:vMerge/>
            <w:tcBorders>
              <w:top w:val="nil"/>
              <w:left w:val="single" w:sz="4" w:space="0" w:color="auto"/>
              <w:bottom w:val="single" w:sz="8" w:space="0" w:color="000000"/>
              <w:right w:val="single" w:sz="4" w:space="0" w:color="auto"/>
            </w:tcBorders>
            <w:vAlign w:val="center"/>
            <w:hideMark/>
          </w:tcPr>
          <w:p w14:paraId="77E85E29" w14:textId="77777777" w:rsidR="00B703E2" w:rsidRPr="00FA433F" w:rsidRDefault="00B703E2">
            <w:pPr>
              <w:spacing w:before="0" w:after="0"/>
              <w:jc w:val="left"/>
              <w:rPr>
                <w:rFonts w:eastAsia="Times New Roman"/>
                <w:noProof/>
                <w:color w:val="000000"/>
                <w:sz w:val="18"/>
                <w:szCs w:val="18"/>
                <w:lang w:eastAsia="en-IE"/>
              </w:rPr>
            </w:pPr>
          </w:p>
        </w:tc>
        <w:tc>
          <w:tcPr>
            <w:tcW w:w="956" w:type="dxa"/>
            <w:tcBorders>
              <w:top w:val="nil"/>
              <w:left w:val="nil"/>
              <w:bottom w:val="single" w:sz="8" w:space="0" w:color="auto"/>
              <w:right w:val="single" w:sz="4" w:space="0" w:color="auto"/>
            </w:tcBorders>
            <w:vAlign w:val="bottom"/>
            <w:hideMark/>
          </w:tcPr>
          <w:p w14:paraId="287139F1"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c>
          <w:tcPr>
            <w:tcW w:w="1264" w:type="dxa"/>
            <w:tcBorders>
              <w:top w:val="nil"/>
              <w:left w:val="nil"/>
              <w:bottom w:val="single" w:sz="8" w:space="0" w:color="auto"/>
              <w:right w:val="nil"/>
            </w:tcBorders>
            <w:vAlign w:val="bottom"/>
            <w:hideMark/>
          </w:tcPr>
          <w:p w14:paraId="1AC88D86"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c>
          <w:tcPr>
            <w:tcW w:w="1383" w:type="dxa"/>
            <w:tcBorders>
              <w:top w:val="nil"/>
              <w:left w:val="single" w:sz="4" w:space="0" w:color="auto"/>
              <w:bottom w:val="single" w:sz="8" w:space="0" w:color="auto"/>
              <w:right w:val="single" w:sz="8" w:space="0" w:color="auto"/>
            </w:tcBorders>
            <w:vAlign w:val="bottom"/>
            <w:hideMark/>
          </w:tcPr>
          <w:p w14:paraId="1AE9FF49"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r>
      <w:tr w:rsidR="00874B4B" w:rsidRPr="00FA433F" w14:paraId="175CD5CA" w14:textId="77777777" w:rsidTr="00874B4B">
        <w:trPr>
          <w:trHeight w:val="285"/>
        </w:trPr>
        <w:tc>
          <w:tcPr>
            <w:tcW w:w="869" w:type="dxa"/>
            <w:vMerge w:val="restart"/>
            <w:tcBorders>
              <w:top w:val="nil"/>
              <w:left w:val="single" w:sz="8" w:space="0" w:color="auto"/>
              <w:bottom w:val="single" w:sz="8" w:space="0" w:color="000000"/>
              <w:right w:val="single" w:sz="4" w:space="0" w:color="auto"/>
            </w:tcBorders>
            <w:vAlign w:val="center"/>
            <w:hideMark/>
          </w:tcPr>
          <w:p w14:paraId="1A61A604" w14:textId="77777777" w:rsidR="00B703E2" w:rsidRPr="00FA433F" w:rsidRDefault="00691CA9">
            <w:pPr>
              <w:spacing w:before="0" w:after="0"/>
              <w:jc w:val="center"/>
              <w:rPr>
                <w:rFonts w:eastAsia="Times New Roman"/>
                <w:noProof/>
                <w:color w:val="000000"/>
                <w:sz w:val="18"/>
                <w:szCs w:val="18"/>
              </w:rPr>
            </w:pPr>
            <w:r w:rsidRPr="00FA433F">
              <w:rPr>
                <w:noProof/>
                <w:color w:val="000000"/>
                <w:sz w:val="18"/>
              </w:rPr>
              <w:t>Procedura zgłaszania kandydatur</w:t>
            </w:r>
          </w:p>
        </w:tc>
        <w:tc>
          <w:tcPr>
            <w:tcW w:w="2356" w:type="dxa"/>
            <w:tcBorders>
              <w:top w:val="nil"/>
              <w:left w:val="nil"/>
              <w:bottom w:val="single" w:sz="4" w:space="0" w:color="auto"/>
              <w:right w:val="single" w:sz="4" w:space="0" w:color="auto"/>
            </w:tcBorders>
            <w:vAlign w:val="bottom"/>
            <w:hideMark/>
          </w:tcPr>
          <w:p w14:paraId="2F2AAC50" w14:textId="3D84BB2A" w:rsidR="00B703E2" w:rsidRPr="00FA433F" w:rsidRDefault="00691CA9">
            <w:pPr>
              <w:spacing w:before="0" w:after="0"/>
              <w:jc w:val="left"/>
              <w:rPr>
                <w:rFonts w:eastAsia="Times New Roman"/>
                <w:noProof/>
                <w:color w:val="000000"/>
                <w:sz w:val="18"/>
                <w:szCs w:val="18"/>
              </w:rPr>
            </w:pPr>
            <w:r w:rsidRPr="00FA433F">
              <w:rPr>
                <w:noProof/>
                <w:color w:val="000000"/>
                <w:sz w:val="18"/>
              </w:rPr>
              <w:t>Opracowanie</w:t>
            </w:r>
            <w:r w:rsidR="00FA433F" w:rsidRPr="00FA433F">
              <w:rPr>
                <w:noProof/>
                <w:color w:val="000000"/>
                <w:sz w:val="18"/>
              </w:rPr>
              <w:t xml:space="preserve"> i</w:t>
            </w:r>
            <w:r w:rsidR="00FA433F">
              <w:rPr>
                <w:noProof/>
                <w:color w:val="000000"/>
                <w:sz w:val="18"/>
              </w:rPr>
              <w:t> </w:t>
            </w:r>
            <w:r w:rsidR="00FA433F" w:rsidRPr="00FA433F">
              <w:rPr>
                <w:noProof/>
                <w:color w:val="000000"/>
                <w:sz w:val="18"/>
              </w:rPr>
              <w:t>prz</w:t>
            </w:r>
            <w:r w:rsidRPr="00FA433F">
              <w:rPr>
                <w:noProof/>
                <w:color w:val="000000"/>
                <w:sz w:val="18"/>
              </w:rPr>
              <w:t>yjęcie aktu wykonawczego</w:t>
            </w:r>
            <w:r w:rsidR="00FA433F" w:rsidRPr="00FA433F">
              <w:rPr>
                <w:noProof/>
                <w:color w:val="000000"/>
                <w:sz w:val="18"/>
              </w:rPr>
              <w:t xml:space="preserve"> w</w:t>
            </w:r>
            <w:r w:rsidR="00FA433F">
              <w:rPr>
                <w:noProof/>
                <w:color w:val="000000"/>
                <w:sz w:val="18"/>
              </w:rPr>
              <w:t> </w:t>
            </w:r>
            <w:r w:rsidR="00FA433F" w:rsidRPr="00FA433F">
              <w:rPr>
                <w:noProof/>
                <w:color w:val="000000"/>
                <w:sz w:val="18"/>
              </w:rPr>
              <w:t>spr</w:t>
            </w:r>
            <w:r w:rsidRPr="00FA433F">
              <w:rPr>
                <w:noProof/>
                <w:color w:val="000000"/>
                <w:sz w:val="18"/>
              </w:rPr>
              <w:t>awie procedury składania wniosków</w:t>
            </w:r>
          </w:p>
        </w:tc>
        <w:tc>
          <w:tcPr>
            <w:tcW w:w="1005" w:type="dxa"/>
            <w:vMerge w:val="restart"/>
            <w:tcBorders>
              <w:top w:val="nil"/>
              <w:left w:val="single" w:sz="4" w:space="0" w:color="auto"/>
              <w:bottom w:val="single" w:sz="8" w:space="0" w:color="000000"/>
              <w:right w:val="single" w:sz="4" w:space="0" w:color="auto"/>
            </w:tcBorders>
            <w:vAlign w:val="bottom"/>
            <w:hideMark/>
          </w:tcPr>
          <w:p w14:paraId="13215022" w14:textId="77777777" w:rsidR="005F7118" w:rsidRPr="00FA433F" w:rsidRDefault="005F7118" w:rsidP="005F7118">
            <w:pPr>
              <w:spacing w:before="0" w:after="0"/>
              <w:jc w:val="center"/>
              <w:rPr>
                <w:rFonts w:eastAsia="Times New Roman"/>
                <w:noProof/>
                <w:color w:val="000000"/>
                <w:sz w:val="18"/>
                <w:szCs w:val="18"/>
              </w:rPr>
            </w:pPr>
            <w:r w:rsidRPr="00FA433F">
              <w:rPr>
                <w:noProof/>
                <w:color w:val="000000"/>
                <w:sz w:val="18"/>
              </w:rPr>
              <w:t>3</w:t>
            </w:r>
          </w:p>
        </w:tc>
        <w:tc>
          <w:tcPr>
            <w:tcW w:w="1005" w:type="dxa"/>
            <w:vMerge w:val="restart"/>
            <w:tcBorders>
              <w:top w:val="nil"/>
              <w:left w:val="single" w:sz="4" w:space="0" w:color="auto"/>
              <w:bottom w:val="single" w:sz="8" w:space="0" w:color="000000"/>
              <w:right w:val="single" w:sz="4" w:space="0" w:color="auto"/>
            </w:tcBorders>
            <w:vAlign w:val="bottom"/>
            <w:hideMark/>
          </w:tcPr>
          <w:p w14:paraId="000BDE61"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3</w:t>
            </w:r>
          </w:p>
        </w:tc>
        <w:tc>
          <w:tcPr>
            <w:tcW w:w="956" w:type="dxa"/>
            <w:vMerge w:val="restart"/>
            <w:tcBorders>
              <w:top w:val="nil"/>
              <w:left w:val="single" w:sz="4" w:space="0" w:color="auto"/>
              <w:bottom w:val="single" w:sz="8" w:space="0" w:color="000000"/>
              <w:right w:val="single" w:sz="4" w:space="0" w:color="auto"/>
            </w:tcBorders>
            <w:vAlign w:val="bottom"/>
            <w:hideMark/>
          </w:tcPr>
          <w:p w14:paraId="625EE14A"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5,5</w:t>
            </w:r>
          </w:p>
        </w:tc>
        <w:tc>
          <w:tcPr>
            <w:tcW w:w="1264" w:type="dxa"/>
            <w:vMerge w:val="restart"/>
            <w:tcBorders>
              <w:top w:val="nil"/>
              <w:left w:val="single" w:sz="4" w:space="0" w:color="auto"/>
              <w:bottom w:val="single" w:sz="8" w:space="0" w:color="000000"/>
              <w:right w:val="single" w:sz="4" w:space="0" w:color="auto"/>
            </w:tcBorders>
            <w:vAlign w:val="bottom"/>
            <w:hideMark/>
          </w:tcPr>
          <w:p w14:paraId="6CF5BA9C"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4</w:t>
            </w:r>
          </w:p>
        </w:tc>
        <w:tc>
          <w:tcPr>
            <w:tcW w:w="1383" w:type="dxa"/>
            <w:vMerge w:val="restart"/>
            <w:tcBorders>
              <w:top w:val="nil"/>
              <w:left w:val="single" w:sz="4" w:space="0" w:color="auto"/>
              <w:bottom w:val="single" w:sz="8" w:space="0" w:color="000000"/>
              <w:right w:val="single" w:sz="8" w:space="0" w:color="auto"/>
            </w:tcBorders>
            <w:vAlign w:val="bottom"/>
            <w:hideMark/>
          </w:tcPr>
          <w:p w14:paraId="2A04DB46"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r>
      <w:tr w:rsidR="00874B4B" w:rsidRPr="00FA433F" w14:paraId="7AE9524B" w14:textId="77777777" w:rsidTr="00874B4B">
        <w:trPr>
          <w:trHeight w:val="570"/>
        </w:trPr>
        <w:tc>
          <w:tcPr>
            <w:tcW w:w="869" w:type="dxa"/>
            <w:vMerge/>
            <w:tcBorders>
              <w:top w:val="nil"/>
              <w:left w:val="single" w:sz="8" w:space="0" w:color="auto"/>
              <w:bottom w:val="single" w:sz="8" w:space="0" w:color="000000"/>
              <w:right w:val="single" w:sz="4" w:space="0" w:color="auto"/>
            </w:tcBorders>
            <w:vAlign w:val="center"/>
            <w:hideMark/>
          </w:tcPr>
          <w:p w14:paraId="5F825330" w14:textId="77777777" w:rsidR="00B703E2" w:rsidRPr="00FA433F" w:rsidRDefault="00B703E2">
            <w:pPr>
              <w:spacing w:before="0" w:after="0"/>
              <w:jc w:val="left"/>
              <w:rPr>
                <w:rFonts w:eastAsia="Times New Roman"/>
                <w:noProof/>
                <w:color w:val="000000"/>
                <w:sz w:val="18"/>
                <w:szCs w:val="18"/>
                <w:lang w:eastAsia="en-IE"/>
              </w:rPr>
            </w:pPr>
          </w:p>
        </w:tc>
        <w:tc>
          <w:tcPr>
            <w:tcW w:w="2356" w:type="dxa"/>
            <w:tcBorders>
              <w:top w:val="nil"/>
              <w:left w:val="nil"/>
              <w:bottom w:val="single" w:sz="4" w:space="0" w:color="auto"/>
              <w:right w:val="single" w:sz="4" w:space="0" w:color="auto"/>
            </w:tcBorders>
            <w:vAlign w:val="bottom"/>
            <w:hideMark/>
          </w:tcPr>
          <w:p w14:paraId="25BE4A1B" w14:textId="5757E75C" w:rsidR="00B703E2" w:rsidRPr="00FA433F" w:rsidRDefault="00691CA9">
            <w:pPr>
              <w:spacing w:before="0" w:after="0"/>
              <w:jc w:val="left"/>
              <w:rPr>
                <w:rFonts w:eastAsia="Times New Roman"/>
                <w:noProof/>
                <w:color w:val="000000"/>
                <w:sz w:val="18"/>
                <w:szCs w:val="18"/>
              </w:rPr>
            </w:pPr>
            <w:r w:rsidRPr="00FA433F">
              <w:rPr>
                <w:noProof/>
                <w:color w:val="000000"/>
                <w:sz w:val="18"/>
              </w:rPr>
              <w:t>Opracowanie aktu wykonawczego</w:t>
            </w:r>
            <w:r w:rsidR="00FA433F" w:rsidRPr="00FA433F">
              <w:rPr>
                <w:noProof/>
                <w:color w:val="000000"/>
                <w:sz w:val="18"/>
              </w:rPr>
              <w:t xml:space="preserve"> w</w:t>
            </w:r>
            <w:r w:rsidR="00FA433F">
              <w:rPr>
                <w:noProof/>
                <w:color w:val="000000"/>
                <w:sz w:val="18"/>
              </w:rPr>
              <w:t> </w:t>
            </w:r>
            <w:r w:rsidR="00FA433F" w:rsidRPr="00FA433F">
              <w:rPr>
                <w:noProof/>
                <w:color w:val="000000"/>
                <w:sz w:val="18"/>
              </w:rPr>
              <w:t>cel</w:t>
            </w:r>
            <w:r w:rsidRPr="00FA433F">
              <w:rPr>
                <w:noProof/>
                <w:color w:val="000000"/>
                <w:sz w:val="18"/>
              </w:rPr>
              <w:t>u zmiany rozporządzeń</w:t>
            </w:r>
            <w:r w:rsidR="00FA433F" w:rsidRPr="00FA433F">
              <w:rPr>
                <w:noProof/>
                <w:color w:val="000000"/>
                <w:sz w:val="18"/>
              </w:rPr>
              <w:t xml:space="preserve"> w</w:t>
            </w:r>
            <w:r w:rsidR="00FA433F">
              <w:rPr>
                <w:noProof/>
                <w:color w:val="000000"/>
                <w:sz w:val="18"/>
              </w:rPr>
              <w:t> </w:t>
            </w:r>
            <w:r w:rsidR="00FA433F" w:rsidRPr="00FA433F">
              <w:rPr>
                <w:noProof/>
                <w:color w:val="000000"/>
                <w:sz w:val="18"/>
              </w:rPr>
              <w:t>spr</w:t>
            </w:r>
            <w:r w:rsidRPr="00FA433F">
              <w:rPr>
                <w:noProof/>
                <w:color w:val="000000"/>
                <w:sz w:val="18"/>
              </w:rPr>
              <w:t>awie zmian poziomu działalności/akredytacji</w:t>
            </w:r>
            <w:r w:rsidR="00FA433F" w:rsidRPr="00FA433F">
              <w:rPr>
                <w:noProof/>
                <w:color w:val="000000"/>
                <w:sz w:val="18"/>
              </w:rPr>
              <w:t xml:space="preserve"> i</w:t>
            </w:r>
            <w:r w:rsidR="00FA433F">
              <w:rPr>
                <w:noProof/>
                <w:color w:val="000000"/>
                <w:sz w:val="18"/>
              </w:rPr>
              <w:t> </w:t>
            </w:r>
            <w:r w:rsidR="00FA433F" w:rsidRPr="00FA433F">
              <w:rPr>
                <w:noProof/>
                <w:color w:val="000000"/>
                <w:sz w:val="18"/>
              </w:rPr>
              <w:t>wer</w:t>
            </w:r>
            <w:r w:rsidRPr="00FA433F">
              <w:rPr>
                <w:noProof/>
                <w:color w:val="000000"/>
                <w:sz w:val="18"/>
              </w:rPr>
              <w:t>yfikacji (ALC/AVR) (przepisy dotyczące planu metodyki monitorowania [MMP], dalszy podział na podinstalacje, ewentualnie kwestie systemu kontroli oraz luk</w:t>
            </w:r>
            <w:r w:rsidR="00FA433F" w:rsidRPr="00FA433F">
              <w:rPr>
                <w:noProof/>
                <w:color w:val="000000"/>
                <w:sz w:val="18"/>
              </w:rPr>
              <w:t xml:space="preserve"> w</w:t>
            </w:r>
            <w:r w:rsidR="00FA433F">
              <w:rPr>
                <w:noProof/>
                <w:color w:val="000000"/>
                <w:sz w:val="18"/>
              </w:rPr>
              <w:t> </w:t>
            </w:r>
            <w:r w:rsidR="00FA433F" w:rsidRPr="00FA433F">
              <w:rPr>
                <w:noProof/>
                <w:color w:val="000000"/>
                <w:sz w:val="18"/>
              </w:rPr>
              <w:t>dan</w:t>
            </w:r>
            <w:r w:rsidRPr="00FA433F">
              <w:rPr>
                <w:noProof/>
                <w:color w:val="000000"/>
                <w:sz w:val="18"/>
              </w:rPr>
              <w:t>ych)</w:t>
            </w:r>
          </w:p>
        </w:tc>
        <w:tc>
          <w:tcPr>
            <w:tcW w:w="1005" w:type="dxa"/>
            <w:vMerge/>
            <w:tcBorders>
              <w:top w:val="nil"/>
              <w:left w:val="single" w:sz="4" w:space="0" w:color="auto"/>
              <w:bottom w:val="single" w:sz="8" w:space="0" w:color="000000"/>
              <w:right w:val="single" w:sz="4" w:space="0" w:color="auto"/>
            </w:tcBorders>
            <w:vAlign w:val="center"/>
            <w:hideMark/>
          </w:tcPr>
          <w:p w14:paraId="102DB658" w14:textId="77777777" w:rsidR="00B703E2" w:rsidRPr="00FA433F" w:rsidRDefault="00B703E2">
            <w:pPr>
              <w:spacing w:before="0" w:after="0"/>
              <w:jc w:val="left"/>
              <w:rPr>
                <w:rFonts w:eastAsia="Times New Roman"/>
                <w:noProof/>
                <w:color w:val="000000"/>
                <w:sz w:val="18"/>
                <w:szCs w:val="18"/>
                <w:lang w:eastAsia="en-IE"/>
              </w:rPr>
            </w:pPr>
          </w:p>
        </w:tc>
        <w:tc>
          <w:tcPr>
            <w:tcW w:w="1005" w:type="dxa"/>
            <w:vMerge/>
            <w:tcBorders>
              <w:top w:val="nil"/>
              <w:left w:val="single" w:sz="4" w:space="0" w:color="auto"/>
              <w:bottom w:val="single" w:sz="8" w:space="0" w:color="000000"/>
              <w:right w:val="single" w:sz="4" w:space="0" w:color="auto"/>
            </w:tcBorders>
            <w:vAlign w:val="center"/>
            <w:hideMark/>
          </w:tcPr>
          <w:p w14:paraId="44B8FADA" w14:textId="77777777" w:rsidR="00B703E2" w:rsidRPr="00FA433F" w:rsidRDefault="00B703E2">
            <w:pPr>
              <w:spacing w:before="0" w:after="0"/>
              <w:jc w:val="left"/>
              <w:rPr>
                <w:rFonts w:eastAsia="Times New Roman"/>
                <w:noProof/>
                <w:color w:val="000000"/>
                <w:sz w:val="18"/>
                <w:szCs w:val="18"/>
                <w:lang w:eastAsia="en-IE"/>
              </w:rPr>
            </w:pPr>
          </w:p>
        </w:tc>
        <w:tc>
          <w:tcPr>
            <w:tcW w:w="956" w:type="dxa"/>
            <w:vMerge/>
            <w:tcBorders>
              <w:top w:val="nil"/>
              <w:left w:val="single" w:sz="4" w:space="0" w:color="auto"/>
              <w:bottom w:val="single" w:sz="8" w:space="0" w:color="000000"/>
              <w:right w:val="single" w:sz="4" w:space="0" w:color="auto"/>
            </w:tcBorders>
            <w:vAlign w:val="center"/>
            <w:hideMark/>
          </w:tcPr>
          <w:p w14:paraId="077C4F78" w14:textId="77777777" w:rsidR="00B703E2" w:rsidRPr="00FA433F" w:rsidRDefault="00B703E2">
            <w:pPr>
              <w:spacing w:before="0" w:after="0"/>
              <w:jc w:val="left"/>
              <w:rPr>
                <w:rFonts w:eastAsia="Times New Roman"/>
                <w:noProof/>
                <w:color w:val="000000"/>
                <w:sz w:val="18"/>
                <w:szCs w:val="18"/>
                <w:lang w:eastAsia="en-IE"/>
              </w:rPr>
            </w:pPr>
          </w:p>
        </w:tc>
        <w:tc>
          <w:tcPr>
            <w:tcW w:w="1264" w:type="dxa"/>
            <w:vMerge/>
            <w:tcBorders>
              <w:top w:val="nil"/>
              <w:left w:val="single" w:sz="4" w:space="0" w:color="auto"/>
              <w:bottom w:val="single" w:sz="8" w:space="0" w:color="000000"/>
              <w:right w:val="single" w:sz="4" w:space="0" w:color="auto"/>
            </w:tcBorders>
            <w:vAlign w:val="center"/>
            <w:hideMark/>
          </w:tcPr>
          <w:p w14:paraId="47017301" w14:textId="77777777" w:rsidR="00B703E2" w:rsidRPr="00FA433F" w:rsidRDefault="00B703E2">
            <w:pPr>
              <w:spacing w:before="0" w:after="0"/>
              <w:jc w:val="left"/>
              <w:rPr>
                <w:rFonts w:eastAsia="Times New Roman"/>
                <w:noProof/>
                <w:color w:val="000000"/>
                <w:sz w:val="18"/>
                <w:szCs w:val="18"/>
                <w:lang w:eastAsia="en-IE"/>
              </w:rPr>
            </w:pPr>
          </w:p>
        </w:tc>
        <w:tc>
          <w:tcPr>
            <w:tcW w:w="1383" w:type="dxa"/>
            <w:vMerge/>
            <w:tcBorders>
              <w:top w:val="nil"/>
              <w:left w:val="single" w:sz="4" w:space="0" w:color="auto"/>
              <w:bottom w:val="single" w:sz="8" w:space="0" w:color="000000"/>
              <w:right w:val="single" w:sz="8" w:space="0" w:color="auto"/>
            </w:tcBorders>
            <w:vAlign w:val="center"/>
            <w:hideMark/>
          </w:tcPr>
          <w:p w14:paraId="1DA5C0FC" w14:textId="77777777" w:rsidR="00B703E2" w:rsidRPr="00FA433F" w:rsidRDefault="00B703E2">
            <w:pPr>
              <w:spacing w:before="0" w:after="0"/>
              <w:jc w:val="left"/>
              <w:rPr>
                <w:rFonts w:eastAsia="Times New Roman"/>
                <w:noProof/>
                <w:color w:val="000000"/>
                <w:sz w:val="18"/>
                <w:szCs w:val="18"/>
                <w:lang w:eastAsia="en-IE"/>
              </w:rPr>
            </w:pPr>
          </w:p>
        </w:tc>
      </w:tr>
      <w:tr w:rsidR="00874B4B" w:rsidRPr="00FA433F" w14:paraId="03BB5CA9" w14:textId="77777777" w:rsidTr="00874B4B">
        <w:trPr>
          <w:trHeight w:val="570"/>
        </w:trPr>
        <w:tc>
          <w:tcPr>
            <w:tcW w:w="869" w:type="dxa"/>
            <w:vMerge/>
            <w:tcBorders>
              <w:top w:val="nil"/>
              <w:left w:val="single" w:sz="8" w:space="0" w:color="auto"/>
              <w:bottom w:val="single" w:sz="8" w:space="0" w:color="000000"/>
              <w:right w:val="single" w:sz="4" w:space="0" w:color="auto"/>
            </w:tcBorders>
            <w:vAlign w:val="center"/>
            <w:hideMark/>
          </w:tcPr>
          <w:p w14:paraId="640703C6" w14:textId="77777777" w:rsidR="00B703E2" w:rsidRPr="00FA433F" w:rsidRDefault="00B703E2">
            <w:pPr>
              <w:spacing w:before="0" w:after="0"/>
              <w:jc w:val="left"/>
              <w:rPr>
                <w:rFonts w:eastAsia="Times New Roman"/>
                <w:noProof/>
                <w:color w:val="000000"/>
                <w:sz w:val="18"/>
                <w:szCs w:val="18"/>
                <w:lang w:eastAsia="en-IE"/>
              </w:rPr>
            </w:pPr>
          </w:p>
        </w:tc>
        <w:tc>
          <w:tcPr>
            <w:tcW w:w="2356" w:type="dxa"/>
            <w:tcBorders>
              <w:top w:val="nil"/>
              <w:left w:val="nil"/>
              <w:bottom w:val="single" w:sz="4" w:space="0" w:color="auto"/>
              <w:right w:val="single" w:sz="4" w:space="0" w:color="auto"/>
            </w:tcBorders>
            <w:vAlign w:val="bottom"/>
            <w:hideMark/>
          </w:tcPr>
          <w:p w14:paraId="7C28BEEF" w14:textId="67C45D0C" w:rsidR="00B703E2" w:rsidRPr="00FA433F" w:rsidRDefault="00691CA9">
            <w:pPr>
              <w:spacing w:before="0" w:after="0"/>
              <w:jc w:val="left"/>
              <w:rPr>
                <w:rFonts w:eastAsia="Times New Roman"/>
                <w:noProof/>
                <w:color w:val="000000"/>
                <w:sz w:val="18"/>
                <w:szCs w:val="18"/>
              </w:rPr>
            </w:pPr>
            <w:r w:rsidRPr="00FA433F">
              <w:rPr>
                <w:noProof/>
                <w:color w:val="000000"/>
                <w:sz w:val="18"/>
              </w:rPr>
              <w:t>Opracowanie wytycznych dotyczących procedury składania wniosków/wymogów</w:t>
            </w:r>
            <w:r w:rsidR="00FA433F" w:rsidRPr="00FA433F">
              <w:rPr>
                <w:noProof/>
                <w:color w:val="000000"/>
                <w:sz w:val="18"/>
              </w:rPr>
              <w:t xml:space="preserve"> w</w:t>
            </w:r>
            <w:r w:rsidR="00FA433F">
              <w:rPr>
                <w:noProof/>
                <w:color w:val="000000"/>
                <w:sz w:val="18"/>
              </w:rPr>
              <w:t> </w:t>
            </w:r>
            <w:r w:rsidR="00FA433F" w:rsidRPr="00FA433F">
              <w:rPr>
                <w:noProof/>
                <w:color w:val="000000"/>
                <w:sz w:val="18"/>
              </w:rPr>
              <w:t>zak</w:t>
            </w:r>
            <w:r w:rsidRPr="00FA433F">
              <w:rPr>
                <w:noProof/>
                <w:color w:val="000000"/>
                <w:sz w:val="18"/>
              </w:rPr>
              <w:t>resie warunkowości</w:t>
            </w:r>
          </w:p>
        </w:tc>
        <w:tc>
          <w:tcPr>
            <w:tcW w:w="1005" w:type="dxa"/>
            <w:vMerge/>
            <w:tcBorders>
              <w:top w:val="nil"/>
              <w:left w:val="single" w:sz="4" w:space="0" w:color="auto"/>
              <w:bottom w:val="single" w:sz="8" w:space="0" w:color="000000"/>
              <w:right w:val="single" w:sz="4" w:space="0" w:color="auto"/>
            </w:tcBorders>
            <w:vAlign w:val="center"/>
            <w:hideMark/>
          </w:tcPr>
          <w:p w14:paraId="4231C844" w14:textId="77777777" w:rsidR="00B703E2" w:rsidRPr="00FA433F" w:rsidRDefault="00B703E2">
            <w:pPr>
              <w:spacing w:before="0" w:after="0"/>
              <w:jc w:val="left"/>
              <w:rPr>
                <w:rFonts w:eastAsia="Times New Roman"/>
                <w:noProof/>
                <w:color w:val="000000"/>
                <w:sz w:val="18"/>
                <w:szCs w:val="18"/>
                <w:lang w:eastAsia="en-IE"/>
              </w:rPr>
            </w:pPr>
          </w:p>
        </w:tc>
        <w:tc>
          <w:tcPr>
            <w:tcW w:w="1005" w:type="dxa"/>
            <w:vMerge/>
            <w:tcBorders>
              <w:top w:val="nil"/>
              <w:left w:val="single" w:sz="4" w:space="0" w:color="auto"/>
              <w:bottom w:val="single" w:sz="8" w:space="0" w:color="000000"/>
              <w:right w:val="single" w:sz="4" w:space="0" w:color="auto"/>
            </w:tcBorders>
            <w:vAlign w:val="center"/>
            <w:hideMark/>
          </w:tcPr>
          <w:p w14:paraId="0ADCB2D8" w14:textId="77777777" w:rsidR="00B703E2" w:rsidRPr="00FA433F" w:rsidRDefault="00B703E2">
            <w:pPr>
              <w:spacing w:before="0" w:after="0"/>
              <w:jc w:val="left"/>
              <w:rPr>
                <w:rFonts w:eastAsia="Times New Roman"/>
                <w:noProof/>
                <w:color w:val="000000"/>
                <w:sz w:val="18"/>
                <w:szCs w:val="18"/>
                <w:lang w:eastAsia="en-IE"/>
              </w:rPr>
            </w:pPr>
          </w:p>
        </w:tc>
        <w:tc>
          <w:tcPr>
            <w:tcW w:w="956" w:type="dxa"/>
            <w:vMerge/>
            <w:tcBorders>
              <w:top w:val="nil"/>
              <w:left w:val="single" w:sz="4" w:space="0" w:color="auto"/>
              <w:bottom w:val="single" w:sz="8" w:space="0" w:color="000000"/>
              <w:right w:val="single" w:sz="4" w:space="0" w:color="auto"/>
            </w:tcBorders>
            <w:vAlign w:val="center"/>
            <w:hideMark/>
          </w:tcPr>
          <w:p w14:paraId="4FC5CFA6" w14:textId="77777777" w:rsidR="00B703E2" w:rsidRPr="00FA433F" w:rsidRDefault="00B703E2">
            <w:pPr>
              <w:spacing w:before="0" w:after="0"/>
              <w:jc w:val="left"/>
              <w:rPr>
                <w:rFonts w:eastAsia="Times New Roman"/>
                <w:noProof/>
                <w:color w:val="000000"/>
                <w:sz w:val="18"/>
                <w:szCs w:val="18"/>
                <w:lang w:eastAsia="en-IE"/>
              </w:rPr>
            </w:pPr>
          </w:p>
        </w:tc>
        <w:tc>
          <w:tcPr>
            <w:tcW w:w="1264" w:type="dxa"/>
            <w:vMerge/>
            <w:tcBorders>
              <w:top w:val="nil"/>
              <w:left w:val="single" w:sz="4" w:space="0" w:color="auto"/>
              <w:bottom w:val="single" w:sz="8" w:space="0" w:color="000000"/>
              <w:right w:val="single" w:sz="4" w:space="0" w:color="auto"/>
            </w:tcBorders>
            <w:vAlign w:val="center"/>
            <w:hideMark/>
          </w:tcPr>
          <w:p w14:paraId="72BC0292" w14:textId="77777777" w:rsidR="00B703E2" w:rsidRPr="00FA433F" w:rsidRDefault="00B703E2">
            <w:pPr>
              <w:spacing w:before="0" w:after="0"/>
              <w:jc w:val="left"/>
              <w:rPr>
                <w:rFonts w:eastAsia="Times New Roman"/>
                <w:noProof/>
                <w:color w:val="000000"/>
                <w:sz w:val="18"/>
                <w:szCs w:val="18"/>
                <w:lang w:eastAsia="en-IE"/>
              </w:rPr>
            </w:pPr>
          </w:p>
        </w:tc>
        <w:tc>
          <w:tcPr>
            <w:tcW w:w="1383" w:type="dxa"/>
            <w:vMerge/>
            <w:tcBorders>
              <w:top w:val="nil"/>
              <w:left w:val="single" w:sz="4" w:space="0" w:color="auto"/>
              <w:bottom w:val="single" w:sz="8" w:space="0" w:color="000000"/>
              <w:right w:val="single" w:sz="8" w:space="0" w:color="auto"/>
            </w:tcBorders>
            <w:vAlign w:val="center"/>
            <w:hideMark/>
          </w:tcPr>
          <w:p w14:paraId="31BB9121" w14:textId="77777777" w:rsidR="00B703E2" w:rsidRPr="00FA433F" w:rsidRDefault="00B703E2">
            <w:pPr>
              <w:spacing w:before="0" w:after="0"/>
              <w:jc w:val="left"/>
              <w:rPr>
                <w:rFonts w:eastAsia="Times New Roman"/>
                <w:noProof/>
                <w:color w:val="000000"/>
                <w:sz w:val="18"/>
                <w:szCs w:val="18"/>
                <w:lang w:eastAsia="en-IE"/>
              </w:rPr>
            </w:pPr>
          </w:p>
        </w:tc>
      </w:tr>
      <w:tr w:rsidR="00874B4B" w:rsidRPr="00FA433F" w14:paraId="5A271DC4" w14:textId="77777777" w:rsidTr="00874B4B">
        <w:trPr>
          <w:trHeight w:val="285"/>
        </w:trPr>
        <w:tc>
          <w:tcPr>
            <w:tcW w:w="869" w:type="dxa"/>
            <w:vMerge/>
            <w:tcBorders>
              <w:top w:val="nil"/>
              <w:left w:val="single" w:sz="8" w:space="0" w:color="auto"/>
              <w:bottom w:val="single" w:sz="8" w:space="0" w:color="000000"/>
              <w:right w:val="single" w:sz="4" w:space="0" w:color="auto"/>
            </w:tcBorders>
            <w:vAlign w:val="center"/>
            <w:hideMark/>
          </w:tcPr>
          <w:p w14:paraId="45DE5F50" w14:textId="77777777" w:rsidR="00B703E2" w:rsidRPr="00FA433F" w:rsidRDefault="00B703E2">
            <w:pPr>
              <w:spacing w:before="0" w:after="0"/>
              <w:jc w:val="left"/>
              <w:rPr>
                <w:rFonts w:eastAsia="Times New Roman"/>
                <w:noProof/>
                <w:color w:val="000000"/>
                <w:sz w:val="18"/>
                <w:szCs w:val="18"/>
                <w:lang w:eastAsia="en-IE"/>
              </w:rPr>
            </w:pPr>
          </w:p>
        </w:tc>
        <w:tc>
          <w:tcPr>
            <w:tcW w:w="2356" w:type="dxa"/>
            <w:tcBorders>
              <w:top w:val="nil"/>
              <w:left w:val="nil"/>
              <w:bottom w:val="single" w:sz="4" w:space="0" w:color="auto"/>
              <w:right w:val="single" w:sz="4" w:space="0" w:color="auto"/>
            </w:tcBorders>
            <w:vAlign w:val="bottom"/>
            <w:hideMark/>
          </w:tcPr>
          <w:p w14:paraId="7EFB686F" w14:textId="77777777" w:rsidR="00B703E2" w:rsidRPr="00FA433F" w:rsidRDefault="00691CA9">
            <w:pPr>
              <w:spacing w:before="0" w:after="0"/>
              <w:jc w:val="left"/>
              <w:rPr>
                <w:rFonts w:eastAsia="Times New Roman"/>
                <w:noProof/>
                <w:color w:val="000000"/>
                <w:sz w:val="18"/>
                <w:szCs w:val="18"/>
              </w:rPr>
            </w:pPr>
            <w:r w:rsidRPr="00FA433F">
              <w:rPr>
                <w:noProof/>
                <w:color w:val="000000"/>
                <w:sz w:val="18"/>
              </w:rPr>
              <w:t>Zmiana odpowiednich wytycznych dotyczących ALC/AVR</w:t>
            </w:r>
          </w:p>
        </w:tc>
        <w:tc>
          <w:tcPr>
            <w:tcW w:w="1005" w:type="dxa"/>
            <w:vMerge/>
            <w:tcBorders>
              <w:top w:val="nil"/>
              <w:left w:val="single" w:sz="4" w:space="0" w:color="auto"/>
              <w:bottom w:val="single" w:sz="8" w:space="0" w:color="000000"/>
              <w:right w:val="single" w:sz="4" w:space="0" w:color="auto"/>
            </w:tcBorders>
            <w:vAlign w:val="center"/>
            <w:hideMark/>
          </w:tcPr>
          <w:p w14:paraId="0DE26B81" w14:textId="77777777" w:rsidR="00B703E2" w:rsidRPr="00FA433F" w:rsidRDefault="00B703E2">
            <w:pPr>
              <w:spacing w:before="0" w:after="0"/>
              <w:jc w:val="left"/>
              <w:rPr>
                <w:rFonts w:eastAsia="Times New Roman"/>
                <w:noProof/>
                <w:color w:val="000000"/>
                <w:sz w:val="18"/>
                <w:szCs w:val="18"/>
                <w:lang w:eastAsia="en-IE"/>
              </w:rPr>
            </w:pPr>
          </w:p>
        </w:tc>
        <w:tc>
          <w:tcPr>
            <w:tcW w:w="1005" w:type="dxa"/>
            <w:vMerge/>
            <w:tcBorders>
              <w:top w:val="nil"/>
              <w:left w:val="single" w:sz="4" w:space="0" w:color="auto"/>
              <w:bottom w:val="single" w:sz="8" w:space="0" w:color="000000"/>
              <w:right w:val="single" w:sz="4" w:space="0" w:color="auto"/>
            </w:tcBorders>
            <w:vAlign w:val="center"/>
            <w:hideMark/>
          </w:tcPr>
          <w:p w14:paraId="4242ED09" w14:textId="77777777" w:rsidR="00B703E2" w:rsidRPr="00FA433F" w:rsidRDefault="00B703E2">
            <w:pPr>
              <w:spacing w:before="0" w:after="0"/>
              <w:jc w:val="left"/>
              <w:rPr>
                <w:rFonts w:eastAsia="Times New Roman"/>
                <w:noProof/>
                <w:color w:val="000000"/>
                <w:sz w:val="18"/>
                <w:szCs w:val="18"/>
                <w:lang w:eastAsia="en-IE"/>
              </w:rPr>
            </w:pPr>
          </w:p>
        </w:tc>
        <w:tc>
          <w:tcPr>
            <w:tcW w:w="956" w:type="dxa"/>
            <w:vMerge/>
            <w:tcBorders>
              <w:top w:val="nil"/>
              <w:left w:val="single" w:sz="4" w:space="0" w:color="auto"/>
              <w:bottom w:val="single" w:sz="8" w:space="0" w:color="000000"/>
              <w:right w:val="single" w:sz="4" w:space="0" w:color="auto"/>
            </w:tcBorders>
            <w:vAlign w:val="center"/>
            <w:hideMark/>
          </w:tcPr>
          <w:p w14:paraId="1C8C3C73" w14:textId="77777777" w:rsidR="00B703E2" w:rsidRPr="00FA433F" w:rsidRDefault="00B703E2">
            <w:pPr>
              <w:spacing w:before="0" w:after="0"/>
              <w:jc w:val="left"/>
              <w:rPr>
                <w:rFonts w:eastAsia="Times New Roman"/>
                <w:noProof/>
                <w:color w:val="000000"/>
                <w:sz w:val="18"/>
                <w:szCs w:val="18"/>
                <w:lang w:eastAsia="en-IE"/>
              </w:rPr>
            </w:pPr>
          </w:p>
        </w:tc>
        <w:tc>
          <w:tcPr>
            <w:tcW w:w="1264" w:type="dxa"/>
            <w:vMerge/>
            <w:tcBorders>
              <w:top w:val="nil"/>
              <w:left w:val="single" w:sz="4" w:space="0" w:color="auto"/>
              <w:bottom w:val="single" w:sz="8" w:space="0" w:color="000000"/>
              <w:right w:val="single" w:sz="4" w:space="0" w:color="auto"/>
            </w:tcBorders>
            <w:vAlign w:val="center"/>
            <w:hideMark/>
          </w:tcPr>
          <w:p w14:paraId="4AF7DADF" w14:textId="77777777" w:rsidR="00B703E2" w:rsidRPr="00FA433F" w:rsidRDefault="00B703E2">
            <w:pPr>
              <w:spacing w:before="0" w:after="0"/>
              <w:jc w:val="left"/>
              <w:rPr>
                <w:rFonts w:eastAsia="Times New Roman"/>
                <w:noProof/>
                <w:color w:val="000000"/>
                <w:sz w:val="18"/>
                <w:szCs w:val="18"/>
                <w:lang w:eastAsia="en-IE"/>
              </w:rPr>
            </w:pPr>
          </w:p>
        </w:tc>
        <w:tc>
          <w:tcPr>
            <w:tcW w:w="1383" w:type="dxa"/>
            <w:vMerge/>
            <w:tcBorders>
              <w:top w:val="nil"/>
              <w:left w:val="single" w:sz="4" w:space="0" w:color="auto"/>
              <w:bottom w:val="single" w:sz="8" w:space="0" w:color="000000"/>
              <w:right w:val="single" w:sz="8" w:space="0" w:color="auto"/>
            </w:tcBorders>
            <w:vAlign w:val="center"/>
            <w:hideMark/>
          </w:tcPr>
          <w:p w14:paraId="219487B6" w14:textId="77777777" w:rsidR="00B703E2" w:rsidRPr="00FA433F" w:rsidRDefault="00B703E2">
            <w:pPr>
              <w:spacing w:before="0" w:after="0"/>
              <w:jc w:val="left"/>
              <w:rPr>
                <w:rFonts w:eastAsia="Times New Roman"/>
                <w:noProof/>
                <w:color w:val="000000"/>
                <w:sz w:val="18"/>
                <w:szCs w:val="18"/>
                <w:lang w:eastAsia="en-IE"/>
              </w:rPr>
            </w:pPr>
          </w:p>
        </w:tc>
      </w:tr>
      <w:tr w:rsidR="00874B4B" w:rsidRPr="00FA433F" w14:paraId="073A8418" w14:textId="77777777" w:rsidTr="00874B4B">
        <w:trPr>
          <w:trHeight w:val="870"/>
        </w:trPr>
        <w:tc>
          <w:tcPr>
            <w:tcW w:w="869" w:type="dxa"/>
            <w:vMerge/>
            <w:tcBorders>
              <w:top w:val="nil"/>
              <w:left w:val="single" w:sz="8" w:space="0" w:color="auto"/>
              <w:bottom w:val="single" w:sz="8" w:space="0" w:color="000000"/>
              <w:right w:val="single" w:sz="4" w:space="0" w:color="auto"/>
            </w:tcBorders>
            <w:vAlign w:val="center"/>
            <w:hideMark/>
          </w:tcPr>
          <w:p w14:paraId="29ADE170" w14:textId="77777777" w:rsidR="00B703E2" w:rsidRPr="00FA433F" w:rsidRDefault="00B703E2">
            <w:pPr>
              <w:spacing w:before="0" w:after="0"/>
              <w:jc w:val="left"/>
              <w:rPr>
                <w:rFonts w:eastAsia="Times New Roman"/>
                <w:noProof/>
                <w:color w:val="000000"/>
                <w:sz w:val="18"/>
                <w:szCs w:val="18"/>
                <w:lang w:eastAsia="en-IE"/>
              </w:rPr>
            </w:pPr>
          </w:p>
        </w:tc>
        <w:tc>
          <w:tcPr>
            <w:tcW w:w="2356" w:type="dxa"/>
            <w:tcBorders>
              <w:top w:val="nil"/>
              <w:left w:val="nil"/>
              <w:bottom w:val="single" w:sz="8" w:space="0" w:color="auto"/>
              <w:right w:val="single" w:sz="4" w:space="0" w:color="auto"/>
            </w:tcBorders>
            <w:vAlign w:val="bottom"/>
            <w:hideMark/>
          </w:tcPr>
          <w:p w14:paraId="0EAE5B7C" w14:textId="50569E12" w:rsidR="00B703E2" w:rsidRPr="00FA433F" w:rsidRDefault="00691CA9">
            <w:pPr>
              <w:spacing w:before="0" w:after="0"/>
              <w:jc w:val="left"/>
              <w:rPr>
                <w:rFonts w:eastAsia="Times New Roman"/>
                <w:noProof/>
                <w:color w:val="000000"/>
                <w:sz w:val="18"/>
                <w:szCs w:val="18"/>
              </w:rPr>
            </w:pPr>
            <w:r w:rsidRPr="00FA433F">
              <w:rPr>
                <w:noProof/>
                <w:color w:val="000000"/>
                <w:sz w:val="18"/>
              </w:rPr>
              <w:t>Przegląd obliczeń dokonanych przez właściwe organy; ocena włączenia każdego operatora</w:t>
            </w:r>
            <w:r w:rsidR="00FA433F" w:rsidRPr="00FA433F">
              <w:rPr>
                <w:noProof/>
                <w:color w:val="000000"/>
                <w:sz w:val="18"/>
              </w:rPr>
              <w:t xml:space="preserve"> i</w:t>
            </w:r>
            <w:r w:rsidR="00FA433F">
              <w:rPr>
                <w:noProof/>
                <w:color w:val="000000"/>
                <w:sz w:val="18"/>
              </w:rPr>
              <w:t> </w:t>
            </w:r>
            <w:r w:rsidR="00FA433F" w:rsidRPr="00FA433F">
              <w:rPr>
                <w:noProof/>
                <w:color w:val="000000"/>
                <w:sz w:val="18"/>
              </w:rPr>
              <w:t>każ</w:t>
            </w:r>
            <w:r w:rsidRPr="00FA433F">
              <w:rPr>
                <w:noProof/>
                <w:color w:val="000000"/>
                <w:sz w:val="18"/>
              </w:rPr>
              <w:t xml:space="preserve">dej instalacji do wykazu dostarczonego przez właściwy organ </w:t>
            </w:r>
            <w:r w:rsidRPr="00FA433F">
              <w:rPr>
                <w:noProof/>
                <w:color w:val="000000"/>
                <w:sz w:val="18"/>
              </w:rPr>
              <w:lastRenderedPageBreak/>
              <w:t>oraz związanych</w:t>
            </w:r>
            <w:r w:rsidR="00FA433F" w:rsidRPr="00FA433F">
              <w:rPr>
                <w:noProof/>
                <w:color w:val="000000"/>
                <w:sz w:val="18"/>
              </w:rPr>
              <w:t xml:space="preserve"> z</w:t>
            </w:r>
            <w:r w:rsidR="00FA433F">
              <w:rPr>
                <w:noProof/>
                <w:color w:val="000000"/>
                <w:sz w:val="18"/>
              </w:rPr>
              <w:t> </w:t>
            </w:r>
            <w:r w:rsidR="00FA433F" w:rsidRPr="00FA433F">
              <w:rPr>
                <w:noProof/>
                <w:color w:val="000000"/>
                <w:sz w:val="18"/>
              </w:rPr>
              <w:t>tym</w:t>
            </w:r>
            <w:r w:rsidRPr="00FA433F">
              <w:rPr>
                <w:noProof/>
                <w:color w:val="000000"/>
                <w:sz w:val="18"/>
              </w:rPr>
              <w:t xml:space="preserve"> przekazanych danych, przyjęcie decyzji</w:t>
            </w:r>
            <w:r w:rsidR="00FA433F" w:rsidRPr="00FA433F">
              <w:rPr>
                <w:noProof/>
                <w:color w:val="000000"/>
                <w:sz w:val="18"/>
              </w:rPr>
              <w:t xml:space="preserve"> w</w:t>
            </w:r>
            <w:r w:rsidR="00FA433F">
              <w:rPr>
                <w:noProof/>
                <w:color w:val="000000"/>
                <w:sz w:val="18"/>
              </w:rPr>
              <w:t> </w:t>
            </w:r>
            <w:r w:rsidR="00FA433F" w:rsidRPr="00FA433F">
              <w:rPr>
                <w:noProof/>
                <w:color w:val="000000"/>
                <w:sz w:val="18"/>
              </w:rPr>
              <w:t>spr</w:t>
            </w:r>
            <w:r w:rsidRPr="00FA433F">
              <w:rPr>
                <w:noProof/>
                <w:color w:val="000000"/>
                <w:sz w:val="18"/>
              </w:rPr>
              <w:t>awie wsparcia</w:t>
            </w:r>
          </w:p>
        </w:tc>
        <w:tc>
          <w:tcPr>
            <w:tcW w:w="1005" w:type="dxa"/>
            <w:vMerge/>
            <w:tcBorders>
              <w:top w:val="nil"/>
              <w:left w:val="single" w:sz="4" w:space="0" w:color="auto"/>
              <w:bottom w:val="single" w:sz="8" w:space="0" w:color="000000"/>
              <w:right w:val="single" w:sz="4" w:space="0" w:color="auto"/>
            </w:tcBorders>
            <w:vAlign w:val="center"/>
            <w:hideMark/>
          </w:tcPr>
          <w:p w14:paraId="51F856B3" w14:textId="77777777" w:rsidR="00B703E2" w:rsidRPr="00FA433F" w:rsidRDefault="00B703E2">
            <w:pPr>
              <w:spacing w:before="0" w:after="0"/>
              <w:jc w:val="left"/>
              <w:rPr>
                <w:rFonts w:eastAsia="Times New Roman"/>
                <w:noProof/>
                <w:color w:val="000000"/>
                <w:sz w:val="18"/>
                <w:szCs w:val="18"/>
                <w:lang w:eastAsia="en-IE"/>
              </w:rPr>
            </w:pPr>
          </w:p>
        </w:tc>
        <w:tc>
          <w:tcPr>
            <w:tcW w:w="1005" w:type="dxa"/>
            <w:vMerge/>
            <w:tcBorders>
              <w:top w:val="nil"/>
              <w:left w:val="single" w:sz="4" w:space="0" w:color="auto"/>
              <w:bottom w:val="single" w:sz="8" w:space="0" w:color="000000"/>
              <w:right w:val="single" w:sz="4" w:space="0" w:color="auto"/>
            </w:tcBorders>
            <w:vAlign w:val="center"/>
            <w:hideMark/>
          </w:tcPr>
          <w:p w14:paraId="3F22E2C6" w14:textId="77777777" w:rsidR="00B703E2" w:rsidRPr="00FA433F" w:rsidRDefault="00B703E2">
            <w:pPr>
              <w:spacing w:before="0" w:after="0"/>
              <w:jc w:val="left"/>
              <w:rPr>
                <w:rFonts w:eastAsia="Times New Roman"/>
                <w:noProof/>
                <w:color w:val="000000"/>
                <w:sz w:val="18"/>
                <w:szCs w:val="18"/>
                <w:lang w:eastAsia="en-IE"/>
              </w:rPr>
            </w:pPr>
          </w:p>
        </w:tc>
        <w:tc>
          <w:tcPr>
            <w:tcW w:w="956" w:type="dxa"/>
            <w:vMerge/>
            <w:tcBorders>
              <w:top w:val="nil"/>
              <w:left w:val="single" w:sz="4" w:space="0" w:color="auto"/>
              <w:bottom w:val="single" w:sz="8" w:space="0" w:color="000000"/>
              <w:right w:val="single" w:sz="4" w:space="0" w:color="auto"/>
            </w:tcBorders>
            <w:vAlign w:val="center"/>
            <w:hideMark/>
          </w:tcPr>
          <w:p w14:paraId="3862A64A" w14:textId="77777777" w:rsidR="00B703E2" w:rsidRPr="00FA433F" w:rsidRDefault="00B703E2">
            <w:pPr>
              <w:spacing w:before="0" w:after="0"/>
              <w:jc w:val="left"/>
              <w:rPr>
                <w:rFonts w:eastAsia="Times New Roman"/>
                <w:noProof/>
                <w:color w:val="000000"/>
                <w:sz w:val="18"/>
                <w:szCs w:val="18"/>
                <w:lang w:eastAsia="en-IE"/>
              </w:rPr>
            </w:pPr>
          </w:p>
        </w:tc>
        <w:tc>
          <w:tcPr>
            <w:tcW w:w="1264" w:type="dxa"/>
            <w:vMerge/>
            <w:tcBorders>
              <w:top w:val="nil"/>
              <w:left w:val="single" w:sz="4" w:space="0" w:color="auto"/>
              <w:bottom w:val="single" w:sz="8" w:space="0" w:color="000000"/>
              <w:right w:val="single" w:sz="4" w:space="0" w:color="auto"/>
            </w:tcBorders>
            <w:vAlign w:val="center"/>
            <w:hideMark/>
          </w:tcPr>
          <w:p w14:paraId="3B922EFD" w14:textId="77777777" w:rsidR="00B703E2" w:rsidRPr="00FA433F" w:rsidRDefault="00B703E2">
            <w:pPr>
              <w:spacing w:before="0" w:after="0"/>
              <w:jc w:val="left"/>
              <w:rPr>
                <w:rFonts w:eastAsia="Times New Roman"/>
                <w:noProof/>
                <w:color w:val="000000"/>
                <w:sz w:val="18"/>
                <w:szCs w:val="18"/>
                <w:lang w:eastAsia="en-IE"/>
              </w:rPr>
            </w:pPr>
          </w:p>
        </w:tc>
        <w:tc>
          <w:tcPr>
            <w:tcW w:w="1383" w:type="dxa"/>
            <w:vMerge/>
            <w:tcBorders>
              <w:top w:val="nil"/>
              <w:left w:val="single" w:sz="4" w:space="0" w:color="auto"/>
              <w:bottom w:val="single" w:sz="8" w:space="0" w:color="000000"/>
              <w:right w:val="single" w:sz="8" w:space="0" w:color="auto"/>
            </w:tcBorders>
            <w:vAlign w:val="center"/>
            <w:hideMark/>
          </w:tcPr>
          <w:p w14:paraId="72216C09" w14:textId="77777777" w:rsidR="00B703E2" w:rsidRPr="00FA433F" w:rsidRDefault="00B703E2">
            <w:pPr>
              <w:spacing w:before="0" w:after="0"/>
              <w:jc w:val="left"/>
              <w:rPr>
                <w:rFonts w:eastAsia="Times New Roman"/>
                <w:noProof/>
                <w:color w:val="000000"/>
                <w:sz w:val="18"/>
                <w:szCs w:val="18"/>
                <w:lang w:eastAsia="en-IE"/>
              </w:rPr>
            </w:pPr>
          </w:p>
        </w:tc>
      </w:tr>
      <w:tr w:rsidR="00874B4B" w:rsidRPr="00FA433F" w14:paraId="4DBDCF29" w14:textId="77777777" w:rsidTr="00874B4B">
        <w:trPr>
          <w:trHeight w:val="599"/>
        </w:trPr>
        <w:tc>
          <w:tcPr>
            <w:tcW w:w="869" w:type="dxa"/>
            <w:tcBorders>
              <w:top w:val="nil"/>
              <w:left w:val="single" w:sz="8" w:space="0" w:color="auto"/>
              <w:bottom w:val="single" w:sz="8" w:space="0" w:color="auto"/>
              <w:right w:val="single" w:sz="4" w:space="0" w:color="auto"/>
            </w:tcBorders>
            <w:vAlign w:val="center"/>
            <w:hideMark/>
          </w:tcPr>
          <w:p w14:paraId="6AEA32B5" w14:textId="77777777" w:rsidR="00B703E2" w:rsidRPr="00FA433F" w:rsidRDefault="00691CA9">
            <w:pPr>
              <w:spacing w:before="0" w:after="0"/>
              <w:jc w:val="center"/>
              <w:rPr>
                <w:rFonts w:eastAsia="Times New Roman"/>
                <w:noProof/>
                <w:color w:val="000000"/>
                <w:sz w:val="18"/>
                <w:szCs w:val="18"/>
              </w:rPr>
            </w:pPr>
            <w:r w:rsidRPr="00FA433F">
              <w:rPr>
                <w:noProof/>
                <w:color w:val="000000"/>
                <w:sz w:val="18"/>
              </w:rPr>
              <w:t>Zarządzanie finansowe</w:t>
            </w:r>
          </w:p>
        </w:tc>
        <w:tc>
          <w:tcPr>
            <w:tcW w:w="2356" w:type="dxa"/>
            <w:tcBorders>
              <w:top w:val="nil"/>
              <w:left w:val="nil"/>
              <w:bottom w:val="single" w:sz="8" w:space="0" w:color="auto"/>
              <w:right w:val="single" w:sz="4" w:space="0" w:color="auto"/>
            </w:tcBorders>
            <w:vAlign w:val="bottom"/>
            <w:hideMark/>
          </w:tcPr>
          <w:p w14:paraId="35A8271E" w14:textId="3D259437" w:rsidR="00B703E2" w:rsidRPr="00FA433F" w:rsidRDefault="00691CA9">
            <w:pPr>
              <w:spacing w:before="0" w:after="0"/>
              <w:jc w:val="left"/>
              <w:rPr>
                <w:rFonts w:eastAsia="Times New Roman"/>
                <w:noProof/>
                <w:color w:val="000000"/>
                <w:sz w:val="18"/>
                <w:szCs w:val="18"/>
              </w:rPr>
            </w:pPr>
            <w:r w:rsidRPr="00FA433F">
              <w:rPr>
                <w:noProof/>
                <w:color w:val="000000"/>
                <w:sz w:val="18"/>
              </w:rPr>
              <w:t>Zarządzanie finansowe,</w:t>
            </w:r>
            <w:r w:rsidR="00FA433F" w:rsidRPr="00FA433F">
              <w:rPr>
                <w:noProof/>
                <w:color w:val="000000"/>
                <w:sz w:val="18"/>
              </w:rPr>
              <w:t xml:space="preserve"> w</w:t>
            </w:r>
            <w:r w:rsidR="00FA433F">
              <w:rPr>
                <w:noProof/>
                <w:color w:val="000000"/>
                <w:sz w:val="18"/>
              </w:rPr>
              <w:t> </w:t>
            </w:r>
            <w:r w:rsidR="00FA433F" w:rsidRPr="00FA433F">
              <w:rPr>
                <w:noProof/>
                <w:color w:val="000000"/>
                <w:sz w:val="18"/>
              </w:rPr>
              <w:t>tym</w:t>
            </w:r>
            <w:r w:rsidRPr="00FA433F">
              <w:rPr>
                <w:noProof/>
                <w:color w:val="000000"/>
                <w:sz w:val="18"/>
              </w:rPr>
              <w:t xml:space="preserve"> wypłata wsparcia właściwym organom</w:t>
            </w:r>
          </w:p>
        </w:tc>
        <w:tc>
          <w:tcPr>
            <w:tcW w:w="1005" w:type="dxa"/>
            <w:tcBorders>
              <w:top w:val="nil"/>
              <w:left w:val="nil"/>
              <w:bottom w:val="single" w:sz="8" w:space="0" w:color="auto"/>
              <w:right w:val="single" w:sz="4" w:space="0" w:color="auto"/>
            </w:tcBorders>
            <w:vAlign w:val="bottom"/>
            <w:hideMark/>
          </w:tcPr>
          <w:p w14:paraId="0EF169F7"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c>
          <w:tcPr>
            <w:tcW w:w="1005" w:type="dxa"/>
            <w:tcBorders>
              <w:top w:val="nil"/>
              <w:left w:val="nil"/>
              <w:bottom w:val="single" w:sz="8" w:space="0" w:color="auto"/>
              <w:right w:val="single" w:sz="4" w:space="0" w:color="auto"/>
            </w:tcBorders>
            <w:vAlign w:val="bottom"/>
            <w:hideMark/>
          </w:tcPr>
          <w:p w14:paraId="5E7AE7D2"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1</w:t>
            </w:r>
          </w:p>
        </w:tc>
        <w:tc>
          <w:tcPr>
            <w:tcW w:w="956" w:type="dxa"/>
            <w:tcBorders>
              <w:top w:val="nil"/>
              <w:left w:val="nil"/>
              <w:bottom w:val="single" w:sz="8" w:space="0" w:color="auto"/>
              <w:right w:val="single" w:sz="4" w:space="0" w:color="auto"/>
            </w:tcBorders>
            <w:vAlign w:val="bottom"/>
            <w:hideMark/>
          </w:tcPr>
          <w:p w14:paraId="2C1C3AE2"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1</w:t>
            </w:r>
          </w:p>
        </w:tc>
        <w:tc>
          <w:tcPr>
            <w:tcW w:w="1264" w:type="dxa"/>
            <w:tcBorders>
              <w:top w:val="nil"/>
              <w:left w:val="nil"/>
              <w:bottom w:val="single" w:sz="8" w:space="0" w:color="auto"/>
              <w:right w:val="nil"/>
            </w:tcBorders>
            <w:vAlign w:val="bottom"/>
            <w:hideMark/>
          </w:tcPr>
          <w:p w14:paraId="520BB08A"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1</w:t>
            </w:r>
          </w:p>
        </w:tc>
        <w:tc>
          <w:tcPr>
            <w:tcW w:w="1383" w:type="dxa"/>
            <w:tcBorders>
              <w:top w:val="nil"/>
              <w:left w:val="single" w:sz="4" w:space="0" w:color="auto"/>
              <w:bottom w:val="single" w:sz="8" w:space="0" w:color="auto"/>
              <w:right w:val="single" w:sz="8" w:space="0" w:color="auto"/>
            </w:tcBorders>
            <w:vAlign w:val="bottom"/>
            <w:hideMark/>
          </w:tcPr>
          <w:p w14:paraId="25808011"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1</w:t>
            </w:r>
          </w:p>
        </w:tc>
      </w:tr>
      <w:tr w:rsidR="00874B4B" w:rsidRPr="00FA433F" w14:paraId="79420499" w14:textId="77777777" w:rsidTr="00874B4B">
        <w:trPr>
          <w:trHeight w:val="856"/>
        </w:trPr>
        <w:tc>
          <w:tcPr>
            <w:tcW w:w="869" w:type="dxa"/>
            <w:tcBorders>
              <w:top w:val="nil"/>
              <w:left w:val="single" w:sz="8" w:space="0" w:color="auto"/>
              <w:bottom w:val="single" w:sz="8" w:space="0" w:color="auto"/>
              <w:right w:val="single" w:sz="4" w:space="0" w:color="auto"/>
            </w:tcBorders>
            <w:vAlign w:val="center"/>
            <w:hideMark/>
          </w:tcPr>
          <w:p w14:paraId="05C14093" w14:textId="77777777" w:rsidR="00B703E2" w:rsidRPr="00FA433F" w:rsidRDefault="00691CA9">
            <w:pPr>
              <w:spacing w:before="0" w:after="0"/>
              <w:jc w:val="center"/>
              <w:rPr>
                <w:rFonts w:eastAsia="Times New Roman"/>
                <w:noProof/>
                <w:color w:val="000000"/>
                <w:sz w:val="18"/>
                <w:szCs w:val="18"/>
              </w:rPr>
            </w:pPr>
            <w:r w:rsidRPr="00FA433F">
              <w:rPr>
                <w:noProof/>
                <w:color w:val="000000"/>
                <w:sz w:val="18"/>
              </w:rPr>
              <w:t>Składanie sprawozdań</w:t>
            </w:r>
          </w:p>
        </w:tc>
        <w:tc>
          <w:tcPr>
            <w:tcW w:w="2356" w:type="dxa"/>
            <w:tcBorders>
              <w:top w:val="nil"/>
              <w:left w:val="nil"/>
              <w:bottom w:val="single" w:sz="8" w:space="0" w:color="auto"/>
              <w:right w:val="single" w:sz="4" w:space="0" w:color="auto"/>
            </w:tcBorders>
            <w:vAlign w:val="bottom"/>
            <w:hideMark/>
          </w:tcPr>
          <w:p w14:paraId="61D6F15C" w14:textId="21DFB1D9" w:rsidR="00B703E2" w:rsidRPr="00FA433F" w:rsidRDefault="00691CA9">
            <w:pPr>
              <w:spacing w:before="0" w:after="0"/>
              <w:jc w:val="left"/>
              <w:rPr>
                <w:rFonts w:eastAsia="Times New Roman"/>
                <w:noProof/>
                <w:color w:val="000000"/>
                <w:sz w:val="18"/>
                <w:szCs w:val="18"/>
              </w:rPr>
            </w:pPr>
            <w:r w:rsidRPr="00FA433F">
              <w:rPr>
                <w:noProof/>
                <w:color w:val="000000"/>
                <w:sz w:val="18"/>
              </w:rPr>
              <w:t>Przygotowanie sprawozdania</w:t>
            </w:r>
            <w:r w:rsidR="00FA433F" w:rsidRPr="00FA433F">
              <w:rPr>
                <w:noProof/>
                <w:color w:val="000000"/>
                <w:sz w:val="18"/>
              </w:rPr>
              <w:t xml:space="preserve"> z</w:t>
            </w:r>
            <w:r w:rsidR="00FA433F">
              <w:rPr>
                <w:noProof/>
                <w:color w:val="000000"/>
                <w:sz w:val="18"/>
              </w:rPr>
              <w:t> </w:t>
            </w:r>
            <w:r w:rsidR="00FA433F" w:rsidRPr="00FA433F">
              <w:rPr>
                <w:noProof/>
                <w:color w:val="000000"/>
                <w:sz w:val="18"/>
              </w:rPr>
              <w:t>oce</w:t>
            </w:r>
            <w:r w:rsidRPr="00FA433F">
              <w:rPr>
                <w:noProof/>
                <w:color w:val="000000"/>
                <w:sz w:val="18"/>
              </w:rPr>
              <w:t>ny, które zostanie przedstawione PE</w:t>
            </w:r>
            <w:r w:rsidR="00FA433F" w:rsidRPr="00FA433F">
              <w:rPr>
                <w:noProof/>
                <w:color w:val="000000"/>
                <w:sz w:val="18"/>
              </w:rPr>
              <w:t xml:space="preserve"> i</w:t>
            </w:r>
            <w:r w:rsidR="00FA433F">
              <w:rPr>
                <w:noProof/>
                <w:color w:val="000000"/>
                <w:sz w:val="18"/>
              </w:rPr>
              <w:t> </w:t>
            </w:r>
            <w:r w:rsidR="00FA433F" w:rsidRPr="00FA433F">
              <w:rPr>
                <w:noProof/>
                <w:color w:val="000000"/>
                <w:sz w:val="18"/>
              </w:rPr>
              <w:t>Rad</w:t>
            </w:r>
            <w:r w:rsidRPr="00FA433F">
              <w:rPr>
                <w:noProof/>
                <w:color w:val="000000"/>
                <w:sz w:val="18"/>
              </w:rPr>
              <w:t>zie</w:t>
            </w:r>
            <w:r w:rsidRPr="00FA433F">
              <w:rPr>
                <w:noProof/>
                <w:sz w:val="18"/>
              </w:rPr>
              <w:t xml:space="preserve"> </w:t>
            </w:r>
            <w:r w:rsidRPr="00FA433F">
              <w:rPr>
                <w:noProof/>
                <w:color w:val="000000"/>
                <w:sz w:val="18"/>
              </w:rPr>
              <w:t>(w tym przygotowanie stałego rozwiązania</w:t>
            </w:r>
            <w:r w:rsidR="00FA433F" w:rsidRPr="00FA433F">
              <w:rPr>
                <w:noProof/>
                <w:color w:val="000000"/>
                <w:sz w:val="18"/>
              </w:rPr>
              <w:t xml:space="preserve"> i</w:t>
            </w:r>
            <w:r w:rsidR="00FA433F">
              <w:rPr>
                <w:noProof/>
                <w:color w:val="000000"/>
                <w:sz w:val="18"/>
              </w:rPr>
              <w:t> </w:t>
            </w:r>
            <w:r w:rsidR="00FA433F" w:rsidRPr="00FA433F">
              <w:rPr>
                <w:noProof/>
                <w:color w:val="000000"/>
                <w:sz w:val="18"/>
              </w:rPr>
              <w:t>pow</w:t>
            </w:r>
            <w:r w:rsidRPr="00FA433F">
              <w:rPr>
                <w:noProof/>
                <w:color w:val="000000"/>
                <w:sz w:val="18"/>
              </w:rPr>
              <w:t>iązanie</w:t>
            </w:r>
            <w:r w:rsidR="00FA433F" w:rsidRPr="00FA433F">
              <w:rPr>
                <w:noProof/>
                <w:color w:val="000000"/>
                <w:sz w:val="18"/>
              </w:rPr>
              <w:t xml:space="preserve"> z</w:t>
            </w:r>
            <w:r w:rsidR="00FA433F">
              <w:rPr>
                <w:noProof/>
                <w:color w:val="000000"/>
                <w:sz w:val="18"/>
              </w:rPr>
              <w:t> </w:t>
            </w:r>
            <w:r w:rsidR="00FA433F" w:rsidRPr="00FA433F">
              <w:rPr>
                <w:noProof/>
                <w:color w:val="000000"/>
                <w:sz w:val="18"/>
              </w:rPr>
              <w:t>Ban</w:t>
            </w:r>
            <w:r w:rsidR="0031595E" w:rsidRPr="00FA433F">
              <w:rPr>
                <w:noProof/>
                <w:color w:val="000000"/>
                <w:sz w:val="18"/>
              </w:rPr>
              <w:t>kiem Dekarbonizacji Przemysłu</w:t>
            </w:r>
            <w:r w:rsidR="00905AA1" w:rsidRPr="00FA433F">
              <w:rPr>
                <w:noProof/>
                <w:color w:val="000000"/>
                <w:sz w:val="18"/>
              </w:rPr>
              <w:t>, IDB</w:t>
            </w:r>
            <w:r w:rsidRPr="00FA433F">
              <w:rPr>
                <w:noProof/>
                <w:color w:val="000000"/>
                <w:sz w:val="18"/>
              </w:rPr>
              <w:t>)</w:t>
            </w:r>
          </w:p>
        </w:tc>
        <w:tc>
          <w:tcPr>
            <w:tcW w:w="1005" w:type="dxa"/>
            <w:tcBorders>
              <w:top w:val="nil"/>
              <w:left w:val="nil"/>
              <w:bottom w:val="single" w:sz="8" w:space="0" w:color="auto"/>
              <w:right w:val="single" w:sz="4" w:space="0" w:color="auto"/>
            </w:tcBorders>
            <w:vAlign w:val="bottom"/>
            <w:hideMark/>
          </w:tcPr>
          <w:p w14:paraId="0DF64BD6"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c>
          <w:tcPr>
            <w:tcW w:w="1005" w:type="dxa"/>
            <w:tcBorders>
              <w:top w:val="nil"/>
              <w:left w:val="nil"/>
              <w:bottom w:val="single" w:sz="8" w:space="0" w:color="auto"/>
              <w:right w:val="single" w:sz="4" w:space="0" w:color="auto"/>
            </w:tcBorders>
            <w:vAlign w:val="bottom"/>
            <w:hideMark/>
          </w:tcPr>
          <w:p w14:paraId="3CC81C6C"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 xml:space="preserve"> </w:t>
            </w:r>
          </w:p>
        </w:tc>
        <w:tc>
          <w:tcPr>
            <w:tcW w:w="956" w:type="dxa"/>
            <w:tcBorders>
              <w:top w:val="nil"/>
              <w:left w:val="nil"/>
              <w:bottom w:val="single" w:sz="8" w:space="0" w:color="auto"/>
              <w:right w:val="single" w:sz="4" w:space="0" w:color="auto"/>
            </w:tcBorders>
            <w:vAlign w:val="bottom"/>
            <w:hideMark/>
          </w:tcPr>
          <w:p w14:paraId="63F7203E"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1</w:t>
            </w:r>
          </w:p>
        </w:tc>
        <w:tc>
          <w:tcPr>
            <w:tcW w:w="1264" w:type="dxa"/>
            <w:tcBorders>
              <w:top w:val="nil"/>
              <w:left w:val="nil"/>
              <w:bottom w:val="single" w:sz="8" w:space="0" w:color="auto"/>
              <w:right w:val="nil"/>
            </w:tcBorders>
            <w:vAlign w:val="bottom"/>
            <w:hideMark/>
          </w:tcPr>
          <w:p w14:paraId="1A9CCF88"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1</w:t>
            </w:r>
          </w:p>
        </w:tc>
        <w:tc>
          <w:tcPr>
            <w:tcW w:w="1383" w:type="dxa"/>
            <w:tcBorders>
              <w:top w:val="nil"/>
              <w:left w:val="single" w:sz="4" w:space="0" w:color="auto"/>
              <w:bottom w:val="single" w:sz="8" w:space="0" w:color="auto"/>
              <w:right w:val="single" w:sz="8" w:space="0" w:color="auto"/>
            </w:tcBorders>
            <w:vAlign w:val="bottom"/>
            <w:hideMark/>
          </w:tcPr>
          <w:p w14:paraId="0CD24231" w14:textId="77777777" w:rsidR="00B703E2" w:rsidRPr="00FA433F" w:rsidRDefault="00B703E2">
            <w:pPr>
              <w:spacing w:before="0" w:after="0"/>
              <w:jc w:val="center"/>
              <w:rPr>
                <w:rFonts w:eastAsia="Times New Roman"/>
                <w:noProof/>
                <w:color w:val="000000"/>
                <w:sz w:val="18"/>
                <w:szCs w:val="18"/>
              </w:rPr>
            </w:pPr>
            <w:r w:rsidRPr="00FA433F">
              <w:rPr>
                <w:noProof/>
                <w:color w:val="000000"/>
                <w:sz w:val="18"/>
              </w:rPr>
              <w:t>1</w:t>
            </w:r>
          </w:p>
        </w:tc>
      </w:tr>
      <w:tr w:rsidR="00874B4B" w:rsidRPr="00FA433F" w14:paraId="3BE9ECF5" w14:textId="77777777" w:rsidTr="00874B4B">
        <w:trPr>
          <w:trHeight w:val="299"/>
        </w:trPr>
        <w:tc>
          <w:tcPr>
            <w:tcW w:w="869" w:type="dxa"/>
            <w:tcBorders>
              <w:top w:val="nil"/>
              <w:left w:val="nil"/>
              <w:bottom w:val="nil"/>
              <w:right w:val="nil"/>
            </w:tcBorders>
            <w:vAlign w:val="bottom"/>
            <w:hideMark/>
          </w:tcPr>
          <w:p w14:paraId="74B767A0" w14:textId="77777777" w:rsidR="00B703E2" w:rsidRPr="00FA433F" w:rsidRDefault="00B703E2">
            <w:pPr>
              <w:spacing w:before="0" w:after="0"/>
              <w:jc w:val="center"/>
              <w:rPr>
                <w:rFonts w:eastAsia="Times New Roman"/>
                <w:noProof/>
                <w:color w:val="000000"/>
                <w:sz w:val="18"/>
                <w:szCs w:val="18"/>
                <w:lang w:eastAsia="en-IE"/>
              </w:rPr>
            </w:pPr>
          </w:p>
        </w:tc>
        <w:tc>
          <w:tcPr>
            <w:tcW w:w="2356" w:type="dxa"/>
            <w:tcBorders>
              <w:top w:val="nil"/>
              <w:left w:val="nil"/>
              <w:bottom w:val="nil"/>
              <w:right w:val="nil"/>
            </w:tcBorders>
            <w:vAlign w:val="bottom"/>
            <w:hideMark/>
          </w:tcPr>
          <w:p w14:paraId="3B0F63AE" w14:textId="77777777" w:rsidR="00B703E2" w:rsidRPr="00FA433F" w:rsidRDefault="00B703E2">
            <w:pPr>
              <w:spacing w:before="0" w:after="0"/>
              <w:jc w:val="left"/>
              <w:rPr>
                <w:rFonts w:eastAsia="Times New Roman"/>
                <w:noProof/>
                <w:sz w:val="18"/>
                <w:szCs w:val="18"/>
                <w:lang w:eastAsia="en-IE"/>
              </w:rPr>
            </w:pPr>
          </w:p>
        </w:tc>
        <w:tc>
          <w:tcPr>
            <w:tcW w:w="1005" w:type="dxa"/>
            <w:tcBorders>
              <w:top w:val="nil"/>
              <w:left w:val="single" w:sz="8" w:space="0" w:color="auto"/>
              <w:bottom w:val="nil"/>
              <w:right w:val="single" w:sz="4" w:space="0" w:color="auto"/>
            </w:tcBorders>
            <w:vAlign w:val="bottom"/>
            <w:hideMark/>
          </w:tcPr>
          <w:p w14:paraId="586FDC1B" w14:textId="77777777" w:rsidR="00B703E2" w:rsidRPr="00FA433F" w:rsidRDefault="006C5663">
            <w:pPr>
              <w:spacing w:before="0" w:after="0"/>
              <w:jc w:val="right"/>
              <w:rPr>
                <w:rFonts w:eastAsia="Times New Roman"/>
                <w:b/>
                <w:bCs/>
                <w:noProof/>
                <w:color w:val="000000"/>
                <w:sz w:val="18"/>
                <w:szCs w:val="18"/>
              </w:rPr>
            </w:pPr>
            <w:r w:rsidRPr="00FA433F">
              <w:rPr>
                <w:b/>
                <w:noProof/>
                <w:color w:val="000000"/>
                <w:sz w:val="18"/>
              </w:rPr>
              <w:t>8</w:t>
            </w:r>
          </w:p>
        </w:tc>
        <w:tc>
          <w:tcPr>
            <w:tcW w:w="1005" w:type="dxa"/>
            <w:tcBorders>
              <w:top w:val="nil"/>
              <w:left w:val="nil"/>
              <w:bottom w:val="nil"/>
              <w:right w:val="single" w:sz="4" w:space="0" w:color="auto"/>
            </w:tcBorders>
            <w:vAlign w:val="bottom"/>
            <w:hideMark/>
          </w:tcPr>
          <w:p w14:paraId="565BE61A" w14:textId="77777777" w:rsidR="00B703E2" w:rsidRPr="00FA433F" w:rsidRDefault="00B703E2">
            <w:pPr>
              <w:spacing w:before="0" w:after="0"/>
              <w:jc w:val="right"/>
              <w:rPr>
                <w:rFonts w:eastAsia="Times New Roman"/>
                <w:b/>
                <w:bCs/>
                <w:noProof/>
                <w:color w:val="000000"/>
                <w:sz w:val="18"/>
                <w:szCs w:val="18"/>
              </w:rPr>
            </w:pPr>
            <w:r w:rsidRPr="00FA433F">
              <w:rPr>
                <w:b/>
                <w:noProof/>
                <w:color w:val="000000"/>
                <w:sz w:val="18"/>
              </w:rPr>
              <w:t>9</w:t>
            </w:r>
          </w:p>
        </w:tc>
        <w:tc>
          <w:tcPr>
            <w:tcW w:w="956" w:type="dxa"/>
            <w:tcBorders>
              <w:top w:val="nil"/>
              <w:left w:val="nil"/>
              <w:bottom w:val="nil"/>
              <w:right w:val="single" w:sz="4" w:space="0" w:color="auto"/>
            </w:tcBorders>
            <w:vAlign w:val="bottom"/>
            <w:hideMark/>
          </w:tcPr>
          <w:p w14:paraId="1E975BAC" w14:textId="77777777" w:rsidR="00B703E2" w:rsidRPr="00FA433F" w:rsidRDefault="00B703E2">
            <w:pPr>
              <w:spacing w:before="0" w:after="0"/>
              <w:jc w:val="right"/>
              <w:rPr>
                <w:rFonts w:eastAsia="Times New Roman"/>
                <w:b/>
                <w:bCs/>
                <w:noProof/>
                <w:color w:val="000000"/>
                <w:sz w:val="18"/>
                <w:szCs w:val="18"/>
              </w:rPr>
            </w:pPr>
            <w:r w:rsidRPr="00FA433F">
              <w:rPr>
                <w:b/>
                <w:noProof/>
                <w:color w:val="000000"/>
                <w:sz w:val="18"/>
              </w:rPr>
              <w:t>9</w:t>
            </w:r>
          </w:p>
        </w:tc>
        <w:tc>
          <w:tcPr>
            <w:tcW w:w="1264" w:type="dxa"/>
            <w:tcBorders>
              <w:top w:val="nil"/>
              <w:left w:val="nil"/>
              <w:bottom w:val="nil"/>
              <w:right w:val="single" w:sz="4" w:space="0" w:color="auto"/>
            </w:tcBorders>
            <w:vAlign w:val="bottom"/>
            <w:hideMark/>
          </w:tcPr>
          <w:p w14:paraId="2FA4A25D" w14:textId="77777777" w:rsidR="00B703E2" w:rsidRPr="00FA433F" w:rsidRDefault="00B703E2">
            <w:pPr>
              <w:spacing w:before="0" w:after="0"/>
              <w:jc w:val="right"/>
              <w:rPr>
                <w:rFonts w:eastAsia="Times New Roman"/>
                <w:b/>
                <w:bCs/>
                <w:noProof/>
                <w:color w:val="000000"/>
                <w:sz w:val="18"/>
                <w:szCs w:val="18"/>
              </w:rPr>
            </w:pPr>
            <w:r w:rsidRPr="00FA433F">
              <w:rPr>
                <w:b/>
                <w:noProof/>
                <w:color w:val="000000"/>
                <w:sz w:val="18"/>
              </w:rPr>
              <w:t>6</w:t>
            </w:r>
          </w:p>
        </w:tc>
        <w:tc>
          <w:tcPr>
            <w:tcW w:w="1383" w:type="dxa"/>
            <w:tcBorders>
              <w:top w:val="nil"/>
              <w:left w:val="nil"/>
              <w:bottom w:val="nil"/>
              <w:right w:val="single" w:sz="8" w:space="0" w:color="auto"/>
            </w:tcBorders>
            <w:vAlign w:val="bottom"/>
            <w:hideMark/>
          </w:tcPr>
          <w:p w14:paraId="59F58B32" w14:textId="77777777" w:rsidR="00B703E2" w:rsidRPr="00FA433F" w:rsidRDefault="00B703E2">
            <w:pPr>
              <w:spacing w:before="0" w:after="0"/>
              <w:jc w:val="right"/>
              <w:rPr>
                <w:rFonts w:eastAsia="Times New Roman"/>
                <w:b/>
                <w:bCs/>
                <w:noProof/>
                <w:color w:val="000000"/>
                <w:sz w:val="18"/>
                <w:szCs w:val="18"/>
              </w:rPr>
            </w:pPr>
            <w:r w:rsidRPr="00FA433F">
              <w:rPr>
                <w:b/>
                <w:noProof/>
                <w:color w:val="000000"/>
                <w:sz w:val="18"/>
              </w:rPr>
              <w:t>2</w:t>
            </w:r>
          </w:p>
        </w:tc>
      </w:tr>
      <w:tr w:rsidR="00874B4B" w:rsidRPr="00FA433F" w14:paraId="2A2FD6D2" w14:textId="77777777" w:rsidTr="00874B4B">
        <w:trPr>
          <w:trHeight w:val="90"/>
        </w:trPr>
        <w:tc>
          <w:tcPr>
            <w:tcW w:w="869" w:type="dxa"/>
            <w:tcBorders>
              <w:top w:val="nil"/>
              <w:left w:val="nil"/>
              <w:bottom w:val="nil"/>
              <w:right w:val="nil"/>
            </w:tcBorders>
            <w:vAlign w:val="bottom"/>
          </w:tcPr>
          <w:p w14:paraId="18344D25" w14:textId="77777777" w:rsidR="00B703E2" w:rsidRPr="00FA433F" w:rsidRDefault="00B703E2">
            <w:pPr>
              <w:spacing w:before="0" w:after="0"/>
              <w:jc w:val="center"/>
              <w:rPr>
                <w:rFonts w:eastAsia="Times New Roman"/>
                <w:noProof/>
                <w:color w:val="000000"/>
                <w:sz w:val="18"/>
                <w:szCs w:val="18"/>
                <w:lang w:eastAsia="en-IE"/>
              </w:rPr>
            </w:pPr>
          </w:p>
        </w:tc>
        <w:tc>
          <w:tcPr>
            <w:tcW w:w="2356" w:type="dxa"/>
            <w:tcBorders>
              <w:top w:val="nil"/>
              <w:left w:val="nil"/>
              <w:bottom w:val="nil"/>
              <w:right w:val="nil"/>
            </w:tcBorders>
            <w:vAlign w:val="bottom"/>
          </w:tcPr>
          <w:p w14:paraId="29804BA0" w14:textId="77777777" w:rsidR="00B703E2" w:rsidRPr="00FA433F" w:rsidRDefault="00B703E2">
            <w:pPr>
              <w:spacing w:before="0" w:after="0"/>
              <w:jc w:val="left"/>
              <w:rPr>
                <w:rFonts w:eastAsia="Times New Roman"/>
                <w:noProof/>
                <w:sz w:val="18"/>
                <w:szCs w:val="18"/>
                <w:lang w:eastAsia="en-IE"/>
              </w:rPr>
            </w:pPr>
          </w:p>
        </w:tc>
        <w:tc>
          <w:tcPr>
            <w:tcW w:w="1005" w:type="dxa"/>
            <w:tcBorders>
              <w:top w:val="nil"/>
              <w:left w:val="single" w:sz="8" w:space="0" w:color="auto"/>
              <w:bottom w:val="single" w:sz="8" w:space="0" w:color="auto"/>
              <w:right w:val="single" w:sz="4" w:space="0" w:color="auto"/>
            </w:tcBorders>
            <w:vAlign w:val="bottom"/>
          </w:tcPr>
          <w:p w14:paraId="39E20208" w14:textId="77777777" w:rsidR="00B703E2" w:rsidRPr="00FA433F" w:rsidRDefault="00B703E2">
            <w:pPr>
              <w:spacing w:before="0" w:after="0"/>
              <w:jc w:val="right"/>
              <w:rPr>
                <w:rFonts w:eastAsia="Times New Roman"/>
                <w:b/>
                <w:bCs/>
                <w:noProof/>
                <w:color w:val="000000"/>
                <w:sz w:val="18"/>
                <w:szCs w:val="18"/>
                <w:lang w:eastAsia="en-IE"/>
              </w:rPr>
            </w:pPr>
          </w:p>
        </w:tc>
        <w:tc>
          <w:tcPr>
            <w:tcW w:w="1005" w:type="dxa"/>
            <w:tcBorders>
              <w:top w:val="nil"/>
              <w:left w:val="nil"/>
              <w:bottom w:val="single" w:sz="8" w:space="0" w:color="auto"/>
              <w:right w:val="single" w:sz="4" w:space="0" w:color="auto"/>
            </w:tcBorders>
            <w:vAlign w:val="bottom"/>
          </w:tcPr>
          <w:p w14:paraId="2E74BCA2" w14:textId="77777777" w:rsidR="00B703E2" w:rsidRPr="00FA433F" w:rsidRDefault="00B703E2">
            <w:pPr>
              <w:spacing w:before="0" w:after="0"/>
              <w:jc w:val="right"/>
              <w:rPr>
                <w:rFonts w:eastAsia="Times New Roman"/>
                <w:b/>
                <w:bCs/>
                <w:noProof/>
                <w:color w:val="000000"/>
                <w:sz w:val="18"/>
                <w:szCs w:val="18"/>
                <w:lang w:eastAsia="en-IE"/>
              </w:rPr>
            </w:pPr>
          </w:p>
        </w:tc>
        <w:tc>
          <w:tcPr>
            <w:tcW w:w="956" w:type="dxa"/>
            <w:tcBorders>
              <w:top w:val="nil"/>
              <w:left w:val="nil"/>
              <w:bottom w:val="single" w:sz="8" w:space="0" w:color="auto"/>
              <w:right w:val="single" w:sz="4" w:space="0" w:color="auto"/>
            </w:tcBorders>
            <w:vAlign w:val="bottom"/>
          </w:tcPr>
          <w:p w14:paraId="4F755084" w14:textId="77777777" w:rsidR="00B703E2" w:rsidRPr="00FA433F" w:rsidRDefault="00B703E2">
            <w:pPr>
              <w:spacing w:before="0" w:after="0"/>
              <w:jc w:val="right"/>
              <w:rPr>
                <w:rFonts w:eastAsia="Times New Roman"/>
                <w:b/>
                <w:bCs/>
                <w:noProof/>
                <w:color w:val="000000"/>
                <w:sz w:val="18"/>
                <w:szCs w:val="18"/>
                <w:lang w:eastAsia="en-IE"/>
              </w:rPr>
            </w:pPr>
          </w:p>
        </w:tc>
        <w:tc>
          <w:tcPr>
            <w:tcW w:w="1264" w:type="dxa"/>
            <w:tcBorders>
              <w:top w:val="nil"/>
              <w:left w:val="nil"/>
              <w:bottom w:val="single" w:sz="8" w:space="0" w:color="auto"/>
              <w:right w:val="single" w:sz="4" w:space="0" w:color="auto"/>
            </w:tcBorders>
            <w:vAlign w:val="bottom"/>
          </w:tcPr>
          <w:p w14:paraId="629EC499" w14:textId="77777777" w:rsidR="00B703E2" w:rsidRPr="00FA433F" w:rsidRDefault="00B703E2">
            <w:pPr>
              <w:spacing w:before="0" w:after="0"/>
              <w:jc w:val="right"/>
              <w:rPr>
                <w:rFonts w:eastAsia="Times New Roman"/>
                <w:b/>
                <w:bCs/>
                <w:noProof/>
                <w:color w:val="000000"/>
                <w:sz w:val="18"/>
                <w:szCs w:val="18"/>
                <w:lang w:eastAsia="en-IE"/>
              </w:rPr>
            </w:pPr>
          </w:p>
        </w:tc>
        <w:tc>
          <w:tcPr>
            <w:tcW w:w="1383" w:type="dxa"/>
            <w:tcBorders>
              <w:top w:val="nil"/>
              <w:left w:val="nil"/>
              <w:bottom w:val="single" w:sz="8" w:space="0" w:color="auto"/>
              <w:right w:val="single" w:sz="8" w:space="0" w:color="auto"/>
            </w:tcBorders>
            <w:vAlign w:val="bottom"/>
          </w:tcPr>
          <w:p w14:paraId="7FE909F4" w14:textId="77777777" w:rsidR="00B703E2" w:rsidRPr="00FA433F" w:rsidRDefault="00B703E2">
            <w:pPr>
              <w:spacing w:before="0" w:after="0"/>
              <w:jc w:val="right"/>
              <w:rPr>
                <w:rFonts w:eastAsia="Times New Roman"/>
                <w:b/>
                <w:bCs/>
                <w:noProof/>
                <w:color w:val="000000"/>
                <w:sz w:val="18"/>
                <w:szCs w:val="18"/>
                <w:lang w:eastAsia="en-IE"/>
              </w:rPr>
            </w:pPr>
          </w:p>
        </w:tc>
      </w:tr>
    </w:tbl>
    <w:p w14:paraId="0850EF77" w14:textId="77777777" w:rsidR="00630BBA" w:rsidRPr="00FA433F" w:rsidRDefault="00630BBA" w:rsidP="00512B3C">
      <w:pPr>
        <w:pStyle w:val="Text1"/>
        <w:rPr>
          <w:noProof/>
        </w:rPr>
      </w:pPr>
    </w:p>
    <w:p w14:paraId="23FF4C0C" w14:textId="585B193C" w:rsidR="008A4C15" w:rsidRPr="00FA433F" w:rsidRDefault="008A4C15">
      <w:pPr>
        <w:pStyle w:val="ManualHeading3"/>
        <w:rPr>
          <w:noProof/>
        </w:rPr>
      </w:pPr>
      <w:bookmarkStart w:id="168" w:name="_Toc177549031"/>
      <w:r w:rsidRPr="00FA433F">
        <w:rPr>
          <w:noProof/>
        </w:rPr>
        <w:t>3.2.5.</w:t>
      </w:r>
      <w:r w:rsidRPr="00FA433F">
        <w:rPr>
          <w:noProof/>
        </w:rPr>
        <w:tab/>
        <w:t>Przegląd szacowanego wpływu na inwestycje związane</w:t>
      </w:r>
      <w:r w:rsidR="00FA433F" w:rsidRPr="00FA433F">
        <w:rPr>
          <w:noProof/>
        </w:rPr>
        <w:t xml:space="preserve"> z</w:t>
      </w:r>
      <w:r w:rsidR="00FA433F">
        <w:rPr>
          <w:noProof/>
        </w:rPr>
        <w:t> </w:t>
      </w:r>
      <w:r w:rsidR="00FA433F" w:rsidRPr="00FA433F">
        <w:rPr>
          <w:noProof/>
        </w:rPr>
        <w:t>tec</w:t>
      </w:r>
      <w:r w:rsidRPr="00FA433F">
        <w:rPr>
          <w:noProof/>
        </w:rPr>
        <w:t>hnologiami cyfrowymi</w:t>
      </w:r>
      <w:bookmarkEnd w:id="168"/>
    </w:p>
    <w:p w14:paraId="14153B75" w14:textId="77777777" w:rsidR="002937C8" w:rsidRPr="00FA433F" w:rsidRDefault="002937C8">
      <w:pPr>
        <w:pStyle w:val="Text1"/>
        <w:spacing w:line="259" w:lineRule="auto"/>
        <w:rPr>
          <w:noProof/>
        </w:rPr>
      </w:pPr>
    </w:p>
    <w:tbl>
      <w:tblPr>
        <w:tblW w:w="4476" w:type="pct"/>
        <w:tblLook w:val="04A0" w:firstRow="1" w:lastRow="0" w:firstColumn="1" w:lastColumn="0" w:noHBand="0" w:noVBand="1"/>
      </w:tblPr>
      <w:tblGrid>
        <w:gridCol w:w="1433"/>
        <w:gridCol w:w="921"/>
        <w:gridCol w:w="923"/>
        <w:gridCol w:w="918"/>
        <w:gridCol w:w="923"/>
        <w:gridCol w:w="923"/>
        <w:gridCol w:w="924"/>
        <w:gridCol w:w="1139"/>
      </w:tblGrid>
      <w:tr w:rsidR="008061C3" w:rsidRPr="00FA433F" w14:paraId="59F90CDD" w14:textId="77777777" w:rsidTr="008061C3">
        <w:trPr>
          <w:trHeight w:val="650"/>
        </w:trPr>
        <w:tc>
          <w:tcPr>
            <w:tcW w:w="899" w:type="pct"/>
            <w:vMerge w:val="restart"/>
            <w:tcBorders>
              <w:top w:val="single" w:sz="8" w:space="0" w:color="auto"/>
              <w:left w:val="single" w:sz="8" w:space="0" w:color="auto"/>
              <w:bottom w:val="nil"/>
              <w:right w:val="single" w:sz="8" w:space="0" w:color="auto"/>
            </w:tcBorders>
            <w:vAlign w:val="center"/>
            <w:hideMark/>
          </w:tcPr>
          <w:p w14:paraId="0D96BBD8" w14:textId="033A4E9C" w:rsidR="008061C3" w:rsidRPr="00FA433F" w:rsidRDefault="008061C3">
            <w:pPr>
              <w:spacing w:before="0" w:after="0"/>
              <w:jc w:val="center"/>
              <w:rPr>
                <w:rFonts w:eastAsia="Times New Roman"/>
                <w:b/>
                <w:bCs/>
                <w:noProof/>
                <w:color w:val="000000"/>
                <w:sz w:val="20"/>
                <w:szCs w:val="20"/>
              </w:rPr>
            </w:pPr>
            <w:r w:rsidRPr="00FA433F">
              <w:rPr>
                <w:b/>
                <w:noProof/>
                <w:color w:val="000000" w:themeColor="text1"/>
                <w:sz w:val="20"/>
              </w:rPr>
              <w:t>OGÓŁEM środki na IT</w:t>
            </w:r>
            <w:r w:rsidR="00FA433F" w:rsidRPr="00FA433F">
              <w:rPr>
                <w:b/>
                <w:noProof/>
                <w:color w:val="000000" w:themeColor="text1"/>
                <w:sz w:val="20"/>
              </w:rPr>
              <w:t xml:space="preserve"> i</w:t>
            </w:r>
            <w:r w:rsidR="00FA433F">
              <w:rPr>
                <w:b/>
                <w:noProof/>
                <w:color w:val="000000" w:themeColor="text1"/>
                <w:sz w:val="20"/>
              </w:rPr>
              <w:t> </w:t>
            </w:r>
            <w:r w:rsidR="00FA433F" w:rsidRPr="00FA433F">
              <w:rPr>
                <w:b/>
                <w:noProof/>
                <w:color w:val="000000" w:themeColor="text1"/>
                <w:sz w:val="20"/>
              </w:rPr>
              <w:t>tec</w:t>
            </w:r>
            <w:r w:rsidRPr="00FA433F">
              <w:rPr>
                <w:b/>
                <w:noProof/>
                <w:color w:val="000000" w:themeColor="text1"/>
                <w:sz w:val="20"/>
              </w:rPr>
              <w:t>hnologie cyfrowe</w:t>
            </w:r>
          </w:p>
        </w:tc>
        <w:tc>
          <w:tcPr>
            <w:tcW w:w="583" w:type="pct"/>
            <w:tcBorders>
              <w:top w:val="single" w:sz="8" w:space="0" w:color="auto"/>
              <w:left w:val="nil"/>
              <w:bottom w:val="nil"/>
              <w:right w:val="single" w:sz="8" w:space="0" w:color="auto"/>
            </w:tcBorders>
            <w:vAlign w:val="center"/>
            <w:hideMark/>
          </w:tcPr>
          <w:p w14:paraId="6AB0F3C1" w14:textId="77777777" w:rsidR="008061C3" w:rsidRPr="00FA433F" w:rsidRDefault="008061C3">
            <w:pPr>
              <w:spacing w:before="0" w:after="0"/>
              <w:jc w:val="center"/>
              <w:rPr>
                <w:rFonts w:eastAsia="Times New Roman"/>
                <w:noProof/>
                <w:color w:val="000000"/>
                <w:sz w:val="20"/>
                <w:szCs w:val="20"/>
              </w:rPr>
            </w:pPr>
            <w:r w:rsidRPr="00FA433F">
              <w:rPr>
                <w:noProof/>
                <w:color w:val="000000" w:themeColor="text1"/>
                <w:sz w:val="20"/>
              </w:rPr>
              <w:t>Rok</w:t>
            </w:r>
          </w:p>
        </w:tc>
        <w:tc>
          <w:tcPr>
            <w:tcW w:w="584" w:type="pct"/>
            <w:tcBorders>
              <w:top w:val="single" w:sz="8" w:space="0" w:color="auto"/>
              <w:left w:val="nil"/>
              <w:bottom w:val="nil"/>
              <w:right w:val="single" w:sz="8" w:space="0" w:color="auto"/>
            </w:tcBorders>
            <w:vAlign w:val="center"/>
            <w:hideMark/>
          </w:tcPr>
          <w:p w14:paraId="21842C59" w14:textId="77777777" w:rsidR="008061C3" w:rsidRPr="00FA433F" w:rsidRDefault="008061C3">
            <w:pPr>
              <w:spacing w:before="0" w:after="0"/>
              <w:jc w:val="center"/>
              <w:rPr>
                <w:rFonts w:eastAsia="Times New Roman"/>
                <w:noProof/>
                <w:color w:val="000000"/>
                <w:sz w:val="20"/>
                <w:szCs w:val="20"/>
              </w:rPr>
            </w:pPr>
            <w:r w:rsidRPr="00FA433F">
              <w:rPr>
                <w:noProof/>
                <w:color w:val="000000" w:themeColor="text1"/>
                <w:sz w:val="20"/>
              </w:rPr>
              <w:t>Rok</w:t>
            </w:r>
          </w:p>
        </w:tc>
        <w:tc>
          <w:tcPr>
            <w:tcW w:w="581" w:type="pct"/>
            <w:tcBorders>
              <w:top w:val="single" w:sz="8" w:space="0" w:color="auto"/>
              <w:left w:val="nil"/>
              <w:bottom w:val="nil"/>
              <w:right w:val="single" w:sz="8" w:space="0" w:color="auto"/>
            </w:tcBorders>
            <w:vAlign w:val="center"/>
            <w:hideMark/>
          </w:tcPr>
          <w:p w14:paraId="66A6281F" w14:textId="77777777" w:rsidR="008061C3" w:rsidRPr="00FA433F" w:rsidRDefault="008061C3">
            <w:pPr>
              <w:spacing w:before="0" w:after="0"/>
              <w:jc w:val="center"/>
              <w:rPr>
                <w:rFonts w:eastAsia="Times New Roman"/>
                <w:noProof/>
                <w:color w:val="000000"/>
                <w:sz w:val="20"/>
                <w:szCs w:val="20"/>
              </w:rPr>
            </w:pPr>
            <w:r w:rsidRPr="00FA433F">
              <w:rPr>
                <w:noProof/>
                <w:color w:val="000000" w:themeColor="text1"/>
                <w:sz w:val="20"/>
              </w:rPr>
              <w:t>Rok</w:t>
            </w:r>
          </w:p>
        </w:tc>
        <w:tc>
          <w:tcPr>
            <w:tcW w:w="584" w:type="pct"/>
            <w:tcBorders>
              <w:top w:val="single" w:sz="8" w:space="0" w:color="auto"/>
              <w:left w:val="nil"/>
              <w:bottom w:val="nil"/>
              <w:right w:val="single" w:sz="8" w:space="0" w:color="auto"/>
            </w:tcBorders>
            <w:vAlign w:val="center"/>
            <w:hideMark/>
          </w:tcPr>
          <w:p w14:paraId="0F5E2CA5" w14:textId="77777777" w:rsidR="008061C3" w:rsidRPr="00FA433F" w:rsidRDefault="008061C3">
            <w:pPr>
              <w:spacing w:before="0" w:after="0"/>
              <w:jc w:val="center"/>
              <w:rPr>
                <w:rFonts w:eastAsia="Times New Roman"/>
                <w:noProof/>
                <w:color w:val="000000"/>
                <w:sz w:val="20"/>
                <w:szCs w:val="20"/>
              </w:rPr>
            </w:pPr>
            <w:r w:rsidRPr="00FA433F">
              <w:rPr>
                <w:noProof/>
                <w:color w:val="000000" w:themeColor="text1"/>
                <w:sz w:val="20"/>
              </w:rPr>
              <w:t>Rok</w:t>
            </w:r>
          </w:p>
        </w:tc>
        <w:tc>
          <w:tcPr>
            <w:tcW w:w="584" w:type="pct"/>
            <w:tcBorders>
              <w:top w:val="single" w:sz="8" w:space="0" w:color="auto"/>
              <w:left w:val="nil"/>
              <w:bottom w:val="nil"/>
              <w:right w:val="single" w:sz="8" w:space="0" w:color="auto"/>
            </w:tcBorders>
            <w:vAlign w:val="center"/>
            <w:hideMark/>
          </w:tcPr>
          <w:p w14:paraId="2AE36154" w14:textId="77777777" w:rsidR="008061C3" w:rsidRPr="00FA433F" w:rsidRDefault="008061C3">
            <w:pPr>
              <w:spacing w:before="0" w:after="0"/>
              <w:jc w:val="center"/>
              <w:rPr>
                <w:rFonts w:eastAsia="Times New Roman"/>
                <w:noProof/>
                <w:color w:val="000000"/>
                <w:sz w:val="20"/>
                <w:szCs w:val="20"/>
              </w:rPr>
            </w:pPr>
            <w:r w:rsidRPr="00FA433F">
              <w:rPr>
                <w:noProof/>
                <w:color w:val="000000" w:themeColor="text1"/>
                <w:sz w:val="20"/>
              </w:rPr>
              <w:t>Rok</w:t>
            </w:r>
          </w:p>
        </w:tc>
        <w:tc>
          <w:tcPr>
            <w:tcW w:w="584" w:type="pct"/>
            <w:tcBorders>
              <w:top w:val="single" w:sz="8" w:space="0" w:color="auto"/>
              <w:left w:val="nil"/>
              <w:bottom w:val="nil"/>
              <w:right w:val="single" w:sz="8" w:space="0" w:color="auto"/>
            </w:tcBorders>
            <w:vAlign w:val="center"/>
            <w:hideMark/>
          </w:tcPr>
          <w:p w14:paraId="70198D82" w14:textId="77777777" w:rsidR="008061C3" w:rsidRPr="00FA433F" w:rsidRDefault="008061C3">
            <w:pPr>
              <w:spacing w:before="0" w:after="0"/>
              <w:jc w:val="center"/>
              <w:rPr>
                <w:rFonts w:eastAsia="Times New Roman"/>
                <w:noProof/>
                <w:color w:val="000000"/>
                <w:sz w:val="20"/>
                <w:szCs w:val="20"/>
              </w:rPr>
            </w:pPr>
            <w:r w:rsidRPr="00FA433F">
              <w:rPr>
                <w:noProof/>
                <w:color w:val="000000" w:themeColor="text1"/>
                <w:sz w:val="20"/>
              </w:rPr>
              <w:t>Rok</w:t>
            </w:r>
          </w:p>
        </w:tc>
        <w:tc>
          <w:tcPr>
            <w:tcW w:w="601" w:type="pct"/>
            <w:vMerge w:val="restart"/>
            <w:tcBorders>
              <w:top w:val="single" w:sz="8" w:space="0" w:color="auto"/>
              <w:left w:val="single" w:sz="8" w:space="0" w:color="auto"/>
              <w:bottom w:val="single" w:sz="8" w:space="0" w:color="000000"/>
              <w:right w:val="single" w:sz="8" w:space="0" w:color="auto"/>
            </w:tcBorders>
            <w:vAlign w:val="center"/>
            <w:hideMark/>
          </w:tcPr>
          <w:p w14:paraId="1F56A4B2" w14:textId="77777777" w:rsidR="008061C3" w:rsidRPr="00FA433F" w:rsidRDefault="008061C3">
            <w:pPr>
              <w:spacing w:before="0" w:after="0"/>
              <w:jc w:val="center"/>
              <w:rPr>
                <w:rFonts w:eastAsia="Times New Roman"/>
                <w:b/>
                <w:bCs/>
                <w:noProof/>
                <w:color w:val="000000"/>
                <w:sz w:val="20"/>
                <w:szCs w:val="20"/>
              </w:rPr>
            </w:pPr>
            <w:r w:rsidRPr="00FA433F">
              <w:rPr>
                <w:b/>
                <w:noProof/>
                <w:color w:val="000000" w:themeColor="text1"/>
                <w:sz w:val="20"/>
              </w:rPr>
              <w:t>OGÓŁEM 2026–2031</w:t>
            </w:r>
          </w:p>
        </w:tc>
      </w:tr>
      <w:tr w:rsidR="008061C3" w:rsidRPr="00FA433F" w14:paraId="438A3EE1" w14:textId="77777777" w:rsidTr="008061C3">
        <w:trPr>
          <w:trHeight w:val="300"/>
        </w:trPr>
        <w:tc>
          <w:tcPr>
            <w:tcW w:w="899" w:type="pct"/>
            <w:vMerge/>
            <w:tcBorders>
              <w:top w:val="single" w:sz="8" w:space="0" w:color="auto"/>
              <w:left w:val="single" w:sz="8" w:space="0" w:color="auto"/>
              <w:bottom w:val="nil"/>
              <w:right w:val="single" w:sz="8" w:space="0" w:color="auto"/>
            </w:tcBorders>
            <w:vAlign w:val="center"/>
            <w:hideMark/>
          </w:tcPr>
          <w:p w14:paraId="426F7013" w14:textId="77777777" w:rsidR="008061C3" w:rsidRPr="00FA433F" w:rsidRDefault="008061C3">
            <w:pPr>
              <w:spacing w:before="0" w:after="0"/>
              <w:jc w:val="left"/>
              <w:rPr>
                <w:rFonts w:eastAsia="Times New Roman"/>
                <w:b/>
                <w:bCs/>
                <w:noProof/>
                <w:color w:val="000000"/>
                <w:sz w:val="20"/>
                <w:szCs w:val="20"/>
                <w:lang w:eastAsia="en-IE"/>
              </w:rPr>
            </w:pPr>
          </w:p>
        </w:tc>
        <w:tc>
          <w:tcPr>
            <w:tcW w:w="583" w:type="pct"/>
            <w:tcBorders>
              <w:top w:val="nil"/>
              <w:left w:val="nil"/>
              <w:bottom w:val="single" w:sz="8" w:space="0" w:color="auto"/>
              <w:right w:val="single" w:sz="8" w:space="0" w:color="auto"/>
            </w:tcBorders>
            <w:vAlign w:val="center"/>
            <w:hideMark/>
          </w:tcPr>
          <w:p w14:paraId="482B510F" w14:textId="77777777" w:rsidR="008061C3" w:rsidRPr="00FA433F" w:rsidRDefault="008061C3">
            <w:pPr>
              <w:spacing w:before="0" w:after="0"/>
              <w:jc w:val="center"/>
              <w:rPr>
                <w:rFonts w:eastAsia="Times New Roman"/>
                <w:b/>
                <w:bCs/>
                <w:noProof/>
                <w:color w:val="000000"/>
                <w:sz w:val="20"/>
                <w:szCs w:val="20"/>
              </w:rPr>
            </w:pPr>
            <w:r w:rsidRPr="00FA433F">
              <w:rPr>
                <w:b/>
                <w:noProof/>
                <w:color w:val="000000" w:themeColor="text1"/>
                <w:sz w:val="20"/>
              </w:rPr>
              <w:t>2026</w:t>
            </w:r>
          </w:p>
        </w:tc>
        <w:tc>
          <w:tcPr>
            <w:tcW w:w="584" w:type="pct"/>
            <w:tcBorders>
              <w:top w:val="nil"/>
              <w:left w:val="nil"/>
              <w:bottom w:val="single" w:sz="8" w:space="0" w:color="auto"/>
              <w:right w:val="single" w:sz="8" w:space="0" w:color="auto"/>
            </w:tcBorders>
            <w:vAlign w:val="center"/>
            <w:hideMark/>
          </w:tcPr>
          <w:p w14:paraId="40D18337" w14:textId="77777777" w:rsidR="008061C3" w:rsidRPr="00FA433F" w:rsidRDefault="008061C3">
            <w:pPr>
              <w:spacing w:before="0" w:after="0"/>
              <w:jc w:val="center"/>
              <w:rPr>
                <w:rFonts w:eastAsia="Times New Roman"/>
                <w:b/>
                <w:bCs/>
                <w:noProof/>
                <w:color w:val="000000"/>
                <w:sz w:val="20"/>
                <w:szCs w:val="20"/>
              </w:rPr>
            </w:pPr>
            <w:r w:rsidRPr="00FA433F">
              <w:rPr>
                <w:b/>
                <w:noProof/>
                <w:color w:val="000000" w:themeColor="text1"/>
                <w:sz w:val="20"/>
              </w:rPr>
              <w:t>2027</w:t>
            </w:r>
          </w:p>
        </w:tc>
        <w:tc>
          <w:tcPr>
            <w:tcW w:w="581" w:type="pct"/>
            <w:tcBorders>
              <w:top w:val="nil"/>
              <w:left w:val="nil"/>
              <w:bottom w:val="single" w:sz="8" w:space="0" w:color="auto"/>
              <w:right w:val="single" w:sz="8" w:space="0" w:color="auto"/>
            </w:tcBorders>
            <w:vAlign w:val="center"/>
            <w:hideMark/>
          </w:tcPr>
          <w:p w14:paraId="40A3BBDB" w14:textId="77777777" w:rsidR="008061C3" w:rsidRPr="00FA433F" w:rsidRDefault="008061C3">
            <w:pPr>
              <w:spacing w:before="0" w:after="0"/>
              <w:jc w:val="center"/>
              <w:rPr>
                <w:rFonts w:eastAsia="Times New Roman"/>
                <w:b/>
                <w:bCs/>
                <w:noProof/>
                <w:color w:val="000000"/>
                <w:sz w:val="20"/>
                <w:szCs w:val="20"/>
              </w:rPr>
            </w:pPr>
            <w:r w:rsidRPr="00FA433F">
              <w:rPr>
                <w:b/>
                <w:noProof/>
                <w:color w:val="000000" w:themeColor="text1"/>
                <w:sz w:val="20"/>
              </w:rPr>
              <w:t>2028</w:t>
            </w:r>
          </w:p>
        </w:tc>
        <w:tc>
          <w:tcPr>
            <w:tcW w:w="584" w:type="pct"/>
            <w:tcBorders>
              <w:top w:val="nil"/>
              <w:left w:val="nil"/>
              <w:bottom w:val="single" w:sz="8" w:space="0" w:color="auto"/>
              <w:right w:val="single" w:sz="8" w:space="0" w:color="auto"/>
            </w:tcBorders>
            <w:vAlign w:val="center"/>
            <w:hideMark/>
          </w:tcPr>
          <w:p w14:paraId="646AA975" w14:textId="77777777" w:rsidR="008061C3" w:rsidRPr="00FA433F" w:rsidRDefault="008061C3">
            <w:pPr>
              <w:spacing w:before="0" w:after="0"/>
              <w:jc w:val="center"/>
              <w:rPr>
                <w:rFonts w:eastAsia="Times New Roman"/>
                <w:b/>
                <w:bCs/>
                <w:noProof/>
                <w:color w:val="000000"/>
                <w:sz w:val="20"/>
                <w:szCs w:val="20"/>
              </w:rPr>
            </w:pPr>
            <w:r w:rsidRPr="00FA433F">
              <w:rPr>
                <w:b/>
                <w:noProof/>
                <w:color w:val="000000" w:themeColor="text1"/>
                <w:sz w:val="20"/>
              </w:rPr>
              <w:t>2029</w:t>
            </w:r>
          </w:p>
        </w:tc>
        <w:tc>
          <w:tcPr>
            <w:tcW w:w="584" w:type="pct"/>
            <w:tcBorders>
              <w:top w:val="nil"/>
              <w:left w:val="nil"/>
              <w:bottom w:val="single" w:sz="8" w:space="0" w:color="auto"/>
              <w:right w:val="single" w:sz="8" w:space="0" w:color="auto"/>
            </w:tcBorders>
            <w:vAlign w:val="center"/>
            <w:hideMark/>
          </w:tcPr>
          <w:p w14:paraId="6AF3D2BB" w14:textId="77777777" w:rsidR="008061C3" w:rsidRPr="00FA433F" w:rsidRDefault="008061C3">
            <w:pPr>
              <w:spacing w:before="0" w:after="0"/>
              <w:jc w:val="center"/>
              <w:rPr>
                <w:rFonts w:eastAsia="Times New Roman"/>
                <w:b/>
                <w:bCs/>
                <w:noProof/>
                <w:color w:val="000000"/>
                <w:sz w:val="20"/>
                <w:szCs w:val="20"/>
              </w:rPr>
            </w:pPr>
            <w:r w:rsidRPr="00FA433F">
              <w:rPr>
                <w:b/>
                <w:noProof/>
                <w:color w:val="000000" w:themeColor="text1"/>
                <w:sz w:val="20"/>
              </w:rPr>
              <w:t>2030</w:t>
            </w:r>
          </w:p>
        </w:tc>
        <w:tc>
          <w:tcPr>
            <w:tcW w:w="584" w:type="pct"/>
            <w:tcBorders>
              <w:top w:val="nil"/>
              <w:left w:val="nil"/>
              <w:bottom w:val="single" w:sz="8" w:space="0" w:color="auto"/>
              <w:right w:val="single" w:sz="8" w:space="0" w:color="auto"/>
            </w:tcBorders>
            <w:vAlign w:val="center"/>
            <w:hideMark/>
          </w:tcPr>
          <w:p w14:paraId="26E838FC" w14:textId="77777777" w:rsidR="008061C3" w:rsidRPr="00FA433F" w:rsidRDefault="008061C3">
            <w:pPr>
              <w:spacing w:before="0" w:after="0"/>
              <w:jc w:val="center"/>
              <w:rPr>
                <w:rFonts w:eastAsia="Times New Roman"/>
                <w:b/>
                <w:bCs/>
                <w:noProof/>
                <w:color w:val="000000"/>
                <w:sz w:val="20"/>
                <w:szCs w:val="20"/>
              </w:rPr>
            </w:pPr>
            <w:r w:rsidRPr="00FA433F">
              <w:rPr>
                <w:b/>
                <w:noProof/>
                <w:color w:val="000000" w:themeColor="text1"/>
                <w:sz w:val="20"/>
              </w:rPr>
              <w:t>2031</w:t>
            </w:r>
          </w:p>
        </w:tc>
        <w:tc>
          <w:tcPr>
            <w:tcW w:w="601" w:type="pct"/>
            <w:vMerge/>
            <w:tcBorders>
              <w:top w:val="single" w:sz="8" w:space="0" w:color="auto"/>
              <w:left w:val="single" w:sz="8" w:space="0" w:color="auto"/>
              <w:bottom w:val="single" w:sz="8" w:space="0" w:color="000000"/>
              <w:right w:val="single" w:sz="8" w:space="0" w:color="auto"/>
            </w:tcBorders>
            <w:vAlign w:val="center"/>
            <w:hideMark/>
          </w:tcPr>
          <w:p w14:paraId="35DEE880" w14:textId="77777777" w:rsidR="008061C3" w:rsidRPr="00FA433F" w:rsidRDefault="008061C3">
            <w:pPr>
              <w:spacing w:before="0" w:after="0"/>
              <w:jc w:val="left"/>
              <w:rPr>
                <w:rFonts w:eastAsia="Times New Roman"/>
                <w:b/>
                <w:bCs/>
                <w:noProof/>
                <w:color w:val="000000"/>
                <w:sz w:val="20"/>
                <w:szCs w:val="20"/>
                <w:lang w:eastAsia="en-IE"/>
              </w:rPr>
            </w:pPr>
          </w:p>
        </w:tc>
      </w:tr>
      <w:tr w:rsidR="008061C3" w:rsidRPr="00FA433F" w14:paraId="2DCF4AA3" w14:textId="77777777" w:rsidTr="008061C3">
        <w:trPr>
          <w:trHeight w:val="790"/>
        </w:trPr>
        <w:tc>
          <w:tcPr>
            <w:tcW w:w="899" w:type="pct"/>
            <w:tcBorders>
              <w:top w:val="nil"/>
              <w:left w:val="single" w:sz="8" w:space="0" w:color="auto"/>
              <w:bottom w:val="single" w:sz="8" w:space="0" w:color="auto"/>
              <w:right w:val="single" w:sz="8" w:space="0" w:color="auto"/>
            </w:tcBorders>
            <w:vAlign w:val="center"/>
            <w:hideMark/>
          </w:tcPr>
          <w:p w14:paraId="299B2969" w14:textId="77777777" w:rsidR="008061C3" w:rsidRPr="00FA433F" w:rsidRDefault="008061C3">
            <w:pPr>
              <w:spacing w:before="0" w:after="0"/>
              <w:jc w:val="left"/>
              <w:rPr>
                <w:rFonts w:eastAsia="Times New Roman"/>
                <w:noProof/>
                <w:color w:val="000000"/>
                <w:sz w:val="20"/>
                <w:szCs w:val="20"/>
              </w:rPr>
            </w:pPr>
            <w:r w:rsidRPr="00FA433F">
              <w:rPr>
                <w:noProof/>
                <w:color w:val="000000"/>
                <w:sz w:val="20"/>
              </w:rPr>
              <w:t xml:space="preserve">Wydatki na IT (ponoszone przez organizację) </w:t>
            </w:r>
          </w:p>
        </w:tc>
        <w:tc>
          <w:tcPr>
            <w:tcW w:w="583" w:type="pct"/>
            <w:tcBorders>
              <w:top w:val="nil"/>
              <w:left w:val="nil"/>
              <w:bottom w:val="single" w:sz="8" w:space="0" w:color="auto"/>
              <w:right w:val="single" w:sz="8" w:space="0" w:color="auto"/>
            </w:tcBorders>
            <w:shd w:val="clear" w:color="000000" w:fill="D9D9D9"/>
            <w:vAlign w:val="center"/>
            <w:hideMark/>
          </w:tcPr>
          <w:p w14:paraId="40907BA8" w14:textId="77777777" w:rsidR="008061C3" w:rsidRPr="00FA433F" w:rsidRDefault="008061C3">
            <w:pPr>
              <w:spacing w:before="0" w:after="0"/>
              <w:jc w:val="right"/>
              <w:rPr>
                <w:rFonts w:eastAsia="Times New Roman"/>
                <w:noProof/>
                <w:color w:val="000000"/>
                <w:sz w:val="20"/>
                <w:szCs w:val="20"/>
              </w:rPr>
            </w:pPr>
            <w:r w:rsidRPr="00FA433F">
              <w:rPr>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01E4C60F" w14:textId="77777777" w:rsidR="008061C3" w:rsidRPr="00FA433F" w:rsidRDefault="008061C3">
            <w:pPr>
              <w:spacing w:before="0" w:after="0"/>
              <w:jc w:val="right"/>
              <w:rPr>
                <w:rFonts w:eastAsia="Times New Roman"/>
                <w:noProof/>
                <w:color w:val="000000"/>
                <w:sz w:val="20"/>
                <w:szCs w:val="20"/>
              </w:rPr>
            </w:pPr>
            <w:r w:rsidRPr="00FA433F">
              <w:rPr>
                <w:noProof/>
                <w:color w:val="000000" w:themeColor="text1"/>
                <w:sz w:val="20"/>
              </w:rPr>
              <w:t>0</w:t>
            </w:r>
          </w:p>
        </w:tc>
        <w:tc>
          <w:tcPr>
            <w:tcW w:w="581" w:type="pct"/>
            <w:tcBorders>
              <w:top w:val="nil"/>
              <w:left w:val="nil"/>
              <w:bottom w:val="single" w:sz="8" w:space="0" w:color="auto"/>
              <w:right w:val="single" w:sz="8" w:space="0" w:color="auto"/>
            </w:tcBorders>
            <w:shd w:val="clear" w:color="000000" w:fill="D9D9D9"/>
            <w:vAlign w:val="center"/>
            <w:hideMark/>
          </w:tcPr>
          <w:p w14:paraId="408EE1C0" w14:textId="77777777" w:rsidR="008061C3" w:rsidRPr="00FA433F" w:rsidRDefault="008061C3">
            <w:pPr>
              <w:spacing w:before="0" w:after="0"/>
              <w:jc w:val="right"/>
              <w:rPr>
                <w:rFonts w:eastAsia="Times New Roman"/>
                <w:noProof/>
                <w:color w:val="000000"/>
                <w:sz w:val="20"/>
                <w:szCs w:val="20"/>
              </w:rPr>
            </w:pPr>
            <w:r w:rsidRPr="00FA433F">
              <w:rPr>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44775459" w14:textId="77777777" w:rsidR="008061C3" w:rsidRPr="00FA433F" w:rsidRDefault="008061C3">
            <w:pPr>
              <w:spacing w:before="0" w:after="0"/>
              <w:jc w:val="right"/>
              <w:rPr>
                <w:rFonts w:eastAsia="Times New Roman"/>
                <w:noProof/>
                <w:color w:val="000000"/>
                <w:sz w:val="20"/>
                <w:szCs w:val="20"/>
              </w:rPr>
            </w:pPr>
            <w:r w:rsidRPr="00FA433F">
              <w:rPr>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30EBC3C2" w14:textId="77777777" w:rsidR="008061C3" w:rsidRPr="00FA433F" w:rsidRDefault="008061C3">
            <w:pPr>
              <w:spacing w:before="0" w:after="0"/>
              <w:jc w:val="right"/>
              <w:rPr>
                <w:rFonts w:eastAsia="Times New Roman"/>
                <w:noProof/>
                <w:color w:val="000000"/>
                <w:sz w:val="20"/>
                <w:szCs w:val="20"/>
              </w:rPr>
            </w:pPr>
            <w:r w:rsidRPr="00FA433F">
              <w:rPr>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5FC1B2C1" w14:textId="77777777" w:rsidR="008061C3" w:rsidRPr="00FA433F" w:rsidRDefault="008061C3">
            <w:pPr>
              <w:spacing w:before="0" w:after="0"/>
              <w:jc w:val="right"/>
              <w:rPr>
                <w:rFonts w:eastAsia="Times New Roman"/>
                <w:noProof/>
                <w:color w:val="000000"/>
                <w:sz w:val="20"/>
                <w:szCs w:val="20"/>
              </w:rPr>
            </w:pPr>
            <w:r w:rsidRPr="00FA433F">
              <w:rPr>
                <w:noProof/>
                <w:color w:val="000000" w:themeColor="text1"/>
                <w:sz w:val="20"/>
              </w:rPr>
              <w:t>0</w:t>
            </w:r>
          </w:p>
        </w:tc>
        <w:tc>
          <w:tcPr>
            <w:tcW w:w="601" w:type="pct"/>
            <w:tcBorders>
              <w:top w:val="nil"/>
              <w:left w:val="nil"/>
              <w:bottom w:val="single" w:sz="8" w:space="0" w:color="auto"/>
              <w:right w:val="single" w:sz="8" w:space="0" w:color="auto"/>
            </w:tcBorders>
            <w:shd w:val="clear" w:color="000000" w:fill="D9D9D9"/>
            <w:vAlign w:val="center"/>
            <w:hideMark/>
          </w:tcPr>
          <w:p w14:paraId="24F388AE"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r>
      <w:tr w:rsidR="008061C3" w:rsidRPr="00FA433F" w14:paraId="04D18DF2" w14:textId="77777777" w:rsidTr="008061C3">
        <w:trPr>
          <w:trHeight w:val="430"/>
        </w:trPr>
        <w:tc>
          <w:tcPr>
            <w:tcW w:w="899" w:type="pct"/>
            <w:tcBorders>
              <w:top w:val="nil"/>
              <w:left w:val="single" w:sz="8" w:space="0" w:color="auto"/>
              <w:bottom w:val="single" w:sz="8" w:space="0" w:color="auto"/>
              <w:right w:val="single" w:sz="8" w:space="0" w:color="auto"/>
            </w:tcBorders>
            <w:shd w:val="clear" w:color="000000" w:fill="CCCCCC"/>
            <w:vAlign w:val="center"/>
            <w:hideMark/>
          </w:tcPr>
          <w:p w14:paraId="046F1760" w14:textId="77777777" w:rsidR="008061C3" w:rsidRPr="00FA433F" w:rsidRDefault="008061C3">
            <w:pPr>
              <w:spacing w:before="0" w:after="0"/>
              <w:jc w:val="center"/>
              <w:rPr>
                <w:rFonts w:eastAsia="Times New Roman"/>
                <w:b/>
                <w:bCs/>
                <w:noProof/>
                <w:color w:val="000000"/>
                <w:sz w:val="20"/>
                <w:szCs w:val="20"/>
              </w:rPr>
            </w:pPr>
            <w:r w:rsidRPr="00FA433F">
              <w:rPr>
                <w:b/>
                <w:noProof/>
                <w:color w:val="000000" w:themeColor="text1"/>
                <w:sz w:val="20"/>
              </w:rPr>
              <w:t>Suma cząstkowa DZIAŁ 7</w:t>
            </w:r>
          </w:p>
        </w:tc>
        <w:tc>
          <w:tcPr>
            <w:tcW w:w="583" w:type="pct"/>
            <w:tcBorders>
              <w:top w:val="nil"/>
              <w:left w:val="nil"/>
              <w:bottom w:val="single" w:sz="8" w:space="0" w:color="auto"/>
              <w:right w:val="single" w:sz="8" w:space="0" w:color="auto"/>
            </w:tcBorders>
            <w:shd w:val="clear" w:color="000000" w:fill="D9D9D9"/>
            <w:vAlign w:val="center"/>
            <w:hideMark/>
          </w:tcPr>
          <w:p w14:paraId="34E06E48"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20F380AC"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1" w:type="pct"/>
            <w:tcBorders>
              <w:top w:val="nil"/>
              <w:left w:val="nil"/>
              <w:bottom w:val="single" w:sz="8" w:space="0" w:color="auto"/>
              <w:right w:val="single" w:sz="8" w:space="0" w:color="auto"/>
            </w:tcBorders>
            <w:shd w:val="clear" w:color="000000" w:fill="D9D9D9"/>
            <w:vAlign w:val="center"/>
            <w:hideMark/>
          </w:tcPr>
          <w:p w14:paraId="389C0905"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5512EA0B"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51A9910B"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712E4628"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601" w:type="pct"/>
            <w:tcBorders>
              <w:top w:val="nil"/>
              <w:left w:val="nil"/>
              <w:bottom w:val="single" w:sz="8" w:space="0" w:color="auto"/>
              <w:right w:val="single" w:sz="8" w:space="0" w:color="auto"/>
            </w:tcBorders>
            <w:shd w:val="clear" w:color="000000" w:fill="D9D9D9"/>
            <w:vAlign w:val="center"/>
            <w:hideMark/>
          </w:tcPr>
          <w:p w14:paraId="174673B4"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r>
      <w:tr w:rsidR="008061C3" w:rsidRPr="00FA433F" w14:paraId="3D1F87F3" w14:textId="77777777" w:rsidTr="008061C3">
        <w:trPr>
          <w:trHeight w:val="1570"/>
        </w:trPr>
        <w:tc>
          <w:tcPr>
            <w:tcW w:w="899" w:type="pct"/>
            <w:tcBorders>
              <w:top w:val="nil"/>
              <w:left w:val="single" w:sz="8" w:space="0" w:color="auto"/>
              <w:bottom w:val="single" w:sz="8" w:space="0" w:color="auto"/>
              <w:right w:val="single" w:sz="8" w:space="0" w:color="auto"/>
            </w:tcBorders>
            <w:vAlign w:val="center"/>
            <w:hideMark/>
          </w:tcPr>
          <w:p w14:paraId="763F3050" w14:textId="7B248F8B" w:rsidR="008061C3" w:rsidRPr="00FA433F" w:rsidRDefault="008061C3">
            <w:pPr>
              <w:spacing w:before="0" w:after="0"/>
              <w:jc w:val="left"/>
              <w:rPr>
                <w:rFonts w:eastAsia="Times New Roman"/>
                <w:noProof/>
                <w:color w:val="000000"/>
                <w:sz w:val="20"/>
                <w:szCs w:val="20"/>
              </w:rPr>
            </w:pPr>
            <w:r w:rsidRPr="00FA433F">
              <w:rPr>
                <w:noProof/>
                <w:color w:val="000000"/>
                <w:sz w:val="20"/>
              </w:rPr>
              <w:t>Wydatki na IT wynikające</w:t>
            </w:r>
            <w:r w:rsidR="00FA433F" w:rsidRPr="00FA433F">
              <w:rPr>
                <w:noProof/>
                <w:color w:val="000000"/>
                <w:sz w:val="20"/>
              </w:rPr>
              <w:t xml:space="preserve"> z</w:t>
            </w:r>
            <w:r w:rsidR="00FA433F">
              <w:rPr>
                <w:noProof/>
                <w:color w:val="000000"/>
                <w:sz w:val="20"/>
              </w:rPr>
              <w:t> </w:t>
            </w:r>
            <w:r w:rsidR="00FA433F" w:rsidRPr="00FA433F">
              <w:rPr>
                <w:noProof/>
                <w:color w:val="000000"/>
                <w:sz w:val="20"/>
              </w:rPr>
              <w:t>rea</w:t>
            </w:r>
            <w:r w:rsidRPr="00FA433F">
              <w:rPr>
                <w:noProof/>
                <w:color w:val="000000"/>
                <w:sz w:val="20"/>
              </w:rPr>
              <w:t>lizacji polityki tytułem programów operacyjnych</w:t>
            </w:r>
          </w:p>
        </w:tc>
        <w:tc>
          <w:tcPr>
            <w:tcW w:w="583" w:type="pct"/>
            <w:tcBorders>
              <w:top w:val="nil"/>
              <w:left w:val="nil"/>
              <w:bottom w:val="single" w:sz="8" w:space="0" w:color="auto"/>
              <w:right w:val="single" w:sz="8" w:space="0" w:color="auto"/>
            </w:tcBorders>
            <w:shd w:val="clear" w:color="000000" w:fill="D9D9D9"/>
            <w:vAlign w:val="center"/>
            <w:hideMark/>
          </w:tcPr>
          <w:p w14:paraId="712D5E20" w14:textId="77777777" w:rsidR="008061C3" w:rsidRPr="00FA433F" w:rsidRDefault="008061C3">
            <w:pPr>
              <w:spacing w:before="0" w:after="0"/>
              <w:jc w:val="right"/>
              <w:rPr>
                <w:rFonts w:eastAsia="Times New Roman"/>
                <w:noProof/>
                <w:color w:val="000000"/>
                <w:sz w:val="20"/>
                <w:szCs w:val="20"/>
              </w:rPr>
            </w:pPr>
            <w:r w:rsidRPr="00FA433F">
              <w:rPr>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7480F592" w14:textId="77777777" w:rsidR="008061C3" w:rsidRPr="00FA433F" w:rsidRDefault="008061C3">
            <w:pPr>
              <w:spacing w:before="0" w:after="0"/>
              <w:jc w:val="right"/>
              <w:rPr>
                <w:rFonts w:eastAsia="Times New Roman"/>
                <w:noProof/>
                <w:color w:val="000000"/>
                <w:sz w:val="20"/>
                <w:szCs w:val="20"/>
              </w:rPr>
            </w:pPr>
            <w:r w:rsidRPr="00FA433F">
              <w:rPr>
                <w:noProof/>
                <w:color w:val="000000" w:themeColor="text1"/>
                <w:sz w:val="20"/>
              </w:rPr>
              <w:t>0</w:t>
            </w:r>
          </w:p>
        </w:tc>
        <w:tc>
          <w:tcPr>
            <w:tcW w:w="581" w:type="pct"/>
            <w:tcBorders>
              <w:top w:val="nil"/>
              <w:left w:val="nil"/>
              <w:bottom w:val="single" w:sz="8" w:space="0" w:color="auto"/>
              <w:right w:val="single" w:sz="8" w:space="0" w:color="auto"/>
            </w:tcBorders>
            <w:shd w:val="clear" w:color="000000" w:fill="D9D9D9"/>
            <w:vAlign w:val="center"/>
            <w:hideMark/>
          </w:tcPr>
          <w:p w14:paraId="1259DD4D" w14:textId="77777777" w:rsidR="008061C3" w:rsidRPr="00FA433F" w:rsidRDefault="008061C3">
            <w:pPr>
              <w:spacing w:before="0" w:after="0"/>
              <w:jc w:val="right"/>
              <w:rPr>
                <w:rFonts w:eastAsia="Times New Roman"/>
                <w:noProof/>
                <w:color w:val="000000"/>
                <w:sz w:val="20"/>
                <w:szCs w:val="20"/>
              </w:rPr>
            </w:pPr>
            <w:r w:rsidRPr="00FA433F">
              <w:rPr>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1C8B7ECF" w14:textId="77777777" w:rsidR="008061C3" w:rsidRPr="00FA433F" w:rsidRDefault="008061C3">
            <w:pPr>
              <w:spacing w:before="0" w:after="0"/>
              <w:jc w:val="right"/>
              <w:rPr>
                <w:rFonts w:eastAsia="Times New Roman"/>
                <w:noProof/>
                <w:color w:val="000000"/>
                <w:sz w:val="20"/>
                <w:szCs w:val="20"/>
              </w:rPr>
            </w:pPr>
            <w:r w:rsidRPr="00FA433F">
              <w:rPr>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2E8C88A4" w14:textId="77777777" w:rsidR="008061C3" w:rsidRPr="00FA433F" w:rsidRDefault="008061C3">
            <w:pPr>
              <w:spacing w:before="0" w:after="0"/>
              <w:jc w:val="right"/>
              <w:rPr>
                <w:rFonts w:eastAsia="Times New Roman"/>
                <w:noProof/>
                <w:color w:val="000000"/>
                <w:sz w:val="20"/>
                <w:szCs w:val="20"/>
              </w:rPr>
            </w:pPr>
            <w:r w:rsidRPr="00FA433F">
              <w:rPr>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6062D351" w14:textId="77777777" w:rsidR="008061C3" w:rsidRPr="00FA433F" w:rsidRDefault="008061C3">
            <w:pPr>
              <w:spacing w:before="0" w:after="0"/>
              <w:jc w:val="right"/>
              <w:rPr>
                <w:rFonts w:eastAsia="Times New Roman"/>
                <w:noProof/>
                <w:color w:val="000000"/>
                <w:sz w:val="20"/>
                <w:szCs w:val="20"/>
              </w:rPr>
            </w:pPr>
            <w:r w:rsidRPr="00FA433F">
              <w:rPr>
                <w:noProof/>
                <w:color w:val="000000" w:themeColor="text1"/>
                <w:sz w:val="20"/>
              </w:rPr>
              <w:t>0</w:t>
            </w:r>
          </w:p>
        </w:tc>
        <w:tc>
          <w:tcPr>
            <w:tcW w:w="601" w:type="pct"/>
            <w:tcBorders>
              <w:top w:val="nil"/>
              <w:left w:val="nil"/>
              <w:bottom w:val="single" w:sz="8" w:space="0" w:color="auto"/>
              <w:right w:val="single" w:sz="8" w:space="0" w:color="auto"/>
            </w:tcBorders>
            <w:shd w:val="clear" w:color="000000" w:fill="D9D9D9"/>
            <w:vAlign w:val="center"/>
            <w:hideMark/>
          </w:tcPr>
          <w:p w14:paraId="4A51BF2A"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r>
      <w:tr w:rsidR="008061C3" w:rsidRPr="00FA433F" w14:paraId="7CC756C4" w14:textId="77777777" w:rsidTr="008061C3">
        <w:trPr>
          <w:trHeight w:val="640"/>
        </w:trPr>
        <w:tc>
          <w:tcPr>
            <w:tcW w:w="899" w:type="pct"/>
            <w:tcBorders>
              <w:top w:val="nil"/>
              <w:left w:val="single" w:sz="8" w:space="0" w:color="auto"/>
              <w:bottom w:val="single" w:sz="8" w:space="0" w:color="auto"/>
              <w:right w:val="single" w:sz="8" w:space="0" w:color="auto"/>
            </w:tcBorders>
            <w:shd w:val="clear" w:color="000000" w:fill="CCCCCC"/>
            <w:vAlign w:val="center"/>
            <w:hideMark/>
          </w:tcPr>
          <w:p w14:paraId="7DAF3902" w14:textId="77777777" w:rsidR="008061C3" w:rsidRPr="00FA433F" w:rsidRDefault="008061C3">
            <w:pPr>
              <w:spacing w:before="0" w:after="0"/>
              <w:jc w:val="center"/>
              <w:rPr>
                <w:rFonts w:eastAsia="Times New Roman"/>
                <w:b/>
                <w:bCs/>
                <w:noProof/>
                <w:color w:val="000000"/>
                <w:sz w:val="20"/>
                <w:szCs w:val="20"/>
              </w:rPr>
            </w:pPr>
            <w:r w:rsidRPr="00FA433F">
              <w:rPr>
                <w:b/>
                <w:noProof/>
                <w:color w:val="000000" w:themeColor="text1"/>
                <w:sz w:val="20"/>
              </w:rPr>
              <w:t>Suma cząstkowa poza DZIAŁEM 7</w:t>
            </w:r>
          </w:p>
        </w:tc>
        <w:tc>
          <w:tcPr>
            <w:tcW w:w="583" w:type="pct"/>
            <w:tcBorders>
              <w:top w:val="nil"/>
              <w:left w:val="nil"/>
              <w:bottom w:val="single" w:sz="8" w:space="0" w:color="auto"/>
              <w:right w:val="single" w:sz="8" w:space="0" w:color="auto"/>
            </w:tcBorders>
            <w:shd w:val="clear" w:color="000000" w:fill="D9D9D9"/>
            <w:vAlign w:val="center"/>
            <w:hideMark/>
          </w:tcPr>
          <w:p w14:paraId="462B09B9"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7C20CBC1"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1" w:type="pct"/>
            <w:tcBorders>
              <w:top w:val="nil"/>
              <w:left w:val="nil"/>
              <w:bottom w:val="single" w:sz="8" w:space="0" w:color="auto"/>
              <w:right w:val="single" w:sz="8" w:space="0" w:color="auto"/>
            </w:tcBorders>
            <w:shd w:val="clear" w:color="000000" w:fill="D9D9D9"/>
            <w:vAlign w:val="center"/>
            <w:hideMark/>
          </w:tcPr>
          <w:p w14:paraId="1135AB3E"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52F73460"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70A13252"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4" w:type="pct"/>
            <w:tcBorders>
              <w:top w:val="nil"/>
              <w:left w:val="nil"/>
              <w:bottom w:val="single" w:sz="8" w:space="0" w:color="auto"/>
              <w:right w:val="single" w:sz="8" w:space="0" w:color="auto"/>
            </w:tcBorders>
            <w:shd w:val="clear" w:color="000000" w:fill="D9D9D9"/>
            <w:vAlign w:val="center"/>
            <w:hideMark/>
          </w:tcPr>
          <w:p w14:paraId="73145FC2"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601" w:type="pct"/>
            <w:tcBorders>
              <w:top w:val="nil"/>
              <w:left w:val="nil"/>
              <w:bottom w:val="single" w:sz="8" w:space="0" w:color="auto"/>
              <w:right w:val="single" w:sz="8" w:space="0" w:color="auto"/>
            </w:tcBorders>
            <w:shd w:val="clear" w:color="000000" w:fill="D9D9D9"/>
            <w:vAlign w:val="center"/>
            <w:hideMark/>
          </w:tcPr>
          <w:p w14:paraId="6FAA8BF0"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r>
      <w:tr w:rsidR="008061C3" w:rsidRPr="00FA433F" w14:paraId="76340599" w14:textId="77777777" w:rsidTr="008061C3">
        <w:trPr>
          <w:trHeight w:val="300"/>
        </w:trPr>
        <w:tc>
          <w:tcPr>
            <w:tcW w:w="899" w:type="pct"/>
            <w:tcBorders>
              <w:top w:val="nil"/>
              <w:left w:val="single" w:sz="12" w:space="0" w:color="auto"/>
              <w:bottom w:val="single" w:sz="12" w:space="0" w:color="auto"/>
              <w:right w:val="single" w:sz="8" w:space="0" w:color="auto"/>
            </w:tcBorders>
            <w:vAlign w:val="center"/>
            <w:hideMark/>
          </w:tcPr>
          <w:p w14:paraId="0658A2A7" w14:textId="77777777" w:rsidR="008061C3" w:rsidRPr="00FA433F" w:rsidRDefault="008061C3">
            <w:pPr>
              <w:spacing w:before="0" w:after="0"/>
              <w:jc w:val="center"/>
              <w:rPr>
                <w:rFonts w:eastAsia="Times New Roman"/>
                <w:b/>
                <w:bCs/>
                <w:noProof/>
                <w:color w:val="000000"/>
                <w:sz w:val="20"/>
                <w:szCs w:val="20"/>
              </w:rPr>
            </w:pPr>
            <w:r w:rsidRPr="00FA433F">
              <w:rPr>
                <w:b/>
                <w:noProof/>
                <w:color w:val="000000" w:themeColor="text1"/>
                <w:sz w:val="20"/>
              </w:rPr>
              <w:t>OGÓŁEM</w:t>
            </w:r>
          </w:p>
        </w:tc>
        <w:tc>
          <w:tcPr>
            <w:tcW w:w="583" w:type="pct"/>
            <w:tcBorders>
              <w:top w:val="nil"/>
              <w:left w:val="nil"/>
              <w:bottom w:val="single" w:sz="12" w:space="0" w:color="auto"/>
              <w:right w:val="single" w:sz="8" w:space="0" w:color="auto"/>
            </w:tcBorders>
            <w:shd w:val="clear" w:color="000000" w:fill="D9D9D9"/>
            <w:vAlign w:val="center"/>
            <w:hideMark/>
          </w:tcPr>
          <w:p w14:paraId="1164A77A"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4" w:type="pct"/>
            <w:tcBorders>
              <w:top w:val="nil"/>
              <w:left w:val="nil"/>
              <w:bottom w:val="single" w:sz="12" w:space="0" w:color="auto"/>
              <w:right w:val="single" w:sz="8" w:space="0" w:color="auto"/>
            </w:tcBorders>
            <w:shd w:val="clear" w:color="000000" w:fill="D9D9D9"/>
            <w:vAlign w:val="center"/>
            <w:hideMark/>
          </w:tcPr>
          <w:p w14:paraId="5D79BFBF"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1" w:type="pct"/>
            <w:tcBorders>
              <w:top w:val="nil"/>
              <w:left w:val="nil"/>
              <w:bottom w:val="single" w:sz="12" w:space="0" w:color="auto"/>
              <w:right w:val="single" w:sz="8" w:space="0" w:color="auto"/>
            </w:tcBorders>
            <w:shd w:val="clear" w:color="000000" w:fill="D9D9D9"/>
            <w:vAlign w:val="center"/>
            <w:hideMark/>
          </w:tcPr>
          <w:p w14:paraId="22BDE6B8"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4" w:type="pct"/>
            <w:tcBorders>
              <w:top w:val="nil"/>
              <w:left w:val="nil"/>
              <w:bottom w:val="single" w:sz="12" w:space="0" w:color="auto"/>
              <w:right w:val="single" w:sz="8" w:space="0" w:color="auto"/>
            </w:tcBorders>
            <w:shd w:val="clear" w:color="000000" w:fill="D9D9D9"/>
            <w:vAlign w:val="center"/>
            <w:hideMark/>
          </w:tcPr>
          <w:p w14:paraId="6A48DCA2"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4" w:type="pct"/>
            <w:tcBorders>
              <w:top w:val="nil"/>
              <w:left w:val="nil"/>
              <w:bottom w:val="single" w:sz="12" w:space="0" w:color="auto"/>
              <w:right w:val="single" w:sz="8" w:space="0" w:color="auto"/>
            </w:tcBorders>
            <w:shd w:val="clear" w:color="000000" w:fill="D9D9D9"/>
            <w:vAlign w:val="center"/>
            <w:hideMark/>
          </w:tcPr>
          <w:p w14:paraId="0845311C"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584" w:type="pct"/>
            <w:tcBorders>
              <w:top w:val="nil"/>
              <w:left w:val="nil"/>
              <w:bottom w:val="single" w:sz="12" w:space="0" w:color="auto"/>
              <w:right w:val="single" w:sz="8" w:space="0" w:color="auto"/>
            </w:tcBorders>
            <w:shd w:val="clear" w:color="000000" w:fill="D9D9D9"/>
            <w:vAlign w:val="center"/>
            <w:hideMark/>
          </w:tcPr>
          <w:p w14:paraId="6179B51E"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c>
          <w:tcPr>
            <w:tcW w:w="601" w:type="pct"/>
            <w:tcBorders>
              <w:top w:val="nil"/>
              <w:left w:val="nil"/>
              <w:bottom w:val="single" w:sz="12" w:space="0" w:color="auto"/>
              <w:right w:val="single" w:sz="8" w:space="0" w:color="auto"/>
            </w:tcBorders>
            <w:shd w:val="clear" w:color="000000" w:fill="D9D9D9"/>
            <w:vAlign w:val="center"/>
            <w:hideMark/>
          </w:tcPr>
          <w:p w14:paraId="152637B6" w14:textId="77777777" w:rsidR="008061C3" w:rsidRPr="00FA433F" w:rsidRDefault="008061C3">
            <w:pPr>
              <w:spacing w:before="0" w:after="0"/>
              <w:jc w:val="right"/>
              <w:rPr>
                <w:rFonts w:eastAsia="Times New Roman"/>
                <w:b/>
                <w:bCs/>
                <w:noProof/>
                <w:color w:val="000000"/>
                <w:sz w:val="20"/>
                <w:szCs w:val="20"/>
              </w:rPr>
            </w:pPr>
            <w:r w:rsidRPr="00FA433F">
              <w:rPr>
                <w:b/>
                <w:noProof/>
                <w:color w:val="000000" w:themeColor="text1"/>
                <w:sz w:val="20"/>
              </w:rPr>
              <w:t>0</w:t>
            </w:r>
          </w:p>
        </w:tc>
      </w:tr>
    </w:tbl>
    <w:p w14:paraId="44C7BF89" w14:textId="77777777" w:rsidR="008A4C15" w:rsidRPr="00FA433F" w:rsidRDefault="008A4C15" w:rsidP="008061C3">
      <w:pPr>
        <w:pStyle w:val="Text1"/>
        <w:spacing w:line="259" w:lineRule="auto"/>
        <w:ind w:left="0"/>
        <w:rPr>
          <w:noProof/>
        </w:rPr>
      </w:pPr>
      <w:r w:rsidRPr="00FA433F">
        <w:rPr>
          <w:noProof/>
        </w:rPr>
        <w:t xml:space="preserve"> </w:t>
      </w:r>
    </w:p>
    <w:p w14:paraId="3E0BB579" w14:textId="481520DB" w:rsidR="008A4C15" w:rsidRPr="00FA433F" w:rsidRDefault="008A4C15">
      <w:pPr>
        <w:pStyle w:val="ManualHeading3"/>
        <w:rPr>
          <w:noProof/>
        </w:rPr>
      </w:pPr>
      <w:bookmarkStart w:id="169" w:name="_Toc514938056"/>
      <w:bookmarkStart w:id="170" w:name="_Toc520485055"/>
      <w:bookmarkStart w:id="171" w:name="_Toc160804599"/>
      <w:bookmarkStart w:id="172" w:name="_Toc167220298"/>
      <w:bookmarkStart w:id="173" w:name="_Toc177549032"/>
      <w:bookmarkEnd w:id="167"/>
      <w:r w:rsidRPr="00FA433F">
        <w:rPr>
          <w:noProof/>
        </w:rPr>
        <w:t>3.2.6.</w:t>
      </w:r>
      <w:r w:rsidRPr="00FA433F">
        <w:rPr>
          <w:noProof/>
        </w:rPr>
        <w:tab/>
        <w:t>Zgodność</w:t>
      </w:r>
      <w:r w:rsidR="00FA433F" w:rsidRPr="00FA433F">
        <w:rPr>
          <w:noProof/>
        </w:rPr>
        <w:t xml:space="preserve"> z</w:t>
      </w:r>
      <w:r w:rsidR="00FA433F">
        <w:rPr>
          <w:noProof/>
        </w:rPr>
        <w:t> </w:t>
      </w:r>
      <w:r w:rsidR="00FA433F" w:rsidRPr="00FA433F">
        <w:rPr>
          <w:noProof/>
        </w:rPr>
        <w:t>obo</w:t>
      </w:r>
      <w:r w:rsidRPr="00FA433F">
        <w:rPr>
          <w:noProof/>
        </w:rPr>
        <w:t>wiązującymi wieloletnimi ramami finansowymi</w:t>
      </w:r>
      <w:bookmarkEnd w:id="169"/>
      <w:bookmarkEnd w:id="170"/>
      <w:bookmarkEnd w:id="171"/>
      <w:bookmarkEnd w:id="172"/>
      <w:bookmarkEnd w:id="173"/>
      <w:r w:rsidRPr="00FA433F">
        <w:rPr>
          <w:noProof/>
        </w:rPr>
        <w:t xml:space="preserve"> </w:t>
      </w:r>
    </w:p>
    <w:p w14:paraId="623DC077" w14:textId="77777777" w:rsidR="008A4C15" w:rsidRPr="00FA433F" w:rsidRDefault="008A4C15">
      <w:pPr>
        <w:pStyle w:val="Text1"/>
        <w:rPr>
          <w:noProof/>
        </w:rPr>
      </w:pPr>
      <w:r w:rsidRPr="00FA433F">
        <w:rPr>
          <w:noProof/>
        </w:rPr>
        <w:t>Wniosek/inicjatywa:</w:t>
      </w:r>
    </w:p>
    <w:p w14:paraId="760D8971" w14:textId="3AF1C0A2" w:rsidR="008A4C15" w:rsidRPr="00FA433F" w:rsidRDefault="001154D9">
      <w:pPr>
        <w:pStyle w:val="ListDash1"/>
        <w:rPr>
          <w:noProof/>
        </w:rPr>
      </w:pPr>
      <w:r w:rsidRPr="00FA433F">
        <w:rPr>
          <w:rFonts w:ascii="Wingdings" w:hAnsi="Wingdings"/>
          <w:noProof/>
        </w:rPr>
        <w:t></w:t>
      </w:r>
      <w:r w:rsidRPr="00FA433F">
        <w:rPr>
          <w:noProof/>
        </w:rPr>
        <w:tab/>
        <w:t>może zostać</w:t>
      </w:r>
      <w:r w:rsidR="00FA433F" w:rsidRPr="00FA433F">
        <w:rPr>
          <w:noProof/>
        </w:rPr>
        <w:t xml:space="preserve"> w</w:t>
      </w:r>
      <w:r w:rsidR="00FA433F">
        <w:rPr>
          <w:noProof/>
        </w:rPr>
        <w:t> </w:t>
      </w:r>
      <w:r w:rsidR="00FA433F" w:rsidRPr="00FA433F">
        <w:rPr>
          <w:noProof/>
        </w:rPr>
        <w:t>peł</w:t>
      </w:r>
      <w:r w:rsidRPr="00FA433F">
        <w:rPr>
          <w:noProof/>
        </w:rPr>
        <w:t>ni sfinansowany(-a) przez przegrupowanie środków</w:t>
      </w:r>
      <w:r w:rsidR="00FA433F" w:rsidRPr="00FA433F">
        <w:rPr>
          <w:noProof/>
        </w:rPr>
        <w:t xml:space="preserve"> w</w:t>
      </w:r>
      <w:r w:rsidR="00FA433F">
        <w:rPr>
          <w:noProof/>
        </w:rPr>
        <w:t> </w:t>
      </w:r>
      <w:r w:rsidR="00FA433F" w:rsidRPr="00FA433F">
        <w:rPr>
          <w:noProof/>
        </w:rPr>
        <w:t>ram</w:t>
      </w:r>
      <w:r w:rsidRPr="00FA433F">
        <w:rPr>
          <w:noProof/>
        </w:rPr>
        <w:t>ach odpowiedniego działu wieloletnich ram finansowych (WRF)</w:t>
      </w:r>
    </w:p>
    <w:p w14:paraId="005EA9B1" w14:textId="77777777" w:rsidR="008A4C15" w:rsidRPr="00FA433F" w:rsidRDefault="002C49D9">
      <w:pPr>
        <w:pStyle w:val="Text1"/>
        <w:pBdr>
          <w:top w:val="single" w:sz="4" w:space="1" w:color="auto"/>
          <w:left w:val="single" w:sz="4" w:space="4" w:color="auto"/>
          <w:bottom w:val="single" w:sz="4" w:space="1" w:color="auto"/>
          <w:right w:val="single" w:sz="4" w:space="4" w:color="auto"/>
        </w:pBdr>
        <w:rPr>
          <w:noProof/>
        </w:rPr>
      </w:pPr>
      <w:r w:rsidRPr="00FA433F">
        <w:rPr>
          <w:noProof/>
        </w:rPr>
        <w:t>Nie dotyczy</w:t>
      </w:r>
    </w:p>
    <w:p w14:paraId="4AA0A5AB" w14:textId="558EB40D" w:rsidR="008A4C15" w:rsidRPr="00FA433F" w:rsidRDefault="008A4C15">
      <w:pPr>
        <w:pStyle w:val="ListDash1"/>
        <w:rPr>
          <w:noProof/>
        </w:rPr>
      </w:pPr>
      <w:r w:rsidRPr="00FA433F">
        <w:rPr>
          <w:noProof/>
        </w:rPr>
        <w:lastRenderedPageBreak/>
        <w:tab/>
        <w:t>wymaga zastosowania nieprzydzielonego marginesu środków</w:t>
      </w:r>
      <w:r w:rsidR="00FA433F" w:rsidRPr="00FA433F">
        <w:rPr>
          <w:noProof/>
        </w:rPr>
        <w:t xml:space="preserve"> w</w:t>
      </w:r>
      <w:r w:rsidR="00FA433F">
        <w:rPr>
          <w:noProof/>
        </w:rPr>
        <w:t> </w:t>
      </w:r>
      <w:r w:rsidR="00FA433F" w:rsidRPr="00FA433F">
        <w:rPr>
          <w:noProof/>
        </w:rPr>
        <w:t>ram</w:t>
      </w:r>
      <w:r w:rsidRPr="00FA433F">
        <w:rPr>
          <w:noProof/>
        </w:rPr>
        <w:t>ach odpowiedniego działu WRF lub zastosowania specjalnych instrumentów zdefiniowanych</w:t>
      </w:r>
      <w:r w:rsidR="00FA433F" w:rsidRPr="00FA433F">
        <w:rPr>
          <w:noProof/>
        </w:rPr>
        <w:t xml:space="preserve"> w</w:t>
      </w:r>
      <w:r w:rsidR="00FA433F">
        <w:rPr>
          <w:noProof/>
        </w:rPr>
        <w:t> </w:t>
      </w:r>
      <w:r w:rsidR="00FA433F" w:rsidRPr="00FA433F">
        <w:rPr>
          <w:noProof/>
        </w:rPr>
        <w:t>roz</w:t>
      </w:r>
      <w:r w:rsidRPr="00FA433F">
        <w:rPr>
          <w:noProof/>
        </w:rPr>
        <w:t>porządzeniu</w:t>
      </w:r>
      <w:r w:rsidR="00FA433F" w:rsidRPr="00FA433F">
        <w:rPr>
          <w:noProof/>
        </w:rPr>
        <w:t xml:space="preserve"> w</w:t>
      </w:r>
      <w:r w:rsidR="00FA433F">
        <w:rPr>
          <w:noProof/>
        </w:rPr>
        <w:t> </w:t>
      </w:r>
      <w:r w:rsidR="00FA433F" w:rsidRPr="00FA433F">
        <w:rPr>
          <w:noProof/>
        </w:rPr>
        <w:t>spr</w:t>
      </w:r>
      <w:r w:rsidRPr="00FA433F">
        <w:rPr>
          <w:noProof/>
        </w:rPr>
        <w:t>awie WRF</w:t>
      </w:r>
    </w:p>
    <w:p w14:paraId="10007E12" w14:textId="77777777" w:rsidR="008A4C15" w:rsidRPr="00FA433F" w:rsidRDefault="008A4C15">
      <w:pPr>
        <w:pStyle w:val="ListDash1"/>
        <w:rPr>
          <w:noProof/>
        </w:rPr>
      </w:pPr>
      <w:r w:rsidRPr="00FA433F">
        <w:rPr>
          <w:rFonts w:ascii="Wingdings" w:hAnsi="Wingdings"/>
          <w:noProof/>
        </w:rPr>
        <w:t></w:t>
      </w:r>
      <w:r w:rsidRPr="00FA433F">
        <w:rPr>
          <w:noProof/>
        </w:rPr>
        <w:tab/>
        <w:t>wymaga rewizji WRF</w:t>
      </w:r>
    </w:p>
    <w:p w14:paraId="7DF13E72" w14:textId="77777777" w:rsidR="008A4C15" w:rsidRPr="00FA433F" w:rsidRDefault="00D778C3">
      <w:pPr>
        <w:pStyle w:val="Text1"/>
        <w:pBdr>
          <w:top w:val="single" w:sz="4" w:space="1" w:color="auto"/>
          <w:left w:val="single" w:sz="4" w:space="4" w:color="auto"/>
          <w:bottom w:val="single" w:sz="4" w:space="1" w:color="auto"/>
          <w:right w:val="single" w:sz="4" w:space="4" w:color="auto"/>
        </w:pBdr>
        <w:rPr>
          <w:noProof/>
        </w:rPr>
      </w:pPr>
      <w:r w:rsidRPr="00FA433F">
        <w:rPr>
          <w:noProof/>
        </w:rPr>
        <w:t>Nie dotyczy</w:t>
      </w:r>
    </w:p>
    <w:p w14:paraId="2AF58750" w14:textId="2DF820BA" w:rsidR="008A4C15" w:rsidRPr="00FA433F" w:rsidRDefault="008A4C15">
      <w:pPr>
        <w:pStyle w:val="ManualHeading3"/>
        <w:rPr>
          <w:noProof/>
        </w:rPr>
      </w:pPr>
      <w:bookmarkStart w:id="174" w:name="_Toc514938058"/>
      <w:bookmarkStart w:id="175" w:name="_Toc520485056"/>
      <w:bookmarkStart w:id="176" w:name="_Toc160804600"/>
      <w:bookmarkStart w:id="177" w:name="_Toc167220299"/>
      <w:bookmarkStart w:id="178" w:name="_Toc177549033"/>
      <w:r w:rsidRPr="00FA433F">
        <w:rPr>
          <w:noProof/>
        </w:rPr>
        <w:t>3.2.7.</w:t>
      </w:r>
      <w:r w:rsidRPr="00FA433F">
        <w:rPr>
          <w:noProof/>
        </w:rPr>
        <w:tab/>
        <w:t>Udział osób trzecich</w:t>
      </w:r>
      <w:r w:rsidR="00FA433F" w:rsidRPr="00FA433F">
        <w:rPr>
          <w:noProof/>
        </w:rPr>
        <w:t xml:space="preserve"> w</w:t>
      </w:r>
      <w:r w:rsidR="00FA433F">
        <w:rPr>
          <w:noProof/>
        </w:rPr>
        <w:t> </w:t>
      </w:r>
      <w:r w:rsidR="00FA433F" w:rsidRPr="00FA433F">
        <w:rPr>
          <w:noProof/>
        </w:rPr>
        <w:t>fin</w:t>
      </w:r>
      <w:r w:rsidRPr="00FA433F">
        <w:rPr>
          <w:noProof/>
        </w:rPr>
        <w:t>ansowaniu</w:t>
      </w:r>
      <w:bookmarkEnd w:id="174"/>
      <w:bookmarkEnd w:id="175"/>
      <w:bookmarkEnd w:id="176"/>
      <w:bookmarkEnd w:id="177"/>
      <w:bookmarkEnd w:id="178"/>
      <w:r w:rsidRPr="00FA433F">
        <w:rPr>
          <w:noProof/>
        </w:rPr>
        <w:t xml:space="preserve"> </w:t>
      </w:r>
    </w:p>
    <w:p w14:paraId="2854D11F" w14:textId="77777777" w:rsidR="008A4C15" w:rsidRPr="00FA433F" w:rsidRDefault="008A4C15">
      <w:pPr>
        <w:pStyle w:val="Text1"/>
        <w:rPr>
          <w:noProof/>
        </w:rPr>
      </w:pPr>
      <w:r w:rsidRPr="00FA433F">
        <w:rPr>
          <w:noProof/>
        </w:rPr>
        <w:t>Wniosek/inicjatywa:</w:t>
      </w:r>
    </w:p>
    <w:p w14:paraId="58E7498F" w14:textId="77777777" w:rsidR="008A4C15" w:rsidRPr="00FA433F" w:rsidRDefault="008A4C15">
      <w:pPr>
        <w:pStyle w:val="ListDash1"/>
        <w:rPr>
          <w:noProof/>
        </w:rPr>
      </w:pPr>
      <w:r w:rsidRPr="00FA433F">
        <w:rPr>
          <w:rFonts w:ascii="Wingdings" w:hAnsi="Wingdings"/>
          <w:noProof/>
        </w:rPr>
        <w:t></w:t>
      </w:r>
      <w:r w:rsidRPr="00FA433F">
        <w:rPr>
          <w:noProof/>
        </w:rPr>
        <w:tab/>
        <w:t>nie przewiduje współfinansowania ze strony osób trzecich</w:t>
      </w:r>
    </w:p>
    <w:p w14:paraId="3BFDCEBD" w14:textId="0A459CBB" w:rsidR="008A4C15" w:rsidRPr="00FA433F" w:rsidRDefault="00A83403">
      <w:pPr>
        <w:pStyle w:val="ListDash1"/>
        <w:rPr>
          <w:noProof/>
        </w:rPr>
      </w:pPr>
      <w:r w:rsidRPr="00FA433F">
        <w:rPr>
          <w:rFonts w:ascii="Wingdings" w:hAnsi="Wingdings"/>
          <w:noProof/>
        </w:rPr>
        <w:t></w:t>
      </w:r>
      <w:r w:rsidRPr="00FA433F">
        <w:rPr>
          <w:noProof/>
        </w:rPr>
        <w:tab/>
        <w:t>przewiduje współfinansowanie ze strony osób trzecich zgodnie</w:t>
      </w:r>
      <w:r w:rsidR="00FA433F" w:rsidRPr="00FA433F">
        <w:rPr>
          <w:noProof/>
        </w:rPr>
        <w:t xml:space="preserve"> z</w:t>
      </w:r>
      <w:r w:rsidR="00FA433F">
        <w:rPr>
          <w:noProof/>
        </w:rPr>
        <w:t> </w:t>
      </w:r>
      <w:r w:rsidR="00FA433F" w:rsidRPr="00FA433F">
        <w:rPr>
          <w:noProof/>
        </w:rPr>
        <w:t>pon</w:t>
      </w:r>
      <w:r w:rsidRPr="00FA433F">
        <w:rPr>
          <w:noProof/>
        </w:rPr>
        <w:t>iższymi szacunkami:</w:t>
      </w:r>
    </w:p>
    <w:p w14:paraId="12F0EFB2" w14:textId="610C96AC" w:rsidR="008A4C15" w:rsidRPr="00FA433F" w:rsidRDefault="008A4C15">
      <w:pPr>
        <w:jc w:val="right"/>
        <w:rPr>
          <w:noProof/>
          <w:sz w:val="20"/>
        </w:rPr>
      </w:pPr>
      <w:r w:rsidRPr="00FA433F">
        <w:rPr>
          <w:noProof/>
          <w:sz w:val="20"/>
        </w:rPr>
        <w:t>środki</w:t>
      </w:r>
      <w:r w:rsidR="00FA433F" w:rsidRPr="00FA433F">
        <w:rPr>
          <w:noProof/>
          <w:sz w:val="20"/>
        </w:rPr>
        <w:t xml:space="preserve"> w</w:t>
      </w:r>
      <w:r w:rsidR="00FA433F">
        <w:rPr>
          <w:noProof/>
          <w:sz w:val="20"/>
        </w:rPr>
        <w:t> </w:t>
      </w:r>
      <w:r w:rsidR="00FA433F" w:rsidRPr="00FA433F">
        <w:rPr>
          <w:noProof/>
          <w:sz w:val="20"/>
        </w:rPr>
        <w:t>mln</w:t>
      </w:r>
      <w:r w:rsidRPr="00FA433F">
        <w:rPr>
          <w:noProof/>
          <w:sz w:val="20"/>
        </w:rPr>
        <w:t xml:space="preserve"> EUR (do trzech miejsc po przecinku)</w:t>
      </w:r>
    </w:p>
    <w:tbl>
      <w:tblPr>
        <w:tblW w:w="369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86"/>
        <w:gridCol w:w="1187"/>
        <w:gridCol w:w="1187"/>
        <w:gridCol w:w="1424"/>
      </w:tblGrid>
      <w:tr w:rsidR="00B95671" w:rsidRPr="00FA433F" w14:paraId="1B0DABFE" w14:textId="77777777" w:rsidTr="00B95671">
        <w:trPr>
          <w:cantSplit/>
        </w:trPr>
        <w:tc>
          <w:tcPr>
            <w:tcW w:w="2159" w:type="pct"/>
          </w:tcPr>
          <w:p w14:paraId="40283AA2" w14:textId="77777777" w:rsidR="00B95671" w:rsidRPr="00FA433F" w:rsidRDefault="00B95671">
            <w:pPr>
              <w:spacing w:before="60" w:after="60"/>
              <w:rPr>
                <w:noProof/>
                <w:sz w:val="20"/>
              </w:rPr>
            </w:pPr>
          </w:p>
        </w:tc>
        <w:tc>
          <w:tcPr>
            <w:tcW w:w="888" w:type="pct"/>
            <w:vAlign w:val="center"/>
          </w:tcPr>
          <w:p w14:paraId="625E30D1" w14:textId="621AD77D" w:rsidR="00B95671" w:rsidRPr="00FA433F" w:rsidRDefault="00B95671">
            <w:pPr>
              <w:jc w:val="center"/>
              <w:rPr>
                <w:noProof/>
                <w:sz w:val="20"/>
              </w:rPr>
            </w:pPr>
            <w:r w:rsidRPr="00FA433F">
              <w:rPr>
                <w:noProof/>
                <w:sz w:val="20"/>
              </w:rPr>
              <w:t xml:space="preserve">Rok </w:t>
            </w:r>
            <w:r w:rsidRPr="00FA433F">
              <w:rPr>
                <w:noProof/>
              </w:rPr>
              <w:br/>
            </w:r>
            <w:r w:rsidRPr="00FA433F">
              <w:rPr>
                <w:b/>
                <w:noProof/>
                <w:sz w:val="20"/>
              </w:rPr>
              <w:t>2028</w:t>
            </w:r>
          </w:p>
        </w:tc>
        <w:tc>
          <w:tcPr>
            <w:tcW w:w="888" w:type="pct"/>
            <w:vAlign w:val="center"/>
          </w:tcPr>
          <w:p w14:paraId="5283A534" w14:textId="3AC9BE1D" w:rsidR="00B95671" w:rsidRPr="00FA433F" w:rsidRDefault="00B95671">
            <w:pPr>
              <w:jc w:val="center"/>
              <w:rPr>
                <w:noProof/>
                <w:sz w:val="20"/>
              </w:rPr>
            </w:pPr>
            <w:r w:rsidRPr="00FA433F">
              <w:rPr>
                <w:noProof/>
                <w:sz w:val="20"/>
              </w:rPr>
              <w:t>Rok</w:t>
            </w:r>
            <w:r w:rsidRPr="00FA433F">
              <w:rPr>
                <w:noProof/>
              </w:rPr>
              <w:t xml:space="preserve"> </w:t>
            </w:r>
            <w:r w:rsidRPr="00FA433F">
              <w:rPr>
                <w:noProof/>
              </w:rPr>
              <w:br/>
            </w:r>
            <w:r w:rsidRPr="00FA433F">
              <w:rPr>
                <w:b/>
                <w:noProof/>
                <w:sz w:val="20"/>
              </w:rPr>
              <w:t>2029</w:t>
            </w:r>
          </w:p>
        </w:tc>
        <w:tc>
          <w:tcPr>
            <w:tcW w:w="1066" w:type="pct"/>
            <w:vAlign w:val="center"/>
          </w:tcPr>
          <w:p w14:paraId="1F65AF95" w14:textId="77777777" w:rsidR="00B95671" w:rsidRPr="00FA433F" w:rsidRDefault="00B95671">
            <w:pPr>
              <w:spacing w:before="60" w:after="60"/>
              <w:jc w:val="center"/>
              <w:rPr>
                <w:noProof/>
                <w:sz w:val="20"/>
              </w:rPr>
            </w:pPr>
            <w:r w:rsidRPr="00FA433F">
              <w:rPr>
                <w:noProof/>
                <w:sz w:val="20"/>
              </w:rPr>
              <w:t>Ogółem</w:t>
            </w:r>
          </w:p>
        </w:tc>
      </w:tr>
      <w:tr w:rsidR="00B95671" w:rsidRPr="00FA433F" w14:paraId="61CDD68E" w14:textId="77777777" w:rsidTr="00B95671">
        <w:trPr>
          <w:cantSplit/>
        </w:trPr>
        <w:tc>
          <w:tcPr>
            <w:tcW w:w="2159" w:type="pct"/>
          </w:tcPr>
          <w:p w14:paraId="768BDFF9" w14:textId="18442DB2" w:rsidR="00B95671" w:rsidRPr="00FA433F" w:rsidRDefault="00B95671">
            <w:pPr>
              <w:rPr>
                <w:noProof/>
              </w:rPr>
            </w:pPr>
            <w:r w:rsidRPr="00FA433F">
              <w:rPr>
                <w:noProof/>
                <w:sz w:val="20"/>
              </w:rPr>
              <w:t>Państwa członkowskie</w:t>
            </w:r>
          </w:p>
        </w:tc>
        <w:tc>
          <w:tcPr>
            <w:tcW w:w="888" w:type="pct"/>
            <w:vAlign w:val="center"/>
          </w:tcPr>
          <w:p w14:paraId="6F1C5634" w14:textId="77777777" w:rsidR="00B95671" w:rsidRPr="00FA433F" w:rsidRDefault="00B95671">
            <w:pPr>
              <w:spacing w:before="60" w:after="60"/>
              <w:jc w:val="center"/>
              <w:rPr>
                <w:noProof/>
                <w:sz w:val="20"/>
              </w:rPr>
            </w:pPr>
            <w:r w:rsidRPr="00FA433F">
              <w:rPr>
                <w:noProof/>
                <w:sz w:val="20"/>
              </w:rPr>
              <w:t>308,324</w:t>
            </w:r>
          </w:p>
        </w:tc>
        <w:tc>
          <w:tcPr>
            <w:tcW w:w="888" w:type="pct"/>
            <w:vAlign w:val="center"/>
          </w:tcPr>
          <w:p w14:paraId="2D2407BF" w14:textId="77777777" w:rsidR="00B95671" w:rsidRPr="00FA433F" w:rsidRDefault="00B95671">
            <w:pPr>
              <w:spacing w:before="60" w:after="60"/>
              <w:jc w:val="center"/>
              <w:rPr>
                <w:noProof/>
                <w:sz w:val="20"/>
              </w:rPr>
            </w:pPr>
            <w:r w:rsidRPr="00FA433F">
              <w:rPr>
                <w:noProof/>
                <w:sz w:val="20"/>
              </w:rPr>
              <w:t>324,201</w:t>
            </w:r>
          </w:p>
        </w:tc>
        <w:tc>
          <w:tcPr>
            <w:tcW w:w="1066" w:type="pct"/>
            <w:vAlign w:val="center"/>
          </w:tcPr>
          <w:p w14:paraId="5A49F1CB" w14:textId="77777777" w:rsidR="00B95671" w:rsidRPr="00FA433F" w:rsidRDefault="00B95671">
            <w:pPr>
              <w:spacing w:before="60" w:after="60"/>
              <w:jc w:val="center"/>
              <w:rPr>
                <w:noProof/>
                <w:sz w:val="20"/>
              </w:rPr>
            </w:pPr>
            <w:r w:rsidRPr="00FA433F">
              <w:rPr>
                <w:noProof/>
                <w:sz w:val="20"/>
              </w:rPr>
              <w:t>632,525</w:t>
            </w:r>
          </w:p>
        </w:tc>
      </w:tr>
      <w:tr w:rsidR="00B95671" w:rsidRPr="00FA433F" w14:paraId="44B0CBC9" w14:textId="77777777" w:rsidTr="00B95671">
        <w:trPr>
          <w:cantSplit/>
        </w:trPr>
        <w:tc>
          <w:tcPr>
            <w:tcW w:w="2159" w:type="pct"/>
          </w:tcPr>
          <w:p w14:paraId="30ACEF50" w14:textId="77777777" w:rsidR="00B95671" w:rsidRPr="00FA433F" w:rsidRDefault="00B95671" w:rsidP="00DC461B">
            <w:pPr>
              <w:spacing w:before="60" w:after="60"/>
              <w:jc w:val="left"/>
              <w:rPr>
                <w:noProof/>
                <w:sz w:val="20"/>
              </w:rPr>
            </w:pPr>
            <w:r w:rsidRPr="00FA433F">
              <w:rPr>
                <w:noProof/>
                <w:sz w:val="20"/>
              </w:rPr>
              <w:t xml:space="preserve">OGÓŁEM środki objęte współfinansowaniem </w:t>
            </w:r>
          </w:p>
        </w:tc>
        <w:tc>
          <w:tcPr>
            <w:tcW w:w="888" w:type="pct"/>
            <w:vAlign w:val="center"/>
          </w:tcPr>
          <w:p w14:paraId="75658ED9" w14:textId="77777777" w:rsidR="00B95671" w:rsidRPr="00FA433F" w:rsidRDefault="00B95671" w:rsidP="00DC461B">
            <w:pPr>
              <w:spacing w:before="60" w:after="60"/>
              <w:jc w:val="center"/>
              <w:rPr>
                <w:noProof/>
                <w:sz w:val="20"/>
              </w:rPr>
            </w:pPr>
            <w:r w:rsidRPr="00FA433F">
              <w:rPr>
                <w:noProof/>
                <w:sz w:val="20"/>
              </w:rPr>
              <w:t>308,324</w:t>
            </w:r>
          </w:p>
        </w:tc>
        <w:tc>
          <w:tcPr>
            <w:tcW w:w="888" w:type="pct"/>
            <w:vAlign w:val="center"/>
          </w:tcPr>
          <w:p w14:paraId="54262347" w14:textId="77777777" w:rsidR="00B95671" w:rsidRPr="00FA433F" w:rsidRDefault="00B95671" w:rsidP="00DC461B">
            <w:pPr>
              <w:spacing w:before="60" w:after="60"/>
              <w:jc w:val="center"/>
              <w:rPr>
                <w:noProof/>
                <w:sz w:val="20"/>
              </w:rPr>
            </w:pPr>
            <w:r w:rsidRPr="00FA433F">
              <w:rPr>
                <w:noProof/>
                <w:sz w:val="20"/>
              </w:rPr>
              <w:t>324,201</w:t>
            </w:r>
          </w:p>
        </w:tc>
        <w:tc>
          <w:tcPr>
            <w:tcW w:w="1066" w:type="pct"/>
            <w:vAlign w:val="center"/>
          </w:tcPr>
          <w:p w14:paraId="56242BCA" w14:textId="77777777" w:rsidR="00B95671" w:rsidRPr="00FA433F" w:rsidRDefault="00B95671" w:rsidP="00DC461B">
            <w:pPr>
              <w:spacing w:before="60" w:after="60"/>
              <w:jc w:val="center"/>
              <w:rPr>
                <w:noProof/>
                <w:sz w:val="20"/>
              </w:rPr>
            </w:pPr>
            <w:r w:rsidRPr="00FA433F">
              <w:rPr>
                <w:noProof/>
                <w:sz w:val="20"/>
              </w:rPr>
              <w:t>632,525</w:t>
            </w:r>
          </w:p>
        </w:tc>
      </w:tr>
    </w:tbl>
    <w:p w14:paraId="4D86AAF8" w14:textId="77777777" w:rsidR="008A4C15" w:rsidRPr="00FA433F" w:rsidRDefault="008A4C15">
      <w:pPr>
        <w:outlineLvl w:val="1"/>
        <w:rPr>
          <w:noProof/>
          <w:szCs w:val="24"/>
        </w:rPr>
      </w:pPr>
      <w:r w:rsidRPr="00FA433F">
        <w:rPr>
          <w:noProof/>
        </w:rPr>
        <w:t xml:space="preserve"> </w:t>
      </w:r>
      <w:r w:rsidRPr="00FA433F">
        <w:rPr>
          <w:noProof/>
        </w:rPr>
        <w:br/>
      </w:r>
      <w:bookmarkStart w:id="179" w:name="_Toc514938059"/>
      <w:bookmarkStart w:id="180" w:name="_Toc520485057"/>
      <w:bookmarkStart w:id="181" w:name="_Toc160804602"/>
      <w:bookmarkStart w:id="182" w:name="_Toc167220300"/>
      <w:bookmarkStart w:id="183" w:name="_Toc177549034"/>
      <w:bookmarkStart w:id="184" w:name="_Hlk166860179"/>
      <w:r w:rsidRPr="00FA433F">
        <w:rPr>
          <w:noProof/>
        </w:rPr>
        <w:t>3.3.</w:t>
      </w:r>
      <w:r w:rsidRPr="00FA433F">
        <w:rPr>
          <w:noProof/>
        </w:rPr>
        <w:tab/>
        <w:t>Szacunkowy wpływ na dochody</w:t>
      </w:r>
      <w:bookmarkEnd w:id="179"/>
      <w:bookmarkEnd w:id="180"/>
      <w:bookmarkEnd w:id="181"/>
      <w:bookmarkEnd w:id="182"/>
      <w:bookmarkEnd w:id="183"/>
      <w:r w:rsidRPr="00FA433F">
        <w:rPr>
          <w:noProof/>
        </w:rPr>
        <w:t xml:space="preserve"> </w:t>
      </w:r>
    </w:p>
    <w:bookmarkEnd w:id="184"/>
    <w:p w14:paraId="4259DAD7" w14:textId="77777777" w:rsidR="008A4C15" w:rsidRPr="00FA433F" w:rsidRDefault="008A4C15">
      <w:pPr>
        <w:pStyle w:val="ListDash1"/>
        <w:rPr>
          <w:noProof/>
        </w:rPr>
      </w:pPr>
      <w:r w:rsidRPr="00FA433F">
        <w:rPr>
          <w:rFonts w:ascii="Wingdings" w:hAnsi="Wingdings"/>
          <w:noProof/>
        </w:rPr>
        <w:t></w:t>
      </w:r>
      <w:r w:rsidRPr="00FA433F">
        <w:rPr>
          <w:noProof/>
        </w:rPr>
        <w:tab/>
        <w:t>Wniosek/inicjatywa nie ma wpływu finansowego na dochody</w:t>
      </w:r>
    </w:p>
    <w:p w14:paraId="0C2D2F6B" w14:textId="77777777" w:rsidR="008A4C15" w:rsidRPr="00FA433F" w:rsidRDefault="00DC461B">
      <w:pPr>
        <w:pStyle w:val="ListDash1"/>
        <w:rPr>
          <w:noProof/>
        </w:rPr>
      </w:pPr>
      <w:r w:rsidRPr="00FA433F">
        <w:rPr>
          <w:rFonts w:ascii="Wingdings" w:hAnsi="Wingdings"/>
          <w:noProof/>
        </w:rPr>
        <w:t></w:t>
      </w:r>
      <w:r w:rsidRPr="00FA433F">
        <w:rPr>
          <w:noProof/>
        </w:rPr>
        <w:tab/>
        <w:t>Wniosek/inicjatywa ma wpływ finansowy określony poniżej:</w:t>
      </w:r>
    </w:p>
    <w:p w14:paraId="3C80D006" w14:textId="77777777" w:rsidR="008A4C15" w:rsidRPr="00FA433F" w:rsidRDefault="008A4C15" w:rsidP="008A4C15">
      <w:pPr>
        <w:pStyle w:val="ListNumberLevel3"/>
        <w:rPr>
          <w:noProof/>
        </w:rPr>
      </w:pPr>
      <w:r w:rsidRPr="00FA433F">
        <w:rPr>
          <w:rFonts w:ascii="Wingdings" w:hAnsi="Wingdings"/>
          <w:noProof/>
        </w:rPr>
        <w:t></w:t>
      </w:r>
      <w:r w:rsidRPr="00FA433F">
        <w:rPr>
          <w:noProof/>
        </w:rPr>
        <w:tab/>
        <w:t xml:space="preserve">wpływ na zasoby własne </w:t>
      </w:r>
    </w:p>
    <w:p w14:paraId="34B939D7" w14:textId="77777777" w:rsidR="008A4C15" w:rsidRPr="00FA433F" w:rsidRDefault="00DC461B" w:rsidP="008A4C15">
      <w:pPr>
        <w:pStyle w:val="ListNumberLevel3"/>
        <w:rPr>
          <w:noProof/>
        </w:rPr>
      </w:pPr>
      <w:r w:rsidRPr="00FA433F">
        <w:rPr>
          <w:rFonts w:ascii="Wingdings" w:hAnsi="Wingdings"/>
          <w:noProof/>
        </w:rPr>
        <w:t></w:t>
      </w:r>
      <w:r w:rsidRPr="00FA433F">
        <w:rPr>
          <w:noProof/>
        </w:rPr>
        <w:tab/>
        <w:t>wpływ na dochody inne</w:t>
      </w:r>
    </w:p>
    <w:p w14:paraId="40ECC7C5" w14:textId="77777777" w:rsidR="008A4C15" w:rsidRPr="00FA433F" w:rsidRDefault="008A4C15" w:rsidP="008A4C15">
      <w:pPr>
        <w:pStyle w:val="ListNumberLevel3"/>
        <w:rPr>
          <w:noProof/>
        </w:rPr>
      </w:pPr>
      <w:r w:rsidRPr="00FA433F">
        <w:rPr>
          <w:rFonts w:ascii="Wingdings" w:hAnsi="Wingdings"/>
          <w:noProof/>
        </w:rPr>
        <w:t></w:t>
      </w:r>
      <w:r w:rsidRPr="00FA433F">
        <w:rPr>
          <w:noProof/>
        </w:rPr>
        <w:tab/>
        <w:t>Wskazać, czy dochody są przypisane do linii budżetowej po stronie wydatków</w:t>
      </w:r>
    </w:p>
    <w:p w14:paraId="56B8A22A" w14:textId="77777777" w:rsidR="008A4C15" w:rsidRPr="00FA433F" w:rsidRDefault="008A4C15">
      <w:pPr>
        <w:jc w:val="right"/>
        <w:rPr>
          <w:noProof/>
          <w:sz w:val="20"/>
        </w:rPr>
      </w:pPr>
      <w:r w:rsidRPr="00FA433F">
        <w:rPr>
          <w:noProof/>
          <w:sz w:val="20"/>
        </w:rPr>
        <w:t>w mln EUR (do trzech miejsc po przecinku)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1575"/>
        <w:gridCol w:w="1651"/>
        <w:gridCol w:w="1019"/>
        <w:gridCol w:w="1010"/>
        <w:gridCol w:w="1229"/>
      </w:tblGrid>
      <w:tr w:rsidR="004D55FB" w:rsidRPr="00FA433F" w14:paraId="218ABB04" w14:textId="77777777" w:rsidTr="00DC461B">
        <w:trPr>
          <w:trHeight w:val="388"/>
        </w:trPr>
        <w:tc>
          <w:tcPr>
            <w:tcW w:w="1423" w:type="pct"/>
            <w:vMerge w:val="restart"/>
            <w:vAlign w:val="center"/>
          </w:tcPr>
          <w:p w14:paraId="0431F7AF" w14:textId="77777777" w:rsidR="008A4C15" w:rsidRPr="00FA433F" w:rsidRDefault="008A4C15">
            <w:pPr>
              <w:spacing w:before="40" w:after="40"/>
              <w:rPr>
                <w:noProof/>
                <w:sz w:val="18"/>
              </w:rPr>
            </w:pPr>
            <w:r w:rsidRPr="00FA433F">
              <w:rPr>
                <w:noProof/>
                <w:sz w:val="18"/>
              </w:rPr>
              <w:t>Linia budżetowa po stronie dochodów</w:t>
            </w:r>
          </w:p>
        </w:tc>
        <w:tc>
          <w:tcPr>
            <w:tcW w:w="869" w:type="pct"/>
            <w:vMerge w:val="restart"/>
            <w:vAlign w:val="center"/>
          </w:tcPr>
          <w:p w14:paraId="0BF7A090" w14:textId="00F7A48A" w:rsidR="008A4C15" w:rsidRPr="00FA433F" w:rsidRDefault="008A4C15">
            <w:pPr>
              <w:jc w:val="center"/>
              <w:rPr>
                <w:noProof/>
                <w:sz w:val="18"/>
              </w:rPr>
            </w:pPr>
            <w:r w:rsidRPr="00FA433F">
              <w:rPr>
                <w:noProof/>
                <w:sz w:val="18"/>
              </w:rPr>
              <w:t>Środki zapisane</w:t>
            </w:r>
            <w:r w:rsidR="00FA433F" w:rsidRPr="00FA433F">
              <w:rPr>
                <w:noProof/>
                <w:sz w:val="18"/>
              </w:rPr>
              <w:t xml:space="preserve"> w</w:t>
            </w:r>
            <w:r w:rsidR="00FA433F">
              <w:rPr>
                <w:noProof/>
                <w:sz w:val="18"/>
              </w:rPr>
              <w:t> </w:t>
            </w:r>
            <w:r w:rsidR="00FA433F" w:rsidRPr="00FA433F">
              <w:rPr>
                <w:noProof/>
                <w:sz w:val="18"/>
              </w:rPr>
              <w:t>bud</w:t>
            </w:r>
            <w:r w:rsidRPr="00FA433F">
              <w:rPr>
                <w:noProof/>
                <w:sz w:val="18"/>
              </w:rPr>
              <w:t>żecie na bieżący rok budżetowy</w:t>
            </w:r>
          </w:p>
        </w:tc>
        <w:tc>
          <w:tcPr>
            <w:tcW w:w="2708" w:type="pct"/>
            <w:gridSpan w:val="4"/>
            <w:vAlign w:val="center"/>
          </w:tcPr>
          <w:p w14:paraId="35D75954" w14:textId="77777777" w:rsidR="008A4C15" w:rsidRPr="00FA433F" w:rsidRDefault="008A4C15">
            <w:pPr>
              <w:jc w:val="center"/>
              <w:rPr>
                <w:noProof/>
                <w:sz w:val="18"/>
              </w:rPr>
            </w:pPr>
            <w:r w:rsidRPr="00FA433F">
              <w:rPr>
                <w:noProof/>
                <w:sz w:val="18"/>
              </w:rPr>
              <w:t>Wpływ wniosku/inicjatywy</w:t>
            </w:r>
            <w:r w:rsidRPr="00FA433F">
              <w:rPr>
                <w:rStyle w:val="Odwoanieprzypisudolnego"/>
                <w:noProof/>
                <w:sz w:val="18"/>
                <w:szCs w:val="18"/>
              </w:rPr>
              <w:footnoteReference w:id="35"/>
            </w:r>
          </w:p>
        </w:tc>
      </w:tr>
      <w:tr w:rsidR="004D55FB" w:rsidRPr="00FA433F" w14:paraId="37463B7C" w14:textId="77777777" w:rsidTr="00DC461B">
        <w:trPr>
          <w:trHeight w:val="388"/>
        </w:trPr>
        <w:tc>
          <w:tcPr>
            <w:tcW w:w="1423" w:type="pct"/>
            <w:vMerge/>
          </w:tcPr>
          <w:p w14:paraId="62355793" w14:textId="77777777" w:rsidR="008A4C15" w:rsidRPr="00FA433F" w:rsidRDefault="008A4C15">
            <w:pPr>
              <w:spacing w:before="40" w:after="40"/>
              <w:rPr>
                <w:noProof/>
                <w:sz w:val="18"/>
              </w:rPr>
            </w:pPr>
          </w:p>
        </w:tc>
        <w:tc>
          <w:tcPr>
            <w:tcW w:w="869" w:type="pct"/>
            <w:vMerge/>
          </w:tcPr>
          <w:p w14:paraId="336D9B6A" w14:textId="77777777" w:rsidR="008A4C15" w:rsidRPr="00FA433F" w:rsidRDefault="008A4C15">
            <w:pPr>
              <w:spacing w:beforeLines="40" w:before="96" w:afterLines="40" w:after="96"/>
              <w:rPr>
                <w:i/>
                <w:noProof/>
                <w:sz w:val="18"/>
              </w:rPr>
            </w:pPr>
          </w:p>
        </w:tc>
        <w:tc>
          <w:tcPr>
            <w:tcW w:w="911" w:type="pct"/>
            <w:vAlign w:val="center"/>
          </w:tcPr>
          <w:p w14:paraId="0EEFF266" w14:textId="77777777" w:rsidR="008A4C15" w:rsidRPr="00FA433F" w:rsidRDefault="008A4C15">
            <w:pPr>
              <w:jc w:val="center"/>
              <w:rPr>
                <w:noProof/>
                <w:sz w:val="18"/>
              </w:rPr>
            </w:pPr>
            <w:r w:rsidRPr="00FA433F">
              <w:rPr>
                <w:noProof/>
                <w:sz w:val="18"/>
              </w:rPr>
              <w:t xml:space="preserve">Rok </w:t>
            </w:r>
            <w:r w:rsidRPr="00FA433F">
              <w:rPr>
                <w:b/>
                <w:noProof/>
                <w:sz w:val="18"/>
              </w:rPr>
              <w:t>2028</w:t>
            </w:r>
          </w:p>
        </w:tc>
        <w:tc>
          <w:tcPr>
            <w:tcW w:w="562" w:type="pct"/>
            <w:vAlign w:val="center"/>
          </w:tcPr>
          <w:p w14:paraId="2632F212" w14:textId="77777777" w:rsidR="008A4C15" w:rsidRPr="00FA433F" w:rsidRDefault="008A4C15">
            <w:pPr>
              <w:jc w:val="center"/>
              <w:rPr>
                <w:noProof/>
                <w:sz w:val="18"/>
              </w:rPr>
            </w:pPr>
            <w:r w:rsidRPr="00FA433F">
              <w:rPr>
                <w:noProof/>
                <w:sz w:val="18"/>
              </w:rPr>
              <w:t xml:space="preserve">Rok </w:t>
            </w:r>
            <w:r w:rsidRPr="00FA433F">
              <w:rPr>
                <w:b/>
                <w:noProof/>
                <w:sz w:val="18"/>
              </w:rPr>
              <w:t>2029</w:t>
            </w:r>
          </w:p>
        </w:tc>
        <w:tc>
          <w:tcPr>
            <w:tcW w:w="557" w:type="pct"/>
            <w:vAlign w:val="center"/>
          </w:tcPr>
          <w:p w14:paraId="0B7D6D2A" w14:textId="77777777" w:rsidR="008A4C15" w:rsidRPr="00FA433F" w:rsidRDefault="008A4C15">
            <w:pPr>
              <w:jc w:val="center"/>
              <w:rPr>
                <w:noProof/>
                <w:sz w:val="18"/>
              </w:rPr>
            </w:pPr>
          </w:p>
        </w:tc>
        <w:tc>
          <w:tcPr>
            <w:tcW w:w="678" w:type="pct"/>
            <w:vAlign w:val="center"/>
          </w:tcPr>
          <w:p w14:paraId="65D1A8D1" w14:textId="77777777" w:rsidR="008A4C15" w:rsidRPr="00FA433F" w:rsidRDefault="008A4C15">
            <w:pPr>
              <w:jc w:val="center"/>
              <w:rPr>
                <w:noProof/>
                <w:sz w:val="18"/>
              </w:rPr>
            </w:pPr>
          </w:p>
        </w:tc>
      </w:tr>
      <w:tr w:rsidR="00DC461B" w:rsidRPr="00FA433F" w14:paraId="62874F58" w14:textId="77777777" w:rsidTr="00DC461B">
        <w:trPr>
          <w:trHeight w:val="388"/>
        </w:trPr>
        <w:tc>
          <w:tcPr>
            <w:tcW w:w="1423" w:type="pct"/>
            <w:vAlign w:val="center"/>
          </w:tcPr>
          <w:p w14:paraId="1C64CA8F" w14:textId="31DB0FD0" w:rsidR="00DC461B" w:rsidRPr="00FA433F" w:rsidRDefault="00D56632" w:rsidP="00DC461B">
            <w:pPr>
              <w:spacing w:before="40" w:after="40"/>
              <w:rPr>
                <w:noProof/>
                <w:sz w:val="18"/>
              </w:rPr>
            </w:pPr>
            <w:r w:rsidRPr="00FA433F">
              <w:rPr>
                <w:noProof/>
                <w:sz w:val="18"/>
              </w:rPr>
              <w:t>Nowa linia budżetowa, która ma być utworzona</w:t>
            </w:r>
            <w:r w:rsidR="00FA433F" w:rsidRPr="00FA433F">
              <w:rPr>
                <w:noProof/>
                <w:sz w:val="18"/>
              </w:rPr>
              <w:t xml:space="preserve"> w</w:t>
            </w:r>
            <w:r w:rsidR="00FA433F">
              <w:rPr>
                <w:noProof/>
                <w:sz w:val="18"/>
              </w:rPr>
              <w:t> </w:t>
            </w:r>
            <w:r w:rsidR="00FA433F" w:rsidRPr="00FA433F">
              <w:rPr>
                <w:noProof/>
                <w:sz w:val="18"/>
              </w:rPr>
              <w:t>ram</w:t>
            </w:r>
            <w:r w:rsidRPr="00FA433F">
              <w:rPr>
                <w:noProof/>
                <w:sz w:val="18"/>
              </w:rPr>
              <w:t>ach rozdziału 621/66 (do potwierdzenia)</w:t>
            </w:r>
          </w:p>
        </w:tc>
        <w:tc>
          <w:tcPr>
            <w:tcW w:w="869" w:type="pct"/>
          </w:tcPr>
          <w:p w14:paraId="61BB8080" w14:textId="77777777" w:rsidR="00DC461B" w:rsidRPr="00FA433F" w:rsidRDefault="00DC461B" w:rsidP="00DC461B">
            <w:pPr>
              <w:spacing w:beforeLines="40" w:before="96" w:afterLines="40" w:after="96"/>
              <w:jc w:val="center"/>
              <w:rPr>
                <w:i/>
                <w:noProof/>
                <w:sz w:val="18"/>
              </w:rPr>
            </w:pPr>
          </w:p>
        </w:tc>
        <w:tc>
          <w:tcPr>
            <w:tcW w:w="911" w:type="pct"/>
            <w:vAlign w:val="center"/>
          </w:tcPr>
          <w:p w14:paraId="713DA34F" w14:textId="77777777" w:rsidR="00DC461B" w:rsidRPr="00FA433F" w:rsidRDefault="00DC461B" w:rsidP="00DC461B">
            <w:pPr>
              <w:spacing w:beforeLines="40" w:before="96" w:afterLines="40" w:after="96"/>
              <w:jc w:val="center"/>
              <w:rPr>
                <w:noProof/>
                <w:sz w:val="18"/>
              </w:rPr>
            </w:pPr>
            <w:r w:rsidRPr="00FA433F">
              <w:rPr>
                <w:noProof/>
                <w:sz w:val="20"/>
              </w:rPr>
              <w:t>308,324</w:t>
            </w:r>
          </w:p>
        </w:tc>
        <w:tc>
          <w:tcPr>
            <w:tcW w:w="562" w:type="pct"/>
            <w:vAlign w:val="center"/>
          </w:tcPr>
          <w:p w14:paraId="64AF14B8" w14:textId="77777777" w:rsidR="00DC461B" w:rsidRPr="00FA433F" w:rsidRDefault="00DC461B" w:rsidP="00DC461B">
            <w:pPr>
              <w:spacing w:beforeLines="40" w:before="96" w:afterLines="40" w:after="96"/>
              <w:jc w:val="center"/>
              <w:rPr>
                <w:noProof/>
                <w:sz w:val="18"/>
              </w:rPr>
            </w:pPr>
            <w:r w:rsidRPr="00FA433F">
              <w:rPr>
                <w:noProof/>
                <w:sz w:val="20"/>
              </w:rPr>
              <w:t>324,201</w:t>
            </w:r>
          </w:p>
        </w:tc>
        <w:tc>
          <w:tcPr>
            <w:tcW w:w="557" w:type="pct"/>
          </w:tcPr>
          <w:p w14:paraId="2BBABCF9" w14:textId="77777777" w:rsidR="00DC461B" w:rsidRPr="00FA433F" w:rsidRDefault="00DC461B" w:rsidP="00DC461B">
            <w:pPr>
              <w:spacing w:beforeLines="40" w:before="96" w:afterLines="40" w:after="96"/>
              <w:jc w:val="center"/>
              <w:rPr>
                <w:noProof/>
                <w:sz w:val="18"/>
              </w:rPr>
            </w:pPr>
          </w:p>
        </w:tc>
        <w:tc>
          <w:tcPr>
            <w:tcW w:w="678" w:type="pct"/>
          </w:tcPr>
          <w:p w14:paraId="35F0660A" w14:textId="77777777" w:rsidR="00DC461B" w:rsidRPr="00FA433F" w:rsidRDefault="00DC461B" w:rsidP="00DC461B">
            <w:pPr>
              <w:spacing w:beforeLines="40" w:before="96" w:afterLines="40" w:after="96"/>
              <w:jc w:val="center"/>
              <w:rPr>
                <w:noProof/>
                <w:sz w:val="18"/>
              </w:rPr>
            </w:pPr>
          </w:p>
        </w:tc>
      </w:tr>
    </w:tbl>
    <w:p w14:paraId="7BFBC845" w14:textId="77777777" w:rsidR="008A4C15" w:rsidRPr="00FA433F" w:rsidRDefault="008A4C15">
      <w:pPr>
        <w:pStyle w:val="Text1"/>
        <w:rPr>
          <w:noProof/>
          <w:szCs w:val="24"/>
        </w:rPr>
      </w:pPr>
      <w:r w:rsidRPr="00FA433F">
        <w:rPr>
          <w:noProof/>
        </w:rPr>
        <w:t>W przypadku wpływu na dochody przeznaczone na określony cel należy wskazać linie budżetowe po stronie wydatków, które ten wpływ obejmie.</w:t>
      </w:r>
    </w:p>
    <w:p w14:paraId="053EEF17" w14:textId="77777777" w:rsidR="008A4C15" w:rsidRPr="00FA433F" w:rsidRDefault="00561B0E">
      <w:pPr>
        <w:pStyle w:val="Text1"/>
        <w:pBdr>
          <w:top w:val="single" w:sz="4" w:space="1" w:color="auto"/>
          <w:left w:val="single" w:sz="4" w:space="4" w:color="auto"/>
          <w:bottom w:val="single" w:sz="4" w:space="1" w:color="auto"/>
          <w:right w:val="single" w:sz="4" w:space="4" w:color="auto"/>
        </w:pBdr>
        <w:rPr>
          <w:noProof/>
        </w:rPr>
      </w:pPr>
      <w:r w:rsidRPr="00FA433F">
        <w:rPr>
          <w:noProof/>
        </w:rPr>
        <w:t>Nowa linia dotycząca wydatków</w:t>
      </w:r>
    </w:p>
    <w:p w14:paraId="5A66E7BF" w14:textId="77777777" w:rsidR="008A4C15" w:rsidRPr="00FA433F" w:rsidRDefault="008A4C15">
      <w:pPr>
        <w:pStyle w:val="Text1"/>
        <w:rPr>
          <w:noProof/>
          <w:szCs w:val="24"/>
        </w:rPr>
      </w:pPr>
      <w:r w:rsidRPr="00FA433F">
        <w:rPr>
          <w:noProof/>
        </w:rPr>
        <w:t>Pozostałe uwagi (np. metoda/wzór użyte do obliczenia wpływu na dochody albo inne informacje).</w:t>
      </w:r>
    </w:p>
    <w:p w14:paraId="38D5728A" w14:textId="1F1377CB" w:rsidR="008A4C15" w:rsidRPr="00FA433F" w:rsidRDefault="0060206E">
      <w:pPr>
        <w:pStyle w:val="Text1"/>
        <w:pBdr>
          <w:top w:val="single" w:sz="4" w:space="1" w:color="auto"/>
          <w:left w:val="single" w:sz="4" w:space="4" w:color="auto"/>
          <w:bottom w:val="single" w:sz="4" w:space="1" w:color="auto"/>
          <w:right w:val="single" w:sz="4" w:space="4" w:color="auto"/>
        </w:pBdr>
        <w:rPr>
          <w:noProof/>
        </w:rPr>
      </w:pPr>
      <w:r w:rsidRPr="00FA433F">
        <w:rPr>
          <w:noProof/>
        </w:rPr>
        <w:lastRenderedPageBreak/>
        <w:t>Środek ten będzie finansowany</w:t>
      </w:r>
      <w:r w:rsidR="00FA433F" w:rsidRPr="00FA433F">
        <w:rPr>
          <w:noProof/>
        </w:rPr>
        <w:t xml:space="preserve"> z</w:t>
      </w:r>
      <w:r w:rsidR="00FA433F">
        <w:rPr>
          <w:noProof/>
        </w:rPr>
        <w:t> </w:t>
      </w:r>
      <w:r w:rsidR="00FA433F" w:rsidRPr="00FA433F">
        <w:rPr>
          <w:noProof/>
        </w:rPr>
        <w:t>kwo</w:t>
      </w:r>
      <w:r w:rsidRPr="00FA433F">
        <w:rPr>
          <w:noProof/>
        </w:rPr>
        <w:t>ty przekazanej przez państwa członkowskie do Funduszu, odpowiadającej 25 % dochodów uzyskanych ze sprzedaży certyfikatów CBAM przez państwa członkowskie</w:t>
      </w:r>
      <w:r w:rsidR="00FA433F" w:rsidRPr="00FA433F">
        <w:rPr>
          <w:noProof/>
        </w:rPr>
        <w:t xml:space="preserve"> w</w:t>
      </w:r>
      <w:r w:rsidR="00FA433F">
        <w:rPr>
          <w:noProof/>
        </w:rPr>
        <w:t> </w:t>
      </w:r>
      <w:r w:rsidR="00FA433F" w:rsidRPr="00FA433F">
        <w:rPr>
          <w:noProof/>
        </w:rPr>
        <w:t>zwi</w:t>
      </w:r>
      <w:r w:rsidRPr="00FA433F">
        <w:rPr>
          <w:noProof/>
        </w:rPr>
        <w:t>ązku</w:t>
      </w:r>
      <w:r w:rsidR="00FA433F" w:rsidRPr="00FA433F">
        <w:rPr>
          <w:noProof/>
        </w:rPr>
        <w:t xml:space="preserve"> z</w:t>
      </w:r>
      <w:r w:rsidR="00FA433F">
        <w:rPr>
          <w:noProof/>
        </w:rPr>
        <w:t> </w:t>
      </w:r>
      <w:r w:rsidR="00FA433F" w:rsidRPr="00FA433F">
        <w:rPr>
          <w:noProof/>
        </w:rPr>
        <w:t>emi</w:t>
      </w:r>
      <w:r w:rsidRPr="00FA433F">
        <w:rPr>
          <w:noProof/>
        </w:rPr>
        <w:t>sjami wbudowanymi zadeklarowanymi na lata 2026</w:t>
      </w:r>
      <w:r w:rsidR="00FA433F" w:rsidRPr="00FA433F">
        <w:rPr>
          <w:noProof/>
        </w:rPr>
        <w:t xml:space="preserve"> i</w:t>
      </w:r>
      <w:r w:rsidR="00FA433F">
        <w:rPr>
          <w:noProof/>
        </w:rPr>
        <w:t> </w:t>
      </w:r>
      <w:r w:rsidR="00FA433F" w:rsidRPr="00FA433F">
        <w:rPr>
          <w:noProof/>
        </w:rPr>
        <w:t>2</w:t>
      </w:r>
      <w:r w:rsidRPr="00FA433F">
        <w:rPr>
          <w:noProof/>
        </w:rPr>
        <w:t>027.</w:t>
      </w:r>
    </w:p>
    <w:p w14:paraId="6F97DE0A" w14:textId="013BA11C" w:rsidR="008A4C15" w:rsidRPr="00FA433F" w:rsidRDefault="008A4C15" w:rsidP="00214E77">
      <w:pPr>
        <w:pStyle w:val="ManualHeading1"/>
        <w:tabs>
          <w:tab w:val="left" w:pos="7920"/>
        </w:tabs>
        <w:rPr>
          <w:caps/>
          <w:noProof/>
        </w:rPr>
      </w:pPr>
      <w:bookmarkStart w:id="185" w:name="_Toc167220301"/>
      <w:bookmarkStart w:id="186" w:name="_Toc177549035"/>
      <w:r w:rsidRPr="00FA433F">
        <w:rPr>
          <w:noProof/>
        </w:rPr>
        <w:t>4.</w:t>
      </w:r>
      <w:r w:rsidRPr="00FA433F">
        <w:rPr>
          <w:noProof/>
        </w:rPr>
        <w:tab/>
      </w:r>
      <w:bookmarkStart w:id="187" w:name="_Hlk167692977"/>
      <w:r w:rsidRPr="00FA433F">
        <w:rPr>
          <w:caps/>
          <w:noProof/>
        </w:rPr>
        <w:t>Wymiar cyfrowy</w:t>
      </w:r>
      <w:bookmarkEnd w:id="185"/>
      <w:bookmarkEnd w:id="186"/>
      <w:r w:rsidRPr="00FA433F">
        <w:rPr>
          <w:noProof/>
        </w:rPr>
        <w:tab/>
      </w:r>
    </w:p>
    <w:p w14:paraId="302E1188" w14:textId="77777777" w:rsidR="008A4C15" w:rsidRPr="00FA433F" w:rsidRDefault="00471A19">
      <w:pPr>
        <w:pStyle w:val="Text1"/>
        <w:pBdr>
          <w:top w:val="single" w:sz="4" w:space="1" w:color="000000"/>
          <w:left w:val="single" w:sz="4" w:space="4" w:color="000000"/>
          <w:bottom w:val="single" w:sz="4" w:space="1" w:color="000000"/>
          <w:right w:val="single" w:sz="4" w:space="4" w:color="000000"/>
        </w:pBdr>
        <w:spacing w:line="259" w:lineRule="auto"/>
        <w:rPr>
          <w:noProof/>
        </w:rPr>
      </w:pPr>
      <w:r w:rsidRPr="00FA433F">
        <w:rPr>
          <w:noProof/>
        </w:rPr>
        <w:t>Nie dotyczy</w:t>
      </w:r>
    </w:p>
    <w:p w14:paraId="72635775" w14:textId="66C3D8AE" w:rsidR="008A4C15" w:rsidRPr="00FA433F" w:rsidRDefault="008A4C15" w:rsidP="00512B3C">
      <w:pPr>
        <w:pStyle w:val="ManualHeading2"/>
        <w:rPr>
          <w:noProof/>
        </w:rPr>
      </w:pPr>
      <w:bookmarkStart w:id="188" w:name="_Toc177549036"/>
      <w:r w:rsidRPr="00FA433F">
        <w:rPr>
          <w:noProof/>
        </w:rPr>
        <w:t>Przy wypełnianiu niniejszej sekcji dopuszczalne jest,</w:t>
      </w:r>
      <w:r w:rsidR="00FA433F" w:rsidRPr="00FA433F">
        <w:rPr>
          <w:noProof/>
        </w:rPr>
        <w:t xml:space="preserve"> w</w:t>
      </w:r>
      <w:r w:rsidR="00FA433F">
        <w:rPr>
          <w:noProof/>
        </w:rPr>
        <w:t> </w:t>
      </w:r>
      <w:r w:rsidR="00FA433F" w:rsidRPr="00FA433F">
        <w:rPr>
          <w:noProof/>
        </w:rPr>
        <w:t>raz</w:t>
      </w:r>
      <w:r w:rsidRPr="00FA433F">
        <w:rPr>
          <w:noProof/>
        </w:rPr>
        <w:t>ie potrzeby, przedstawienie informacji</w:t>
      </w:r>
      <w:r w:rsidR="00FA433F" w:rsidRPr="00FA433F">
        <w:rPr>
          <w:noProof/>
        </w:rPr>
        <w:t xml:space="preserve"> w</w:t>
      </w:r>
      <w:r w:rsidR="00FA433F">
        <w:rPr>
          <w:noProof/>
        </w:rPr>
        <w:t> </w:t>
      </w:r>
      <w:r w:rsidR="00FA433F" w:rsidRPr="00FA433F">
        <w:rPr>
          <w:noProof/>
        </w:rPr>
        <w:t>tab</w:t>
      </w:r>
      <w:r w:rsidRPr="00FA433F">
        <w:rPr>
          <w:noProof/>
        </w:rPr>
        <w:t>eli.</w:t>
      </w:r>
      <w:bookmarkEnd w:id="188"/>
    </w:p>
    <w:p w14:paraId="681F2787" w14:textId="77777777" w:rsidR="008A4C15" w:rsidRPr="00FA433F" w:rsidRDefault="008A4C15">
      <w:pPr>
        <w:pStyle w:val="ManualHeading2"/>
        <w:rPr>
          <w:noProof/>
        </w:rPr>
      </w:pPr>
      <w:bookmarkStart w:id="189" w:name="_Toc167220302"/>
      <w:bookmarkStart w:id="190" w:name="_Toc177549037"/>
      <w:r w:rsidRPr="00FA433F">
        <w:rPr>
          <w:noProof/>
        </w:rPr>
        <w:t>4.1.</w:t>
      </w:r>
      <w:r w:rsidRPr="00FA433F">
        <w:rPr>
          <w:noProof/>
        </w:rPr>
        <w:tab/>
        <w:t>Wymogi cyfrowe</w:t>
      </w:r>
      <w:bookmarkEnd w:id="189"/>
      <w:bookmarkEnd w:id="190"/>
    </w:p>
    <w:tbl>
      <w:tblPr>
        <w:tblStyle w:val="Tabela-Siatka"/>
        <w:tblW w:w="9072" w:type="dxa"/>
        <w:tblInd w:w="-5" w:type="dxa"/>
        <w:tblLayout w:type="fixed"/>
        <w:tblLook w:val="06A0" w:firstRow="1" w:lastRow="0" w:firstColumn="1" w:lastColumn="0" w:noHBand="1" w:noVBand="1"/>
      </w:tblPr>
      <w:tblGrid>
        <w:gridCol w:w="9072"/>
      </w:tblGrid>
      <w:tr w:rsidR="004D55FB" w:rsidRPr="00FA433F" w14:paraId="38BC0F27" w14:textId="77777777" w:rsidTr="00012FA3">
        <w:trPr>
          <w:trHeight w:val="300"/>
        </w:trPr>
        <w:tc>
          <w:tcPr>
            <w:tcW w:w="9072" w:type="dxa"/>
          </w:tcPr>
          <w:p w14:paraId="0E3C41FC" w14:textId="77777777" w:rsidR="008A4C15" w:rsidRPr="00FA433F" w:rsidRDefault="00471A19" w:rsidP="00150C36">
            <w:pPr>
              <w:pStyle w:val="Akapitzlist"/>
              <w:numPr>
                <w:ilvl w:val="0"/>
                <w:numId w:val="17"/>
              </w:numPr>
              <w:rPr>
                <w:noProof/>
              </w:rPr>
            </w:pPr>
            <w:r w:rsidRPr="00FA433F">
              <w:rPr>
                <w:noProof/>
              </w:rPr>
              <w:t>Nie dotyczy</w:t>
            </w:r>
          </w:p>
        </w:tc>
      </w:tr>
    </w:tbl>
    <w:p w14:paraId="219E2443" w14:textId="77777777" w:rsidR="008A4C15" w:rsidRPr="00FA433F" w:rsidRDefault="008A4C15">
      <w:pPr>
        <w:pStyle w:val="ManualHeading2"/>
        <w:rPr>
          <w:noProof/>
        </w:rPr>
      </w:pPr>
      <w:bookmarkStart w:id="191" w:name="_Toc167220303"/>
      <w:bookmarkStart w:id="192" w:name="_Toc177549038"/>
      <w:r w:rsidRPr="00FA433F">
        <w:rPr>
          <w:noProof/>
        </w:rPr>
        <w:t>4.2.</w:t>
      </w:r>
      <w:r w:rsidRPr="00FA433F">
        <w:rPr>
          <w:noProof/>
        </w:rPr>
        <w:tab/>
        <w:t>Dane</w:t>
      </w:r>
      <w:bookmarkEnd w:id="191"/>
      <w:bookmarkEnd w:id="192"/>
    </w:p>
    <w:tbl>
      <w:tblPr>
        <w:tblStyle w:val="Tabela-Siatka"/>
        <w:tblW w:w="0" w:type="auto"/>
        <w:tblLook w:val="04A0" w:firstRow="1" w:lastRow="0" w:firstColumn="1" w:lastColumn="0" w:noHBand="0" w:noVBand="1"/>
      </w:tblPr>
      <w:tblGrid>
        <w:gridCol w:w="9063"/>
      </w:tblGrid>
      <w:tr w:rsidR="004D55FB" w:rsidRPr="00FA433F" w14:paraId="540FF289" w14:textId="77777777">
        <w:tc>
          <w:tcPr>
            <w:tcW w:w="9063" w:type="dxa"/>
          </w:tcPr>
          <w:p w14:paraId="4AE1D0B1" w14:textId="77777777" w:rsidR="008A4C15" w:rsidRPr="00FA433F" w:rsidRDefault="00471A19" w:rsidP="00150C36">
            <w:pPr>
              <w:pStyle w:val="Akapitzlist"/>
              <w:numPr>
                <w:ilvl w:val="0"/>
                <w:numId w:val="17"/>
              </w:numPr>
              <w:rPr>
                <w:noProof/>
              </w:rPr>
            </w:pPr>
            <w:r w:rsidRPr="00FA433F">
              <w:rPr>
                <w:noProof/>
              </w:rPr>
              <w:t>Nie dotyczy</w:t>
            </w:r>
          </w:p>
        </w:tc>
      </w:tr>
    </w:tbl>
    <w:p w14:paraId="02D8629E" w14:textId="77777777" w:rsidR="008A4C15" w:rsidRPr="00FA433F" w:rsidRDefault="008A4C15">
      <w:pPr>
        <w:pStyle w:val="ManualHeading2"/>
        <w:rPr>
          <w:noProof/>
        </w:rPr>
      </w:pPr>
      <w:bookmarkStart w:id="193" w:name="_Toc167220305"/>
      <w:bookmarkStart w:id="194" w:name="_Toc177549039"/>
      <w:r w:rsidRPr="00FA433F">
        <w:rPr>
          <w:noProof/>
        </w:rPr>
        <w:t>4.3.</w:t>
      </w:r>
      <w:r w:rsidRPr="00FA433F">
        <w:rPr>
          <w:noProof/>
        </w:rPr>
        <w:tab/>
        <w:t>Rozwiązania cyfrowe</w:t>
      </w:r>
      <w:bookmarkEnd w:id="193"/>
      <w:bookmarkEnd w:id="194"/>
    </w:p>
    <w:tbl>
      <w:tblPr>
        <w:tblStyle w:val="Tabela-Siatka"/>
        <w:tblpPr w:leftFromText="141" w:rightFromText="141" w:vertAnchor="text" w:horzAnchor="margin" w:tblpY="2"/>
        <w:tblW w:w="9067" w:type="dxa"/>
        <w:tblLook w:val="04A0" w:firstRow="1" w:lastRow="0" w:firstColumn="1" w:lastColumn="0" w:noHBand="0" w:noVBand="1"/>
      </w:tblPr>
      <w:tblGrid>
        <w:gridCol w:w="9067"/>
      </w:tblGrid>
      <w:tr w:rsidR="004D55FB" w:rsidRPr="00FA433F" w14:paraId="754F12CB" w14:textId="77777777">
        <w:tc>
          <w:tcPr>
            <w:tcW w:w="9067" w:type="dxa"/>
          </w:tcPr>
          <w:p w14:paraId="424BE9A4" w14:textId="77777777" w:rsidR="008A4C15" w:rsidRPr="00FA433F" w:rsidRDefault="00471A19" w:rsidP="00471A19">
            <w:pPr>
              <w:rPr>
                <w:noProof/>
              </w:rPr>
            </w:pPr>
            <w:r w:rsidRPr="00FA433F">
              <w:rPr>
                <w:noProof/>
              </w:rPr>
              <w:t>Nie dotyczy</w:t>
            </w:r>
          </w:p>
        </w:tc>
      </w:tr>
    </w:tbl>
    <w:p w14:paraId="7590DAE5" w14:textId="77777777" w:rsidR="008A4C15" w:rsidRPr="00FA433F" w:rsidRDefault="008A4C15">
      <w:pPr>
        <w:pStyle w:val="ManualHeading2"/>
        <w:rPr>
          <w:rStyle w:val="Uwydatnienie"/>
          <w:b w:val="0"/>
          <w:bCs/>
          <w:i w:val="0"/>
          <w:iCs w:val="0"/>
          <w:noProof/>
        </w:rPr>
      </w:pPr>
      <w:bookmarkStart w:id="195" w:name="_Toc167220304"/>
      <w:bookmarkStart w:id="196" w:name="_Toc177549040"/>
      <w:r w:rsidRPr="00FA433F">
        <w:rPr>
          <w:rStyle w:val="Uwydatnienie"/>
          <w:noProof/>
        </w:rPr>
        <w:t>4.4.</w:t>
      </w:r>
      <w:r w:rsidRPr="00FA433F">
        <w:rPr>
          <w:noProof/>
        </w:rPr>
        <w:tab/>
      </w:r>
      <w:r w:rsidRPr="00FA433F">
        <w:rPr>
          <w:rStyle w:val="Uwydatnienie"/>
          <w:noProof/>
        </w:rPr>
        <w:t>Ocena interoperacyjności</w:t>
      </w:r>
      <w:bookmarkEnd w:id="195"/>
      <w:bookmarkEnd w:id="196"/>
    </w:p>
    <w:tbl>
      <w:tblPr>
        <w:tblStyle w:val="Tabela-Siatka"/>
        <w:tblpPr w:leftFromText="141" w:rightFromText="141" w:vertAnchor="text" w:horzAnchor="margin" w:tblpY="36"/>
        <w:tblW w:w="9067" w:type="dxa"/>
        <w:tblLayout w:type="fixed"/>
        <w:tblLook w:val="06A0" w:firstRow="1" w:lastRow="0" w:firstColumn="1" w:lastColumn="0" w:noHBand="1" w:noVBand="1"/>
      </w:tblPr>
      <w:tblGrid>
        <w:gridCol w:w="9067"/>
      </w:tblGrid>
      <w:tr w:rsidR="004D55FB" w:rsidRPr="00FA433F" w14:paraId="68417CF4" w14:textId="77777777">
        <w:trPr>
          <w:trHeight w:val="300"/>
        </w:trPr>
        <w:tc>
          <w:tcPr>
            <w:tcW w:w="9067" w:type="dxa"/>
          </w:tcPr>
          <w:p w14:paraId="512A8BC9" w14:textId="77777777" w:rsidR="008A4C15" w:rsidRPr="00FA433F" w:rsidRDefault="00471A19">
            <w:pPr>
              <w:rPr>
                <w:i/>
                <w:iCs/>
                <w:noProof/>
              </w:rPr>
            </w:pPr>
            <w:r w:rsidRPr="00FA433F">
              <w:rPr>
                <w:noProof/>
              </w:rPr>
              <w:t>Nie dotyczy</w:t>
            </w:r>
          </w:p>
        </w:tc>
      </w:tr>
    </w:tbl>
    <w:p w14:paraId="33637BCD" w14:textId="77777777" w:rsidR="008A4C15" w:rsidRPr="00FA433F" w:rsidRDefault="008A4C15">
      <w:pPr>
        <w:pStyle w:val="ManualHeading2"/>
        <w:rPr>
          <w:noProof/>
        </w:rPr>
      </w:pPr>
      <w:bookmarkStart w:id="197" w:name="_Toc167220306"/>
      <w:bookmarkStart w:id="198" w:name="_Toc177549041"/>
      <w:r w:rsidRPr="00FA433F">
        <w:rPr>
          <w:noProof/>
        </w:rPr>
        <w:t>4.5.</w:t>
      </w:r>
      <w:r w:rsidRPr="00FA433F">
        <w:rPr>
          <w:noProof/>
        </w:rPr>
        <w:tab/>
        <w:t>Środki wspierające cyfrowe wdrażanie</w:t>
      </w:r>
      <w:bookmarkEnd w:id="197"/>
      <w:bookmarkEnd w:id="198"/>
    </w:p>
    <w:tbl>
      <w:tblPr>
        <w:tblStyle w:val="Tabela-Siatka"/>
        <w:tblpPr w:leftFromText="141" w:rightFromText="141" w:vertAnchor="text" w:horzAnchor="margin" w:tblpY="49"/>
        <w:tblW w:w="9067" w:type="dxa"/>
        <w:tblLook w:val="04A0" w:firstRow="1" w:lastRow="0" w:firstColumn="1" w:lastColumn="0" w:noHBand="0" w:noVBand="1"/>
      </w:tblPr>
      <w:tblGrid>
        <w:gridCol w:w="9067"/>
      </w:tblGrid>
      <w:tr w:rsidR="004D55FB" w:rsidRPr="00FA433F" w14:paraId="7FB1C0AE" w14:textId="77777777">
        <w:tc>
          <w:tcPr>
            <w:tcW w:w="9067" w:type="dxa"/>
          </w:tcPr>
          <w:p w14:paraId="0A91352D" w14:textId="77777777" w:rsidR="008A4C15" w:rsidRPr="00FA433F" w:rsidRDefault="00471A19" w:rsidP="00150C36">
            <w:pPr>
              <w:pStyle w:val="Akapitzlist"/>
              <w:numPr>
                <w:ilvl w:val="0"/>
                <w:numId w:val="17"/>
              </w:numPr>
              <w:rPr>
                <w:noProof/>
              </w:rPr>
            </w:pPr>
            <w:r w:rsidRPr="00FA433F">
              <w:rPr>
                <w:noProof/>
              </w:rPr>
              <w:t>Nie dotyczy</w:t>
            </w:r>
          </w:p>
        </w:tc>
      </w:tr>
      <w:bookmarkEnd w:id="187"/>
    </w:tbl>
    <w:p w14:paraId="6139E266" w14:textId="77777777" w:rsidR="008A4C15" w:rsidRPr="00FA433F" w:rsidRDefault="008A4C15">
      <w:pPr>
        <w:rPr>
          <w:noProof/>
        </w:rPr>
      </w:pPr>
    </w:p>
    <w:sectPr w:rsidR="008A4C15" w:rsidRPr="00FA433F" w:rsidSect="007E5C27">
      <w:headerReference w:type="default" r:id="rId19"/>
      <w:footerReference w:type="defaul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F020" w14:textId="77777777" w:rsidR="009A342A" w:rsidRPr="00FA433F" w:rsidRDefault="009A342A" w:rsidP="008A4C15">
      <w:pPr>
        <w:spacing w:before="0" w:after="0"/>
      </w:pPr>
      <w:r w:rsidRPr="00FA433F">
        <w:separator/>
      </w:r>
    </w:p>
  </w:endnote>
  <w:endnote w:type="continuationSeparator" w:id="0">
    <w:p w14:paraId="1F933BCE" w14:textId="77777777" w:rsidR="009A342A" w:rsidRPr="00FA433F" w:rsidRDefault="009A342A" w:rsidP="008A4C15">
      <w:pPr>
        <w:spacing w:before="0" w:after="0"/>
      </w:pPr>
      <w:r w:rsidRPr="00FA433F">
        <w:continuationSeparator/>
      </w:r>
    </w:p>
  </w:endnote>
  <w:endnote w:type="continuationNotice" w:id="1">
    <w:p w14:paraId="75CF3411" w14:textId="77777777" w:rsidR="009A342A" w:rsidRPr="00FA433F" w:rsidRDefault="009A34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Arial Narrow">
    <w:altName w:val="Arial"/>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273A" w14:textId="0563B707" w:rsidR="007E5C27" w:rsidRPr="007E5C27" w:rsidRDefault="007E5C27" w:rsidP="007E5C27">
    <w:pPr>
      <w:pStyle w:val="Stopka"/>
      <w:rPr>
        <w:rFonts w:ascii="Arial" w:hAnsi="Arial" w:cs="Arial"/>
        <w:b/>
        <w:sz w:val="48"/>
      </w:rPr>
    </w:pPr>
    <w:r w:rsidRPr="007E5C27">
      <w:rPr>
        <w:rFonts w:ascii="Arial" w:hAnsi="Arial" w:cs="Arial"/>
        <w:b/>
        <w:sz w:val="48"/>
      </w:rPr>
      <w:t>PL</w:t>
    </w:r>
    <w:r w:rsidRPr="007E5C27">
      <w:rPr>
        <w:rFonts w:ascii="Arial" w:hAnsi="Arial" w:cs="Arial"/>
        <w:b/>
        <w:sz w:val="48"/>
      </w:rPr>
      <w:tab/>
    </w:r>
    <w:r w:rsidRPr="007E5C27">
      <w:rPr>
        <w:rFonts w:ascii="Arial" w:hAnsi="Arial" w:cs="Arial"/>
        <w:b/>
        <w:sz w:val="48"/>
      </w:rPr>
      <w:tab/>
    </w:r>
    <w:r w:rsidRPr="007E5C27">
      <w:tab/>
    </w:r>
    <w:proofErr w:type="spellStart"/>
    <w:r w:rsidRPr="007E5C27">
      <w:rPr>
        <w:rFonts w:ascii="Arial" w:hAnsi="Arial" w:cs="Arial"/>
        <w:b/>
        <w:sz w:val="48"/>
      </w:rPr>
      <w:t>PL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88E2" w14:textId="060F63F9" w:rsidR="007E5C27" w:rsidRPr="007E5C27" w:rsidRDefault="007E5C27" w:rsidP="007E5C27">
    <w:pPr>
      <w:pStyle w:val="Stopka"/>
      <w:rPr>
        <w:rFonts w:ascii="Arial" w:hAnsi="Arial" w:cs="Arial"/>
        <w:b/>
        <w:sz w:val="48"/>
      </w:rPr>
    </w:pPr>
    <w:r w:rsidRPr="007E5C27">
      <w:rPr>
        <w:rFonts w:ascii="Arial" w:hAnsi="Arial" w:cs="Arial"/>
        <w:b/>
        <w:sz w:val="48"/>
      </w:rPr>
      <w:t>PL</w:t>
    </w:r>
    <w:r w:rsidRPr="007E5C27">
      <w:rPr>
        <w:rFonts w:ascii="Arial" w:hAnsi="Arial" w:cs="Arial"/>
        <w:b/>
        <w:sz w:val="48"/>
      </w:rPr>
      <w:tab/>
    </w:r>
    <w:r w:rsidRPr="007E5C27">
      <w:rPr>
        <w:rFonts w:ascii="Arial" w:hAnsi="Arial" w:cs="Arial"/>
        <w:b/>
        <w:sz w:val="48"/>
      </w:rPr>
      <w:tab/>
    </w:r>
    <w:r w:rsidRPr="007E5C27">
      <w:tab/>
    </w:r>
    <w:proofErr w:type="spellStart"/>
    <w:r w:rsidRPr="007E5C27">
      <w:rPr>
        <w:rFonts w:ascii="Arial" w:hAnsi="Arial" w:cs="Arial"/>
        <w:b/>
        <w:sz w:val="48"/>
      </w:rPr>
      <w:t>PL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16A3" w14:textId="77777777" w:rsidR="007E5C27" w:rsidRDefault="007E5C2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0CA1" w14:textId="3DD24EB7" w:rsidR="007E5C27" w:rsidRPr="007E5C27" w:rsidRDefault="007E5C27" w:rsidP="007E5C27">
    <w:pPr>
      <w:pStyle w:val="Stopka"/>
      <w:rPr>
        <w:rFonts w:ascii="Arial" w:hAnsi="Arial" w:cs="Arial"/>
        <w:b/>
        <w:sz w:val="48"/>
      </w:rPr>
    </w:pPr>
    <w:r w:rsidRPr="007E5C27">
      <w:rPr>
        <w:rFonts w:ascii="Arial" w:hAnsi="Arial" w:cs="Arial"/>
        <w:b/>
        <w:sz w:val="48"/>
      </w:rPr>
      <w:t>PL</w:t>
    </w:r>
    <w:r w:rsidRPr="007E5C27">
      <w:rPr>
        <w:rFonts w:ascii="Arial" w:hAnsi="Arial" w:cs="Arial"/>
        <w:b/>
        <w:sz w:val="48"/>
      </w:rPr>
      <w:tab/>
    </w:r>
    <w:r>
      <w:fldChar w:fldCharType="begin"/>
    </w:r>
    <w:r>
      <w:instrText xml:space="preserve"> PAGE  \* MERGEFORMAT </w:instrText>
    </w:r>
    <w:r>
      <w:fldChar w:fldCharType="separate"/>
    </w:r>
    <w:r w:rsidR="002C3640">
      <w:rPr>
        <w:noProof/>
      </w:rPr>
      <w:t>21</w:t>
    </w:r>
    <w:r>
      <w:fldChar w:fldCharType="end"/>
    </w:r>
    <w:r>
      <w:tab/>
    </w:r>
    <w:r w:rsidRPr="007E5C27">
      <w:tab/>
    </w:r>
    <w:r w:rsidRPr="007E5C27">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4F49" w14:textId="77777777" w:rsidR="007E5C27" w:rsidRDefault="007E5C27" w:rsidP="007E5C27">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B95F" w14:textId="0BD00A50" w:rsidR="007E5C27" w:rsidRPr="007E5C27" w:rsidRDefault="007E5C27" w:rsidP="007E5C27">
    <w:pPr>
      <w:pStyle w:val="FooterLandscape"/>
      <w:rPr>
        <w:rFonts w:ascii="Arial" w:hAnsi="Arial" w:cs="Arial"/>
        <w:b/>
        <w:sz w:val="48"/>
      </w:rPr>
    </w:pPr>
    <w:r w:rsidRPr="007E5C27">
      <w:rPr>
        <w:rFonts w:ascii="Arial" w:hAnsi="Arial" w:cs="Arial"/>
        <w:b/>
        <w:sz w:val="48"/>
      </w:rPr>
      <w:t>PL</w:t>
    </w:r>
    <w:r w:rsidRPr="007E5C2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E5C27">
      <w:tab/>
    </w:r>
    <w:r w:rsidRPr="007E5C27">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F77A" w14:textId="3CF7A353" w:rsidR="007E5C27" w:rsidRPr="007E5C27" w:rsidRDefault="007E5C27" w:rsidP="007E5C27">
    <w:pPr>
      <w:pStyle w:val="Stopka"/>
      <w:rPr>
        <w:rFonts w:ascii="Arial" w:hAnsi="Arial" w:cs="Arial"/>
        <w:b/>
        <w:sz w:val="48"/>
      </w:rPr>
    </w:pPr>
    <w:r w:rsidRPr="007E5C27">
      <w:rPr>
        <w:rFonts w:ascii="Arial" w:hAnsi="Arial" w:cs="Arial"/>
        <w:b/>
        <w:sz w:val="48"/>
      </w:rPr>
      <w:t>PL</w:t>
    </w:r>
    <w:r w:rsidRPr="007E5C27">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7E5C27">
      <w:tab/>
    </w:r>
    <w:r w:rsidRPr="007E5C27">
      <w:rPr>
        <w:rFonts w:ascii="Arial" w:hAnsi="Arial" w:cs="Arial"/>
        <w:b/>
        <w:sz w:val="48"/>
      </w:rPr>
      <w:t>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8242" w14:textId="77777777" w:rsidR="009A342A" w:rsidRPr="00FA433F" w:rsidRDefault="009A342A" w:rsidP="008A4C15">
      <w:pPr>
        <w:spacing w:before="0" w:after="0"/>
      </w:pPr>
      <w:r w:rsidRPr="00FA433F">
        <w:separator/>
      </w:r>
    </w:p>
  </w:footnote>
  <w:footnote w:type="continuationSeparator" w:id="0">
    <w:p w14:paraId="30F31CEE" w14:textId="77777777" w:rsidR="009A342A" w:rsidRPr="00FA433F" w:rsidRDefault="009A342A" w:rsidP="008A4C15">
      <w:pPr>
        <w:spacing w:before="0" w:after="0"/>
      </w:pPr>
      <w:r w:rsidRPr="00FA433F">
        <w:continuationSeparator/>
      </w:r>
    </w:p>
  </w:footnote>
  <w:footnote w:type="continuationNotice" w:id="1">
    <w:p w14:paraId="7AEF0D65" w14:textId="77777777" w:rsidR="009A342A" w:rsidRPr="00FA433F" w:rsidRDefault="009A342A">
      <w:pPr>
        <w:spacing w:before="0" w:after="0"/>
      </w:pPr>
    </w:p>
  </w:footnote>
  <w:footnote w:id="2">
    <w:p w14:paraId="3A29FD25" w14:textId="299ACF25" w:rsidR="009C2688" w:rsidRPr="00FA433F" w:rsidRDefault="009C2688">
      <w:pPr>
        <w:pStyle w:val="Tekstprzypisudolnego"/>
      </w:pPr>
      <w:r w:rsidRPr="00FA433F">
        <w:rPr>
          <w:rStyle w:val="Odwoanieprzypisudolnego"/>
        </w:rPr>
        <w:footnoteRef/>
      </w:r>
      <w:r w:rsidRPr="00FA433F">
        <w:tab/>
        <w:t>Zob.</w:t>
      </w:r>
      <w:r w:rsidR="00FA433F" w:rsidRPr="00FA433F">
        <w:t xml:space="preserve"> w</w:t>
      </w:r>
      <w:r w:rsidR="00FA433F">
        <w:t> </w:t>
      </w:r>
      <w:r w:rsidR="00FA433F" w:rsidRPr="00FA433F">
        <w:t>szc</w:t>
      </w:r>
      <w:r w:rsidRPr="00FA433F">
        <w:t>zególności Kompas konkurencyjności dla UE, COM(2025) 30 final.</w:t>
      </w:r>
    </w:p>
  </w:footnote>
  <w:footnote w:id="3">
    <w:p w14:paraId="77E14F1A" w14:textId="77777777" w:rsidR="009C2688" w:rsidRPr="00FA433F" w:rsidRDefault="009C2688">
      <w:pPr>
        <w:pStyle w:val="Tekstprzypisudolnego"/>
      </w:pPr>
      <w:r w:rsidRPr="00FA433F">
        <w:rPr>
          <w:rStyle w:val="Odwoanieprzypisudolnego"/>
        </w:rPr>
        <w:footnoteRef/>
      </w:r>
      <w:r w:rsidRPr="00FA433F">
        <w:tab/>
        <w:t xml:space="preserve">Dz.U. L, 2024/2509, ELI: </w:t>
      </w:r>
      <w:hyperlink r:id="rId1" w:history="1">
        <w:r w:rsidRPr="00FA433F">
          <w:rPr>
            <w:rStyle w:val="Hipercze"/>
          </w:rPr>
          <w:t>http://data.europa.eu/eli/reg/2024/2509/oj</w:t>
        </w:r>
      </w:hyperlink>
      <w:r w:rsidRPr="00FA433F">
        <w:t>.</w:t>
      </w:r>
    </w:p>
  </w:footnote>
  <w:footnote w:id="4">
    <w:p w14:paraId="19A49068" w14:textId="35304F3F" w:rsidR="00D92CBC" w:rsidRPr="00FA433F" w:rsidRDefault="00D92CBC">
      <w:pPr>
        <w:pStyle w:val="Tekstprzypisudolnego"/>
      </w:pPr>
      <w:r w:rsidRPr="00FA433F">
        <w:rPr>
          <w:rStyle w:val="Odwoanieprzypisudolnego"/>
        </w:rPr>
        <w:footnoteRef/>
      </w:r>
      <w:r w:rsidRPr="00FA433F">
        <w:tab/>
        <w:t>Dokument roboczy służb Komisji towarzyszący wnioskowi dotyczącemu rozporządzenia Parlamentu Europejskiego</w:t>
      </w:r>
      <w:r w:rsidR="00FA433F" w:rsidRPr="00FA433F">
        <w:t xml:space="preserve"> i</w:t>
      </w:r>
      <w:r w:rsidR="00FA433F">
        <w:t> </w:t>
      </w:r>
      <w:r w:rsidR="00FA433F" w:rsidRPr="00FA433F">
        <w:t>Rad</w:t>
      </w:r>
      <w:r w:rsidRPr="00FA433F">
        <w:t>y (UE) ustanawiającego Tymczasowy Fundusz Dekarbonizacji.</w:t>
      </w:r>
    </w:p>
  </w:footnote>
  <w:footnote w:id="5">
    <w:p w14:paraId="5944B847" w14:textId="18408273" w:rsidR="004D74F6" w:rsidRPr="00FA433F" w:rsidRDefault="004D74F6">
      <w:pPr>
        <w:pStyle w:val="Tekstprzypisudolnego"/>
      </w:pPr>
      <w:r w:rsidRPr="00FA433F">
        <w:rPr>
          <w:rStyle w:val="Odwoanieprzypisudolnego"/>
        </w:rPr>
        <w:footnoteRef/>
      </w:r>
      <w:r w:rsidRPr="00FA433F">
        <w:tab/>
        <w:t>COM(2025) 574. Wniosek dotyczący decyzji Rady</w:t>
      </w:r>
      <w:r w:rsidR="00FA433F" w:rsidRPr="00FA433F">
        <w:t xml:space="preserve"> w</w:t>
      </w:r>
      <w:r w:rsidR="00FA433F">
        <w:t> </w:t>
      </w:r>
      <w:r w:rsidR="00FA433F" w:rsidRPr="00FA433F">
        <w:t>spr</w:t>
      </w:r>
      <w:r w:rsidRPr="00FA433F">
        <w:t>awie systemu zasobów własnych Unii Europejskiej oraz uchylającej decyzję (UE, Euratom) 2020/2053, https://eur-lex.europa.eu/legal-content/PL/TXT/?uri=celex:52025PC0574.</w:t>
      </w:r>
    </w:p>
  </w:footnote>
  <w:footnote w:id="6">
    <w:p w14:paraId="3C5E551C" w14:textId="6035F896" w:rsidR="008A4C15" w:rsidRPr="00FA433F" w:rsidRDefault="008A4C15">
      <w:pPr>
        <w:pStyle w:val="Tekstprzypisudolnego"/>
      </w:pPr>
      <w:r w:rsidRPr="00FA433F">
        <w:rPr>
          <w:rStyle w:val="Odwoanieprzypisudolnego"/>
        </w:rPr>
        <w:footnoteRef/>
      </w:r>
      <w:r w:rsidRPr="00FA433F">
        <w:tab/>
        <w:t>Dz.U. C</w:t>
      </w:r>
      <w:r w:rsidR="00FA433F" w:rsidRPr="00FA433F">
        <w:t xml:space="preserve">, </w:t>
      </w:r>
      <w:r w:rsidRPr="00FA433F">
        <w:t>, s.</w:t>
      </w:r>
      <w:r w:rsidR="00FA433F">
        <w:t>..</w:t>
      </w:r>
    </w:p>
  </w:footnote>
  <w:footnote w:id="7">
    <w:p w14:paraId="09F3DA6F" w14:textId="6E64E41F" w:rsidR="008A4C15" w:rsidRPr="00FA433F" w:rsidRDefault="008A4C15">
      <w:pPr>
        <w:pStyle w:val="Tekstprzypisudolnego"/>
      </w:pPr>
      <w:r w:rsidRPr="00FA433F">
        <w:rPr>
          <w:rStyle w:val="Odwoanieprzypisudolnego"/>
        </w:rPr>
        <w:footnoteRef/>
      </w:r>
      <w:r w:rsidRPr="00FA433F">
        <w:tab/>
        <w:t>Dz.U. C</w:t>
      </w:r>
      <w:r w:rsidR="00FA433F" w:rsidRPr="00FA433F">
        <w:t xml:space="preserve">, </w:t>
      </w:r>
      <w:r w:rsidRPr="00FA433F">
        <w:t>, s.</w:t>
      </w:r>
      <w:r w:rsidR="00FA433F">
        <w:t>..</w:t>
      </w:r>
    </w:p>
  </w:footnote>
  <w:footnote w:id="8">
    <w:p w14:paraId="6B0F7DD5" w14:textId="689DDF29" w:rsidR="006D28AF" w:rsidRPr="00FA433F" w:rsidRDefault="006D28AF">
      <w:pPr>
        <w:pStyle w:val="Tekstprzypisudolnego"/>
      </w:pPr>
      <w:r w:rsidRPr="00FA433F">
        <w:rPr>
          <w:rStyle w:val="Odwoanieprzypisudolnego"/>
        </w:rPr>
        <w:footnoteRef/>
      </w:r>
      <w:r w:rsidRPr="00FA433F">
        <w:tab/>
        <w:t>Stanowisko Parlamentu Europejskiego</w:t>
      </w:r>
      <w:r w:rsidR="00FA433F" w:rsidRPr="00FA433F">
        <w:t xml:space="preserve"> z</w:t>
      </w:r>
      <w:r w:rsidR="00FA433F">
        <w:t> </w:t>
      </w:r>
      <w:r w:rsidR="00FA433F" w:rsidRPr="00FA433F">
        <w:t>dni</w:t>
      </w:r>
      <w:r w:rsidRPr="00FA433F">
        <w:t>a … r.</w:t>
      </w:r>
      <w:r w:rsidR="00FA433F" w:rsidRPr="00FA433F">
        <w:t xml:space="preserve"> i</w:t>
      </w:r>
      <w:r w:rsidR="00FA433F">
        <w:t> </w:t>
      </w:r>
      <w:r w:rsidR="00FA433F" w:rsidRPr="00FA433F">
        <w:t>dec</w:t>
      </w:r>
      <w:r w:rsidRPr="00FA433F">
        <w:t>yzja Rady</w:t>
      </w:r>
      <w:r w:rsidR="00FA433F" w:rsidRPr="00FA433F">
        <w:t xml:space="preserve"> z</w:t>
      </w:r>
      <w:r w:rsidR="00FA433F">
        <w:t> </w:t>
      </w:r>
      <w:r w:rsidR="00FA433F" w:rsidRPr="00FA433F">
        <w:t>dni</w:t>
      </w:r>
      <w:r w:rsidRPr="00FA433F">
        <w:t>a … r.</w:t>
      </w:r>
    </w:p>
  </w:footnote>
  <w:footnote w:id="9">
    <w:p w14:paraId="4C5B4658" w14:textId="4E8BAA2E" w:rsidR="00D35891" w:rsidRPr="00FA433F" w:rsidRDefault="00D35891">
      <w:pPr>
        <w:pStyle w:val="Tekstprzypisudolnego"/>
      </w:pPr>
      <w:r w:rsidRPr="00FA433F">
        <w:rPr>
          <w:rStyle w:val="Odwoanieprzypisudolnego"/>
        </w:rPr>
        <w:footnoteRef/>
      </w:r>
      <w:r w:rsidRPr="00FA433F">
        <w:tab/>
        <w:t>Komunikat Komisji do Parlamentu Europejskiego, Rady Europejskiej, Rady, Europejskiego Komitetu Ekonomiczno-Społecznego</w:t>
      </w:r>
      <w:r w:rsidR="00FA433F" w:rsidRPr="00FA433F">
        <w:t xml:space="preserve"> i</w:t>
      </w:r>
      <w:r w:rsidR="00FA433F">
        <w:t> </w:t>
      </w:r>
      <w:r w:rsidR="00FA433F" w:rsidRPr="00FA433F">
        <w:t>Kom</w:t>
      </w:r>
      <w:r w:rsidRPr="00FA433F">
        <w:t>itetu Regionów</w:t>
      </w:r>
      <w:r w:rsidR="00FA433F" w:rsidRPr="00FA433F">
        <w:t xml:space="preserve"> z</w:t>
      </w:r>
      <w:r w:rsidR="00FA433F">
        <w:t> </w:t>
      </w:r>
      <w:r w:rsidR="00FA433F" w:rsidRPr="00FA433F">
        <w:t>dni</w:t>
      </w:r>
      <w:r w:rsidRPr="00FA433F">
        <w:t>a 11 grudnia 2019 r. „Europejski Zielony Ład”, COM(2019) 640 final.</w:t>
      </w:r>
    </w:p>
  </w:footnote>
  <w:footnote w:id="10">
    <w:p w14:paraId="64A68272" w14:textId="3CCCB3FE" w:rsidR="00D35891" w:rsidRPr="00FA433F" w:rsidRDefault="00D35891">
      <w:pPr>
        <w:pStyle w:val="Tekstprzypisudolnego"/>
      </w:pPr>
      <w:r w:rsidRPr="00FA433F">
        <w:rPr>
          <w:rStyle w:val="Odwoanieprzypisudolnego"/>
        </w:rPr>
        <w:footnoteRef/>
      </w:r>
      <w:r w:rsidRPr="00FA433F">
        <w:tab/>
        <w:t>Rozporządzenie Parlamentu Europejskiego</w:t>
      </w:r>
      <w:r w:rsidR="00FA433F" w:rsidRPr="00FA433F">
        <w:t xml:space="preserve"> i</w:t>
      </w:r>
      <w:r w:rsidR="00FA433F">
        <w:t> </w:t>
      </w:r>
      <w:r w:rsidR="00FA433F" w:rsidRPr="00FA433F">
        <w:t>Rad</w:t>
      </w:r>
      <w:r w:rsidRPr="00FA433F">
        <w:t>y (UE) 2021/1119</w:t>
      </w:r>
      <w:r w:rsidR="00FA433F" w:rsidRPr="00FA433F">
        <w:t xml:space="preserve"> z</w:t>
      </w:r>
      <w:r w:rsidR="00FA433F">
        <w:t> </w:t>
      </w:r>
      <w:r w:rsidR="00FA433F" w:rsidRPr="00FA433F">
        <w:t>dni</w:t>
      </w:r>
      <w:r w:rsidRPr="00FA433F">
        <w:t>a 30 czerwca 2021 r.</w:t>
      </w:r>
      <w:r w:rsidR="00FA433F" w:rsidRPr="00FA433F">
        <w:t xml:space="preserve"> w</w:t>
      </w:r>
      <w:r w:rsidR="00FA433F">
        <w:t> </w:t>
      </w:r>
      <w:r w:rsidR="00FA433F" w:rsidRPr="00FA433F">
        <w:t>spr</w:t>
      </w:r>
      <w:r w:rsidRPr="00FA433F">
        <w:t>awie ustanowienia ram na potrzeby osiągnięcia neutralności klimatycznej</w:t>
      </w:r>
      <w:r w:rsidR="00FA433F" w:rsidRPr="00FA433F">
        <w:t xml:space="preserve"> i</w:t>
      </w:r>
      <w:r w:rsidR="00FA433F">
        <w:t> </w:t>
      </w:r>
      <w:r w:rsidR="00FA433F" w:rsidRPr="00FA433F">
        <w:t>zmi</w:t>
      </w:r>
      <w:r w:rsidRPr="00FA433F">
        <w:t xml:space="preserve">any rozporządzeń (WE) nr 401/2009 i (UE) 2018/1999 </w:t>
      </w:r>
      <w:r w:rsidR="00FA433F" w:rsidRPr="00FA433F">
        <w:t>(D</w:t>
      </w:r>
      <w:r w:rsidRPr="00FA433F">
        <w:t>z.U. L 243</w:t>
      </w:r>
      <w:r w:rsidR="00FA433F" w:rsidRPr="00FA433F">
        <w:t xml:space="preserve"> z</w:t>
      </w:r>
      <w:r w:rsidR="00FA433F">
        <w:t> </w:t>
      </w:r>
      <w:r w:rsidR="00FA433F" w:rsidRPr="00FA433F">
        <w:t>9</w:t>
      </w:r>
      <w:r w:rsidRPr="00FA433F">
        <w:t xml:space="preserve">.7.2021, s. 1, ELI: http://data.europa.eu/eli/reg/2021/1119/oj). </w:t>
      </w:r>
    </w:p>
  </w:footnote>
  <w:footnote w:id="11">
    <w:p w14:paraId="62E73F81" w14:textId="2A29D093" w:rsidR="007E2E0C" w:rsidRPr="00FA433F" w:rsidRDefault="007E2E0C">
      <w:pPr>
        <w:pStyle w:val="Tekstprzypisudolnego"/>
      </w:pPr>
      <w:r w:rsidRPr="00FA433F">
        <w:rPr>
          <w:rStyle w:val="Odwoanieprzypisudolnego"/>
        </w:rPr>
        <w:footnoteRef/>
      </w:r>
      <w:r w:rsidRPr="00FA433F">
        <w:tab/>
        <w:t>Komunikat Komisji do Parlamentu Europejskiego, Rady, Europejskiego Komitetu Ekonomiczno-Społecznego</w:t>
      </w:r>
      <w:r w:rsidR="00FA433F" w:rsidRPr="00FA433F">
        <w:t xml:space="preserve"> i</w:t>
      </w:r>
      <w:r w:rsidR="00FA433F">
        <w:t> </w:t>
      </w:r>
      <w:r w:rsidR="00FA433F" w:rsidRPr="00FA433F">
        <w:t>Kom</w:t>
      </w:r>
      <w:r w:rsidRPr="00FA433F">
        <w:t>itetu Regionów</w:t>
      </w:r>
      <w:r w:rsidR="00FA433F" w:rsidRPr="00FA433F">
        <w:t xml:space="preserve"> z</w:t>
      </w:r>
      <w:r w:rsidR="00FA433F">
        <w:t> </w:t>
      </w:r>
      <w:r w:rsidR="00FA433F" w:rsidRPr="00FA433F">
        <w:t>dni</w:t>
      </w:r>
      <w:r w:rsidRPr="00FA433F">
        <w:t>a 26 lutego 2025 r., „Pakt dla czystego przemysłu: wspólny plan działania na rzecz konkurencyjności</w:t>
      </w:r>
      <w:r w:rsidR="00FA433F" w:rsidRPr="00FA433F">
        <w:t xml:space="preserve"> i</w:t>
      </w:r>
      <w:r w:rsidR="00FA433F">
        <w:t> </w:t>
      </w:r>
      <w:r w:rsidR="00FA433F" w:rsidRPr="00FA433F">
        <w:t>dek</w:t>
      </w:r>
      <w:r w:rsidRPr="00FA433F">
        <w:t>arbonizacji”, COM(2025) 85 final.</w:t>
      </w:r>
    </w:p>
  </w:footnote>
  <w:footnote w:id="12">
    <w:p w14:paraId="5C7C2DE0" w14:textId="5BA7F44C" w:rsidR="007E2E0C" w:rsidRPr="00FA433F" w:rsidRDefault="007E2E0C">
      <w:pPr>
        <w:pStyle w:val="Tekstprzypisudolnego"/>
      </w:pPr>
      <w:r w:rsidRPr="00FA433F">
        <w:rPr>
          <w:rStyle w:val="Odwoanieprzypisudolnego"/>
        </w:rPr>
        <w:footnoteRef/>
      </w:r>
      <w:r w:rsidRPr="00FA433F">
        <w:tab/>
        <w:t>Dyrektywa 2003/87/WE Parlamentu Europejskiego</w:t>
      </w:r>
      <w:r w:rsidR="00FA433F" w:rsidRPr="00FA433F">
        <w:t xml:space="preserve"> i</w:t>
      </w:r>
      <w:r w:rsidR="00FA433F">
        <w:t> </w:t>
      </w:r>
      <w:r w:rsidR="00FA433F" w:rsidRPr="00FA433F">
        <w:t>Rad</w:t>
      </w:r>
      <w:r w:rsidRPr="00FA433F">
        <w:t>y</w:t>
      </w:r>
      <w:r w:rsidR="00FA433F" w:rsidRPr="00FA433F">
        <w:t xml:space="preserve"> z</w:t>
      </w:r>
      <w:r w:rsidR="00FA433F">
        <w:t> </w:t>
      </w:r>
      <w:r w:rsidR="00FA433F" w:rsidRPr="00FA433F">
        <w:t>dni</w:t>
      </w:r>
      <w:r w:rsidRPr="00FA433F">
        <w:t>a 13 października 2003 r. ustanawiająca system handlu przydziałami emisji gazów cieplarnianych</w:t>
      </w:r>
      <w:r w:rsidR="00FA433F" w:rsidRPr="00FA433F">
        <w:t xml:space="preserve"> w</w:t>
      </w:r>
      <w:r w:rsidR="00FA433F">
        <w:t> </w:t>
      </w:r>
      <w:r w:rsidR="00FA433F" w:rsidRPr="00FA433F">
        <w:t>Uni</w:t>
      </w:r>
      <w:r w:rsidRPr="00FA433F">
        <w:t>i oraz zmieniająca dyrektywę Rady 96/61/WE (Dz.U. L 275</w:t>
      </w:r>
      <w:r w:rsidR="00FA433F" w:rsidRPr="00FA433F">
        <w:t xml:space="preserve"> z</w:t>
      </w:r>
      <w:r w:rsidR="00FA433F">
        <w:t> </w:t>
      </w:r>
      <w:r w:rsidR="00FA433F" w:rsidRPr="00FA433F">
        <w:t>2</w:t>
      </w:r>
      <w:r w:rsidRPr="00FA433F">
        <w:t xml:space="preserve">5.10.2003, s. 32, ELI: </w:t>
      </w:r>
      <w:hyperlink r:id="rId2" w:history="1">
        <w:r w:rsidRPr="00FA433F">
          <w:rPr>
            <w:rStyle w:val="Hipercze"/>
          </w:rPr>
          <w:t>http://data.europa.eu/eli/dir/2003/87/oj</w:t>
        </w:r>
      </w:hyperlink>
      <w:r w:rsidRPr="00FA433F">
        <w:t>).</w:t>
      </w:r>
    </w:p>
  </w:footnote>
  <w:footnote w:id="13">
    <w:p w14:paraId="22F8C770" w14:textId="51D95748" w:rsidR="003E66A9" w:rsidRPr="00FA433F" w:rsidRDefault="003E66A9">
      <w:pPr>
        <w:pStyle w:val="Tekstprzypisudolnego"/>
      </w:pPr>
      <w:r w:rsidRPr="00FA433F">
        <w:rPr>
          <w:rStyle w:val="Odwoanieprzypisudolnego"/>
        </w:rPr>
        <w:footnoteRef/>
      </w:r>
      <w:r w:rsidR="00246035" w:rsidRPr="00FA433F">
        <w:tab/>
      </w:r>
      <w:r w:rsidRPr="00FA433F">
        <w:t>Rozporządzenie Parlamentu Europejskiego</w:t>
      </w:r>
      <w:r w:rsidR="00FA433F" w:rsidRPr="00FA433F">
        <w:t xml:space="preserve"> i</w:t>
      </w:r>
      <w:r w:rsidR="00FA433F">
        <w:t> </w:t>
      </w:r>
      <w:r w:rsidR="00FA433F" w:rsidRPr="00FA433F">
        <w:t>Rad</w:t>
      </w:r>
      <w:r w:rsidRPr="00FA433F">
        <w:t>y (UE) 2023/956</w:t>
      </w:r>
      <w:r w:rsidR="00FA433F" w:rsidRPr="00FA433F">
        <w:t xml:space="preserve"> z</w:t>
      </w:r>
      <w:r w:rsidR="00FA433F">
        <w:t> </w:t>
      </w:r>
      <w:r w:rsidR="00FA433F" w:rsidRPr="00FA433F">
        <w:t>dni</w:t>
      </w:r>
      <w:r w:rsidRPr="00FA433F">
        <w:t>a 10 maja 2023</w:t>
      </w:r>
      <w:r w:rsidR="00FA433F" w:rsidRPr="00FA433F">
        <w:t> </w:t>
      </w:r>
      <w:r w:rsidRPr="00FA433F">
        <w:t>r. ustanawiające mechanizm dostosowywania cen na granicach</w:t>
      </w:r>
      <w:r w:rsidR="00FA433F" w:rsidRPr="00FA433F">
        <w:t xml:space="preserve"> z</w:t>
      </w:r>
      <w:r w:rsidR="00FA433F">
        <w:t> </w:t>
      </w:r>
      <w:r w:rsidR="00FA433F" w:rsidRPr="00FA433F">
        <w:t>uwz</w:t>
      </w:r>
      <w:r w:rsidRPr="00FA433F">
        <w:t>ględnieniem emisji CO</w:t>
      </w:r>
      <w:r w:rsidRPr="00FA433F">
        <w:rPr>
          <w:vertAlign w:val="subscript"/>
        </w:rPr>
        <w:t>2</w:t>
      </w:r>
      <w:r w:rsidRPr="00FA433F">
        <w:t xml:space="preserve"> (Dz.U. L 130</w:t>
      </w:r>
      <w:r w:rsidR="00FA433F" w:rsidRPr="00FA433F">
        <w:t xml:space="preserve"> z</w:t>
      </w:r>
      <w:r w:rsidR="00FA433F">
        <w:t> </w:t>
      </w:r>
      <w:r w:rsidR="00FA433F" w:rsidRPr="00FA433F">
        <w:t>1</w:t>
      </w:r>
      <w:r w:rsidRPr="00FA433F">
        <w:t xml:space="preserve">6.5.2023, s. 52, ELI: </w:t>
      </w:r>
      <w:hyperlink r:id="rId3" w:history="1">
        <w:r w:rsidRPr="00FA433F">
          <w:rPr>
            <w:rStyle w:val="Hipercze"/>
          </w:rPr>
          <w:t>http://data.europa.eu/eli/reg/2023/956/oj</w:t>
        </w:r>
      </w:hyperlink>
      <w:r w:rsidRPr="00FA433F">
        <w:t>).</w:t>
      </w:r>
    </w:p>
  </w:footnote>
  <w:footnote w:id="14">
    <w:p w14:paraId="3D07DE18" w14:textId="15FD2492" w:rsidR="007D48D3" w:rsidRPr="00FA433F" w:rsidRDefault="007D48D3">
      <w:pPr>
        <w:pStyle w:val="Tekstprzypisudolnego"/>
      </w:pPr>
      <w:r w:rsidRPr="00FA433F">
        <w:rPr>
          <w:rStyle w:val="Odwoanieprzypisudolnego"/>
        </w:rPr>
        <w:footnoteRef/>
      </w:r>
      <w:r w:rsidRPr="00FA433F">
        <w:tab/>
        <w:t>Wniosek dotyczący decyzji Rady</w:t>
      </w:r>
      <w:r w:rsidR="00FA433F" w:rsidRPr="00FA433F">
        <w:t xml:space="preserve"> w</w:t>
      </w:r>
      <w:r w:rsidR="00FA433F">
        <w:t> </w:t>
      </w:r>
      <w:r w:rsidR="00FA433F" w:rsidRPr="00FA433F">
        <w:t>spr</w:t>
      </w:r>
      <w:r w:rsidRPr="00FA433F">
        <w:t>awie systemu zasobów własnych Unii Europejskiej oraz uchylającej decyzję (UE, Euratom) 2020/2053 (COM/2025/574 final).</w:t>
      </w:r>
    </w:p>
  </w:footnote>
  <w:footnote w:id="15">
    <w:p w14:paraId="71E0005A" w14:textId="1501A197" w:rsidR="007D48D3" w:rsidRPr="00FA433F" w:rsidRDefault="007D48D3">
      <w:pPr>
        <w:pStyle w:val="Tekstprzypisudolnego"/>
      </w:pPr>
      <w:r w:rsidRPr="00FA433F">
        <w:rPr>
          <w:rStyle w:val="Odwoanieprzypisudolnego"/>
        </w:rPr>
        <w:footnoteRef/>
      </w:r>
      <w:r w:rsidRPr="00FA433F">
        <w:tab/>
        <w:t>Wniosek dotyczący decyzji Rady</w:t>
      </w:r>
      <w:r w:rsidR="00FA433F" w:rsidRPr="00FA433F">
        <w:t xml:space="preserve"> w</w:t>
      </w:r>
      <w:r w:rsidR="00FA433F">
        <w:t> </w:t>
      </w:r>
      <w:r w:rsidR="00FA433F" w:rsidRPr="00FA433F">
        <w:t>spr</w:t>
      </w:r>
      <w:r w:rsidRPr="00FA433F">
        <w:t>awie systemu zasobów własnych Unii Europejskiej oraz uchylającej decyzję (UE, Euratom) 2020/2053 (COM/2025/574 final).</w:t>
      </w:r>
    </w:p>
  </w:footnote>
  <w:footnote w:id="16">
    <w:p w14:paraId="397A8165" w14:textId="2D44C4F2" w:rsidR="00FA1B0D" w:rsidRPr="00FA433F" w:rsidRDefault="00FA1B0D">
      <w:pPr>
        <w:pStyle w:val="Tekstprzypisudolnego"/>
      </w:pPr>
      <w:r w:rsidRPr="00FA433F">
        <w:rPr>
          <w:rStyle w:val="Odwoanieprzypisudolnego"/>
        </w:rPr>
        <w:footnoteRef/>
      </w:r>
      <w:r w:rsidRPr="00FA433F">
        <w:tab/>
        <w:t>Rozporządzenie Parlamentu Europejskiego</w:t>
      </w:r>
      <w:r w:rsidR="00FA433F" w:rsidRPr="00FA433F">
        <w:t xml:space="preserve"> i</w:t>
      </w:r>
      <w:r w:rsidR="00FA433F">
        <w:t> </w:t>
      </w:r>
      <w:r w:rsidR="00FA433F" w:rsidRPr="00FA433F">
        <w:t>Rad</w:t>
      </w:r>
      <w:r w:rsidRPr="00FA433F">
        <w:t>y (UE, Euratom) 2024/2509</w:t>
      </w:r>
      <w:r w:rsidR="00FA433F" w:rsidRPr="00FA433F">
        <w:t xml:space="preserve"> z</w:t>
      </w:r>
      <w:r w:rsidR="00FA433F">
        <w:t> </w:t>
      </w:r>
      <w:r w:rsidR="00FA433F" w:rsidRPr="00FA433F">
        <w:t>dni</w:t>
      </w:r>
      <w:r w:rsidRPr="00FA433F">
        <w:t>a 23 września 2024 r.</w:t>
      </w:r>
      <w:r w:rsidR="00FA433F" w:rsidRPr="00FA433F">
        <w:t xml:space="preserve"> w</w:t>
      </w:r>
      <w:r w:rsidR="00FA433F">
        <w:t> </w:t>
      </w:r>
      <w:r w:rsidR="00FA433F" w:rsidRPr="00FA433F">
        <w:t>spr</w:t>
      </w:r>
      <w:r w:rsidRPr="00FA433F">
        <w:t>awie zasad finansowych mających zastosowanie do budżetu ogólnego Unii (Dz.U. L, 2024/2509, 26.9.2024, ELI: </w:t>
      </w:r>
      <w:hyperlink r:id="rId4" w:tgtFrame="_blank" w:tooltip="Dostęp do dokumentu poprzez identyfikator URI w systemie ELI." w:history="1">
        <w:r w:rsidRPr="00FA433F">
          <w:rPr>
            <w:rStyle w:val="Hipercze"/>
          </w:rPr>
          <w:t>http://data.europa.eu/eli/reg/2024/2509/oj</w:t>
        </w:r>
      </w:hyperlink>
      <w:r w:rsidRPr="00FA433F">
        <w:t>). </w:t>
      </w:r>
    </w:p>
  </w:footnote>
  <w:footnote w:id="17">
    <w:p w14:paraId="2BC2CD8B" w14:textId="267D0F9C" w:rsidR="00162330" w:rsidRPr="00FA433F" w:rsidRDefault="00162330" w:rsidP="00162330">
      <w:pPr>
        <w:pStyle w:val="Tekstprzypisudolnego"/>
      </w:pPr>
      <w:r w:rsidRPr="00FA433F">
        <w:rPr>
          <w:rStyle w:val="Odwoanieprzypisudolnego"/>
        </w:rPr>
        <w:footnoteRef/>
      </w:r>
      <w:r w:rsidRPr="00FA433F">
        <w:tab/>
        <w:t>Rozporządzenie Parlamentu Europejskiego</w:t>
      </w:r>
      <w:r w:rsidR="00FA433F" w:rsidRPr="00FA433F">
        <w:t xml:space="preserve"> i</w:t>
      </w:r>
      <w:r w:rsidR="00FA433F">
        <w:t> </w:t>
      </w:r>
      <w:r w:rsidR="00FA433F" w:rsidRPr="00FA433F">
        <w:t>Rad</w:t>
      </w:r>
      <w:r w:rsidRPr="00FA433F">
        <w:t>y (UE, Euratom) 2020/2092</w:t>
      </w:r>
      <w:r w:rsidR="00FA433F" w:rsidRPr="00FA433F">
        <w:t xml:space="preserve"> z</w:t>
      </w:r>
      <w:r w:rsidR="00FA433F">
        <w:t> </w:t>
      </w:r>
      <w:r w:rsidR="00FA433F" w:rsidRPr="00FA433F">
        <w:t>dni</w:t>
      </w:r>
      <w:r w:rsidRPr="00FA433F">
        <w:t>a 16 grudnia 2020 r.</w:t>
      </w:r>
      <w:r w:rsidR="00FA433F" w:rsidRPr="00FA433F">
        <w:t xml:space="preserve"> w</w:t>
      </w:r>
      <w:r w:rsidR="00FA433F">
        <w:t> </w:t>
      </w:r>
      <w:r w:rsidR="00FA433F" w:rsidRPr="00FA433F">
        <w:t>spr</w:t>
      </w:r>
      <w:r w:rsidRPr="00FA433F">
        <w:t xml:space="preserve">awie ogólnego systemu warunkowości służącego ochronie budżetu Unii (Dz.U. L 433 I z 22.12.2020, s. 1, ELI: </w:t>
      </w:r>
      <w:hyperlink r:id="rId5" w:history="1">
        <w:r w:rsidRPr="00FA433F">
          <w:rPr>
            <w:rStyle w:val="Hipercze"/>
          </w:rPr>
          <w:t>http://data.europa.eu/eli/reg/2020/2092/oj</w:t>
        </w:r>
      </w:hyperlink>
      <w:r w:rsidRPr="00FA433F">
        <w:t>).</w:t>
      </w:r>
    </w:p>
  </w:footnote>
  <w:footnote w:id="18">
    <w:p w14:paraId="471F8791" w14:textId="25EFF5DC" w:rsidR="0030257B" w:rsidRPr="00FA433F" w:rsidRDefault="0030257B">
      <w:pPr>
        <w:pStyle w:val="Tekstprzypisudolnego"/>
      </w:pPr>
      <w:r w:rsidRPr="00FA433F">
        <w:rPr>
          <w:rStyle w:val="Odwoanieprzypisudolnego"/>
        </w:rPr>
        <w:footnoteRef/>
      </w:r>
      <w:r w:rsidRPr="00FA433F">
        <w:tab/>
        <w:t>Rozporządzenie delegowane Komisji (UE) 2019/331</w:t>
      </w:r>
      <w:r w:rsidR="00FA433F" w:rsidRPr="00FA433F">
        <w:t xml:space="preserve"> z</w:t>
      </w:r>
      <w:r w:rsidR="00FA433F">
        <w:t> </w:t>
      </w:r>
      <w:r w:rsidR="00FA433F" w:rsidRPr="00FA433F">
        <w:t>dni</w:t>
      </w:r>
      <w:r w:rsidRPr="00FA433F">
        <w:t>a 19 grudnia 2018 r.</w:t>
      </w:r>
      <w:r w:rsidR="00FA433F" w:rsidRPr="00FA433F">
        <w:t xml:space="preserve"> w</w:t>
      </w:r>
      <w:r w:rsidR="00FA433F">
        <w:t> </w:t>
      </w:r>
      <w:r w:rsidR="00FA433F" w:rsidRPr="00FA433F">
        <w:t>spr</w:t>
      </w:r>
      <w:r w:rsidRPr="00FA433F">
        <w:t>awie ustanowienia przejściowych zasad dotyczących zharmonizowanego przydziału bezpłatnych uprawnień do emisji</w:t>
      </w:r>
      <w:r w:rsidR="00FA433F" w:rsidRPr="00FA433F">
        <w:t xml:space="preserve"> w</w:t>
      </w:r>
      <w:r w:rsidR="00FA433F">
        <w:t> </w:t>
      </w:r>
      <w:r w:rsidR="00FA433F" w:rsidRPr="00FA433F">
        <w:t>cał</w:t>
      </w:r>
      <w:r w:rsidRPr="00FA433F">
        <w:t>ej Unii na podstawie art.</w:t>
      </w:r>
      <w:r w:rsidR="00FA433F" w:rsidRPr="00FA433F">
        <w:t> </w:t>
      </w:r>
      <w:r w:rsidRPr="00FA433F">
        <w:t>10a dyrektywy 2003/87/WE Parlamentu Europejskiego</w:t>
      </w:r>
      <w:r w:rsidR="00FA433F" w:rsidRPr="00FA433F">
        <w:t xml:space="preserve"> i</w:t>
      </w:r>
      <w:r w:rsidR="00FA433F">
        <w:t> </w:t>
      </w:r>
      <w:r w:rsidR="00FA433F" w:rsidRPr="00FA433F">
        <w:t>Rad</w:t>
      </w:r>
      <w:r w:rsidRPr="00FA433F">
        <w:t>y (Dz.U. L 59</w:t>
      </w:r>
      <w:r w:rsidR="00FA433F" w:rsidRPr="00FA433F">
        <w:t xml:space="preserve"> z</w:t>
      </w:r>
      <w:r w:rsidR="00FA433F">
        <w:t> </w:t>
      </w:r>
      <w:r w:rsidR="00FA433F" w:rsidRPr="00FA433F">
        <w:t>2</w:t>
      </w:r>
      <w:r w:rsidRPr="00FA433F">
        <w:t>7.2.2019, s. 8), ELI: http://data.europa.eu/eli/reg_del/2019/331/oj).</w:t>
      </w:r>
    </w:p>
  </w:footnote>
  <w:footnote w:id="19">
    <w:p w14:paraId="68742633" w14:textId="665373E1" w:rsidR="002251EE" w:rsidRPr="00FA433F" w:rsidRDefault="002251EE">
      <w:pPr>
        <w:pStyle w:val="Tekstprzypisudolnego"/>
      </w:pPr>
      <w:r w:rsidRPr="00FA433F">
        <w:rPr>
          <w:rStyle w:val="Odwoanieprzypisudolnego"/>
        </w:rPr>
        <w:footnoteRef/>
      </w:r>
      <w:r w:rsidRPr="00FA433F">
        <w:tab/>
        <w:t>Rozporządzenie wykonawcze Komisji (UE) 2019/1842</w:t>
      </w:r>
      <w:r w:rsidR="00FA433F" w:rsidRPr="00FA433F">
        <w:t xml:space="preserve"> z</w:t>
      </w:r>
      <w:r w:rsidR="00FA433F">
        <w:t> </w:t>
      </w:r>
      <w:r w:rsidR="00FA433F" w:rsidRPr="00FA433F">
        <w:t>dni</w:t>
      </w:r>
      <w:r w:rsidRPr="00FA433F">
        <w:t>a 31 października 2019</w:t>
      </w:r>
      <w:r w:rsidR="00FA433F" w:rsidRPr="00FA433F">
        <w:t> </w:t>
      </w:r>
      <w:r w:rsidRPr="00FA433F">
        <w:t>r. ustanawiające zasady stosowania dyrektywy 2003/87/WE Parlamentu Europejskiego</w:t>
      </w:r>
      <w:r w:rsidR="00FA433F" w:rsidRPr="00FA433F">
        <w:t xml:space="preserve"> i</w:t>
      </w:r>
      <w:r w:rsidR="00FA433F">
        <w:t> </w:t>
      </w:r>
      <w:r w:rsidR="00FA433F" w:rsidRPr="00FA433F">
        <w:t>Rad</w:t>
      </w:r>
      <w:r w:rsidRPr="00FA433F">
        <w:t>y</w:t>
      </w:r>
      <w:r w:rsidR="00FA433F" w:rsidRPr="00FA433F">
        <w:t xml:space="preserve"> w</w:t>
      </w:r>
      <w:r w:rsidR="00FA433F">
        <w:t> </w:t>
      </w:r>
      <w:r w:rsidR="00FA433F" w:rsidRPr="00FA433F">
        <w:t>odn</w:t>
      </w:r>
      <w:r w:rsidRPr="00FA433F">
        <w:t>iesieniu do dalszych ustaleń dotyczących dostosowań przydziału bezpłatnych uprawnień do emisji ze względu na zmiany</w:t>
      </w:r>
      <w:r w:rsidR="00FA433F" w:rsidRPr="00FA433F">
        <w:t xml:space="preserve"> w</w:t>
      </w:r>
      <w:r w:rsidR="00FA433F">
        <w:t> </w:t>
      </w:r>
      <w:r w:rsidR="00FA433F" w:rsidRPr="00FA433F">
        <w:t>poz</w:t>
      </w:r>
      <w:r w:rsidRPr="00FA433F">
        <w:t>iomie działalności (Dz.U. L 282</w:t>
      </w:r>
      <w:r w:rsidR="00FA433F" w:rsidRPr="00FA433F">
        <w:t xml:space="preserve"> z</w:t>
      </w:r>
      <w:r w:rsidR="00FA433F">
        <w:t> </w:t>
      </w:r>
      <w:r w:rsidR="00FA433F" w:rsidRPr="00FA433F">
        <w:t>4</w:t>
      </w:r>
      <w:r w:rsidRPr="00FA433F">
        <w:t>.11.2019, s. 20, ELI: http://data.europa.eu/eli/reg_impl/2019/1842/oj).</w:t>
      </w:r>
    </w:p>
  </w:footnote>
  <w:footnote w:id="20">
    <w:p w14:paraId="6B541CC5" w14:textId="041443D8" w:rsidR="00F2749B" w:rsidRPr="00FA433F" w:rsidRDefault="00F2749B">
      <w:pPr>
        <w:pStyle w:val="Tekstprzypisudolnego"/>
      </w:pPr>
      <w:r w:rsidRPr="00FA433F">
        <w:rPr>
          <w:rStyle w:val="Odwoanieprzypisudolnego"/>
        </w:rPr>
        <w:footnoteRef/>
      </w:r>
      <w:r w:rsidRPr="00FA433F">
        <w:tab/>
        <w:t>Rozporządzenie Rady (EWG) nr 2658/87</w:t>
      </w:r>
      <w:r w:rsidR="00FA433F" w:rsidRPr="00FA433F">
        <w:t xml:space="preserve"> z</w:t>
      </w:r>
      <w:r w:rsidR="00FA433F">
        <w:t> </w:t>
      </w:r>
      <w:r w:rsidR="00FA433F" w:rsidRPr="00FA433F">
        <w:t>dni</w:t>
      </w:r>
      <w:r w:rsidRPr="00FA433F">
        <w:t>a 23 lipca 1987</w:t>
      </w:r>
      <w:r w:rsidR="00FA433F" w:rsidRPr="00FA433F">
        <w:t> </w:t>
      </w:r>
      <w:r w:rsidRPr="00FA433F">
        <w:t>r.</w:t>
      </w:r>
      <w:r w:rsidR="00FA433F" w:rsidRPr="00FA433F">
        <w:t xml:space="preserve"> w</w:t>
      </w:r>
      <w:r w:rsidR="00FA433F">
        <w:t> </w:t>
      </w:r>
      <w:r w:rsidR="00FA433F" w:rsidRPr="00FA433F">
        <w:t>spr</w:t>
      </w:r>
      <w:r w:rsidRPr="00FA433F">
        <w:t>awie nomenklatury taryfowej</w:t>
      </w:r>
      <w:r w:rsidR="00FA433F" w:rsidRPr="00FA433F">
        <w:t xml:space="preserve"> i</w:t>
      </w:r>
      <w:r w:rsidR="00FA433F">
        <w:t> </w:t>
      </w:r>
      <w:r w:rsidR="00FA433F" w:rsidRPr="00FA433F">
        <w:t>sta</w:t>
      </w:r>
      <w:r w:rsidRPr="00FA433F">
        <w:t>tystycznej oraz</w:t>
      </w:r>
      <w:r w:rsidR="00FA433F" w:rsidRPr="00FA433F">
        <w:t xml:space="preserve"> w</w:t>
      </w:r>
      <w:r w:rsidR="00FA433F">
        <w:t> </w:t>
      </w:r>
      <w:r w:rsidR="00FA433F" w:rsidRPr="00FA433F">
        <w:t>spr</w:t>
      </w:r>
      <w:r w:rsidRPr="00FA433F">
        <w:t xml:space="preserve">awie Wspólnej Taryfy Celnej (Dz.U. L 256, s. 1, ELI: </w:t>
      </w:r>
      <w:hyperlink r:id="rId6" w:tooltip="Dostęp do dokumentu poprzez identyfikator URI w systemie ELI." w:history="1">
        <w:r w:rsidRPr="00FA433F">
          <w:rPr>
            <w:rStyle w:val="Hipercze"/>
          </w:rPr>
          <w:t>http://data.europa.eu/eli/reg/1987/2658/oj</w:t>
        </w:r>
      </w:hyperlink>
      <w:r w:rsidRPr="00FA433F">
        <w:rPr>
          <w:i/>
        </w:rPr>
        <w:t>).</w:t>
      </w:r>
    </w:p>
  </w:footnote>
  <w:footnote w:id="21">
    <w:p w14:paraId="14E09227" w14:textId="15B3B7CC" w:rsidR="000D3974" w:rsidRPr="00FA433F" w:rsidRDefault="000D3974">
      <w:pPr>
        <w:pStyle w:val="Tekstprzypisudolnego"/>
      </w:pPr>
      <w:r w:rsidRPr="00FA433F">
        <w:rPr>
          <w:rStyle w:val="Odwoanieprzypisudolnego"/>
        </w:rPr>
        <w:footnoteRef/>
      </w:r>
      <w:r w:rsidRPr="00FA433F">
        <w:tab/>
        <w:t>Rozporządzenie Parlamentu Europejskiego</w:t>
      </w:r>
      <w:r w:rsidR="00FA433F" w:rsidRPr="00FA433F">
        <w:t xml:space="preserve"> i</w:t>
      </w:r>
      <w:r w:rsidR="00FA433F">
        <w:t> </w:t>
      </w:r>
      <w:r w:rsidR="00FA433F" w:rsidRPr="00FA433F">
        <w:t>Rad</w:t>
      </w:r>
      <w:r w:rsidRPr="00FA433F">
        <w:t>y (UE, Euratom) 2024/2509</w:t>
      </w:r>
      <w:r w:rsidR="00FA433F" w:rsidRPr="00FA433F">
        <w:t xml:space="preserve"> z</w:t>
      </w:r>
      <w:r w:rsidR="00FA433F">
        <w:t> </w:t>
      </w:r>
      <w:r w:rsidR="00FA433F" w:rsidRPr="00FA433F">
        <w:t>dni</w:t>
      </w:r>
      <w:r w:rsidRPr="00FA433F">
        <w:t>a 23 września 2024 r.</w:t>
      </w:r>
      <w:r w:rsidR="00FA433F" w:rsidRPr="00FA433F">
        <w:t xml:space="preserve"> w</w:t>
      </w:r>
      <w:r w:rsidR="00FA433F">
        <w:t> </w:t>
      </w:r>
      <w:r w:rsidR="00FA433F" w:rsidRPr="00FA433F">
        <w:t>spr</w:t>
      </w:r>
      <w:r w:rsidRPr="00FA433F">
        <w:t xml:space="preserve">awie zasad finansowych mających zastosowanie do budżetu ogólnego Unii (Dz.U. L, 2024/2509, 26.9.2024, ELI: </w:t>
      </w:r>
      <w:hyperlink r:id="rId7" w:history="1">
        <w:r w:rsidRPr="00FA433F">
          <w:rPr>
            <w:rStyle w:val="Hipercze"/>
          </w:rPr>
          <w:t>http://data.europa.eu/eli/reg/2024/2509/oj</w:t>
        </w:r>
      </w:hyperlink>
      <w:r w:rsidRPr="00FA433F">
        <w:t>).</w:t>
      </w:r>
    </w:p>
  </w:footnote>
  <w:footnote w:id="22">
    <w:p w14:paraId="06539AE4" w14:textId="6568225B" w:rsidR="000D3974" w:rsidRPr="00FA433F" w:rsidRDefault="000D3974">
      <w:pPr>
        <w:pStyle w:val="Tekstprzypisudolnego"/>
      </w:pPr>
      <w:r w:rsidRPr="00FA433F">
        <w:rPr>
          <w:rStyle w:val="Odwoanieprzypisudolnego"/>
        </w:rPr>
        <w:footnoteRef/>
      </w:r>
      <w:r w:rsidRPr="00FA433F">
        <w:tab/>
        <w:t>Rozporządzenie Parlamentu Europejskiego</w:t>
      </w:r>
      <w:r w:rsidR="00FA433F" w:rsidRPr="00FA433F">
        <w:t xml:space="preserve"> i</w:t>
      </w:r>
      <w:r w:rsidR="00FA433F">
        <w:t> </w:t>
      </w:r>
      <w:r w:rsidR="00FA433F" w:rsidRPr="00FA433F">
        <w:t>Rad</w:t>
      </w:r>
      <w:r w:rsidRPr="00FA433F">
        <w:t>y (UE, Euratom) nr 883/2013</w:t>
      </w:r>
      <w:r w:rsidR="00FA433F" w:rsidRPr="00FA433F">
        <w:t xml:space="preserve"> z</w:t>
      </w:r>
      <w:r w:rsidR="00FA433F">
        <w:t> </w:t>
      </w:r>
      <w:r w:rsidR="00FA433F" w:rsidRPr="00FA433F">
        <w:t>dni</w:t>
      </w:r>
      <w:r w:rsidRPr="00FA433F">
        <w:t>a 11 września 2013 r. dotyczące dochodzeń prowadzonych przez Europejski Urząd ds. Zwalczania Nadużyć Finansowych (OLAF) oraz uchylające rozporządzenie (WE) nr 1073/1999 Parlamentu Europejskiego</w:t>
      </w:r>
      <w:r w:rsidR="00FA433F" w:rsidRPr="00FA433F">
        <w:t xml:space="preserve"> i</w:t>
      </w:r>
      <w:r w:rsidR="00FA433F">
        <w:t> </w:t>
      </w:r>
      <w:r w:rsidR="00FA433F" w:rsidRPr="00FA433F">
        <w:t>Rad</w:t>
      </w:r>
      <w:r w:rsidRPr="00FA433F">
        <w:t>y</w:t>
      </w:r>
      <w:r w:rsidR="00FA433F" w:rsidRPr="00FA433F">
        <w:t xml:space="preserve"> i</w:t>
      </w:r>
      <w:r w:rsidR="00FA433F">
        <w:t> </w:t>
      </w:r>
      <w:r w:rsidR="00FA433F" w:rsidRPr="00FA433F">
        <w:t>roz</w:t>
      </w:r>
      <w:r w:rsidRPr="00FA433F">
        <w:t>porządzenie Rady (Euratom) nr 1074/1999 (Dz.U. L 248</w:t>
      </w:r>
      <w:r w:rsidR="00FA433F" w:rsidRPr="00FA433F">
        <w:t xml:space="preserve"> z</w:t>
      </w:r>
      <w:r w:rsidR="00FA433F">
        <w:t> </w:t>
      </w:r>
      <w:r w:rsidR="00FA433F" w:rsidRPr="00FA433F">
        <w:t>1</w:t>
      </w:r>
      <w:r w:rsidRPr="00FA433F">
        <w:t xml:space="preserve">8.9.2013, s. 1, ELI: </w:t>
      </w:r>
      <w:hyperlink r:id="rId8" w:history="1">
        <w:r w:rsidRPr="00FA433F">
          <w:rPr>
            <w:rStyle w:val="Hipercze"/>
          </w:rPr>
          <w:t>http://data.europa.eu/eli/reg/2013/883/oj</w:t>
        </w:r>
      </w:hyperlink>
      <w:r w:rsidRPr="00FA433F">
        <w:t>).</w:t>
      </w:r>
    </w:p>
  </w:footnote>
  <w:footnote w:id="23">
    <w:p w14:paraId="5069E38F" w14:textId="147F6712" w:rsidR="000D3974" w:rsidRPr="00FA433F" w:rsidRDefault="000D3974">
      <w:pPr>
        <w:pStyle w:val="Tekstprzypisudolnego"/>
      </w:pPr>
      <w:r w:rsidRPr="00FA433F">
        <w:rPr>
          <w:rStyle w:val="Odwoanieprzypisudolnego"/>
        </w:rPr>
        <w:footnoteRef/>
      </w:r>
      <w:r w:rsidRPr="00FA433F">
        <w:tab/>
        <w:t>Rozporządzenie Rady (UE) 2017/1939</w:t>
      </w:r>
      <w:r w:rsidR="00FA433F" w:rsidRPr="00FA433F">
        <w:t xml:space="preserve"> z</w:t>
      </w:r>
      <w:r w:rsidR="00FA433F">
        <w:t> </w:t>
      </w:r>
      <w:r w:rsidR="00FA433F" w:rsidRPr="00FA433F">
        <w:t>dni</w:t>
      </w:r>
      <w:r w:rsidRPr="00FA433F">
        <w:t>a 12 października 2017</w:t>
      </w:r>
      <w:r w:rsidR="00FA433F" w:rsidRPr="00FA433F">
        <w:t> </w:t>
      </w:r>
      <w:r w:rsidRPr="00FA433F">
        <w:t>r. wdrażające wzmocnioną współpracę</w:t>
      </w:r>
      <w:r w:rsidR="00FA433F" w:rsidRPr="00FA433F">
        <w:t xml:space="preserve"> w</w:t>
      </w:r>
      <w:r w:rsidR="00FA433F">
        <w:t> </w:t>
      </w:r>
      <w:r w:rsidR="00FA433F" w:rsidRPr="00FA433F">
        <w:t>zak</w:t>
      </w:r>
      <w:r w:rsidRPr="00FA433F">
        <w:t>resie ustanowienia Prokuratury Europejskiej (EPPO) (Dz.U. L 283</w:t>
      </w:r>
      <w:r w:rsidR="00FA433F" w:rsidRPr="00FA433F">
        <w:t xml:space="preserve"> z</w:t>
      </w:r>
      <w:r w:rsidR="00FA433F">
        <w:t> </w:t>
      </w:r>
      <w:r w:rsidR="00FA433F" w:rsidRPr="00FA433F">
        <w:t>3</w:t>
      </w:r>
      <w:r w:rsidRPr="00FA433F">
        <w:t xml:space="preserve">1.10.2017, s. 1, ELI: </w:t>
      </w:r>
      <w:hyperlink r:id="rId9" w:history="1">
        <w:r w:rsidRPr="00FA433F">
          <w:rPr>
            <w:rStyle w:val="Hipercze"/>
          </w:rPr>
          <w:t>http://data.europa.eu/eli/reg/2017/1939/oj</w:t>
        </w:r>
      </w:hyperlink>
      <w:r w:rsidRPr="00FA433F">
        <w:t>).</w:t>
      </w:r>
    </w:p>
  </w:footnote>
  <w:footnote w:id="24">
    <w:p w14:paraId="094BD0C6" w14:textId="3F2E1917" w:rsidR="000D3974" w:rsidRPr="00FA433F" w:rsidRDefault="000D3974">
      <w:pPr>
        <w:pStyle w:val="Tekstprzypisudolnego"/>
      </w:pPr>
      <w:r w:rsidRPr="00FA433F">
        <w:rPr>
          <w:rStyle w:val="Odwoanieprzypisudolnego"/>
        </w:rPr>
        <w:footnoteRef/>
      </w:r>
      <w:r w:rsidRPr="00FA433F">
        <w:tab/>
        <w:t>Dz.U. L 123</w:t>
      </w:r>
      <w:r w:rsidR="00FA433F" w:rsidRPr="00FA433F">
        <w:t xml:space="preserve"> z</w:t>
      </w:r>
      <w:r w:rsidR="00FA433F">
        <w:t> </w:t>
      </w:r>
      <w:r w:rsidR="00FA433F" w:rsidRPr="00FA433F">
        <w:t>1</w:t>
      </w:r>
      <w:r w:rsidRPr="00FA433F">
        <w:t xml:space="preserve">2.5.2016, s. 1, ELI: </w:t>
      </w:r>
      <w:hyperlink r:id="rId10" w:history="1">
        <w:r w:rsidRPr="00FA433F">
          <w:rPr>
            <w:rStyle w:val="Hipercze"/>
          </w:rPr>
          <w:t>http://data.europa.eu/eli/agree_interinstit/2016/512/oj</w:t>
        </w:r>
      </w:hyperlink>
      <w:r w:rsidRPr="00FA433F">
        <w:t xml:space="preserve">. </w:t>
      </w:r>
    </w:p>
  </w:footnote>
  <w:footnote w:id="25">
    <w:p w14:paraId="3C94FE04" w14:textId="2F551C52" w:rsidR="00270DA7" w:rsidRPr="00FA433F" w:rsidRDefault="00270DA7">
      <w:pPr>
        <w:pStyle w:val="Tekstprzypisudolnego"/>
      </w:pPr>
      <w:r w:rsidRPr="00FA433F">
        <w:rPr>
          <w:rStyle w:val="Odwoanieprzypisudolnego"/>
        </w:rPr>
        <w:footnoteRef/>
      </w:r>
      <w:r w:rsidRPr="00FA433F">
        <w:tab/>
        <w:t>Rozporządzenie Parlamentu Europejskiego</w:t>
      </w:r>
      <w:r w:rsidR="00FA433F" w:rsidRPr="00FA433F">
        <w:t xml:space="preserve"> i</w:t>
      </w:r>
      <w:r w:rsidR="00FA433F">
        <w:t> </w:t>
      </w:r>
      <w:r w:rsidR="00FA433F" w:rsidRPr="00FA433F">
        <w:t>Rad</w:t>
      </w:r>
      <w:r w:rsidRPr="00FA433F">
        <w:t>y (UE) nr</w:t>
      </w:r>
      <w:r w:rsidR="00FA433F" w:rsidRPr="00FA433F">
        <w:t> </w:t>
      </w:r>
      <w:r w:rsidRPr="00FA433F">
        <w:t>182/2011</w:t>
      </w:r>
      <w:r w:rsidR="00FA433F" w:rsidRPr="00FA433F">
        <w:t xml:space="preserve"> z</w:t>
      </w:r>
      <w:r w:rsidR="00FA433F">
        <w:t> </w:t>
      </w:r>
      <w:r w:rsidR="00FA433F" w:rsidRPr="00FA433F">
        <w:t>dni</w:t>
      </w:r>
      <w:r w:rsidRPr="00FA433F">
        <w:t>a 16 lutego 2011</w:t>
      </w:r>
      <w:r w:rsidR="00FA433F" w:rsidRPr="00FA433F">
        <w:t> </w:t>
      </w:r>
      <w:r w:rsidRPr="00FA433F">
        <w:t>r. ustanawiające przepisy</w:t>
      </w:r>
      <w:r w:rsidR="00FA433F" w:rsidRPr="00FA433F">
        <w:t xml:space="preserve"> i</w:t>
      </w:r>
      <w:r w:rsidR="00FA433F">
        <w:t> </w:t>
      </w:r>
      <w:r w:rsidR="00FA433F" w:rsidRPr="00FA433F">
        <w:t>zas</w:t>
      </w:r>
      <w:r w:rsidRPr="00FA433F">
        <w:t>ady ogólne dotyczące trybu kontroli przez państwa członkowskie wykonywania uprawnień wykonawczych przez Komisję (Dz.U. L 55</w:t>
      </w:r>
      <w:r w:rsidR="00FA433F" w:rsidRPr="00FA433F">
        <w:t xml:space="preserve"> z</w:t>
      </w:r>
      <w:r w:rsidR="00FA433F">
        <w:t> </w:t>
      </w:r>
      <w:r w:rsidR="00FA433F" w:rsidRPr="00FA433F">
        <w:t>2</w:t>
      </w:r>
      <w:r w:rsidRPr="00FA433F">
        <w:t>8.2.2011, s. 13, ELI: http://data.europa.eu/eli/reg/2011/182/oj).</w:t>
      </w:r>
    </w:p>
  </w:footnote>
  <w:footnote w:id="26">
    <w:p w14:paraId="3AE1C13C" w14:textId="5077DDEE" w:rsidR="00911D15" w:rsidRPr="00FA433F" w:rsidRDefault="00911D15">
      <w:pPr>
        <w:pStyle w:val="Tekstprzypisudolnego"/>
      </w:pPr>
      <w:r w:rsidRPr="00FA433F">
        <w:rPr>
          <w:rStyle w:val="Odwoanieprzypisudolnego"/>
        </w:rPr>
        <w:footnoteRef/>
      </w:r>
      <w:r w:rsidRPr="00FA433F">
        <w:tab/>
        <w:t>Dyrektywa Parlamentu Europejskiego</w:t>
      </w:r>
      <w:r w:rsidR="00FA433F" w:rsidRPr="00FA433F">
        <w:t xml:space="preserve"> i</w:t>
      </w:r>
      <w:r w:rsidR="00FA433F">
        <w:t> </w:t>
      </w:r>
      <w:r w:rsidR="00FA433F" w:rsidRPr="00FA433F">
        <w:t>Rad</w:t>
      </w:r>
      <w:r w:rsidRPr="00FA433F">
        <w:t>y (UE) 2023/1791</w:t>
      </w:r>
      <w:r w:rsidR="00FA433F" w:rsidRPr="00FA433F">
        <w:t xml:space="preserve"> z</w:t>
      </w:r>
      <w:r w:rsidR="00FA433F">
        <w:t> </w:t>
      </w:r>
      <w:r w:rsidR="00FA433F" w:rsidRPr="00FA433F">
        <w:t>dni</w:t>
      </w:r>
      <w:r w:rsidRPr="00FA433F">
        <w:t>a 13 września 2023</w:t>
      </w:r>
      <w:r w:rsidR="00FA433F" w:rsidRPr="00FA433F">
        <w:t> </w:t>
      </w:r>
      <w:r w:rsidRPr="00FA433F">
        <w:t>r.</w:t>
      </w:r>
      <w:r w:rsidR="00FA433F" w:rsidRPr="00FA433F">
        <w:t xml:space="preserve"> w</w:t>
      </w:r>
      <w:r w:rsidR="00FA433F">
        <w:t> </w:t>
      </w:r>
      <w:r w:rsidR="00FA433F" w:rsidRPr="00FA433F">
        <w:t>spr</w:t>
      </w:r>
      <w:r w:rsidRPr="00FA433F">
        <w:t>awie efektywności energetycznej oraz zmieniająca rozporządzenie (UE) 2023/955 (Dz.U. L 231</w:t>
      </w:r>
      <w:r w:rsidR="00FA433F" w:rsidRPr="00FA433F">
        <w:t xml:space="preserve"> z</w:t>
      </w:r>
      <w:r w:rsidR="00FA433F">
        <w:t> </w:t>
      </w:r>
      <w:r w:rsidR="00FA433F" w:rsidRPr="00FA433F">
        <w:t>2</w:t>
      </w:r>
      <w:r w:rsidRPr="00FA433F">
        <w:t xml:space="preserve">0.9.2023, s. 1, ELI: </w:t>
      </w:r>
      <w:hyperlink r:id="rId11" w:history="1">
        <w:r w:rsidRPr="00FA433F">
          <w:rPr>
            <w:rStyle w:val="Hipercze"/>
          </w:rPr>
          <w:t>http://data.europa.eu/eli/dir/2023/1791/oj</w:t>
        </w:r>
      </w:hyperlink>
      <w:r w:rsidRPr="00FA433F">
        <w:t>).</w:t>
      </w:r>
    </w:p>
  </w:footnote>
  <w:footnote w:id="27">
    <w:p w14:paraId="6FC2A78F" w14:textId="7CE3F475" w:rsidR="00E66436" w:rsidRPr="00FA433F" w:rsidRDefault="00E66436">
      <w:pPr>
        <w:pStyle w:val="Tekstprzypisudolnego"/>
      </w:pPr>
      <w:r w:rsidRPr="00FA433F">
        <w:rPr>
          <w:rStyle w:val="Odwoanieprzypisudolnego"/>
        </w:rPr>
        <w:footnoteRef/>
      </w:r>
      <w:r w:rsidRPr="00FA433F">
        <w:tab/>
        <w:t>Rozporządzenie wykonawcze Komisji (UE) 2018/2067</w:t>
      </w:r>
      <w:r w:rsidR="00FA433F" w:rsidRPr="00FA433F">
        <w:t xml:space="preserve"> z</w:t>
      </w:r>
      <w:r w:rsidR="00FA433F">
        <w:t> </w:t>
      </w:r>
      <w:r w:rsidR="00FA433F" w:rsidRPr="00FA433F">
        <w:t>dni</w:t>
      </w:r>
      <w:r w:rsidRPr="00FA433F">
        <w:t>a 19 grudnia 2018 r.</w:t>
      </w:r>
      <w:r w:rsidR="00FA433F" w:rsidRPr="00FA433F">
        <w:t xml:space="preserve"> w</w:t>
      </w:r>
      <w:r w:rsidR="00FA433F">
        <w:t> </w:t>
      </w:r>
      <w:r w:rsidR="00FA433F" w:rsidRPr="00FA433F">
        <w:t>spr</w:t>
      </w:r>
      <w:r w:rsidRPr="00FA433F">
        <w:t>awie weryfikacji danych oraz akredytacji weryfikatorów na podstawie dyrektywy 2003/87/WE Parlamentu Europejskiego</w:t>
      </w:r>
      <w:r w:rsidR="00FA433F" w:rsidRPr="00FA433F">
        <w:t xml:space="preserve"> i</w:t>
      </w:r>
      <w:r w:rsidR="00FA433F">
        <w:t> </w:t>
      </w:r>
      <w:r w:rsidR="00FA433F" w:rsidRPr="00FA433F">
        <w:t>Rad</w:t>
      </w:r>
      <w:r w:rsidRPr="00FA433F">
        <w:t>y (Dz.U. L 334</w:t>
      </w:r>
      <w:r w:rsidR="00FA433F" w:rsidRPr="00FA433F">
        <w:t xml:space="preserve"> z</w:t>
      </w:r>
      <w:r w:rsidR="00FA433F">
        <w:t> </w:t>
      </w:r>
      <w:r w:rsidR="00FA433F" w:rsidRPr="00FA433F">
        <w:t>3</w:t>
      </w:r>
      <w:r w:rsidRPr="00FA433F">
        <w:t xml:space="preserve">1.12.2018, s. 94, ELI: </w:t>
      </w:r>
      <w:hyperlink r:id="rId12" w:history="1">
        <w:r w:rsidRPr="00FA433F">
          <w:rPr>
            <w:rStyle w:val="Hipercze"/>
          </w:rPr>
          <w:t>http://data.europa.eu/eli/reg_impl/2018/2067/oj</w:t>
        </w:r>
      </w:hyperlink>
      <w:r w:rsidRPr="00FA433F">
        <w:t xml:space="preserve">). </w:t>
      </w:r>
    </w:p>
  </w:footnote>
  <w:footnote w:id="28">
    <w:p w14:paraId="19A3060C" w14:textId="5D269CC1" w:rsidR="00E837BD" w:rsidRPr="00FA433F" w:rsidRDefault="00E837BD">
      <w:pPr>
        <w:pStyle w:val="Tekstprzypisudolnego"/>
      </w:pPr>
      <w:r w:rsidRPr="00FA433F">
        <w:rPr>
          <w:rStyle w:val="Odwoanieprzypisudolnego"/>
        </w:rPr>
        <w:footnoteRef/>
      </w:r>
      <w:r w:rsidRPr="00FA433F">
        <w:tab/>
        <w:t>Rozporządzenie Parlamentu Europejskiego</w:t>
      </w:r>
      <w:r w:rsidR="00FA433F" w:rsidRPr="00FA433F">
        <w:t xml:space="preserve"> i</w:t>
      </w:r>
      <w:r w:rsidR="00FA433F">
        <w:t> </w:t>
      </w:r>
      <w:r w:rsidR="00FA433F" w:rsidRPr="00FA433F">
        <w:t>Rad</w:t>
      </w:r>
      <w:r w:rsidRPr="00FA433F">
        <w:t>y (UE) 2018/1999</w:t>
      </w:r>
      <w:r w:rsidR="00FA433F" w:rsidRPr="00FA433F">
        <w:t xml:space="preserve"> z</w:t>
      </w:r>
      <w:r w:rsidR="00FA433F">
        <w:t> </w:t>
      </w:r>
      <w:r w:rsidR="00FA433F" w:rsidRPr="00FA433F">
        <w:t>dni</w:t>
      </w:r>
      <w:r w:rsidRPr="00FA433F">
        <w:t>a 11 grudnia 2018</w:t>
      </w:r>
      <w:r w:rsidR="00FA433F" w:rsidRPr="00FA433F">
        <w:t> </w:t>
      </w:r>
      <w:r w:rsidRPr="00FA433F">
        <w:t>r.</w:t>
      </w:r>
      <w:r w:rsidR="00FA433F" w:rsidRPr="00FA433F">
        <w:t xml:space="preserve"> w</w:t>
      </w:r>
      <w:r w:rsidR="00FA433F">
        <w:t> </w:t>
      </w:r>
      <w:r w:rsidR="00FA433F" w:rsidRPr="00FA433F">
        <w:t>spr</w:t>
      </w:r>
      <w:r w:rsidRPr="00FA433F">
        <w:t>awie zarządzania unią energetyczną</w:t>
      </w:r>
      <w:r w:rsidR="00FA433F" w:rsidRPr="00FA433F">
        <w:t xml:space="preserve"> i</w:t>
      </w:r>
      <w:r w:rsidR="00FA433F">
        <w:t> </w:t>
      </w:r>
      <w:r w:rsidR="00FA433F" w:rsidRPr="00FA433F">
        <w:t>dzi</w:t>
      </w:r>
      <w:r w:rsidRPr="00FA433F">
        <w:t>ałaniami</w:t>
      </w:r>
      <w:r w:rsidR="00FA433F" w:rsidRPr="00FA433F">
        <w:t xml:space="preserve"> w</w:t>
      </w:r>
      <w:r w:rsidR="00FA433F">
        <w:t> </w:t>
      </w:r>
      <w:r w:rsidR="00FA433F" w:rsidRPr="00FA433F">
        <w:t>dzi</w:t>
      </w:r>
      <w:r w:rsidRPr="00FA433F">
        <w:t>edzinie klimatu, zmiany rozporządzeń Parlamentu Europejskiego</w:t>
      </w:r>
      <w:r w:rsidR="00FA433F" w:rsidRPr="00FA433F">
        <w:t xml:space="preserve"> i</w:t>
      </w:r>
      <w:r w:rsidR="00FA433F">
        <w:t> </w:t>
      </w:r>
      <w:r w:rsidR="00FA433F" w:rsidRPr="00FA433F">
        <w:t>Rad</w:t>
      </w:r>
      <w:r w:rsidRPr="00FA433F">
        <w:t>y (WE) nr</w:t>
      </w:r>
      <w:r w:rsidR="00FA433F" w:rsidRPr="00FA433F">
        <w:t> </w:t>
      </w:r>
      <w:r w:rsidRPr="00FA433F">
        <w:t>663/2009 i (WE) nr</w:t>
      </w:r>
      <w:r w:rsidR="00FA433F" w:rsidRPr="00FA433F">
        <w:t> </w:t>
      </w:r>
      <w:r w:rsidRPr="00FA433F">
        <w:t>715/2009, dyrektyw Parlamentu Europejskiego</w:t>
      </w:r>
      <w:r w:rsidR="00FA433F" w:rsidRPr="00FA433F">
        <w:t xml:space="preserve"> i</w:t>
      </w:r>
      <w:r w:rsidR="00FA433F">
        <w:t> </w:t>
      </w:r>
      <w:r w:rsidR="00FA433F" w:rsidRPr="00FA433F">
        <w:t>Rad</w:t>
      </w:r>
      <w:r w:rsidRPr="00FA433F">
        <w:t>y 94/22/WE, 98/70/WE, 2009/31/WE, 2009/73/WE, 2010/31/UE, 2012/27/UE</w:t>
      </w:r>
      <w:r w:rsidR="00FA433F" w:rsidRPr="00FA433F">
        <w:t xml:space="preserve"> i</w:t>
      </w:r>
      <w:r w:rsidR="00FA433F">
        <w:t> </w:t>
      </w:r>
      <w:r w:rsidR="00FA433F" w:rsidRPr="00FA433F">
        <w:t>2</w:t>
      </w:r>
      <w:r w:rsidRPr="00FA433F">
        <w:t>013/30/UE, dyrektyw Rady 2009/119/WE i (UE) 2015/652 oraz uchylenia rozporządzenia Parlamentu Europejskiego</w:t>
      </w:r>
      <w:r w:rsidR="00FA433F" w:rsidRPr="00FA433F">
        <w:t xml:space="preserve"> i</w:t>
      </w:r>
      <w:r w:rsidR="00FA433F">
        <w:t> </w:t>
      </w:r>
      <w:r w:rsidR="00FA433F" w:rsidRPr="00FA433F">
        <w:t>Rad</w:t>
      </w:r>
      <w:r w:rsidRPr="00FA433F">
        <w:t>y (UE) nr</w:t>
      </w:r>
      <w:r w:rsidR="00FA433F" w:rsidRPr="00FA433F">
        <w:t> </w:t>
      </w:r>
      <w:r w:rsidRPr="00FA433F">
        <w:t>525/2013 (Dz.U. L 328, s. 1).</w:t>
      </w:r>
    </w:p>
  </w:footnote>
  <w:footnote w:id="29">
    <w:p w14:paraId="0F6A9D61" w14:textId="7050FD76" w:rsidR="008A4C15" w:rsidRPr="00FA433F" w:rsidRDefault="008A4C15">
      <w:pPr>
        <w:pStyle w:val="Tekstprzypisudolnego"/>
      </w:pPr>
      <w:r w:rsidRPr="00FA433F">
        <w:rPr>
          <w:rStyle w:val="Odwoanieprzypisudolnego"/>
        </w:rPr>
        <w:footnoteRef/>
      </w:r>
      <w:r w:rsidRPr="00FA433F">
        <w:tab/>
        <w:t>O którym mowa</w:t>
      </w:r>
      <w:r w:rsidR="00FA433F" w:rsidRPr="00FA433F">
        <w:t xml:space="preserve"> w</w:t>
      </w:r>
      <w:r w:rsidR="00FA433F">
        <w:t> </w:t>
      </w:r>
      <w:r w:rsidR="00FA433F" w:rsidRPr="00FA433F">
        <w:t>art</w:t>
      </w:r>
      <w:r w:rsidRPr="00FA433F">
        <w:t>.</w:t>
      </w:r>
      <w:r w:rsidR="00FA433F" w:rsidRPr="00FA433F">
        <w:t> </w:t>
      </w:r>
      <w:r w:rsidRPr="00FA433F">
        <w:t>58 ust.</w:t>
      </w:r>
      <w:r w:rsidR="00FA433F" w:rsidRPr="00FA433F">
        <w:t> </w:t>
      </w:r>
      <w:r w:rsidRPr="00FA433F">
        <w:t>2 lit.</w:t>
      </w:r>
      <w:r w:rsidR="00FA433F" w:rsidRPr="00FA433F">
        <w:t> </w:t>
      </w:r>
      <w:r w:rsidRPr="00FA433F">
        <w:t>a) lub b) rozporządzenia finansowego.</w:t>
      </w:r>
    </w:p>
  </w:footnote>
  <w:footnote w:id="30">
    <w:p w14:paraId="08244DA9" w14:textId="77777777" w:rsidR="008A4C15" w:rsidRPr="00FA433F" w:rsidRDefault="008A4C15">
      <w:pPr>
        <w:pStyle w:val="Tekstprzypisudolnego"/>
        <w:rPr>
          <w:szCs w:val="24"/>
        </w:rPr>
      </w:pPr>
      <w:r w:rsidRPr="00FA433F">
        <w:rPr>
          <w:rStyle w:val="Odwoanieprzypisudolnego"/>
        </w:rPr>
        <w:footnoteRef/>
      </w:r>
      <w:r w:rsidRPr="00FA433F">
        <w:tab/>
        <w:t>Środki zróżnicowane/środki niezróżnicowane.</w:t>
      </w:r>
    </w:p>
  </w:footnote>
  <w:footnote w:id="31">
    <w:p w14:paraId="73C40171" w14:textId="77777777" w:rsidR="008A4C15" w:rsidRPr="00FA433F" w:rsidRDefault="008A4C15">
      <w:pPr>
        <w:pStyle w:val="Tekstprzypisudolnego"/>
        <w:rPr>
          <w:szCs w:val="24"/>
        </w:rPr>
      </w:pPr>
      <w:r w:rsidRPr="00FA433F">
        <w:rPr>
          <w:rStyle w:val="Odwoanieprzypisudolnego"/>
        </w:rPr>
        <w:footnoteRef/>
      </w:r>
      <w:r w:rsidRPr="00FA433F">
        <w:tab/>
        <w:t xml:space="preserve">EFTA: Europejskie Stowarzyszenie Wolnego Handlu. </w:t>
      </w:r>
    </w:p>
  </w:footnote>
  <w:footnote w:id="32">
    <w:p w14:paraId="41783CF8" w14:textId="27BD850A" w:rsidR="008A4C15" w:rsidRPr="00FA433F" w:rsidRDefault="008A4C15">
      <w:pPr>
        <w:pStyle w:val="Tekstprzypisudolnego"/>
        <w:rPr>
          <w:szCs w:val="24"/>
        </w:rPr>
      </w:pPr>
      <w:r w:rsidRPr="00FA433F">
        <w:rPr>
          <w:rStyle w:val="Odwoanieprzypisudolnego"/>
        </w:rPr>
        <w:footnoteRef/>
      </w:r>
      <w:r w:rsidRPr="00FA433F">
        <w:tab/>
        <w:t>Kraje kandydujące oraz,</w:t>
      </w:r>
      <w:r w:rsidR="00FA433F" w:rsidRPr="00FA433F">
        <w:t xml:space="preserve"> w</w:t>
      </w:r>
      <w:r w:rsidR="00FA433F">
        <w:t> </w:t>
      </w:r>
      <w:r w:rsidR="00FA433F" w:rsidRPr="00FA433F">
        <w:t>sto</w:t>
      </w:r>
      <w:r w:rsidRPr="00FA433F">
        <w:t>sownych przypadkach, potencjalni kandydaci</w:t>
      </w:r>
      <w:r w:rsidR="00FA433F" w:rsidRPr="00FA433F">
        <w:t xml:space="preserve"> z</w:t>
      </w:r>
      <w:r w:rsidR="00FA433F">
        <w:t> </w:t>
      </w:r>
      <w:r w:rsidR="00FA433F" w:rsidRPr="00FA433F">
        <w:t>Bał</w:t>
      </w:r>
      <w:r w:rsidRPr="00FA433F">
        <w:t>kanów Zachodnich.</w:t>
      </w:r>
    </w:p>
  </w:footnote>
  <w:footnote w:id="33">
    <w:p w14:paraId="3CC7C5BE" w14:textId="573BBA16" w:rsidR="008A4C15" w:rsidRPr="00FA433F" w:rsidRDefault="008A4C15">
      <w:pPr>
        <w:pStyle w:val="Tekstprzypisudolnego"/>
        <w:rPr>
          <w:szCs w:val="24"/>
        </w:rPr>
      </w:pPr>
      <w:r w:rsidRPr="00FA433F">
        <w:rPr>
          <w:rStyle w:val="Odwoanieprzypisudolnego"/>
        </w:rPr>
        <w:footnoteRef/>
      </w:r>
      <w:r w:rsidRPr="00FA433F">
        <w:tab/>
        <w:t>Produkty odnoszą się do produktów</w:t>
      </w:r>
      <w:r w:rsidR="00FA433F" w:rsidRPr="00FA433F">
        <w:t xml:space="preserve"> i</w:t>
      </w:r>
      <w:r w:rsidR="00FA433F">
        <w:t> </w:t>
      </w:r>
      <w:r w:rsidR="00FA433F" w:rsidRPr="00FA433F">
        <w:t>usł</w:t>
      </w:r>
      <w:r w:rsidRPr="00FA433F">
        <w:t>ug, które mają zostać zapewnione (np. liczba sfinansowanych wymian studentów, liczba kilometrów zbudowanych dróg itp.).</w:t>
      </w:r>
    </w:p>
  </w:footnote>
  <w:footnote w:id="34">
    <w:p w14:paraId="56F9E715" w14:textId="19A755C7" w:rsidR="008A4C15" w:rsidRPr="00FA433F" w:rsidRDefault="008A4C15">
      <w:pPr>
        <w:pStyle w:val="Tekstprzypisudolnego"/>
        <w:rPr>
          <w:szCs w:val="24"/>
        </w:rPr>
      </w:pPr>
      <w:r w:rsidRPr="00FA433F">
        <w:rPr>
          <w:rStyle w:val="Odwoanieprzypisudolnego"/>
        </w:rPr>
        <w:footnoteRef/>
      </w:r>
      <w:r w:rsidRPr="00FA433F">
        <w:tab/>
        <w:t>Zgodnie</w:t>
      </w:r>
      <w:r w:rsidR="00FA433F" w:rsidRPr="00FA433F">
        <w:t xml:space="preserve"> z</w:t>
      </w:r>
      <w:r w:rsidR="00FA433F">
        <w:t> </w:t>
      </w:r>
      <w:r w:rsidR="00FA433F" w:rsidRPr="00FA433F">
        <w:t>opi</w:t>
      </w:r>
      <w:r w:rsidRPr="00FA433F">
        <w:t>sem</w:t>
      </w:r>
      <w:r w:rsidR="00FA433F" w:rsidRPr="00FA433F">
        <w:t xml:space="preserve"> w</w:t>
      </w:r>
      <w:r w:rsidR="00FA433F">
        <w:t> </w:t>
      </w:r>
      <w:r w:rsidR="00FA433F" w:rsidRPr="00FA433F">
        <w:t>sek</w:t>
      </w:r>
      <w:r w:rsidRPr="00FA433F">
        <w:t xml:space="preserve">cji 1.3.2. „Cel(e) szczegółowy(-e)”. </w:t>
      </w:r>
    </w:p>
  </w:footnote>
  <w:footnote w:id="35">
    <w:p w14:paraId="4C230165" w14:textId="170BEB04" w:rsidR="008A4C15" w:rsidRPr="00FA433F" w:rsidRDefault="008A4C15">
      <w:pPr>
        <w:pStyle w:val="Tekstprzypisudolnego"/>
        <w:rPr>
          <w:szCs w:val="24"/>
        </w:rPr>
      </w:pPr>
      <w:r w:rsidRPr="00FA433F">
        <w:rPr>
          <w:rStyle w:val="Odwoanieprzypisudolnego"/>
        </w:rPr>
        <w:footnoteRef/>
      </w:r>
      <w:r w:rsidRPr="00FA433F">
        <w:tab/>
        <w:t>W przypadku tradycyjnych zasobów własnych (opłaty celne, opłaty wyrównawcze od cukru) należy wskazać kwoty netto, tzn. kwoty brutto po odliczeniu 20</w:t>
      </w:r>
      <w:r w:rsidR="00FA433F" w:rsidRPr="00FA433F">
        <w:t> </w:t>
      </w:r>
      <w:r w:rsidRPr="00FA433F">
        <w:t>% na poczet kosztów poboru.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9D00" w14:textId="77777777" w:rsidR="007E5C27" w:rsidRDefault="007E5C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BC65" w14:textId="77777777" w:rsidR="007E5C27" w:rsidRDefault="007E5C27" w:rsidP="007E5C2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EA85" w14:textId="77777777" w:rsidR="007E5C27" w:rsidRPr="007E5C27" w:rsidRDefault="007E5C27" w:rsidP="007E5C27">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7437" w14:textId="77777777" w:rsidR="007E5C27" w:rsidRPr="007E5C27" w:rsidRDefault="007E5C27" w:rsidP="007E5C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0F334971"/>
    <w:multiLevelType w:val="hybridMultilevel"/>
    <w:tmpl w:val="BB2062B2"/>
    <w:lvl w:ilvl="0" w:tplc="D9FE987C">
      <w:numFmt w:val="bullet"/>
      <w:lvlText w:val="•"/>
      <w:lvlJc w:val="left"/>
      <w:pPr>
        <w:ind w:left="1212" w:hanging="852"/>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anumerowan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apunktowana"/>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decimal"/>
      <w:pStyle w:val="Nagwek5"/>
      <w:lvlText w:val="%1.%2.%3.%4.%5."/>
      <w:lvlJc w:val="left"/>
      <w:pPr>
        <w:tabs>
          <w:tab w:val="num" w:pos="1417"/>
        </w:tabs>
        <w:ind w:left="1417" w:hanging="1417"/>
      </w:pPr>
    </w:lvl>
    <w:lvl w:ilvl="5">
      <w:start w:val="1"/>
      <w:numFmt w:val="decimal"/>
      <w:pStyle w:val="Nagwek6"/>
      <w:lvlText w:val="%1.%2.%3.%4.%5.%6."/>
      <w:lvlJc w:val="left"/>
      <w:pPr>
        <w:tabs>
          <w:tab w:val="num" w:pos="1417"/>
        </w:tabs>
        <w:ind w:left="1417" w:hanging="1417"/>
      </w:pPr>
    </w:lvl>
    <w:lvl w:ilvl="6">
      <w:start w:val="1"/>
      <w:numFmt w:val="decimal"/>
      <w:pStyle w:val="Nagwek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apunktowana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apunktowana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064063381">
    <w:abstractNumId w:val="0"/>
  </w:num>
  <w:num w:numId="2" w16cid:durableId="1064567591">
    <w:abstractNumId w:val="21"/>
  </w:num>
  <w:num w:numId="3" w16cid:durableId="565722960">
    <w:abstractNumId w:val="9"/>
  </w:num>
  <w:num w:numId="4" w16cid:durableId="1164593315">
    <w:abstractNumId w:val="18"/>
  </w:num>
  <w:num w:numId="5" w16cid:durableId="1942519547">
    <w:abstractNumId w:val="17"/>
  </w:num>
  <w:num w:numId="6" w16cid:durableId="542794572">
    <w:abstractNumId w:val="28"/>
  </w:num>
  <w:num w:numId="7" w16cid:durableId="2013097557">
    <w:abstractNumId w:val="25"/>
  </w:num>
  <w:num w:numId="8" w16cid:durableId="440494050">
    <w:abstractNumId w:val="29"/>
  </w:num>
  <w:num w:numId="9" w16cid:durableId="1353729348">
    <w:abstractNumId w:val="30"/>
  </w:num>
  <w:num w:numId="10" w16cid:durableId="1152064018">
    <w:abstractNumId w:val="2"/>
  </w:num>
  <w:num w:numId="11" w16cid:durableId="1660111576">
    <w:abstractNumId w:val="11"/>
  </w:num>
  <w:num w:numId="12" w16cid:durableId="48848806">
    <w:abstractNumId w:val="3"/>
  </w:num>
  <w:num w:numId="13" w16cid:durableId="1112676265">
    <w:abstractNumId w:val="12"/>
  </w:num>
  <w:num w:numId="14" w16cid:durableId="57940928">
    <w:abstractNumId w:val="10"/>
  </w:num>
  <w:num w:numId="15" w16cid:durableId="233858495">
    <w:abstractNumId w:val="19"/>
  </w:num>
  <w:num w:numId="16" w16cid:durableId="648094346">
    <w:abstractNumId w:val="8"/>
  </w:num>
  <w:num w:numId="17" w16cid:durableId="99227041">
    <w:abstractNumId w:val="1"/>
  </w:num>
  <w:num w:numId="18" w16cid:durableId="305010198">
    <w:abstractNumId w:val="24"/>
  </w:num>
  <w:num w:numId="19" w16cid:durableId="915818771">
    <w:abstractNumId w:val="13"/>
  </w:num>
  <w:num w:numId="20" w16cid:durableId="2129008696">
    <w:abstractNumId w:val="27"/>
  </w:num>
  <w:num w:numId="21" w16cid:durableId="2094663847">
    <w:abstractNumId w:val="7"/>
  </w:num>
  <w:num w:numId="22" w16cid:durableId="1845322911">
    <w:abstractNumId w:val="14"/>
  </w:num>
  <w:num w:numId="23" w16cid:durableId="818839131">
    <w:abstractNumId w:val="15"/>
  </w:num>
  <w:num w:numId="24" w16cid:durableId="1329098109">
    <w:abstractNumId w:val="5"/>
  </w:num>
  <w:num w:numId="25" w16cid:durableId="1750422941">
    <w:abstractNumId w:val="26"/>
  </w:num>
  <w:num w:numId="26" w16cid:durableId="116606134">
    <w:abstractNumId w:val="4"/>
  </w:num>
  <w:num w:numId="27" w16cid:durableId="1034580468">
    <w:abstractNumId w:val="16"/>
  </w:num>
  <w:num w:numId="28" w16cid:durableId="1673559758">
    <w:abstractNumId w:val="22"/>
  </w:num>
  <w:num w:numId="29" w16cid:durableId="423650074">
    <w:abstractNumId w:val="23"/>
  </w:num>
  <w:num w:numId="30" w16cid:durableId="853033887">
    <w:abstractNumId w:val="6"/>
  </w:num>
  <w:num w:numId="31" w16cid:durableId="1114523922">
    <w:abstractNumId w:val="20"/>
  </w:num>
  <w:num w:numId="32" w16cid:durableId="639459220">
    <w:abstractNumId w:val="31"/>
  </w:num>
  <w:num w:numId="33" w16cid:durableId="1502969196">
    <w:abstractNumId w:val="24"/>
  </w:num>
  <w:num w:numId="34" w16cid:durableId="1952084907">
    <w:abstractNumId w:val="13"/>
  </w:num>
  <w:num w:numId="35" w16cid:durableId="626086789">
    <w:abstractNumId w:val="27"/>
  </w:num>
  <w:num w:numId="36" w16cid:durableId="1059745858">
    <w:abstractNumId w:val="7"/>
  </w:num>
  <w:num w:numId="37" w16cid:durableId="1377318754">
    <w:abstractNumId w:val="14"/>
  </w:num>
  <w:num w:numId="38" w16cid:durableId="1082024844">
    <w:abstractNumId w:val="15"/>
  </w:num>
  <w:num w:numId="39" w16cid:durableId="1725446078">
    <w:abstractNumId w:val="5"/>
  </w:num>
  <w:num w:numId="40" w16cid:durableId="1146316951">
    <w:abstractNumId w:val="26"/>
  </w:num>
  <w:num w:numId="41" w16cid:durableId="171991665">
    <w:abstractNumId w:val="4"/>
  </w:num>
  <w:num w:numId="42" w16cid:durableId="1978990720">
    <w:abstractNumId w:val="16"/>
  </w:num>
  <w:num w:numId="43" w16cid:durableId="690376089">
    <w:abstractNumId w:val="22"/>
  </w:num>
  <w:num w:numId="44" w16cid:durableId="1623537266">
    <w:abstractNumId w:val="23"/>
  </w:num>
  <w:num w:numId="45" w16cid:durableId="32198999">
    <w:abstractNumId w:val="6"/>
  </w:num>
  <w:num w:numId="46" w16cid:durableId="922681897">
    <w:abstractNumId w:val="20"/>
  </w:num>
  <w:num w:numId="47" w16cid:durableId="159261851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6-02-11 10:40:3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E3A61B4-DFB9-4D22-B553-2EFD28FC3B5F"/>
    <w:docVar w:name="LW_COVERPAGE_TYPE" w:val="1"/>
    <w:docVar w:name="LW_CreatedUtc" w:val="2025-11-24T14:09:50.9197558Z"/>
    <w:docVar w:name="LW_CROSSREFERENCE" w:val="&lt;UNUSED&gt;"/>
    <w:docVar w:name="LW_DocType" w:val="COM"/>
    <w:docVar w:name="LW_EMISSION" w:val="17.12.2025"/>
    <w:docVar w:name="LW_EMISSION_ISODATE" w:val="2025-12-17"/>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SERT_EXP.MOTIFS.NEW" w:val="1"/>
    <w:docVar w:name="LW_INTERETEEE.CP" w:val="(Tekst maj\u261?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418"/>
    <w:docVar w:name="LW_REF.II.NEW.CP_YEAR" w:val="2025"/>
    <w:docVar w:name="LW_REF.INST.NEW" w:val="COM"/>
    <w:docVar w:name="LW_REF.INST.NEW_ADOPTED" w:val="final"/>
    <w:docVar w:name="LW_REF.INST.NEW_TEXT" w:val="(2025) 9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ustanawiaj\u261?ce Tymczasowy Fundusz Dekarbonizacji"/>
    <w:docVar w:name="LW_TYPE.DOC.CP" w:val="ROZPORZ\u260?DZENIE PARLAMENTU EUROPEJSKIEGO I RADY"/>
    <w:docVar w:name="LwApiVersions" w:val="LW4CoDe 1.24.5.0; LW 9.2, Build 20251112"/>
  </w:docVars>
  <w:rsids>
    <w:rsidRoot w:val="008A4C15"/>
    <w:rsid w:val="0000049B"/>
    <w:rsid w:val="00000BEE"/>
    <w:rsid w:val="0000194E"/>
    <w:rsid w:val="00001B65"/>
    <w:rsid w:val="0000224E"/>
    <w:rsid w:val="00002C7F"/>
    <w:rsid w:val="000033DE"/>
    <w:rsid w:val="000034CB"/>
    <w:rsid w:val="00003903"/>
    <w:rsid w:val="00003B5D"/>
    <w:rsid w:val="00003EA8"/>
    <w:rsid w:val="0000448A"/>
    <w:rsid w:val="000047D4"/>
    <w:rsid w:val="00004ECD"/>
    <w:rsid w:val="00005088"/>
    <w:rsid w:val="0000559F"/>
    <w:rsid w:val="00005BDF"/>
    <w:rsid w:val="00005F25"/>
    <w:rsid w:val="00005F5B"/>
    <w:rsid w:val="00006E16"/>
    <w:rsid w:val="00006F5E"/>
    <w:rsid w:val="00007A72"/>
    <w:rsid w:val="00010025"/>
    <w:rsid w:val="000105AC"/>
    <w:rsid w:val="00010BF6"/>
    <w:rsid w:val="00010EEC"/>
    <w:rsid w:val="00010F2E"/>
    <w:rsid w:val="000111CF"/>
    <w:rsid w:val="00011303"/>
    <w:rsid w:val="0001143C"/>
    <w:rsid w:val="00011FE8"/>
    <w:rsid w:val="000127D1"/>
    <w:rsid w:val="00012FA3"/>
    <w:rsid w:val="00013187"/>
    <w:rsid w:val="00013C1A"/>
    <w:rsid w:val="00014099"/>
    <w:rsid w:val="00014337"/>
    <w:rsid w:val="00014C1E"/>
    <w:rsid w:val="00014D4E"/>
    <w:rsid w:val="000152A7"/>
    <w:rsid w:val="000157C4"/>
    <w:rsid w:val="000158C5"/>
    <w:rsid w:val="000166D7"/>
    <w:rsid w:val="00016EE0"/>
    <w:rsid w:val="00017973"/>
    <w:rsid w:val="00017BCF"/>
    <w:rsid w:val="00020015"/>
    <w:rsid w:val="000202B7"/>
    <w:rsid w:val="000203A1"/>
    <w:rsid w:val="000203F5"/>
    <w:rsid w:val="00020453"/>
    <w:rsid w:val="00020B60"/>
    <w:rsid w:val="00020D99"/>
    <w:rsid w:val="00021725"/>
    <w:rsid w:val="00021B99"/>
    <w:rsid w:val="0002258A"/>
    <w:rsid w:val="00022AC3"/>
    <w:rsid w:val="00022E1B"/>
    <w:rsid w:val="00022EA1"/>
    <w:rsid w:val="000230B4"/>
    <w:rsid w:val="000230B6"/>
    <w:rsid w:val="00023743"/>
    <w:rsid w:val="00023BB1"/>
    <w:rsid w:val="000249AA"/>
    <w:rsid w:val="00024C0E"/>
    <w:rsid w:val="00024F1C"/>
    <w:rsid w:val="00025A6E"/>
    <w:rsid w:val="00025C9A"/>
    <w:rsid w:val="00025EA5"/>
    <w:rsid w:val="00026125"/>
    <w:rsid w:val="00026587"/>
    <w:rsid w:val="0002679C"/>
    <w:rsid w:val="00026F94"/>
    <w:rsid w:val="00026FF8"/>
    <w:rsid w:val="00027959"/>
    <w:rsid w:val="00027A16"/>
    <w:rsid w:val="00027E39"/>
    <w:rsid w:val="00030A27"/>
    <w:rsid w:val="0003154A"/>
    <w:rsid w:val="00031FF1"/>
    <w:rsid w:val="00032256"/>
    <w:rsid w:val="000326E9"/>
    <w:rsid w:val="000328E3"/>
    <w:rsid w:val="000329A1"/>
    <w:rsid w:val="00032D36"/>
    <w:rsid w:val="0003361D"/>
    <w:rsid w:val="0003363A"/>
    <w:rsid w:val="00033897"/>
    <w:rsid w:val="00033A2F"/>
    <w:rsid w:val="00033BA1"/>
    <w:rsid w:val="000343A4"/>
    <w:rsid w:val="0003474D"/>
    <w:rsid w:val="00034809"/>
    <w:rsid w:val="00034AF9"/>
    <w:rsid w:val="00035239"/>
    <w:rsid w:val="0003639D"/>
    <w:rsid w:val="000363D0"/>
    <w:rsid w:val="00036465"/>
    <w:rsid w:val="0003655C"/>
    <w:rsid w:val="00036960"/>
    <w:rsid w:val="00037056"/>
    <w:rsid w:val="000378ED"/>
    <w:rsid w:val="00037DCA"/>
    <w:rsid w:val="000400CE"/>
    <w:rsid w:val="00040159"/>
    <w:rsid w:val="00040365"/>
    <w:rsid w:val="0004056A"/>
    <w:rsid w:val="00040B21"/>
    <w:rsid w:val="000411EE"/>
    <w:rsid w:val="00041A59"/>
    <w:rsid w:val="00041B27"/>
    <w:rsid w:val="00042380"/>
    <w:rsid w:val="0004251E"/>
    <w:rsid w:val="000428F6"/>
    <w:rsid w:val="00042BA5"/>
    <w:rsid w:val="00042CC8"/>
    <w:rsid w:val="000435DD"/>
    <w:rsid w:val="000440DF"/>
    <w:rsid w:val="000442D8"/>
    <w:rsid w:val="000447A7"/>
    <w:rsid w:val="000449FA"/>
    <w:rsid w:val="00044A44"/>
    <w:rsid w:val="00044F0B"/>
    <w:rsid w:val="000458C4"/>
    <w:rsid w:val="00045BF9"/>
    <w:rsid w:val="0004627F"/>
    <w:rsid w:val="000464AA"/>
    <w:rsid w:val="00046BBF"/>
    <w:rsid w:val="00046C36"/>
    <w:rsid w:val="000470F8"/>
    <w:rsid w:val="00050461"/>
    <w:rsid w:val="000506D7"/>
    <w:rsid w:val="00050A93"/>
    <w:rsid w:val="00050E50"/>
    <w:rsid w:val="00050F6F"/>
    <w:rsid w:val="00050FCC"/>
    <w:rsid w:val="000512A7"/>
    <w:rsid w:val="00051555"/>
    <w:rsid w:val="00051936"/>
    <w:rsid w:val="00051CDF"/>
    <w:rsid w:val="00051DE0"/>
    <w:rsid w:val="00051E24"/>
    <w:rsid w:val="00051E3C"/>
    <w:rsid w:val="00051F49"/>
    <w:rsid w:val="00052298"/>
    <w:rsid w:val="0005246D"/>
    <w:rsid w:val="000526CF"/>
    <w:rsid w:val="00052725"/>
    <w:rsid w:val="00052E28"/>
    <w:rsid w:val="00052F9C"/>
    <w:rsid w:val="00053583"/>
    <w:rsid w:val="000536E3"/>
    <w:rsid w:val="00053A0E"/>
    <w:rsid w:val="00054223"/>
    <w:rsid w:val="0005424E"/>
    <w:rsid w:val="0005431C"/>
    <w:rsid w:val="000544D4"/>
    <w:rsid w:val="00054633"/>
    <w:rsid w:val="00054953"/>
    <w:rsid w:val="0005565A"/>
    <w:rsid w:val="00055780"/>
    <w:rsid w:val="00055906"/>
    <w:rsid w:val="0005593A"/>
    <w:rsid w:val="00055994"/>
    <w:rsid w:val="00055C1E"/>
    <w:rsid w:val="0005608F"/>
    <w:rsid w:val="00056265"/>
    <w:rsid w:val="000576E6"/>
    <w:rsid w:val="0005780E"/>
    <w:rsid w:val="00057838"/>
    <w:rsid w:val="00057AD9"/>
    <w:rsid w:val="00057C7F"/>
    <w:rsid w:val="000600A1"/>
    <w:rsid w:val="0006033E"/>
    <w:rsid w:val="00060B0A"/>
    <w:rsid w:val="00060D72"/>
    <w:rsid w:val="00061177"/>
    <w:rsid w:val="000617B0"/>
    <w:rsid w:val="00061EA7"/>
    <w:rsid w:val="000621E0"/>
    <w:rsid w:val="0006247B"/>
    <w:rsid w:val="00062A0B"/>
    <w:rsid w:val="00062BA2"/>
    <w:rsid w:val="000630A9"/>
    <w:rsid w:val="0006313C"/>
    <w:rsid w:val="000633AF"/>
    <w:rsid w:val="00063B1F"/>
    <w:rsid w:val="000649EF"/>
    <w:rsid w:val="00064BDE"/>
    <w:rsid w:val="00064C11"/>
    <w:rsid w:val="00064D8A"/>
    <w:rsid w:val="00065522"/>
    <w:rsid w:val="000658BB"/>
    <w:rsid w:val="000658F9"/>
    <w:rsid w:val="00065B51"/>
    <w:rsid w:val="00066A05"/>
    <w:rsid w:val="00067649"/>
    <w:rsid w:val="00067D99"/>
    <w:rsid w:val="00070374"/>
    <w:rsid w:val="00070757"/>
    <w:rsid w:val="00070EC7"/>
    <w:rsid w:val="00070FE7"/>
    <w:rsid w:val="00071158"/>
    <w:rsid w:val="000716D3"/>
    <w:rsid w:val="000727FA"/>
    <w:rsid w:val="00072CD1"/>
    <w:rsid w:val="00073CEC"/>
    <w:rsid w:val="000743DF"/>
    <w:rsid w:val="00074D3F"/>
    <w:rsid w:val="000751E3"/>
    <w:rsid w:val="00076115"/>
    <w:rsid w:val="000763B8"/>
    <w:rsid w:val="0007646C"/>
    <w:rsid w:val="000768EC"/>
    <w:rsid w:val="000769A4"/>
    <w:rsid w:val="00076E14"/>
    <w:rsid w:val="000770AE"/>
    <w:rsid w:val="00077819"/>
    <w:rsid w:val="00077C15"/>
    <w:rsid w:val="00080378"/>
    <w:rsid w:val="00080550"/>
    <w:rsid w:val="00080C3B"/>
    <w:rsid w:val="00080C44"/>
    <w:rsid w:val="00081802"/>
    <w:rsid w:val="00081DA4"/>
    <w:rsid w:val="00081F3E"/>
    <w:rsid w:val="000827EC"/>
    <w:rsid w:val="00082DDB"/>
    <w:rsid w:val="000833B5"/>
    <w:rsid w:val="0008350E"/>
    <w:rsid w:val="00083A92"/>
    <w:rsid w:val="000840BD"/>
    <w:rsid w:val="00084270"/>
    <w:rsid w:val="0008458B"/>
    <w:rsid w:val="0008458C"/>
    <w:rsid w:val="00084722"/>
    <w:rsid w:val="0008478F"/>
    <w:rsid w:val="00084B3F"/>
    <w:rsid w:val="00084EBD"/>
    <w:rsid w:val="0008518D"/>
    <w:rsid w:val="0008593B"/>
    <w:rsid w:val="00085F4B"/>
    <w:rsid w:val="00085FAD"/>
    <w:rsid w:val="00085FB6"/>
    <w:rsid w:val="00086806"/>
    <w:rsid w:val="00086D5B"/>
    <w:rsid w:val="000873B5"/>
    <w:rsid w:val="00087F0D"/>
    <w:rsid w:val="0009022D"/>
    <w:rsid w:val="000911AA"/>
    <w:rsid w:val="00091B4D"/>
    <w:rsid w:val="00091D5D"/>
    <w:rsid w:val="00092446"/>
    <w:rsid w:val="000928EB"/>
    <w:rsid w:val="00093203"/>
    <w:rsid w:val="0009329F"/>
    <w:rsid w:val="00093824"/>
    <w:rsid w:val="00094191"/>
    <w:rsid w:val="000943B7"/>
    <w:rsid w:val="00094AA9"/>
    <w:rsid w:val="00096615"/>
    <w:rsid w:val="0009662A"/>
    <w:rsid w:val="00096756"/>
    <w:rsid w:val="0009682F"/>
    <w:rsid w:val="00096891"/>
    <w:rsid w:val="0009689F"/>
    <w:rsid w:val="0009691A"/>
    <w:rsid w:val="00096A27"/>
    <w:rsid w:val="000970B5"/>
    <w:rsid w:val="00097524"/>
    <w:rsid w:val="00097EF1"/>
    <w:rsid w:val="00097FC5"/>
    <w:rsid w:val="000A031C"/>
    <w:rsid w:val="000A0730"/>
    <w:rsid w:val="000A0731"/>
    <w:rsid w:val="000A09B5"/>
    <w:rsid w:val="000A1213"/>
    <w:rsid w:val="000A1619"/>
    <w:rsid w:val="000A17D5"/>
    <w:rsid w:val="000A1948"/>
    <w:rsid w:val="000A195B"/>
    <w:rsid w:val="000A19C4"/>
    <w:rsid w:val="000A1C7D"/>
    <w:rsid w:val="000A2692"/>
    <w:rsid w:val="000A2C5B"/>
    <w:rsid w:val="000A2CB9"/>
    <w:rsid w:val="000A2F49"/>
    <w:rsid w:val="000A2FB6"/>
    <w:rsid w:val="000A3369"/>
    <w:rsid w:val="000A3A74"/>
    <w:rsid w:val="000A3F77"/>
    <w:rsid w:val="000A401E"/>
    <w:rsid w:val="000A4199"/>
    <w:rsid w:val="000A4208"/>
    <w:rsid w:val="000A4B67"/>
    <w:rsid w:val="000A5199"/>
    <w:rsid w:val="000A530F"/>
    <w:rsid w:val="000A555A"/>
    <w:rsid w:val="000A5F2F"/>
    <w:rsid w:val="000A67EF"/>
    <w:rsid w:val="000A6AB5"/>
    <w:rsid w:val="000A6CCF"/>
    <w:rsid w:val="000A6DCC"/>
    <w:rsid w:val="000A782A"/>
    <w:rsid w:val="000A793B"/>
    <w:rsid w:val="000A7D79"/>
    <w:rsid w:val="000A7E7A"/>
    <w:rsid w:val="000B0455"/>
    <w:rsid w:val="000B0C32"/>
    <w:rsid w:val="000B1374"/>
    <w:rsid w:val="000B159D"/>
    <w:rsid w:val="000B17D7"/>
    <w:rsid w:val="000B1BC5"/>
    <w:rsid w:val="000B1CEB"/>
    <w:rsid w:val="000B1DD6"/>
    <w:rsid w:val="000B270F"/>
    <w:rsid w:val="000B2E15"/>
    <w:rsid w:val="000B31DC"/>
    <w:rsid w:val="000B4050"/>
    <w:rsid w:val="000B4500"/>
    <w:rsid w:val="000B4554"/>
    <w:rsid w:val="000B475A"/>
    <w:rsid w:val="000B4897"/>
    <w:rsid w:val="000B5144"/>
    <w:rsid w:val="000B56E9"/>
    <w:rsid w:val="000B5A70"/>
    <w:rsid w:val="000B60CC"/>
    <w:rsid w:val="000B65EC"/>
    <w:rsid w:val="000B7F07"/>
    <w:rsid w:val="000C02D8"/>
    <w:rsid w:val="000C0F3E"/>
    <w:rsid w:val="000C1504"/>
    <w:rsid w:val="000C18DD"/>
    <w:rsid w:val="000C1E9C"/>
    <w:rsid w:val="000C2169"/>
    <w:rsid w:val="000C254E"/>
    <w:rsid w:val="000C26C5"/>
    <w:rsid w:val="000C31FF"/>
    <w:rsid w:val="000C380B"/>
    <w:rsid w:val="000C3A9A"/>
    <w:rsid w:val="000C49E8"/>
    <w:rsid w:val="000C4C0B"/>
    <w:rsid w:val="000C53FE"/>
    <w:rsid w:val="000C5DB6"/>
    <w:rsid w:val="000C6015"/>
    <w:rsid w:val="000C64E0"/>
    <w:rsid w:val="000C6786"/>
    <w:rsid w:val="000C71C3"/>
    <w:rsid w:val="000C7580"/>
    <w:rsid w:val="000C7A38"/>
    <w:rsid w:val="000D05E2"/>
    <w:rsid w:val="000D0AD0"/>
    <w:rsid w:val="000D0ECC"/>
    <w:rsid w:val="000D1118"/>
    <w:rsid w:val="000D1298"/>
    <w:rsid w:val="000D1CE3"/>
    <w:rsid w:val="000D1EC4"/>
    <w:rsid w:val="000D26C7"/>
    <w:rsid w:val="000D2A78"/>
    <w:rsid w:val="000D2FE4"/>
    <w:rsid w:val="000D382B"/>
    <w:rsid w:val="000D3974"/>
    <w:rsid w:val="000D3BDF"/>
    <w:rsid w:val="000D3D37"/>
    <w:rsid w:val="000D3EBB"/>
    <w:rsid w:val="000D4144"/>
    <w:rsid w:val="000D446F"/>
    <w:rsid w:val="000D44B1"/>
    <w:rsid w:val="000D485B"/>
    <w:rsid w:val="000D4D56"/>
    <w:rsid w:val="000D5B64"/>
    <w:rsid w:val="000D5C19"/>
    <w:rsid w:val="000D5CA9"/>
    <w:rsid w:val="000D6167"/>
    <w:rsid w:val="000D635F"/>
    <w:rsid w:val="000D6482"/>
    <w:rsid w:val="000D734F"/>
    <w:rsid w:val="000D777A"/>
    <w:rsid w:val="000D7BCC"/>
    <w:rsid w:val="000D7F11"/>
    <w:rsid w:val="000E0236"/>
    <w:rsid w:val="000E0B8C"/>
    <w:rsid w:val="000E0E06"/>
    <w:rsid w:val="000E0E2F"/>
    <w:rsid w:val="000E1318"/>
    <w:rsid w:val="000E1DB5"/>
    <w:rsid w:val="000E279D"/>
    <w:rsid w:val="000E2E2C"/>
    <w:rsid w:val="000E2FDF"/>
    <w:rsid w:val="000E316C"/>
    <w:rsid w:val="000E3E85"/>
    <w:rsid w:val="000E3F8A"/>
    <w:rsid w:val="000E43A5"/>
    <w:rsid w:val="000E43F3"/>
    <w:rsid w:val="000E44AF"/>
    <w:rsid w:val="000E4802"/>
    <w:rsid w:val="000E4803"/>
    <w:rsid w:val="000E4A1A"/>
    <w:rsid w:val="000E4A89"/>
    <w:rsid w:val="000E4D12"/>
    <w:rsid w:val="000E525F"/>
    <w:rsid w:val="000E5268"/>
    <w:rsid w:val="000E55C5"/>
    <w:rsid w:val="000E55F2"/>
    <w:rsid w:val="000E6003"/>
    <w:rsid w:val="000E679B"/>
    <w:rsid w:val="000E6B13"/>
    <w:rsid w:val="000E6EB3"/>
    <w:rsid w:val="000E6EB7"/>
    <w:rsid w:val="000E7FA6"/>
    <w:rsid w:val="000F0107"/>
    <w:rsid w:val="000F0135"/>
    <w:rsid w:val="000F07E5"/>
    <w:rsid w:val="000F1388"/>
    <w:rsid w:val="000F15D1"/>
    <w:rsid w:val="000F1AAD"/>
    <w:rsid w:val="000F1B4C"/>
    <w:rsid w:val="000F1F4D"/>
    <w:rsid w:val="000F235B"/>
    <w:rsid w:val="000F2F46"/>
    <w:rsid w:val="000F3526"/>
    <w:rsid w:val="000F3FD0"/>
    <w:rsid w:val="000F454D"/>
    <w:rsid w:val="000F4571"/>
    <w:rsid w:val="000F46C1"/>
    <w:rsid w:val="000F4A43"/>
    <w:rsid w:val="000F4AFF"/>
    <w:rsid w:val="000F51C1"/>
    <w:rsid w:val="000F5455"/>
    <w:rsid w:val="000F5563"/>
    <w:rsid w:val="000F6865"/>
    <w:rsid w:val="000F687D"/>
    <w:rsid w:val="000F69C0"/>
    <w:rsid w:val="000F6A0A"/>
    <w:rsid w:val="000F6C1D"/>
    <w:rsid w:val="000F7320"/>
    <w:rsid w:val="000F7492"/>
    <w:rsid w:val="000F74AB"/>
    <w:rsid w:val="000F77BD"/>
    <w:rsid w:val="00100330"/>
    <w:rsid w:val="00100A18"/>
    <w:rsid w:val="00101165"/>
    <w:rsid w:val="00101204"/>
    <w:rsid w:val="0010191D"/>
    <w:rsid w:val="0010197A"/>
    <w:rsid w:val="00101986"/>
    <w:rsid w:val="00101C90"/>
    <w:rsid w:val="001020E0"/>
    <w:rsid w:val="001021A6"/>
    <w:rsid w:val="001022C7"/>
    <w:rsid w:val="001034BD"/>
    <w:rsid w:val="00103F01"/>
    <w:rsid w:val="00103FEB"/>
    <w:rsid w:val="0010468D"/>
    <w:rsid w:val="00105504"/>
    <w:rsid w:val="00105B2A"/>
    <w:rsid w:val="00105F46"/>
    <w:rsid w:val="00106181"/>
    <w:rsid w:val="001065F5"/>
    <w:rsid w:val="00106691"/>
    <w:rsid w:val="0010684A"/>
    <w:rsid w:val="00106AB0"/>
    <w:rsid w:val="00106F23"/>
    <w:rsid w:val="00107004"/>
    <w:rsid w:val="001079B2"/>
    <w:rsid w:val="00107ECF"/>
    <w:rsid w:val="00110020"/>
    <w:rsid w:val="001101B0"/>
    <w:rsid w:val="001104C8"/>
    <w:rsid w:val="00110DEB"/>
    <w:rsid w:val="00111A6E"/>
    <w:rsid w:val="00111BE3"/>
    <w:rsid w:val="00111CCD"/>
    <w:rsid w:val="001124F0"/>
    <w:rsid w:val="00112808"/>
    <w:rsid w:val="0011295D"/>
    <w:rsid w:val="00112D18"/>
    <w:rsid w:val="00113A7F"/>
    <w:rsid w:val="00113B89"/>
    <w:rsid w:val="0011406F"/>
    <w:rsid w:val="00114227"/>
    <w:rsid w:val="00114370"/>
    <w:rsid w:val="001144A0"/>
    <w:rsid w:val="00114646"/>
    <w:rsid w:val="00115084"/>
    <w:rsid w:val="001154D9"/>
    <w:rsid w:val="0011555B"/>
    <w:rsid w:val="00115903"/>
    <w:rsid w:val="00115C3B"/>
    <w:rsid w:val="00117C9A"/>
    <w:rsid w:val="00120380"/>
    <w:rsid w:val="00121017"/>
    <w:rsid w:val="00122C10"/>
    <w:rsid w:val="001238EF"/>
    <w:rsid w:val="00123E0B"/>
    <w:rsid w:val="00123F55"/>
    <w:rsid w:val="00124294"/>
    <w:rsid w:val="00124485"/>
    <w:rsid w:val="0012470F"/>
    <w:rsid w:val="00124B08"/>
    <w:rsid w:val="00124BC7"/>
    <w:rsid w:val="00125308"/>
    <w:rsid w:val="00125765"/>
    <w:rsid w:val="001257DB"/>
    <w:rsid w:val="00125B9D"/>
    <w:rsid w:val="00125BB9"/>
    <w:rsid w:val="00125CBD"/>
    <w:rsid w:val="001268DE"/>
    <w:rsid w:val="00126ACE"/>
    <w:rsid w:val="00126E24"/>
    <w:rsid w:val="0012725D"/>
    <w:rsid w:val="00127537"/>
    <w:rsid w:val="00127711"/>
    <w:rsid w:val="00127B55"/>
    <w:rsid w:val="00127CD8"/>
    <w:rsid w:val="001308FF"/>
    <w:rsid w:val="00131205"/>
    <w:rsid w:val="0013140C"/>
    <w:rsid w:val="001321E1"/>
    <w:rsid w:val="00132DDF"/>
    <w:rsid w:val="0013371F"/>
    <w:rsid w:val="001341F7"/>
    <w:rsid w:val="00134458"/>
    <w:rsid w:val="001347DC"/>
    <w:rsid w:val="00134A1F"/>
    <w:rsid w:val="00134CAD"/>
    <w:rsid w:val="001355D4"/>
    <w:rsid w:val="00135A73"/>
    <w:rsid w:val="00135D0A"/>
    <w:rsid w:val="00135DCC"/>
    <w:rsid w:val="00135ECA"/>
    <w:rsid w:val="001360FE"/>
    <w:rsid w:val="001361F7"/>
    <w:rsid w:val="00136631"/>
    <w:rsid w:val="00136B35"/>
    <w:rsid w:val="00136EC1"/>
    <w:rsid w:val="00137214"/>
    <w:rsid w:val="001372C8"/>
    <w:rsid w:val="001374A0"/>
    <w:rsid w:val="00137B18"/>
    <w:rsid w:val="001402F9"/>
    <w:rsid w:val="001408AE"/>
    <w:rsid w:val="0014186B"/>
    <w:rsid w:val="00141930"/>
    <w:rsid w:val="00142513"/>
    <w:rsid w:val="00142ADE"/>
    <w:rsid w:val="00143048"/>
    <w:rsid w:val="00143E26"/>
    <w:rsid w:val="00143FDE"/>
    <w:rsid w:val="00144050"/>
    <w:rsid w:val="001448CE"/>
    <w:rsid w:val="001448F3"/>
    <w:rsid w:val="00144C6A"/>
    <w:rsid w:val="00144E92"/>
    <w:rsid w:val="001458A8"/>
    <w:rsid w:val="00145B9A"/>
    <w:rsid w:val="00145C6C"/>
    <w:rsid w:val="00146802"/>
    <w:rsid w:val="00146FA0"/>
    <w:rsid w:val="0014732C"/>
    <w:rsid w:val="0014737E"/>
    <w:rsid w:val="00147396"/>
    <w:rsid w:val="00147A77"/>
    <w:rsid w:val="00150571"/>
    <w:rsid w:val="00150C36"/>
    <w:rsid w:val="0015126A"/>
    <w:rsid w:val="00151575"/>
    <w:rsid w:val="001520EF"/>
    <w:rsid w:val="001525BA"/>
    <w:rsid w:val="0015273A"/>
    <w:rsid w:val="001528F7"/>
    <w:rsid w:val="00152B3A"/>
    <w:rsid w:val="00152CFA"/>
    <w:rsid w:val="00153307"/>
    <w:rsid w:val="00153573"/>
    <w:rsid w:val="00153AA6"/>
    <w:rsid w:val="00153B4D"/>
    <w:rsid w:val="00154F82"/>
    <w:rsid w:val="00155106"/>
    <w:rsid w:val="0015551E"/>
    <w:rsid w:val="001557FA"/>
    <w:rsid w:val="00155D25"/>
    <w:rsid w:val="001564D5"/>
    <w:rsid w:val="00156886"/>
    <w:rsid w:val="00156BF6"/>
    <w:rsid w:val="00156DF9"/>
    <w:rsid w:val="0015700D"/>
    <w:rsid w:val="001570AF"/>
    <w:rsid w:val="00157977"/>
    <w:rsid w:val="00157C70"/>
    <w:rsid w:val="0016058B"/>
    <w:rsid w:val="00160778"/>
    <w:rsid w:val="00160FC2"/>
    <w:rsid w:val="00161304"/>
    <w:rsid w:val="00161687"/>
    <w:rsid w:val="00161B2C"/>
    <w:rsid w:val="00161B3B"/>
    <w:rsid w:val="00161D25"/>
    <w:rsid w:val="001621FC"/>
    <w:rsid w:val="0016223E"/>
    <w:rsid w:val="00162330"/>
    <w:rsid w:val="0016235B"/>
    <w:rsid w:val="00162C60"/>
    <w:rsid w:val="00162D3A"/>
    <w:rsid w:val="00162ECD"/>
    <w:rsid w:val="00162FB5"/>
    <w:rsid w:val="00163059"/>
    <w:rsid w:val="0016347E"/>
    <w:rsid w:val="00163A09"/>
    <w:rsid w:val="00163A50"/>
    <w:rsid w:val="001641BA"/>
    <w:rsid w:val="0016435C"/>
    <w:rsid w:val="00164A7B"/>
    <w:rsid w:val="00164FFD"/>
    <w:rsid w:val="001650EE"/>
    <w:rsid w:val="00165522"/>
    <w:rsid w:val="00165619"/>
    <w:rsid w:val="0016562A"/>
    <w:rsid w:val="00165F72"/>
    <w:rsid w:val="00165F94"/>
    <w:rsid w:val="00166ED0"/>
    <w:rsid w:val="0016725C"/>
    <w:rsid w:val="00167433"/>
    <w:rsid w:val="001674A0"/>
    <w:rsid w:val="001674F5"/>
    <w:rsid w:val="00167766"/>
    <w:rsid w:val="00171996"/>
    <w:rsid w:val="001722C7"/>
    <w:rsid w:val="001723B2"/>
    <w:rsid w:val="00172AF2"/>
    <w:rsid w:val="00172D01"/>
    <w:rsid w:val="00172F76"/>
    <w:rsid w:val="00173A3D"/>
    <w:rsid w:val="00173F22"/>
    <w:rsid w:val="00174B4E"/>
    <w:rsid w:val="001752B4"/>
    <w:rsid w:val="00175575"/>
    <w:rsid w:val="00175A72"/>
    <w:rsid w:val="0017609C"/>
    <w:rsid w:val="00176212"/>
    <w:rsid w:val="00176BC8"/>
    <w:rsid w:val="00176E4E"/>
    <w:rsid w:val="00177652"/>
    <w:rsid w:val="001778DB"/>
    <w:rsid w:val="0017795A"/>
    <w:rsid w:val="00177C64"/>
    <w:rsid w:val="00180192"/>
    <w:rsid w:val="0018083D"/>
    <w:rsid w:val="00180B62"/>
    <w:rsid w:val="00180D78"/>
    <w:rsid w:val="001811D4"/>
    <w:rsid w:val="0018156B"/>
    <w:rsid w:val="00181671"/>
    <w:rsid w:val="00181A22"/>
    <w:rsid w:val="00182145"/>
    <w:rsid w:val="0018237D"/>
    <w:rsid w:val="00182AAE"/>
    <w:rsid w:val="00182EC9"/>
    <w:rsid w:val="0018303F"/>
    <w:rsid w:val="00183895"/>
    <w:rsid w:val="001848FA"/>
    <w:rsid w:val="00184C67"/>
    <w:rsid w:val="00184CB3"/>
    <w:rsid w:val="00185242"/>
    <w:rsid w:val="00185797"/>
    <w:rsid w:val="001857B0"/>
    <w:rsid w:val="00185AE3"/>
    <w:rsid w:val="0018668A"/>
    <w:rsid w:val="001867A2"/>
    <w:rsid w:val="00186D4E"/>
    <w:rsid w:val="00187086"/>
    <w:rsid w:val="00187132"/>
    <w:rsid w:val="00187272"/>
    <w:rsid w:val="001873FF"/>
    <w:rsid w:val="0018781F"/>
    <w:rsid w:val="001900C7"/>
    <w:rsid w:val="0019068B"/>
    <w:rsid w:val="001908CF"/>
    <w:rsid w:val="001908EC"/>
    <w:rsid w:val="00190DA9"/>
    <w:rsid w:val="001913AD"/>
    <w:rsid w:val="001913BA"/>
    <w:rsid w:val="00191514"/>
    <w:rsid w:val="00191D8C"/>
    <w:rsid w:val="00191D96"/>
    <w:rsid w:val="00191E8E"/>
    <w:rsid w:val="00192062"/>
    <w:rsid w:val="0019211D"/>
    <w:rsid w:val="001922EF"/>
    <w:rsid w:val="0019237D"/>
    <w:rsid w:val="00192868"/>
    <w:rsid w:val="00192C98"/>
    <w:rsid w:val="001933C0"/>
    <w:rsid w:val="00193475"/>
    <w:rsid w:val="00193B9A"/>
    <w:rsid w:val="00193C11"/>
    <w:rsid w:val="00193F73"/>
    <w:rsid w:val="00194007"/>
    <w:rsid w:val="00194674"/>
    <w:rsid w:val="00194A3C"/>
    <w:rsid w:val="00194EFD"/>
    <w:rsid w:val="00195246"/>
    <w:rsid w:val="00195831"/>
    <w:rsid w:val="00195A71"/>
    <w:rsid w:val="00195C1A"/>
    <w:rsid w:val="00195DBF"/>
    <w:rsid w:val="00195E9F"/>
    <w:rsid w:val="0019611E"/>
    <w:rsid w:val="00196269"/>
    <w:rsid w:val="00196292"/>
    <w:rsid w:val="00196312"/>
    <w:rsid w:val="001964E0"/>
    <w:rsid w:val="00196518"/>
    <w:rsid w:val="00196C1D"/>
    <w:rsid w:val="00196FD4"/>
    <w:rsid w:val="00197328"/>
    <w:rsid w:val="00197342"/>
    <w:rsid w:val="001974D9"/>
    <w:rsid w:val="00197613"/>
    <w:rsid w:val="001977E9"/>
    <w:rsid w:val="00197BF1"/>
    <w:rsid w:val="001A0D19"/>
    <w:rsid w:val="001A0D9D"/>
    <w:rsid w:val="001A1784"/>
    <w:rsid w:val="001A19D2"/>
    <w:rsid w:val="001A1A76"/>
    <w:rsid w:val="001A308C"/>
    <w:rsid w:val="001A37F0"/>
    <w:rsid w:val="001A3BFC"/>
    <w:rsid w:val="001A3D94"/>
    <w:rsid w:val="001A41D5"/>
    <w:rsid w:val="001A4579"/>
    <w:rsid w:val="001A4588"/>
    <w:rsid w:val="001A4AEE"/>
    <w:rsid w:val="001A4F94"/>
    <w:rsid w:val="001A5BD3"/>
    <w:rsid w:val="001A5E64"/>
    <w:rsid w:val="001A6484"/>
    <w:rsid w:val="001A6673"/>
    <w:rsid w:val="001A6BAB"/>
    <w:rsid w:val="001A701B"/>
    <w:rsid w:val="001A771E"/>
    <w:rsid w:val="001B09BF"/>
    <w:rsid w:val="001B0AEB"/>
    <w:rsid w:val="001B164C"/>
    <w:rsid w:val="001B1D14"/>
    <w:rsid w:val="001B26B0"/>
    <w:rsid w:val="001B2C2F"/>
    <w:rsid w:val="001B3361"/>
    <w:rsid w:val="001B33DD"/>
    <w:rsid w:val="001B37E2"/>
    <w:rsid w:val="001B393E"/>
    <w:rsid w:val="001B3976"/>
    <w:rsid w:val="001B3F53"/>
    <w:rsid w:val="001B4674"/>
    <w:rsid w:val="001B4A96"/>
    <w:rsid w:val="001B53DA"/>
    <w:rsid w:val="001B5B0B"/>
    <w:rsid w:val="001B5BFF"/>
    <w:rsid w:val="001B5FA3"/>
    <w:rsid w:val="001B6442"/>
    <w:rsid w:val="001B6E59"/>
    <w:rsid w:val="001B7C01"/>
    <w:rsid w:val="001B7DC1"/>
    <w:rsid w:val="001C04F3"/>
    <w:rsid w:val="001C0BA9"/>
    <w:rsid w:val="001C0E33"/>
    <w:rsid w:val="001C25E3"/>
    <w:rsid w:val="001C2658"/>
    <w:rsid w:val="001C2827"/>
    <w:rsid w:val="001C2944"/>
    <w:rsid w:val="001C2D3D"/>
    <w:rsid w:val="001C2FB6"/>
    <w:rsid w:val="001C345A"/>
    <w:rsid w:val="001C3A34"/>
    <w:rsid w:val="001C3BE4"/>
    <w:rsid w:val="001C3E55"/>
    <w:rsid w:val="001C4DC3"/>
    <w:rsid w:val="001C524E"/>
    <w:rsid w:val="001C5968"/>
    <w:rsid w:val="001C59D3"/>
    <w:rsid w:val="001C5CCC"/>
    <w:rsid w:val="001C651B"/>
    <w:rsid w:val="001C6579"/>
    <w:rsid w:val="001C6C99"/>
    <w:rsid w:val="001C709A"/>
    <w:rsid w:val="001C73DF"/>
    <w:rsid w:val="001D07B0"/>
    <w:rsid w:val="001D08E1"/>
    <w:rsid w:val="001D0E00"/>
    <w:rsid w:val="001D1063"/>
    <w:rsid w:val="001D1174"/>
    <w:rsid w:val="001D136C"/>
    <w:rsid w:val="001D1459"/>
    <w:rsid w:val="001D18C5"/>
    <w:rsid w:val="001D1A1E"/>
    <w:rsid w:val="001D20A8"/>
    <w:rsid w:val="001D2E9D"/>
    <w:rsid w:val="001D386F"/>
    <w:rsid w:val="001D3892"/>
    <w:rsid w:val="001D3BBA"/>
    <w:rsid w:val="001D3E34"/>
    <w:rsid w:val="001D4379"/>
    <w:rsid w:val="001D44A5"/>
    <w:rsid w:val="001D4A03"/>
    <w:rsid w:val="001D4A10"/>
    <w:rsid w:val="001D4CC2"/>
    <w:rsid w:val="001D4CF1"/>
    <w:rsid w:val="001D509B"/>
    <w:rsid w:val="001D5135"/>
    <w:rsid w:val="001D54E6"/>
    <w:rsid w:val="001D5504"/>
    <w:rsid w:val="001D58D3"/>
    <w:rsid w:val="001D5B3E"/>
    <w:rsid w:val="001D5BEC"/>
    <w:rsid w:val="001D5D26"/>
    <w:rsid w:val="001D5D58"/>
    <w:rsid w:val="001D639A"/>
    <w:rsid w:val="001D69FE"/>
    <w:rsid w:val="001D6A05"/>
    <w:rsid w:val="001D6B51"/>
    <w:rsid w:val="001D751D"/>
    <w:rsid w:val="001D756C"/>
    <w:rsid w:val="001D77BD"/>
    <w:rsid w:val="001D7CCC"/>
    <w:rsid w:val="001E0095"/>
    <w:rsid w:val="001E00D3"/>
    <w:rsid w:val="001E09BD"/>
    <w:rsid w:val="001E0D3C"/>
    <w:rsid w:val="001E1026"/>
    <w:rsid w:val="001E126F"/>
    <w:rsid w:val="001E1C7F"/>
    <w:rsid w:val="001E1D38"/>
    <w:rsid w:val="001E25BF"/>
    <w:rsid w:val="001E26F7"/>
    <w:rsid w:val="001E2A9F"/>
    <w:rsid w:val="001E2DCC"/>
    <w:rsid w:val="001E370B"/>
    <w:rsid w:val="001E3FC9"/>
    <w:rsid w:val="001E48FC"/>
    <w:rsid w:val="001E4EED"/>
    <w:rsid w:val="001E4F06"/>
    <w:rsid w:val="001E555C"/>
    <w:rsid w:val="001E581F"/>
    <w:rsid w:val="001E5856"/>
    <w:rsid w:val="001E5C3A"/>
    <w:rsid w:val="001E603D"/>
    <w:rsid w:val="001E6276"/>
    <w:rsid w:val="001E6468"/>
    <w:rsid w:val="001E692F"/>
    <w:rsid w:val="001E6F4C"/>
    <w:rsid w:val="001E722A"/>
    <w:rsid w:val="001E723C"/>
    <w:rsid w:val="001E7290"/>
    <w:rsid w:val="001E7419"/>
    <w:rsid w:val="001E752D"/>
    <w:rsid w:val="001E7A26"/>
    <w:rsid w:val="001E7A9B"/>
    <w:rsid w:val="001E7AC4"/>
    <w:rsid w:val="001E7CE6"/>
    <w:rsid w:val="001E7DB5"/>
    <w:rsid w:val="001F0639"/>
    <w:rsid w:val="001F0812"/>
    <w:rsid w:val="001F0947"/>
    <w:rsid w:val="001F0ACF"/>
    <w:rsid w:val="001F15B2"/>
    <w:rsid w:val="001F1DB5"/>
    <w:rsid w:val="001F211C"/>
    <w:rsid w:val="001F258F"/>
    <w:rsid w:val="001F28B5"/>
    <w:rsid w:val="001F2CAE"/>
    <w:rsid w:val="001F2D5F"/>
    <w:rsid w:val="001F39A9"/>
    <w:rsid w:val="001F3E21"/>
    <w:rsid w:val="001F489F"/>
    <w:rsid w:val="001F4C00"/>
    <w:rsid w:val="001F4C6E"/>
    <w:rsid w:val="001F500C"/>
    <w:rsid w:val="001F5661"/>
    <w:rsid w:val="001F596D"/>
    <w:rsid w:val="001F5A0B"/>
    <w:rsid w:val="001F6EB5"/>
    <w:rsid w:val="001F750E"/>
    <w:rsid w:val="001F7AB9"/>
    <w:rsid w:val="001F7BC6"/>
    <w:rsid w:val="001F7FA0"/>
    <w:rsid w:val="001FE291"/>
    <w:rsid w:val="0020070C"/>
    <w:rsid w:val="00200B62"/>
    <w:rsid w:val="00200DE0"/>
    <w:rsid w:val="0020121F"/>
    <w:rsid w:val="00201EDB"/>
    <w:rsid w:val="002020C8"/>
    <w:rsid w:val="00203061"/>
    <w:rsid w:val="0020330E"/>
    <w:rsid w:val="002033BF"/>
    <w:rsid w:val="00203454"/>
    <w:rsid w:val="002036AA"/>
    <w:rsid w:val="00203720"/>
    <w:rsid w:val="00203A04"/>
    <w:rsid w:val="00203E4B"/>
    <w:rsid w:val="00203F87"/>
    <w:rsid w:val="0020487D"/>
    <w:rsid w:val="00204A95"/>
    <w:rsid w:val="00204DF6"/>
    <w:rsid w:val="00205555"/>
    <w:rsid w:val="00205BB3"/>
    <w:rsid w:val="00206410"/>
    <w:rsid w:val="00206F9C"/>
    <w:rsid w:val="002079CD"/>
    <w:rsid w:val="00207EE6"/>
    <w:rsid w:val="002103DE"/>
    <w:rsid w:val="0021043B"/>
    <w:rsid w:val="0021092D"/>
    <w:rsid w:val="00210F06"/>
    <w:rsid w:val="00211580"/>
    <w:rsid w:val="00211757"/>
    <w:rsid w:val="00211925"/>
    <w:rsid w:val="00211A03"/>
    <w:rsid w:val="002125C8"/>
    <w:rsid w:val="0021260A"/>
    <w:rsid w:val="0021263B"/>
    <w:rsid w:val="00212C54"/>
    <w:rsid w:val="0021355C"/>
    <w:rsid w:val="0021392A"/>
    <w:rsid w:val="002139D2"/>
    <w:rsid w:val="00213D8A"/>
    <w:rsid w:val="00213F43"/>
    <w:rsid w:val="002142B1"/>
    <w:rsid w:val="00214901"/>
    <w:rsid w:val="00214B1A"/>
    <w:rsid w:val="00214BF8"/>
    <w:rsid w:val="00214E77"/>
    <w:rsid w:val="002157AA"/>
    <w:rsid w:val="00215A55"/>
    <w:rsid w:val="00216387"/>
    <w:rsid w:val="00217555"/>
    <w:rsid w:val="00217822"/>
    <w:rsid w:val="00217AA9"/>
    <w:rsid w:val="00220292"/>
    <w:rsid w:val="0022048C"/>
    <w:rsid w:val="002206AF"/>
    <w:rsid w:val="002208B3"/>
    <w:rsid w:val="002208D8"/>
    <w:rsid w:val="00220ACD"/>
    <w:rsid w:val="00220CAA"/>
    <w:rsid w:val="002211DA"/>
    <w:rsid w:val="00221285"/>
    <w:rsid w:val="0022268E"/>
    <w:rsid w:val="00222BCB"/>
    <w:rsid w:val="00223788"/>
    <w:rsid w:val="00223831"/>
    <w:rsid w:val="00223A46"/>
    <w:rsid w:val="00223F85"/>
    <w:rsid w:val="002244F2"/>
    <w:rsid w:val="002246F1"/>
    <w:rsid w:val="00224862"/>
    <w:rsid w:val="002250BD"/>
    <w:rsid w:val="002251EE"/>
    <w:rsid w:val="00226189"/>
    <w:rsid w:val="002265B2"/>
    <w:rsid w:val="002267C8"/>
    <w:rsid w:val="00227134"/>
    <w:rsid w:val="002273AA"/>
    <w:rsid w:val="002276A1"/>
    <w:rsid w:val="00227FE8"/>
    <w:rsid w:val="00228272"/>
    <w:rsid w:val="00230E5A"/>
    <w:rsid w:val="00230EB0"/>
    <w:rsid w:val="002310DB"/>
    <w:rsid w:val="002315FB"/>
    <w:rsid w:val="0023178A"/>
    <w:rsid w:val="002318BF"/>
    <w:rsid w:val="00231C9A"/>
    <w:rsid w:val="0023251A"/>
    <w:rsid w:val="00232D16"/>
    <w:rsid w:val="00232DE7"/>
    <w:rsid w:val="00232F64"/>
    <w:rsid w:val="002332CA"/>
    <w:rsid w:val="002334C5"/>
    <w:rsid w:val="00233DC7"/>
    <w:rsid w:val="00233E6E"/>
    <w:rsid w:val="00233F0F"/>
    <w:rsid w:val="002343BF"/>
    <w:rsid w:val="002345A4"/>
    <w:rsid w:val="002346E0"/>
    <w:rsid w:val="0023493C"/>
    <w:rsid w:val="002349F2"/>
    <w:rsid w:val="00234CDD"/>
    <w:rsid w:val="00234E51"/>
    <w:rsid w:val="00235358"/>
    <w:rsid w:val="002353B7"/>
    <w:rsid w:val="00235B2B"/>
    <w:rsid w:val="00235CE2"/>
    <w:rsid w:val="00235ED4"/>
    <w:rsid w:val="0023694C"/>
    <w:rsid w:val="00236A6A"/>
    <w:rsid w:val="00236D43"/>
    <w:rsid w:val="002370FC"/>
    <w:rsid w:val="00240940"/>
    <w:rsid w:val="00240D9C"/>
    <w:rsid w:val="00240E2F"/>
    <w:rsid w:val="00240F58"/>
    <w:rsid w:val="00241246"/>
    <w:rsid w:val="002413D0"/>
    <w:rsid w:val="00241571"/>
    <w:rsid w:val="00241B7F"/>
    <w:rsid w:val="00241E80"/>
    <w:rsid w:val="00242056"/>
    <w:rsid w:val="002420D7"/>
    <w:rsid w:val="002426FB"/>
    <w:rsid w:val="0024288B"/>
    <w:rsid w:val="002428CB"/>
    <w:rsid w:val="00242B40"/>
    <w:rsid w:val="00243826"/>
    <w:rsid w:val="00244196"/>
    <w:rsid w:val="00244851"/>
    <w:rsid w:val="00244D25"/>
    <w:rsid w:val="0024552B"/>
    <w:rsid w:val="00245B33"/>
    <w:rsid w:val="00245FA9"/>
    <w:rsid w:val="00246035"/>
    <w:rsid w:val="002464B2"/>
    <w:rsid w:val="0024699A"/>
    <w:rsid w:val="00246CB6"/>
    <w:rsid w:val="00246E48"/>
    <w:rsid w:val="00246EBF"/>
    <w:rsid w:val="00247670"/>
    <w:rsid w:val="00247779"/>
    <w:rsid w:val="00247805"/>
    <w:rsid w:val="00247FD4"/>
    <w:rsid w:val="00250341"/>
    <w:rsid w:val="0025129D"/>
    <w:rsid w:val="00251C17"/>
    <w:rsid w:val="00251D5B"/>
    <w:rsid w:val="00252284"/>
    <w:rsid w:val="002523B1"/>
    <w:rsid w:val="002525A0"/>
    <w:rsid w:val="002526CD"/>
    <w:rsid w:val="00252AFF"/>
    <w:rsid w:val="00252B50"/>
    <w:rsid w:val="00252BB0"/>
    <w:rsid w:val="002536FC"/>
    <w:rsid w:val="002539AA"/>
    <w:rsid w:val="00253A89"/>
    <w:rsid w:val="00253F29"/>
    <w:rsid w:val="00253F93"/>
    <w:rsid w:val="002540B1"/>
    <w:rsid w:val="00254516"/>
    <w:rsid w:val="0025457B"/>
    <w:rsid w:val="002553C9"/>
    <w:rsid w:val="00255716"/>
    <w:rsid w:val="002557C4"/>
    <w:rsid w:val="002567E5"/>
    <w:rsid w:val="00256FA8"/>
    <w:rsid w:val="002570D3"/>
    <w:rsid w:val="002571FA"/>
    <w:rsid w:val="00257CCC"/>
    <w:rsid w:val="00257D5B"/>
    <w:rsid w:val="0025A8B8"/>
    <w:rsid w:val="00261163"/>
    <w:rsid w:val="00261367"/>
    <w:rsid w:val="002615DA"/>
    <w:rsid w:val="0026213E"/>
    <w:rsid w:val="002623F5"/>
    <w:rsid w:val="00262DC2"/>
    <w:rsid w:val="00263416"/>
    <w:rsid w:val="00263961"/>
    <w:rsid w:val="002642CF"/>
    <w:rsid w:val="002645F2"/>
    <w:rsid w:val="00264E20"/>
    <w:rsid w:val="00265835"/>
    <w:rsid w:val="00265C1E"/>
    <w:rsid w:val="00266576"/>
    <w:rsid w:val="00266B1F"/>
    <w:rsid w:val="00266D08"/>
    <w:rsid w:val="002671EE"/>
    <w:rsid w:val="0026770A"/>
    <w:rsid w:val="00267842"/>
    <w:rsid w:val="00267A1B"/>
    <w:rsid w:val="00270584"/>
    <w:rsid w:val="00270A60"/>
    <w:rsid w:val="00270DA7"/>
    <w:rsid w:val="00270EE8"/>
    <w:rsid w:val="002710ED"/>
    <w:rsid w:val="0027124F"/>
    <w:rsid w:val="002714D3"/>
    <w:rsid w:val="00271760"/>
    <w:rsid w:val="002717A9"/>
    <w:rsid w:val="002717FE"/>
    <w:rsid w:val="0027190B"/>
    <w:rsid w:val="00271EE6"/>
    <w:rsid w:val="00272EE7"/>
    <w:rsid w:val="002731CF"/>
    <w:rsid w:val="00273A44"/>
    <w:rsid w:val="00273C36"/>
    <w:rsid w:val="00273D47"/>
    <w:rsid w:val="0027431E"/>
    <w:rsid w:val="00275069"/>
    <w:rsid w:val="002751F7"/>
    <w:rsid w:val="00275738"/>
    <w:rsid w:val="00275A68"/>
    <w:rsid w:val="00275D1E"/>
    <w:rsid w:val="00276197"/>
    <w:rsid w:val="00276228"/>
    <w:rsid w:val="00276849"/>
    <w:rsid w:val="00276DC0"/>
    <w:rsid w:val="00276F6E"/>
    <w:rsid w:val="00277565"/>
    <w:rsid w:val="002775AA"/>
    <w:rsid w:val="002777C0"/>
    <w:rsid w:val="00277853"/>
    <w:rsid w:val="0028044E"/>
    <w:rsid w:val="00280799"/>
    <w:rsid w:val="0028142F"/>
    <w:rsid w:val="0028143A"/>
    <w:rsid w:val="00281AA1"/>
    <w:rsid w:val="00281C59"/>
    <w:rsid w:val="00281E55"/>
    <w:rsid w:val="002820C9"/>
    <w:rsid w:val="002826C8"/>
    <w:rsid w:val="0028284D"/>
    <w:rsid w:val="00282FCF"/>
    <w:rsid w:val="002834C7"/>
    <w:rsid w:val="0028370A"/>
    <w:rsid w:val="0028397C"/>
    <w:rsid w:val="002839A0"/>
    <w:rsid w:val="00283BA6"/>
    <w:rsid w:val="002846DE"/>
    <w:rsid w:val="0028480B"/>
    <w:rsid w:val="0028489D"/>
    <w:rsid w:val="0028496E"/>
    <w:rsid w:val="00285686"/>
    <w:rsid w:val="00285747"/>
    <w:rsid w:val="002857BD"/>
    <w:rsid w:val="00285849"/>
    <w:rsid w:val="00285946"/>
    <w:rsid w:val="0028599F"/>
    <w:rsid w:val="00285BEE"/>
    <w:rsid w:val="00285E54"/>
    <w:rsid w:val="00285F0E"/>
    <w:rsid w:val="0028642B"/>
    <w:rsid w:val="002865EC"/>
    <w:rsid w:val="00286875"/>
    <w:rsid w:val="0028705B"/>
    <w:rsid w:val="00287167"/>
    <w:rsid w:val="0028732C"/>
    <w:rsid w:val="00287455"/>
    <w:rsid w:val="00287B07"/>
    <w:rsid w:val="00287E10"/>
    <w:rsid w:val="00290BC8"/>
    <w:rsid w:val="00290C39"/>
    <w:rsid w:val="00290EEA"/>
    <w:rsid w:val="00291065"/>
    <w:rsid w:val="002913CB"/>
    <w:rsid w:val="00291488"/>
    <w:rsid w:val="00291E77"/>
    <w:rsid w:val="00292260"/>
    <w:rsid w:val="0029298A"/>
    <w:rsid w:val="002937C8"/>
    <w:rsid w:val="00293D66"/>
    <w:rsid w:val="00293FAC"/>
    <w:rsid w:val="002944F3"/>
    <w:rsid w:val="00294EEA"/>
    <w:rsid w:val="002952CA"/>
    <w:rsid w:val="0029533F"/>
    <w:rsid w:val="0029575E"/>
    <w:rsid w:val="00295A66"/>
    <w:rsid w:val="00295B72"/>
    <w:rsid w:val="00295C68"/>
    <w:rsid w:val="0029689C"/>
    <w:rsid w:val="00296923"/>
    <w:rsid w:val="00296E99"/>
    <w:rsid w:val="00297812"/>
    <w:rsid w:val="00297AA0"/>
    <w:rsid w:val="00297D77"/>
    <w:rsid w:val="00297F20"/>
    <w:rsid w:val="002A03A0"/>
    <w:rsid w:val="002A0AA9"/>
    <w:rsid w:val="002A1360"/>
    <w:rsid w:val="002A18D8"/>
    <w:rsid w:val="002A25AA"/>
    <w:rsid w:val="002A2609"/>
    <w:rsid w:val="002A2E64"/>
    <w:rsid w:val="002A3599"/>
    <w:rsid w:val="002A3785"/>
    <w:rsid w:val="002A37F0"/>
    <w:rsid w:val="002A4243"/>
    <w:rsid w:val="002A4C27"/>
    <w:rsid w:val="002A62D7"/>
    <w:rsid w:val="002A6311"/>
    <w:rsid w:val="002A6316"/>
    <w:rsid w:val="002A64EE"/>
    <w:rsid w:val="002A7567"/>
    <w:rsid w:val="002A7ED3"/>
    <w:rsid w:val="002B0473"/>
    <w:rsid w:val="002B06AE"/>
    <w:rsid w:val="002B0749"/>
    <w:rsid w:val="002B1448"/>
    <w:rsid w:val="002B1B20"/>
    <w:rsid w:val="002B1BFD"/>
    <w:rsid w:val="002B25CF"/>
    <w:rsid w:val="002B261D"/>
    <w:rsid w:val="002B2B0B"/>
    <w:rsid w:val="002B30AF"/>
    <w:rsid w:val="002B3505"/>
    <w:rsid w:val="002B353D"/>
    <w:rsid w:val="002B3A4E"/>
    <w:rsid w:val="002B3C32"/>
    <w:rsid w:val="002B3F88"/>
    <w:rsid w:val="002B4401"/>
    <w:rsid w:val="002B4AEB"/>
    <w:rsid w:val="002B4B08"/>
    <w:rsid w:val="002B4DC8"/>
    <w:rsid w:val="002B5343"/>
    <w:rsid w:val="002B56D7"/>
    <w:rsid w:val="002B5C6E"/>
    <w:rsid w:val="002B5D5A"/>
    <w:rsid w:val="002B626D"/>
    <w:rsid w:val="002B662D"/>
    <w:rsid w:val="002B6C8A"/>
    <w:rsid w:val="002B72E2"/>
    <w:rsid w:val="002B7478"/>
    <w:rsid w:val="002B7499"/>
    <w:rsid w:val="002B783F"/>
    <w:rsid w:val="002B7A2F"/>
    <w:rsid w:val="002C034C"/>
    <w:rsid w:val="002C03E9"/>
    <w:rsid w:val="002C1937"/>
    <w:rsid w:val="002C1E7E"/>
    <w:rsid w:val="002C2235"/>
    <w:rsid w:val="002C2AE2"/>
    <w:rsid w:val="002C30D9"/>
    <w:rsid w:val="002C3186"/>
    <w:rsid w:val="002C326E"/>
    <w:rsid w:val="002C346B"/>
    <w:rsid w:val="002C3640"/>
    <w:rsid w:val="002C4256"/>
    <w:rsid w:val="002C4944"/>
    <w:rsid w:val="002C49D9"/>
    <w:rsid w:val="002C4EC1"/>
    <w:rsid w:val="002C55BD"/>
    <w:rsid w:val="002C58B5"/>
    <w:rsid w:val="002C59FF"/>
    <w:rsid w:val="002C5BBC"/>
    <w:rsid w:val="002C5F2A"/>
    <w:rsid w:val="002C71F3"/>
    <w:rsid w:val="002C73F2"/>
    <w:rsid w:val="002C74EC"/>
    <w:rsid w:val="002C762C"/>
    <w:rsid w:val="002C773C"/>
    <w:rsid w:val="002C77B4"/>
    <w:rsid w:val="002C7959"/>
    <w:rsid w:val="002C7EB6"/>
    <w:rsid w:val="002D0259"/>
    <w:rsid w:val="002D090E"/>
    <w:rsid w:val="002D0D6B"/>
    <w:rsid w:val="002D1716"/>
    <w:rsid w:val="002D194B"/>
    <w:rsid w:val="002D1DD7"/>
    <w:rsid w:val="002D1FBE"/>
    <w:rsid w:val="002D3CC4"/>
    <w:rsid w:val="002D3F4E"/>
    <w:rsid w:val="002D44C9"/>
    <w:rsid w:val="002D475D"/>
    <w:rsid w:val="002D4929"/>
    <w:rsid w:val="002D4E3C"/>
    <w:rsid w:val="002D4E71"/>
    <w:rsid w:val="002D52B9"/>
    <w:rsid w:val="002D55B2"/>
    <w:rsid w:val="002D58C6"/>
    <w:rsid w:val="002D59A9"/>
    <w:rsid w:val="002D5B5B"/>
    <w:rsid w:val="002D5FF0"/>
    <w:rsid w:val="002D63EA"/>
    <w:rsid w:val="002D650F"/>
    <w:rsid w:val="002D67C8"/>
    <w:rsid w:val="002D6D32"/>
    <w:rsid w:val="002D6F01"/>
    <w:rsid w:val="002D7110"/>
    <w:rsid w:val="002D7422"/>
    <w:rsid w:val="002D78C3"/>
    <w:rsid w:val="002E0092"/>
    <w:rsid w:val="002E02EB"/>
    <w:rsid w:val="002E0A0A"/>
    <w:rsid w:val="002E0E05"/>
    <w:rsid w:val="002E0FFE"/>
    <w:rsid w:val="002E1058"/>
    <w:rsid w:val="002E1189"/>
    <w:rsid w:val="002E158A"/>
    <w:rsid w:val="002E1819"/>
    <w:rsid w:val="002E19F9"/>
    <w:rsid w:val="002E1A30"/>
    <w:rsid w:val="002E2362"/>
    <w:rsid w:val="002E2D5C"/>
    <w:rsid w:val="002E2E74"/>
    <w:rsid w:val="002E3026"/>
    <w:rsid w:val="002E3060"/>
    <w:rsid w:val="002E3456"/>
    <w:rsid w:val="002E34CC"/>
    <w:rsid w:val="002E3EEA"/>
    <w:rsid w:val="002E4618"/>
    <w:rsid w:val="002E4858"/>
    <w:rsid w:val="002E490E"/>
    <w:rsid w:val="002E4CA9"/>
    <w:rsid w:val="002E5425"/>
    <w:rsid w:val="002E5895"/>
    <w:rsid w:val="002E5E16"/>
    <w:rsid w:val="002E6341"/>
    <w:rsid w:val="002E6D62"/>
    <w:rsid w:val="002E73E2"/>
    <w:rsid w:val="002E744C"/>
    <w:rsid w:val="002E7E96"/>
    <w:rsid w:val="002F02C9"/>
    <w:rsid w:val="002F0C3E"/>
    <w:rsid w:val="002F1013"/>
    <w:rsid w:val="002F1126"/>
    <w:rsid w:val="002F13A8"/>
    <w:rsid w:val="002F1BA9"/>
    <w:rsid w:val="002F1CF1"/>
    <w:rsid w:val="002F2193"/>
    <w:rsid w:val="002F3576"/>
    <w:rsid w:val="002F371C"/>
    <w:rsid w:val="002F3962"/>
    <w:rsid w:val="002F3DD1"/>
    <w:rsid w:val="002F4006"/>
    <w:rsid w:val="002F4501"/>
    <w:rsid w:val="002F46AF"/>
    <w:rsid w:val="002F46DB"/>
    <w:rsid w:val="002F47E1"/>
    <w:rsid w:val="002F4AF7"/>
    <w:rsid w:val="002F4F5A"/>
    <w:rsid w:val="002F51D8"/>
    <w:rsid w:val="002F5516"/>
    <w:rsid w:val="002F5567"/>
    <w:rsid w:val="002F5868"/>
    <w:rsid w:val="002F5BCB"/>
    <w:rsid w:val="002F60E1"/>
    <w:rsid w:val="002F62A8"/>
    <w:rsid w:val="002F66B2"/>
    <w:rsid w:val="002F699A"/>
    <w:rsid w:val="002F6B4B"/>
    <w:rsid w:val="002F6CE7"/>
    <w:rsid w:val="002F6DAD"/>
    <w:rsid w:val="002F6E83"/>
    <w:rsid w:val="002F71C8"/>
    <w:rsid w:val="003003C8"/>
    <w:rsid w:val="003004E0"/>
    <w:rsid w:val="00300794"/>
    <w:rsid w:val="003009A8"/>
    <w:rsid w:val="00301A98"/>
    <w:rsid w:val="00301B1C"/>
    <w:rsid w:val="00301E2A"/>
    <w:rsid w:val="0030233E"/>
    <w:rsid w:val="0030257B"/>
    <w:rsid w:val="00302AE9"/>
    <w:rsid w:val="00302CDC"/>
    <w:rsid w:val="0030329F"/>
    <w:rsid w:val="0030373E"/>
    <w:rsid w:val="00303C31"/>
    <w:rsid w:val="00303F81"/>
    <w:rsid w:val="00304272"/>
    <w:rsid w:val="0030549E"/>
    <w:rsid w:val="0030662C"/>
    <w:rsid w:val="00306A83"/>
    <w:rsid w:val="00306DD7"/>
    <w:rsid w:val="00306FAC"/>
    <w:rsid w:val="00307134"/>
    <w:rsid w:val="00307249"/>
    <w:rsid w:val="00307358"/>
    <w:rsid w:val="003074DD"/>
    <w:rsid w:val="00307FE9"/>
    <w:rsid w:val="0031040E"/>
    <w:rsid w:val="00310D34"/>
    <w:rsid w:val="003114B7"/>
    <w:rsid w:val="00311E71"/>
    <w:rsid w:val="003129F2"/>
    <w:rsid w:val="00312E7E"/>
    <w:rsid w:val="0031330D"/>
    <w:rsid w:val="00313C31"/>
    <w:rsid w:val="00313F27"/>
    <w:rsid w:val="003141B9"/>
    <w:rsid w:val="003143B1"/>
    <w:rsid w:val="003145FA"/>
    <w:rsid w:val="00314AEF"/>
    <w:rsid w:val="0031505E"/>
    <w:rsid w:val="00315379"/>
    <w:rsid w:val="0031566C"/>
    <w:rsid w:val="003158C8"/>
    <w:rsid w:val="0031595E"/>
    <w:rsid w:val="00315C15"/>
    <w:rsid w:val="00315F64"/>
    <w:rsid w:val="00315FAB"/>
    <w:rsid w:val="003160B5"/>
    <w:rsid w:val="00316460"/>
    <w:rsid w:val="003166CC"/>
    <w:rsid w:val="00316D20"/>
    <w:rsid w:val="00317066"/>
    <w:rsid w:val="00317232"/>
    <w:rsid w:val="0031738D"/>
    <w:rsid w:val="00317817"/>
    <w:rsid w:val="00317A39"/>
    <w:rsid w:val="00317CC3"/>
    <w:rsid w:val="0032074D"/>
    <w:rsid w:val="003207B2"/>
    <w:rsid w:val="00320874"/>
    <w:rsid w:val="00320C34"/>
    <w:rsid w:val="0032117B"/>
    <w:rsid w:val="003213E5"/>
    <w:rsid w:val="00321DDF"/>
    <w:rsid w:val="0032300A"/>
    <w:rsid w:val="00323335"/>
    <w:rsid w:val="00323739"/>
    <w:rsid w:val="00324092"/>
    <w:rsid w:val="00324256"/>
    <w:rsid w:val="003243C7"/>
    <w:rsid w:val="0032510A"/>
    <w:rsid w:val="00325566"/>
    <w:rsid w:val="003257E1"/>
    <w:rsid w:val="00325CCB"/>
    <w:rsid w:val="00326A1C"/>
    <w:rsid w:val="00327293"/>
    <w:rsid w:val="00327A19"/>
    <w:rsid w:val="00327E7A"/>
    <w:rsid w:val="003307FC"/>
    <w:rsid w:val="00330C3C"/>
    <w:rsid w:val="00330E50"/>
    <w:rsid w:val="0033117F"/>
    <w:rsid w:val="00331608"/>
    <w:rsid w:val="00332157"/>
    <w:rsid w:val="00332250"/>
    <w:rsid w:val="00332B5E"/>
    <w:rsid w:val="00333302"/>
    <w:rsid w:val="0033344A"/>
    <w:rsid w:val="00333522"/>
    <w:rsid w:val="00333BA5"/>
    <w:rsid w:val="00333E0E"/>
    <w:rsid w:val="00333E5C"/>
    <w:rsid w:val="00333F63"/>
    <w:rsid w:val="00334360"/>
    <w:rsid w:val="00334470"/>
    <w:rsid w:val="00335265"/>
    <w:rsid w:val="00335604"/>
    <w:rsid w:val="0033570A"/>
    <w:rsid w:val="003359F4"/>
    <w:rsid w:val="0033601E"/>
    <w:rsid w:val="00336871"/>
    <w:rsid w:val="00336C6D"/>
    <w:rsid w:val="00336D4C"/>
    <w:rsid w:val="003370B1"/>
    <w:rsid w:val="0033749D"/>
    <w:rsid w:val="003374B0"/>
    <w:rsid w:val="00337550"/>
    <w:rsid w:val="0033799B"/>
    <w:rsid w:val="00340035"/>
    <w:rsid w:val="00340062"/>
    <w:rsid w:val="00340662"/>
    <w:rsid w:val="003412B4"/>
    <w:rsid w:val="00341605"/>
    <w:rsid w:val="00341839"/>
    <w:rsid w:val="00341978"/>
    <w:rsid w:val="00341C71"/>
    <w:rsid w:val="00342D3B"/>
    <w:rsid w:val="00343F12"/>
    <w:rsid w:val="00344A4A"/>
    <w:rsid w:val="00345169"/>
    <w:rsid w:val="0034594E"/>
    <w:rsid w:val="00345EFE"/>
    <w:rsid w:val="00345FA2"/>
    <w:rsid w:val="00346281"/>
    <w:rsid w:val="003462FC"/>
    <w:rsid w:val="00346336"/>
    <w:rsid w:val="00346B46"/>
    <w:rsid w:val="003474B7"/>
    <w:rsid w:val="00347675"/>
    <w:rsid w:val="00347819"/>
    <w:rsid w:val="00350657"/>
    <w:rsid w:val="003512BB"/>
    <w:rsid w:val="0035195D"/>
    <w:rsid w:val="00351BC6"/>
    <w:rsid w:val="00351D9E"/>
    <w:rsid w:val="003521E2"/>
    <w:rsid w:val="00353FE5"/>
    <w:rsid w:val="0035435B"/>
    <w:rsid w:val="00354E23"/>
    <w:rsid w:val="003557F9"/>
    <w:rsid w:val="00355E1E"/>
    <w:rsid w:val="00355FFA"/>
    <w:rsid w:val="00356A0F"/>
    <w:rsid w:val="003570C2"/>
    <w:rsid w:val="00357135"/>
    <w:rsid w:val="00357251"/>
    <w:rsid w:val="0035731B"/>
    <w:rsid w:val="0035752E"/>
    <w:rsid w:val="00357940"/>
    <w:rsid w:val="0036019E"/>
    <w:rsid w:val="00360A2F"/>
    <w:rsid w:val="003617F7"/>
    <w:rsid w:val="00361EB1"/>
    <w:rsid w:val="003625B4"/>
    <w:rsid w:val="0036281E"/>
    <w:rsid w:val="00362D55"/>
    <w:rsid w:val="00363C3E"/>
    <w:rsid w:val="00363EDE"/>
    <w:rsid w:val="00363F66"/>
    <w:rsid w:val="003640A0"/>
    <w:rsid w:val="003647DB"/>
    <w:rsid w:val="003648D0"/>
    <w:rsid w:val="00365849"/>
    <w:rsid w:val="00365C45"/>
    <w:rsid w:val="00366C9E"/>
    <w:rsid w:val="00366D30"/>
    <w:rsid w:val="00366E32"/>
    <w:rsid w:val="003670BB"/>
    <w:rsid w:val="003671B8"/>
    <w:rsid w:val="003671D8"/>
    <w:rsid w:val="00367307"/>
    <w:rsid w:val="0036784F"/>
    <w:rsid w:val="00367AE4"/>
    <w:rsid w:val="003705E9"/>
    <w:rsid w:val="00370C44"/>
    <w:rsid w:val="00370D5F"/>
    <w:rsid w:val="00370E48"/>
    <w:rsid w:val="0037187B"/>
    <w:rsid w:val="003721AF"/>
    <w:rsid w:val="0037270D"/>
    <w:rsid w:val="00372848"/>
    <w:rsid w:val="00372F65"/>
    <w:rsid w:val="00373365"/>
    <w:rsid w:val="00374A5B"/>
    <w:rsid w:val="00375280"/>
    <w:rsid w:val="003752C9"/>
    <w:rsid w:val="00375369"/>
    <w:rsid w:val="003754C1"/>
    <w:rsid w:val="00375546"/>
    <w:rsid w:val="0037597E"/>
    <w:rsid w:val="003759F4"/>
    <w:rsid w:val="00375B0A"/>
    <w:rsid w:val="00375FBC"/>
    <w:rsid w:val="003760ED"/>
    <w:rsid w:val="003764FF"/>
    <w:rsid w:val="003766A7"/>
    <w:rsid w:val="003767DA"/>
    <w:rsid w:val="00376957"/>
    <w:rsid w:val="00377391"/>
    <w:rsid w:val="00377BF3"/>
    <w:rsid w:val="00377D81"/>
    <w:rsid w:val="0038056D"/>
    <w:rsid w:val="0038057D"/>
    <w:rsid w:val="003806CF"/>
    <w:rsid w:val="00380C67"/>
    <w:rsid w:val="003818CB"/>
    <w:rsid w:val="00381EEA"/>
    <w:rsid w:val="00382096"/>
    <w:rsid w:val="00382993"/>
    <w:rsid w:val="003842FD"/>
    <w:rsid w:val="00384527"/>
    <w:rsid w:val="00384594"/>
    <w:rsid w:val="003845C2"/>
    <w:rsid w:val="003846C6"/>
    <w:rsid w:val="003848E7"/>
    <w:rsid w:val="00384916"/>
    <w:rsid w:val="00384E9D"/>
    <w:rsid w:val="00384F14"/>
    <w:rsid w:val="003857FE"/>
    <w:rsid w:val="00385806"/>
    <w:rsid w:val="00386475"/>
    <w:rsid w:val="003865B7"/>
    <w:rsid w:val="0038692B"/>
    <w:rsid w:val="00386F7F"/>
    <w:rsid w:val="00387526"/>
    <w:rsid w:val="00387A3B"/>
    <w:rsid w:val="00387C3E"/>
    <w:rsid w:val="00390088"/>
    <w:rsid w:val="00390108"/>
    <w:rsid w:val="00390390"/>
    <w:rsid w:val="00390C83"/>
    <w:rsid w:val="00391412"/>
    <w:rsid w:val="00391FB4"/>
    <w:rsid w:val="003921B8"/>
    <w:rsid w:val="00392238"/>
    <w:rsid w:val="003927DB"/>
    <w:rsid w:val="00392CF2"/>
    <w:rsid w:val="00393491"/>
    <w:rsid w:val="00393A7D"/>
    <w:rsid w:val="00393FFF"/>
    <w:rsid w:val="0039408F"/>
    <w:rsid w:val="003944F5"/>
    <w:rsid w:val="00395093"/>
    <w:rsid w:val="00395546"/>
    <w:rsid w:val="00395611"/>
    <w:rsid w:val="00395BF9"/>
    <w:rsid w:val="00396743"/>
    <w:rsid w:val="00396C84"/>
    <w:rsid w:val="0039703F"/>
    <w:rsid w:val="0039714E"/>
    <w:rsid w:val="0039730B"/>
    <w:rsid w:val="00397315"/>
    <w:rsid w:val="00397608"/>
    <w:rsid w:val="003978A0"/>
    <w:rsid w:val="00397AC2"/>
    <w:rsid w:val="00397BC2"/>
    <w:rsid w:val="00397C8E"/>
    <w:rsid w:val="003A010F"/>
    <w:rsid w:val="003A0584"/>
    <w:rsid w:val="003A11BA"/>
    <w:rsid w:val="003A13D2"/>
    <w:rsid w:val="003A13FC"/>
    <w:rsid w:val="003A14BC"/>
    <w:rsid w:val="003A16CD"/>
    <w:rsid w:val="003A186F"/>
    <w:rsid w:val="003A1B0D"/>
    <w:rsid w:val="003A1BD3"/>
    <w:rsid w:val="003A1FB4"/>
    <w:rsid w:val="003A21DE"/>
    <w:rsid w:val="003A2915"/>
    <w:rsid w:val="003A383D"/>
    <w:rsid w:val="003A390D"/>
    <w:rsid w:val="003A399B"/>
    <w:rsid w:val="003A3C00"/>
    <w:rsid w:val="003A3D53"/>
    <w:rsid w:val="003A3D92"/>
    <w:rsid w:val="003A471A"/>
    <w:rsid w:val="003A47AA"/>
    <w:rsid w:val="003A4832"/>
    <w:rsid w:val="003A49DC"/>
    <w:rsid w:val="003A4EAD"/>
    <w:rsid w:val="003A5AA2"/>
    <w:rsid w:val="003A5D16"/>
    <w:rsid w:val="003A5FC7"/>
    <w:rsid w:val="003A600F"/>
    <w:rsid w:val="003A6D60"/>
    <w:rsid w:val="003A723D"/>
    <w:rsid w:val="003A77AD"/>
    <w:rsid w:val="003A7965"/>
    <w:rsid w:val="003A7A33"/>
    <w:rsid w:val="003B0155"/>
    <w:rsid w:val="003B052F"/>
    <w:rsid w:val="003B1382"/>
    <w:rsid w:val="003B1DBA"/>
    <w:rsid w:val="003B1F25"/>
    <w:rsid w:val="003B2086"/>
    <w:rsid w:val="003B2706"/>
    <w:rsid w:val="003B2953"/>
    <w:rsid w:val="003B297C"/>
    <w:rsid w:val="003B2ECF"/>
    <w:rsid w:val="003B390B"/>
    <w:rsid w:val="003B3E8F"/>
    <w:rsid w:val="003B402E"/>
    <w:rsid w:val="003B43B9"/>
    <w:rsid w:val="003B47DE"/>
    <w:rsid w:val="003B4822"/>
    <w:rsid w:val="003B4AD3"/>
    <w:rsid w:val="003B58BA"/>
    <w:rsid w:val="003B5956"/>
    <w:rsid w:val="003B5DCB"/>
    <w:rsid w:val="003B5E3B"/>
    <w:rsid w:val="003B5FFE"/>
    <w:rsid w:val="003B6154"/>
    <w:rsid w:val="003B6170"/>
    <w:rsid w:val="003B63DB"/>
    <w:rsid w:val="003B6761"/>
    <w:rsid w:val="003B6D28"/>
    <w:rsid w:val="003B733A"/>
    <w:rsid w:val="003B7601"/>
    <w:rsid w:val="003B79B0"/>
    <w:rsid w:val="003B7AB3"/>
    <w:rsid w:val="003B7BC3"/>
    <w:rsid w:val="003B7BC8"/>
    <w:rsid w:val="003C00ED"/>
    <w:rsid w:val="003C035F"/>
    <w:rsid w:val="003C0419"/>
    <w:rsid w:val="003C0534"/>
    <w:rsid w:val="003C0CFA"/>
    <w:rsid w:val="003C0DD2"/>
    <w:rsid w:val="003C0E94"/>
    <w:rsid w:val="003C0F1D"/>
    <w:rsid w:val="003C0FB8"/>
    <w:rsid w:val="003C1158"/>
    <w:rsid w:val="003C1BDD"/>
    <w:rsid w:val="003C1F10"/>
    <w:rsid w:val="003C205C"/>
    <w:rsid w:val="003C20D1"/>
    <w:rsid w:val="003C288E"/>
    <w:rsid w:val="003C2A40"/>
    <w:rsid w:val="003C2BAD"/>
    <w:rsid w:val="003C3352"/>
    <w:rsid w:val="003C36F6"/>
    <w:rsid w:val="003C38AF"/>
    <w:rsid w:val="003C39D0"/>
    <w:rsid w:val="003C420D"/>
    <w:rsid w:val="003C42BA"/>
    <w:rsid w:val="003C47D0"/>
    <w:rsid w:val="003C4936"/>
    <w:rsid w:val="003C4937"/>
    <w:rsid w:val="003C4BCC"/>
    <w:rsid w:val="003C4DCB"/>
    <w:rsid w:val="003C6323"/>
    <w:rsid w:val="003C6AC0"/>
    <w:rsid w:val="003C6BBC"/>
    <w:rsid w:val="003C6F83"/>
    <w:rsid w:val="003C724A"/>
    <w:rsid w:val="003C7DE3"/>
    <w:rsid w:val="003D03E7"/>
    <w:rsid w:val="003D042E"/>
    <w:rsid w:val="003D05EA"/>
    <w:rsid w:val="003D0B68"/>
    <w:rsid w:val="003D134D"/>
    <w:rsid w:val="003D13C3"/>
    <w:rsid w:val="003D1F15"/>
    <w:rsid w:val="003D216A"/>
    <w:rsid w:val="003D2B0D"/>
    <w:rsid w:val="003D35BD"/>
    <w:rsid w:val="003D3FAC"/>
    <w:rsid w:val="003D4110"/>
    <w:rsid w:val="003D498E"/>
    <w:rsid w:val="003D4B97"/>
    <w:rsid w:val="003D4F5F"/>
    <w:rsid w:val="003D509B"/>
    <w:rsid w:val="003D50F2"/>
    <w:rsid w:val="003D5B23"/>
    <w:rsid w:val="003D5BF1"/>
    <w:rsid w:val="003D5DBC"/>
    <w:rsid w:val="003D6627"/>
    <w:rsid w:val="003D6783"/>
    <w:rsid w:val="003D6979"/>
    <w:rsid w:val="003D700B"/>
    <w:rsid w:val="003D7247"/>
    <w:rsid w:val="003E0224"/>
    <w:rsid w:val="003E0790"/>
    <w:rsid w:val="003E1025"/>
    <w:rsid w:val="003E15A8"/>
    <w:rsid w:val="003E1A28"/>
    <w:rsid w:val="003E1BB6"/>
    <w:rsid w:val="003E271F"/>
    <w:rsid w:val="003E2B3B"/>
    <w:rsid w:val="003E31C1"/>
    <w:rsid w:val="003E34D8"/>
    <w:rsid w:val="003E3606"/>
    <w:rsid w:val="003E438B"/>
    <w:rsid w:val="003E47FC"/>
    <w:rsid w:val="003E48DE"/>
    <w:rsid w:val="003E4A00"/>
    <w:rsid w:val="003E512E"/>
    <w:rsid w:val="003E5DF3"/>
    <w:rsid w:val="003E606B"/>
    <w:rsid w:val="003E60D6"/>
    <w:rsid w:val="003E66A9"/>
    <w:rsid w:val="003E68C8"/>
    <w:rsid w:val="003E6BB5"/>
    <w:rsid w:val="003E6F8E"/>
    <w:rsid w:val="003E708C"/>
    <w:rsid w:val="003E72DC"/>
    <w:rsid w:val="003E7463"/>
    <w:rsid w:val="003E76E9"/>
    <w:rsid w:val="003E7930"/>
    <w:rsid w:val="003E7E63"/>
    <w:rsid w:val="003F02D0"/>
    <w:rsid w:val="003F04A4"/>
    <w:rsid w:val="003F0E1F"/>
    <w:rsid w:val="003F0ED1"/>
    <w:rsid w:val="003F1B30"/>
    <w:rsid w:val="003F21C5"/>
    <w:rsid w:val="003F2246"/>
    <w:rsid w:val="003F2C9F"/>
    <w:rsid w:val="003F2F43"/>
    <w:rsid w:val="003F312A"/>
    <w:rsid w:val="003F3371"/>
    <w:rsid w:val="003F3B89"/>
    <w:rsid w:val="003F3C45"/>
    <w:rsid w:val="003F41EB"/>
    <w:rsid w:val="003F4491"/>
    <w:rsid w:val="003F497E"/>
    <w:rsid w:val="003F4CCC"/>
    <w:rsid w:val="003F50B2"/>
    <w:rsid w:val="003F532A"/>
    <w:rsid w:val="003F5990"/>
    <w:rsid w:val="003F636A"/>
    <w:rsid w:val="003F67CC"/>
    <w:rsid w:val="00400A98"/>
    <w:rsid w:val="00400A9F"/>
    <w:rsid w:val="0040148A"/>
    <w:rsid w:val="00401559"/>
    <w:rsid w:val="00401B55"/>
    <w:rsid w:val="00401D13"/>
    <w:rsid w:val="0040345E"/>
    <w:rsid w:val="00403BA3"/>
    <w:rsid w:val="00403E19"/>
    <w:rsid w:val="00404430"/>
    <w:rsid w:val="00404863"/>
    <w:rsid w:val="00404AEF"/>
    <w:rsid w:val="00404FD6"/>
    <w:rsid w:val="00405385"/>
    <w:rsid w:val="0040539B"/>
    <w:rsid w:val="0040549B"/>
    <w:rsid w:val="00405912"/>
    <w:rsid w:val="00405CC2"/>
    <w:rsid w:val="00405E13"/>
    <w:rsid w:val="0040659A"/>
    <w:rsid w:val="00406947"/>
    <w:rsid w:val="00406C35"/>
    <w:rsid w:val="00406CC4"/>
    <w:rsid w:val="00407CBB"/>
    <w:rsid w:val="0041029C"/>
    <w:rsid w:val="00410961"/>
    <w:rsid w:val="00410C94"/>
    <w:rsid w:val="00410E87"/>
    <w:rsid w:val="00411B86"/>
    <w:rsid w:val="00411D1A"/>
    <w:rsid w:val="00412636"/>
    <w:rsid w:val="004129F0"/>
    <w:rsid w:val="00412C7E"/>
    <w:rsid w:val="00412E76"/>
    <w:rsid w:val="00413005"/>
    <w:rsid w:val="00413893"/>
    <w:rsid w:val="00413D02"/>
    <w:rsid w:val="00413DD9"/>
    <w:rsid w:val="004144D3"/>
    <w:rsid w:val="004146FD"/>
    <w:rsid w:val="00414A31"/>
    <w:rsid w:val="00414B49"/>
    <w:rsid w:val="00415267"/>
    <w:rsid w:val="0041534F"/>
    <w:rsid w:val="00415A6A"/>
    <w:rsid w:val="00415E1C"/>
    <w:rsid w:val="00415E5D"/>
    <w:rsid w:val="00416015"/>
    <w:rsid w:val="004160D9"/>
    <w:rsid w:val="00416299"/>
    <w:rsid w:val="00416570"/>
    <w:rsid w:val="0041679A"/>
    <w:rsid w:val="00416D22"/>
    <w:rsid w:val="00416D3D"/>
    <w:rsid w:val="00416E55"/>
    <w:rsid w:val="00417216"/>
    <w:rsid w:val="004177AC"/>
    <w:rsid w:val="00417ADE"/>
    <w:rsid w:val="00417AE6"/>
    <w:rsid w:val="00417D22"/>
    <w:rsid w:val="00417D4B"/>
    <w:rsid w:val="00417E30"/>
    <w:rsid w:val="0042023B"/>
    <w:rsid w:val="0042066C"/>
    <w:rsid w:val="00420C53"/>
    <w:rsid w:val="00421256"/>
    <w:rsid w:val="00421A5C"/>
    <w:rsid w:val="00421A69"/>
    <w:rsid w:val="0042213A"/>
    <w:rsid w:val="00422425"/>
    <w:rsid w:val="004226C8"/>
    <w:rsid w:val="0042271F"/>
    <w:rsid w:val="00422757"/>
    <w:rsid w:val="004227B7"/>
    <w:rsid w:val="00422819"/>
    <w:rsid w:val="00422998"/>
    <w:rsid w:val="00423042"/>
    <w:rsid w:val="004230D2"/>
    <w:rsid w:val="004231A7"/>
    <w:rsid w:val="00423B18"/>
    <w:rsid w:val="00423BF9"/>
    <w:rsid w:val="0042430C"/>
    <w:rsid w:val="0042462F"/>
    <w:rsid w:val="004246D4"/>
    <w:rsid w:val="00424889"/>
    <w:rsid w:val="00424FC0"/>
    <w:rsid w:val="004253C5"/>
    <w:rsid w:val="00425476"/>
    <w:rsid w:val="004256E1"/>
    <w:rsid w:val="004257AC"/>
    <w:rsid w:val="00425946"/>
    <w:rsid w:val="00425D9D"/>
    <w:rsid w:val="00426451"/>
    <w:rsid w:val="0042648E"/>
    <w:rsid w:val="00426A46"/>
    <w:rsid w:val="00426C55"/>
    <w:rsid w:val="00427086"/>
    <w:rsid w:val="00427563"/>
    <w:rsid w:val="0042778A"/>
    <w:rsid w:val="004278D7"/>
    <w:rsid w:val="00430150"/>
    <w:rsid w:val="00430A22"/>
    <w:rsid w:val="00430E1D"/>
    <w:rsid w:val="00431060"/>
    <w:rsid w:val="004313C1"/>
    <w:rsid w:val="00431941"/>
    <w:rsid w:val="00432077"/>
    <w:rsid w:val="00432748"/>
    <w:rsid w:val="004330B3"/>
    <w:rsid w:val="00433713"/>
    <w:rsid w:val="00433FC9"/>
    <w:rsid w:val="00434211"/>
    <w:rsid w:val="0043426C"/>
    <w:rsid w:val="004343F7"/>
    <w:rsid w:val="0043476E"/>
    <w:rsid w:val="004349D7"/>
    <w:rsid w:val="004357ED"/>
    <w:rsid w:val="00435A20"/>
    <w:rsid w:val="00435F6B"/>
    <w:rsid w:val="00436132"/>
    <w:rsid w:val="0043675E"/>
    <w:rsid w:val="0043685C"/>
    <w:rsid w:val="00436F6B"/>
    <w:rsid w:val="00437572"/>
    <w:rsid w:val="00437BE1"/>
    <w:rsid w:val="00437DDB"/>
    <w:rsid w:val="00440146"/>
    <w:rsid w:val="0044034D"/>
    <w:rsid w:val="0044038A"/>
    <w:rsid w:val="004409CD"/>
    <w:rsid w:val="00441E78"/>
    <w:rsid w:val="00442101"/>
    <w:rsid w:val="00442D4D"/>
    <w:rsid w:val="0044311E"/>
    <w:rsid w:val="00443FF1"/>
    <w:rsid w:val="004448F2"/>
    <w:rsid w:val="00444C21"/>
    <w:rsid w:val="00444EFD"/>
    <w:rsid w:val="00445055"/>
    <w:rsid w:val="00445A21"/>
    <w:rsid w:val="004464B5"/>
    <w:rsid w:val="0044704B"/>
    <w:rsid w:val="0044786F"/>
    <w:rsid w:val="00447C73"/>
    <w:rsid w:val="00450C33"/>
    <w:rsid w:val="00451099"/>
    <w:rsid w:val="004519F1"/>
    <w:rsid w:val="00451A88"/>
    <w:rsid w:val="004529B7"/>
    <w:rsid w:val="004536E2"/>
    <w:rsid w:val="004537BC"/>
    <w:rsid w:val="00453882"/>
    <w:rsid w:val="00453C0D"/>
    <w:rsid w:val="00453CAD"/>
    <w:rsid w:val="00454C62"/>
    <w:rsid w:val="004550C0"/>
    <w:rsid w:val="004555B8"/>
    <w:rsid w:val="00455C0A"/>
    <w:rsid w:val="00455CD9"/>
    <w:rsid w:val="00456BDB"/>
    <w:rsid w:val="0045714C"/>
    <w:rsid w:val="004576FF"/>
    <w:rsid w:val="00457F3C"/>
    <w:rsid w:val="00460341"/>
    <w:rsid w:val="00460CD7"/>
    <w:rsid w:val="00460E04"/>
    <w:rsid w:val="004611E2"/>
    <w:rsid w:val="004618C9"/>
    <w:rsid w:val="00461B14"/>
    <w:rsid w:val="00461D7A"/>
    <w:rsid w:val="00462A6C"/>
    <w:rsid w:val="00462B95"/>
    <w:rsid w:val="00462D19"/>
    <w:rsid w:val="004637AE"/>
    <w:rsid w:val="00463C27"/>
    <w:rsid w:val="00463C7A"/>
    <w:rsid w:val="0046414F"/>
    <w:rsid w:val="004642C7"/>
    <w:rsid w:val="004643A1"/>
    <w:rsid w:val="00464DCE"/>
    <w:rsid w:val="00465117"/>
    <w:rsid w:val="00465219"/>
    <w:rsid w:val="0046573E"/>
    <w:rsid w:val="00465AF8"/>
    <w:rsid w:val="004660BC"/>
    <w:rsid w:val="004661F9"/>
    <w:rsid w:val="0046633C"/>
    <w:rsid w:val="00466419"/>
    <w:rsid w:val="0046643D"/>
    <w:rsid w:val="004676A7"/>
    <w:rsid w:val="0046797F"/>
    <w:rsid w:val="00467DC7"/>
    <w:rsid w:val="00467F1D"/>
    <w:rsid w:val="00467FAC"/>
    <w:rsid w:val="0047032C"/>
    <w:rsid w:val="00470377"/>
    <w:rsid w:val="004706DC"/>
    <w:rsid w:val="00470D03"/>
    <w:rsid w:val="00470EB8"/>
    <w:rsid w:val="00470F3C"/>
    <w:rsid w:val="0047132D"/>
    <w:rsid w:val="0047158F"/>
    <w:rsid w:val="00471A19"/>
    <w:rsid w:val="00472208"/>
    <w:rsid w:val="0047223B"/>
    <w:rsid w:val="0047264B"/>
    <w:rsid w:val="004727CD"/>
    <w:rsid w:val="00472896"/>
    <w:rsid w:val="00472933"/>
    <w:rsid w:val="004729A2"/>
    <w:rsid w:val="00472D15"/>
    <w:rsid w:val="004738E8"/>
    <w:rsid w:val="00473C0B"/>
    <w:rsid w:val="00473DEF"/>
    <w:rsid w:val="00473E20"/>
    <w:rsid w:val="00473F5B"/>
    <w:rsid w:val="00474381"/>
    <w:rsid w:val="004744A2"/>
    <w:rsid w:val="00475098"/>
    <w:rsid w:val="00475B16"/>
    <w:rsid w:val="004763BD"/>
    <w:rsid w:val="004768D1"/>
    <w:rsid w:val="00476F0B"/>
    <w:rsid w:val="00476F62"/>
    <w:rsid w:val="00477759"/>
    <w:rsid w:val="004777BB"/>
    <w:rsid w:val="00477999"/>
    <w:rsid w:val="00477B13"/>
    <w:rsid w:val="00477C85"/>
    <w:rsid w:val="00477D79"/>
    <w:rsid w:val="00477F38"/>
    <w:rsid w:val="00477F4C"/>
    <w:rsid w:val="0048042D"/>
    <w:rsid w:val="00480665"/>
    <w:rsid w:val="004806DB"/>
    <w:rsid w:val="00480727"/>
    <w:rsid w:val="00480E68"/>
    <w:rsid w:val="00480F95"/>
    <w:rsid w:val="00482593"/>
    <w:rsid w:val="004826D6"/>
    <w:rsid w:val="00482E9C"/>
    <w:rsid w:val="00483522"/>
    <w:rsid w:val="00483796"/>
    <w:rsid w:val="00484025"/>
    <w:rsid w:val="00484C36"/>
    <w:rsid w:val="0048503C"/>
    <w:rsid w:val="004859E9"/>
    <w:rsid w:val="00485A73"/>
    <w:rsid w:val="00485E6D"/>
    <w:rsid w:val="00485E74"/>
    <w:rsid w:val="0048674A"/>
    <w:rsid w:val="00487E2B"/>
    <w:rsid w:val="00490004"/>
    <w:rsid w:val="0049058C"/>
    <w:rsid w:val="00490D06"/>
    <w:rsid w:val="004915E5"/>
    <w:rsid w:val="00491682"/>
    <w:rsid w:val="00492CB0"/>
    <w:rsid w:val="00493480"/>
    <w:rsid w:val="004934F6"/>
    <w:rsid w:val="004936D2"/>
    <w:rsid w:val="00493DA2"/>
    <w:rsid w:val="00494053"/>
    <w:rsid w:val="0049435F"/>
    <w:rsid w:val="00494F75"/>
    <w:rsid w:val="004955F8"/>
    <w:rsid w:val="00495DA1"/>
    <w:rsid w:val="00496488"/>
    <w:rsid w:val="00496B65"/>
    <w:rsid w:val="0049728A"/>
    <w:rsid w:val="004A00EB"/>
    <w:rsid w:val="004A066B"/>
    <w:rsid w:val="004A0A6E"/>
    <w:rsid w:val="004A17E0"/>
    <w:rsid w:val="004A1987"/>
    <w:rsid w:val="004A1A9D"/>
    <w:rsid w:val="004A20DA"/>
    <w:rsid w:val="004A2749"/>
    <w:rsid w:val="004A2785"/>
    <w:rsid w:val="004A2921"/>
    <w:rsid w:val="004A2E17"/>
    <w:rsid w:val="004A3147"/>
    <w:rsid w:val="004A36A4"/>
    <w:rsid w:val="004A37D5"/>
    <w:rsid w:val="004A3A04"/>
    <w:rsid w:val="004A3D3E"/>
    <w:rsid w:val="004A3FAD"/>
    <w:rsid w:val="004A4EA7"/>
    <w:rsid w:val="004A5742"/>
    <w:rsid w:val="004A64FE"/>
    <w:rsid w:val="004A6DDC"/>
    <w:rsid w:val="004A7637"/>
    <w:rsid w:val="004A798B"/>
    <w:rsid w:val="004A7D1E"/>
    <w:rsid w:val="004B04D2"/>
    <w:rsid w:val="004B055D"/>
    <w:rsid w:val="004B07F0"/>
    <w:rsid w:val="004B0B20"/>
    <w:rsid w:val="004B0E75"/>
    <w:rsid w:val="004B1430"/>
    <w:rsid w:val="004B1A74"/>
    <w:rsid w:val="004B1D6E"/>
    <w:rsid w:val="004B20AF"/>
    <w:rsid w:val="004B21D2"/>
    <w:rsid w:val="004B22C4"/>
    <w:rsid w:val="004B2300"/>
    <w:rsid w:val="004B2853"/>
    <w:rsid w:val="004B286B"/>
    <w:rsid w:val="004B2E59"/>
    <w:rsid w:val="004B3420"/>
    <w:rsid w:val="004B3574"/>
    <w:rsid w:val="004B3BE3"/>
    <w:rsid w:val="004B3F2B"/>
    <w:rsid w:val="004B492A"/>
    <w:rsid w:val="004B4DEF"/>
    <w:rsid w:val="004B4FE7"/>
    <w:rsid w:val="004B5802"/>
    <w:rsid w:val="004B5810"/>
    <w:rsid w:val="004B5843"/>
    <w:rsid w:val="004B589C"/>
    <w:rsid w:val="004B5900"/>
    <w:rsid w:val="004B5F02"/>
    <w:rsid w:val="004B68C1"/>
    <w:rsid w:val="004B6ED4"/>
    <w:rsid w:val="004B79C9"/>
    <w:rsid w:val="004B7E06"/>
    <w:rsid w:val="004C0153"/>
    <w:rsid w:val="004C03D0"/>
    <w:rsid w:val="004C0E65"/>
    <w:rsid w:val="004C1D24"/>
    <w:rsid w:val="004C1F6B"/>
    <w:rsid w:val="004C2217"/>
    <w:rsid w:val="004C23FA"/>
    <w:rsid w:val="004C2464"/>
    <w:rsid w:val="004C276E"/>
    <w:rsid w:val="004C2AA7"/>
    <w:rsid w:val="004C2DF9"/>
    <w:rsid w:val="004C3658"/>
    <w:rsid w:val="004C3D7D"/>
    <w:rsid w:val="004C4FFF"/>
    <w:rsid w:val="004C53B0"/>
    <w:rsid w:val="004C53F2"/>
    <w:rsid w:val="004C57E7"/>
    <w:rsid w:val="004C5A61"/>
    <w:rsid w:val="004C6043"/>
    <w:rsid w:val="004C61B2"/>
    <w:rsid w:val="004C630A"/>
    <w:rsid w:val="004C645E"/>
    <w:rsid w:val="004C6519"/>
    <w:rsid w:val="004C682B"/>
    <w:rsid w:val="004C68B4"/>
    <w:rsid w:val="004C6C49"/>
    <w:rsid w:val="004C6FA3"/>
    <w:rsid w:val="004C74E8"/>
    <w:rsid w:val="004C7A57"/>
    <w:rsid w:val="004D0954"/>
    <w:rsid w:val="004D0A16"/>
    <w:rsid w:val="004D0CB1"/>
    <w:rsid w:val="004D0F84"/>
    <w:rsid w:val="004D1248"/>
    <w:rsid w:val="004D140F"/>
    <w:rsid w:val="004D16E8"/>
    <w:rsid w:val="004D18F1"/>
    <w:rsid w:val="004D1D31"/>
    <w:rsid w:val="004D26B0"/>
    <w:rsid w:val="004D3EE8"/>
    <w:rsid w:val="004D42BB"/>
    <w:rsid w:val="004D48FF"/>
    <w:rsid w:val="004D49CB"/>
    <w:rsid w:val="004D4D9A"/>
    <w:rsid w:val="004D520C"/>
    <w:rsid w:val="004D55B7"/>
    <w:rsid w:val="004D55FB"/>
    <w:rsid w:val="004D58A7"/>
    <w:rsid w:val="004D5ADD"/>
    <w:rsid w:val="004D5B1A"/>
    <w:rsid w:val="004D5E69"/>
    <w:rsid w:val="004D6783"/>
    <w:rsid w:val="004D6CB0"/>
    <w:rsid w:val="004D6EE1"/>
    <w:rsid w:val="004D74F6"/>
    <w:rsid w:val="004D7AC7"/>
    <w:rsid w:val="004D7F7E"/>
    <w:rsid w:val="004E073A"/>
    <w:rsid w:val="004E0877"/>
    <w:rsid w:val="004E08F5"/>
    <w:rsid w:val="004E0A9E"/>
    <w:rsid w:val="004E149F"/>
    <w:rsid w:val="004E1F97"/>
    <w:rsid w:val="004E2544"/>
    <w:rsid w:val="004E2662"/>
    <w:rsid w:val="004E36D3"/>
    <w:rsid w:val="004E3994"/>
    <w:rsid w:val="004E3E09"/>
    <w:rsid w:val="004E3F3F"/>
    <w:rsid w:val="004E4220"/>
    <w:rsid w:val="004E4FA0"/>
    <w:rsid w:val="004E58D5"/>
    <w:rsid w:val="004E5D8B"/>
    <w:rsid w:val="004E5E8E"/>
    <w:rsid w:val="004E6197"/>
    <w:rsid w:val="004E6248"/>
    <w:rsid w:val="004E63CC"/>
    <w:rsid w:val="004E6D65"/>
    <w:rsid w:val="004E6FD5"/>
    <w:rsid w:val="004E74E2"/>
    <w:rsid w:val="004E7626"/>
    <w:rsid w:val="004E797C"/>
    <w:rsid w:val="004F0364"/>
    <w:rsid w:val="004F0467"/>
    <w:rsid w:val="004F0470"/>
    <w:rsid w:val="004F0957"/>
    <w:rsid w:val="004F0A75"/>
    <w:rsid w:val="004F0BB5"/>
    <w:rsid w:val="004F0F37"/>
    <w:rsid w:val="004F157B"/>
    <w:rsid w:val="004F1A83"/>
    <w:rsid w:val="004F1B02"/>
    <w:rsid w:val="004F1FF1"/>
    <w:rsid w:val="004F2217"/>
    <w:rsid w:val="004F2536"/>
    <w:rsid w:val="004F3F7E"/>
    <w:rsid w:val="004F4606"/>
    <w:rsid w:val="004F4B05"/>
    <w:rsid w:val="004F598C"/>
    <w:rsid w:val="004F6140"/>
    <w:rsid w:val="004F61FE"/>
    <w:rsid w:val="004F659B"/>
    <w:rsid w:val="004F6B73"/>
    <w:rsid w:val="004F7644"/>
    <w:rsid w:val="004F777E"/>
    <w:rsid w:val="004F77B2"/>
    <w:rsid w:val="004F77C7"/>
    <w:rsid w:val="004F78B4"/>
    <w:rsid w:val="00500BA0"/>
    <w:rsid w:val="00500EC1"/>
    <w:rsid w:val="00501729"/>
    <w:rsid w:val="005018AF"/>
    <w:rsid w:val="00502286"/>
    <w:rsid w:val="0050248A"/>
    <w:rsid w:val="0050256C"/>
    <w:rsid w:val="00502D11"/>
    <w:rsid w:val="00502F57"/>
    <w:rsid w:val="00503105"/>
    <w:rsid w:val="005033A1"/>
    <w:rsid w:val="005035B3"/>
    <w:rsid w:val="0050377D"/>
    <w:rsid w:val="00504338"/>
    <w:rsid w:val="00504512"/>
    <w:rsid w:val="00504604"/>
    <w:rsid w:val="00504661"/>
    <w:rsid w:val="00504959"/>
    <w:rsid w:val="0050497E"/>
    <w:rsid w:val="00504A22"/>
    <w:rsid w:val="0050545B"/>
    <w:rsid w:val="00505929"/>
    <w:rsid w:val="00505C6E"/>
    <w:rsid w:val="00505E57"/>
    <w:rsid w:val="00506156"/>
    <w:rsid w:val="00506613"/>
    <w:rsid w:val="005066E7"/>
    <w:rsid w:val="005069C1"/>
    <w:rsid w:val="0050737A"/>
    <w:rsid w:val="005074BF"/>
    <w:rsid w:val="0050795F"/>
    <w:rsid w:val="00507A5A"/>
    <w:rsid w:val="0051049C"/>
    <w:rsid w:val="00510B2A"/>
    <w:rsid w:val="00511048"/>
    <w:rsid w:val="005111EE"/>
    <w:rsid w:val="0051169C"/>
    <w:rsid w:val="005123C1"/>
    <w:rsid w:val="005124DC"/>
    <w:rsid w:val="0051254D"/>
    <w:rsid w:val="00512981"/>
    <w:rsid w:val="00512B3C"/>
    <w:rsid w:val="00512C4A"/>
    <w:rsid w:val="00512EAF"/>
    <w:rsid w:val="0051334E"/>
    <w:rsid w:val="00513599"/>
    <w:rsid w:val="005135C3"/>
    <w:rsid w:val="00513672"/>
    <w:rsid w:val="00513805"/>
    <w:rsid w:val="00513A6C"/>
    <w:rsid w:val="0051476C"/>
    <w:rsid w:val="00514A59"/>
    <w:rsid w:val="00515D7A"/>
    <w:rsid w:val="0051620E"/>
    <w:rsid w:val="005165FF"/>
    <w:rsid w:val="00516B92"/>
    <w:rsid w:val="0051705A"/>
    <w:rsid w:val="00517280"/>
    <w:rsid w:val="0051737B"/>
    <w:rsid w:val="005175D4"/>
    <w:rsid w:val="005176A1"/>
    <w:rsid w:val="00517762"/>
    <w:rsid w:val="00517D29"/>
    <w:rsid w:val="00520645"/>
    <w:rsid w:val="00520648"/>
    <w:rsid w:val="005209F7"/>
    <w:rsid w:val="00520C77"/>
    <w:rsid w:val="00520DE6"/>
    <w:rsid w:val="0052134E"/>
    <w:rsid w:val="00521674"/>
    <w:rsid w:val="00521867"/>
    <w:rsid w:val="00521AA0"/>
    <w:rsid w:val="00521CCC"/>
    <w:rsid w:val="00522780"/>
    <w:rsid w:val="00523335"/>
    <w:rsid w:val="005233E9"/>
    <w:rsid w:val="005238A2"/>
    <w:rsid w:val="00523CDB"/>
    <w:rsid w:val="0052407B"/>
    <w:rsid w:val="005244E9"/>
    <w:rsid w:val="00524914"/>
    <w:rsid w:val="005256FF"/>
    <w:rsid w:val="00525C56"/>
    <w:rsid w:val="00525E21"/>
    <w:rsid w:val="00526369"/>
    <w:rsid w:val="00526417"/>
    <w:rsid w:val="00526A0D"/>
    <w:rsid w:val="00526C0B"/>
    <w:rsid w:val="00526D5F"/>
    <w:rsid w:val="005275DD"/>
    <w:rsid w:val="00527880"/>
    <w:rsid w:val="00527E18"/>
    <w:rsid w:val="00527F8A"/>
    <w:rsid w:val="00527FEC"/>
    <w:rsid w:val="005305BD"/>
    <w:rsid w:val="00531033"/>
    <w:rsid w:val="005310C1"/>
    <w:rsid w:val="0053111E"/>
    <w:rsid w:val="005325B6"/>
    <w:rsid w:val="00532F05"/>
    <w:rsid w:val="0053371B"/>
    <w:rsid w:val="00533830"/>
    <w:rsid w:val="005338F3"/>
    <w:rsid w:val="00534998"/>
    <w:rsid w:val="00534BD5"/>
    <w:rsid w:val="00535062"/>
    <w:rsid w:val="00535594"/>
    <w:rsid w:val="005356A9"/>
    <w:rsid w:val="00535713"/>
    <w:rsid w:val="00535C92"/>
    <w:rsid w:val="0053609B"/>
    <w:rsid w:val="00537A6E"/>
    <w:rsid w:val="00537FF2"/>
    <w:rsid w:val="00540637"/>
    <w:rsid w:val="00540D5F"/>
    <w:rsid w:val="00540D8C"/>
    <w:rsid w:val="00540DF2"/>
    <w:rsid w:val="005411B6"/>
    <w:rsid w:val="00541396"/>
    <w:rsid w:val="00541A6C"/>
    <w:rsid w:val="00541A84"/>
    <w:rsid w:val="0054244E"/>
    <w:rsid w:val="005427DA"/>
    <w:rsid w:val="005428D3"/>
    <w:rsid w:val="0054299B"/>
    <w:rsid w:val="00542DB3"/>
    <w:rsid w:val="005430F1"/>
    <w:rsid w:val="00543389"/>
    <w:rsid w:val="005434F6"/>
    <w:rsid w:val="00543CDE"/>
    <w:rsid w:val="00543ECA"/>
    <w:rsid w:val="005447CE"/>
    <w:rsid w:val="005447E0"/>
    <w:rsid w:val="005448FF"/>
    <w:rsid w:val="00544C7B"/>
    <w:rsid w:val="0054561E"/>
    <w:rsid w:val="0054564B"/>
    <w:rsid w:val="0054644E"/>
    <w:rsid w:val="00546578"/>
    <w:rsid w:val="00546A41"/>
    <w:rsid w:val="00546DFF"/>
    <w:rsid w:val="00547852"/>
    <w:rsid w:val="00547D40"/>
    <w:rsid w:val="00547EF6"/>
    <w:rsid w:val="00550BCA"/>
    <w:rsid w:val="00550FC4"/>
    <w:rsid w:val="005511D9"/>
    <w:rsid w:val="00551374"/>
    <w:rsid w:val="00551A91"/>
    <w:rsid w:val="00551EAC"/>
    <w:rsid w:val="0055209F"/>
    <w:rsid w:val="00552BA9"/>
    <w:rsid w:val="00552CCA"/>
    <w:rsid w:val="0055393B"/>
    <w:rsid w:val="00553F22"/>
    <w:rsid w:val="00554836"/>
    <w:rsid w:val="00554988"/>
    <w:rsid w:val="00554C6F"/>
    <w:rsid w:val="005551CB"/>
    <w:rsid w:val="00555DF1"/>
    <w:rsid w:val="005562F8"/>
    <w:rsid w:val="00556386"/>
    <w:rsid w:val="00556732"/>
    <w:rsid w:val="00557215"/>
    <w:rsid w:val="005576C6"/>
    <w:rsid w:val="00560242"/>
    <w:rsid w:val="005602DE"/>
    <w:rsid w:val="005602F4"/>
    <w:rsid w:val="005605C8"/>
    <w:rsid w:val="00560C16"/>
    <w:rsid w:val="00560CD4"/>
    <w:rsid w:val="00560ECA"/>
    <w:rsid w:val="005612EA"/>
    <w:rsid w:val="005613C8"/>
    <w:rsid w:val="00561A33"/>
    <w:rsid w:val="00561B0E"/>
    <w:rsid w:val="00561CBB"/>
    <w:rsid w:val="00561EEA"/>
    <w:rsid w:val="0056256C"/>
    <w:rsid w:val="00562867"/>
    <w:rsid w:val="00562AF5"/>
    <w:rsid w:val="00562DFB"/>
    <w:rsid w:val="00562E65"/>
    <w:rsid w:val="00563005"/>
    <w:rsid w:val="005632A0"/>
    <w:rsid w:val="00564544"/>
    <w:rsid w:val="00564C1D"/>
    <w:rsid w:val="00564D9D"/>
    <w:rsid w:val="00564F08"/>
    <w:rsid w:val="00565490"/>
    <w:rsid w:val="00565617"/>
    <w:rsid w:val="00565EAE"/>
    <w:rsid w:val="00565EC0"/>
    <w:rsid w:val="00566BDE"/>
    <w:rsid w:val="00566E80"/>
    <w:rsid w:val="00566F40"/>
    <w:rsid w:val="0056760B"/>
    <w:rsid w:val="005676B2"/>
    <w:rsid w:val="00567D01"/>
    <w:rsid w:val="00570584"/>
    <w:rsid w:val="005706D8"/>
    <w:rsid w:val="00570FC1"/>
    <w:rsid w:val="00571323"/>
    <w:rsid w:val="00571E40"/>
    <w:rsid w:val="00571EC1"/>
    <w:rsid w:val="00571F53"/>
    <w:rsid w:val="00572568"/>
    <w:rsid w:val="005725EE"/>
    <w:rsid w:val="005727EC"/>
    <w:rsid w:val="00573665"/>
    <w:rsid w:val="00573D30"/>
    <w:rsid w:val="00573D97"/>
    <w:rsid w:val="00574ACB"/>
    <w:rsid w:val="00574C3E"/>
    <w:rsid w:val="00574E89"/>
    <w:rsid w:val="00574EAD"/>
    <w:rsid w:val="00574F5D"/>
    <w:rsid w:val="005750CA"/>
    <w:rsid w:val="005751E5"/>
    <w:rsid w:val="00575F5B"/>
    <w:rsid w:val="005760FF"/>
    <w:rsid w:val="005761C9"/>
    <w:rsid w:val="005762B8"/>
    <w:rsid w:val="00576552"/>
    <w:rsid w:val="00576578"/>
    <w:rsid w:val="005767CC"/>
    <w:rsid w:val="005768A2"/>
    <w:rsid w:val="0057691F"/>
    <w:rsid w:val="005769A1"/>
    <w:rsid w:val="00576FE5"/>
    <w:rsid w:val="00577799"/>
    <w:rsid w:val="00577842"/>
    <w:rsid w:val="00577B75"/>
    <w:rsid w:val="00577C27"/>
    <w:rsid w:val="00577DB7"/>
    <w:rsid w:val="0058045B"/>
    <w:rsid w:val="00580ABF"/>
    <w:rsid w:val="00580B50"/>
    <w:rsid w:val="00580C98"/>
    <w:rsid w:val="00580FE6"/>
    <w:rsid w:val="005812C5"/>
    <w:rsid w:val="00581810"/>
    <w:rsid w:val="00581BA3"/>
    <w:rsid w:val="00581FFF"/>
    <w:rsid w:val="005826AC"/>
    <w:rsid w:val="00582A53"/>
    <w:rsid w:val="00582B53"/>
    <w:rsid w:val="00582B56"/>
    <w:rsid w:val="00583177"/>
    <w:rsid w:val="0058357D"/>
    <w:rsid w:val="00583600"/>
    <w:rsid w:val="005841C9"/>
    <w:rsid w:val="005849B5"/>
    <w:rsid w:val="00584E43"/>
    <w:rsid w:val="00585231"/>
    <w:rsid w:val="00585369"/>
    <w:rsid w:val="005855FC"/>
    <w:rsid w:val="005856D2"/>
    <w:rsid w:val="00585B49"/>
    <w:rsid w:val="00585F06"/>
    <w:rsid w:val="00585FAC"/>
    <w:rsid w:val="005863D7"/>
    <w:rsid w:val="00586C33"/>
    <w:rsid w:val="00587A26"/>
    <w:rsid w:val="00587E21"/>
    <w:rsid w:val="00587F92"/>
    <w:rsid w:val="0059075B"/>
    <w:rsid w:val="005909DF"/>
    <w:rsid w:val="00590B8B"/>
    <w:rsid w:val="005915F2"/>
    <w:rsid w:val="0059164C"/>
    <w:rsid w:val="005918FB"/>
    <w:rsid w:val="00591B43"/>
    <w:rsid w:val="0059210C"/>
    <w:rsid w:val="0059219C"/>
    <w:rsid w:val="00592280"/>
    <w:rsid w:val="005922B6"/>
    <w:rsid w:val="005928E6"/>
    <w:rsid w:val="00592DEE"/>
    <w:rsid w:val="0059311A"/>
    <w:rsid w:val="0059361D"/>
    <w:rsid w:val="0059390A"/>
    <w:rsid w:val="00593D2F"/>
    <w:rsid w:val="00593FC4"/>
    <w:rsid w:val="00594599"/>
    <w:rsid w:val="00595097"/>
    <w:rsid w:val="005953A7"/>
    <w:rsid w:val="00595E61"/>
    <w:rsid w:val="00595F0D"/>
    <w:rsid w:val="0059674B"/>
    <w:rsid w:val="00596879"/>
    <w:rsid w:val="0059698E"/>
    <w:rsid w:val="00597357"/>
    <w:rsid w:val="005A02CD"/>
    <w:rsid w:val="005A05F7"/>
    <w:rsid w:val="005A0CE0"/>
    <w:rsid w:val="005A0D42"/>
    <w:rsid w:val="005A1640"/>
    <w:rsid w:val="005A1649"/>
    <w:rsid w:val="005A1715"/>
    <w:rsid w:val="005A1769"/>
    <w:rsid w:val="005A1D68"/>
    <w:rsid w:val="005A1DAE"/>
    <w:rsid w:val="005A22C2"/>
    <w:rsid w:val="005A2488"/>
    <w:rsid w:val="005A268F"/>
    <w:rsid w:val="005A270D"/>
    <w:rsid w:val="005A2A62"/>
    <w:rsid w:val="005A3640"/>
    <w:rsid w:val="005A3B3A"/>
    <w:rsid w:val="005A3BEF"/>
    <w:rsid w:val="005A3C1A"/>
    <w:rsid w:val="005A3D08"/>
    <w:rsid w:val="005A449F"/>
    <w:rsid w:val="005A47AE"/>
    <w:rsid w:val="005A497D"/>
    <w:rsid w:val="005A4A8D"/>
    <w:rsid w:val="005A4C88"/>
    <w:rsid w:val="005A52E3"/>
    <w:rsid w:val="005A5388"/>
    <w:rsid w:val="005A5FE0"/>
    <w:rsid w:val="005A60D8"/>
    <w:rsid w:val="005A6D50"/>
    <w:rsid w:val="005A6F64"/>
    <w:rsid w:val="005A707A"/>
    <w:rsid w:val="005A7121"/>
    <w:rsid w:val="005A795E"/>
    <w:rsid w:val="005A7E92"/>
    <w:rsid w:val="005B00AC"/>
    <w:rsid w:val="005B026F"/>
    <w:rsid w:val="005B0333"/>
    <w:rsid w:val="005B03D8"/>
    <w:rsid w:val="005B0535"/>
    <w:rsid w:val="005B05E7"/>
    <w:rsid w:val="005B119E"/>
    <w:rsid w:val="005B1A62"/>
    <w:rsid w:val="005B1EB6"/>
    <w:rsid w:val="005B2BB2"/>
    <w:rsid w:val="005B2C5A"/>
    <w:rsid w:val="005B2C95"/>
    <w:rsid w:val="005B2E5B"/>
    <w:rsid w:val="005B30CA"/>
    <w:rsid w:val="005B31BB"/>
    <w:rsid w:val="005B32EB"/>
    <w:rsid w:val="005B3685"/>
    <w:rsid w:val="005B38AE"/>
    <w:rsid w:val="005B3951"/>
    <w:rsid w:val="005B3EC2"/>
    <w:rsid w:val="005B4BA8"/>
    <w:rsid w:val="005B4F7B"/>
    <w:rsid w:val="005B562E"/>
    <w:rsid w:val="005B5720"/>
    <w:rsid w:val="005B5A17"/>
    <w:rsid w:val="005B6C1A"/>
    <w:rsid w:val="005B73FF"/>
    <w:rsid w:val="005B751E"/>
    <w:rsid w:val="005B7CFC"/>
    <w:rsid w:val="005C010B"/>
    <w:rsid w:val="005C0CF7"/>
    <w:rsid w:val="005C11D7"/>
    <w:rsid w:val="005C13B3"/>
    <w:rsid w:val="005C1533"/>
    <w:rsid w:val="005C1B2F"/>
    <w:rsid w:val="005C36CC"/>
    <w:rsid w:val="005C386D"/>
    <w:rsid w:val="005C3C15"/>
    <w:rsid w:val="005C3E85"/>
    <w:rsid w:val="005C3FE3"/>
    <w:rsid w:val="005C4111"/>
    <w:rsid w:val="005C4DE0"/>
    <w:rsid w:val="005C4FF8"/>
    <w:rsid w:val="005C5222"/>
    <w:rsid w:val="005C54EF"/>
    <w:rsid w:val="005C5712"/>
    <w:rsid w:val="005C5DB4"/>
    <w:rsid w:val="005C6354"/>
    <w:rsid w:val="005C668A"/>
    <w:rsid w:val="005C67AC"/>
    <w:rsid w:val="005C6E94"/>
    <w:rsid w:val="005C7177"/>
    <w:rsid w:val="005C7D72"/>
    <w:rsid w:val="005C7E7B"/>
    <w:rsid w:val="005D0280"/>
    <w:rsid w:val="005D02F1"/>
    <w:rsid w:val="005D09A6"/>
    <w:rsid w:val="005D0A3D"/>
    <w:rsid w:val="005D14DE"/>
    <w:rsid w:val="005D1F90"/>
    <w:rsid w:val="005D1FC5"/>
    <w:rsid w:val="005D2CB8"/>
    <w:rsid w:val="005D2CB9"/>
    <w:rsid w:val="005D2D5D"/>
    <w:rsid w:val="005D2DD9"/>
    <w:rsid w:val="005D3308"/>
    <w:rsid w:val="005D34A2"/>
    <w:rsid w:val="005D3621"/>
    <w:rsid w:val="005D3BD4"/>
    <w:rsid w:val="005D3E5F"/>
    <w:rsid w:val="005D406E"/>
    <w:rsid w:val="005D450F"/>
    <w:rsid w:val="005D4712"/>
    <w:rsid w:val="005D4C7C"/>
    <w:rsid w:val="005D4CC1"/>
    <w:rsid w:val="005D5673"/>
    <w:rsid w:val="005D57AF"/>
    <w:rsid w:val="005D58EF"/>
    <w:rsid w:val="005D6155"/>
    <w:rsid w:val="005D682E"/>
    <w:rsid w:val="005D734B"/>
    <w:rsid w:val="005D7661"/>
    <w:rsid w:val="005D777A"/>
    <w:rsid w:val="005D789A"/>
    <w:rsid w:val="005D78D2"/>
    <w:rsid w:val="005D7B98"/>
    <w:rsid w:val="005E0795"/>
    <w:rsid w:val="005E0889"/>
    <w:rsid w:val="005E0952"/>
    <w:rsid w:val="005E09B1"/>
    <w:rsid w:val="005E0A06"/>
    <w:rsid w:val="005E1D8F"/>
    <w:rsid w:val="005E24AA"/>
    <w:rsid w:val="005E2868"/>
    <w:rsid w:val="005E2946"/>
    <w:rsid w:val="005E2A34"/>
    <w:rsid w:val="005E382A"/>
    <w:rsid w:val="005E4927"/>
    <w:rsid w:val="005E4B86"/>
    <w:rsid w:val="005E4CA4"/>
    <w:rsid w:val="005E4D8D"/>
    <w:rsid w:val="005E4F04"/>
    <w:rsid w:val="005E53BC"/>
    <w:rsid w:val="005E5BB5"/>
    <w:rsid w:val="005E6327"/>
    <w:rsid w:val="005E64FC"/>
    <w:rsid w:val="005E6AED"/>
    <w:rsid w:val="005E6E43"/>
    <w:rsid w:val="005E701D"/>
    <w:rsid w:val="005E79AE"/>
    <w:rsid w:val="005F036A"/>
    <w:rsid w:val="005F1584"/>
    <w:rsid w:val="005F1D90"/>
    <w:rsid w:val="005F2130"/>
    <w:rsid w:val="005F263A"/>
    <w:rsid w:val="005F2833"/>
    <w:rsid w:val="005F30AE"/>
    <w:rsid w:val="005F3182"/>
    <w:rsid w:val="005F3376"/>
    <w:rsid w:val="005F391C"/>
    <w:rsid w:val="005F3A5B"/>
    <w:rsid w:val="005F3AF5"/>
    <w:rsid w:val="005F3E13"/>
    <w:rsid w:val="005F47C1"/>
    <w:rsid w:val="005F4C87"/>
    <w:rsid w:val="005F4CA6"/>
    <w:rsid w:val="005F4D92"/>
    <w:rsid w:val="005F6272"/>
    <w:rsid w:val="005F6707"/>
    <w:rsid w:val="005F6D55"/>
    <w:rsid w:val="005F702D"/>
    <w:rsid w:val="005F7118"/>
    <w:rsid w:val="00600468"/>
    <w:rsid w:val="00600C71"/>
    <w:rsid w:val="006016FE"/>
    <w:rsid w:val="0060206E"/>
    <w:rsid w:val="006020BC"/>
    <w:rsid w:val="006025C5"/>
    <w:rsid w:val="00602624"/>
    <w:rsid w:val="006027D1"/>
    <w:rsid w:val="00602EDD"/>
    <w:rsid w:val="00603900"/>
    <w:rsid w:val="00603910"/>
    <w:rsid w:val="00603D88"/>
    <w:rsid w:val="00603FD6"/>
    <w:rsid w:val="00604450"/>
    <w:rsid w:val="0060450C"/>
    <w:rsid w:val="00604C6C"/>
    <w:rsid w:val="00604E10"/>
    <w:rsid w:val="006050C1"/>
    <w:rsid w:val="0060522F"/>
    <w:rsid w:val="00606103"/>
    <w:rsid w:val="00606170"/>
    <w:rsid w:val="00606375"/>
    <w:rsid w:val="00606635"/>
    <w:rsid w:val="0060668A"/>
    <w:rsid w:val="00606807"/>
    <w:rsid w:val="00606E97"/>
    <w:rsid w:val="006074C3"/>
    <w:rsid w:val="006078D7"/>
    <w:rsid w:val="00607D80"/>
    <w:rsid w:val="00607EAF"/>
    <w:rsid w:val="0061033B"/>
    <w:rsid w:val="00610641"/>
    <w:rsid w:val="00610C1E"/>
    <w:rsid w:val="00611247"/>
    <w:rsid w:val="006119F2"/>
    <w:rsid w:val="006121E7"/>
    <w:rsid w:val="00612281"/>
    <w:rsid w:val="006127BF"/>
    <w:rsid w:val="00612D15"/>
    <w:rsid w:val="00613055"/>
    <w:rsid w:val="00613090"/>
    <w:rsid w:val="006130B4"/>
    <w:rsid w:val="00613B06"/>
    <w:rsid w:val="00613BB5"/>
    <w:rsid w:val="00613F12"/>
    <w:rsid w:val="00613F6C"/>
    <w:rsid w:val="00614427"/>
    <w:rsid w:val="00615344"/>
    <w:rsid w:val="0061564D"/>
    <w:rsid w:val="006159CD"/>
    <w:rsid w:val="006159EC"/>
    <w:rsid w:val="00615E31"/>
    <w:rsid w:val="0061604F"/>
    <w:rsid w:val="0061616E"/>
    <w:rsid w:val="006164BC"/>
    <w:rsid w:val="00616CBE"/>
    <w:rsid w:val="00616D35"/>
    <w:rsid w:val="00616FC3"/>
    <w:rsid w:val="0061710E"/>
    <w:rsid w:val="0061762B"/>
    <w:rsid w:val="00617A84"/>
    <w:rsid w:val="00617D15"/>
    <w:rsid w:val="00617DBE"/>
    <w:rsid w:val="006201F0"/>
    <w:rsid w:val="0062035D"/>
    <w:rsid w:val="0062109A"/>
    <w:rsid w:val="006210E5"/>
    <w:rsid w:val="006214DA"/>
    <w:rsid w:val="0062189B"/>
    <w:rsid w:val="00621FC7"/>
    <w:rsid w:val="006221F7"/>
    <w:rsid w:val="00622318"/>
    <w:rsid w:val="0062257B"/>
    <w:rsid w:val="006225E5"/>
    <w:rsid w:val="00622CA2"/>
    <w:rsid w:val="00622DEF"/>
    <w:rsid w:val="00623A5C"/>
    <w:rsid w:val="00623C32"/>
    <w:rsid w:val="006250BD"/>
    <w:rsid w:val="006253C8"/>
    <w:rsid w:val="0062614A"/>
    <w:rsid w:val="006261EA"/>
    <w:rsid w:val="00627527"/>
    <w:rsid w:val="006277A4"/>
    <w:rsid w:val="00630692"/>
    <w:rsid w:val="00630BBA"/>
    <w:rsid w:val="00630D8B"/>
    <w:rsid w:val="00630DF2"/>
    <w:rsid w:val="0063146D"/>
    <w:rsid w:val="0063182B"/>
    <w:rsid w:val="00632061"/>
    <w:rsid w:val="006321D5"/>
    <w:rsid w:val="00632B71"/>
    <w:rsid w:val="00632CFC"/>
    <w:rsid w:val="00633B43"/>
    <w:rsid w:val="0063424E"/>
    <w:rsid w:val="00634C3A"/>
    <w:rsid w:val="00634CAA"/>
    <w:rsid w:val="00635347"/>
    <w:rsid w:val="0063571B"/>
    <w:rsid w:val="00635961"/>
    <w:rsid w:val="00635B81"/>
    <w:rsid w:val="00636454"/>
    <w:rsid w:val="0063700D"/>
    <w:rsid w:val="006370C7"/>
    <w:rsid w:val="00637B05"/>
    <w:rsid w:val="00637CA1"/>
    <w:rsid w:val="0064063A"/>
    <w:rsid w:val="00640710"/>
    <w:rsid w:val="00640820"/>
    <w:rsid w:val="00641182"/>
    <w:rsid w:val="0064118E"/>
    <w:rsid w:val="006411A5"/>
    <w:rsid w:val="00641205"/>
    <w:rsid w:val="006413DA"/>
    <w:rsid w:val="00641503"/>
    <w:rsid w:val="0064186C"/>
    <w:rsid w:val="006419AA"/>
    <w:rsid w:val="006419EB"/>
    <w:rsid w:val="00641AF6"/>
    <w:rsid w:val="00641DFB"/>
    <w:rsid w:val="00642461"/>
    <w:rsid w:val="00642767"/>
    <w:rsid w:val="006427F3"/>
    <w:rsid w:val="00642859"/>
    <w:rsid w:val="0064451D"/>
    <w:rsid w:val="00645161"/>
    <w:rsid w:val="006454A1"/>
    <w:rsid w:val="0064581C"/>
    <w:rsid w:val="00646283"/>
    <w:rsid w:val="00646489"/>
    <w:rsid w:val="00646E27"/>
    <w:rsid w:val="006477DA"/>
    <w:rsid w:val="006503FB"/>
    <w:rsid w:val="006509FB"/>
    <w:rsid w:val="00650C5D"/>
    <w:rsid w:val="006510ED"/>
    <w:rsid w:val="0065159C"/>
    <w:rsid w:val="00651895"/>
    <w:rsid w:val="00651AD6"/>
    <w:rsid w:val="00651FD1"/>
    <w:rsid w:val="00652035"/>
    <w:rsid w:val="006520FD"/>
    <w:rsid w:val="0065235D"/>
    <w:rsid w:val="00652BF5"/>
    <w:rsid w:val="00652E1C"/>
    <w:rsid w:val="00652E27"/>
    <w:rsid w:val="00652FAB"/>
    <w:rsid w:val="00653026"/>
    <w:rsid w:val="006536F1"/>
    <w:rsid w:val="00653D51"/>
    <w:rsid w:val="00653DBC"/>
    <w:rsid w:val="00654F6F"/>
    <w:rsid w:val="00655A64"/>
    <w:rsid w:val="00655DD4"/>
    <w:rsid w:val="006561B7"/>
    <w:rsid w:val="0065622F"/>
    <w:rsid w:val="00656243"/>
    <w:rsid w:val="006567C8"/>
    <w:rsid w:val="00656937"/>
    <w:rsid w:val="006569CC"/>
    <w:rsid w:val="00656AB9"/>
    <w:rsid w:val="00656C5D"/>
    <w:rsid w:val="00657104"/>
    <w:rsid w:val="0065740B"/>
    <w:rsid w:val="00657588"/>
    <w:rsid w:val="006575F7"/>
    <w:rsid w:val="006576FA"/>
    <w:rsid w:val="00657758"/>
    <w:rsid w:val="00657D5B"/>
    <w:rsid w:val="00660095"/>
    <w:rsid w:val="00660289"/>
    <w:rsid w:val="00660BC8"/>
    <w:rsid w:val="00660FE4"/>
    <w:rsid w:val="00661C80"/>
    <w:rsid w:val="00661F3B"/>
    <w:rsid w:val="00662D10"/>
    <w:rsid w:val="00662D23"/>
    <w:rsid w:val="00662E88"/>
    <w:rsid w:val="006630CC"/>
    <w:rsid w:val="00663342"/>
    <w:rsid w:val="00663685"/>
    <w:rsid w:val="006637A2"/>
    <w:rsid w:val="0066386D"/>
    <w:rsid w:val="00663E31"/>
    <w:rsid w:val="006645B7"/>
    <w:rsid w:val="006654DC"/>
    <w:rsid w:val="006656FE"/>
    <w:rsid w:val="00665712"/>
    <w:rsid w:val="0066597B"/>
    <w:rsid w:val="00665A09"/>
    <w:rsid w:val="006666E1"/>
    <w:rsid w:val="00666E2F"/>
    <w:rsid w:val="006672A2"/>
    <w:rsid w:val="00667BBF"/>
    <w:rsid w:val="00667C41"/>
    <w:rsid w:val="00667E5B"/>
    <w:rsid w:val="006703A7"/>
    <w:rsid w:val="00670415"/>
    <w:rsid w:val="00670535"/>
    <w:rsid w:val="00670B39"/>
    <w:rsid w:val="00670DF0"/>
    <w:rsid w:val="0067127C"/>
    <w:rsid w:val="00671741"/>
    <w:rsid w:val="00671B26"/>
    <w:rsid w:val="00671F0D"/>
    <w:rsid w:val="0067249C"/>
    <w:rsid w:val="0067265C"/>
    <w:rsid w:val="00672FE1"/>
    <w:rsid w:val="00673B2D"/>
    <w:rsid w:val="006741D3"/>
    <w:rsid w:val="00674525"/>
    <w:rsid w:val="00674A5E"/>
    <w:rsid w:val="00674A6B"/>
    <w:rsid w:val="00674D14"/>
    <w:rsid w:val="00674EAC"/>
    <w:rsid w:val="006752E7"/>
    <w:rsid w:val="00675F0F"/>
    <w:rsid w:val="00676C2E"/>
    <w:rsid w:val="00676CE2"/>
    <w:rsid w:val="00677069"/>
    <w:rsid w:val="006770F5"/>
    <w:rsid w:val="00677AAE"/>
    <w:rsid w:val="00680348"/>
    <w:rsid w:val="00680936"/>
    <w:rsid w:val="00680980"/>
    <w:rsid w:val="00680994"/>
    <w:rsid w:val="0068113C"/>
    <w:rsid w:val="0068118C"/>
    <w:rsid w:val="006814B1"/>
    <w:rsid w:val="0068166B"/>
    <w:rsid w:val="006816AE"/>
    <w:rsid w:val="00681A12"/>
    <w:rsid w:val="00682928"/>
    <w:rsid w:val="006829AD"/>
    <w:rsid w:val="00682F40"/>
    <w:rsid w:val="00682F8B"/>
    <w:rsid w:val="006831CF"/>
    <w:rsid w:val="006832AC"/>
    <w:rsid w:val="00683BC6"/>
    <w:rsid w:val="00684054"/>
    <w:rsid w:val="00684F75"/>
    <w:rsid w:val="0068532D"/>
    <w:rsid w:val="00685A9D"/>
    <w:rsid w:val="00685CB9"/>
    <w:rsid w:val="0068618E"/>
    <w:rsid w:val="0068678C"/>
    <w:rsid w:val="006868EB"/>
    <w:rsid w:val="00687B63"/>
    <w:rsid w:val="00687C73"/>
    <w:rsid w:val="00687EB2"/>
    <w:rsid w:val="00690567"/>
    <w:rsid w:val="00690972"/>
    <w:rsid w:val="00691CA9"/>
    <w:rsid w:val="0069212B"/>
    <w:rsid w:val="00692320"/>
    <w:rsid w:val="006927FD"/>
    <w:rsid w:val="00692ABB"/>
    <w:rsid w:val="00692E03"/>
    <w:rsid w:val="006935B9"/>
    <w:rsid w:val="00693697"/>
    <w:rsid w:val="00693CC6"/>
    <w:rsid w:val="00694220"/>
    <w:rsid w:val="006947BB"/>
    <w:rsid w:val="0069485A"/>
    <w:rsid w:val="00694942"/>
    <w:rsid w:val="00694DBB"/>
    <w:rsid w:val="00695A0A"/>
    <w:rsid w:val="0069643F"/>
    <w:rsid w:val="006968DC"/>
    <w:rsid w:val="00696C9C"/>
    <w:rsid w:val="006970E9"/>
    <w:rsid w:val="00697278"/>
    <w:rsid w:val="00697428"/>
    <w:rsid w:val="006974EE"/>
    <w:rsid w:val="00697676"/>
    <w:rsid w:val="00697E4D"/>
    <w:rsid w:val="006A070C"/>
    <w:rsid w:val="006A089B"/>
    <w:rsid w:val="006A0B76"/>
    <w:rsid w:val="006A1831"/>
    <w:rsid w:val="006A1F1E"/>
    <w:rsid w:val="006A1F2A"/>
    <w:rsid w:val="006A1F67"/>
    <w:rsid w:val="006A2146"/>
    <w:rsid w:val="006A21A5"/>
    <w:rsid w:val="006A2923"/>
    <w:rsid w:val="006A2A1A"/>
    <w:rsid w:val="006A35B7"/>
    <w:rsid w:val="006A3879"/>
    <w:rsid w:val="006A38E8"/>
    <w:rsid w:val="006A41E2"/>
    <w:rsid w:val="006A4A23"/>
    <w:rsid w:val="006A4F62"/>
    <w:rsid w:val="006A5E97"/>
    <w:rsid w:val="006A5EEA"/>
    <w:rsid w:val="006A60D3"/>
    <w:rsid w:val="006A6B2E"/>
    <w:rsid w:val="006A6CD6"/>
    <w:rsid w:val="006A6D8E"/>
    <w:rsid w:val="006A7246"/>
    <w:rsid w:val="006A7D75"/>
    <w:rsid w:val="006B01C2"/>
    <w:rsid w:val="006B0D03"/>
    <w:rsid w:val="006B0F0D"/>
    <w:rsid w:val="006B0F83"/>
    <w:rsid w:val="006B100D"/>
    <w:rsid w:val="006B1504"/>
    <w:rsid w:val="006B152C"/>
    <w:rsid w:val="006B1D5C"/>
    <w:rsid w:val="006B1EC3"/>
    <w:rsid w:val="006B1EF1"/>
    <w:rsid w:val="006B24EC"/>
    <w:rsid w:val="006B253B"/>
    <w:rsid w:val="006B2E04"/>
    <w:rsid w:val="006B316B"/>
    <w:rsid w:val="006B3C8D"/>
    <w:rsid w:val="006B3FFA"/>
    <w:rsid w:val="006B439A"/>
    <w:rsid w:val="006B4624"/>
    <w:rsid w:val="006B619D"/>
    <w:rsid w:val="006B6499"/>
    <w:rsid w:val="006B729A"/>
    <w:rsid w:val="006B7A9B"/>
    <w:rsid w:val="006B7D31"/>
    <w:rsid w:val="006C0BE1"/>
    <w:rsid w:val="006C10D6"/>
    <w:rsid w:val="006C15DE"/>
    <w:rsid w:val="006C1D8B"/>
    <w:rsid w:val="006C1DFF"/>
    <w:rsid w:val="006C2260"/>
    <w:rsid w:val="006C2331"/>
    <w:rsid w:val="006C23AC"/>
    <w:rsid w:val="006C23C5"/>
    <w:rsid w:val="006C2CB7"/>
    <w:rsid w:val="006C2F7C"/>
    <w:rsid w:val="006C303E"/>
    <w:rsid w:val="006C3CBA"/>
    <w:rsid w:val="006C3F10"/>
    <w:rsid w:val="006C428B"/>
    <w:rsid w:val="006C4334"/>
    <w:rsid w:val="006C50B2"/>
    <w:rsid w:val="006C5338"/>
    <w:rsid w:val="006C53CC"/>
    <w:rsid w:val="006C5507"/>
    <w:rsid w:val="006C5663"/>
    <w:rsid w:val="006C5B66"/>
    <w:rsid w:val="006C627A"/>
    <w:rsid w:val="006C62A6"/>
    <w:rsid w:val="006C6982"/>
    <w:rsid w:val="006C6AAC"/>
    <w:rsid w:val="006C6C75"/>
    <w:rsid w:val="006C6E80"/>
    <w:rsid w:val="006C7027"/>
    <w:rsid w:val="006C71FB"/>
    <w:rsid w:val="006C7243"/>
    <w:rsid w:val="006C7BF9"/>
    <w:rsid w:val="006D0735"/>
    <w:rsid w:val="006D0920"/>
    <w:rsid w:val="006D0E3E"/>
    <w:rsid w:val="006D15DE"/>
    <w:rsid w:val="006D22AD"/>
    <w:rsid w:val="006D22E7"/>
    <w:rsid w:val="006D281D"/>
    <w:rsid w:val="006D28AF"/>
    <w:rsid w:val="006D2C12"/>
    <w:rsid w:val="006D2FF5"/>
    <w:rsid w:val="006D319A"/>
    <w:rsid w:val="006D320A"/>
    <w:rsid w:val="006D3371"/>
    <w:rsid w:val="006D3A04"/>
    <w:rsid w:val="006D3B3B"/>
    <w:rsid w:val="006D40AF"/>
    <w:rsid w:val="006D422A"/>
    <w:rsid w:val="006D4590"/>
    <w:rsid w:val="006D4F88"/>
    <w:rsid w:val="006D570C"/>
    <w:rsid w:val="006D5844"/>
    <w:rsid w:val="006D5920"/>
    <w:rsid w:val="006D61EB"/>
    <w:rsid w:val="006D66CB"/>
    <w:rsid w:val="006D6B24"/>
    <w:rsid w:val="006D73A0"/>
    <w:rsid w:val="006D7768"/>
    <w:rsid w:val="006D7775"/>
    <w:rsid w:val="006D77A5"/>
    <w:rsid w:val="006D7989"/>
    <w:rsid w:val="006D7B8A"/>
    <w:rsid w:val="006D7D54"/>
    <w:rsid w:val="006E01F2"/>
    <w:rsid w:val="006E058F"/>
    <w:rsid w:val="006E05C8"/>
    <w:rsid w:val="006E0F78"/>
    <w:rsid w:val="006E1E84"/>
    <w:rsid w:val="006E27FA"/>
    <w:rsid w:val="006E301A"/>
    <w:rsid w:val="006E3A27"/>
    <w:rsid w:val="006E496B"/>
    <w:rsid w:val="006E49D7"/>
    <w:rsid w:val="006E4A4D"/>
    <w:rsid w:val="006E4B55"/>
    <w:rsid w:val="006E4E34"/>
    <w:rsid w:val="006E5372"/>
    <w:rsid w:val="006E5D27"/>
    <w:rsid w:val="006E60EA"/>
    <w:rsid w:val="006E6231"/>
    <w:rsid w:val="006E635B"/>
    <w:rsid w:val="006E65D7"/>
    <w:rsid w:val="006E68E9"/>
    <w:rsid w:val="006E6D9A"/>
    <w:rsid w:val="006E6E40"/>
    <w:rsid w:val="006E7D26"/>
    <w:rsid w:val="006E7D7F"/>
    <w:rsid w:val="006E7F5F"/>
    <w:rsid w:val="006F0B3C"/>
    <w:rsid w:val="006F0BE4"/>
    <w:rsid w:val="006F0C79"/>
    <w:rsid w:val="006F1395"/>
    <w:rsid w:val="006F1520"/>
    <w:rsid w:val="006F1B32"/>
    <w:rsid w:val="006F209F"/>
    <w:rsid w:val="006F255C"/>
    <w:rsid w:val="006F309E"/>
    <w:rsid w:val="006F33C3"/>
    <w:rsid w:val="006F345F"/>
    <w:rsid w:val="006F3B7C"/>
    <w:rsid w:val="006F3BA6"/>
    <w:rsid w:val="006F3BF2"/>
    <w:rsid w:val="006F4587"/>
    <w:rsid w:val="006F45E1"/>
    <w:rsid w:val="006F4B4F"/>
    <w:rsid w:val="006F5233"/>
    <w:rsid w:val="006F5E0A"/>
    <w:rsid w:val="006F64ED"/>
    <w:rsid w:val="006F6CD3"/>
    <w:rsid w:val="006F777D"/>
    <w:rsid w:val="006F79B9"/>
    <w:rsid w:val="006F7D5F"/>
    <w:rsid w:val="006F7DDB"/>
    <w:rsid w:val="00700320"/>
    <w:rsid w:val="007004E8"/>
    <w:rsid w:val="00700619"/>
    <w:rsid w:val="00701257"/>
    <w:rsid w:val="00702487"/>
    <w:rsid w:val="007028D1"/>
    <w:rsid w:val="00702A76"/>
    <w:rsid w:val="00702BD2"/>
    <w:rsid w:val="0070423F"/>
    <w:rsid w:val="00704498"/>
    <w:rsid w:val="00704AEE"/>
    <w:rsid w:val="00705369"/>
    <w:rsid w:val="007054F7"/>
    <w:rsid w:val="0070551E"/>
    <w:rsid w:val="007058DE"/>
    <w:rsid w:val="007058F7"/>
    <w:rsid w:val="00705C04"/>
    <w:rsid w:val="00705DF4"/>
    <w:rsid w:val="007064B6"/>
    <w:rsid w:val="007066DE"/>
    <w:rsid w:val="00706D6C"/>
    <w:rsid w:val="00706DBD"/>
    <w:rsid w:val="00706F0F"/>
    <w:rsid w:val="00707137"/>
    <w:rsid w:val="0070715F"/>
    <w:rsid w:val="00707590"/>
    <w:rsid w:val="0070774B"/>
    <w:rsid w:val="0070792D"/>
    <w:rsid w:val="00710599"/>
    <w:rsid w:val="00710CF5"/>
    <w:rsid w:val="00710F9C"/>
    <w:rsid w:val="00711019"/>
    <w:rsid w:val="007113E4"/>
    <w:rsid w:val="00711416"/>
    <w:rsid w:val="00711773"/>
    <w:rsid w:val="0071189F"/>
    <w:rsid w:val="0071194F"/>
    <w:rsid w:val="00711AC8"/>
    <w:rsid w:val="00712754"/>
    <w:rsid w:val="00712F2F"/>
    <w:rsid w:val="00713168"/>
    <w:rsid w:val="007131ED"/>
    <w:rsid w:val="00713674"/>
    <w:rsid w:val="007139E9"/>
    <w:rsid w:val="007140C0"/>
    <w:rsid w:val="0071511D"/>
    <w:rsid w:val="00715511"/>
    <w:rsid w:val="00715E0A"/>
    <w:rsid w:val="0071601E"/>
    <w:rsid w:val="007162CF"/>
    <w:rsid w:val="00716556"/>
    <w:rsid w:val="007165E6"/>
    <w:rsid w:val="007169AE"/>
    <w:rsid w:val="00716CAC"/>
    <w:rsid w:val="00717C57"/>
    <w:rsid w:val="0072007C"/>
    <w:rsid w:val="0072071B"/>
    <w:rsid w:val="00720D10"/>
    <w:rsid w:val="00720D50"/>
    <w:rsid w:val="00720EEC"/>
    <w:rsid w:val="00721561"/>
    <w:rsid w:val="00721A3D"/>
    <w:rsid w:val="00721E57"/>
    <w:rsid w:val="0072275D"/>
    <w:rsid w:val="00722784"/>
    <w:rsid w:val="007227B9"/>
    <w:rsid w:val="00722C64"/>
    <w:rsid w:val="00722C9D"/>
    <w:rsid w:val="007232DD"/>
    <w:rsid w:val="00724155"/>
    <w:rsid w:val="007241DF"/>
    <w:rsid w:val="00724E56"/>
    <w:rsid w:val="00724F18"/>
    <w:rsid w:val="00724FC6"/>
    <w:rsid w:val="00726AAD"/>
    <w:rsid w:val="007277C1"/>
    <w:rsid w:val="00727DAB"/>
    <w:rsid w:val="00727F61"/>
    <w:rsid w:val="00731000"/>
    <w:rsid w:val="00731143"/>
    <w:rsid w:val="007313C0"/>
    <w:rsid w:val="007319CD"/>
    <w:rsid w:val="00731AE6"/>
    <w:rsid w:val="00731E43"/>
    <w:rsid w:val="007321C3"/>
    <w:rsid w:val="007323E5"/>
    <w:rsid w:val="00732B32"/>
    <w:rsid w:val="00733086"/>
    <w:rsid w:val="00733744"/>
    <w:rsid w:val="0073378F"/>
    <w:rsid w:val="0073387E"/>
    <w:rsid w:val="00734026"/>
    <w:rsid w:val="00734508"/>
    <w:rsid w:val="007345A2"/>
    <w:rsid w:val="007347EB"/>
    <w:rsid w:val="00734CA8"/>
    <w:rsid w:val="00734EF3"/>
    <w:rsid w:val="0073534A"/>
    <w:rsid w:val="0073539E"/>
    <w:rsid w:val="00735C70"/>
    <w:rsid w:val="00736830"/>
    <w:rsid w:val="00736EEE"/>
    <w:rsid w:val="00737ABC"/>
    <w:rsid w:val="00737B16"/>
    <w:rsid w:val="00737B95"/>
    <w:rsid w:val="00737F91"/>
    <w:rsid w:val="007403FD"/>
    <w:rsid w:val="00740564"/>
    <w:rsid w:val="00740651"/>
    <w:rsid w:val="00740C94"/>
    <w:rsid w:val="0074103F"/>
    <w:rsid w:val="00741278"/>
    <w:rsid w:val="007412F3"/>
    <w:rsid w:val="00741685"/>
    <w:rsid w:val="007416B1"/>
    <w:rsid w:val="007417DF"/>
    <w:rsid w:val="0074191F"/>
    <w:rsid w:val="00741A98"/>
    <w:rsid w:val="00742118"/>
    <w:rsid w:val="007425A6"/>
    <w:rsid w:val="007426F2"/>
    <w:rsid w:val="00742A7B"/>
    <w:rsid w:val="00742AD9"/>
    <w:rsid w:val="00742E0F"/>
    <w:rsid w:val="00743060"/>
    <w:rsid w:val="00743F87"/>
    <w:rsid w:val="0074417E"/>
    <w:rsid w:val="007443C0"/>
    <w:rsid w:val="0074464E"/>
    <w:rsid w:val="00744ADE"/>
    <w:rsid w:val="00744B1E"/>
    <w:rsid w:val="00744C69"/>
    <w:rsid w:val="00745202"/>
    <w:rsid w:val="0074556E"/>
    <w:rsid w:val="007457B4"/>
    <w:rsid w:val="00745B10"/>
    <w:rsid w:val="00745B29"/>
    <w:rsid w:val="00745B49"/>
    <w:rsid w:val="00745E7D"/>
    <w:rsid w:val="00745FE9"/>
    <w:rsid w:val="00746D75"/>
    <w:rsid w:val="00746D87"/>
    <w:rsid w:val="0074726B"/>
    <w:rsid w:val="00747E5C"/>
    <w:rsid w:val="0075016C"/>
    <w:rsid w:val="007509F3"/>
    <w:rsid w:val="00751316"/>
    <w:rsid w:val="00751521"/>
    <w:rsid w:val="00751778"/>
    <w:rsid w:val="00751A33"/>
    <w:rsid w:val="00751A4A"/>
    <w:rsid w:val="00751A57"/>
    <w:rsid w:val="00751B21"/>
    <w:rsid w:val="00751E6C"/>
    <w:rsid w:val="00751E7D"/>
    <w:rsid w:val="007520BF"/>
    <w:rsid w:val="00752889"/>
    <w:rsid w:val="0075328C"/>
    <w:rsid w:val="00753C85"/>
    <w:rsid w:val="00753C92"/>
    <w:rsid w:val="00753D75"/>
    <w:rsid w:val="00753E04"/>
    <w:rsid w:val="0075457F"/>
    <w:rsid w:val="00754F60"/>
    <w:rsid w:val="0075509C"/>
    <w:rsid w:val="00755293"/>
    <w:rsid w:val="00755E67"/>
    <w:rsid w:val="0075687A"/>
    <w:rsid w:val="00756B43"/>
    <w:rsid w:val="00757196"/>
    <w:rsid w:val="00757B1C"/>
    <w:rsid w:val="00757C3E"/>
    <w:rsid w:val="007610DC"/>
    <w:rsid w:val="00761278"/>
    <w:rsid w:val="0076181B"/>
    <w:rsid w:val="00761955"/>
    <w:rsid w:val="007624ED"/>
    <w:rsid w:val="007626DA"/>
    <w:rsid w:val="007640E2"/>
    <w:rsid w:val="00764E8C"/>
    <w:rsid w:val="00765060"/>
    <w:rsid w:val="007650EC"/>
    <w:rsid w:val="007651D7"/>
    <w:rsid w:val="00765BA2"/>
    <w:rsid w:val="00765DF1"/>
    <w:rsid w:val="00766A22"/>
    <w:rsid w:val="00766BD8"/>
    <w:rsid w:val="0076717B"/>
    <w:rsid w:val="00767293"/>
    <w:rsid w:val="00767700"/>
    <w:rsid w:val="00767EC6"/>
    <w:rsid w:val="00770137"/>
    <w:rsid w:val="00770262"/>
    <w:rsid w:val="00770A4F"/>
    <w:rsid w:val="00771B3C"/>
    <w:rsid w:val="007722FD"/>
    <w:rsid w:val="007726EA"/>
    <w:rsid w:val="00773331"/>
    <w:rsid w:val="00773335"/>
    <w:rsid w:val="007735B9"/>
    <w:rsid w:val="00773CC6"/>
    <w:rsid w:val="007742DF"/>
    <w:rsid w:val="00774482"/>
    <w:rsid w:val="007744EC"/>
    <w:rsid w:val="00774CDB"/>
    <w:rsid w:val="00774FCA"/>
    <w:rsid w:val="00775394"/>
    <w:rsid w:val="0077542C"/>
    <w:rsid w:val="00775962"/>
    <w:rsid w:val="00775FC5"/>
    <w:rsid w:val="00776192"/>
    <w:rsid w:val="007761B3"/>
    <w:rsid w:val="0077645F"/>
    <w:rsid w:val="0077662D"/>
    <w:rsid w:val="007766BE"/>
    <w:rsid w:val="00776B93"/>
    <w:rsid w:val="00777454"/>
    <w:rsid w:val="0077745B"/>
    <w:rsid w:val="00777543"/>
    <w:rsid w:val="0077770A"/>
    <w:rsid w:val="00777C28"/>
    <w:rsid w:val="0078010F"/>
    <w:rsid w:val="0078046A"/>
    <w:rsid w:val="00781001"/>
    <w:rsid w:val="00781195"/>
    <w:rsid w:val="00781CB4"/>
    <w:rsid w:val="0078271E"/>
    <w:rsid w:val="00782AB1"/>
    <w:rsid w:val="007834C0"/>
    <w:rsid w:val="007835C4"/>
    <w:rsid w:val="00783BED"/>
    <w:rsid w:val="00783F14"/>
    <w:rsid w:val="007841CF"/>
    <w:rsid w:val="007844A2"/>
    <w:rsid w:val="007845E6"/>
    <w:rsid w:val="0078470B"/>
    <w:rsid w:val="00784AEC"/>
    <w:rsid w:val="00784FED"/>
    <w:rsid w:val="007854B0"/>
    <w:rsid w:val="00785855"/>
    <w:rsid w:val="00785F7D"/>
    <w:rsid w:val="0078644F"/>
    <w:rsid w:val="00786CEC"/>
    <w:rsid w:val="00787E9F"/>
    <w:rsid w:val="007903A2"/>
    <w:rsid w:val="007906B1"/>
    <w:rsid w:val="0079152B"/>
    <w:rsid w:val="0079156E"/>
    <w:rsid w:val="00791DCB"/>
    <w:rsid w:val="00792103"/>
    <w:rsid w:val="00792F99"/>
    <w:rsid w:val="00793118"/>
    <w:rsid w:val="00793232"/>
    <w:rsid w:val="007932EF"/>
    <w:rsid w:val="0079338B"/>
    <w:rsid w:val="00793781"/>
    <w:rsid w:val="00793869"/>
    <w:rsid w:val="0079386E"/>
    <w:rsid w:val="00793B65"/>
    <w:rsid w:val="00793CA9"/>
    <w:rsid w:val="00793CF2"/>
    <w:rsid w:val="00793E1A"/>
    <w:rsid w:val="00793F00"/>
    <w:rsid w:val="0079453F"/>
    <w:rsid w:val="00794576"/>
    <w:rsid w:val="007947EB"/>
    <w:rsid w:val="00794FB0"/>
    <w:rsid w:val="00795003"/>
    <w:rsid w:val="0079505D"/>
    <w:rsid w:val="00795639"/>
    <w:rsid w:val="00795CC4"/>
    <w:rsid w:val="00796700"/>
    <w:rsid w:val="00796927"/>
    <w:rsid w:val="007969F7"/>
    <w:rsid w:val="00796A2C"/>
    <w:rsid w:val="00796D1B"/>
    <w:rsid w:val="00796F28"/>
    <w:rsid w:val="007974AA"/>
    <w:rsid w:val="00797A25"/>
    <w:rsid w:val="007A085D"/>
    <w:rsid w:val="007A097F"/>
    <w:rsid w:val="007A09CB"/>
    <w:rsid w:val="007A1639"/>
    <w:rsid w:val="007A1AF8"/>
    <w:rsid w:val="007A1BDB"/>
    <w:rsid w:val="007A1D74"/>
    <w:rsid w:val="007A1DAE"/>
    <w:rsid w:val="007A26A8"/>
    <w:rsid w:val="007A294E"/>
    <w:rsid w:val="007A2FCA"/>
    <w:rsid w:val="007A324C"/>
    <w:rsid w:val="007A4D1E"/>
    <w:rsid w:val="007A4F7F"/>
    <w:rsid w:val="007A58B2"/>
    <w:rsid w:val="007A5A33"/>
    <w:rsid w:val="007A5A8B"/>
    <w:rsid w:val="007A5BD1"/>
    <w:rsid w:val="007A5ED0"/>
    <w:rsid w:val="007A6011"/>
    <w:rsid w:val="007A64AF"/>
    <w:rsid w:val="007A6592"/>
    <w:rsid w:val="007A669E"/>
    <w:rsid w:val="007A6BFA"/>
    <w:rsid w:val="007A6EE8"/>
    <w:rsid w:val="007A6F29"/>
    <w:rsid w:val="007A7259"/>
    <w:rsid w:val="007A74CB"/>
    <w:rsid w:val="007B07EF"/>
    <w:rsid w:val="007B0BC8"/>
    <w:rsid w:val="007B0F4F"/>
    <w:rsid w:val="007B1670"/>
    <w:rsid w:val="007B1D1C"/>
    <w:rsid w:val="007B1E0D"/>
    <w:rsid w:val="007B1EC9"/>
    <w:rsid w:val="007B1FEE"/>
    <w:rsid w:val="007B2410"/>
    <w:rsid w:val="007B369C"/>
    <w:rsid w:val="007B4102"/>
    <w:rsid w:val="007B4492"/>
    <w:rsid w:val="007B4583"/>
    <w:rsid w:val="007B4F24"/>
    <w:rsid w:val="007B4F2C"/>
    <w:rsid w:val="007B50CA"/>
    <w:rsid w:val="007B51CE"/>
    <w:rsid w:val="007B5442"/>
    <w:rsid w:val="007B54DD"/>
    <w:rsid w:val="007B5680"/>
    <w:rsid w:val="007B569F"/>
    <w:rsid w:val="007B57FD"/>
    <w:rsid w:val="007B5BE9"/>
    <w:rsid w:val="007B6109"/>
    <w:rsid w:val="007B6304"/>
    <w:rsid w:val="007B6518"/>
    <w:rsid w:val="007B6791"/>
    <w:rsid w:val="007B6C21"/>
    <w:rsid w:val="007B6CF1"/>
    <w:rsid w:val="007B72C9"/>
    <w:rsid w:val="007B75F1"/>
    <w:rsid w:val="007B785F"/>
    <w:rsid w:val="007B7A03"/>
    <w:rsid w:val="007B7FD4"/>
    <w:rsid w:val="007C02B3"/>
    <w:rsid w:val="007C09EE"/>
    <w:rsid w:val="007C0D84"/>
    <w:rsid w:val="007C0EBD"/>
    <w:rsid w:val="007C1A66"/>
    <w:rsid w:val="007C2097"/>
    <w:rsid w:val="007C292D"/>
    <w:rsid w:val="007C33D0"/>
    <w:rsid w:val="007C35D0"/>
    <w:rsid w:val="007C36AC"/>
    <w:rsid w:val="007C3B61"/>
    <w:rsid w:val="007C4464"/>
    <w:rsid w:val="007C4883"/>
    <w:rsid w:val="007C4AC8"/>
    <w:rsid w:val="007C4F05"/>
    <w:rsid w:val="007C517B"/>
    <w:rsid w:val="007C5288"/>
    <w:rsid w:val="007C5466"/>
    <w:rsid w:val="007C554A"/>
    <w:rsid w:val="007C59FD"/>
    <w:rsid w:val="007C5FA3"/>
    <w:rsid w:val="007C6228"/>
    <w:rsid w:val="007C6B79"/>
    <w:rsid w:val="007C6F33"/>
    <w:rsid w:val="007C6F4F"/>
    <w:rsid w:val="007C72FA"/>
    <w:rsid w:val="007C74FD"/>
    <w:rsid w:val="007C7661"/>
    <w:rsid w:val="007C7AE5"/>
    <w:rsid w:val="007C7C62"/>
    <w:rsid w:val="007C7DD1"/>
    <w:rsid w:val="007D0003"/>
    <w:rsid w:val="007D008F"/>
    <w:rsid w:val="007D08C9"/>
    <w:rsid w:val="007D0E35"/>
    <w:rsid w:val="007D1425"/>
    <w:rsid w:val="007D164F"/>
    <w:rsid w:val="007D1F5B"/>
    <w:rsid w:val="007D2231"/>
    <w:rsid w:val="007D224D"/>
    <w:rsid w:val="007D268D"/>
    <w:rsid w:val="007D2BB3"/>
    <w:rsid w:val="007D2E59"/>
    <w:rsid w:val="007D348A"/>
    <w:rsid w:val="007D34C6"/>
    <w:rsid w:val="007D3806"/>
    <w:rsid w:val="007D39CC"/>
    <w:rsid w:val="007D3B07"/>
    <w:rsid w:val="007D3E39"/>
    <w:rsid w:val="007D3F45"/>
    <w:rsid w:val="007D4531"/>
    <w:rsid w:val="007D48D3"/>
    <w:rsid w:val="007D4A1F"/>
    <w:rsid w:val="007D4B3B"/>
    <w:rsid w:val="007D4EA6"/>
    <w:rsid w:val="007D5055"/>
    <w:rsid w:val="007D5384"/>
    <w:rsid w:val="007D5888"/>
    <w:rsid w:val="007D5975"/>
    <w:rsid w:val="007D5A71"/>
    <w:rsid w:val="007D6210"/>
    <w:rsid w:val="007D65B4"/>
    <w:rsid w:val="007D69A9"/>
    <w:rsid w:val="007D720A"/>
    <w:rsid w:val="007D74C7"/>
    <w:rsid w:val="007D7C96"/>
    <w:rsid w:val="007E05B0"/>
    <w:rsid w:val="007E07AE"/>
    <w:rsid w:val="007E0927"/>
    <w:rsid w:val="007E14FB"/>
    <w:rsid w:val="007E152A"/>
    <w:rsid w:val="007E16C5"/>
    <w:rsid w:val="007E1B03"/>
    <w:rsid w:val="007E1E64"/>
    <w:rsid w:val="007E2464"/>
    <w:rsid w:val="007E2E0C"/>
    <w:rsid w:val="007E2F15"/>
    <w:rsid w:val="007E3271"/>
    <w:rsid w:val="007E32DC"/>
    <w:rsid w:val="007E3960"/>
    <w:rsid w:val="007E440D"/>
    <w:rsid w:val="007E4A47"/>
    <w:rsid w:val="007E4C2E"/>
    <w:rsid w:val="007E4F96"/>
    <w:rsid w:val="007E5011"/>
    <w:rsid w:val="007E51FE"/>
    <w:rsid w:val="007E540E"/>
    <w:rsid w:val="007E58EE"/>
    <w:rsid w:val="007E5A6C"/>
    <w:rsid w:val="007E5C27"/>
    <w:rsid w:val="007E6919"/>
    <w:rsid w:val="007E6986"/>
    <w:rsid w:val="007E6B0E"/>
    <w:rsid w:val="007E703D"/>
    <w:rsid w:val="007E73C3"/>
    <w:rsid w:val="007E73EB"/>
    <w:rsid w:val="007E778A"/>
    <w:rsid w:val="007E7977"/>
    <w:rsid w:val="007E7CCF"/>
    <w:rsid w:val="007F0B40"/>
    <w:rsid w:val="007F0EB5"/>
    <w:rsid w:val="007F1049"/>
    <w:rsid w:val="007F16CD"/>
    <w:rsid w:val="007F1998"/>
    <w:rsid w:val="007F24EF"/>
    <w:rsid w:val="007F2675"/>
    <w:rsid w:val="007F2C64"/>
    <w:rsid w:val="007F31D1"/>
    <w:rsid w:val="007F32E0"/>
    <w:rsid w:val="007F3942"/>
    <w:rsid w:val="007F39AA"/>
    <w:rsid w:val="007F42E0"/>
    <w:rsid w:val="007F44D8"/>
    <w:rsid w:val="007F4595"/>
    <w:rsid w:val="007F4B2A"/>
    <w:rsid w:val="007F5E4B"/>
    <w:rsid w:val="007F67F3"/>
    <w:rsid w:val="007F68ED"/>
    <w:rsid w:val="007F69E5"/>
    <w:rsid w:val="007F6A1C"/>
    <w:rsid w:val="007F70F3"/>
    <w:rsid w:val="00800175"/>
    <w:rsid w:val="00800A9A"/>
    <w:rsid w:val="00800EAD"/>
    <w:rsid w:val="00801266"/>
    <w:rsid w:val="00801687"/>
    <w:rsid w:val="008016D6"/>
    <w:rsid w:val="0080171C"/>
    <w:rsid w:val="00801B2C"/>
    <w:rsid w:val="00801DFA"/>
    <w:rsid w:val="00801E5E"/>
    <w:rsid w:val="00801E68"/>
    <w:rsid w:val="00801E92"/>
    <w:rsid w:val="008022C0"/>
    <w:rsid w:val="008022CB"/>
    <w:rsid w:val="00802C6B"/>
    <w:rsid w:val="00802EC7"/>
    <w:rsid w:val="00803233"/>
    <w:rsid w:val="00803398"/>
    <w:rsid w:val="008033BB"/>
    <w:rsid w:val="00803A98"/>
    <w:rsid w:val="008040D6"/>
    <w:rsid w:val="00805537"/>
    <w:rsid w:val="00805AC3"/>
    <w:rsid w:val="00805D51"/>
    <w:rsid w:val="008061C3"/>
    <w:rsid w:val="0080644B"/>
    <w:rsid w:val="008066E8"/>
    <w:rsid w:val="008067C9"/>
    <w:rsid w:val="00806983"/>
    <w:rsid w:val="00806EDA"/>
    <w:rsid w:val="008071D5"/>
    <w:rsid w:val="00807345"/>
    <w:rsid w:val="00807AD0"/>
    <w:rsid w:val="00807E68"/>
    <w:rsid w:val="00807E6A"/>
    <w:rsid w:val="008100A0"/>
    <w:rsid w:val="008108B3"/>
    <w:rsid w:val="00810B6B"/>
    <w:rsid w:val="00810CA9"/>
    <w:rsid w:val="00810CB3"/>
    <w:rsid w:val="008115F1"/>
    <w:rsid w:val="0081164B"/>
    <w:rsid w:val="00811ACD"/>
    <w:rsid w:val="00811CA9"/>
    <w:rsid w:val="0081311B"/>
    <w:rsid w:val="00813199"/>
    <w:rsid w:val="008132DB"/>
    <w:rsid w:val="00813438"/>
    <w:rsid w:val="00813BB5"/>
    <w:rsid w:val="00813E9C"/>
    <w:rsid w:val="00813FB1"/>
    <w:rsid w:val="008147FF"/>
    <w:rsid w:val="00814807"/>
    <w:rsid w:val="00814BEE"/>
    <w:rsid w:val="00815CF5"/>
    <w:rsid w:val="00815E85"/>
    <w:rsid w:val="00816012"/>
    <w:rsid w:val="0081691F"/>
    <w:rsid w:val="00816A50"/>
    <w:rsid w:val="00816FAB"/>
    <w:rsid w:val="00817395"/>
    <w:rsid w:val="00817595"/>
    <w:rsid w:val="00817717"/>
    <w:rsid w:val="00817856"/>
    <w:rsid w:val="00817A52"/>
    <w:rsid w:val="008209A6"/>
    <w:rsid w:val="00820B48"/>
    <w:rsid w:val="00820C33"/>
    <w:rsid w:val="00820FF6"/>
    <w:rsid w:val="00821717"/>
    <w:rsid w:val="0082176C"/>
    <w:rsid w:val="00821827"/>
    <w:rsid w:val="00821889"/>
    <w:rsid w:val="00821C7E"/>
    <w:rsid w:val="00821E2A"/>
    <w:rsid w:val="00822274"/>
    <w:rsid w:val="0082244C"/>
    <w:rsid w:val="008228A4"/>
    <w:rsid w:val="00822BE1"/>
    <w:rsid w:val="00822DEE"/>
    <w:rsid w:val="00823015"/>
    <w:rsid w:val="00823276"/>
    <w:rsid w:val="00823297"/>
    <w:rsid w:val="0082330E"/>
    <w:rsid w:val="00823425"/>
    <w:rsid w:val="0082347B"/>
    <w:rsid w:val="0082347C"/>
    <w:rsid w:val="00823AE8"/>
    <w:rsid w:val="00823C9A"/>
    <w:rsid w:val="00824245"/>
    <w:rsid w:val="0082425B"/>
    <w:rsid w:val="00824D1D"/>
    <w:rsid w:val="00825377"/>
    <w:rsid w:val="008254B3"/>
    <w:rsid w:val="0082565D"/>
    <w:rsid w:val="00825716"/>
    <w:rsid w:val="00825787"/>
    <w:rsid w:val="00825DC4"/>
    <w:rsid w:val="0082626F"/>
    <w:rsid w:val="00826BF8"/>
    <w:rsid w:val="008271B3"/>
    <w:rsid w:val="0083138F"/>
    <w:rsid w:val="008317D2"/>
    <w:rsid w:val="00831B08"/>
    <w:rsid w:val="0083233F"/>
    <w:rsid w:val="008324D4"/>
    <w:rsid w:val="008326C8"/>
    <w:rsid w:val="008326CE"/>
    <w:rsid w:val="008328BB"/>
    <w:rsid w:val="00832B4C"/>
    <w:rsid w:val="00832C2F"/>
    <w:rsid w:val="0083318A"/>
    <w:rsid w:val="00833952"/>
    <w:rsid w:val="0083425E"/>
    <w:rsid w:val="0083463E"/>
    <w:rsid w:val="008347F6"/>
    <w:rsid w:val="008350F1"/>
    <w:rsid w:val="0083568E"/>
    <w:rsid w:val="00835BCE"/>
    <w:rsid w:val="0083711C"/>
    <w:rsid w:val="00837629"/>
    <w:rsid w:val="00837771"/>
    <w:rsid w:val="00840127"/>
    <w:rsid w:val="0084053A"/>
    <w:rsid w:val="0084065B"/>
    <w:rsid w:val="00840BFE"/>
    <w:rsid w:val="00840DED"/>
    <w:rsid w:val="00841AEE"/>
    <w:rsid w:val="00841AF8"/>
    <w:rsid w:val="00841B86"/>
    <w:rsid w:val="008422BB"/>
    <w:rsid w:val="0084299F"/>
    <w:rsid w:val="008430B3"/>
    <w:rsid w:val="008436D2"/>
    <w:rsid w:val="00843A6B"/>
    <w:rsid w:val="00844388"/>
    <w:rsid w:val="00844507"/>
    <w:rsid w:val="00844899"/>
    <w:rsid w:val="0084491F"/>
    <w:rsid w:val="00844982"/>
    <w:rsid w:val="00844F66"/>
    <w:rsid w:val="008451E2"/>
    <w:rsid w:val="008454CA"/>
    <w:rsid w:val="00845DF4"/>
    <w:rsid w:val="00846227"/>
    <w:rsid w:val="008468B2"/>
    <w:rsid w:val="00847031"/>
    <w:rsid w:val="008474DE"/>
    <w:rsid w:val="00847EEA"/>
    <w:rsid w:val="008509FC"/>
    <w:rsid w:val="00850CE3"/>
    <w:rsid w:val="00850FAC"/>
    <w:rsid w:val="00851172"/>
    <w:rsid w:val="00851C8F"/>
    <w:rsid w:val="00852294"/>
    <w:rsid w:val="008526C9"/>
    <w:rsid w:val="008527D6"/>
    <w:rsid w:val="008528D6"/>
    <w:rsid w:val="00852D30"/>
    <w:rsid w:val="00853433"/>
    <w:rsid w:val="00853BAA"/>
    <w:rsid w:val="00853F3D"/>
    <w:rsid w:val="00854051"/>
    <w:rsid w:val="00854AE2"/>
    <w:rsid w:val="00854BDC"/>
    <w:rsid w:val="00854CB6"/>
    <w:rsid w:val="00854E6A"/>
    <w:rsid w:val="008551BE"/>
    <w:rsid w:val="00855626"/>
    <w:rsid w:val="00855805"/>
    <w:rsid w:val="00855F51"/>
    <w:rsid w:val="00856670"/>
    <w:rsid w:val="00856717"/>
    <w:rsid w:val="0085676E"/>
    <w:rsid w:val="00856F51"/>
    <w:rsid w:val="00856F6C"/>
    <w:rsid w:val="00857331"/>
    <w:rsid w:val="008574EE"/>
    <w:rsid w:val="00857901"/>
    <w:rsid w:val="00857942"/>
    <w:rsid w:val="00857C52"/>
    <w:rsid w:val="00857C9C"/>
    <w:rsid w:val="00860BBB"/>
    <w:rsid w:val="00860F0B"/>
    <w:rsid w:val="0086120C"/>
    <w:rsid w:val="0086122A"/>
    <w:rsid w:val="008614BD"/>
    <w:rsid w:val="00861E7E"/>
    <w:rsid w:val="00861EC9"/>
    <w:rsid w:val="00862350"/>
    <w:rsid w:val="00862D70"/>
    <w:rsid w:val="00862DDA"/>
    <w:rsid w:val="00862F7E"/>
    <w:rsid w:val="00862F85"/>
    <w:rsid w:val="00863A19"/>
    <w:rsid w:val="00863C39"/>
    <w:rsid w:val="00863FFF"/>
    <w:rsid w:val="0086436D"/>
    <w:rsid w:val="00864386"/>
    <w:rsid w:val="0086529A"/>
    <w:rsid w:val="0086568F"/>
    <w:rsid w:val="008657A5"/>
    <w:rsid w:val="00865D5D"/>
    <w:rsid w:val="00865DFB"/>
    <w:rsid w:val="00865EE7"/>
    <w:rsid w:val="00866D2E"/>
    <w:rsid w:val="00866E6D"/>
    <w:rsid w:val="008671E7"/>
    <w:rsid w:val="00867561"/>
    <w:rsid w:val="00867A91"/>
    <w:rsid w:val="00870008"/>
    <w:rsid w:val="008702F1"/>
    <w:rsid w:val="00870445"/>
    <w:rsid w:val="0087056F"/>
    <w:rsid w:val="00870732"/>
    <w:rsid w:val="00870889"/>
    <w:rsid w:val="0087163C"/>
    <w:rsid w:val="008716CF"/>
    <w:rsid w:val="0087201D"/>
    <w:rsid w:val="008727E9"/>
    <w:rsid w:val="00872B67"/>
    <w:rsid w:val="0087321C"/>
    <w:rsid w:val="0087339D"/>
    <w:rsid w:val="00873AFE"/>
    <w:rsid w:val="00873BEE"/>
    <w:rsid w:val="00873DF3"/>
    <w:rsid w:val="00873E8E"/>
    <w:rsid w:val="00874108"/>
    <w:rsid w:val="00874357"/>
    <w:rsid w:val="00874450"/>
    <w:rsid w:val="0087499B"/>
    <w:rsid w:val="00874B35"/>
    <w:rsid w:val="00874B4B"/>
    <w:rsid w:val="00874D22"/>
    <w:rsid w:val="008750EF"/>
    <w:rsid w:val="00875334"/>
    <w:rsid w:val="00875F74"/>
    <w:rsid w:val="0087677B"/>
    <w:rsid w:val="00876FA7"/>
    <w:rsid w:val="0087791E"/>
    <w:rsid w:val="008779E1"/>
    <w:rsid w:val="00877A39"/>
    <w:rsid w:val="00877D9E"/>
    <w:rsid w:val="0088009A"/>
    <w:rsid w:val="008801FD"/>
    <w:rsid w:val="008807FA"/>
    <w:rsid w:val="00880B5A"/>
    <w:rsid w:val="00880BAA"/>
    <w:rsid w:val="008813DA"/>
    <w:rsid w:val="00881577"/>
    <w:rsid w:val="0088192A"/>
    <w:rsid w:val="008819BB"/>
    <w:rsid w:val="00881C86"/>
    <w:rsid w:val="00881EEA"/>
    <w:rsid w:val="0088231D"/>
    <w:rsid w:val="008825E4"/>
    <w:rsid w:val="00882740"/>
    <w:rsid w:val="00882C6D"/>
    <w:rsid w:val="00882ECA"/>
    <w:rsid w:val="00882EFF"/>
    <w:rsid w:val="0088370D"/>
    <w:rsid w:val="008842A5"/>
    <w:rsid w:val="00884565"/>
    <w:rsid w:val="00884CAB"/>
    <w:rsid w:val="0088501A"/>
    <w:rsid w:val="00885077"/>
    <w:rsid w:val="00886144"/>
    <w:rsid w:val="00886C22"/>
    <w:rsid w:val="00886FC9"/>
    <w:rsid w:val="00887386"/>
    <w:rsid w:val="00887873"/>
    <w:rsid w:val="00887874"/>
    <w:rsid w:val="008903B7"/>
    <w:rsid w:val="0089056B"/>
    <w:rsid w:val="00890A6E"/>
    <w:rsid w:val="00891169"/>
    <w:rsid w:val="008915D9"/>
    <w:rsid w:val="0089218D"/>
    <w:rsid w:val="00892D6B"/>
    <w:rsid w:val="00893568"/>
    <w:rsid w:val="008936BB"/>
    <w:rsid w:val="00893CEC"/>
    <w:rsid w:val="00894964"/>
    <w:rsid w:val="008949C8"/>
    <w:rsid w:val="00894AAA"/>
    <w:rsid w:val="00894DAD"/>
    <w:rsid w:val="0089523D"/>
    <w:rsid w:val="00895A48"/>
    <w:rsid w:val="00895B33"/>
    <w:rsid w:val="00895B97"/>
    <w:rsid w:val="00896551"/>
    <w:rsid w:val="00896B15"/>
    <w:rsid w:val="0089775D"/>
    <w:rsid w:val="008A05CA"/>
    <w:rsid w:val="008A0D7A"/>
    <w:rsid w:val="008A18E1"/>
    <w:rsid w:val="008A1AF4"/>
    <w:rsid w:val="008A1B4C"/>
    <w:rsid w:val="008A26C9"/>
    <w:rsid w:val="008A2914"/>
    <w:rsid w:val="008A2FFD"/>
    <w:rsid w:val="008A3226"/>
    <w:rsid w:val="008A3361"/>
    <w:rsid w:val="008A33EA"/>
    <w:rsid w:val="008A37F2"/>
    <w:rsid w:val="008A4111"/>
    <w:rsid w:val="008A4126"/>
    <w:rsid w:val="008A4884"/>
    <w:rsid w:val="008A497D"/>
    <w:rsid w:val="008A4B26"/>
    <w:rsid w:val="008A4BBF"/>
    <w:rsid w:val="008A4C15"/>
    <w:rsid w:val="008A4D9E"/>
    <w:rsid w:val="008A515E"/>
    <w:rsid w:val="008A524E"/>
    <w:rsid w:val="008A53CA"/>
    <w:rsid w:val="008A5470"/>
    <w:rsid w:val="008A5666"/>
    <w:rsid w:val="008A5B08"/>
    <w:rsid w:val="008A5D93"/>
    <w:rsid w:val="008A6046"/>
    <w:rsid w:val="008A6607"/>
    <w:rsid w:val="008A6DB0"/>
    <w:rsid w:val="008A70EB"/>
    <w:rsid w:val="008B038F"/>
    <w:rsid w:val="008B049B"/>
    <w:rsid w:val="008B0D16"/>
    <w:rsid w:val="008B0F9A"/>
    <w:rsid w:val="008B104F"/>
    <w:rsid w:val="008B14A5"/>
    <w:rsid w:val="008B1AEF"/>
    <w:rsid w:val="008B234C"/>
    <w:rsid w:val="008B25F5"/>
    <w:rsid w:val="008B2914"/>
    <w:rsid w:val="008B2D62"/>
    <w:rsid w:val="008B3302"/>
    <w:rsid w:val="008B37A8"/>
    <w:rsid w:val="008B3C22"/>
    <w:rsid w:val="008B4054"/>
    <w:rsid w:val="008B4367"/>
    <w:rsid w:val="008B4A7A"/>
    <w:rsid w:val="008B4E10"/>
    <w:rsid w:val="008B4E76"/>
    <w:rsid w:val="008B552C"/>
    <w:rsid w:val="008B59FC"/>
    <w:rsid w:val="008B5AA0"/>
    <w:rsid w:val="008B66EE"/>
    <w:rsid w:val="008B67C7"/>
    <w:rsid w:val="008B694D"/>
    <w:rsid w:val="008B6DC0"/>
    <w:rsid w:val="008B6F20"/>
    <w:rsid w:val="008B76FE"/>
    <w:rsid w:val="008C0067"/>
    <w:rsid w:val="008C046A"/>
    <w:rsid w:val="008C087E"/>
    <w:rsid w:val="008C0ED8"/>
    <w:rsid w:val="008C0FED"/>
    <w:rsid w:val="008C2443"/>
    <w:rsid w:val="008C29CD"/>
    <w:rsid w:val="008C2A92"/>
    <w:rsid w:val="008C2C05"/>
    <w:rsid w:val="008C3240"/>
    <w:rsid w:val="008C3A80"/>
    <w:rsid w:val="008C3B42"/>
    <w:rsid w:val="008C3D36"/>
    <w:rsid w:val="008C5157"/>
    <w:rsid w:val="008C5258"/>
    <w:rsid w:val="008C54C6"/>
    <w:rsid w:val="008C5E44"/>
    <w:rsid w:val="008C5EF0"/>
    <w:rsid w:val="008C6192"/>
    <w:rsid w:val="008C6572"/>
    <w:rsid w:val="008C694C"/>
    <w:rsid w:val="008C6DD4"/>
    <w:rsid w:val="008C6E78"/>
    <w:rsid w:val="008C7407"/>
    <w:rsid w:val="008D08FD"/>
    <w:rsid w:val="008D09CF"/>
    <w:rsid w:val="008D0D64"/>
    <w:rsid w:val="008D1A21"/>
    <w:rsid w:val="008D2362"/>
    <w:rsid w:val="008D265F"/>
    <w:rsid w:val="008D269A"/>
    <w:rsid w:val="008D28CD"/>
    <w:rsid w:val="008D2919"/>
    <w:rsid w:val="008D2ACD"/>
    <w:rsid w:val="008D321A"/>
    <w:rsid w:val="008D38DA"/>
    <w:rsid w:val="008D3E44"/>
    <w:rsid w:val="008D4380"/>
    <w:rsid w:val="008D4FBA"/>
    <w:rsid w:val="008D571D"/>
    <w:rsid w:val="008D610B"/>
    <w:rsid w:val="008D6339"/>
    <w:rsid w:val="008D660F"/>
    <w:rsid w:val="008D6983"/>
    <w:rsid w:val="008D6D23"/>
    <w:rsid w:val="008D7DE6"/>
    <w:rsid w:val="008E0233"/>
    <w:rsid w:val="008E05D9"/>
    <w:rsid w:val="008E06A3"/>
    <w:rsid w:val="008E0D21"/>
    <w:rsid w:val="008E15BA"/>
    <w:rsid w:val="008E1857"/>
    <w:rsid w:val="008E1A95"/>
    <w:rsid w:val="008E1AA9"/>
    <w:rsid w:val="008E30E6"/>
    <w:rsid w:val="008E31BA"/>
    <w:rsid w:val="008E3BDE"/>
    <w:rsid w:val="008E4643"/>
    <w:rsid w:val="008E4D89"/>
    <w:rsid w:val="008E4D8E"/>
    <w:rsid w:val="008E5896"/>
    <w:rsid w:val="008E5A68"/>
    <w:rsid w:val="008E6582"/>
    <w:rsid w:val="008E6593"/>
    <w:rsid w:val="008E6BA2"/>
    <w:rsid w:val="008E6CB2"/>
    <w:rsid w:val="008E713A"/>
    <w:rsid w:val="008E7393"/>
    <w:rsid w:val="008E739E"/>
    <w:rsid w:val="008E7825"/>
    <w:rsid w:val="008F0710"/>
    <w:rsid w:val="008F096A"/>
    <w:rsid w:val="008F0C1A"/>
    <w:rsid w:val="008F1132"/>
    <w:rsid w:val="008F125E"/>
    <w:rsid w:val="008F1537"/>
    <w:rsid w:val="008F16D7"/>
    <w:rsid w:val="008F233C"/>
    <w:rsid w:val="008F293E"/>
    <w:rsid w:val="008F32E9"/>
    <w:rsid w:val="008F3655"/>
    <w:rsid w:val="008F3BB7"/>
    <w:rsid w:val="008F3BC5"/>
    <w:rsid w:val="008F44B6"/>
    <w:rsid w:val="008F46E0"/>
    <w:rsid w:val="008F471D"/>
    <w:rsid w:val="008F5109"/>
    <w:rsid w:val="008F5378"/>
    <w:rsid w:val="008F59B0"/>
    <w:rsid w:val="008F5A28"/>
    <w:rsid w:val="008F61EB"/>
    <w:rsid w:val="008F6744"/>
    <w:rsid w:val="008F73B3"/>
    <w:rsid w:val="008F777A"/>
    <w:rsid w:val="008F7D4E"/>
    <w:rsid w:val="0090013F"/>
    <w:rsid w:val="009001DE"/>
    <w:rsid w:val="00900287"/>
    <w:rsid w:val="00900976"/>
    <w:rsid w:val="00900C18"/>
    <w:rsid w:val="00900DA4"/>
    <w:rsid w:val="00900E2C"/>
    <w:rsid w:val="00900FCB"/>
    <w:rsid w:val="009013EE"/>
    <w:rsid w:val="009019AA"/>
    <w:rsid w:val="00901B26"/>
    <w:rsid w:val="00901F68"/>
    <w:rsid w:val="009022F3"/>
    <w:rsid w:val="009023DC"/>
    <w:rsid w:val="00902525"/>
    <w:rsid w:val="00902591"/>
    <w:rsid w:val="00902894"/>
    <w:rsid w:val="009029DC"/>
    <w:rsid w:val="00902A0E"/>
    <w:rsid w:val="00902A41"/>
    <w:rsid w:val="00902C8E"/>
    <w:rsid w:val="009030A3"/>
    <w:rsid w:val="0090316D"/>
    <w:rsid w:val="0090340D"/>
    <w:rsid w:val="0090361A"/>
    <w:rsid w:val="009038FF"/>
    <w:rsid w:val="0090390A"/>
    <w:rsid w:val="00903B88"/>
    <w:rsid w:val="00903CA5"/>
    <w:rsid w:val="00903E92"/>
    <w:rsid w:val="00903FA7"/>
    <w:rsid w:val="0090435C"/>
    <w:rsid w:val="0090446E"/>
    <w:rsid w:val="00904B04"/>
    <w:rsid w:val="00905AA1"/>
    <w:rsid w:val="00905EA3"/>
    <w:rsid w:val="00906020"/>
    <w:rsid w:val="00906029"/>
    <w:rsid w:val="00906256"/>
    <w:rsid w:val="00906702"/>
    <w:rsid w:val="00906967"/>
    <w:rsid w:val="00906AF0"/>
    <w:rsid w:val="0090761D"/>
    <w:rsid w:val="00907921"/>
    <w:rsid w:val="00907960"/>
    <w:rsid w:val="00907BB7"/>
    <w:rsid w:val="00910334"/>
    <w:rsid w:val="009104F4"/>
    <w:rsid w:val="00910D9B"/>
    <w:rsid w:val="00911218"/>
    <w:rsid w:val="00911413"/>
    <w:rsid w:val="0091192C"/>
    <w:rsid w:val="00911C6D"/>
    <w:rsid w:val="00911D15"/>
    <w:rsid w:val="00912125"/>
    <w:rsid w:val="009125E7"/>
    <w:rsid w:val="00912F47"/>
    <w:rsid w:val="00912FDE"/>
    <w:rsid w:val="009130F9"/>
    <w:rsid w:val="009133A4"/>
    <w:rsid w:val="00913860"/>
    <w:rsid w:val="009139D3"/>
    <w:rsid w:val="00913BA0"/>
    <w:rsid w:val="00913C41"/>
    <w:rsid w:val="00913E3A"/>
    <w:rsid w:val="00913FA2"/>
    <w:rsid w:val="00914D6A"/>
    <w:rsid w:val="0091509D"/>
    <w:rsid w:val="00915A9E"/>
    <w:rsid w:val="00915F05"/>
    <w:rsid w:val="009161AA"/>
    <w:rsid w:val="00916760"/>
    <w:rsid w:val="009168DC"/>
    <w:rsid w:val="00916FAF"/>
    <w:rsid w:val="009170F4"/>
    <w:rsid w:val="0091760F"/>
    <w:rsid w:val="009178D7"/>
    <w:rsid w:val="009200BD"/>
    <w:rsid w:val="00920E33"/>
    <w:rsid w:val="00921725"/>
    <w:rsid w:val="009219C1"/>
    <w:rsid w:val="00921E3D"/>
    <w:rsid w:val="009222CE"/>
    <w:rsid w:val="0092251D"/>
    <w:rsid w:val="009227F9"/>
    <w:rsid w:val="009237AB"/>
    <w:rsid w:val="00923E73"/>
    <w:rsid w:val="00923F12"/>
    <w:rsid w:val="0092420E"/>
    <w:rsid w:val="009244D6"/>
    <w:rsid w:val="00924F45"/>
    <w:rsid w:val="00925151"/>
    <w:rsid w:val="00925937"/>
    <w:rsid w:val="00925A9C"/>
    <w:rsid w:val="00925AF6"/>
    <w:rsid w:val="00925BDA"/>
    <w:rsid w:val="00925CCD"/>
    <w:rsid w:val="009264E5"/>
    <w:rsid w:val="009265D9"/>
    <w:rsid w:val="00926634"/>
    <w:rsid w:val="009266EA"/>
    <w:rsid w:val="00926CF0"/>
    <w:rsid w:val="009271EC"/>
    <w:rsid w:val="009278BF"/>
    <w:rsid w:val="00927A08"/>
    <w:rsid w:val="00930441"/>
    <w:rsid w:val="00930687"/>
    <w:rsid w:val="009307F5"/>
    <w:rsid w:val="009309E4"/>
    <w:rsid w:val="00930A67"/>
    <w:rsid w:val="00930C40"/>
    <w:rsid w:val="009311F9"/>
    <w:rsid w:val="009326F8"/>
    <w:rsid w:val="00932EE1"/>
    <w:rsid w:val="00933255"/>
    <w:rsid w:val="0093346A"/>
    <w:rsid w:val="00933CCC"/>
    <w:rsid w:val="009344FB"/>
    <w:rsid w:val="00934699"/>
    <w:rsid w:val="00934ED2"/>
    <w:rsid w:val="0093575C"/>
    <w:rsid w:val="0093580B"/>
    <w:rsid w:val="00935AE6"/>
    <w:rsid w:val="009360AB"/>
    <w:rsid w:val="0093679C"/>
    <w:rsid w:val="00936B45"/>
    <w:rsid w:val="0093706F"/>
    <w:rsid w:val="00937185"/>
    <w:rsid w:val="0093721C"/>
    <w:rsid w:val="009373FD"/>
    <w:rsid w:val="0093796B"/>
    <w:rsid w:val="00937B3B"/>
    <w:rsid w:val="00937B8F"/>
    <w:rsid w:val="00937D8A"/>
    <w:rsid w:val="00937F88"/>
    <w:rsid w:val="00940221"/>
    <w:rsid w:val="0094066A"/>
    <w:rsid w:val="00940C33"/>
    <w:rsid w:val="00940FAD"/>
    <w:rsid w:val="00940FF1"/>
    <w:rsid w:val="0094196D"/>
    <w:rsid w:val="00941BE8"/>
    <w:rsid w:val="00941D59"/>
    <w:rsid w:val="00942360"/>
    <w:rsid w:val="00942440"/>
    <w:rsid w:val="00942467"/>
    <w:rsid w:val="0094277C"/>
    <w:rsid w:val="009428B9"/>
    <w:rsid w:val="00942938"/>
    <w:rsid w:val="00942A0A"/>
    <w:rsid w:val="009430E3"/>
    <w:rsid w:val="0094325C"/>
    <w:rsid w:val="00943619"/>
    <w:rsid w:val="00943866"/>
    <w:rsid w:val="00943AB7"/>
    <w:rsid w:val="00943BC8"/>
    <w:rsid w:val="00943FD7"/>
    <w:rsid w:val="00944378"/>
    <w:rsid w:val="0094441B"/>
    <w:rsid w:val="00944489"/>
    <w:rsid w:val="00944860"/>
    <w:rsid w:val="00944AE1"/>
    <w:rsid w:val="00945477"/>
    <w:rsid w:val="00947447"/>
    <w:rsid w:val="00947CD5"/>
    <w:rsid w:val="00947F60"/>
    <w:rsid w:val="00950301"/>
    <w:rsid w:val="009508BC"/>
    <w:rsid w:val="00950908"/>
    <w:rsid w:val="00950AD4"/>
    <w:rsid w:val="00952F82"/>
    <w:rsid w:val="009533B7"/>
    <w:rsid w:val="00953520"/>
    <w:rsid w:val="009537F7"/>
    <w:rsid w:val="00953B86"/>
    <w:rsid w:val="00953C26"/>
    <w:rsid w:val="00954117"/>
    <w:rsid w:val="00954123"/>
    <w:rsid w:val="00954140"/>
    <w:rsid w:val="00955164"/>
    <w:rsid w:val="00955462"/>
    <w:rsid w:val="00955DA9"/>
    <w:rsid w:val="00955F48"/>
    <w:rsid w:val="00956426"/>
    <w:rsid w:val="0095757A"/>
    <w:rsid w:val="0095762F"/>
    <w:rsid w:val="009576AE"/>
    <w:rsid w:val="009576C3"/>
    <w:rsid w:val="009603CC"/>
    <w:rsid w:val="009607E2"/>
    <w:rsid w:val="00960815"/>
    <w:rsid w:val="009609FE"/>
    <w:rsid w:val="00960B6A"/>
    <w:rsid w:val="00961578"/>
    <w:rsid w:val="0096199C"/>
    <w:rsid w:val="0096199E"/>
    <w:rsid w:val="009624BC"/>
    <w:rsid w:val="0096273C"/>
    <w:rsid w:val="00962AAF"/>
    <w:rsid w:val="00962B32"/>
    <w:rsid w:val="009630EB"/>
    <w:rsid w:val="00963362"/>
    <w:rsid w:val="00963609"/>
    <w:rsid w:val="00963A56"/>
    <w:rsid w:val="0096476D"/>
    <w:rsid w:val="00964F22"/>
    <w:rsid w:val="00965228"/>
    <w:rsid w:val="00965D6B"/>
    <w:rsid w:val="00966601"/>
    <w:rsid w:val="0096661C"/>
    <w:rsid w:val="00966D42"/>
    <w:rsid w:val="00967882"/>
    <w:rsid w:val="00967A3F"/>
    <w:rsid w:val="009703CB"/>
    <w:rsid w:val="00970551"/>
    <w:rsid w:val="00970D0B"/>
    <w:rsid w:val="009719B9"/>
    <w:rsid w:val="00971FFB"/>
    <w:rsid w:val="00972014"/>
    <w:rsid w:val="00972450"/>
    <w:rsid w:val="00972806"/>
    <w:rsid w:val="00973450"/>
    <w:rsid w:val="00973465"/>
    <w:rsid w:val="009743C4"/>
    <w:rsid w:val="009746CE"/>
    <w:rsid w:val="009748D0"/>
    <w:rsid w:val="00975146"/>
    <w:rsid w:val="00975A19"/>
    <w:rsid w:val="00975A50"/>
    <w:rsid w:val="00975C8A"/>
    <w:rsid w:val="00975FCD"/>
    <w:rsid w:val="0097677D"/>
    <w:rsid w:val="0097689C"/>
    <w:rsid w:val="00976A95"/>
    <w:rsid w:val="009778CE"/>
    <w:rsid w:val="009803C4"/>
    <w:rsid w:val="00980619"/>
    <w:rsid w:val="009806CB"/>
    <w:rsid w:val="0098081C"/>
    <w:rsid w:val="00980A9D"/>
    <w:rsid w:val="00980D67"/>
    <w:rsid w:val="00980E03"/>
    <w:rsid w:val="0098100B"/>
    <w:rsid w:val="0098123B"/>
    <w:rsid w:val="0098147C"/>
    <w:rsid w:val="00981D66"/>
    <w:rsid w:val="00981E64"/>
    <w:rsid w:val="00982226"/>
    <w:rsid w:val="0098284D"/>
    <w:rsid w:val="00982D92"/>
    <w:rsid w:val="00983C02"/>
    <w:rsid w:val="00983F23"/>
    <w:rsid w:val="00984469"/>
    <w:rsid w:val="009845FB"/>
    <w:rsid w:val="0098532B"/>
    <w:rsid w:val="00985402"/>
    <w:rsid w:val="00985647"/>
    <w:rsid w:val="00985CA3"/>
    <w:rsid w:val="00985CB6"/>
    <w:rsid w:val="00985EBE"/>
    <w:rsid w:val="0098698B"/>
    <w:rsid w:val="00986BF2"/>
    <w:rsid w:val="0098708F"/>
    <w:rsid w:val="0098754A"/>
    <w:rsid w:val="009904F4"/>
    <w:rsid w:val="009906CC"/>
    <w:rsid w:val="009908E0"/>
    <w:rsid w:val="009920E0"/>
    <w:rsid w:val="00992212"/>
    <w:rsid w:val="009925B0"/>
    <w:rsid w:val="0099262D"/>
    <w:rsid w:val="0099366A"/>
    <w:rsid w:val="00993721"/>
    <w:rsid w:val="0099428A"/>
    <w:rsid w:val="009942A6"/>
    <w:rsid w:val="0099467C"/>
    <w:rsid w:val="009947E2"/>
    <w:rsid w:val="00994D48"/>
    <w:rsid w:val="00994DA0"/>
    <w:rsid w:val="00995653"/>
    <w:rsid w:val="00995D58"/>
    <w:rsid w:val="00996C6F"/>
    <w:rsid w:val="00996FD5"/>
    <w:rsid w:val="0099733A"/>
    <w:rsid w:val="00997462"/>
    <w:rsid w:val="00997550"/>
    <w:rsid w:val="00997FEF"/>
    <w:rsid w:val="009A0160"/>
    <w:rsid w:val="009A0F2B"/>
    <w:rsid w:val="009A0F74"/>
    <w:rsid w:val="009A15D7"/>
    <w:rsid w:val="009A25BF"/>
    <w:rsid w:val="009A2EAB"/>
    <w:rsid w:val="009A2FE8"/>
    <w:rsid w:val="009A32AA"/>
    <w:rsid w:val="009A342A"/>
    <w:rsid w:val="009A3B2B"/>
    <w:rsid w:val="009A3F5B"/>
    <w:rsid w:val="009A4040"/>
    <w:rsid w:val="009A421F"/>
    <w:rsid w:val="009A558B"/>
    <w:rsid w:val="009A5855"/>
    <w:rsid w:val="009A5B85"/>
    <w:rsid w:val="009A60F6"/>
    <w:rsid w:val="009A6A58"/>
    <w:rsid w:val="009A6D48"/>
    <w:rsid w:val="009A6D4E"/>
    <w:rsid w:val="009A71DD"/>
    <w:rsid w:val="009A767D"/>
    <w:rsid w:val="009A7B9F"/>
    <w:rsid w:val="009B0143"/>
    <w:rsid w:val="009B0234"/>
    <w:rsid w:val="009B04D2"/>
    <w:rsid w:val="009B09E0"/>
    <w:rsid w:val="009B0BA3"/>
    <w:rsid w:val="009B1FE8"/>
    <w:rsid w:val="009B30EC"/>
    <w:rsid w:val="009B31BD"/>
    <w:rsid w:val="009B3359"/>
    <w:rsid w:val="009B3395"/>
    <w:rsid w:val="009B3D75"/>
    <w:rsid w:val="009B3E50"/>
    <w:rsid w:val="009B473A"/>
    <w:rsid w:val="009B4AAC"/>
    <w:rsid w:val="009B4ABC"/>
    <w:rsid w:val="009B4EA9"/>
    <w:rsid w:val="009B50BB"/>
    <w:rsid w:val="009B52F0"/>
    <w:rsid w:val="009B5568"/>
    <w:rsid w:val="009B55A1"/>
    <w:rsid w:val="009B58EA"/>
    <w:rsid w:val="009B637C"/>
    <w:rsid w:val="009B638F"/>
    <w:rsid w:val="009B67FB"/>
    <w:rsid w:val="009B6813"/>
    <w:rsid w:val="009B6CF5"/>
    <w:rsid w:val="009B6FE5"/>
    <w:rsid w:val="009B794D"/>
    <w:rsid w:val="009B7979"/>
    <w:rsid w:val="009B7A6A"/>
    <w:rsid w:val="009B7B39"/>
    <w:rsid w:val="009B7DF0"/>
    <w:rsid w:val="009C0325"/>
    <w:rsid w:val="009C03F3"/>
    <w:rsid w:val="009C0B90"/>
    <w:rsid w:val="009C0C84"/>
    <w:rsid w:val="009C0F78"/>
    <w:rsid w:val="009C1025"/>
    <w:rsid w:val="009C1646"/>
    <w:rsid w:val="009C170E"/>
    <w:rsid w:val="009C1888"/>
    <w:rsid w:val="009C1D79"/>
    <w:rsid w:val="009C2188"/>
    <w:rsid w:val="009C25AF"/>
    <w:rsid w:val="009C2688"/>
    <w:rsid w:val="009C2F80"/>
    <w:rsid w:val="009C2FCC"/>
    <w:rsid w:val="009C30DD"/>
    <w:rsid w:val="009C34C6"/>
    <w:rsid w:val="009C37BF"/>
    <w:rsid w:val="009C418D"/>
    <w:rsid w:val="009C4282"/>
    <w:rsid w:val="009C4A0A"/>
    <w:rsid w:val="009C4AE3"/>
    <w:rsid w:val="009C4E0D"/>
    <w:rsid w:val="009C5107"/>
    <w:rsid w:val="009C5F9E"/>
    <w:rsid w:val="009C61BE"/>
    <w:rsid w:val="009C6323"/>
    <w:rsid w:val="009C6399"/>
    <w:rsid w:val="009C653A"/>
    <w:rsid w:val="009C67A0"/>
    <w:rsid w:val="009C7579"/>
    <w:rsid w:val="009C7E68"/>
    <w:rsid w:val="009D0250"/>
    <w:rsid w:val="009D082C"/>
    <w:rsid w:val="009D0E02"/>
    <w:rsid w:val="009D103D"/>
    <w:rsid w:val="009D13B5"/>
    <w:rsid w:val="009D1B6E"/>
    <w:rsid w:val="009D1DA4"/>
    <w:rsid w:val="009D2649"/>
    <w:rsid w:val="009D2BC1"/>
    <w:rsid w:val="009D2D24"/>
    <w:rsid w:val="009D2DBF"/>
    <w:rsid w:val="009D3EB8"/>
    <w:rsid w:val="009D3FD7"/>
    <w:rsid w:val="009D3FFC"/>
    <w:rsid w:val="009D4727"/>
    <w:rsid w:val="009D5105"/>
    <w:rsid w:val="009D558F"/>
    <w:rsid w:val="009D61F0"/>
    <w:rsid w:val="009D6776"/>
    <w:rsid w:val="009D6D95"/>
    <w:rsid w:val="009D7042"/>
    <w:rsid w:val="009D71F9"/>
    <w:rsid w:val="009D731F"/>
    <w:rsid w:val="009D7681"/>
    <w:rsid w:val="009D793C"/>
    <w:rsid w:val="009E005A"/>
    <w:rsid w:val="009E0493"/>
    <w:rsid w:val="009E07A0"/>
    <w:rsid w:val="009E097D"/>
    <w:rsid w:val="009E0ED3"/>
    <w:rsid w:val="009E15DE"/>
    <w:rsid w:val="009E1B73"/>
    <w:rsid w:val="009E2C84"/>
    <w:rsid w:val="009E3EE7"/>
    <w:rsid w:val="009E3FF4"/>
    <w:rsid w:val="009E4B07"/>
    <w:rsid w:val="009E4C01"/>
    <w:rsid w:val="009E50E9"/>
    <w:rsid w:val="009E518C"/>
    <w:rsid w:val="009E6087"/>
    <w:rsid w:val="009E6A42"/>
    <w:rsid w:val="009E6B85"/>
    <w:rsid w:val="009E6D9F"/>
    <w:rsid w:val="009E73C8"/>
    <w:rsid w:val="009E7880"/>
    <w:rsid w:val="009E7D9F"/>
    <w:rsid w:val="009F0568"/>
    <w:rsid w:val="009F0CB3"/>
    <w:rsid w:val="009F0D6D"/>
    <w:rsid w:val="009F1C82"/>
    <w:rsid w:val="009F1D02"/>
    <w:rsid w:val="009F251A"/>
    <w:rsid w:val="009F31D7"/>
    <w:rsid w:val="009F3BE0"/>
    <w:rsid w:val="009F401E"/>
    <w:rsid w:val="009F4671"/>
    <w:rsid w:val="009F483E"/>
    <w:rsid w:val="009F4FF7"/>
    <w:rsid w:val="009F5463"/>
    <w:rsid w:val="009F55AC"/>
    <w:rsid w:val="009F5674"/>
    <w:rsid w:val="009F58D1"/>
    <w:rsid w:val="009F603E"/>
    <w:rsid w:val="009F6A97"/>
    <w:rsid w:val="009F78A8"/>
    <w:rsid w:val="009F7FE0"/>
    <w:rsid w:val="00A00E68"/>
    <w:rsid w:val="00A011DA"/>
    <w:rsid w:val="00A011FD"/>
    <w:rsid w:val="00A0176A"/>
    <w:rsid w:val="00A01A37"/>
    <w:rsid w:val="00A023DC"/>
    <w:rsid w:val="00A0359D"/>
    <w:rsid w:val="00A036B7"/>
    <w:rsid w:val="00A039B3"/>
    <w:rsid w:val="00A03C64"/>
    <w:rsid w:val="00A03F80"/>
    <w:rsid w:val="00A03FA7"/>
    <w:rsid w:val="00A04461"/>
    <w:rsid w:val="00A045F1"/>
    <w:rsid w:val="00A04A54"/>
    <w:rsid w:val="00A05021"/>
    <w:rsid w:val="00A05311"/>
    <w:rsid w:val="00A05C5B"/>
    <w:rsid w:val="00A05C8B"/>
    <w:rsid w:val="00A05CF1"/>
    <w:rsid w:val="00A061EF"/>
    <w:rsid w:val="00A06259"/>
    <w:rsid w:val="00A06711"/>
    <w:rsid w:val="00A06A32"/>
    <w:rsid w:val="00A06F73"/>
    <w:rsid w:val="00A07356"/>
    <w:rsid w:val="00A07493"/>
    <w:rsid w:val="00A07534"/>
    <w:rsid w:val="00A0777A"/>
    <w:rsid w:val="00A10EBB"/>
    <w:rsid w:val="00A111F4"/>
    <w:rsid w:val="00A1144A"/>
    <w:rsid w:val="00A118F2"/>
    <w:rsid w:val="00A119CB"/>
    <w:rsid w:val="00A11EDE"/>
    <w:rsid w:val="00A12E20"/>
    <w:rsid w:val="00A13423"/>
    <w:rsid w:val="00A138B9"/>
    <w:rsid w:val="00A144E2"/>
    <w:rsid w:val="00A14EB3"/>
    <w:rsid w:val="00A14FFD"/>
    <w:rsid w:val="00A15348"/>
    <w:rsid w:val="00A15404"/>
    <w:rsid w:val="00A15889"/>
    <w:rsid w:val="00A15EA4"/>
    <w:rsid w:val="00A161EF"/>
    <w:rsid w:val="00A16702"/>
    <w:rsid w:val="00A1674E"/>
    <w:rsid w:val="00A16E7D"/>
    <w:rsid w:val="00A17197"/>
    <w:rsid w:val="00A20130"/>
    <w:rsid w:val="00A20510"/>
    <w:rsid w:val="00A21611"/>
    <w:rsid w:val="00A21F0A"/>
    <w:rsid w:val="00A21FA4"/>
    <w:rsid w:val="00A228A9"/>
    <w:rsid w:val="00A22CE7"/>
    <w:rsid w:val="00A231A6"/>
    <w:rsid w:val="00A23577"/>
    <w:rsid w:val="00A237D7"/>
    <w:rsid w:val="00A23CD8"/>
    <w:rsid w:val="00A2462D"/>
    <w:rsid w:val="00A248E9"/>
    <w:rsid w:val="00A24A13"/>
    <w:rsid w:val="00A24A5B"/>
    <w:rsid w:val="00A24DAD"/>
    <w:rsid w:val="00A2552B"/>
    <w:rsid w:val="00A25602"/>
    <w:rsid w:val="00A25DDB"/>
    <w:rsid w:val="00A26356"/>
    <w:rsid w:val="00A267D4"/>
    <w:rsid w:val="00A26835"/>
    <w:rsid w:val="00A26A20"/>
    <w:rsid w:val="00A26E4F"/>
    <w:rsid w:val="00A27777"/>
    <w:rsid w:val="00A2782E"/>
    <w:rsid w:val="00A27A24"/>
    <w:rsid w:val="00A27C9C"/>
    <w:rsid w:val="00A307B4"/>
    <w:rsid w:val="00A3093E"/>
    <w:rsid w:val="00A30BA6"/>
    <w:rsid w:val="00A30BA9"/>
    <w:rsid w:val="00A30C4C"/>
    <w:rsid w:val="00A30E1C"/>
    <w:rsid w:val="00A30F54"/>
    <w:rsid w:val="00A30FF4"/>
    <w:rsid w:val="00A316AC"/>
    <w:rsid w:val="00A317E7"/>
    <w:rsid w:val="00A318C8"/>
    <w:rsid w:val="00A320C9"/>
    <w:rsid w:val="00A32134"/>
    <w:rsid w:val="00A338BC"/>
    <w:rsid w:val="00A33B4F"/>
    <w:rsid w:val="00A33E84"/>
    <w:rsid w:val="00A341FC"/>
    <w:rsid w:val="00A342A9"/>
    <w:rsid w:val="00A347AA"/>
    <w:rsid w:val="00A348D9"/>
    <w:rsid w:val="00A35605"/>
    <w:rsid w:val="00A35ACD"/>
    <w:rsid w:val="00A35D32"/>
    <w:rsid w:val="00A35D83"/>
    <w:rsid w:val="00A36481"/>
    <w:rsid w:val="00A366AB"/>
    <w:rsid w:val="00A36A97"/>
    <w:rsid w:val="00A374AE"/>
    <w:rsid w:val="00A3759F"/>
    <w:rsid w:val="00A376E1"/>
    <w:rsid w:val="00A403CA"/>
    <w:rsid w:val="00A406E9"/>
    <w:rsid w:val="00A40CC7"/>
    <w:rsid w:val="00A40CD1"/>
    <w:rsid w:val="00A40FC6"/>
    <w:rsid w:val="00A411A2"/>
    <w:rsid w:val="00A416B4"/>
    <w:rsid w:val="00A41AC9"/>
    <w:rsid w:val="00A41C55"/>
    <w:rsid w:val="00A4250A"/>
    <w:rsid w:val="00A43019"/>
    <w:rsid w:val="00A43A1D"/>
    <w:rsid w:val="00A44257"/>
    <w:rsid w:val="00A45190"/>
    <w:rsid w:val="00A452DC"/>
    <w:rsid w:val="00A4581A"/>
    <w:rsid w:val="00A4616C"/>
    <w:rsid w:val="00A46AD3"/>
    <w:rsid w:val="00A47B51"/>
    <w:rsid w:val="00A47B97"/>
    <w:rsid w:val="00A506EA"/>
    <w:rsid w:val="00A5082D"/>
    <w:rsid w:val="00A508F7"/>
    <w:rsid w:val="00A510D1"/>
    <w:rsid w:val="00A514D9"/>
    <w:rsid w:val="00A51581"/>
    <w:rsid w:val="00A516F6"/>
    <w:rsid w:val="00A51C3F"/>
    <w:rsid w:val="00A51DA3"/>
    <w:rsid w:val="00A51F0B"/>
    <w:rsid w:val="00A528B5"/>
    <w:rsid w:val="00A528C7"/>
    <w:rsid w:val="00A528E8"/>
    <w:rsid w:val="00A528F8"/>
    <w:rsid w:val="00A52B36"/>
    <w:rsid w:val="00A52DC8"/>
    <w:rsid w:val="00A52EA0"/>
    <w:rsid w:val="00A52FBB"/>
    <w:rsid w:val="00A532E6"/>
    <w:rsid w:val="00A534BC"/>
    <w:rsid w:val="00A53F2C"/>
    <w:rsid w:val="00A53F7C"/>
    <w:rsid w:val="00A54975"/>
    <w:rsid w:val="00A55154"/>
    <w:rsid w:val="00A5519B"/>
    <w:rsid w:val="00A553FC"/>
    <w:rsid w:val="00A5556F"/>
    <w:rsid w:val="00A5562E"/>
    <w:rsid w:val="00A556D9"/>
    <w:rsid w:val="00A55AB9"/>
    <w:rsid w:val="00A55C55"/>
    <w:rsid w:val="00A56180"/>
    <w:rsid w:val="00A56CB7"/>
    <w:rsid w:val="00A5753E"/>
    <w:rsid w:val="00A57A51"/>
    <w:rsid w:val="00A57C3C"/>
    <w:rsid w:val="00A57F1E"/>
    <w:rsid w:val="00A60228"/>
    <w:rsid w:val="00A6043B"/>
    <w:rsid w:val="00A6065A"/>
    <w:rsid w:val="00A60867"/>
    <w:rsid w:val="00A60E87"/>
    <w:rsid w:val="00A6124B"/>
    <w:rsid w:val="00A6157B"/>
    <w:rsid w:val="00A618E8"/>
    <w:rsid w:val="00A623FF"/>
    <w:rsid w:val="00A62515"/>
    <w:rsid w:val="00A62643"/>
    <w:rsid w:val="00A62834"/>
    <w:rsid w:val="00A62ACD"/>
    <w:rsid w:val="00A62DAD"/>
    <w:rsid w:val="00A634AE"/>
    <w:rsid w:val="00A63F00"/>
    <w:rsid w:val="00A6446C"/>
    <w:rsid w:val="00A64E48"/>
    <w:rsid w:val="00A64FC5"/>
    <w:rsid w:val="00A65096"/>
    <w:rsid w:val="00A654BC"/>
    <w:rsid w:val="00A66101"/>
    <w:rsid w:val="00A66744"/>
    <w:rsid w:val="00A66755"/>
    <w:rsid w:val="00A66BDC"/>
    <w:rsid w:val="00A66D21"/>
    <w:rsid w:val="00A66D7D"/>
    <w:rsid w:val="00A67151"/>
    <w:rsid w:val="00A6750A"/>
    <w:rsid w:val="00A67552"/>
    <w:rsid w:val="00A67D08"/>
    <w:rsid w:val="00A70A82"/>
    <w:rsid w:val="00A70C6A"/>
    <w:rsid w:val="00A71924"/>
    <w:rsid w:val="00A71969"/>
    <w:rsid w:val="00A71A53"/>
    <w:rsid w:val="00A7231D"/>
    <w:rsid w:val="00A72923"/>
    <w:rsid w:val="00A72DFD"/>
    <w:rsid w:val="00A735BE"/>
    <w:rsid w:val="00A73843"/>
    <w:rsid w:val="00A73FE1"/>
    <w:rsid w:val="00A74BB3"/>
    <w:rsid w:val="00A751D6"/>
    <w:rsid w:val="00A7532F"/>
    <w:rsid w:val="00A753C7"/>
    <w:rsid w:val="00A75708"/>
    <w:rsid w:val="00A758D2"/>
    <w:rsid w:val="00A7754A"/>
    <w:rsid w:val="00A7786E"/>
    <w:rsid w:val="00A77B36"/>
    <w:rsid w:val="00A77C76"/>
    <w:rsid w:val="00A77E64"/>
    <w:rsid w:val="00A80837"/>
    <w:rsid w:val="00A809A5"/>
    <w:rsid w:val="00A81330"/>
    <w:rsid w:val="00A81405"/>
    <w:rsid w:val="00A819CE"/>
    <w:rsid w:val="00A823BE"/>
    <w:rsid w:val="00A825BC"/>
    <w:rsid w:val="00A82F1C"/>
    <w:rsid w:val="00A82F55"/>
    <w:rsid w:val="00A832B4"/>
    <w:rsid w:val="00A83403"/>
    <w:rsid w:val="00A83507"/>
    <w:rsid w:val="00A83E27"/>
    <w:rsid w:val="00A83FC6"/>
    <w:rsid w:val="00A8411A"/>
    <w:rsid w:val="00A84329"/>
    <w:rsid w:val="00A8432C"/>
    <w:rsid w:val="00A84533"/>
    <w:rsid w:val="00A846DD"/>
    <w:rsid w:val="00A8470B"/>
    <w:rsid w:val="00A84A3D"/>
    <w:rsid w:val="00A84C80"/>
    <w:rsid w:val="00A84EF3"/>
    <w:rsid w:val="00A85504"/>
    <w:rsid w:val="00A85647"/>
    <w:rsid w:val="00A86264"/>
    <w:rsid w:val="00A86875"/>
    <w:rsid w:val="00A86A94"/>
    <w:rsid w:val="00A86E00"/>
    <w:rsid w:val="00A8744F"/>
    <w:rsid w:val="00A901D5"/>
    <w:rsid w:val="00A9024F"/>
    <w:rsid w:val="00A90AAA"/>
    <w:rsid w:val="00A90EB1"/>
    <w:rsid w:val="00A90F51"/>
    <w:rsid w:val="00A91178"/>
    <w:rsid w:val="00A919F2"/>
    <w:rsid w:val="00A91E92"/>
    <w:rsid w:val="00A91F8A"/>
    <w:rsid w:val="00A92553"/>
    <w:rsid w:val="00A92771"/>
    <w:rsid w:val="00A938F1"/>
    <w:rsid w:val="00A93B03"/>
    <w:rsid w:val="00A94322"/>
    <w:rsid w:val="00A946E8"/>
    <w:rsid w:val="00A94781"/>
    <w:rsid w:val="00A950CC"/>
    <w:rsid w:val="00A9586B"/>
    <w:rsid w:val="00A95949"/>
    <w:rsid w:val="00A96089"/>
    <w:rsid w:val="00A960F8"/>
    <w:rsid w:val="00A96447"/>
    <w:rsid w:val="00A9645C"/>
    <w:rsid w:val="00A96E6C"/>
    <w:rsid w:val="00A97054"/>
    <w:rsid w:val="00A9744A"/>
    <w:rsid w:val="00A9752A"/>
    <w:rsid w:val="00A97A37"/>
    <w:rsid w:val="00A97CFF"/>
    <w:rsid w:val="00A97E04"/>
    <w:rsid w:val="00AA01CB"/>
    <w:rsid w:val="00AA0372"/>
    <w:rsid w:val="00AA0603"/>
    <w:rsid w:val="00AA07E1"/>
    <w:rsid w:val="00AA09C5"/>
    <w:rsid w:val="00AA184A"/>
    <w:rsid w:val="00AA1FFF"/>
    <w:rsid w:val="00AA21BC"/>
    <w:rsid w:val="00AA21CE"/>
    <w:rsid w:val="00AA2484"/>
    <w:rsid w:val="00AA26ED"/>
    <w:rsid w:val="00AA2725"/>
    <w:rsid w:val="00AA299D"/>
    <w:rsid w:val="00AA2B32"/>
    <w:rsid w:val="00AA3523"/>
    <w:rsid w:val="00AA3581"/>
    <w:rsid w:val="00AA35B5"/>
    <w:rsid w:val="00AA3FEF"/>
    <w:rsid w:val="00AA41C7"/>
    <w:rsid w:val="00AA4904"/>
    <w:rsid w:val="00AA4C6D"/>
    <w:rsid w:val="00AA4CD3"/>
    <w:rsid w:val="00AA4E9A"/>
    <w:rsid w:val="00AA576F"/>
    <w:rsid w:val="00AA5810"/>
    <w:rsid w:val="00AA6671"/>
    <w:rsid w:val="00AA66D6"/>
    <w:rsid w:val="00AA67AF"/>
    <w:rsid w:val="00AA68DE"/>
    <w:rsid w:val="00AA6F23"/>
    <w:rsid w:val="00AA6F29"/>
    <w:rsid w:val="00AA736F"/>
    <w:rsid w:val="00AA7D88"/>
    <w:rsid w:val="00AA7E01"/>
    <w:rsid w:val="00AA7E58"/>
    <w:rsid w:val="00AB0188"/>
    <w:rsid w:val="00AB019F"/>
    <w:rsid w:val="00AB0419"/>
    <w:rsid w:val="00AB054F"/>
    <w:rsid w:val="00AB0958"/>
    <w:rsid w:val="00AB09CF"/>
    <w:rsid w:val="00AB0CB7"/>
    <w:rsid w:val="00AB0D2B"/>
    <w:rsid w:val="00AB113F"/>
    <w:rsid w:val="00AB14CB"/>
    <w:rsid w:val="00AB1F8F"/>
    <w:rsid w:val="00AB2052"/>
    <w:rsid w:val="00AB26BD"/>
    <w:rsid w:val="00AB29CA"/>
    <w:rsid w:val="00AB328E"/>
    <w:rsid w:val="00AB32D1"/>
    <w:rsid w:val="00AB36E9"/>
    <w:rsid w:val="00AB3D13"/>
    <w:rsid w:val="00AB4413"/>
    <w:rsid w:val="00AB4436"/>
    <w:rsid w:val="00AB46F5"/>
    <w:rsid w:val="00AB547D"/>
    <w:rsid w:val="00AB55FA"/>
    <w:rsid w:val="00AB59C2"/>
    <w:rsid w:val="00AB5F07"/>
    <w:rsid w:val="00AB63F3"/>
    <w:rsid w:val="00AB6640"/>
    <w:rsid w:val="00AB66ED"/>
    <w:rsid w:val="00AB7087"/>
    <w:rsid w:val="00AB736A"/>
    <w:rsid w:val="00AB7425"/>
    <w:rsid w:val="00AB760D"/>
    <w:rsid w:val="00AB79C2"/>
    <w:rsid w:val="00AB7E3F"/>
    <w:rsid w:val="00AC027C"/>
    <w:rsid w:val="00AC0BDF"/>
    <w:rsid w:val="00AC1220"/>
    <w:rsid w:val="00AC1747"/>
    <w:rsid w:val="00AC1B99"/>
    <w:rsid w:val="00AC1E71"/>
    <w:rsid w:val="00AC289E"/>
    <w:rsid w:val="00AC28E9"/>
    <w:rsid w:val="00AC2A83"/>
    <w:rsid w:val="00AC375B"/>
    <w:rsid w:val="00AC3D0E"/>
    <w:rsid w:val="00AC3D63"/>
    <w:rsid w:val="00AC3E27"/>
    <w:rsid w:val="00AC43D4"/>
    <w:rsid w:val="00AC4B72"/>
    <w:rsid w:val="00AC4B88"/>
    <w:rsid w:val="00AC5029"/>
    <w:rsid w:val="00AC54A6"/>
    <w:rsid w:val="00AC5902"/>
    <w:rsid w:val="00AC59E2"/>
    <w:rsid w:val="00AC5A18"/>
    <w:rsid w:val="00AC6309"/>
    <w:rsid w:val="00AC65CF"/>
    <w:rsid w:val="00AC69FA"/>
    <w:rsid w:val="00AC6E7A"/>
    <w:rsid w:val="00AC6EE0"/>
    <w:rsid w:val="00AC6F3D"/>
    <w:rsid w:val="00AC71ED"/>
    <w:rsid w:val="00AC7764"/>
    <w:rsid w:val="00AD01A8"/>
    <w:rsid w:val="00AD0313"/>
    <w:rsid w:val="00AD0562"/>
    <w:rsid w:val="00AD1318"/>
    <w:rsid w:val="00AD1A7C"/>
    <w:rsid w:val="00AD24A2"/>
    <w:rsid w:val="00AD2BE6"/>
    <w:rsid w:val="00AD2E12"/>
    <w:rsid w:val="00AD2ECF"/>
    <w:rsid w:val="00AD3122"/>
    <w:rsid w:val="00AD3909"/>
    <w:rsid w:val="00AD4125"/>
    <w:rsid w:val="00AD42D5"/>
    <w:rsid w:val="00AD4C80"/>
    <w:rsid w:val="00AD53E2"/>
    <w:rsid w:val="00AD550D"/>
    <w:rsid w:val="00AD55CD"/>
    <w:rsid w:val="00AD57F7"/>
    <w:rsid w:val="00AD589C"/>
    <w:rsid w:val="00AD5D97"/>
    <w:rsid w:val="00AD60AF"/>
    <w:rsid w:val="00AD6BD6"/>
    <w:rsid w:val="00AD70D1"/>
    <w:rsid w:val="00AD78AE"/>
    <w:rsid w:val="00AD7B5E"/>
    <w:rsid w:val="00AE0200"/>
    <w:rsid w:val="00AE045F"/>
    <w:rsid w:val="00AE0D9E"/>
    <w:rsid w:val="00AE1010"/>
    <w:rsid w:val="00AE10CA"/>
    <w:rsid w:val="00AE1D13"/>
    <w:rsid w:val="00AE229D"/>
    <w:rsid w:val="00AE22FE"/>
    <w:rsid w:val="00AE28C1"/>
    <w:rsid w:val="00AE2981"/>
    <w:rsid w:val="00AE2FE5"/>
    <w:rsid w:val="00AE3325"/>
    <w:rsid w:val="00AE34DE"/>
    <w:rsid w:val="00AE3C39"/>
    <w:rsid w:val="00AE3D85"/>
    <w:rsid w:val="00AE40BA"/>
    <w:rsid w:val="00AE4755"/>
    <w:rsid w:val="00AE5C83"/>
    <w:rsid w:val="00AE64EA"/>
    <w:rsid w:val="00AE655D"/>
    <w:rsid w:val="00AE6ABF"/>
    <w:rsid w:val="00AE6BC1"/>
    <w:rsid w:val="00AE6C46"/>
    <w:rsid w:val="00AE6DA3"/>
    <w:rsid w:val="00AE6E8F"/>
    <w:rsid w:val="00AE7201"/>
    <w:rsid w:val="00AE7418"/>
    <w:rsid w:val="00AE76D2"/>
    <w:rsid w:val="00AE7706"/>
    <w:rsid w:val="00AF0802"/>
    <w:rsid w:val="00AF17E8"/>
    <w:rsid w:val="00AF19D6"/>
    <w:rsid w:val="00AF1B0E"/>
    <w:rsid w:val="00AF1D96"/>
    <w:rsid w:val="00AF2079"/>
    <w:rsid w:val="00AF22B5"/>
    <w:rsid w:val="00AF23EE"/>
    <w:rsid w:val="00AF28D7"/>
    <w:rsid w:val="00AF3006"/>
    <w:rsid w:val="00AF348E"/>
    <w:rsid w:val="00AF36C4"/>
    <w:rsid w:val="00AF3A61"/>
    <w:rsid w:val="00AF3E97"/>
    <w:rsid w:val="00AF405E"/>
    <w:rsid w:val="00AF4147"/>
    <w:rsid w:val="00AF4A84"/>
    <w:rsid w:val="00AF4AFE"/>
    <w:rsid w:val="00AF4DAB"/>
    <w:rsid w:val="00AF4E39"/>
    <w:rsid w:val="00AF4E6B"/>
    <w:rsid w:val="00AF5041"/>
    <w:rsid w:val="00AF50A7"/>
    <w:rsid w:val="00AF5374"/>
    <w:rsid w:val="00AF576F"/>
    <w:rsid w:val="00AF5FD5"/>
    <w:rsid w:val="00AF6106"/>
    <w:rsid w:val="00AF6786"/>
    <w:rsid w:val="00AF682A"/>
    <w:rsid w:val="00AF6B72"/>
    <w:rsid w:val="00AF74F6"/>
    <w:rsid w:val="00AF7893"/>
    <w:rsid w:val="00AF7DD4"/>
    <w:rsid w:val="00B0004A"/>
    <w:rsid w:val="00B008B2"/>
    <w:rsid w:val="00B009E1"/>
    <w:rsid w:val="00B00F04"/>
    <w:rsid w:val="00B011EF"/>
    <w:rsid w:val="00B013A8"/>
    <w:rsid w:val="00B01822"/>
    <w:rsid w:val="00B01C54"/>
    <w:rsid w:val="00B02A22"/>
    <w:rsid w:val="00B02A42"/>
    <w:rsid w:val="00B03B26"/>
    <w:rsid w:val="00B03FD8"/>
    <w:rsid w:val="00B0469B"/>
    <w:rsid w:val="00B0514E"/>
    <w:rsid w:val="00B052BB"/>
    <w:rsid w:val="00B05CC2"/>
    <w:rsid w:val="00B05D39"/>
    <w:rsid w:val="00B0605F"/>
    <w:rsid w:val="00B06169"/>
    <w:rsid w:val="00B06A7F"/>
    <w:rsid w:val="00B104C3"/>
    <w:rsid w:val="00B107D7"/>
    <w:rsid w:val="00B10965"/>
    <w:rsid w:val="00B10ACE"/>
    <w:rsid w:val="00B10CE9"/>
    <w:rsid w:val="00B11287"/>
    <w:rsid w:val="00B118BC"/>
    <w:rsid w:val="00B126FB"/>
    <w:rsid w:val="00B12B87"/>
    <w:rsid w:val="00B13979"/>
    <w:rsid w:val="00B13C68"/>
    <w:rsid w:val="00B14F85"/>
    <w:rsid w:val="00B1521C"/>
    <w:rsid w:val="00B15A90"/>
    <w:rsid w:val="00B15D1E"/>
    <w:rsid w:val="00B16650"/>
    <w:rsid w:val="00B1732D"/>
    <w:rsid w:val="00B179FE"/>
    <w:rsid w:val="00B202F6"/>
    <w:rsid w:val="00B20469"/>
    <w:rsid w:val="00B20BB9"/>
    <w:rsid w:val="00B20DB5"/>
    <w:rsid w:val="00B21A59"/>
    <w:rsid w:val="00B21A94"/>
    <w:rsid w:val="00B21C95"/>
    <w:rsid w:val="00B21FC4"/>
    <w:rsid w:val="00B22559"/>
    <w:rsid w:val="00B22A6C"/>
    <w:rsid w:val="00B22C01"/>
    <w:rsid w:val="00B23593"/>
    <w:rsid w:val="00B235BD"/>
    <w:rsid w:val="00B23625"/>
    <w:rsid w:val="00B23874"/>
    <w:rsid w:val="00B24511"/>
    <w:rsid w:val="00B24B58"/>
    <w:rsid w:val="00B24FC6"/>
    <w:rsid w:val="00B253FC"/>
    <w:rsid w:val="00B25E72"/>
    <w:rsid w:val="00B26F7C"/>
    <w:rsid w:val="00B26F81"/>
    <w:rsid w:val="00B27073"/>
    <w:rsid w:val="00B2789F"/>
    <w:rsid w:val="00B279C5"/>
    <w:rsid w:val="00B27A59"/>
    <w:rsid w:val="00B27E0F"/>
    <w:rsid w:val="00B3012D"/>
    <w:rsid w:val="00B30358"/>
    <w:rsid w:val="00B30C0B"/>
    <w:rsid w:val="00B317B4"/>
    <w:rsid w:val="00B3186F"/>
    <w:rsid w:val="00B318CC"/>
    <w:rsid w:val="00B31FE5"/>
    <w:rsid w:val="00B320B3"/>
    <w:rsid w:val="00B32CFF"/>
    <w:rsid w:val="00B33B8E"/>
    <w:rsid w:val="00B340BE"/>
    <w:rsid w:val="00B34728"/>
    <w:rsid w:val="00B3506E"/>
    <w:rsid w:val="00B35751"/>
    <w:rsid w:val="00B35955"/>
    <w:rsid w:val="00B35A3B"/>
    <w:rsid w:val="00B35AD3"/>
    <w:rsid w:val="00B36898"/>
    <w:rsid w:val="00B37192"/>
    <w:rsid w:val="00B37701"/>
    <w:rsid w:val="00B377CE"/>
    <w:rsid w:val="00B37816"/>
    <w:rsid w:val="00B37928"/>
    <w:rsid w:val="00B37A1F"/>
    <w:rsid w:val="00B40194"/>
    <w:rsid w:val="00B403B4"/>
    <w:rsid w:val="00B40638"/>
    <w:rsid w:val="00B40882"/>
    <w:rsid w:val="00B40EF7"/>
    <w:rsid w:val="00B40F35"/>
    <w:rsid w:val="00B412C3"/>
    <w:rsid w:val="00B416E7"/>
    <w:rsid w:val="00B41EDA"/>
    <w:rsid w:val="00B424CA"/>
    <w:rsid w:val="00B42ED5"/>
    <w:rsid w:val="00B43044"/>
    <w:rsid w:val="00B43131"/>
    <w:rsid w:val="00B437FD"/>
    <w:rsid w:val="00B4394F"/>
    <w:rsid w:val="00B43E17"/>
    <w:rsid w:val="00B445C1"/>
    <w:rsid w:val="00B448AE"/>
    <w:rsid w:val="00B45164"/>
    <w:rsid w:val="00B45529"/>
    <w:rsid w:val="00B45D64"/>
    <w:rsid w:val="00B4622A"/>
    <w:rsid w:val="00B4634C"/>
    <w:rsid w:val="00B464CD"/>
    <w:rsid w:val="00B46A12"/>
    <w:rsid w:val="00B46C8E"/>
    <w:rsid w:val="00B474F7"/>
    <w:rsid w:val="00B47E08"/>
    <w:rsid w:val="00B5014F"/>
    <w:rsid w:val="00B50C63"/>
    <w:rsid w:val="00B50D27"/>
    <w:rsid w:val="00B50FDD"/>
    <w:rsid w:val="00B514AA"/>
    <w:rsid w:val="00B51989"/>
    <w:rsid w:val="00B5206C"/>
    <w:rsid w:val="00B52BE7"/>
    <w:rsid w:val="00B530EC"/>
    <w:rsid w:val="00B531B0"/>
    <w:rsid w:val="00B53208"/>
    <w:rsid w:val="00B532EC"/>
    <w:rsid w:val="00B5367E"/>
    <w:rsid w:val="00B53900"/>
    <w:rsid w:val="00B53EFF"/>
    <w:rsid w:val="00B54004"/>
    <w:rsid w:val="00B54CDB"/>
    <w:rsid w:val="00B5519A"/>
    <w:rsid w:val="00B5563D"/>
    <w:rsid w:val="00B55B12"/>
    <w:rsid w:val="00B5647F"/>
    <w:rsid w:val="00B5692A"/>
    <w:rsid w:val="00B56D0F"/>
    <w:rsid w:val="00B57A39"/>
    <w:rsid w:val="00B600AF"/>
    <w:rsid w:val="00B60426"/>
    <w:rsid w:val="00B60828"/>
    <w:rsid w:val="00B60A4D"/>
    <w:rsid w:val="00B611B8"/>
    <w:rsid w:val="00B618F1"/>
    <w:rsid w:val="00B619FC"/>
    <w:rsid w:val="00B61A49"/>
    <w:rsid w:val="00B61C55"/>
    <w:rsid w:val="00B62445"/>
    <w:rsid w:val="00B629ED"/>
    <w:rsid w:val="00B62CA9"/>
    <w:rsid w:val="00B62D2E"/>
    <w:rsid w:val="00B62D42"/>
    <w:rsid w:val="00B62FDE"/>
    <w:rsid w:val="00B63117"/>
    <w:rsid w:val="00B63330"/>
    <w:rsid w:val="00B638F5"/>
    <w:rsid w:val="00B63A25"/>
    <w:rsid w:val="00B640AB"/>
    <w:rsid w:val="00B6487C"/>
    <w:rsid w:val="00B64EFD"/>
    <w:rsid w:val="00B65038"/>
    <w:rsid w:val="00B65066"/>
    <w:rsid w:val="00B65EC9"/>
    <w:rsid w:val="00B65EE2"/>
    <w:rsid w:val="00B65F0F"/>
    <w:rsid w:val="00B662AD"/>
    <w:rsid w:val="00B667FF"/>
    <w:rsid w:val="00B66BCB"/>
    <w:rsid w:val="00B66D55"/>
    <w:rsid w:val="00B703E2"/>
    <w:rsid w:val="00B70815"/>
    <w:rsid w:val="00B70A35"/>
    <w:rsid w:val="00B71B4C"/>
    <w:rsid w:val="00B71BFD"/>
    <w:rsid w:val="00B71E38"/>
    <w:rsid w:val="00B71EEA"/>
    <w:rsid w:val="00B71FA7"/>
    <w:rsid w:val="00B72103"/>
    <w:rsid w:val="00B72483"/>
    <w:rsid w:val="00B7296E"/>
    <w:rsid w:val="00B7382E"/>
    <w:rsid w:val="00B73C53"/>
    <w:rsid w:val="00B73D6F"/>
    <w:rsid w:val="00B73F02"/>
    <w:rsid w:val="00B74452"/>
    <w:rsid w:val="00B744A7"/>
    <w:rsid w:val="00B744D8"/>
    <w:rsid w:val="00B74593"/>
    <w:rsid w:val="00B74E68"/>
    <w:rsid w:val="00B75AE4"/>
    <w:rsid w:val="00B75AED"/>
    <w:rsid w:val="00B76457"/>
    <w:rsid w:val="00B76622"/>
    <w:rsid w:val="00B76D3A"/>
    <w:rsid w:val="00B76D4D"/>
    <w:rsid w:val="00B77162"/>
    <w:rsid w:val="00B77170"/>
    <w:rsid w:val="00B7718C"/>
    <w:rsid w:val="00B77421"/>
    <w:rsid w:val="00B77643"/>
    <w:rsid w:val="00B77AEC"/>
    <w:rsid w:val="00B80244"/>
    <w:rsid w:val="00B809FB"/>
    <w:rsid w:val="00B80BF0"/>
    <w:rsid w:val="00B81305"/>
    <w:rsid w:val="00B81B1E"/>
    <w:rsid w:val="00B81E2B"/>
    <w:rsid w:val="00B81F90"/>
    <w:rsid w:val="00B82196"/>
    <w:rsid w:val="00B822B6"/>
    <w:rsid w:val="00B82579"/>
    <w:rsid w:val="00B826BE"/>
    <w:rsid w:val="00B82EFA"/>
    <w:rsid w:val="00B83282"/>
    <w:rsid w:val="00B83812"/>
    <w:rsid w:val="00B83A6B"/>
    <w:rsid w:val="00B83BDA"/>
    <w:rsid w:val="00B83D22"/>
    <w:rsid w:val="00B83EDC"/>
    <w:rsid w:val="00B85251"/>
    <w:rsid w:val="00B852C6"/>
    <w:rsid w:val="00B8548A"/>
    <w:rsid w:val="00B85C03"/>
    <w:rsid w:val="00B85FCD"/>
    <w:rsid w:val="00B860EF"/>
    <w:rsid w:val="00B86253"/>
    <w:rsid w:val="00B862E0"/>
    <w:rsid w:val="00B86D76"/>
    <w:rsid w:val="00B875E7"/>
    <w:rsid w:val="00B87B49"/>
    <w:rsid w:val="00B903EC"/>
    <w:rsid w:val="00B90595"/>
    <w:rsid w:val="00B90621"/>
    <w:rsid w:val="00B90654"/>
    <w:rsid w:val="00B90996"/>
    <w:rsid w:val="00B91099"/>
    <w:rsid w:val="00B911A2"/>
    <w:rsid w:val="00B916E1"/>
    <w:rsid w:val="00B91811"/>
    <w:rsid w:val="00B918B1"/>
    <w:rsid w:val="00B918D1"/>
    <w:rsid w:val="00B9230C"/>
    <w:rsid w:val="00B92350"/>
    <w:rsid w:val="00B92EA7"/>
    <w:rsid w:val="00B93412"/>
    <w:rsid w:val="00B93A81"/>
    <w:rsid w:val="00B93B5C"/>
    <w:rsid w:val="00B93CC2"/>
    <w:rsid w:val="00B94236"/>
    <w:rsid w:val="00B9461F"/>
    <w:rsid w:val="00B94648"/>
    <w:rsid w:val="00B94BB8"/>
    <w:rsid w:val="00B95671"/>
    <w:rsid w:val="00B96269"/>
    <w:rsid w:val="00B96A05"/>
    <w:rsid w:val="00B96E29"/>
    <w:rsid w:val="00B97D93"/>
    <w:rsid w:val="00BA01F3"/>
    <w:rsid w:val="00BA0202"/>
    <w:rsid w:val="00BA0382"/>
    <w:rsid w:val="00BA03A6"/>
    <w:rsid w:val="00BA074A"/>
    <w:rsid w:val="00BA08A8"/>
    <w:rsid w:val="00BA0AD4"/>
    <w:rsid w:val="00BA1702"/>
    <w:rsid w:val="00BA1DFF"/>
    <w:rsid w:val="00BA3517"/>
    <w:rsid w:val="00BA3759"/>
    <w:rsid w:val="00BA3C30"/>
    <w:rsid w:val="00BA3D6C"/>
    <w:rsid w:val="00BA5291"/>
    <w:rsid w:val="00BA52C6"/>
    <w:rsid w:val="00BA5636"/>
    <w:rsid w:val="00BA5E1D"/>
    <w:rsid w:val="00BA661A"/>
    <w:rsid w:val="00BB0821"/>
    <w:rsid w:val="00BB0A96"/>
    <w:rsid w:val="00BB0E3B"/>
    <w:rsid w:val="00BB0E8C"/>
    <w:rsid w:val="00BB1255"/>
    <w:rsid w:val="00BB1290"/>
    <w:rsid w:val="00BB145F"/>
    <w:rsid w:val="00BB15D3"/>
    <w:rsid w:val="00BB1938"/>
    <w:rsid w:val="00BB1B99"/>
    <w:rsid w:val="00BB1D70"/>
    <w:rsid w:val="00BB2844"/>
    <w:rsid w:val="00BB2CA0"/>
    <w:rsid w:val="00BB2D16"/>
    <w:rsid w:val="00BB332F"/>
    <w:rsid w:val="00BB3428"/>
    <w:rsid w:val="00BB3588"/>
    <w:rsid w:val="00BB399C"/>
    <w:rsid w:val="00BB3D8A"/>
    <w:rsid w:val="00BB418A"/>
    <w:rsid w:val="00BB44DC"/>
    <w:rsid w:val="00BB4601"/>
    <w:rsid w:val="00BB479D"/>
    <w:rsid w:val="00BB4FDB"/>
    <w:rsid w:val="00BB53B9"/>
    <w:rsid w:val="00BB5473"/>
    <w:rsid w:val="00BB5A19"/>
    <w:rsid w:val="00BB5DA5"/>
    <w:rsid w:val="00BB630C"/>
    <w:rsid w:val="00BB6B02"/>
    <w:rsid w:val="00BB709A"/>
    <w:rsid w:val="00BB726B"/>
    <w:rsid w:val="00BB7576"/>
    <w:rsid w:val="00BB7677"/>
    <w:rsid w:val="00BB7FF5"/>
    <w:rsid w:val="00BC0197"/>
    <w:rsid w:val="00BC0471"/>
    <w:rsid w:val="00BC04FF"/>
    <w:rsid w:val="00BC0957"/>
    <w:rsid w:val="00BC09A5"/>
    <w:rsid w:val="00BC0A53"/>
    <w:rsid w:val="00BC0B37"/>
    <w:rsid w:val="00BC10E9"/>
    <w:rsid w:val="00BC145C"/>
    <w:rsid w:val="00BC148E"/>
    <w:rsid w:val="00BC1549"/>
    <w:rsid w:val="00BC1915"/>
    <w:rsid w:val="00BC1B98"/>
    <w:rsid w:val="00BC2157"/>
    <w:rsid w:val="00BC2189"/>
    <w:rsid w:val="00BC2FBD"/>
    <w:rsid w:val="00BC33E2"/>
    <w:rsid w:val="00BC3438"/>
    <w:rsid w:val="00BC380A"/>
    <w:rsid w:val="00BC3C20"/>
    <w:rsid w:val="00BC40B6"/>
    <w:rsid w:val="00BC4107"/>
    <w:rsid w:val="00BC4662"/>
    <w:rsid w:val="00BC47C3"/>
    <w:rsid w:val="00BC482A"/>
    <w:rsid w:val="00BC558A"/>
    <w:rsid w:val="00BC558C"/>
    <w:rsid w:val="00BC5BF0"/>
    <w:rsid w:val="00BC5DF6"/>
    <w:rsid w:val="00BC5F74"/>
    <w:rsid w:val="00BC69B5"/>
    <w:rsid w:val="00BC6CC5"/>
    <w:rsid w:val="00BC6F07"/>
    <w:rsid w:val="00BC6F45"/>
    <w:rsid w:val="00BC728B"/>
    <w:rsid w:val="00BC73FB"/>
    <w:rsid w:val="00BC7409"/>
    <w:rsid w:val="00BC7561"/>
    <w:rsid w:val="00BD0361"/>
    <w:rsid w:val="00BD0974"/>
    <w:rsid w:val="00BD0B03"/>
    <w:rsid w:val="00BD0BDB"/>
    <w:rsid w:val="00BD0FEC"/>
    <w:rsid w:val="00BD1344"/>
    <w:rsid w:val="00BD168C"/>
    <w:rsid w:val="00BD1901"/>
    <w:rsid w:val="00BD1D5D"/>
    <w:rsid w:val="00BD2655"/>
    <w:rsid w:val="00BD2A52"/>
    <w:rsid w:val="00BD303A"/>
    <w:rsid w:val="00BD35F7"/>
    <w:rsid w:val="00BD3698"/>
    <w:rsid w:val="00BD3E26"/>
    <w:rsid w:val="00BD4779"/>
    <w:rsid w:val="00BD4794"/>
    <w:rsid w:val="00BD4CA3"/>
    <w:rsid w:val="00BD4E83"/>
    <w:rsid w:val="00BD5ACD"/>
    <w:rsid w:val="00BD5E61"/>
    <w:rsid w:val="00BD6149"/>
    <w:rsid w:val="00BD67AF"/>
    <w:rsid w:val="00BD6845"/>
    <w:rsid w:val="00BD686B"/>
    <w:rsid w:val="00BD68DF"/>
    <w:rsid w:val="00BD6931"/>
    <w:rsid w:val="00BD6EE0"/>
    <w:rsid w:val="00BD7009"/>
    <w:rsid w:val="00BD72B4"/>
    <w:rsid w:val="00BD736C"/>
    <w:rsid w:val="00BD7739"/>
    <w:rsid w:val="00BE0639"/>
    <w:rsid w:val="00BE06F8"/>
    <w:rsid w:val="00BE13BF"/>
    <w:rsid w:val="00BE15A6"/>
    <w:rsid w:val="00BE2017"/>
    <w:rsid w:val="00BE260F"/>
    <w:rsid w:val="00BE317C"/>
    <w:rsid w:val="00BE33FB"/>
    <w:rsid w:val="00BE3A6F"/>
    <w:rsid w:val="00BE3AEC"/>
    <w:rsid w:val="00BE406F"/>
    <w:rsid w:val="00BE41D5"/>
    <w:rsid w:val="00BE41F2"/>
    <w:rsid w:val="00BE42C1"/>
    <w:rsid w:val="00BE509B"/>
    <w:rsid w:val="00BE591F"/>
    <w:rsid w:val="00BE5A5D"/>
    <w:rsid w:val="00BE627F"/>
    <w:rsid w:val="00BE68B8"/>
    <w:rsid w:val="00BE6BD7"/>
    <w:rsid w:val="00BE75F6"/>
    <w:rsid w:val="00BE7604"/>
    <w:rsid w:val="00BE7675"/>
    <w:rsid w:val="00BE7851"/>
    <w:rsid w:val="00BE79F6"/>
    <w:rsid w:val="00BF0071"/>
    <w:rsid w:val="00BF0215"/>
    <w:rsid w:val="00BF0640"/>
    <w:rsid w:val="00BF06BA"/>
    <w:rsid w:val="00BF0851"/>
    <w:rsid w:val="00BF08B9"/>
    <w:rsid w:val="00BF0D28"/>
    <w:rsid w:val="00BF0FF5"/>
    <w:rsid w:val="00BF1173"/>
    <w:rsid w:val="00BF14E1"/>
    <w:rsid w:val="00BF1B1B"/>
    <w:rsid w:val="00BF1BAA"/>
    <w:rsid w:val="00BF1FB3"/>
    <w:rsid w:val="00BF212B"/>
    <w:rsid w:val="00BF24C7"/>
    <w:rsid w:val="00BF2836"/>
    <w:rsid w:val="00BF2C28"/>
    <w:rsid w:val="00BF3073"/>
    <w:rsid w:val="00BF3377"/>
    <w:rsid w:val="00BF3A98"/>
    <w:rsid w:val="00BF46B1"/>
    <w:rsid w:val="00BF4FEB"/>
    <w:rsid w:val="00BF5177"/>
    <w:rsid w:val="00BF5A4A"/>
    <w:rsid w:val="00BF5D5D"/>
    <w:rsid w:val="00BF6210"/>
    <w:rsid w:val="00BF6661"/>
    <w:rsid w:val="00BF6688"/>
    <w:rsid w:val="00BF6D9B"/>
    <w:rsid w:val="00BF79D9"/>
    <w:rsid w:val="00BF7B70"/>
    <w:rsid w:val="00C003A7"/>
    <w:rsid w:val="00C003E5"/>
    <w:rsid w:val="00C00569"/>
    <w:rsid w:val="00C006C8"/>
    <w:rsid w:val="00C0072E"/>
    <w:rsid w:val="00C00C49"/>
    <w:rsid w:val="00C0145E"/>
    <w:rsid w:val="00C01B4B"/>
    <w:rsid w:val="00C01E84"/>
    <w:rsid w:val="00C01EBD"/>
    <w:rsid w:val="00C024DC"/>
    <w:rsid w:val="00C02BBC"/>
    <w:rsid w:val="00C02D58"/>
    <w:rsid w:val="00C0322D"/>
    <w:rsid w:val="00C0396F"/>
    <w:rsid w:val="00C03B0E"/>
    <w:rsid w:val="00C03BB9"/>
    <w:rsid w:val="00C03FDE"/>
    <w:rsid w:val="00C04974"/>
    <w:rsid w:val="00C04BCA"/>
    <w:rsid w:val="00C05179"/>
    <w:rsid w:val="00C0529A"/>
    <w:rsid w:val="00C0579C"/>
    <w:rsid w:val="00C057B5"/>
    <w:rsid w:val="00C06134"/>
    <w:rsid w:val="00C06466"/>
    <w:rsid w:val="00C065D2"/>
    <w:rsid w:val="00C06722"/>
    <w:rsid w:val="00C0696C"/>
    <w:rsid w:val="00C06C81"/>
    <w:rsid w:val="00C06FAE"/>
    <w:rsid w:val="00C072A4"/>
    <w:rsid w:val="00C07362"/>
    <w:rsid w:val="00C076EF"/>
    <w:rsid w:val="00C07B37"/>
    <w:rsid w:val="00C10A22"/>
    <w:rsid w:val="00C10D92"/>
    <w:rsid w:val="00C10EEE"/>
    <w:rsid w:val="00C11307"/>
    <w:rsid w:val="00C11C02"/>
    <w:rsid w:val="00C12127"/>
    <w:rsid w:val="00C12301"/>
    <w:rsid w:val="00C1252C"/>
    <w:rsid w:val="00C13D6B"/>
    <w:rsid w:val="00C13F3D"/>
    <w:rsid w:val="00C1418E"/>
    <w:rsid w:val="00C1426A"/>
    <w:rsid w:val="00C148BD"/>
    <w:rsid w:val="00C14B36"/>
    <w:rsid w:val="00C14C58"/>
    <w:rsid w:val="00C14E59"/>
    <w:rsid w:val="00C152C0"/>
    <w:rsid w:val="00C154B2"/>
    <w:rsid w:val="00C1563C"/>
    <w:rsid w:val="00C167C7"/>
    <w:rsid w:val="00C16D0A"/>
    <w:rsid w:val="00C17060"/>
    <w:rsid w:val="00C1743A"/>
    <w:rsid w:val="00C179A0"/>
    <w:rsid w:val="00C179D1"/>
    <w:rsid w:val="00C17CB1"/>
    <w:rsid w:val="00C17D50"/>
    <w:rsid w:val="00C17E90"/>
    <w:rsid w:val="00C2023E"/>
    <w:rsid w:val="00C20B85"/>
    <w:rsid w:val="00C2163C"/>
    <w:rsid w:val="00C21982"/>
    <w:rsid w:val="00C21B8C"/>
    <w:rsid w:val="00C21E1E"/>
    <w:rsid w:val="00C221C3"/>
    <w:rsid w:val="00C2236F"/>
    <w:rsid w:val="00C22AE1"/>
    <w:rsid w:val="00C22E3C"/>
    <w:rsid w:val="00C22EFC"/>
    <w:rsid w:val="00C22FBC"/>
    <w:rsid w:val="00C236B1"/>
    <w:rsid w:val="00C2463F"/>
    <w:rsid w:val="00C25020"/>
    <w:rsid w:val="00C252AE"/>
    <w:rsid w:val="00C25AEB"/>
    <w:rsid w:val="00C262C0"/>
    <w:rsid w:val="00C263EE"/>
    <w:rsid w:val="00C273C7"/>
    <w:rsid w:val="00C27438"/>
    <w:rsid w:val="00C27599"/>
    <w:rsid w:val="00C2792E"/>
    <w:rsid w:val="00C27D33"/>
    <w:rsid w:val="00C27F44"/>
    <w:rsid w:val="00C27FD1"/>
    <w:rsid w:val="00C3047E"/>
    <w:rsid w:val="00C30A84"/>
    <w:rsid w:val="00C30AA0"/>
    <w:rsid w:val="00C30B9C"/>
    <w:rsid w:val="00C3131E"/>
    <w:rsid w:val="00C316E9"/>
    <w:rsid w:val="00C318C8"/>
    <w:rsid w:val="00C31BFD"/>
    <w:rsid w:val="00C31C02"/>
    <w:rsid w:val="00C31C1B"/>
    <w:rsid w:val="00C32A7F"/>
    <w:rsid w:val="00C32B5D"/>
    <w:rsid w:val="00C33079"/>
    <w:rsid w:val="00C345CF"/>
    <w:rsid w:val="00C34831"/>
    <w:rsid w:val="00C34ACB"/>
    <w:rsid w:val="00C34CB0"/>
    <w:rsid w:val="00C356AD"/>
    <w:rsid w:val="00C3576D"/>
    <w:rsid w:val="00C35F04"/>
    <w:rsid w:val="00C36637"/>
    <w:rsid w:val="00C370C7"/>
    <w:rsid w:val="00C37C1A"/>
    <w:rsid w:val="00C37E6F"/>
    <w:rsid w:val="00C37ECF"/>
    <w:rsid w:val="00C4076B"/>
    <w:rsid w:val="00C40B53"/>
    <w:rsid w:val="00C40EE4"/>
    <w:rsid w:val="00C40FCA"/>
    <w:rsid w:val="00C417B7"/>
    <w:rsid w:val="00C41BE9"/>
    <w:rsid w:val="00C41D38"/>
    <w:rsid w:val="00C4209E"/>
    <w:rsid w:val="00C4210D"/>
    <w:rsid w:val="00C42C61"/>
    <w:rsid w:val="00C42E7E"/>
    <w:rsid w:val="00C43020"/>
    <w:rsid w:val="00C43186"/>
    <w:rsid w:val="00C4342C"/>
    <w:rsid w:val="00C43459"/>
    <w:rsid w:val="00C43535"/>
    <w:rsid w:val="00C435DF"/>
    <w:rsid w:val="00C43645"/>
    <w:rsid w:val="00C43F3D"/>
    <w:rsid w:val="00C446C2"/>
    <w:rsid w:val="00C44BCF"/>
    <w:rsid w:val="00C44CE8"/>
    <w:rsid w:val="00C4501C"/>
    <w:rsid w:val="00C458FF"/>
    <w:rsid w:val="00C45A85"/>
    <w:rsid w:val="00C45E83"/>
    <w:rsid w:val="00C46053"/>
    <w:rsid w:val="00C460DF"/>
    <w:rsid w:val="00C47563"/>
    <w:rsid w:val="00C51220"/>
    <w:rsid w:val="00C51800"/>
    <w:rsid w:val="00C518D9"/>
    <w:rsid w:val="00C51EE4"/>
    <w:rsid w:val="00C52354"/>
    <w:rsid w:val="00C52584"/>
    <w:rsid w:val="00C5266A"/>
    <w:rsid w:val="00C52ECC"/>
    <w:rsid w:val="00C53577"/>
    <w:rsid w:val="00C53741"/>
    <w:rsid w:val="00C53AAB"/>
    <w:rsid w:val="00C54914"/>
    <w:rsid w:val="00C55160"/>
    <w:rsid w:val="00C55538"/>
    <w:rsid w:val="00C564D5"/>
    <w:rsid w:val="00C566BF"/>
    <w:rsid w:val="00C56AEF"/>
    <w:rsid w:val="00C57390"/>
    <w:rsid w:val="00C577E3"/>
    <w:rsid w:val="00C6039B"/>
    <w:rsid w:val="00C603EB"/>
    <w:rsid w:val="00C6099F"/>
    <w:rsid w:val="00C60DCB"/>
    <w:rsid w:val="00C61796"/>
    <w:rsid w:val="00C6179A"/>
    <w:rsid w:val="00C618D1"/>
    <w:rsid w:val="00C61EEF"/>
    <w:rsid w:val="00C62042"/>
    <w:rsid w:val="00C6207D"/>
    <w:rsid w:val="00C62413"/>
    <w:rsid w:val="00C62430"/>
    <w:rsid w:val="00C62561"/>
    <w:rsid w:val="00C62830"/>
    <w:rsid w:val="00C62FBC"/>
    <w:rsid w:val="00C63190"/>
    <w:rsid w:val="00C63DB2"/>
    <w:rsid w:val="00C63E40"/>
    <w:rsid w:val="00C63F3C"/>
    <w:rsid w:val="00C64603"/>
    <w:rsid w:val="00C64621"/>
    <w:rsid w:val="00C64A90"/>
    <w:rsid w:val="00C64BEB"/>
    <w:rsid w:val="00C65A42"/>
    <w:rsid w:val="00C662A6"/>
    <w:rsid w:val="00C66864"/>
    <w:rsid w:val="00C67127"/>
    <w:rsid w:val="00C6762E"/>
    <w:rsid w:val="00C702D1"/>
    <w:rsid w:val="00C7072C"/>
    <w:rsid w:val="00C70D08"/>
    <w:rsid w:val="00C70DAF"/>
    <w:rsid w:val="00C70DDD"/>
    <w:rsid w:val="00C70E53"/>
    <w:rsid w:val="00C70F12"/>
    <w:rsid w:val="00C71C32"/>
    <w:rsid w:val="00C7274E"/>
    <w:rsid w:val="00C7276E"/>
    <w:rsid w:val="00C72E18"/>
    <w:rsid w:val="00C73256"/>
    <w:rsid w:val="00C73471"/>
    <w:rsid w:val="00C73645"/>
    <w:rsid w:val="00C7395F"/>
    <w:rsid w:val="00C73D58"/>
    <w:rsid w:val="00C7400B"/>
    <w:rsid w:val="00C743E6"/>
    <w:rsid w:val="00C74BC9"/>
    <w:rsid w:val="00C74CBB"/>
    <w:rsid w:val="00C74E12"/>
    <w:rsid w:val="00C74E33"/>
    <w:rsid w:val="00C754D1"/>
    <w:rsid w:val="00C75976"/>
    <w:rsid w:val="00C75B10"/>
    <w:rsid w:val="00C75B1E"/>
    <w:rsid w:val="00C760BE"/>
    <w:rsid w:val="00C771DC"/>
    <w:rsid w:val="00C77480"/>
    <w:rsid w:val="00C77927"/>
    <w:rsid w:val="00C77A34"/>
    <w:rsid w:val="00C800E6"/>
    <w:rsid w:val="00C80526"/>
    <w:rsid w:val="00C8097B"/>
    <w:rsid w:val="00C813AD"/>
    <w:rsid w:val="00C81450"/>
    <w:rsid w:val="00C816E7"/>
    <w:rsid w:val="00C81E15"/>
    <w:rsid w:val="00C822F2"/>
    <w:rsid w:val="00C8292A"/>
    <w:rsid w:val="00C829A9"/>
    <w:rsid w:val="00C82C25"/>
    <w:rsid w:val="00C833DA"/>
    <w:rsid w:val="00C836D4"/>
    <w:rsid w:val="00C85545"/>
    <w:rsid w:val="00C8566E"/>
    <w:rsid w:val="00C85B76"/>
    <w:rsid w:val="00C86164"/>
    <w:rsid w:val="00C8628C"/>
    <w:rsid w:val="00C8708E"/>
    <w:rsid w:val="00C8718B"/>
    <w:rsid w:val="00C8784E"/>
    <w:rsid w:val="00C879F4"/>
    <w:rsid w:val="00C87A2E"/>
    <w:rsid w:val="00C90368"/>
    <w:rsid w:val="00C90562"/>
    <w:rsid w:val="00C90E80"/>
    <w:rsid w:val="00C91CDB"/>
    <w:rsid w:val="00C91E40"/>
    <w:rsid w:val="00C92AA1"/>
    <w:rsid w:val="00C92D87"/>
    <w:rsid w:val="00C92E11"/>
    <w:rsid w:val="00C930CC"/>
    <w:rsid w:val="00C9369F"/>
    <w:rsid w:val="00C936D6"/>
    <w:rsid w:val="00C937C5"/>
    <w:rsid w:val="00C94375"/>
    <w:rsid w:val="00C94D3E"/>
    <w:rsid w:val="00C95291"/>
    <w:rsid w:val="00C9529A"/>
    <w:rsid w:val="00C955D7"/>
    <w:rsid w:val="00C95940"/>
    <w:rsid w:val="00C9607E"/>
    <w:rsid w:val="00C9694A"/>
    <w:rsid w:val="00C97615"/>
    <w:rsid w:val="00C97AF2"/>
    <w:rsid w:val="00C97D54"/>
    <w:rsid w:val="00CA09B9"/>
    <w:rsid w:val="00CA0A21"/>
    <w:rsid w:val="00CA0F75"/>
    <w:rsid w:val="00CA1896"/>
    <w:rsid w:val="00CA193C"/>
    <w:rsid w:val="00CA1AA9"/>
    <w:rsid w:val="00CA3049"/>
    <w:rsid w:val="00CA33A8"/>
    <w:rsid w:val="00CA3700"/>
    <w:rsid w:val="00CA4106"/>
    <w:rsid w:val="00CA4915"/>
    <w:rsid w:val="00CA4F78"/>
    <w:rsid w:val="00CA5075"/>
    <w:rsid w:val="00CA56BC"/>
    <w:rsid w:val="00CA58E8"/>
    <w:rsid w:val="00CA5ABC"/>
    <w:rsid w:val="00CA6468"/>
    <w:rsid w:val="00CA667A"/>
    <w:rsid w:val="00CA695C"/>
    <w:rsid w:val="00CA6D7D"/>
    <w:rsid w:val="00CA7152"/>
    <w:rsid w:val="00CA74F4"/>
    <w:rsid w:val="00CA763F"/>
    <w:rsid w:val="00CA7FA1"/>
    <w:rsid w:val="00CB02CD"/>
    <w:rsid w:val="00CB03E2"/>
    <w:rsid w:val="00CB045B"/>
    <w:rsid w:val="00CB060B"/>
    <w:rsid w:val="00CB0CFB"/>
    <w:rsid w:val="00CB10F1"/>
    <w:rsid w:val="00CB1614"/>
    <w:rsid w:val="00CB2577"/>
    <w:rsid w:val="00CB2998"/>
    <w:rsid w:val="00CB2CE4"/>
    <w:rsid w:val="00CB312D"/>
    <w:rsid w:val="00CB32EB"/>
    <w:rsid w:val="00CB3374"/>
    <w:rsid w:val="00CB3746"/>
    <w:rsid w:val="00CB3977"/>
    <w:rsid w:val="00CB3B71"/>
    <w:rsid w:val="00CB4557"/>
    <w:rsid w:val="00CB496C"/>
    <w:rsid w:val="00CB5258"/>
    <w:rsid w:val="00CB553C"/>
    <w:rsid w:val="00CB5A96"/>
    <w:rsid w:val="00CB6240"/>
    <w:rsid w:val="00CB6400"/>
    <w:rsid w:val="00CB6768"/>
    <w:rsid w:val="00CB68E9"/>
    <w:rsid w:val="00CB69FC"/>
    <w:rsid w:val="00CB6C6C"/>
    <w:rsid w:val="00CB6D96"/>
    <w:rsid w:val="00CB7040"/>
    <w:rsid w:val="00CB7216"/>
    <w:rsid w:val="00CB74A9"/>
    <w:rsid w:val="00CB76DB"/>
    <w:rsid w:val="00CC0734"/>
    <w:rsid w:val="00CC09CE"/>
    <w:rsid w:val="00CC1A11"/>
    <w:rsid w:val="00CC2538"/>
    <w:rsid w:val="00CC272A"/>
    <w:rsid w:val="00CC27B2"/>
    <w:rsid w:val="00CC2B72"/>
    <w:rsid w:val="00CC2F5B"/>
    <w:rsid w:val="00CC3273"/>
    <w:rsid w:val="00CC33F7"/>
    <w:rsid w:val="00CC34F8"/>
    <w:rsid w:val="00CC3633"/>
    <w:rsid w:val="00CC38DD"/>
    <w:rsid w:val="00CC3B93"/>
    <w:rsid w:val="00CC3BA6"/>
    <w:rsid w:val="00CC3C1A"/>
    <w:rsid w:val="00CC4DBB"/>
    <w:rsid w:val="00CC518F"/>
    <w:rsid w:val="00CC5829"/>
    <w:rsid w:val="00CC6007"/>
    <w:rsid w:val="00CC6744"/>
    <w:rsid w:val="00CC7241"/>
    <w:rsid w:val="00CC737F"/>
    <w:rsid w:val="00CC7AD5"/>
    <w:rsid w:val="00CD0283"/>
    <w:rsid w:val="00CD02D0"/>
    <w:rsid w:val="00CD0A0D"/>
    <w:rsid w:val="00CD1B9C"/>
    <w:rsid w:val="00CD260A"/>
    <w:rsid w:val="00CD2960"/>
    <w:rsid w:val="00CD2C31"/>
    <w:rsid w:val="00CD2F33"/>
    <w:rsid w:val="00CD34A8"/>
    <w:rsid w:val="00CD3773"/>
    <w:rsid w:val="00CD37F6"/>
    <w:rsid w:val="00CD3891"/>
    <w:rsid w:val="00CD3CBA"/>
    <w:rsid w:val="00CD3E8E"/>
    <w:rsid w:val="00CD3FCD"/>
    <w:rsid w:val="00CD4D86"/>
    <w:rsid w:val="00CD4FD7"/>
    <w:rsid w:val="00CD505C"/>
    <w:rsid w:val="00CD5132"/>
    <w:rsid w:val="00CD5A50"/>
    <w:rsid w:val="00CD5C14"/>
    <w:rsid w:val="00CD5CAD"/>
    <w:rsid w:val="00CD5E2F"/>
    <w:rsid w:val="00CD633C"/>
    <w:rsid w:val="00CD6581"/>
    <w:rsid w:val="00CD65C2"/>
    <w:rsid w:val="00CD6B3E"/>
    <w:rsid w:val="00CD7013"/>
    <w:rsid w:val="00CD7065"/>
    <w:rsid w:val="00CD78C4"/>
    <w:rsid w:val="00CD7A57"/>
    <w:rsid w:val="00CD7AAD"/>
    <w:rsid w:val="00CE0164"/>
    <w:rsid w:val="00CE06DA"/>
    <w:rsid w:val="00CE0B55"/>
    <w:rsid w:val="00CE0C8A"/>
    <w:rsid w:val="00CE171C"/>
    <w:rsid w:val="00CE1FB1"/>
    <w:rsid w:val="00CE29C3"/>
    <w:rsid w:val="00CE2BD5"/>
    <w:rsid w:val="00CE2CB4"/>
    <w:rsid w:val="00CE2F29"/>
    <w:rsid w:val="00CE33A9"/>
    <w:rsid w:val="00CE3AAA"/>
    <w:rsid w:val="00CE3B28"/>
    <w:rsid w:val="00CE3D57"/>
    <w:rsid w:val="00CE412C"/>
    <w:rsid w:val="00CE44BF"/>
    <w:rsid w:val="00CE47FE"/>
    <w:rsid w:val="00CE4A77"/>
    <w:rsid w:val="00CE4AC4"/>
    <w:rsid w:val="00CE4EA2"/>
    <w:rsid w:val="00CE510D"/>
    <w:rsid w:val="00CE5BCC"/>
    <w:rsid w:val="00CE6190"/>
    <w:rsid w:val="00CE64CB"/>
    <w:rsid w:val="00CE6BAA"/>
    <w:rsid w:val="00CE71CF"/>
    <w:rsid w:val="00CF06BA"/>
    <w:rsid w:val="00CF0BC5"/>
    <w:rsid w:val="00CF0D99"/>
    <w:rsid w:val="00CF1086"/>
    <w:rsid w:val="00CF1C94"/>
    <w:rsid w:val="00CF1CCF"/>
    <w:rsid w:val="00CF1F27"/>
    <w:rsid w:val="00CF2DD0"/>
    <w:rsid w:val="00CF3A78"/>
    <w:rsid w:val="00CF4267"/>
    <w:rsid w:val="00CF4B8C"/>
    <w:rsid w:val="00CF53AE"/>
    <w:rsid w:val="00CF5663"/>
    <w:rsid w:val="00CF59C2"/>
    <w:rsid w:val="00CF5F39"/>
    <w:rsid w:val="00CF5FE6"/>
    <w:rsid w:val="00CF65F5"/>
    <w:rsid w:val="00CF66FE"/>
    <w:rsid w:val="00CF67F0"/>
    <w:rsid w:val="00CF696F"/>
    <w:rsid w:val="00CF6B66"/>
    <w:rsid w:val="00CF6CB8"/>
    <w:rsid w:val="00CF6D7A"/>
    <w:rsid w:val="00CF6EA4"/>
    <w:rsid w:val="00CF72F8"/>
    <w:rsid w:val="00CF749C"/>
    <w:rsid w:val="00CF7925"/>
    <w:rsid w:val="00CF7CDC"/>
    <w:rsid w:val="00D0035D"/>
    <w:rsid w:val="00D00387"/>
    <w:rsid w:val="00D00907"/>
    <w:rsid w:val="00D00995"/>
    <w:rsid w:val="00D00AC8"/>
    <w:rsid w:val="00D00D57"/>
    <w:rsid w:val="00D00E0B"/>
    <w:rsid w:val="00D00EC3"/>
    <w:rsid w:val="00D00F3F"/>
    <w:rsid w:val="00D01219"/>
    <w:rsid w:val="00D0152A"/>
    <w:rsid w:val="00D0175D"/>
    <w:rsid w:val="00D01926"/>
    <w:rsid w:val="00D01C0B"/>
    <w:rsid w:val="00D02D4E"/>
    <w:rsid w:val="00D03598"/>
    <w:rsid w:val="00D0382B"/>
    <w:rsid w:val="00D0406B"/>
    <w:rsid w:val="00D040F8"/>
    <w:rsid w:val="00D045A4"/>
    <w:rsid w:val="00D04681"/>
    <w:rsid w:val="00D04ACB"/>
    <w:rsid w:val="00D055E9"/>
    <w:rsid w:val="00D0567E"/>
    <w:rsid w:val="00D05C0D"/>
    <w:rsid w:val="00D060DC"/>
    <w:rsid w:val="00D06223"/>
    <w:rsid w:val="00D06DDC"/>
    <w:rsid w:val="00D06E7F"/>
    <w:rsid w:val="00D10704"/>
    <w:rsid w:val="00D10803"/>
    <w:rsid w:val="00D11028"/>
    <w:rsid w:val="00D118FD"/>
    <w:rsid w:val="00D11B9D"/>
    <w:rsid w:val="00D11BF8"/>
    <w:rsid w:val="00D11C88"/>
    <w:rsid w:val="00D11E4D"/>
    <w:rsid w:val="00D12651"/>
    <w:rsid w:val="00D126A4"/>
    <w:rsid w:val="00D12A14"/>
    <w:rsid w:val="00D12B07"/>
    <w:rsid w:val="00D12B46"/>
    <w:rsid w:val="00D12DC9"/>
    <w:rsid w:val="00D1332C"/>
    <w:rsid w:val="00D1357E"/>
    <w:rsid w:val="00D13A1C"/>
    <w:rsid w:val="00D1489D"/>
    <w:rsid w:val="00D14E56"/>
    <w:rsid w:val="00D151E7"/>
    <w:rsid w:val="00D15CA2"/>
    <w:rsid w:val="00D15D7D"/>
    <w:rsid w:val="00D15EAA"/>
    <w:rsid w:val="00D16063"/>
    <w:rsid w:val="00D163E6"/>
    <w:rsid w:val="00D1641E"/>
    <w:rsid w:val="00D164F1"/>
    <w:rsid w:val="00D16BF3"/>
    <w:rsid w:val="00D16D32"/>
    <w:rsid w:val="00D16E00"/>
    <w:rsid w:val="00D1749D"/>
    <w:rsid w:val="00D17585"/>
    <w:rsid w:val="00D177D1"/>
    <w:rsid w:val="00D202B4"/>
    <w:rsid w:val="00D20381"/>
    <w:rsid w:val="00D20479"/>
    <w:rsid w:val="00D206B1"/>
    <w:rsid w:val="00D210B4"/>
    <w:rsid w:val="00D2119F"/>
    <w:rsid w:val="00D215EA"/>
    <w:rsid w:val="00D216ED"/>
    <w:rsid w:val="00D21905"/>
    <w:rsid w:val="00D21AA6"/>
    <w:rsid w:val="00D22166"/>
    <w:rsid w:val="00D221EF"/>
    <w:rsid w:val="00D22FC3"/>
    <w:rsid w:val="00D235AA"/>
    <w:rsid w:val="00D23B3F"/>
    <w:rsid w:val="00D241DB"/>
    <w:rsid w:val="00D2469E"/>
    <w:rsid w:val="00D24948"/>
    <w:rsid w:val="00D24A9C"/>
    <w:rsid w:val="00D24EFB"/>
    <w:rsid w:val="00D24F77"/>
    <w:rsid w:val="00D25216"/>
    <w:rsid w:val="00D254C8"/>
    <w:rsid w:val="00D25616"/>
    <w:rsid w:val="00D25F28"/>
    <w:rsid w:val="00D26406"/>
    <w:rsid w:val="00D26881"/>
    <w:rsid w:val="00D2688A"/>
    <w:rsid w:val="00D26BC3"/>
    <w:rsid w:val="00D27821"/>
    <w:rsid w:val="00D27F0F"/>
    <w:rsid w:val="00D307FA"/>
    <w:rsid w:val="00D30C25"/>
    <w:rsid w:val="00D30D2D"/>
    <w:rsid w:val="00D3150C"/>
    <w:rsid w:val="00D31530"/>
    <w:rsid w:val="00D31832"/>
    <w:rsid w:val="00D31EA0"/>
    <w:rsid w:val="00D321EF"/>
    <w:rsid w:val="00D32AF9"/>
    <w:rsid w:val="00D3397F"/>
    <w:rsid w:val="00D33E9C"/>
    <w:rsid w:val="00D340EE"/>
    <w:rsid w:val="00D34BE0"/>
    <w:rsid w:val="00D35010"/>
    <w:rsid w:val="00D35284"/>
    <w:rsid w:val="00D35891"/>
    <w:rsid w:val="00D358E7"/>
    <w:rsid w:val="00D35D12"/>
    <w:rsid w:val="00D370C0"/>
    <w:rsid w:val="00D37400"/>
    <w:rsid w:val="00D37942"/>
    <w:rsid w:val="00D379F8"/>
    <w:rsid w:val="00D37DCE"/>
    <w:rsid w:val="00D37FEE"/>
    <w:rsid w:val="00D40131"/>
    <w:rsid w:val="00D40320"/>
    <w:rsid w:val="00D40A0A"/>
    <w:rsid w:val="00D40CF7"/>
    <w:rsid w:val="00D4118F"/>
    <w:rsid w:val="00D4149B"/>
    <w:rsid w:val="00D41693"/>
    <w:rsid w:val="00D41861"/>
    <w:rsid w:val="00D41869"/>
    <w:rsid w:val="00D42011"/>
    <w:rsid w:val="00D429B2"/>
    <w:rsid w:val="00D42B01"/>
    <w:rsid w:val="00D42C16"/>
    <w:rsid w:val="00D42E16"/>
    <w:rsid w:val="00D4317D"/>
    <w:rsid w:val="00D43664"/>
    <w:rsid w:val="00D4377D"/>
    <w:rsid w:val="00D4395A"/>
    <w:rsid w:val="00D43AA2"/>
    <w:rsid w:val="00D43B8B"/>
    <w:rsid w:val="00D44017"/>
    <w:rsid w:val="00D4416A"/>
    <w:rsid w:val="00D44FD7"/>
    <w:rsid w:val="00D4500D"/>
    <w:rsid w:val="00D45749"/>
    <w:rsid w:val="00D457E5"/>
    <w:rsid w:val="00D45AAA"/>
    <w:rsid w:val="00D45F73"/>
    <w:rsid w:val="00D462B3"/>
    <w:rsid w:val="00D46458"/>
    <w:rsid w:val="00D464DA"/>
    <w:rsid w:val="00D46780"/>
    <w:rsid w:val="00D47331"/>
    <w:rsid w:val="00D479D1"/>
    <w:rsid w:val="00D47CF9"/>
    <w:rsid w:val="00D50567"/>
    <w:rsid w:val="00D50E46"/>
    <w:rsid w:val="00D5174F"/>
    <w:rsid w:val="00D51D57"/>
    <w:rsid w:val="00D51E81"/>
    <w:rsid w:val="00D52220"/>
    <w:rsid w:val="00D52BEC"/>
    <w:rsid w:val="00D53433"/>
    <w:rsid w:val="00D5354A"/>
    <w:rsid w:val="00D5392A"/>
    <w:rsid w:val="00D54105"/>
    <w:rsid w:val="00D549F8"/>
    <w:rsid w:val="00D55365"/>
    <w:rsid w:val="00D5540E"/>
    <w:rsid w:val="00D55648"/>
    <w:rsid w:val="00D5609F"/>
    <w:rsid w:val="00D564CC"/>
    <w:rsid w:val="00D56569"/>
    <w:rsid w:val="00D56632"/>
    <w:rsid w:val="00D57669"/>
    <w:rsid w:val="00D57674"/>
    <w:rsid w:val="00D57692"/>
    <w:rsid w:val="00D6031A"/>
    <w:rsid w:val="00D60B5C"/>
    <w:rsid w:val="00D60EDC"/>
    <w:rsid w:val="00D61146"/>
    <w:rsid w:val="00D6114A"/>
    <w:rsid w:val="00D612F4"/>
    <w:rsid w:val="00D61884"/>
    <w:rsid w:val="00D61D16"/>
    <w:rsid w:val="00D6202B"/>
    <w:rsid w:val="00D6305A"/>
    <w:rsid w:val="00D6312A"/>
    <w:rsid w:val="00D6339D"/>
    <w:rsid w:val="00D636F4"/>
    <w:rsid w:val="00D63F60"/>
    <w:rsid w:val="00D6426D"/>
    <w:rsid w:val="00D64A71"/>
    <w:rsid w:val="00D64EC4"/>
    <w:rsid w:val="00D65257"/>
    <w:rsid w:val="00D65F16"/>
    <w:rsid w:val="00D66030"/>
    <w:rsid w:val="00D6613A"/>
    <w:rsid w:val="00D67691"/>
    <w:rsid w:val="00D6772A"/>
    <w:rsid w:val="00D70250"/>
    <w:rsid w:val="00D70617"/>
    <w:rsid w:val="00D7088B"/>
    <w:rsid w:val="00D70A2F"/>
    <w:rsid w:val="00D70F94"/>
    <w:rsid w:val="00D713AF"/>
    <w:rsid w:val="00D7158C"/>
    <w:rsid w:val="00D71D0B"/>
    <w:rsid w:val="00D71D34"/>
    <w:rsid w:val="00D71DE1"/>
    <w:rsid w:val="00D721EB"/>
    <w:rsid w:val="00D72531"/>
    <w:rsid w:val="00D7302F"/>
    <w:rsid w:val="00D73034"/>
    <w:rsid w:val="00D73777"/>
    <w:rsid w:val="00D73AD3"/>
    <w:rsid w:val="00D73AEE"/>
    <w:rsid w:val="00D73C7A"/>
    <w:rsid w:val="00D74024"/>
    <w:rsid w:val="00D7475B"/>
    <w:rsid w:val="00D74DAC"/>
    <w:rsid w:val="00D74EF1"/>
    <w:rsid w:val="00D74FE5"/>
    <w:rsid w:val="00D75194"/>
    <w:rsid w:val="00D758C3"/>
    <w:rsid w:val="00D75F2C"/>
    <w:rsid w:val="00D7638B"/>
    <w:rsid w:val="00D771B8"/>
    <w:rsid w:val="00D77420"/>
    <w:rsid w:val="00D778C3"/>
    <w:rsid w:val="00D77CB4"/>
    <w:rsid w:val="00D77DE7"/>
    <w:rsid w:val="00D80102"/>
    <w:rsid w:val="00D80CB7"/>
    <w:rsid w:val="00D80D6C"/>
    <w:rsid w:val="00D80F11"/>
    <w:rsid w:val="00D80FE5"/>
    <w:rsid w:val="00D82014"/>
    <w:rsid w:val="00D82389"/>
    <w:rsid w:val="00D825EE"/>
    <w:rsid w:val="00D82BAE"/>
    <w:rsid w:val="00D83126"/>
    <w:rsid w:val="00D83898"/>
    <w:rsid w:val="00D83EB9"/>
    <w:rsid w:val="00D84026"/>
    <w:rsid w:val="00D84155"/>
    <w:rsid w:val="00D84B6B"/>
    <w:rsid w:val="00D84DFE"/>
    <w:rsid w:val="00D84E20"/>
    <w:rsid w:val="00D84E9F"/>
    <w:rsid w:val="00D85181"/>
    <w:rsid w:val="00D85962"/>
    <w:rsid w:val="00D85F00"/>
    <w:rsid w:val="00D8600F"/>
    <w:rsid w:val="00D86205"/>
    <w:rsid w:val="00D86A66"/>
    <w:rsid w:val="00D86D93"/>
    <w:rsid w:val="00D86E7A"/>
    <w:rsid w:val="00D905E8"/>
    <w:rsid w:val="00D9073B"/>
    <w:rsid w:val="00D9117F"/>
    <w:rsid w:val="00D91768"/>
    <w:rsid w:val="00D91881"/>
    <w:rsid w:val="00D92206"/>
    <w:rsid w:val="00D923C6"/>
    <w:rsid w:val="00D9279C"/>
    <w:rsid w:val="00D9297C"/>
    <w:rsid w:val="00D92AC3"/>
    <w:rsid w:val="00D92CBC"/>
    <w:rsid w:val="00D92D0C"/>
    <w:rsid w:val="00D930EA"/>
    <w:rsid w:val="00D93B46"/>
    <w:rsid w:val="00D93CD2"/>
    <w:rsid w:val="00D93E8C"/>
    <w:rsid w:val="00D94191"/>
    <w:rsid w:val="00D949D4"/>
    <w:rsid w:val="00D94AD1"/>
    <w:rsid w:val="00D9518A"/>
    <w:rsid w:val="00D95274"/>
    <w:rsid w:val="00D95AAC"/>
    <w:rsid w:val="00D95DCC"/>
    <w:rsid w:val="00D95DE4"/>
    <w:rsid w:val="00D96034"/>
    <w:rsid w:val="00D96391"/>
    <w:rsid w:val="00D96652"/>
    <w:rsid w:val="00D967F8"/>
    <w:rsid w:val="00D96952"/>
    <w:rsid w:val="00D9711F"/>
    <w:rsid w:val="00D9762A"/>
    <w:rsid w:val="00D9784E"/>
    <w:rsid w:val="00DA00DC"/>
    <w:rsid w:val="00DA082E"/>
    <w:rsid w:val="00DA099D"/>
    <w:rsid w:val="00DA0F67"/>
    <w:rsid w:val="00DA1015"/>
    <w:rsid w:val="00DA10CB"/>
    <w:rsid w:val="00DA1623"/>
    <w:rsid w:val="00DA1F32"/>
    <w:rsid w:val="00DA2053"/>
    <w:rsid w:val="00DA2348"/>
    <w:rsid w:val="00DA2AA7"/>
    <w:rsid w:val="00DA2EBF"/>
    <w:rsid w:val="00DA32B2"/>
    <w:rsid w:val="00DA3A9F"/>
    <w:rsid w:val="00DA3C2A"/>
    <w:rsid w:val="00DA4CF3"/>
    <w:rsid w:val="00DA5BF6"/>
    <w:rsid w:val="00DA5C4D"/>
    <w:rsid w:val="00DA5F5F"/>
    <w:rsid w:val="00DA613D"/>
    <w:rsid w:val="00DA62F6"/>
    <w:rsid w:val="00DA6B15"/>
    <w:rsid w:val="00DA6BEF"/>
    <w:rsid w:val="00DB050C"/>
    <w:rsid w:val="00DB1792"/>
    <w:rsid w:val="00DB18FC"/>
    <w:rsid w:val="00DB268B"/>
    <w:rsid w:val="00DB332E"/>
    <w:rsid w:val="00DB337A"/>
    <w:rsid w:val="00DB34CE"/>
    <w:rsid w:val="00DB3946"/>
    <w:rsid w:val="00DB3C58"/>
    <w:rsid w:val="00DB3FA2"/>
    <w:rsid w:val="00DB41BD"/>
    <w:rsid w:val="00DB4274"/>
    <w:rsid w:val="00DB429D"/>
    <w:rsid w:val="00DB43FA"/>
    <w:rsid w:val="00DB46D2"/>
    <w:rsid w:val="00DB4803"/>
    <w:rsid w:val="00DB4859"/>
    <w:rsid w:val="00DB4CA4"/>
    <w:rsid w:val="00DB4F90"/>
    <w:rsid w:val="00DB5738"/>
    <w:rsid w:val="00DB755B"/>
    <w:rsid w:val="00DB7610"/>
    <w:rsid w:val="00DB7ECB"/>
    <w:rsid w:val="00DC0421"/>
    <w:rsid w:val="00DC04E1"/>
    <w:rsid w:val="00DC0514"/>
    <w:rsid w:val="00DC0A4C"/>
    <w:rsid w:val="00DC10E8"/>
    <w:rsid w:val="00DC172B"/>
    <w:rsid w:val="00DC1930"/>
    <w:rsid w:val="00DC1DFC"/>
    <w:rsid w:val="00DC2274"/>
    <w:rsid w:val="00DC22FD"/>
    <w:rsid w:val="00DC2B46"/>
    <w:rsid w:val="00DC31B2"/>
    <w:rsid w:val="00DC31EC"/>
    <w:rsid w:val="00DC3635"/>
    <w:rsid w:val="00DC3C6A"/>
    <w:rsid w:val="00DC4292"/>
    <w:rsid w:val="00DC43CD"/>
    <w:rsid w:val="00DC4512"/>
    <w:rsid w:val="00DC4562"/>
    <w:rsid w:val="00DC461B"/>
    <w:rsid w:val="00DC489B"/>
    <w:rsid w:val="00DC4972"/>
    <w:rsid w:val="00DC4C2D"/>
    <w:rsid w:val="00DC4D4B"/>
    <w:rsid w:val="00DC4E89"/>
    <w:rsid w:val="00DC5621"/>
    <w:rsid w:val="00DC57D9"/>
    <w:rsid w:val="00DC58EB"/>
    <w:rsid w:val="00DC5AB8"/>
    <w:rsid w:val="00DC6B48"/>
    <w:rsid w:val="00DC6DA9"/>
    <w:rsid w:val="00DC6E72"/>
    <w:rsid w:val="00DC6EBF"/>
    <w:rsid w:val="00DC70E0"/>
    <w:rsid w:val="00DC7191"/>
    <w:rsid w:val="00DC72C0"/>
    <w:rsid w:val="00DC72FB"/>
    <w:rsid w:val="00DC752A"/>
    <w:rsid w:val="00DD0DAC"/>
    <w:rsid w:val="00DD0EBD"/>
    <w:rsid w:val="00DD1232"/>
    <w:rsid w:val="00DD1376"/>
    <w:rsid w:val="00DD1A6A"/>
    <w:rsid w:val="00DD1FF3"/>
    <w:rsid w:val="00DD2194"/>
    <w:rsid w:val="00DD2999"/>
    <w:rsid w:val="00DD2A6A"/>
    <w:rsid w:val="00DD315F"/>
    <w:rsid w:val="00DD4483"/>
    <w:rsid w:val="00DD45E5"/>
    <w:rsid w:val="00DD468D"/>
    <w:rsid w:val="00DD49C3"/>
    <w:rsid w:val="00DD4BD0"/>
    <w:rsid w:val="00DD4FAE"/>
    <w:rsid w:val="00DD506C"/>
    <w:rsid w:val="00DD50CB"/>
    <w:rsid w:val="00DD512A"/>
    <w:rsid w:val="00DD5243"/>
    <w:rsid w:val="00DD535C"/>
    <w:rsid w:val="00DD54D0"/>
    <w:rsid w:val="00DD5C45"/>
    <w:rsid w:val="00DD6588"/>
    <w:rsid w:val="00DD65BC"/>
    <w:rsid w:val="00DD6697"/>
    <w:rsid w:val="00DD6EBE"/>
    <w:rsid w:val="00DD7FCB"/>
    <w:rsid w:val="00DE04D7"/>
    <w:rsid w:val="00DE1342"/>
    <w:rsid w:val="00DE1744"/>
    <w:rsid w:val="00DE176D"/>
    <w:rsid w:val="00DE1983"/>
    <w:rsid w:val="00DE1BB4"/>
    <w:rsid w:val="00DE2068"/>
    <w:rsid w:val="00DE2535"/>
    <w:rsid w:val="00DE2542"/>
    <w:rsid w:val="00DE25C5"/>
    <w:rsid w:val="00DE27D4"/>
    <w:rsid w:val="00DE2D75"/>
    <w:rsid w:val="00DE317B"/>
    <w:rsid w:val="00DE326C"/>
    <w:rsid w:val="00DE3417"/>
    <w:rsid w:val="00DE3C93"/>
    <w:rsid w:val="00DE3E2B"/>
    <w:rsid w:val="00DE4014"/>
    <w:rsid w:val="00DE4255"/>
    <w:rsid w:val="00DE425D"/>
    <w:rsid w:val="00DE438C"/>
    <w:rsid w:val="00DE448B"/>
    <w:rsid w:val="00DE4613"/>
    <w:rsid w:val="00DE4CB8"/>
    <w:rsid w:val="00DE4CDC"/>
    <w:rsid w:val="00DE572E"/>
    <w:rsid w:val="00DE5845"/>
    <w:rsid w:val="00DE5862"/>
    <w:rsid w:val="00DE5D24"/>
    <w:rsid w:val="00DE605D"/>
    <w:rsid w:val="00DE60AE"/>
    <w:rsid w:val="00DE648C"/>
    <w:rsid w:val="00DE68C3"/>
    <w:rsid w:val="00DE7A77"/>
    <w:rsid w:val="00DE7E49"/>
    <w:rsid w:val="00DE7F6E"/>
    <w:rsid w:val="00DF0267"/>
    <w:rsid w:val="00DF075C"/>
    <w:rsid w:val="00DF15AE"/>
    <w:rsid w:val="00DF194D"/>
    <w:rsid w:val="00DF2565"/>
    <w:rsid w:val="00DF28CF"/>
    <w:rsid w:val="00DF2A8B"/>
    <w:rsid w:val="00DF2FDE"/>
    <w:rsid w:val="00DF3794"/>
    <w:rsid w:val="00DF3889"/>
    <w:rsid w:val="00DF3D47"/>
    <w:rsid w:val="00DF407E"/>
    <w:rsid w:val="00DF4F28"/>
    <w:rsid w:val="00DF4F85"/>
    <w:rsid w:val="00DF5423"/>
    <w:rsid w:val="00DF6222"/>
    <w:rsid w:val="00DF628A"/>
    <w:rsid w:val="00DF633F"/>
    <w:rsid w:val="00DF6421"/>
    <w:rsid w:val="00DF6764"/>
    <w:rsid w:val="00DF6ECF"/>
    <w:rsid w:val="00DF6FE8"/>
    <w:rsid w:val="00DF7595"/>
    <w:rsid w:val="00DF7621"/>
    <w:rsid w:val="00DF7E63"/>
    <w:rsid w:val="00E011A4"/>
    <w:rsid w:val="00E016F5"/>
    <w:rsid w:val="00E0181D"/>
    <w:rsid w:val="00E02664"/>
    <w:rsid w:val="00E026BA"/>
    <w:rsid w:val="00E0302A"/>
    <w:rsid w:val="00E0347E"/>
    <w:rsid w:val="00E0370D"/>
    <w:rsid w:val="00E03DB4"/>
    <w:rsid w:val="00E04CB1"/>
    <w:rsid w:val="00E04DE8"/>
    <w:rsid w:val="00E051BC"/>
    <w:rsid w:val="00E05266"/>
    <w:rsid w:val="00E0543F"/>
    <w:rsid w:val="00E05BB6"/>
    <w:rsid w:val="00E05D35"/>
    <w:rsid w:val="00E05F2A"/>
    <w:rsid w:val="00E064D5"/>
    <w:rsid w:val="00E068CA"/>
    <w:rsid w:val="00E0715E"/>
    <w:rsid w:val="00E10074"/>
    <w:rsid w:val="00E104BD"/>
    <w:rsid w:val="00E10608"/>
    <w:rsid w:val="00E10D4C"/>
    <w:rsid w:val="00E1106E"/>
    <w:rsid w:val="00E110A3"/>
    <w:rsid w:val="00E114C0"/>
    <w:rsid w:val="00E119AB"/>
    <w:rsid w:val="00E1242F"/>
    <w:rsid w:val="00E12795"/>
    <w:rsid w:val="00E1291F"/>
    <w:rsid w:val="00E12F68"/>
    <w:rsid w:val="00E13B1C"/>
    <w:rsid w:val="00E13BFB"/>
    <w:rsid w:val="00E13C63"/>
    <w:rsid w:val="00E140D5"/>
    <w:rsid w:val="00E14A62"/>
    <w:rsid w:val="00E14C38"/>
    <w:rsid w:val="00E14E20"/>
    <w:rsid w:val="00E14F43"/>
    <w:rsid w:val="00E15087"/>
    <w:rsid w:val="00E1546D"/>
    <w:rsid w:val="00E155F0"/>
    <w:rsid w:val="00E16426"/>
    <w:rsid w:val="00E1678C"/>
    <w:rsid w:val="00E1692A"/>
    <w:rsid w:val="00E16BEC"/>
    <w:rsid w:val="00E16DFE"/>
    <w:rsid w:val="00E173C6"/>
    <w:rsid w:val="00E175CB"/>
    <w:rsid w:val="00E17C15"/>
    <w:rsid w:val="00E17CB5"/>
    <w:rsid w:val="00E17F14"/>
    <w:rsid w:val="00E200B1"/>
    <w:rsid w:val="00E20EE8"/>
    <w:rsid w:val="00E2128A"/>
    <w:rsid w:val="00E21742"/>
    <w:rsid w:val="00E217AF"/>
    <w:rsid w:val="00E217DA"/>
    <w:rsid w:val="00E2279E"/>
    <w:rsid w:val="00E227F0"/>
    <w:rsid w:val="00E2374D"/>
    <w:rsid w:val="00E2381D"/>
    <w:rsid w:val="00E23979"/>
    <w:rsid w:val="00E239C4"/>
    <w:rsid w:val="00E23CC0"/>
    <w:rsid w:val="00E23EE4"/>
    <w:rsid w:val="00E24597"/>
    <w:rsid w:val="00E24A7B"/>
    <w:rsid w:val="00E24F45"/>
    <w:rsid w:val="00E250AC"/>
    <w:rsid w:val="00E2516B"/>
    <w:rsid w:val="00E25EA3"/>
    <w:rsid w:val="00E26EE0"/>
    <w:rsid w:val="00E27857"/>
    <w:rsid w:val="00E27BB2"/>
    <w:rsid w:val="00E27BC3"/>
    <w:rsid w:val="00E27CA6"/>
    <w:rsid w:val="00E27CE3"/>
    <w:rsid w:val="00E27EF8"/>
    <w:rsid w:val="00E3043A"/>
    <w:rsid w:val="00E3197A"/>
    <w:rsid w:val="00E320A4"/>
    <w:rsid w:val="00E32185"/>
    <w:rsid w:val="00E322ED"/>
    <w:rsid w:val="00E32853"/>
    <w:rsid w:val="00E33218"/>
    <w:rsid w:val="00E3406D"/>
    <w:rsid w:val="00E346F9"/>
    <w:rsid w:val="00E34BD5"/>
    <w:rsid w:val="00E35225"/>
    <w:rsid w:val="00E352A6"/>
    <w:rsid w:val="00E35343"/>
    <w:rsid w:val="00E35ABA"/>
    <w:rsid w:val="00E360F0"/>
    <w:rsid w:val="00E36815"/>
    <w:rsid w:val="00E36D34"/>
    <w:rsid w:val="00E371D2"/>
    <w:rsid w:val="00E372C5"/>
    <w:rsid w:val="00E373EE"/>
    <w:rsid w:val="00E374C2"/>
    <w:rsid w:val="00E37906"/>
    <w:rsid w:val="00E379DE"/>
    <w:rsid w:val="00E37CC8"/>
    <w:rsid w:val="00E37ECF"/>
    <w:rsid w:val="00E40583"/>
    <w:rsid w:val="00E409B3"/>
    <w:rsid w:val="00E41019"/>
    <w:rsid w:val="00E41AEA"/>
    <w:rsid w:val="00E42292"/>
    <w:rsid w:val="00E422C5"/>
    <w:rsid w:val="00E42371"/>
    <w:rsid w:val="00E4239C"/>
    <w:rsid w:val="00E42AB1"/>
    <w:rsid w:val="00E42D07"/>
    <w:rsid w:val="00E4317B"/>
    <w:rsid w:val="00E4335E"/>
    <w:rsid w:val="00E43495"/>
    <w:rsid w:val="00E444F7"/>
    <w:rsid w:val="00E446F4"/>
    <w:rsid w:val="00E44863"/>
    <w:rsid w:val="00E448C9"/>
    <w:rsid w:val="00E44A27"/>
    <w:rsid w:val="00E44E54"/>
    <w:rsid w:val="00E45150"/>
    <w:rsid w:val="00E469B7"/>
    <w:rsid w:val="00E46B51"/>
    <w:rsid w:val="00E472CE"/>
    <w:rsid w:val="00E47888"/>
    <w:rsid w:val="00E501DC"/>
    <w:rsid w:val="00E509E3"/>
    <w:rsid w:val="00E513C0"/>
    <w:rsid w:val="00E51CF9"/>
    <w:rsid w:val="00E520B5"/>
    <w:rsid w:val="00E52366"/>
    <w:rsid w:val="00E525C2"/>
    <w:rsid w:val="00E529A5"/>
    <w:rsid w:val="00E5340C"/>
    <w:rsid w:val="00E53976"/>
    <w:rsid w:val="00E53A74"/>
    <w:rsid w:val="00E53BE6"/>
    <w:rsid w:val="00E53C36"/>
    <w:rsid w:val="00E54715"/>
    <w:rsid w:val="00E54C48"/>
    <w:rsid w:val="00E55B89"/>
    <w:rsid w:val="00E561FB"/>
    <w:rsid w:val="00E572E7"/>
    <w:rsid w:val="00E57314"/>
    <w:rsid w:val="00E57B24"/>
    <w:rsid w:val="00E604F8"/>
    <w:rsid w:val="00E60F9C"/>
    <w:rsid w:val="00E60FAD"/>
    <w:rsid w:val="00E613EB"/>
    <w:rsid w:val="00E6143F"/>
    <w:rsid w:val="00E6175C"/>
    <w:rsid w:val="00E6193D"/>
    <w:rsid w:val="00E61ACF"/>
    <w:rsid w:val="00E61B5D"/>
    <w:rsid w:val="00E62818"/>
    <w:rsid w:val="00E62B22"/>
    <w:rsid w:val="00E62B27"/>
    <w:rsid w:val="00E62C8E"/>
    <w:rsid w:val="00E62ED5"/>
    <w:rsid w:val="00E63026"/>
    <w:rsid w:val="00E63313"/>
    <w:rsid w:val="00E637BD"/>
    <w:rsid w:val="00E637E5"/>
    <w:rsid w:val="00E6399C"/>
    <w:rsid w:val="00E63C43"/>
    <w:rsid w:val="00E63F9D"/>
    <w:rsid w:val="00E645B2"/>
    <w:rsid w:val="00E64BE8"/>
    <w:rsid w:val="00E64E41"/>
    <w:rsid w:val="00E65227"/>
    <w:rsid w:val="00E654A9"/>
    <w:rsid w:val="00E654D5"/>
    <w:rsid w:val="00E65E0D"/>
    <w:rsid w:val="00E6611A"/>
    <w:rsid w:val="00E663BF"/>
    <w:rsid w:val="00E6640D"/>
    <w:rsid w:val="00E66436"/>
    <w:rsid w:val="00E664ED"/>
    <w:rsid w:val="00E668A1"/>
    <w:rsid w:val="00E66C49"/>
    <w:rsid w:val="00E66F69"/>
    <w:rsid w:val="00E676D8"/>
    <w:rsid w:val="00E67847"/>
    <w:rsid w:val="00E67CD5"/>
    <w:rsid w:val="00E67EEB"/>
    <w:rsid w:val="00E71566"/>
    <w:rsid w:val="00E7232D"/>
    <w:rsid w:val="00E725B1"/>
    <w:rsid w:val="00E72AD8"/>
    <w:rsid w:val="00E72C03"/>
    <w:rsid w:val="00E72ECC"/>
    <w:rsid w:val="00E732C0"/>
    <w:rsid w:val="00E738B6"/>
    <w:rsid w:val="00E7397B"/>
    <w:rsid w:val="00E73C7B"/>
    <w:rsid w:val="00E740E2"/>
    <w:rsid w:val="00E7507A"/>
    <w:rsid w:val="00E753AB"/>
    <w:rsid w:val="00E7540C"/>
    <w:rsid w:val="00E75657"/>
    <w:rsid w:val="00E75B34"/>
    <w:rsid w:val="00E7620C"/>
    <w:rsid w:val="00E7629B"/>
    <w:rsid w:val="00E76E2C"/>
    <w:rsid w:val="00E77057"/>
    <w:rsid w:val="00E774CD"/>
    <w:rsid w:val="00E8022D"/>
    <w:rsid w:val="00E80EAE"/>
    <w:rsid w:val="00E80FCB"/>
    <w:rsid w:val="00E80FF3"/>
    <w:rsid w:val="00E8110B"/>
    <w:rsid w:val="00E81A22"/>
    <w:rsid w:val="00E81B44"/>
    <w:rsid w:val="00E81B45"/>
    <w:rsid w:val="00E81E2B"/>
    <w:rsid w:val="00E82414"/>
    <w:rsid w:val="00E82819"/>
    <w:rsid w:val="00E82C0F"/>
    <w:rsid w:val="00E8358C"/>
    <w:rsid w:val="00E837BD"/>
    <w:rsid w:val="00E83B24"/>
    <w:rsid w:val="00E83B73"/>
    <w:rsid w:val="00E840EA"/>
    <w:rsid w:val="00E84212"/>
    <w:rsid w:val="00E84436"/>
    <w:rsid w:val="00E846B1"/>
    <w:rsid w:val="00E848F1"/>
    <w:rsid w:val="00E84940"/>
    <w:rsid w:val="00E84B38"/>
    <w:rsid w:val="00E84B76"/>
    <w:rsid w:val="00E84CF9"/>
    <w:rsid w:val="00E85B22"/>
    <w:rsid w:val="00E85D52"/>
    <w:rsid w:val="00E85D5D"/>
    <w:rsid w:val="00E85DF6"/>
    <w:rsid w:val="00E865F6"/>
    <w:rsid w:val="00E87933"/>
    <w:rsid w:val="00E87A24"/>
    <w:rsid w:val="00E87BE9"/>
    <w:rsid w:val="00E87E29"/>
    <w:rsid w:val="00E87F44"/>
    <w:rsid w:val="00E90146"/>
    <w:rsid w:val="00E901D1"/>
    <w:rsid w:val="00E903C9"/>
    <w:rsid w:val="00E9062C"/>
    <w:rsid w:val="00E90AFB"/>
    <w:rsid w:val="00E90DF2"/>
    <w:rsid w:val="00E9108F"/>
    <w:rsid w:val="00E910A8"/>
    <w:rsid w:val="00E9119C"/>
    <w:rsid w:val="00E913F1"/>
    <w:rsid w:val="00E916D1"/>
    <w:rsid w:val="00E920CC"/>
    <w:rsid w:val="00E92100"/>
    <w:rsid w:val="00E92A71"/>
    <w:rsid w:val="00E92D77"/>
    <w:rsid w:val="00E9362D"/>
    <w:rsid w:val="00E94148"/>
    <w:rsid w:val="00E95518"/>
    <w:rsid w:val="00E95757"/>
    <w:rsid w:val="00E959DB"/>
    <w:rsid w:val="00E95B95"/>
    <w:rsid w:val="00E95FA2"/>
    <w:rsid w:val="00E960D2"/>
    <w:rsid w:val="00E96277"/>
    <w:rsid w:val="00E96664"/>
    <w:rsid w:val="00E96FE5"/>
    <w:rsid w:val="00E97396"/>
    <w:rsid w:val="00E97718"/>
    <w:rsid w:val="00E979B3"/>
    <w:rsid w:val="00E97C1E"/>
    <w:rsid w:val="00EA05C5"/>
    <w:rsid w:val="00EA0747"/>
    <w:rsid w:val="00EA0881"/>
    <w:rsid w:val="00EA0E9C"/>
    <w:rsid w:val="00EA1173"/>
    <w:rsid w:val="00EA118E"/>
    <w:rsid w:val="00EA1B72"/>
    <w:rsid w:val="00EA1D18"/>
    <w:rsid w:val="00EA1E59"/>
    <w:rsid w:val="00EA23D5"/>
    <w:rsid w:val="00EA26EB"/>
    <w:rsid w:val="00EA2857"/>
    <w:rsid w:val="00EA2C73"/>
    <w:rsid w:val="00EA2D48"/>
    <w:rsid w:val="00EA2F3D"/>
    <w:rsid w:val="00EA3058"/>
    <w:rsid w:val="00EA3A2E"/>
    <w:rsid w:val="00EA3D7B"/>
    <w:rsid w:val="00EA3ECC"/>
    <w:rsid w:val="00EA406C"/>
    <w:rsid w:val="00EA4600"/>
    <w:rsid w:val="00EA484C"/>
    <w:rsid w:val="00EA5C02"/>
    <w:rsid w:val="00EA5F61"/>
    <w:rsid w:val="00EA6155"/>
    <w:rsid w:val="00EA630A"/>
    <w:rsid w:val="00EA68D4"/>
    <w:rsid w:val="00EA69EF"/>
    <w:rsid w:val="00EA6B28"/>
    <w:rsid w:val="00EA7511"/>
    <w:rsid w:val="00EA767A"/>
    <w:rsid w:val="00EA7745"/>
    <w:rsid w:val="00EB005B"/>
    <w:rsid w:val="00EB03E0"/>
    <w:rsid w:val="00EB14F7"/>
    <w:rsid w:val="00EB1A16"/>
    <w:rsid w:val="00EB1C11"/>
    <w:rsid w:val="00EB1C95"/>
    <w:rsid w:val="00EB1D95"/>
    <w:rsid w:val="00EB2119"/>
    <w:rsid w:val="00EB2260"/>
    <w:rsid w:val="00EB238C"/>
    <w:rsid w:val="00EB2582"/>
    <w:rsid w:val="00EB2CD8"/>
    <w:rsid w:val="00EB39BA"/>
    <w:rsid w:val="00EB3EDF"/>
    <w:rsid w:val="00EB3F71"/>
    <w:rsid w:val="00EB3FB7"/>
    <w:rsid w:val="00EB44AB"/>
    <w:rsid w:val="00EB4933"/>
    <w:rsid w:val="00EB4C70"/>
    <w:rsid w:val="00EB51BC"/>
    <w:rsid w:val="00EB5D47"/>
    <w:rsid w:val="00EB5FCC"/>
    <w:rsid w:val="00EB63E1"/>
    <w:rsid w:val="00EB6B6C"/>
    <w:rsid w:val="00EB6CC4"/>
    <w:rsid w:val="00EB7794"/>
    <w:rsid w:val="00EC02E5"/>
    <w:rsid w:val="00EC0612"/>
    <w:rsid w:val="00EC11FB"/>
    <w:rsid w:val="00EC13DA"/>
    <w:rsid w:val="00EC13FA"/>
    <w:rsid w:val="00EC1498"/>
    <w:rsid w:val="00EC18D4"/>
    <w:rsid w:val="00EC190B"/>
    <w:rsid w:val="00EC1A67"/>
    <w:rsid w:val="00EC2DD8"/>
    <w:rsid w:val="00EC2ECE"/>
    <w:rsid w:val="00EC332C"/>
    <w:rsid w:val="00EC3FDF"/>
    <w:rsid w:val="00EC41F8"/>
    <w:rsid w:val="00EC4678"/>
    <w:rsid w:val="00EC4C92"/>
    <w:rsid w:val="00EC4FB5"/>
    <w:rsid w:val="00EC4FBC"/>
    <w:rsid w:val="00EC5452"/>
    <w:rsid w:val="00EC5A7F"/>
    <w:rsid w:val="00EC5B98"/>
    <w:rsid w:val="00EC6443"/>
    <w:rsid w:val="00EC689E"/>
    <w:rsid w:val="00EC692B"/>
    <w:rsid w:val="00EC7BBB"/>
    <w:rsid w:val="00ED0188"/>
    <w:rsid w:val="00ED023A"/>
    <w:rsid w:val="00ED05FF"/>
    <w:rsid w:val="00ED10EF"/>
    <w:rsid w:val="00ED11E1"/>
    <w:rsid w:val="00ED1204"/>
    <w:rsid w:val="00ED1601"/>
    <w:rsid w:val="00ED1768"/>
    <w:rsid w:val="00ED1F0F"/>
    <w:rsid w:val="00ED28B4"/>
    <w:rsid w:val="00ED2F35"/>
    <w:rsid w:val="00ED355B"/>
    <w:rsid w:val="00ED37DF"/>
    <w:rsid w:val="00ED411E"/>
    <w:rsid w:val="00ED43D0"/>
    <w:rsid w:val="00ED4845"/>
    <w:rsid w:val="00ED5728"/>
    <w:rsid w:val="00ED59D2"/>
    <w:rsid w:val="00ED5D8D"/>
    <w:rsid w:val="00ED64CC"/>
    <w:rsid w:val="00ED67B2"/>
    <w:rsid w:val="00ED6DCD"/>
    <w:rsid w:val="00ED6FB9"/>
    <w:rsid w:val="00ED7311"/>
    <w:rsid w:val="00ED7BAB"/>
    <w:rsid w:val="00EE0124"/>
    <w:rsid w:val="00EE11E1"/>
    <w:rsid w:val="00EE11F1"/>
    <w:rsid w:val="00EE165B"/>
    <w:rsid w:val="00EE1733"/>
    <w:rsid w:val="00EE174B"/>
    <w:rsid w:val="00EE19FE"/>
    <w:rsid w:val="00EE2278"/>
    <w:rsid w:val="00EE3412"/>
    <w:rsid w:val="00EE3677"/>
    <w:rsid w:val="00EE3C13"/>
    <w:rsid w:val="00EE6267"/>
    <w:rsid w:val="00EE637E"/>
    <w:rsid w:val="00EE6F2A"/>
    <w:rsid w:val="00EE728A"/>
    <w:rsid w:val="00EE72F9"/>
    <w:rsid w:val="00EE7FD8"/>
    <w:rsid w:val="00EE7FE9"/>
    <w:rsid w:val="00EF0635"/>
    <w:rsid w:val="00EF0D13"/>
    <w:rsid w:val="00EF14E2"/>
    <w:rsid w:val="00EF14F4"/>
    <w:rsid w:val="00EF184B"/>
    <w:rsid w:val="00EF1B87"/>
    <w:rsid w:val="00EF1D77"/>
    <w:rsid w:val="00EF2360"/>
    <w:rsid w:val="00EF241F"/>
    <w:rsid w:val="00EF2E7D"/>
    <w:rsid w:val="00EF2FEA"/>
    <w:rsid w:val="00EF319B"/>
    <w:rsid w:val="00EF3ACC"/>
    <w:rsid w:val="00EF3F29"/>
    <w:rsid w:val="00EF4CD1"/>
    <w:rsid w:val="00EF4D4E"/>
    <w:rsid w:val="00EF4EBB"/>
    <w:rsid w:val="00EF56B5"/>
    <w:rsid w:val="00EF59AA"/>
    <w:rsid w:val="00EF5D0F"/>
    <w:rsid w:val="00EF641E"/>
    <w:rsid w:val="00EF6D01"/>
    <w:rsid w:val="00EF7028"/>
    <w:rsid w:val="00EF74B6"/>
    <w:rsid w:val="00EF7575"/>
    <w:rsid w:val="00EF7EA7"/>
    <w:rsid w:val="00F00394"/>
    <w:rsid w:val="00F006A7"/>
    <w:rsid w:val="00F00D98"/>
    <w:rsid w:val="00F011A7"/>
    <w:rsid w:val="00F014A5"/>
    <w:rsid w:val="00F01CA6"/>
    <w:rsid w:val="00F01CEC"/>
    <w:rsid w:val="00F02089"/>
    <w:rsid w:val="00F0210A"/>
    <w:rsid w:val="00F0215E"/>
    <w:rsid w:val="00F023AB"/>
    <w:rsid w:val="00F024E8"/>
    <w:rsid w:val="00F02BC9"/>
    <w:rsid w:val="00F02BDE"/>
    <w:rsid w:val="00F03546"/>
    <w:rsid w:val="00F03D0A"/>
    <w:rsid w:val="00F04102"/>
    <w:rsid w:val="00F04277"/>
    <w:rsid w:val="00F044C2"/>
    <w:rsid w:val="00F045FD"/>
    <w:rsid w:val="00F0495D"/>
    <w:rsid w:val="00F04AFB"/>
    <w:rsid w:val="00F04B15"/>
    <w:rsid w:val="00F04DF2"/>
    <w:rsid w:val="00F0517D"/>
    <w:rsid w:val="00F058DA"/>
    <w:rsid w:val="00F0597E"/>
    <w:rsid w:val="00F05BAD"/>
    <w:rsid w:val="00F060C0"/>
    <w:rsid w:val="00F06824"/>
    <w:rsid w:val="00F07F5B"/>
    <w:rsid w:val="00F07FE8"/>
    <w:rsid w:val="00F10424"/>
    <w:rsid w:val="00F10E7D"/>
    <w:rsid w:val="00F113AD"/>
    <w:rsid w:val="00F11610"/>
    <w:rsid w:val="00F1165B"/>
    <w:rsid w:val="00F11853"/>
    <w:rsid w:val="00F11B78"/>
    <w:rsid w:val="00F1250E"/>
    <w:rsid w:val="00F13926"/>
    <w:rsid w:val="00F14053"/>
    <w:rsid w:val="00F143BD"/>
    <w:rsid w:val="00F14594"/>
    <w:rsid w:val="00F145EE"/>
    <w:rsid w:val="00F14B07"/>
    <w:rsid w:val="00F15DCC"/>
    <w:rsid w:val="00F15FDE"/>
    <w:rsid w:val="00F16B38"/>
    <w:rsid w:val="00F16FDB"/>
    <w:rsid w:val="00F17319"/>
    <w:rsid w:val="00F17615"/>
    <w:rsid w:val="00F1795C"/>
    <w:rsid w:val="00F20112"/>
    <w:rsid w:val="00F20171"/>
    <w:rsid w:val="00F202E3"/>
    <w:rsid w:val="00F21626"/>
    <w:rsid w:val="00F218A7"/>
    <w:rsid w:val="00F21B10"/>
    <w:rsid w:val="00F21E78"/>
    <w:rsid w:val="00F222B8"/>
    <w:rsid w:val="00F22DE7"/>
    <w:rsid w:val="00F23CE3"/>
    <w:rsid w:val="00F240E2"/>
    <w:rsid w:val="00F242E8"/>
    <w:rsid w:val="00F2444D"/>
    <w:rsid w:val="00F24BDC"/>
    <w:rsid w:val="00F24DE8"/>
    <w:rsid w:val="00F24FE7"/>
    <w:rsid w:val="00F25091"/>
    <w:rsid w:val="00F25FE7"/>
    <w:rsid w:val="00F26463"/>
    <w:rsid w:val="00F26B15"/>
    <w:rsid w:val="00F26D30"/>
    <w:rsid w:val="00F26EA1"/>
    <w:rsid w:val="00F2749B"/>
    <w:rsid w:val="00F30316"/>
    <w:rsid w:val="00F3036A"/>
    <w:rsid w:val="00F30601"/>
    <w:rsid w:val="00F3085E"/>
    <w:rsid w:val="00F308A4"/>
    <w:rsid w:val="00F30B98"/>
    <w:rsid w:val="00F30E6B"/>
    <w:rsid w:val="00F3113E"/>
    <w:rsid w:val="00F3118A"/>
    <w:rsid w:val="00F31A65"/>
    <w:rsid w:val="00F31BBF"/>
    <w:rsid w:val="00F31C51"/>
    <w:rsid w:val="00F31C60"/>
    <w:rsid w:val="00F325DC"/>
    <w:rsid w:val="00F33173"/>
    <w:rsid w:val="00F33E5C"/>
    <w:rsid w:val="00F33E82"/>
    <w:rsid w:val="00F344DC"/>
    <w:rsid w:val="00F34BD4"/>
    <w:rsid w:val="00F34DAF"/>
    <w:rsid w:val="00F34FC9"/>
    <w:rsid w:val="00F35726"/>
    <w:rsid w:val="00F35B52"/>
    <w:rsid w:val="00F35E9D"/>
    <w:rsid w:val="00F36055"/>
    <w:rsid w:val="00F3612C"/>
    <w:rsid w:val="00F3613F"/>
    <w:rsid w:val="00F36272"/>
    <w:rsid w:val="00F3708A"/>
    <w:rsid w:val="00F3721D"/>
    <w:rsid w:val="00F37B20"/>
    <w:rsid w:val="00F4007F"/>
    <w:rsid w:val="00F40967"/>
    <w:rsid w:val="00F40D2A"/>
    <w:rsid w:val="00F40D7C"/>
    <w:rsid w:val="00F4173D"/>
    <w:rsid w:val="00F41A5D"/>
    <w:rsid w:val="00F41E36"/>
    <w:rsid w:val="00F4203F"/>
    <w:rsid w:val="00F437CD"/>
    <w:rsid w:val="00F43F53"/>
    <w:rsid w:val="00F442CB"/>
    <w:rsid w:val="00F44396"/>
    <w:rsid w:val="00F444DA"/>
    <w:rsid w:val="00F4454D"/>
    <w:rsid w:val="00F44B27"/>
    <w:rsid w:val="00F44CA1"/>
    <w:rsid w:val="00F452A0"/>
    <w:rsid w:val="00F453F3"/>
    <w:rsid w:val="00F45924"/>
    <w:rsid w:val="00F45FD5"/>
    <w:rsid w:val="00F46569"/>
    <w:rsid w:val="00F46A72"/>
    <w:rsid w:val="00F46B0A"/>
    <w:rsid w:val="00F46DA3"/>
    <w:rsid w:val="00F46F01"/>
    <w:rsid w:val="00F47646"/>
    <w:rsid w:val="00F47F9E"/>
    <w:rsid w:val="00F5015F"/>
    <w:rsid w:val="00F50E96"/>
    <w:rsid w:val="00F51113"/>
    <w:rsid w:val="00F5126E"/>
    <w:rsid w:val="00F5219F"/>
    <w:rsid w:val="00F52234"/>
    <w:rsid w:val="00F52D07"/>
    <w:rsid w:val="00F52E92"/>
    <w:rsid w:val="00F532D8"/>
    <w:rsid w:val="00F53A98"/>
    <w:rsid w:val="00F53CE8"/>
    <w:rsid w:val="00F55162"/>
    <w:rsid w:val="00F557B6"/>
    <w:rsid w:val="00F55F49"/>
    <w:rsid w:val="00F55F9A"/>
    <w:rsid w:val="00F562A5"/>
    <w:rsid w:val="00F5654D"/>
    <w:rsid w:val="00F56782"/>
    <w:rsid w:val="00F571B1"/>
    <w:rsid w:val="00F5760E"/>
    <w:rsid w:val="00F57CD1"/>
    <w:rsid w:val="00F57E94"/>
    <w:rsid w:val="00F609D2"/>
    <w:rsid w:val="00F60FDD"/>
    <w:rsid w:val="00F61550"/>
    <w:rsid w:val="00F61669"/>
    <w:rsid w:val="00F61A5B"/>
    <w:rsid w:val="00F61FA6"/>
    <w:rsid w:val="00F62139"/>
    <w:rsid w:val="00F62188"/>
    <w:rsid w:val="00F628F2"/>
    <w:rsid w:val="00F63560"/>
    <w:rsid w:val="00F63E3A"/>
    <w:rsid w:val="00F6424D"/>
    <w:rsid w:val="00F646A6"/>
    <w:rsid w:val="00F649B2"/>
    <w:rsid w:val="00F652C0"/>
    <w:rsid w:val="00F65BD3"/>
    <w:rsid w:val="00F6635E"/>
    <w:rsid w:val="00F669F7"/>
    <w:rsid w:val="00F66A55"/>
    <w:rsid w:val="00F67331"/>
    <w:rsid w:val="00F67DF6"/>
    <w:rsid w:val="00F67FF2"/>
    <w:rsid w:val="00F70030"/>
    <w:rsid w:val="00F7063B"/>
    <w:rsid w:val="00F71081"/>
    <w:rsid w:val="00F7190E"/>
    <w:rsid w:val="00F72462"/>
    <w:rsid w:val="00F75353"/>
    <w:rsid w:val="00F75899"/>
    <w:rsid w:val="00F759A6"/>
    <w:rsid w:val="00F75ABB"/>
    <w:rsid w:val="00F75C97"/>
    <w:rsid w:val="00F75D41"/>
    <w:rsid w:val="00F75E70"/>
    <w:rsid w:val="00F770F9"/>
    <w:rsid w:val="00F771C1"/>
    <w:rsid w:val="00F774E2"/>
    <w:rsid w:val="00F777B7"/>
    <w:rsid w:val="00F80351"/>
    <w:rsid w:val="00F8115D"/>
    <w:rsid w:val="00F81628"/>
    <w:rsid w:val="00F817DE"/>
    <w:rsid w:val="00F81A08"/>
    <w:rsid w:val="00F81E1A"/>
    <w:rsid w:val="00F820D1"/>
    <w:rsid w:val="00F82BEB"/>
    <w:rsid w:val="00F82C42"/>
    <w:rsid w:val="00F82F66"/>
    <w:rsid w:val="00F8327E"/>
    <w:rsid w:val="00F834A7"/>
    <w:rsid w:val="00F8375D"/>
    <w:rsid w:val="00F8439B"/>
    <w:rsid w:val="00F84521"/>
    <w:rsid w:val="00F849CE"/>
    <w:rsid w:val="00F84B4A"/>
    <w:rsid w:val="00F84BE7"/>
    <w:rsid w:val="00F85EF7"/>
    <w:rsid w:val="00F86432"/>
    <w:rsid w:val="00F866EF"/>
    <w:rsid w:val="00F86799"/>
    <w:rsid w:val="00F873CD"/>
    <w:rsid w:val="00F8743A"/>
    <w:rsid w:val="00F87DB3"/>
    <w:rsid w:val="00F87E42"/>
    <w:rsid w:val="00F9074D"/>
    <w:rsid w:val="00F90859"/>
    <w:rsid w:val="00F90A63"/>
    <w:rsid w:val="00F90B96"/>
    <w:rsid w:val="00F90D5E"/>
    <w:rsid w:val="00F9172C"/>
    <w:rsid w:val="00F91E24"/>
    <w:rsid w:val="00F92FEB"/>
    <w:rsid w:val="00F93CDB"/>
    <w:rsid w:val="00F93D6A"/>
    <w:rsid w:val="00F93E66"/>
    <w:rsid w:val="00F94B4E"/>
    <w:rsid w:val="00F94D88"/>
    <w:rsid w:val="00F94EBA"/>
    <w:rsid w:val="00F9518A"/>
    <w:rsid w:val="00F95A8B"/>
    <w:rsid w:val="00F95DC2"/>
    <w:rsid w:val="00F962F0"/>
    <w:rsid w:val="00F9639F"/>
    <w:rsid w:val="00F9675B"/>
    <w:rsid w:val="00F9696B"/>
    <w:rsid w:val="00F96BE8"/>
    <w:rsid w:val="00F96D45"/>
    <w:rsid w:val="00F97406"/>
    <w:rsid w:val="00F974F9"/>
    <w:rsid w:val="00F975BF"/>
    <w:rsid w:val="00F97A46"/>
    <w:rsid w:val="00F97D46"/>
    <w:rsid w:val="00F97DF2"/>
    <w:rsid w:val="00FA00B6"/>
    <w:rsid w:val="00FA0D3F"/>
    <w:rsid w:val="00FA109D"/>
    <w:rsid w:val="00FA1B0D"/>
    <w:rsid w:val="00FA204D"/>
    <w:rsid w:val="00FA204F"/>
    <w:rsid w:val="00FA224F"/>
    <w:rsid w:val="00FA2C10"/>
    <w:rsid w:val="00FA2EF4"/>
    <w:rsid w:val="00FA37D3"/>
    <w:rsid w:val="00FA38AF"/>
    <w:rsid w:val="00FA3AA4"/>
    <w:rsid w:val="00FA3CC3"/>
    <w:rsid w:val="00FA3CD7"/>
    <w:rsid w:val="00FA3CE9"/>
    <w:rsid w:val="00FA423C"/>
    <w:rsid w:val="00FA42C5"/>
    <w:rsid w:val="00FA433F"/>
    <w:rsid w:val="00FA48D7"/>
    <w:rsid w:val="00FA58BC"/>
    <w:rsid w:val="00FA5992"/>
    <w:rsid w:val="00FA5BB7"/>
    <w:rsid w:val="00FA63C8"/>
    <w:rsid w:val="00FA689B"/>
    <w:rsid w:val="00FA6B6D"/>
    <w:rsid w:val="00FA6C0D"/>
    <w:rsid w:val="00FA6CA6"/>
    <w:rsid w:val="00FA78EC"/>
    <w:rsid w:val="00FA7A04"/>
    <w:rsid w:val="00FA7B95"/>
    <w:rsid w:val="00FB0DFF"/>
    <w:rsid w:val="00FB1039"/>
    <w:rsid w:val="00FB16CD"/>
    <w:rsid w:val="00FB18B5"/>
    <w:rsid w:val="00FB1BCD"/>
    <w:rsid w:val="00FB218A"/>
    <w:rsid w:val="00FB2361"/>
    <w:rsid w:val="00FB252F"/>
    <w:rsid w:val="00FB279C"/>
    <w:rsid w:val="00FB2AE7"/>
    <w:rsid w:val="00FB31A1"/>
    <w:rsid w:val="00FB31B3"/>
    <w:rsid w:val="00FB334A"/>
    <w:rsid w:val="00FB3579"/>
    <w:rsid w:val="00FB35BB"/>
    <w:rsid w:val="00FB3733"/>
    <w:rsid w:val="00FB3941"/>
    <w:rsid w:val="00FB3BA3"/>
    <w:rsid w:val="00FB3E16"/>
    <w:rsid w:val="00FB433D"/>
    <w:rsid w:val="00FB43F9"/>
    <w:rsid w:val="00FB456F"/>
    <w:rsid w:val="00FB461C"/>
    <w:rsid w:val="00FB4CD7"/>
    <w:rsid w:val="00FB5353"/>
    <w:rsid w:val="00FB569E"/>
    <w:rsid w:val="00FB593E"/>
    <w:rsid w:val="00FB5B12"/>
    <w:rsid w:val="00FB5E38"/>
    <w:rsid w:val="00FB6113"/>
    <w:rsid w:val="00FB6488"/>
    <w:rsid w:val="00FB6650"/>
    <w:rsid w:val="00FB6713"/>
    <w:rsid w:val="00FB675E"/>
    <w:rsid w:val="00FB689F"/>
    <w:rsid w:val="00FB7F47"/>
    <w:rsid w:val="00FC0586"/>
    <w:rsid w:val="00FC1448"/>
    <w:rsid w:val="00FC1A3C"/>
    <w:rsid w:val="00FC1E46"/>
    <w:rsid w:val="00FC1E80"/>
    <w:rsid w:val="00FC260C"/>
    <w:rsid w:val="00FC270D"/>
    <w:rsid w:val="00FC2894"/>
    <w:rsid w:val="00FC28BB"/>
    <w:rsid w:val="00FC28CA"/>
    <w:rsid w:val="00FC31AD"/>
    <w:rsid w:val="00FC341A"/>
    <w:rsid w:val="00FC38F8"/>
    <w:rsid w:val="00FC3AF1"/>
    <w:rsid w:val="00FC4060"/>
    <w:rsid w:val="00FC4275"/>
    <w:rsid w:val="00FC4D41"/>
    <w:rsid w:val="00FC4F3C"/>
    <w:rsid w:val="00FC503B"/>
    <w:rsid w:val="00FC529E"/>
    <w:rsid w:val="00FC54B7"/>
    <w:rsid w:val="00FC56AE"/>
    <w:rsid w:val="00FC5EF9"/>
    <w:rsid w:val="00FC66C4"/>
    <w:rsid w:val="00FC79AC"/>
    <w:rsid w:val="00FC79EC"/>
    <w:rsid w:val="00FC7F13"/>
    <w:rsid w:val="00FD02F3"/>
    <w:rsid w:val="00FD03F3"/>
    <w:rsid w:val="00FD0783"/>
    <w:rsid w:val="00FD0E5B"/>
    <w:rsid w:val="00FD0F26"/>
    <w:rsid w:val="00FD1237"/>
    <w:rsid w:val="00FD141E"/>
    <w:rsid w:val="00FD1D94"/>
    <w:rsid w:val="00FD1FB9"/>
    <w:rsid w:val="00FD2031"/>
    <w:rsid w:val="00FD20FE"/>
    <w:rsid w:val="00FD2610"/>
    <w:rsid w:val="00FD2634"/>
    <w:rsid w:val="00FD2B52"/>
    <w:rsid w:val="00FD2BE6"/>
    <w:rsid w:val="00FD2CBE"/>
    <w:rsid w:val="00FD4044"/>
    <w:rsid w:val="00FD45F3"/>
    <w:rsid w:val="00FD4AD1"/>
    <w:rsid w:val="00FD4D32"/>
    <w:rsid w:val="00FD5173"/>
    <w:rsid w:val="00FD51A8"/>
    <w:rsid w:val="00FD532B"/>
    <w:rsid w:val="00FD669B"/>
    <w:rsid w:val="00FD6976"/>
    <w:rsid w:val="00FD6BAB"/>
    <w:rsid w:val="00FD6BE2"/>
    <w:rsid w:val="00FD6BE8"/>
    <w:rsid w:val="00FD7056"/>
    <w:rsid w:val="00FD70C4"/>
    <w:rsid w:val="00FD73B3"/>
    <w:rsid w:val="00FD73B9"/>
    <w:rsid w:val="00FD745D"/>
    <w:rsid w:val="00FD759F"/>
    <w:rsid w:val="00FD75DC"/>
    <w:rsid w:val="00FD77B1"/>
    <w:rsid w:val="00FD7A9B"/>
    <w:rsid w:val="00FE0805"/>
    <w:rsid w:val="00FE0F29"/>
    <w:rsid w:val="00FE12AE"/>
    <w:rsid w:val="00FE1527"/>
    <w:rsid w:val="00FE15A5"/>
    <w:rsid w:val="00FE1A6B"/>
    <w:rsid w:val="00FE1C34"/>
    <w:rsid w:val="00FE1D46"/>
    <w:rsid w:val="00FE1E97"/>
    <w:rsid w:val="00FE2557"/>
    <w:rsid w:val="00FE2888"/>
    <w:rsid w:val="00FE30FA"/>
    <w:rsid w:val="00FE351D"/>
    <w:rsid w:val="00FE3A70"/>
    <w:rsid w:val="00FE4291"/>
    <w:rsid w:val="00FE44CE"/>
    <w:rsid w:val="00FE4886"/>
    <w:rsid w:val="00FE50C8"/>
    <w:rsid w:val="00FE51D1"/>
    <w:rsid w:val="00FE5259"/>
    <w:rsid w:val="00FE5A60"/>
    <w:rsid w:val="00FE5C61"/>
    <w:rsid w:val="00FE5D07"/>
    <w:rsid w:val="00FE5F03"/>
    <w:rsid w:val="00FE6203"/>
    <w:rsid w:val="00FE6900"/>
    <w:rsid w:val="00FE6D64"/>
    <w:rsid w:val="00FE7438"/>
    <w:rsid w:val="00FE756F"/>
    <w:rsid w:val="00FE772C"/>
    <w:rsid w:val="00FE7CDB"/>
    <w:rsid w:val="00FE7D5C"/>
    <w:rsid w:val="00FE7EF3"/>
    <w:rsid w:val="00FF0231"/>
    <w:rsid w:val="00FF0C4C"/>
    <w:rsid w:val="00FF11C5"/>
    <w:rsid w:val="00FF11E3"/>
    <w:rsid w:val="00FF1A9D"/>
    <w:rsid w:val="00FF2269"/>
    <w:rsid w:val="00FF2362"/>
    <w:rsid w:val="00FF280E"/>
    <w:rsid w:val="00FF2D2F"/>
    <w:rsid w:val="00FF36E4"/>
    <w:rsid w:val="00FF4031"/>
    <w:rsid w:val="00FF45D1"/>
    <w:rsid w:val="00FF4645"/>
    <w:rsid w:val="00FF4853"/>
    <w:rsid w:val="00FF4EE4"/>
    <w:rsid w:val="00FF5576"/>
    <w:rsid w:val="00FF55FB"/>
    <w:rsid w:val="00FF597F"/>
    <w:rsid w:val="00FF6A40"/>
    <w:rsid w:val="00FF7575"/>
    <w:rsid w:val="00FF77D5"/>
    <w:rsid w:val="00FF7A7A"/>
    <w:rsid w:val="01E02A2D"/>
    <w:rsid w:val="01F29035"/>
    <w:rsid w:val="027514FF"/>
    <w:rsid w:val="02F95162"/>
    <w:rsid w:val="03019F64"/>
    <w:rsid w:val="03608F32"/>
    <w:rsid w:val="036F5E78"/>
    <w:rsid w:val="03A64E62"/>
    <w:rsid w:val="041913EC"/>
    <w:rsid w:val="045539B7"/>
    <w:rsid w:val="047BA73F"/>
    <w:rsid w:val="04D10BDA"/>
    <w:rsid w:val="0505494F"/>
    <w:rsid w:val="0516A1E5"/>
    <w:rsid w:val="05782184"/>
    <w:rsid w:val="0592AF17"/>
    <w:rsid w:val="05AA0558"/>
    <w:rsid w:val="05C9E510"/>
    <w:rsid w:val="05EC66C9"/>
    <w:rsid w:val="05F0ED12"/>
    <w:rsid w:val="060DA426"/>
    <w:rsid w:val="062A8B55"/>
    <w:rsid w:val="0631F6F7"/>
    <w:rsid w:val="06622117"/>
    <w:rsid w:val="06AE6825"/>
    <w:rsid w:val="06EE9AD7"/>
    <w:rsid w:val="0714AC3A"/>
    <w:rsid w:val="0768910E"/>
    <w:rsid w:val="07ACC39A"/>
    <w:rsid w:val="084E8EFE"/>
    <w:rsid w:val="08694658"/>
    <w:rsid w:val="087588C1"/>
    <w:rsid w:val="08C9F492"/>
    <w:rsid w:val="09145722"/>
    <w:rsid w:val="0999304C"/>
    <w:rsid w:val="09E5BFAF"/>
    <w:rsid w:val="09EA64F6"/>
    <w:rsid w:val="0A3F71B4"/>
    <w:rsid w:val="0A50A3BF"/>
    <w:rsid w:val="0AB03E03"/>
    <w:rsid w:val="0AC315F8"/>
    <w:rsid w:val="0B439E97"/>
    <w:rsid w:val="0B7F1E02"/>
    <w:rsid w:val="0BB25F64"/>
    <w:rsid w:val="0BDF1F9E"/>
    <w:rsid w:val="0C077FA8"/>
    <w:rsid w:val="0C104D70"/>
    <w:rsid w:val="0C28A0FC"/>
    <w:rsid w:val="0CAD2A64"/>
    <w:rsid w:val="0CE84F11"/>
    <w:rsid w:val="0D208CD9"/>
    <w:rsid w:val="0D395BB2"/>
    <w:rsid w:val="0D6A8AC2"/>
    <w:rsid w:val="0D6CE245"/>
    <w:rsid w:val="0D8490DE"/>
    <w:rsid w:val="0DA454F6"/>
    <w:rsid w:val="0DBECF63"/>
    <w:rsid w:val="0DCF0BE4"/>
    <w:rsid w:val="0DD820A3"/>
    <w:rsid w:val="0DFEF706"/>
    <w:rsid w:val="0E0FA966"/>
    <w:rsid w:val="0E33FB42"/>
    <w:rsid w:val="0F40E2DA"/>
    <w:rsid w:val="0F50709D"/>
    <w:rsid w:val="0F55AA8A"/>
    <w:rsid w:val="0F5AB788"/>
    <w:rsid w:val="0F6F26B4"/>
    <w:rsid w:val="0F728F18"/>
    <w:rsid w:val="100E409B"/>
    <w:rsid w:val="105AB8BE"/>
    <w:rsid w:val="105B2A5A"/>
    <w:rsid w:val="10B508E2"/>
    <w:rsid w:val="10BEE89D"/>
    <w:rsid w:val="10DFEC44"/>
    <w:rsid w:val="11069B6C"/>
    <w:rsid w:val="110C4358"/>
    <w:rsid w:val="1119A2AE"/>
    <w:rsid w:val="1129536E"/>
    <w:rsid w:val="1133B17A"/>
    <w:rsid w:val="114A38FD"/>
    <w:rsid w:val="11E3D8CF"/>
    <w:rsid w:val="1214E5DC"/>
    <w:rsid w:val="1222209E"/>
    <w:rsid w:val="1248E508"/>
    <w:rsid w:val="1262C085"/>
    <w:rsid w:val="1267357F"/>
    <w:rsid w:val="12A51A66"/>
    <w:rsid w:val="12D083EE"/>
    <w:rsid w:val="132D9722"/>
    <w:rsid w:val="136E56F3"/>
    <w:rsid w:val="13AC6564"/>
    <w:rsid w:val="141FA979"/>
    <w:rsid w:val="14A81643"/>
    <w:rsid w:val="14C3CFB0"/>
    <w:rsid w:val="14E13351"/>
    <w:rsid w:val="154905C1"/>
    <w:rsid w:val="15E44152"/>
    <w:rsid w:val="16E15BF5"/>
    <w:rsid w:val="17150342"/>
    <w:rsid w:val="17302C16"/>
    <w:rsid w:val="173532A1"/>
    <w:rsid w:val="18770731"/>
    <w:rsid w:val="18D52954"/>
    <w:rsid w:val="18E64ACA"/>
    <w:rsid w:val="19C62CDB"/>
    <w:rsid w:val="1A039DDD"/>
    <w:rsid w:val="1A3FEF9F"/>
    <w:rsid w:val="1A888B5F"/>
    <w:rsid w:val="1A8CD5C4"/>
    <w:rsid w:val="1AF58A78"/>
    <w:rsid w:val="1B3D1774"/>
    <w:rsid w:val="1B718DF5"/>
    <w:rsid w:val="1BF34D16"/>
    <w:rsid w:val="1C1E28F8"/>
    <w:rsid w:val="1C4E9ABB"/>
    <w:rsid w:val="1C64A7E5"/>
    <w:rsid w:val="1D1133DB"/>
    <w:rsid w:val="1D50C7C0"/>
    <w:rsid w:val="1D6F7EE1"/>
    <w:rsid w:val="1DD2FB8A"/>
    <w:rsid w:val="1F0F9B62"/>
    <w:rsid w:val="1F33A67E"/>
    <w:rsid w:val="1F8F2BD6"/>
    <w:rsid w:val="200EF80D"/>
    <w:rsid w:val="20131FF8"/>
    <w:rsid w:val="206BD6A0"/>
    <w:rsid w:val="2071FBC1"/>
    <w:rsid w:val="20888181"/>
    <w:rsid w:val="208B3415"/>
    <w:rsid w:val="20CE4309"/>
    <w:rsid w:val="20FCE253"/>
    <w:rsid w:val="211B83C5"/>
    <w:rsid w:val="2161513E"/>
    <w:rsid w:val="21773C49"/>
    <w:rsid w:val="21F8B9CF"/>
    <w:rsid w:val="222ED218"/>
    <w:rsid w:val="2249EA52"/>
    <w:rsid w:val="22653C90"/>
    <w:rsid w:val="227FAA83"/>
    <w:rsid w:val="22A395A3"/>
    <w:rsid w:val="231D5D1E"/>
    <w:rsid w:val="24409665"/>
    <w:rsid w:val="24584204"/>
    <w:rsid w:val="24865CAA"/>
    <w:rsid w:val="24B7BA62"/>
    <w:rsid w:val="24CD8047"/>
    <w:rsid w:val="2523F586"/>
    <w:rsid w:val="255CC600"/>
    <w:rsid w:val="258F62F7"/>
    <w:rsid w:val="261A5A33"/>
    <w:rsid w:val="26359378"/>
    <w:rsid w:val="26396B02"/>
    <w:rsid w:val="26481797"/>
    <w:rsid w:val="26954A03"/>
    <w:rsid w:val="26FC9238"/>
    <w:rsid w:val="271541CD"/>
    <w:rsid w:val="284F608B"/>
    <w:rsid w:val="2888CAD6"/>
    <w:rsid w:val="2924F0A8"/>
    <w:rsid w:val="292B9C06"/>
    <w:rsid w:val="2946C503"/>
    <w:rsid w:val="2948A39D"/>
    <w:rsid w:val="29EE9725"/>
    <w:rsid w:val="29F57688"/>
    <w:rsid w:val="29F6D6D3"/>
    <w:rsid w:val="2A381FC2"/>
    <w:rsid w:val="2A4E8C07"/>
    <w:rsid w:val="2A56EAD9"/>
    <w:rsid w:val="2A8514A6"/>
    <w:rsid w:val="2AE1067A"/>
    <w:rsid w:val="2B471ABF"/>
    <w:rsid w:val="2C0A9274"/>
    <w:rsid w:val="2C6F5948"/>
    <w:rsid w:val="2C876F2F"/>
    <w:rsid w:val="2C9BBF56"/>
    <w:rsid w:val="2C9CFA1F"/>
    <w:rsid w:val="2CA5AABB"/>
    <w:rsid w:val="2D2B6F8C"/>
    <w:rsid w:val="2D382F5F"/>
    <w:rsid w:val="2DCC7520"/>
    <w:rsid w:val="2E4D461E"/>
    <w:rsid w:val="2E786894"/>
    <w:rsid w:val="2E8F2E26"/>
    <w:rsid w:val="2EC610BD"/>
    <w:rsid w:val="2ED72192"/>
    <w:rsid w:val="2EE08ACB"/>
    <w:rsid w:val="2F1030DD"/>
    <w:rsid w:val="2F6E4094"/>
    <w:rsid w:val="2F6FA99A"/>
    <w:rsid w:val="2F7003FA"/>
    <w:rsid w:val="2F83C27D"/>
    <w:rsid w:val="2F925708"/>
    <w:rsid w:val="2FC5B62F"/>
    <w:rsid w:val="2FF15212"/>
    <w:rsid w:val="3021151B"/>
    <w:rsid w:val="302C1050"/>
    <w:rsid w:val="302F97EC"/>
    <w:rsid w:val="303B2E29"/>
    <w:rsid w:val="30D93FAD"/>
    <w:rsid w:val="30DE6E3E"/>
    <w:rsid w:val="30E3CE37"/>
    <w:rsid w:val="30FF69FA"/>
    <w:rsid w:val="311230D8"/>
    <w:rsid w:val="31191FB5"/>
    <w:rsid w:val="311F8C59"/>
    <w:rsid w:val="315CF050"/>
    <w:rsid w:val="31CC2B27"/>
    <w:rsid w:val="31F1EDFC"/>
    <w:rsid w:val="31FBFBFC"/>
    <w:rsid w:val="32112813"/>
    <w:rsid w:val="322CCD7D"/>
    <w:rsid w:val="323937E6"/>
    <w:rsid w:val="32F5F2EA"/>
    <w:rsid w:val="335AD20D"/>
    <w:rsid w:val="33A93D47"/>
    <w:rsid w:val="3446060C"/>
    <w:rsid w:val="345A4B98"/>
    <w:rsid w:val="348DD639"/>
    <w:rsid w:val="34DF9608"/>
    <w:rsid w:val="351E59DA"/>
    <w:rsid w:val="35373D77"/>
    <w:rsid w:val="35549E95"/>
    <w:rsid w:val="35CA3A61"/>
    <w:rsid w:val="373A9B03"/>
    <w:rsid w:val="37BAD7F5"/>
    <w:rsid w:val="3804F703"/>
    <w:rsid w:val="38257D1F"/>
    <w:rsid w:val="387A7C5B"/>
    <w:rsid w:val="387F8FA0"/>
    <w:rsid w:val="38890092"/>
    <w:rsid w:val="38DEAA8B"/>
    <w:rsid w:val="391AFEE7"/>
    <w:rsid w:val="39F8141D"/>
    <w:rsid w:val="3A774635"/>
    <w:rsid w:val="3AD3F50F"/>
    <w:rsid w:val="3AD8E264"/>
    <w:rsid w:val="3B10D9FF"/>
    <w:rsid w:val="3B2F77F8"/>
    <w:rsid w:val="3B7B7635"/>
    <w:rsid w:val="3C369FB3"/>
    <w:rsid w:val="3C671DF2"/>
    <w:rsid w:val="3C7D0F88"/>
    <w:rsid w:val="3D060DC6"/>
    <w:rsid w:val="3D59540E"/>
    <w:rsid w:val="3D8A38FF"/>
    <w:rsid w:val="3DB31ECE"/>
    <w:rsid w:val="3EA9619B"/>
    <w:rsid w:val="3EACB776"/>
    <w:rsid w:val="3F46B749"/>
    <w:rsid w:val="3FA99351"/>
    <w:rsid w:val="3FCC0FED"/>
    <w:rsid w:val="402B02CA"/>
    <w:rsid w:val="404E38A6"/>
    <w:rsid w:val="4069A2C3"/>
    <w:rsid w:val="408FCADB"/>
    <w:rsid w:val="40EF82EB"/>
    <w:rsid w:val="4100F464"/>
    <w:rsid w:val="4121A8D5"/>
    <w:rsid w:val="412872E9"/>
    <w:rsid w:val="426211E7"/>
    <w:rsid w:val="4263F4BA"/>
    <w:rsid w:val="43418CC4"/>
    <w:rsid w:val="434B9F87"/>
    <w:rsid w:val="437E3354"/>
    <w:rsid w:val="43EAF6D8"/>
    <w:rsid w:val="4420AC88"/>
    <w:rsid w:val="44C6CAD8"/>
    <w:rsid w:val="4571BB60"/>
    <w:rsid w:val="457B574E"/>
    <w:rsid w:val="45C21BA2"/>
    <w:rsid w:val="45E51E95"/>
    <w:rsid w:val="465FCEA1"/>
    <w:rsid w:val="46802DF0"/>
    <w:rsid w:val="46834F7C"/>
    <w:rsid w:val="468EF9B5"/>
    <w:rsid w:val="46BBF866"/>
    <w:rsid w:val="46F7F1F3"/>
    <w:rsid w:val="4742F463"/>
    <w:rsid w:val="485D4155"/>
    <w:rsid w:val="486A3BF3"/>
    <w:rsid w:val="4888E705"/>
    <w:rsid w:val="48E0054B"/>
    <w:rsid w:val="4925AD3B"/>
    <w:rsid w:val="49BCDAB1"/>
    <w:rsid w:val="4A0E46F6"/>
    <w:rsid w:val="4A1C6C11"/>
    <w:rsid w:val="4A661DC4"/>
    <w:rsid w:val="4AF8255F"/>
    <w:rsid w:val="4B25AD4D"/>
    <w:rsid w:val="4B41453A"/>
    <w:rsid w:val="4B8BCE93"/>
    <w:rsid w:val="4BAF093E"/>
    <w:rsid w:val="4BF73D66"/>
    <w:rsid w:val="4C3EFB3C"/>
    <w:rsid w:val="4CE551BA"/>
    <w:rsid w:val="4D001C85"/>
    <w:rsid w:val="4D39267A"/>
    <w:rsid w:val="4D9AC04B"/>
    <w:rsid w:val="4E0B02E0"/>
    <w:rsid w:val="4E0E45C2"/>
    <w:rsid w:val="4E1C6758"/>
    <w:rsid w:val="4E650A4C"/>
    <w:rsid w:val="4F161520"/>
    <w:rsid w:val="4F41C184"/>
    <w:rsid w:val="500CA104"/>
    <w:rsid w:val="507DD216"/>
    <w:rsid w:val="50C08118"/>
    <w:rsid w:val="50EE67DE"/>
    <w:rsid w:val="51165649"/>
    <w:rsid w:val="5122FC50"/>
    <w:rsid w:val="5169BC60"/>
    <w:rsid w:val="5194A3BA"/>
    <w:rsid w:val="51C46A47"/>
    <w:rsid w:val="51CCEC88"/>
    <w:rsid w:val="523547B5"/>
    <w:rsid w:val="52E509FE"/>
    <w:rsid w:val="53325E9C"/>
    <w:rsid w:val="533956E0"/>
    <w:rsid w:val="536D46B1"/>
    <w:rsid w:val="5391C48A"/>
    <w:rsid w:val="53E2E3F8"/>
    <w:rsid w:val="53EA8456"/>
    <w:rsid w:val="547BAE66"/>
    <w:rsid w:val="54892F57"/>
    <w:rsid w:val="54A091C3"/>
    <w:rsid w:val="54C3F693"/>
    <w:rsid w:val="54F90F02"/>
    <w:rsid w:val="554793AB"/>
    <w:rsid w:val="554A9832"/>
    <w:rsid w:val="559DF7E0"/>
    <w:rsid w:val="55B5EB44"/>
    <w:rsid w:val="55D041E7"/>
    <w:rsid w:val="56B2FA22"/>
    <w:rsid w:val="56D6FAFF"/>
    <w:rsid w:val="5722332A"/>
    <w:rsid w:val="5732A704"/>
    <w:rsid w:val="5740F9C5"/>
    <w:rsid w:val="575A7716"/>
    <w:rsid w:val="57761B54"/>
    <w:rsid w:val="57A762F1"/>
    <w:rsid w:val="57D6682A"/>
    <w:rsid w:val="57FA60D1"/>
    <w:rsid w:val="58367D0D"/>
    <w:rsid w:val="58EAABE0"/>
    <w:rsid w:val="58F65F2B"/>
    <w:rsid w:val="5965E009"/>
    <w:rsid w:val="5972B30A"/>
    <w:rsid w:val="5A0C5FB4"/>
    <w:rsid w:val="5A6C102F"/>
    <w:rsid w:val="5A78D439"/>
    <w:rsid w:val="5AB87F5E"/>
    <w:rsid w:val="5B1577F6"/>
    <w:rsid w:val="5B98E84A"/>
    <w:rsid w:val="5BB9A48B"/>
    <w:rsid w:val="5D2C9E58"/>
    <w:rsid w:val="5D48D46D"/>
    <w:rsid w:val="5DC5D600"/>
    <w:rsid w:val="5DFC2F50"/>
    <w:rsid w:val="5E695985"/>
    <w:rsid w:val="5E7275E3"/>
    <w:rsid w:val="5F129893"/>
    <w:rsid w:val="5F14B6C6"/>
    <w:rsid w:val="5F8EE1BC"/>
    <w:rsid w:val="5FC92AB2"/>
    <w:rsid w:val="600B5BF0"/>
    <w:rsid w:val="602DBF34"/>
    <w:rsid w:val="602F64BC"/>
    <w:rsid w:val="6048A6AD"/>
    <w:rsid w:val="605835DE"/>
    <w:rsid w:val="60597DEF"/>
    <w:rsid w:val="608D95AA"/>
    <w:rsid w:val="60975CD9"/>
    <w:rsid w:val="60ACB883"/>
    <w:rsid w:val="60FF8203"/>
    <w:rsid w:val="61061D5A"/>
    <w:rsid w:val="615965C2"/>
    <w:rsid w:val="61AE9877"/>
    <w:rsid w:val="61B6B980"/>
    <w:rsid w:val="61CAA247"/>
    <w:rsid w:val="61D534C7"/>
    <w:rsid w:val="62509C9B"/>
    <w:rsid w:val="6288CC0F"/>
    <w:rsid w:val="6292298F"/>
    <w:rsid w:val="62EF154A"/>
    <w:rsid w:val="6314E4BD"/>
    <w:rsid w:val="633F3813"/>
    <w:rsid w:val="63611342"/>
    <w:rsid w:val="63A514F2"/>
    <w:rsid w:val="63C585B4"/>
    <w:rsid w:val="63D02964"/>
    <w:rsid w:val="640C3A8F"/>
    <w:rsid w:val="6469F299"/>
    <w:rsid w:val="649260AF"/>
    <w:rsid w:val="651681B7"/>
    <w:rsid w:val="65E98B19"/>
    <w:rsid w:val="65EC9AD6"/>
    <w:rsid w:val="668300C7"/>
    <w:rsid w:val="668F6891"/>
    <w:rsid w:val="66B26AF6"/>
    <w:rsid w:val="66C6D050"/>
    <w:rsid w:val="6707B10B"/>
    <w:rsid w:val="670C66FE"/>
    <w:rsid w:val="6714BDAB"/>
    <w:rsid w:val="6895B5B5"/>
    <w:rsid w:val="68BD4BC7"/>
    <w:rsid w:val="68E8DF13"/>
    <w:rsid w:val="68FC5CB2"/>
    <w:rsid w:val="69094B56"/>
    <w:rsid w:val="699017EE"/>
    <w:rsid w:val="6A4B5DE8"/>
    <w:rsid w:val="6AA1A0A6"/>
    <w:rsid w:val="6B6D5EDB"/>
    <w:rsid w:val="6B7F8EBA"/>
    <w:rsid w:val="6BDBB73C"/>
    <w:rsid w:val="6D0F7086"/>
    <w:rsid w:val="6D47B354"/>
    <w:rsid w:val="6D592949"/>
    <w:rsid w:val="6DBF0A50"/>
    <w:rsid w:val="6DEBF79F"/>
    <w:rsid w:val="6E01ACB1"/>
    <w:rsid w:val="6E8BC80D"/>
    <w:rsid w:val="6FA04079"/>
    <w:rsid w:val="6FBCF41A"/>
    <w:rsid w:val="6FC9C8C0"/>
    <w:rsid w:val="6FE078B4"/>
    <w:rsid w:val="70625492"/>
    <w:rsid w:val="707EF6A7"/>
    <w:rsid w:val="709AA7B1"/>
    <w:rsid w:val="7217F68E"/>
    <w:rsid w:val="729111F1"/>
    <w:rsid w:val="72EFF0F8"/>
    <w:rsid w:val="737BE726"/>
    <w:rsid w:val="73C4CBA3"/>
    <w:rsid w:val="7414C500"/>
    <w:rsid w:val="743704A2"/>
    <w:rsid w:val="7472022B"/>
    <w:rsid w:val="748AEBD2"/>
    <w:rsid w:val="74A5DF40"/>
    <w:rsid w:val="74C7F7F3"/>
    <w:rsid w:val="750AA16C"/>
    <w:rsid w:val="75B620C0"/>
    <w:rsid w:val="75F6858E"/>
    <w:rsid w:val="761D044A"/>
    <w:rsid w:val="764D0818"/>
    <w:rsid w:val="766E9FEE"/>
    <w:rsid w:val="77346E01"/>
    <w:rsid w:val="7739E075"/>
    <w:rsid w:val="777FED1E"/>
    <w:rsid w:val="778938B7"/>
    <w:rsid w:val="77F036D0"/>
    <w:rsid w:val="783FA8A5"/>
    <w:rsid w:val="789AF0F3"/>
    <w:rsid w:val="78AAB798"/>
    <w:rsid w:val="78EBDE21"/>
    <w:rsid w:val="79198CD3"/>
    <w:rsid w:val="79320078"/>
    <w:rsid w:val="79F41F39"/>
    <w:rsid w:val="79F5D763"/>
    <w:rsid w:val="7A009E57"/>
    <w:rsid w:val="7A30AE55"/>
    <w:rsid w:val="7A384DBC"/>
    <w:rsid w:val="7A63AE41"/>
    <w:rsid w:val="7A76AA55"/>
    <w:rsid w:val="7AC090B3"/>
    <w:rsid w:val="7B2F6BD6"/>
    <w:rsid w:val="7BA354F3"/>
    <w:rsid w:val="7C0B13F3"/>
    <w:rsid w:val="7D4A5593"/>
    <w:rsid w:val="7DC77CB3"/>
    <w:rsid w:val="7DE7ADD2"/>
    <w:rsid w:val="7E0C4F09"/>
    <w:rsid w:val="7E163B17"/>
    <w:rsid w:val="7E68436F"/>
    <w:rsid w:val="7FDEF4B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3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40"/>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40"/>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40"/>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40"/>
      </w:numPr>
      <w:outlineLvl w:val="3"/>
    </w:pPr>
    <w:rPr>
      <w:rFonts w:eastAsiaTheme="majorEastAsia"/>
      <w:bCs/>
      <w:iCs/>
    </w:rPr>
  </w:style>
  <w:style w:type="paragraph" w:styleId="Nagwek5">
    <w:name w:val="heading 5"/>
    <w:basedOn w:val="Normalny"/>
    <w:next w:val="Text2"/>
    <w:link w:val="Nagwek5Znak"/>
    <w:uiPriority w:val="9"/>
    <w:semiHidden/>
    <w:unhideWhenUsed/>
    <w:qFormat/>
    <w:pPr>
      <w:keepNext/>
      <w:numPr>
        <w:ilvl w:val="4"/>
        <w:numId w:val="40"/>
      </w:numPr>
      <w:outlineLvl w:val="4"/>
    </w:pPr>
    <w:rPr>
      <w:rFonts w:eastAsiaTheme="majorEastAsia"/>
    </w:rPr>
  </w:style>
  <w:style w:type="paragraph" w:styleId="Nagwek6">
    <w:name w:val="heading 6"/>
    <w:basedOn w:val="Normalny"/>
    <w:next w:val="Text2"/>
    <w:link w:val="Nagwek6Znak"/>
    <w:uiPriority w:val="9"/>
    <w:semiHidden/>
    <w:unhideWhenUsed/>
    <w:qFormat/>
    <w:pPr>
      <w:keepNext/>
      <w:numPr>
        <w:ilvl w:val="5"/>
        <w:numId w:val="40"/>
      </w:numPr>
      <w:outlineLvl w:val="5"/>
    </w:pPr>
    <w:rPr>
      <w:rFonts w:eastAsiaTheme="majorEastAsia"/>
      <w:iCs/>
    </w:rPr>
  </w:style>
  <w:style w:type="paragraph" w:styleId="Nagwek7">
    <w:name w:val="heading 7"/>
    <w:basedOn w:val="Normalny"/>
    <w:next w:val="Text2"/>
    <w:link w:val="Nagwek7Znak"/>
    <w:uiPriority w:val="9"/>
    <w:semiHidden/>
    <w:unhideWhenUsed/>
    <w:qFormat/>
    <w:pPr>
      <w:keepNext/>
      <w:numPr>
        <w:ilvl w:val="6"/>
        <w:numId w:val="40"/>
      </w:numPr>
      <w:outlineLvl w:val="6"/>
    </w:pPr>
    <w:rPr>
      <w:rFonts w:eastAsiaTheme="majorEastAsia"/>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4">
    <w:name w:val="List Bullet 4"/>
    <w:basedOn w:val="Normalny"/>
    <w:rsid w:val="008A4C15"/>
    <w:pPr>
      <w:numPr>
        <w:numId w:val="2"/>
      </w:numPr>
      <w:tabs>
        <w:tab w:val="num" w:pos="360"/>
      </w:tabs>
      <w:ind w:left="0" w:firstLine="0"/>
    </w:pPr>
    <w:rPr>
      <w:rFonts w:eastAsia="Times New Roman"/>
      <w:lang w:eastAsia="de-DE"/>
    </w:rPr>
  </w:style>
  <w:style w:type="paragraph" w:styleId="Listanumerowana">
    <w:name w:val="List Number"/>
    <w:basedOn w:val="Normalny"/>
    <w:rsid w:val="008A4C15"/>
    <w:pPr>
      <w:numPr>
        <w:numId w:val="6"/>
      </w:numPr>
    </w:pPr>
    <w:rPr>
      <w:rFonts w:eastAsia="Times New Roman"/>
      <w:lang w:eastAsia="de-DE"/>
    </w:rPr>
  </w:style>
  <w:style w:type="paragraph" w:customStyle="1" w:styleId="ListBullet1">
    <w:name w:val="List Bullet 1"/>
    <w:basedOn w:val="Normalny"/>
    <w:rsid w:val="008A4C15"/>
    <w:pPr>
      <w:numPr>
        <w:numId w:val="1"/>
      </w:numPr>
    </w:pPr>
    <w:rPr>
      <w:rFonts w:eastAsia="Times New Roman"/>
      <w:lang w:eastAsia="de-DE"/>
    </w:rPr>
  </w:style>
  <w:style w:type="paragraph" w:customStyle="1" w:styleId="ListDash">
    <w:name w:val="List Dash"/>
    <w:basedOn w:val="Normalny"/>
    <w:rsid w:val="008A4C15"/>
    <w:pPr>
      <w:numPr>
        <w:numId w:val="3"/>
      </w:numPr>
    </w:pPr>
    <w:rPr>
      <w:rFonts w:eastAsia="Times New Roman"/>
      <w:lang w:eastAsia="de-DE"/>
    </w:rPr>
  </w:style>
  <w:style w:type="paragraph" w:customStyle="1" w:styleId="ListDash1">
    <w:name w:val="List Dash 1"/>
    <w:basedOn w:val="Normalny"/>
    <w:rsid w:val="008A4C15"/>
    <w:pPr>
      <w:numPr>
        <w:numId w:val="4"/>
      </w:numPr>
    </w:pPr>
    <w:rPr>
      <w:rFonts w:eastAsia="Times New Roman"/>
      <w:lang w:eastAsia="de-DE"/>
    </w:rPr>
  </w:style>
  <w:style w:type="paragraph" w:customStyle="1" w:styleId="ListDash2">
    <w:name w:val="List Dash 2"/>
    <w:basedOn w:val="Normalny"/>
    <w:rsid w:val="008A4C15"/>
    <w:pPr>
      <w:numPr>
        <w:numId w:val="5"/>
      </w:numPr>
    </w:pPr>
    <w:rPr>
      <w:rFonts w:eastAsia="Times New Roman"/>
      <w:lang w:eastAsia="de-DE"/>
    </w:rPr>
  </w:style>
  <w:style w:type="paragraph" w:customStyle="1" w:styleId="ListNumberLevel2">
    <w:name w:val="List Number (Level 2)"/>
    <w:basedOn w:val="Normalny"/>
    <w:rsid w:val="008A4C15"/>
    <w:pPr>
      <w:numPr>
        <w:ilvl w:val="1"/>
        <w:numId w:val="6"/>
      </w:numPr>
    </w:pPr>
    <w:rPr>
      <w:rFonts w:eastAsia="Times New Roman"/>
      <w:lang w:eastAsia="de-DE"/>
    </w:rPr>
  </w:style>
  <w:style w:type="paragraph" w:customStyle="1" w:styleId="ListNumberLevel3">
    <w:name w:val="List Number (Level 3)"/>
    <w:basedOn w:val="Normalny"/>
    <w:rsid w:val="008A4C15"/>
    <w:pPr>
      <w:numPr>
        <w:ilvl w:val="2"/>
        <w:numId w:val="6"/>
      </w:numPr>
    </w:pPr>
    <w:rPr>
      <w:rFonts w:eastAsia="Times New Roman"/>
      <w:lang w:eastAsia="de-DE"/>
    </w:rPr>
  </w:style>
  <w:style w:type="paragraph" w:customStyle="1" w:styleId="ListNumberLevel4">
    <w:name w:val="List Number (Level 4)"/>
    <w:basedOn w:val="Normalny"/>
    <w:rsid w:val="008A4C15"/>
    <w:pPr>
      <w:numPr>
        <w:ilvl w:val="3"/>
        <w:numId w:val="6"/>
      </w:numPr>
    </w:pPr>
    <w:rPr>
      <w:rFonts w:eastAsia="Times New Roman"/>
      <w:lang w:eastAsia="de-DE"/>
    </w:rPr>
  </w:style>
  <w:style w:type="table" w:styleId="Tabela-Siatka">
    <w:name w:val="Table Grid"/>
    <w:basedOn w:val="Standardowy"/>
    <w:rsid w:val="008A4C15"/>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8A4C15"/>
    <w:rPr>
      <w:color w:val="0000FF"/>
      <w:u w:val="single"/>
    </w:rPr>
  </w:style>
  <w:style w:type="paragraph" w:styleId="Listapunktowana">
    <w:name w:val="List Bullet"/>
    <w:basedOn w:val="Normalny"/>
    <w:rsid w:val="008A4C15"/>
    <w:pPr>
      <w:numPr>
        <w:numId w:val="7"/>
      </w:numPr>
    </w:pPr>
    <w:rPr>
      <w:rFonts w:eastAsia="Times New Roman"/>
      <w:lang w:eastAsia="en-GB"/>
    </w:rPr>
  </w:style>
  <w:style w:type="paragraph" w:styleId="Listapunktowana2">
    <w:name w:val="List Bullet 2"/>
    <w:basedOn w:val="Normalny"/>
    <w:rsid w:val="008A4C15"/>
    <w:pPr>
      <w:numPr>
        <w:numId w:val="8"/>
      </w:numPr>
    </w:pPr>
    <w:rPr>
      <w:rFonts w:eastAsia="Times New Roman"/>
      <w:lang w:eastAsia="en-GB"/>
    </w:rPr>
  </w:style>
  <w:style w:type="paragraph" w:styleId="Listapunktowana3">
    <w:name w:val="List Bullet 3"/>
    <w:basedOn w:val="Normalny"/>
    <w:rsid w:val="008A4C15"/>
    <w:pPr>
      <w:numPr>
        <w:numId w:val="9"/>
      </w:numPr>
    </w:pPr>
    <w:rPr>
      <w:rFonts w:eastAsia="Times New Roman"/>
      <w:lang w:eastAsia="en-GB"/>
    </w:rPr>
  </w:style>
  <w:style w:type="paragraph" w:styleId="Listanumerowana2">
    <w:name w:val="List Number 2"/>
    <w:basedOn w:val="Normalny"/>
    <w:rsid w:val="008A4C15"/>
    <w:pPr>
      <w:numPr>
        <w:numId w:val="13"/>
      </w:numPr>
    </w:pPr>
    <w:rPr>
      <w:rFonts w:eastAsia="Times New Roman"/>
      <w:lang w:eastAsia="en-GB"/>
    </w:rPr>
  </w:style>
  <w:style w:type="paragraph" w:styleId="Listanumerowana3">
    <w:name w:val="List Number 3"/>
    <w:basedOn w:val="Normalny"/>
    <w:rsid w:val="008A4C15"/>
    <w:pPr>
      <w:numPr>
        <w:numId w:val="14"/>
      </w:numPr>
    </w:pPr>
    <w:rPr>
      <w:rFonts w:eastAsia="Times New Roman"/>
      <w:lang w:eastAsia="en-GB"/>
    </w:rPr>
  </w:style>
  <w:style w:type="paragraph" w:styleId="Listanumerowana4">
    <w:name w:val="List Number 4"/>
    <w:basedOn w:val="Normalny"/>
    <w:rsid w:val="008A4C15"/>
    <w:pPr>
      <w:numPr>
        <w:numId w:val="15"/>
      </w:numPr>
    </w:pPr>
    <w:rPr>
      <w:rFonts w:eastAsia="Times New Roman"/>
      <w:lang w:eastAsia="en-GB"/>
    </w:rPr>
  </w:style>
  <w:style w:type="paragraph" w:customStyle="1" w:styleId="ListDash3">
    <w:name w:val="List Dash 3"/>
    <w:basedOn w:val="Normalny"/>
    <w:rsid w:val="008A4C15"/>
    <w:pPr>
      <w:numPr>
        <w:numId w:val="10"/>
      </w:numPr>
    </w:pPr>
    <w:rPr>
      <w:rFonts w:eastAsia="Times New Roman"/>
      <w:lang w:eastAsia="en-GB"/>
    </w:rPr>
  </w:style>
  <w:style w:type="paragraph" w:customStyle="1" w:styleId="ListDash4">
    <w:name w:val="List Dash 4"/>
    <w:basedOn w:val="Normalny"/>
    <w:rsid w:val="008A4C15"/>
    <w:pPr>
      <w:numPr>
        <w:numId w:val="11"/>
      </w:numPr>
    </w:pPr>
    <w:rPr>
      <w:rFonts w:eastAsia="Times New Roman"/>
      <w:lang w:eastAsia="en-GB"/>
    </w:rPr>
  </w:style>
  <w:style w:type="paragraph" w:customStyle="1" w:styleId="ListNumber1">
    <w:name w:val="List Number 1"/>
    <w:basedOn w:val="Text1"/>
    <w:rsid w:val="008A4C15"/>
    <w:pPr>
      <w:numPr>
        <w:numId w:val="12"/>
      </w:numPr>
    </w:pPr>
    <w:rPr>
      <w:rFonts w:eastAsia="Times New Roman"/>
      <w:lang w:eastAsia="en-GB"/>
    </w:rPr>
  </w:style>
  <w:style w:type="paragraph" w:customStyle="1" w:styleId="ListNumber1Level2">
    <w:name w:val="List Number 1 (Level 2)"/>
    <w:basedOn w:val="Text1"/>
    <w:rsid w:val="008A4C15"/>
    <w:pPr>
      <w:numPr>
        <w:ilvl w:val="1"/>
        <w:numId w:val="12"/>
      </w:numPr>
    </w:pPr>
    <w:rPr>
      <w:rFonts w:eastAsia="Times New Roman"/>
      <w:lang w:eastAsia="en-GB"/>
    </w:rPr>
  </w:style>
  <w:style w:type="paragraph" w:customStyle="1" w:styleId="ListNumber2Level2">
    <w:name w:val="List Number 2 (Level 2)"/>
    <w:basedOn w:val="Text2"/>
    <w:rsid w:val="008A4C15"/>
    <w:pPr>
      <w:numPr>
        <w:ilvl w:val="1"/>
        <w:numId w:val="13"/>
      </w:numPr>
    </w:pPr>
    <w:rPr>
      <w:rFonts w:eastAsia="Times New Roman"/>
      <w:lang w:eastAsia="en-GB"/>
    </w:rPr>
  </w:style>
  <w:style w:type="paragraph" w:customStyle="1" w:styleId="ListNumber3Level2">
    <w:name w:val="List Number 3 (Level 2)"/>
    <w:basedOn w:val="Text3"/>
    <w:rsid w:val="008A4C15"/>
    <w:pPr>
      <w:numPr>
        <w:ilvl w:val="1"/>
        <w:numId w:val="14"/>
      </w:numPr>
    </w:pPr>
    <w:rPr>
      <w:rFonts w:eastAsia="Times New Roman"/>
      <w:lang w:eastAsia="en-GB"/>
    </w:rPr>
  </w:style>
  <w:style w:type="paragraph" w:customStyle="1" w:styleId="ListNumber4Level2">
    <w:name w:val="List Number 4 (Level 2)"/>
    <w:basedOn w:val="Text4"/>
    <w:rsid w:val="008A4C15"/>
    <w:pPr>
      <w:numPr>
        <w:ilvl w:val="1"/>
        <w:numId w:val="15"/>
      </w:numPr>
    </w:pPr>
    <w:rPr>
      <w:rFonts w:eastAsia="Times New Roman"/>
      <w:lang w:eastAsia="en-GB"/>
    </w:rPr>
  </w:style>
  <w:style w:type="paragraph" w:customStyle="1" w:styleId="ListNumber1Level3">
    <w:name w:val="List Number 1 (Level 3)"/>
    <w:basedOn w:val="Text1"/>
    <w:rsid w:val="008A4C15"/>
    <w:pPr>
      <w:numPr>
        <w:ilvl w:val="2"/>
        <w:numId w:val="12"/>
      </w:numPr>
    </w:pPr>
    <w:rPr>
      <w:rFonts w:eastAsia="Times New Roman"/>
      <w:lang w:eastAsia="en-GB"/>
    </w:rPr>
  </w:style>
  <w:style w:type="paragraph" w:customStyle="1" w:styleId="ListNumber2Level3">
    <w:name w:val="List Number 2 (Level 3)"/>
    <w:basedOn w:val="Text2"/>
    <w:rsid w:val="008A4C15"/>
    <w:pPr>
      <w:numPr>
        <w:ilvl w:val="2"/>
        <w:numId w:val="13"/>
      </w:numPr>
    </w:pPr>
    <w:rPr>
      <w:rFonts w:eastAsia="Times New Roman"/>
      <w:lang w:eastAsia="en-GB"/>
    </w:rPr>
  </w:style>
  <w:style w:type="paragraph" w:customStyle="1" w:styleId="ListNumber3Level3">
    <w:name w:val="List Number 3 (Level 3)"/>
    <w:basedOn w:val="Text3"/>
    <w:rsid w:val="008A4C15"/>
    <w:pPr>
      <w:numPr>
        <w:ilvl w:val="2"/>
        <w:numId w:val="14"/>
      </w:numPr>
    </w:pPr>
    <w:rPr>
      <w:rFonts w:eastAsia="Times New Roman"/>
      <w:lang w:eastAsia="en-GB"/>
    </w:rPr>
  </w:style>
  <w:style w:type="paragraph" w:customStyle="1" w:styleId="ListNumber4Level3">
    <w:name w:val="List Number 4 (Level 3)"/>
    <w:basedOn w:val="Text4"/>
    <w:rsid w:val="008A4C15"/>
    <w:pPr>
      <w:numPr>
        <w:ilvl w:val="2"/>
        <w:numId w:val="15"/>
      </w:numPr>
    </w:pPr>
    <w:rPr>
      <w:rFonts w:eastAsia="Times New Roman"/>
      <w:lang w:eastAsia="en-GB"/>
    </w:rPr>
  </w:style>
  <w:style w:type="paragraph" w:customStyle="1" w:styleId="ListNumber1Level4">
    <w:name w:val="List Number 1 (Level 4)"/>
    <w:basedOn w:val="Text1"/>
    <w:rsid w:val="008A4C15"/>
    <w:pPr>
      <w:numPr>
        <w:ilvl w:val="3"/>
        <w:numId w:val="12"/>
      </w:numPr>
    </w:pPr>
    <w:rPr>
      <w:rFonts w:eastAsia="Times New Roman"/>
      <w:lang w:eastAsia="en-GB"/>
    </w:rPr>
  </w:style>
  <w:style w:type="paragraph" w:customStyle="1" w:styleId="ListNumber2Level4">
    <w:name w:val="List Number 2 (Level 4)"/>
    <w:basedOn w:val="Text2"/>
    <w:rsid w:val="008A4C15"/>
    <w:pPr>
      <w:numPr>
        <w:ilvl w:val="3"/>
        <w:numId w:val="13"/>
      </w:numPr>
    </w:pPr>
    <w:rPr>
      <w:rFonts w:eastAsia="Times New Roman"/>
      <w:lang w:eastAsia="en-GB"/>
    </w:rPr>
  </w:style>
  <w:style w:type="paragraph" w:customStyle="1" w:styleId="ListNumber3Level4">
    <w:name w:val="List Number 3 (Level 4)"/>
    <w:basedOn w:val="Text3"/>
    <w:rsid w:val="008A4C15"/>
    <w:pPr>
      <w:numPr>
        <w:ilvl w:val="3"/>
        <w:numId w:val="14"/>
      </w:numPr>
    </w:pPr>
    <w:rPr>
      <w:rFonts w:eastAsia="Times New Roman"/>
      <w:lang w:eastAsia="en-GB"/>
    </w:rPr>
  </w:style>
  <w:style w:type="paragraph" w:customStyle="1" w:styleId="ListNumber4Level4">
    <w:name w:val="List Number 4 (Level 4)"/>
    <w:basedOn w:val="Text4"/>
    <w:rsid w:val="008A4C15"/>
    <w:pPr>
      <w:numPr>
        <w:ilvl w:val="3"/>
        <w:numId w:val="15"/>
      </w:numPr>
    </w:pPr>
    <w:rPr>
      <w:rFonts w:eastAsia="Times New Roman"/>
      <w:lang w:eastAsia="en-GB"/>
    </w:rPr>
  </w:style>
  <w:style w:type="paragraph" w:customStyle="1" w:styleId="Annexetitreacte">
    <w:name w:val="Annexe titre (acte)"/>
    <w:basedOn w:val="Normalny"/>
    <w:next w:val="Normalny"/>
    <w:rsid w:val="008A4C15"/>
    <w:pPr>
      <w:jc w:val="center"/>
    </w:pPr>
    <w:rPr>
      <w:rFonts w:eastAsia="Times New Roman"/>
      <w:b/>
      <w:u w:val="single"/>
      <w:lang w:eastAsia="en-GB"/>
    </w:rPr>
  </w:style>
  <w:style w:type="paragraph" w:customStyle="1" w:styleId="Annexetitreexposglobal">
    <w:name w:val="Annexe titre (exposé global)"/>
    <w:basedOn w:val="Normalny"/>
    <w:next w:val="Normalny"/>
    <w:rsid w:val="008A4C15"/>
    <w:pPr>
      <w:jc w:val="center"/>
    </w:pPr>
    <w:rPr>
      <w:rFonts w:eastAsia="Times New Roman"/>
      <w:b/>
      <w:u w:val="single"/>
      <w:lang w:eastAsia="en-GB"/>
    </w:rPr>
  </w:style>
  <w:style w:type="paragraph" w:customStyle="1" w:styleId="Annexetitrefichefinacte">
    <w:name w:val="Annexe titre (fiche fin. acte)"/>
    <w:basedOn w:val="Normalny"/>
    <w:next w:val="Normalny"/>
    <w:rsid w:val="008A4C15"/>
    <w:pPr>
      <w:jc w:val="center"/>
    </w:pPr>
    <w:rPr>
      <w:rFonts w:eastAsia="Times New Roman"/>
      <w:b/>
      <w:u w:val="single"/>
      <w:lang w:eastAsia="en-GB"/>
    </w:rPr>
  </w:style>
  <w:style w:type="paragraph" w:customStyle="1" w:styleId="Annexetitrefichefinglobale">
    <w:name w:val="Annexe titre (fiche fin. globale)"/>
    <w:basedOn w:val="Normalny"/>
    <w:next w:val="Normalny"/>
    <w:rsid w:val="008A4C15"/>
    <w:pPr>
      <w:jc w:val="center"/>
    </w:pPr>
    <w:rPr>
      <w:rFonts w:eastAsia="Times New Roman"/>
      <w:b/>
      <w:u w:val="single"/>
      <w:lang w:eastAsia="en-GB"/>
    </w:rPr>
  </w:style>
  <w:style w:type="paragraph" w:customStyle="1" w:styleId="Annexetitreglobale">
    <w:name w:val="Annexe titre (globale)"/>
    <w:basedOn w:val="Normalny"/>
    <w:next w:val="Normalny"/>
    <w:rsid w:val="008A4C15"/>
    <w:pPr>
      <w:jc w:val="center"/>
    </w:pPr>
    <w:rPr>
      <w:rFonts w:eastAsia="Times New Roman"/>
      <w:b/>
      <w:u w:val="single"/>
      <w:lang w:eastAsia="en-GB"/>
    </w:rPr>
  </w:style>
  <w:style w:type="paragraph" w:customStyle="1" w:styleId="Exposdesmotifstitreglobal">
    <w:name w:val="Exposé des motifs titre (global)"/>
    <w:basedOn w:val="Normalny"/>
    <w:next w:val="Normalny"/>
    <w:rsid w:val="008A4C15"/>
    <w:pPr>
      <w:jc w:val="center"/>
    </w:pPr>
    <w:rPr>
      <w:rFonts w:eastAsia="Times New Roman"/>
      <w:b/>
      <w:u w:val="single"/>
      <w:lang w:eastAsia="en-GB"/>
    </w:rPr>
  </w:style>
  <w:style w:type="paragraph" w:customStyle="1" w:styleId="Langueoriginale">
    <w:name w:val="Langue originale"/>
    <w:basedOn w:val="Normalny"/>
    <w:rsid w:val="008A4C15"/>
    <w:pPr>
      <w:spacing w:before="360"/>
      <w:jc w:val="center"/>
    </w:pPr>
    <w:rPr>
      <w:rFonts w:eastAsia="Times New Roman"/>
      <w:caps/>
      <w:lang w:eastAsia="en-GB"/>
    </w:rPr>
  </w:style>
  <w:style w:type="paragraph" w:customStyle="1" w:styleId="Phrasefinale">
    <w:name w:val="Phrase finale"/>
    <w:basedOn w:val="Normalny"/>
    <w:next w:val="Normalny"/>
    <w:rsid w:val="008A4C15"/>
    <w:pPr>
      <w:spacing w:before="360" w:after="0"/>
      <w:jc w:val="center"/>
    </w:pPr>
    <w:rPr>
      <w:rFonts w:eastAsia="Times New Roman"/>
      <w:lang w:eastAsia="en-GB"/>
    </w:rPr>
  </w:style>
  <w:style w:type="paragraph" w:customStyle="1" w:styleId="Prliminairetitre">
    <w:name w:val="Préliminaire titre"/>
    <w:basedOn w:val="Normalny"/>
    <w:next w:val="Normalny"/>
    <w:rsid w:val="008A4C15"/>
    <w:pPr>
      <w:spacing w:before="360" w:after="360"/>
      <w:jc w:val="center"/>
    </w:pPr>
    <w:rPr>
      <w:rFonts w:eastAsia="Times New Roman"/>
      <w:b/>
      <w:lang w:eastAsia="en-GB"/>
    </w:rPr>
  </w:style>
  <w:style w:type="paragraph" w:customStyle="1" w:styleId="Prliminairetype">
    <w:name w:val="Préliminaire type"/>
    <w:basedOn w:val="Normalny"/>
    <w:next w:val="Normalny"/>
    <w:rsid w:val="008A4C15"/>
    <w:pPr>
      <w:spacing w:before="360" w:after="0"/>
      <w:jc w:val="center"/>
    </w:pPr>
    <w:rPr>
      <w:rFonts w:eastAsia="Times New Roman"/>
      <w:b/>
      <w:lang w:eastAsia="en-GB"/>
    </w:rPr>
  </w:style>
  <w:style w:type="paragraph" w:customStyle="1" w:styleId="Rfrenceinstitutionelle">
    <w:name w:val="Référence institutionelle"/>
    <w:basedOn w:val="Normalny"/>
    <w:next w:val="Statut"/>
    <w:rsid w:val="008A4C15"/>
    <w:pPr>
      <w:spacing w:before="0" w:after="240"/>
      <w:ind w:left="5103"/>
      <w:jc w:val="left"/>
    </w:pPr>
    <w:rPr>
      <w:rFonts w:eastAsia="Times New Roman"/>
      <w:lang w:eastAsia="en-GB"/>
    </w:rPr>
  </w:style>
  <w:style w:type="paragraph" w:customStyle="1" w:styleId="Rfrenceinterinstitutionelle">
    <w:name w:val="Référence interinstitutionelle"/>
    <w:basedOn w:val="Normalny"/>
    <w:next w:val="Statut"/>
    <w:rsid w:val="008A4C15"/>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ny"/>
    <w:next w:val="Normalny"/>
    <w:rsid w:val="008A4C15"/>
    <w:pPr>
      <w:spacing w:before="0" w:after="0"/>
      <w:ind w:left="5103"/>
      <w:jc w:val="left"/>
    </w:pPr>
    <w:rPr>
      <w:rFonts w:eastAsia="Times New Roman"/>
      <w:lang w:eastAsia="en-GB"/>
    </w:rPr>
  </w:style>
  <w:style w:type="paragraph" w:customStyle="1" w:styleId="Sous-titreobjetprliminaire">
    <w:name w:val="Sous-titre objet (préliminaire)"/>
    <w:basedOn w:val="Normalny"/>
    <w:rsid w:val="008A4C15"/>
    <w:pPr>
      <w:spacing w:before="0" w:after="0"/>
      <w:jc w:val="center"/>
    </w:pPr>
    <w:rPr>
      <w:rFonts w:eastAsia="Times New Roman"/>
      <w:b/>
      <w:lang w:eastAsia="en-GB"/>
    </w:rPr>
  </w:style>
  <w:style w:type="paragraph" w:customStyle="1" w:styleId="Statutprliminaire">
    <w:name w:val="Statut (préliminaire)"/>
    <w:basedOn w:val="Normalny"/>
    <w:next w:val="Normalny"/>
    <w:rsid w:val="008A4C15"/>
    <w:pPr>
      <w:spacing w:before="360" w:after="0"/>
      <w:jc w:val="center"/>
    </w:pPr>
    <w:rPr>
      <w:rFonts w:eastAsia="Times New Roman"/>
      <w:lang w:eastAsia="en-GB"/>
    </w:rPr>
  </w:style>
  <w:style w:type="paragraph" w:customStyle="1" w:styleId="Titreobjetprliminaire">
    <w:name w:val="Titre objet (préliminaire)"/>
    <w:basedOn w:val="Normalny"/>
    <w:next w:val="Normalny"/>
    <w:rsid w:val="008A4C15"/>
    <w:pPr>
      <w:spacing w:before="360" w:after="360"/>
      <w:jc w:val="center"/>
    </w:pPr>
    <w:rPr>
      <w:rFonts w:eastAsia="Times New Roman"/>
      <w:b/>
      <w:lang w:eastAsia="en-GB"/>
    </w:rPr>
  </w:style>
  <w:style w:type="paragraph" w:customStyle="1" w:styleId="Typedudocumentprliminaire">
    <w:name w:val="Type du document (préliminaire)"/>
    <w:basedOn w:val="Normalny"/>
    <w:next w:val="Normalny"/>
    <w:rsid w:val="008A4C15"/>
    <w:pPr>
      <w:spacing w:before="360" w:after="0"/>
      <w:jc w:val="center"/>
    </w:pPr>
    <w:rPr>
      <w:rFonts w:eastAsia="Times New Roman"/>
      <w:b/>
      <w:lang w:eastAsia="en-GB"/>
    </w:rPr>
  </w:style>
  <w:style w:type="paragraph" w:customStyle="1" w:styleId="Fichefinancirestandardtitre">
    <w:name w:val="Fiche financière (standard) titre"/>
    <w:basedOn w:val="Normalny"/>
    <w:next w:val="Normalny"/>
    <w:rsid w:val="008A4C15"/>
    <w:pPr>
      <w:jc w:val="center"/>
    </w:pPr>
    <w:rPr>
      <w:rFonts w:eastAsia="Times New Roman"/>
      <w:b/>
      <w:u w:val="single"/>
      <w:lang w:eastAsia="en-GB"/>
    </w:rPr>
  </w:style>
  <w:style w:type="paragraph" w:customStyle="1" w:styleId="Fichefinancirestandardtitreacte">
    <w:name w:val="Fiche financière (standard) titre (acte)"/>
    <w:basedOn w:val="Normalny"/>
    <w:next w:val="Normalny"/>
    <w:rsid w:val="008A4C15"/>
    <w:pPr>
      <w:jc w:val="center"/>
    </w:pPr>
    <w:rPr>
      <w:rFonts w:eastAsia="Times New Roman"/>
      <w:b/>
      <w:u w:val="single"/>
      <w:lang w:eastAsia="en-GB"/>
    </w:rPr>
  </w:style>
  <w:style w:type="paragraph" w:customStyle="1" w:styleId="Fichefinanciretravailtitre">
    <w:name w:val="Fiche financière (travail) titre"/>
    <w:basedOn w:val="Normalny"/>
    <w:next w:val="Normalny"/>
    <w:rsid w:val="008A4C15"/>
    <w:pPr>
      <w:jc w:val="center"/>
    </w:pPr>
    <w:rPr>
      <w:rFonts w:eastAsia="Times New Roman"/>
      <w:b/>
      <w:u w:val="single"/>
      <w:lang w:eastAsia="en-GB"/>
    </w:rPr>
  </w:style>
  <w:style w:type="paragraph" w:customStyle="1" w:styleId="Fichefinanciretravailtitreacte">
    <w:name w:val="Fiche financière (travail) titre (acte)"/>
    <w:basedOn w:val="Normalny"/>
    <w:next w:val="Normalny"/>
    <w:rsid w:val="008A4C15"/>
    <w:pPr>
      <w:jc w:val="center"/>
    </w:pPr>
    <w:rPr>
      <w:rFonts w:eastAsia="Times New Roman"/>
      <w:b/>
      <w:u w:val="single"/>
      <w:lang w:eastAsia="en-GB"/>
    </w:rPr>
  </w:style>
  <w:style w:type="paragraph" w:customStyle="1" w:styleId="Fichefinancireattributiontitre">
    <w:name w:val="Fiche financière (attribution) titre"/>
    <w:basedOn w:val="Normalny"/>
    <w:next w:val="Normalny"/>
    <w:rsid w:val="008A4C15"/>
    <w:pPr>
      <w:jc w:val="center"/>
    </w:pPr>
    <w:rPr>
      <w:rFonts w:eastAsia="Times New Roman"/>
      <w:b/>
      <w:u w:val="single"/>
      <w:lang w:eastAsia="en-GB"/>
    </w:rPr>
  </w:style>
  <w:style w:type="paragraph" w:customStyle="1" w:styleId="Fichefinancireattributiontitreacte">
    <w:name w:val="Fiche financière (attribution) titre (acte)"/>
    <w:basedOn w:val="Normalny"/>
    <w:next w:val="Normalny"/>
    <w:rsid w:val="008A4C15"/>
    <w:pPr>
      <w:jc w:val="center"/>
    </w:pPr>
    <w:rPr>
      <w:rFonts w:eastAsia="Times New Roman"/>
      <w:b/>
      <w:u w:val="single"/>
      <w:lang w:eastAsia="en-GB"/>
    </w:rPr>
  </w:style>
  <w:style w:type="character" w:styleId="Odwoaniedokomentarza">
    <w:name w:val="annotation reference"/>
    <w:rsid w:val="008A4C15"/>
    <w:rPr>
      <w:rFonts w:cs="Times New Roman"/>
      <w:sz w:val="16"/>
      <w:szCs w:val="16"/>
    </w:rPr>
  </w:style>
  <w:style w:type="paragraph" w:styleId="Tekstkomentarza">
    <w:name w:val="annotation text"/>
    <w:basedOn w:val="Normalny"/>
    <w:link w:val="TekstkomentarzaZnak"/>
    <w:rsid w:val="008A4C15"/>
    <w:rPr>
      <w:rFonts w:eastAsia="Times New Roman"/>
      <w:sz w:val="20"/>
      <w:szCs w:val="20"/>
      <w:lang w:eastAsia="en-GB"/>
    </w:rPr>
  </w:style>
  <w:style w:type="character" w:customStyle="1" w:styleId="TekstkomentarzaZnak">
    <w:name w:val="Tekst komentarza Znak"/>
    <w:basedOn w:val="Domylnaczcionkaakapitu"/>
    <w:link w:val="Tekstkomentarza"/>
    <w:rsid w:val="008A4C15"/>
    <w:rPr>
      <w:rFonts w:ascii="Times New Roman" w:eastAsia="Times New Roman" w:hAnsi="Times New Roman" w:cs="Times New Roman"/>
      <w:sz w:val="20"/>
      <w:szCs w:val="20"/>
      <w:lang w:val="pl-PL" w:eastAsia="en-GB"/>
    </w:rPr>
  </w:style>
  <w:style w:type="paragraph" w:styleId="Tematkomentarza">
    <w:name w:val="annotation subject"/>
    <w:basedOn w:val="Tekstkomentarza"/>
    <w:next w:val="Tekstkomentarza"/>
    <w:link w:val="TematkomentarzaZnak"/>
    <w:rsid w:val="008A4C15"/>
    <w:rPr>
      <w:b/>
      <w:bCs/>
    </w:rPr>
  </w:style>
  <w:style w:type="character" w:customStyle="1" w:styleId="TematkomentarzaZnak">
    <w:name w:val="Temat komentarza Znak"/>
    <w:basedOn w:val="TekstkomentarzaZnak"/>
    <w:link w:val="Tematkomentarza"/>
    <w:rsid w:val="008A4C15"/>
    <w:rPr>
      <w:rFonts w:ascii="Times New Roman" w:eastAsia="Times New Roman" w:hAnsi="Times New Roman" w:cs="Times New Roman"/>
      <w:b/>
      <w:bCs/>
      <w:sz w:val="20"/>
      <w:szCs w:val="20"/>
      <w:lang w:val="pl-PL" w:eastAsia="en-GB"/>
    </w:rPr>
  </w:style>
  <w:style w:type="paragraph" w:styleId="Tekstdymka">
    <w:name w:val="Balloon Text"/>
    <w:basedOn w:val="Normalny"/>
    <w:link w:val="TekstdymkaZnak"/>
    <w:rsid w:val="008A4C15"/>
    <w:rPr>
      <w:rFonts w:ascii="Tahoma" w:eastAsia="Times New Roman" w:hAnsi="Tahoma" w:cs="Tahoma"/>
      <w:sz w:val="16"/>
      <w:szCs w:val="16"/>
      <w:lang w:eastAsia="en-GB"/>
    </w:rPr>
  </w:style>
  <w:style w:type="character" w:customStyle="1" w:styleId="TekstdymkaZnak">
    <w:name w:val="Tekst dymka Znak"/>
    <w:basedOn w:val="Domylnaczcionkaakapitu"/>
    <w:link w:val="Tekstdymka"/>
    <w:rsid w:val="008A4C15"/>
    <w:rPr>
      <w:rFonts w:ascii="Tahoma" w:eastAsia="Times New Roman" w:hAnsi="Tahoma" w:cs="Tahoma"/>
      <w:sz w:val="16"/>
      <w:szCs w:val="16"/>
      <w:lang w:val="pl-PL" w:eastAsia="en-GB"/>
    </w:rPr>
  </w:style>
  <w:style w:type="paragraph" w:styleId="Legenda">
    <w:name w:val="caption"/>
    <w:basedOn w:val="Normalny"/>
    <w:next w:val="Normalny"/>
    <w:qFormat/>
    <w:rsid w:val="008A4C15"/>
    <w:rPr>
      <w:rFonts w:eastAsia="Times New Roman"/>
      <w:b/>
      <w:bCs/>
      <w:sz w:val="20"/>
      <w:szCs w:val="20"/>
      <w:lang w:eastAsia="en-GB"/>
    </w:rPr>
  </w:style>
  <w:style w:type="paragraph" w:styleId="Spisilustracji">
    <w:name w:val="table of figures"/>
    <w:basedOn w:val="Normalny"/>
    <w:next w:val="Normalny"/>
    <w:rsid w:val="008A4C15"/>
    <w:rPr>
      <w:rFonts w:eastAsia="Times New Roman"/>
      <w:lang w:eastAsia="en-GB"/>
    </w:rPr>
  </w:style>
  <w:style w:type="character" w:styleId="Numerstrony">
    <w:name w:val="page number"/>
    <w:rsid w:val="008A4C15"/>
  </w:style>
  <w:style w:type="character" w:customStyle="1" w:styleId="tw4winMark">
    <w:name w:val="tw4winMark"/>
    <w:rsid w:val="008A4C15"/>
    <w:rPr>
      <w:vanish/>
      <w:color w:val="800080"/>
      <w:vertAlign w:val="subscript"/>
    </w:rPr>
  </w:style>
  <w:style w:type="character" w:styleId="UyteHipercze">
    <w:name w:val="FollowedHyperlink"/>
    <w:rsid w:val="008A4C15"/>
    <w:rPr>
      <w:color w:val="800080"/>
      <w:u w:val="single"/>
    </w:rPr>
  </w:style>
  <w:style w:type="paragraph" w:customStyle="1" w:styleId="Sous-titreobjet">
    <w:name w:val="Sous-titre objet"/>
    <w:basedOn w:val="Normalny"/>
    <w:rsid w:val="008A4C15"/>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8A4C15"/>
  </w:style>
  <w:style w:type="paragraph" w:styleId="Poprawka">
    <w:name w:val="Revision"/>
    <w:hidden/>
    <w:uiPriority w:val="99"/>
    <w:semiHidden/>
    <w:rsid w:val="008A4C15"/>
    <w:rPr>
      <w:rFonts w:ascii="Calibri" w:eastAsia="Calibri" w:hAnsi="Calibri" w:cs="Times New Roman"/>
      <w:sz w:val="24"/>
      <w:lang w:eastAsia="en-GB"/>
    </w:rPr>
  </w:style>
  <w:style w:type="paragraph" w:customStyle="1" w:styleId="FooterCoverPage">
    <w:name w:val="Footer Cover Page"/>
    <w:basedOn w:val="Normalny"/>
    <w:link w:val="FooterCoverPageChar"/>
    <w:rsid w:val="008A4C15"/>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8A4C15"/>
    <w:rPr>
      <w:rFonts w:ascii="Times New Roman" w:hAnsi="Times New Roman" w:cs="Times New Roman"/>
      <w:b/>
      <w:sz w:val="28"/>
      <w:lang w:val="pl-PL"/>
    </w:rPr>
  </w:style>
  <w:style w:type="character" w:customStyle="1" w:styleId="FooterCoverPageChar">
    <w:name w:val="Footer Cover Page Char"/>
    <w:link w:val="FooterCoverPage"/>
    <w:rsid w:val="008A4C15"/>
    <w:rPr>
      <w:rFonts w:ascii="Times New Roman" w:eastAsia="Calibri" w:hAnsi="Times New Roman" w:cs="Times New Roman"/>
      <w:sz w:val="24"/>
      <w:lang w:val="pl-PL" w:eastAsia="en-GB"/>
    </w:rPr>
  </w:style>
  <w:style w:type="paragraph" w:customStyle="1" w:styleId="HeaderCoverPage">
    <w:name w:val="Header Cover Page"/>
    <w:basedOn w:val="Normalny"/>
    <w:link w:val="HeaderCoverPageChar"/>
    <w:rsid w:val="008A4C15"/>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8A4C15"/>
    <w:rPr>
      <w:rFonts w:ascii="Times New Roman" w:eastAsia="Calibri" w:hAnsi="Times New Roman" w:cs="Times New Roman"/>
      <w:sz w:val="24"/>
      <w:lang w:val="pl-PL" w:eastAsia="en-GB"/>
    </w:rPr>
  </w:style>
  <w:style w:type="character" w:customStyle="1" w:styleId="FooterSensitivityChar">
    <w:name w:val="Footer Sensitivity Char"/>
    <w:rsid w:val="008A4C15"/>
    <w:rPr>
      <w:rFonts w:ascii="Times New Roman" w:hAnsi="Times New Roman" w:cs="Times New Roman"/>
      <w:b/>
      <w:sz w:val="32"/>
      <w:lang w:val="pl-PL"/>
    </w:rPr>
  </w:style>
  <w:style w:type="character" w:customStyle="1" w:styleId="HeaderSensitivityChar">
    <w:name w:val="Header Sensitivity Char"/>
    <w:rsid w:val="008A4C15"/>
    <w:rPr>
      <w:rFonts w:ascii="Times New Roman" w:hAnsi="Times New Roman" w:cs="Times New Roman"/>
      <w:b/>
      <w:sz w:val="32"/>
      <w:lang w:val="pl-PL"/>
    </w:rPr>
  </w:style>
  <w:style w:type="character" w:customStyle="1" w:styleId="HeaderSensitivityRightChar">
    <w:name w:val="Header Sensitivity Right Char"/>
    <w:rsid w:val="008A4C15"/>
    <w:rPr>
      <w:rFonts w:ascii="Times New Roman" w:hAnsi="Times New Roman" w:cs="Times New Roman"/>
      <w:sz w:val="28"/>
      <w:lang w:val="pl-PL"/>
    </w:rPr>
  </w:style>
  <w:style w:type="paragraph" w:customStyle="1" w:styleId="LegalNumPar">
    <w:name w:val="LegalNumPar"/>
    <w:basedOn w:val="Normalny"/>
    <w:rsid w:val="008A4C15"/>
    <w:pPr>
      <w:numPr>
        <w:numId w:val="16"/>
      </w:numPr>
      <w:spacing w:line="360" w:lineRule="auto"/>
    </w:pPr>
    <w:rPr>
      <w:rFonts w:eastAsia="Times New Roman"/>
      <w:lang w:eastAsia="en-GB"/>
    </w:rPr>
  </w:style>
  <w:style w:type="paragraph" w:customStyle="1" w:styleId="LegalNumPar2">
    <w:name w:val="LegalNumPar2"/>
    <w:basedOn w:val="Normalny"/>
    <w:rsid w:val="008A4C15"/>
    <w:pPr>
      <w:numPr>
        <w:ilvl w:val="1"/>
        <w:numId w:val="16"/>
      </w:numPr>
      <w:spacing w:line="360" w:lineRule="auto"/>
    </w:pPr>
    <w:rPr>
      <w:rFonts w:eastAsia="Times New Roman"/>
      <w:lang w:eastAsia="en-GB"/>
    </w:rPr>
  </w:style>
  <w:style w:type="paragraph" w:customStyle="1" w:styleId="LegalNumPar3">
    <w:name w:val="LegalNumPar3"/>
    <w:basedOn w:val="Normalny"/>
    <w:rsid w:val="008A4C15"/>
    <w:pPr>
      <w:numPr>
        <w:ilvl w:val="2"/>
        <w:numId w:val="16"/>
      </w:numPr>
      <w:spacing w:line="360" w:lineRule="auto"/>
    </w:pPr>
    <w:rPr>
      <w:rFonts w:eastAsia="Times New Roman"/>
      <w:lang w:eastAsia="en-GB"/>
    </w:rPr>
  </w:style>
  <w:style w:type="paragraph" w:styleId="Akapitzlist">
    <w:name w:val="List Paragraph"/>
    <w:basedOn w:val="Normalny"/>
    <w:uiPriority w:val="34"/>
    <w:qFormat/>
    <w:rsid w:val="008A4C15"/>
    <w:pPr>
      <w:ind w:left="720"/>
      <w:contextualSpacing/>
    </w:pPr>
    <w:rPr>
      <w:rFonts w:eastAsia="Times New Roman"/>
      <w:lang w:eastAsia="en-GB"/>
    </w:rPr>
  </w:style>
  <w:style w:type="character" w:customStyle="1" w:styleId="UnresolvedMention1">
    <w:name w:val="Unresolved Mention1"/>
    <w:basedOn w:val="Domylnaczcionkaakapitu"/>
    <w:uiPriority w:val="99"/>
    <w:semiHidden/>
    <w:unhideWhenUsed/>
    <w:rsid w:val="008A4C15"/>
    <w:rPr>
      <w:color w:val="605E5C"/>
      <w:shd w:val="clear" w:color="auto" w:fill="E1DFDD"/>
    </w:rPr>
  </w:style>
  <w:style w:type="character" w:styleId="Pogrubienie">
    <w:name w:val="Strong"/>
    <w:basedOn w:val="Domylnaczcionkaakapitu"/>
    <w:qFormat/>
    <w:rsid w:val="008A4C15"/>
    <w:rPr>
      <w:b/>
      <w:bCs/>
    </w:rPr>
  </w:style>
  <w:style w:type="character" w:styleId="Uwydatnienie">
    <w:name w:val="Emphasis"/>
    <w:basedOn w:val="Domylnaczcionkaakapitu"/>
    <w:qFormat/>
    <w:rsid w:val="008A4C15"/>
    <w:rPr>
      <w:i/>
      <w:iCs/>
    </w:rPr>
  </w:style>
  <w:style w:type="character" w:customStyle="1" w:styleId="Mention1">
    <w:name w:val="Mention1"/>
    <w:basedOn w:val="Domylnaczcionkaakapitu"/>
    <w:uiPriority w:val="99"/>
    <w:unhideWhenUsed/>
    <w:rsid w:val="008A4C15"/>
    <w:rPr>
      <w:color w:val="2B579A"/>
      <w:shd w:val="clear" w:color="auto" w:fill="E1DFDD"/>
    </w:rPr>
  </w:style>
  <w:style w:type="character" w:customStyle="1" w:styleId="normaltextrun">
    <w:name w:val="normaltextrun"/>
    <w:basedOn w:val="Domylnaczcionkaakapitu"/>
    <w:rsid w:val="008A4C15"/>
  </w:style>
  <w:style w:type="character" w:customStyle="1" w:styleId="eop">
    <w:name w:val="eop"/>
    <w:basedOn w:val="Domylnaczcionkaakapitu"/>
    <w:rsid w:val="008A4C15"/>
  </w:style>
  <w:style w:type="character" w:customStyle="1" w:styleId="Nierozpoznanawzmianka1">
    <w:name w:val="Nierozpoznana wzmianka1"/>
    <w:basedOn w:val="Domylnaczcionkaakapitu"/>
    <w:uiPriority w:val="99"/>
    <w:semiHidden/>
    <w:unhideWhenUsed/>
    <w:rsid w:val="00246035"/>
    <w:rPr>
      <w:color w:val="605E5C"/>
      <w:shd w:val="clear" w:color="auto" w:fill="E1DFDD"/>
    </w:rPr>
  </w:style>
  <w:style w:type="character" w:customStyle="1" w:styleId="NagwekZnak">
    <w:name w:val="Nagłówek Znak"/>
    <w:basedOn w:val="Domylnaczcionkaakapitu"/>
    <w:link w:val="Nagwek"/>
    <w:uiPriority w:val="99"/>
    <w:rsid w:val="007E5C27"/>
    <w:rPr>
      <w:rFonts w:ascii="Times New Roman" w:hAnsi="Times New Roman" w:cs="Times New Roman"/>
      <w:sz w:val="24"/>
      <w:lang w:val="pl-PL"/>
    </w:rPr>
  </w:style>
  <w:style w:type="character" w:customStyle="1" w:styleId="StopkaZnak">
    <w:name w:val="Stopka Znak"/>
    <w:basedOn w:val="Domylnaczcionkaakapitu"/>
    <w:link w:val="Stopka"/>
    <w:uiPriority w:val="99"/>
    <w:rsid w:val="007E5C27"/>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shd w:val="clear" w:color="auto" w:fill="auto"/>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shd w:val="clear" w:color="auto" w:fill="auto"/>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shd w:val="clear" w:color="auto" w:fill="auto"/>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shd w:val="clear" w:color="auto" w:fill="auto"/>
      <w:lang w:val="en-GB"/>
    </w:rPr>
  </w:style>
  <w:style w:type="character" w:customStyle="1" w:styleId="Nagwek5Znak">
    <w:name w:val="Nagłówek 5 Znak"/>
    <w:basedOn w:val="Domylnaczcionkaakapitu"/>
    <w:link w:val="Nagwek5"/>
    <w:uiPriority w:val="9"/>
    <w:semiHidden/>
    <w:rPr>
      <w:rFonts w:ascii="Times New Roman" w:eastAsiaTheme="majorEastAsia" w:hAnsi="Times New Roman" w:cs="Times New Roman"/>
      <w:sz w:val="24"/>
      <w:shd w:val="clear" w:color="auto" w:fill="auto"/>
      <w:lang w:val="en-GB"/>
    </w:rPr>
  </w:style>
  <w:style w:type="character" w:customStyle="1" w:styleId="Nagwek6Znak">
    <w:name w:val="Nagłówek 6 Znak"/>
    <w:basedOn w:val="Domylnaczcionkaakapitu"/>
    <w:link w:val="Nagwek6"/>
    <w:uiPriority w:val="9"/>
    <w:semiHidden/>
    <w:rPr>
      <w:rFonts w:ascii="Times New Roman" w:eastAsiaTheme="majorEastAsia" w:hAnsi="Times New Roman" w:cs="Times New Roman"/>
      <w:iCs/>
      <w:sz w:val="24"/>
      <w:shd w:val="clear" w:color="auto" w:fill="auto"/>
      <w:lang w:val="en-GB"/>
    </w:rPr>
  </w:style>
  <w:style w:type="character" w:customStyle="1" w:styleId="Nagwek7Znak">
    <w:name w:val="Nagłówek 7 Znak"/>
    <w:basedOn w:val="Domylnaczcionkaakapitu"/>
    <w:link w:val="Nagwek7"/>
    <w:uiPriority w:val="9"/>
    <w:semiHidden/>
    <w:rPr>
      <w:rFonts w:ascii="Times New Roman" w:eastAsiaTheme="majorEastAsia" w:hAnsi="Times New Roman" w:cs="Times New Roman"/>
      <w:iCs/>
      <w:sz w:val="24"/>
      <w:shd w:val="clear" w:color="auto" w:fill="auto"/>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ind w:left="1417" w:hanging="141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HeaderSensitivity">
    <w:name w:val="Header Sensitivity"/>
    <w:basedOn w:val="Normalny"/>
    <w:rsid w:val="007E5C2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ny"/>
    <w:rsid w:val="007E5C27"/>
    <w:pPr>
      <w:spacing w:before="0"/>
      <w:jc w:val="right"/>
    </w:pPr>
    <w:rPr>
      <w:sz w:val="28"/>
    </w:rPr>
  </w:style>
  <w:style w:type="paragraph" w:customStyle="1" w:styleId="FooterSensitivity">
    <w:name w:val="Footer Sensitivity"/>
    <w:basedOn w:val="Normalny"/>
    <w:rsid w:val="007E5C2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Text5">
    <w:name w:val="Text 5"/>
    <w:basedOn w:val="Normalny"/>
    <w:pPr>
      <w:ind w:left="3118"/>
    </w:pPr>
  </w:style>
  <w:style w:type="paragraph" w:customStyle="1" w:styleId="Text6">
    <w:name w:val="Text 6"/>
    <w:basedOn w:val="Normalny"/>
    <w:pPr>
      <w:ind w:left="3685"/>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Point5">
    <w:name w:val="Point 5"/>
    <w:basedOn w:val="Normalny"/>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39"/>
      </w:numPr>
    </w:pPr>
  </w:style>
  <w:style w:type="paragraph" w:customStyle="1" w:styleId="NumPar2">
    <w:name w:val="NumPar 2"/>
    <w:basedOn w:val="Normalny"/>
    <w:next w:val="Text1"/>
    <w:pPr>
      <w:numPr>
        <w:ilvl w:val="1"/>
        <w:numId w:val="39"/>
      </w:numPr>
    </w:pPr>
  </w:style>
  <w:style w:type="paragraph" w:customStyle="1" w:styleId="NumPar3">
    <w:name w:val="NumPar 3"/>
    <w:basedOn w:val="Normalny"/>
    <w:next w:val="Text1"/>
    <w:pPr>
      <w:numPr>
        <w:ilvl w:val="2"/>
        <w:numId w:val="39"/>
      </w:numPr>
    </w:pPr>
  </w:style>
  <w:style w:type="paragraph" w:customStyle="1" w:styleId="NumPar4">
    <w:name w:val="NumPar 4"/>
    <w:basedOn w:val="Normalny"/>
    <w:next w:val="Text1"/>
    <w:pPr>
      <w:numPr>
        <w:ilvl w:val="3"/>
        <w:numId w:val="39"/>
      </w:numPr>
    </w:pPr>
  </w:style>
  <w:style w:type="paragraph" w:customStyle="1" w:styleId="NumPar5">
    <w:name w:val="NumPar 5"/>
    <w:basedOn w:val="Normalny"/>
    <w:next w:val="Text2"/>
    <w:pPr>
      <w:numPr>
        <w:ilvl w:val="4"/>
        <w:numId w:val="39"/>
      </w:numPr>
    </w:pPr>
  </w:style>
  <w:style w:type="paragraph" w:customStyle="1" w:styleId="NumPar6">
    <w:name w:val="NumPar 6"/>
    <w:basedOn w:val="Normalny"/>
    <w:next w:val="Text2"/>
    <w:pPr>
      <w:numPr>
        <w:ilvl w:val="5"/>
        <w:numId w:val="39"/>
      </w:numPr>
    </w:pPr>
  </w:style>
  <w:style w:type="paragraph" w:customStyle="1" w:styleId="NumPar7">
    <w:name w:val="NumPar 7"/>
    <w:basedOn w:val="Normalny"/>
    <w:next w:val="Text2"/>
    <w:pPr>
      <w:numPr>
        <w:ilvl w:val="6"/>
        <w:numId w:val="39"/>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ManualNumPar5">
    <w:name w:val="Manual NumPar 5"/>
    <w:basedOn w:val="Normalny"/>
    <w:next w:val="Text2"/>
    <w:pPr>
      <w:ind w:left="1417" w:hanging="1417"/>
    </w:pPr>
  </w:style>
  <w:style w:type="paragraph" w:customStyle="1" w:styleId="ManualNumPar6">
    <w:name w:val="Manual NumPar 6"/>
    <w:basedOn w:val="Normalny"/>
    <w:next w:val="Text2"/>
    <w:pPr>
      <w:ind w:left="1417" w:hanging="1417"/>
    </w:pPr>
  </w:style>
  <w:style w:type="paragraph" w:customStyle="1" w:styleId="ManualNumPar7">
    <w:name w:val="Manual NumPar 7"/>
    <w:basedOn w:val="Normalny"/>
    <w:next w:val="Text2"/>
    <w:pPr>
      <w:ind w:left="1417" w:hanging="1417"/>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ManualHeading5">
    <w:name w:val="Manual Heading 5"/>
    <w:basedOn w:val="Normalny"/>
    <w:next w:val="Text2"/>
    <w:pPr>
      <w:keepNext/>
      <w:tabs>
        <w:tab w:val="left" w:pos="1417"/>
      </w:tabs>
      <w:ind w:left="1417" w:hanging="1417"/>
      <w:outlineLvl w:val="4"/>
    </w:pPr>
  </w:style>
  <w:style w:type="paragraph" w:customStyle="1" w:styleId="ManualHeading6">
    <w:name w:val="Manual Heading 6"/>
    <w:basedOn w:val="Normalny"/>
    <w:next w:val="Text2"/>
    <w:pPr>
      <w:keepNext/>
      <w:tabs>
        <w:tab w:val="left" w:pos="1417"/>
      </w:tabs>
      <w:ind w:left="1417" w:hanging="1417"/>
      <w:outlineLvl w:val="5"/>
    </w:pPr>
  </w:style>
  <w:style w:type="paragraph" w:customStyle="1" w:styleId="ManualHeading7">
    <w:name w:val="Manual Heading 7"/>
    <w:basedOn w:val="Normalny"/>
    <w:next w:val="Text2"/>
    <w:pPr>
      <w:keepNext/>
      <w:tabs>
        <w:tab w:val="left" w:pos="1417"/>
      </w:tabs>
      <w:ind w:left="1417" w:hanging="1417"/>
      <w:outlineLvl w:val="6"/>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41"/>
      </w:numPr>
    </w:pPr>
  </w:style>
  <w:style w:type="paragraph" w:customStyle="1" w:styleId="Point1number">
    <w:name w:val="Point 1 (number)"/>
    <w:basedOn w:val="Normalny"/>
    <w:pPr>
      <w:numPr>
        <w:ilvl w:val="2"/>
        <w:numId w:val="41"/>
      </w:numPr>
    </w:pPr>
  </w:style>
  <w:style w:type="paragraph" w:customStyle="1" w:styleId="Point2number">
    <w:name w:val="Point 2 (number)"/>
    <w:basedOn w:val="Normalny"/>
    <w:pPr>
      <w:numPr>
        <w:ilvl w:val="4"/>
        <w:numId w:val="41"/>
      </w:numPr>
    </w:pPr>
  </w:style>
  <w:style w:type="paragraph" w:customStyle="1" w:styleId="Point3number">
    <w:name w:val="Point 3 (number)"/>
    <w:basedOn w:val="Normalny"/>
    <w:pPr>
      <w:numPr>
        <w:ilvl w:val="6"/>
        <w:numId w:val="41"/>
      </w:numPr>
    </w:pPr>
  </w:style>
  <w:style w:type="paragraph" w:customStyle="1" w:styleId="Point0letter">
    <w:name w:val="Point 0 (letter)"/>
    <w:basedOn w:val="Normalny"/>
    <w:pPr>
      <w:numPr>
        <w:ilvl w:val="1"/>
        <w:numId w:val="41"/>
      </w:numPr>
    </w:pPr>
  </w:style>
  <w:style w:type="paragraph" w:customStyle="1" w:styleId="Point1letter">
    <w:name w:val="Point 1 (letter)"/>
    <w:basedOn w:val="Normalny"/>
    <w:pPr>
      <w:numPr>
        <w:ilvl w:val="3"/>
        <w:numId w:val="41"/>
      </w:numPr>
    </w:pPr>
  </w:style>
  <w:style w:type="paragraph" w:customStyle="1" w:styleId="Point2letter">
    <w:name w:val="Point 2 (letter)"/>
    <w:basedOn w:val="Normalny"/>
    <w:pPr>
      <w:numPr>
        <w:ilvl w:val="5"/>
        <w:numId w:val="41"/>
      </w:numPr>
    </w:pPr>
  </w:style>
  <w:style w:type="paragraph" w:customStyle="1" w:styleId="Point3letter">
    <w:name w:val="Point 3 (letter)"/>
    <w:basedOn w:val="Normalny"/>
    <w:pPr>
      <w:numPr>
        <w:ilvl w:val="7"/>
        <w:numId w:val="41"/>
      </w:numPr>
    </w:pPr>
  </w:style>
  <w:style w:type="paragraph" w:customStyle="1" w:styleId="Point4letter">
    <w:name w:val="Point 4 (letter)"/>
    <w:basedOn w:val="Normalny"/>
    <w:pPr>
      <w:numPr>
        <w:ilvl w:val="8"/>
        <w:numId w:val="41"/>
      </w:numPr>
    </w:pPr>
  </w:style>
  <w:style w:type="paragraph" w:customStyle="1" w:styleId="Bullet0">
    <w:name w:val="Bullet 0"/>
    <w:basedOn w:val="Normalny"/>
    <w:pPr>
      <w:numPr>
        <w:numId w:val="42"/>
      </w:numPr>
    </w:pPr>
  </w:style>
  <w:style w:type="paragraph" w:customStyle="1" w:styleId="Bullet1">
    <w:name w:val="Bullet 1"/>
    <w:basedOn w:val="Normalny"/>
    <w:pPr>
      <w:numPr>
        <w:numId w:val="43"/>
      </w:numPr>
    </w:pPr>
  </w:style>
  <w:style w:type="paragraph" w:customStyle="1" w:styleId="Bullet2">
    <w:name w:val="Bullet 2"/>
    <w:basedOn w:val="Normalny"/>
    <w:pPr>
      <w:numPr>
        <w:numId w:val="44"/>
      </w:numPr>
    </w:pPr>
  </w:style>
  <w:style w:type="paragraph" w:customStyle="1" w:styleId="Bullet3">
    <w:name w:val="Bullet 3"/>
    <w:basedOn w:val="Normalny"/>
    <w:pPr>
      <w:numPr>
        <w:numId w:val="45"/>
      </w:numPr>
    </w:pPr>
  </w:style>
  <w:style w:type="paragraph" w:customStyle="1" w:styleId="Bullet4">
    <w:name w:val="Bullet 4"/>
    <w:basedOn w:val="Normalny"/>
    <w:pPr>
      <w:numPr>
        <w:numId w:val="46"/>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ny"/>
    <w:pPr>
      <w:spacing w:before="0" w:after="0" w:line="276" w:lineRule="auto"/>
      <w:ind w:left="5103"/>
      <w:jc w:val="left"/>
    </w:pPr>
    <w:rPr>
      <w:sz w:val="28"/>
    </w:rPr>
  </w:style>
  <w:style w:type="paragraph" w:customStyle="1" w:styleId="DateMarking">
    <w:name w:val="DateMarking"/>
    <w:basedOn w:val="Normalny"/>
    <w:pPr>
      <w:spacing w:before="0" w:after="0" w:line="276" w:lineRule="auto"/>
      <w:ind w:left="5103"/>
      <w:jc w:val="left"/>
    </w:pPr>
    <w:rPr>
      <w:i/>
      <w:sz w:val="28"/>
    </w:rPr>
  </w:style>
  <w:style w:type="paragraph" w:customStyle="1" w:styleId="ReleasableTo">
    <w:name w:val="ReleasableTo"/>
    <w:basedOn w:val="Normalny"/>
    <w:pPr>
      <w:spacing w:before="0" w:after="0" w:line="276" w:lineRule="auto"/>
      <w:ind w:left="5103"/>
      <w:jc w:val="left"/>
    </w:pPr>
    <w:rPr>
      <w:i/>
      <w:sz w:val="28"/>
    </w:r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47"/>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IntrtEEE"/>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rsid w:val="00E664ED"/>
    <w:pPr>
      <w:spacing w:before="360" w:after="24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rsid w:val="00E664ED"/>
    <w:pPr>
      <w:spacing w:after="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Normalny"/>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Rfrencecroise"/>
    <w:rsid w:val="00E664ED"/>
    <w:pPr>
      <w:spacing w:before="360" w:after="240"/>
      <w:jc w:val="center"/>
    </w:pPr>
  </w:style>
  <w:style w:type="paragraph" w:styleId="Nagwek">
    <w:name w:val="header"/>
    <w:basedOn w:val="Normalny"/>
    <w:link w:val="NagwekZnak"/>
    <w:uiPriority w:val="99"/>
    <w:unhideWhenUsed/>
    <w:rsid w:val="007E5C27"/>
    <w:pPr>
      <w:tabs>
        <w:tab w:val="center" w:pos="4535"/>
        <w:tab w:val="right" w:pos="9071"/>
      </w:tabs>
      <w:spacing w:before="0"/>
    </w:pPr>
  </w:style>
  <w:style w:type="paragraph" w:customStyle="1" w:styleId="HeaderLandscape">
    <w:name w:val="HeaderLandscape"/>
    <w:basedOn w:val="Normalny"/>
    <w:rsid w:val="007E5C27"/>
    <w:pPr>
      <w:tabs>
        <w:tab w:val="center" w:pos="7285"/>
        <w:tab w:val="right" w:pos="14003"/>
      </w:tabs>
      <w:spacing w:before="0"/>
    </w:pPr>
  </w:style>
  <w:style w:type="paragraph" w:styleId="Stopka">
    <w:name w:val="footer"/>
    <w:basedOn w:val="Normalny"/>
    <w:link w:val="StopkaZnak"/>
    <w:uiPriority w:val="99"/>
    <w:unhideWhenUsed/>
    <w:rsid w:val="007E5C27"/>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7E5C2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myintracomm.ec.europa.eu/corp/budget/financial-rules/budget-implementation/Pages/implementation-methods.aspx"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13/883/oj" TargetMode="External"/><Relationship Id="rId3" Type="http://schemas.openxmlformats.org/officeDocument/2006/relationships/hyperlink" Target="http://data.europa.eu/eli/reg/2023/956/oj" TargetMode="External"/><Relationship Id="rId7" Type="http://schemas.openxmlformats.org/officeDocument/2006/relationships/hyperlink" Target="http://data.europa.eu/eli/reg/2024/2509/oj" TargetMode="External"/><Relationship Id="rId12" Type="http://schemas.openxmlformats.org/officeDocument/2006/relationships/hyperlink" Target="http://data.europa.eu/eli/reg_impl/2018/2067/oj" TargetMode="External"/><Relationship Id="rId2" Type="http://schemas.openxmlformats.org/officeDocument/2006/relationships/hyperlink" Target="http://data.europa.eu/eli/dir/2003/87/oj" TargetMode="External"/><Relationship Id="rId1" Type="http://schemas.openxmlformats.org/officeDocument/2006/relationships/hyperlink" Target="http://data.europa.eu/eli/reg/2024/2509/oj" TargetMode="External"/><Relationship Id="rId6" Type="http://schemas.openxmlformats.org/officeDocument/2006/relationships/hyperlink" Target="http://data.europa.eu/eli/reg/1987/2658/oj" TargetMode="External"/><Relationship Id="rId11" Type="http://schemas.openxmlformats.org/officeDocument/2006/relationships/hyperlink" Target="http://data.europa.eu/eli/dir/2023/1791/oj" TargetMode="External"/><Relationship Id="rId5" Type="http://schemas.openxmlformats.org/officeDocument/2006/relationships/hyperlink" Target="http://data.europa.eu/eli/reg/2020/2092/oj" TargetMode="External"/><Relationship Id="rId10" Type="http://schemas.openxmlformats.org/officeDocument/2006/relationships/hyperlink" Target="http://data.europa.eu/eli/agree_interinstit/2016/512/oj" TargetMode="External"/><Relationship Id="rId4" Type="http://schemas.openxmlformats.org/officeDocument/2006/relationships/hyperlink" Target="http://data.europa.eu/eli/reg/2024/2509/oj" TargetMode="External"/><Relationship Id="rId9" Type="http://schemas.openxmlformats.org/officeDocument/2006/relationships/hyperlink" Target="http://data.europa.eu/eli/reg/2017/1939/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335FE-93C8-40CA-8F4F-96A0755B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42</Pages>
  <Words>12702</Words>
  <Characters>76212</Characters>
  <Application>Microsoft Office Word</Application>
  <DocSecurity>0</DocSecurity>
  <Lines>635</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88737</CharactersWithSpaces>
  <SharedDoc>false</SharedDoc>
  <HLinks>
    <vt:vector size="114" baseType="variant">
      <vt:variant>
        <vt:i4>262150</vt:i4>
      </vt:variant>
      <vt:variant>
        <vt:i4>0</vt:i4>
      </vt:variant>
      <vt:variant>
        <vt:i4>0</vt:i4>
      </vt:variant>
      <vt:variant>
        <vt:i4>5</vt:i4>
      </vt:variant>
      <vt:variant>
        <vt:lpwstr>https://myintracomm.ec.europa.eu/corp/budget/financial-rules/budget-implementation/Pages/implementation-methods.aspx</vt:lpwstr>
      </vt:variant>
      <vt:variant>
        <vt:lpwstr/>
      </vt:variant>
      <vt:variant>
        <vt:i4>1572921</vt:i4>
      </vt:variant>
      <vt:variant>
        <vt:i4>42</vt:i4>
      </vt:variant>
      <vt:variant>
        <vt:i4>0</vt:i4>
      </vt:variant>
      <vt:variant>
        <vt:i4>5</vt:i4>
      </vt:variant>
      <vt:variant>
        <vt:lpwstr>http://data.europa.eu/eli/reg_impl/2018/2067/oj</vt:lpwstr>
      </vt:variant>
      <vt:variant>
        <vt:lpwstr/>
      </vt:variant>
      <vt:variant>
        <vt:i4>7274601</vt:i4>
      </vt:variant>
      <vt:variant>
        <vt:i4>33</vt:i4>
      </vt:variant>
      <vt:variant>
        <vt:i4>0</vt:i4>
      </vt:variant>
      <vt:variant>
        <vt:i4>5</vt:i4>
      </vt:variant>
      <vt:variant>
        <vt:lpwstr>http://data.europa.eu/eli/dir/2023/1791/oj</vt:lpwstr>
      </vt:variant>
      <vt:variant>
        <vt:lpwstr/>
      </vt:variant>
      <vt:variant>
        <vt:i4>196732</vt:i4>
      </vt:variant>
      <vt:variant>
        <vt:i4>27</vt:i4>
      </vt:variant>
      <vt:variant>
        <vt:i4>0</vt:i4>
      </vt:variant>
      <vt:variant>
        <vt:i4>5</vt:i4>
      </vt:variant>
      <vt:variant>
        <vt:lpwstr>http://data.europa.eu/eli/agree_interinstit/2016/512/oj</vt:lpwstr>
      </vt:variant>
      <vt:variant>
        <vt:lpwstr/>
      </vt:variant>
      <vt:variant>
        <vt:i4>7143535</vt:i4>
      </vt:variant>
      <vt:variant>
        <vt:i4>24</vt:i4>
      </vt:variant>
      <vt:variant>
        <vt:i4>0</vt:i4>
      </vt:variant>
      <vt:variant>
        <vt:i4>5</vt:i4>
      </vt:variant>
      <vt:variant>
        <vt:lpwstr>http://data.europa.eu/eli/reg/2017/1939/oj</vt:lpwstr>
      </vt:variant>
      <vt:variant>
        <vt:lpwstr/>
      </vt:variant>
      <vt:variant>
        <vt:i4>4849687</vt:i4>
      </vt:variant>
      <vt:variant>
        <vt:i4>21</vt:i4>
      </vt:variant>
      <vt:variant>
        <vt:i4>0</vt:i4>
      </vt:variant>
      <vt:variant>
        <vt:i4>5</vt:i4>
      </vt:variant>
      <vt:variant>
        <vt:lpwstr>http://data.europa.eu/eli/reg/2013/883/oj</vt:lpwstr>
      </vt:variant>
      <vt:variant>
        <vt:lpwstr/>
      </vt:variant>
      <vt:variant>
        <vt:i4>7209056</vt:i4>
      </vt:variant>
      <vt:variant>
        <vt:i4>18</vt:i4>
      </vt:variant>
      <vt:variant>
        <vt:i4>0</vt:i4>
      </vt:variant>
      <vt:variant>
        <vt:i4>5</vt:i4>
      </vt:variant>
      <vt:variant>
        <vt:lpwstr>http://data.europa.eu/eli/reg/2024/2509/oj</vt:lpwstr>
      </vt:variant>
      <vt:variant>
        <vt:lpwstr/>
      </vt:variant>
      <vt:variant>
        <vt:i4>6357099</vt:i4>
      </vt:variant>
      <vt:variant>
        <vt:i4>15</vt:i4>
      </vt:variant>
      <vt:variant>
        <vt:i4>0</vt:i4>
      </vt:variant>
      <vt:variant>
        <vt:i4>5</vt:i4>
      </vt:variant>
      <vt:variant>
        <vt:lpwstr>http://data.europa.eu/eli/reg/1987/2658/oj</vt:lpwstr>
      </vt:variant>
      <vt:variant>
        <vt:lpwstr/>
      </vt:variant>
      <vt:variant>
        <vt:i4>6488174</vt:i4>
      </vt:variant>
      <vt:variant>
        <vt:i4>12</vt:i4>
      </vt:variant>
      <vt:variant>
        <vt:i4>0</vt:i4>
      </vt:variant>
      <vt:variant>
        <vt:i4>5</vt:i4>
      </vt:variant>
      <vt:variant>
        <vt:lpwstr>http://data.europa.eu/eli/reg/2020/2092/oj</vt:lpwstr>
      </vt:variant>
      <vt:variant>
        <vt:lpwstr/>
      </vt:variant>
      <vt:variant>
        <vt:i4>7209056</vt:i4>
      </vt:variant>
      <vt:variant>
        <vt:i4>9</vt:i4>
      </vt:variant>
      <vt:variant>
        <vt:i4>0</vt:i4>
      </vt:variant>
      <vt:variant>
        <vt:i4>5</vt:i4>
      </vt:variant>
      <vt:variant>
        <vt:lpwstr>http://data.europa.eu/eli/reg/2024/2509/oj</vt:lpwstr>
      </vt:variant>
      <vt:variant>
        <vt:lpwstr/>
      </vt:variant>
      <vt:variant>
        <vt:i4>5111833</vt:i4>
      </vt:variant>
      <vt:variant>
        <vt:i4>6</vt:i4>
      </vt:variant>
      <vt:variant>
        <vt:i4>0</vt:i4>
      </vt:variant>
      <vt:variant>
        <vt:i4>5</vt:i4>
      </vt:variant>
      <vt:variant>
        <vt:lpwstr>http://data.europa.eu/eli/reg/2023/956/oj</vt:lpwstr>
      </vt:variant>
      <vt:variant>
        <vt:lpwstr/>
      </vt:variant>
      <vt:variant>
        <vt:i4>6226010</vt:i4>
      </vt:variant>
      <vt:variant>
        <vt:i4>3</vt:i4>
      </vt:variant>
      <vt:variant>
        <vt:i4>0</vt:i4>
      </vt:variant>
      <vt:variant>
        <vt:i4>5</vt:i4>
      </vt:variant>
      <vt:variant>
        <vt:lpwstr>http://data.europa.eu/eli/dir/2003/87/oj</vt:lpwstr>
      </vt:variant>
      <vt:variant>
        <vt:lpwstr/>
      </vt:variant>
      <vt:variant>
        <vt:i4>7209056</vt:i4>
      </vt:variant>
      <vt:variant>
        <vt:i4>0</vt:i4>
      </vt:variant>
      <vt:variant>
        <vt:i4>0</vt:i4>
      </vt:variant>
      <vt:variant>
        <vt:i4>5</vt:i4>
      </vt:variant>
      <vt:variant>
        <vt:lpwstr>http://data.europa.eu/eli/reg/2024/2509/oj</vt:lpwstr>
      </vt:variant>
      <vt:variant>
        <vt:lpwstr/>
      </vt:variant>
      <vt:variant>
        <vt:i4>3407894</vt:i4>
      </vt:variant>
      <vt:variant>
        <vt:i4>15</vt:i4>
      </vt:variant>
      <vt:variant>
        <vt:i4>0</vt:i4>
      </vt:variant>
      <vt:variant>
        <vt:i4>5</vt:i4>
      </vt:variant>
      <vt:variant>
        <vt:lpwstr>mailto:Ruben.VERMEEREN@ec.europa.eu</vt:lpwstr>
      </vt:variant>
      <vt:variant>
        <vt:lpwstr/>
      </vt:variant>
      <vt:variant>
        <vt:i4>2621446</vt:i4>
      </vt:variant>
      <vt:variant>
        <vt:i4>12</vt:i4>
      </vt:variant>
      <vt:variant>
        <vt:i4>0</vt:i4>
      </vt:variant>
      <vt:variant>
        <vt:i4>5</vt:i4>
      </vt:variant>
      <vt:variant>
        <vt:lpwstr>mailto:Heiko.KUNST@ec.europa.eu</vt:lpwstr>
      </vt:variant>
      <vt:variant>
        <vt:lpwstr/>
      </vt:variant>
      <vt:variant>
        <vt:i4>3407894</vt:i4>
      </vt:variant>
      <vt:variant>
        <vt:i4>9</vt:i4>
      </vt:variant>
      <vt:variant>
        <vt:i4>0</vt:i4>
      </vt:variant>
      <vt:variant>
        <vt:i4>5</vt:i4>
      </vt:variant>
      <vt:variant>
        <vt:lpwstr>mailto:Ruben.VERMEEREN@ec.europa.eu</vt:lpwstr>
      </vt:variant>
      <vt:variant>
        <vt:lpwstr/>
      </vt:variant>
      <vt:variant>
        <vt:i4>2621446</vt:i4>
      </vt:variant>
      <vt:variant>
        <vt:i4>6</vt:i4>
      </vt:variant>
      <vt:variant>
        <vt:i4>0</vt:i4>
      </vt:variant>
      <vt:variant>
        <vt:i4>5</vt:i4>
      </vt:variant>
      <vt:variant>
        <vt:lpwstr>mailto:Heiko.KUNST@ec.europa.eu</vt:lpwstr>
      </vt:variant>
      <vt:variant>
        <vt:lpwstr/>
      </vt:variant>
      <vt:variant>
        <vt:i4>3407894</vt:i4>
      </vt:variant>
      <vt:variant>
        <vt:i4>3</vt:i4>
      </vt:variant>
      <vt:variant>
        <vt:i4>0</vt:i4>
      </vt:variant>
      <vt:variant>
        <vt:i4>5</vt:i4>
      </vt:variant>
      <vt:variant>
        <vt:lpwstr>mailto:Ruben.VERMEEREN@ec.europa.eu</vt:lpwstr>
      </vt:variant>
      <vt:variant>
        <vt:lpwstr/>
      </vt:variant>
      <vt:variant>
        <vt:i4>3407894</vt:i4>
      </vt:variant>
      <vt:variant>
        <vt:i4>0</vt:i4>
      </vt:variant>
      <vt:variant>
        <vt:i4>0</vt:i4>
      </vt:variant>
      <vt:variant>
        <vt:i4>5</vt:i4>
      </vt:variant>
      <vt:variant>
        <vt:lpwstr>mailto:Ruben.VERMEEREN@ec.europa.eu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2026-02-12T10:48:00Z</dcterms:created>
  <dcterms:modified xsi:type="dcterms:W3CDTF">2026-02-12T10:48:00Z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2025-12-14T07:13:55Z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12cff7a8-e5b6-41ce-ad0c-ac2c6085cbe7</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ast edited using">
    <vt:lpwstr>LW 9.2, Build 20250828</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SJ-023</vt:lpwstr>
  </property>
  <property fmtid="{D5CDD505-2E9C-101B-9397-08002B2CF9AE}" pid="16" name="DQCStatus">
    <vt:lpwstr>Green (DQC version 03)</vt:lpwstr>
  </property>
</Properties>
</file>