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5354C" w14:textId="77777777" w:rsidR="00600887" w:rsidRDefault="00600887" w:rsidP="00653D91">
      <w:pPr>
        <w:spacing w:after="120"/>
        <w:jc w:val="both"/>
        <w:rPr>
          <w:rFonts w:ascii="Arial" w:hAnsi="Arial" w:cs="Arial"/>
          <w:b/>
          <w:bCs/>
          <w:sz w:val="36"/>
          <w:szCs w:val="36"/>
          <w:lang w:eastAsia="zh-CN"/>
        </w:rPr>
      </w:pPr>
      <w:bookmarkStart w:id="0" w:name="_GoBack"/>
      <w:bookmarkEnd w:id="0"/>
    </w:p>
    <w:p w14:paraId="745A8078" w14:textId="77777777" w:rsidR="00600887" w:rsidRDefault="00600887" w:rsidP="00653D91">
      <w:pPr>
        <w:spacing w:after="120"/>
        <w:jc w:val="both"/>
        <w:rPr>
          <w:rFonts w:ascii="Arial" w:hAnsi="Arial" w:cs="Arial"/>
          <w:b/>
          <w:bCs/>
          <w:sz w:val="36"/>
          <w:szCs w:val="36"/>
          <w:lang w:eastAsia="zh-CN"/>
        </w:rPr>
      </w:pPr>
    </w:p>
    <w:p w14:paraId="4EFF6FF5" w14:textId="17BF68F8" w:rsidR="00600887" w:rsidRDefault="00485692" w:rsidP="00653D91">
      <w:pPr>
        <w:spacing w:after="120"/>
        <w:jc w:val="both"/>
        <w:rPr>
          <w:rFonts w:ascii="Arial" w:hAnsi="Arial" w:cs="Arial"/>
          <w:b/>
          <w:bCs/>
          <w:sz w:val="36"/>
          <w:szCs w:val="36"/>
          <w:lang w:eastAsia="zh-CN"/>
        </w:rPr>
      </w:pPr>
      <w:r>
        <w:rPr>
          <w:noProof/>
          <w:lang w:eastAsia="pl-PL"/>
        </w:rPr>
        <w:drawing>
          <wp:anchor distT="0" distB="0" distL="114300" distR="114300" simplePos="0" relativeHeight="251658240" behindDoc="1" locked="0" layoutInCell="1" allowOverlap="1" wp14:anchorId="14ED294A" wp14:editId="678C6D0F">
            <wp:simplePos x="0" y="0"/>
            <wp:positionH relativeFrom="margin">
              <wp:align>center</wp:align>
            </wp:positionH>
            <wp:positionV relativeFrom="paragraph">
              <wp:posOffset>197473</wp:posOffset>
            </wp:positionV>
            <wp:extent cx="2700968" cy="915980"/>
            <wp:effectExtent l="0" t="0" r="4445" b="0"/>
            <wp:wrapTight wrapText="bothSides">
              <wp:wrapPolygon edited="0">
                <wp:start x="0" y="0"/>
                <wp:lineTo x="0" y="21121"/>
                <wp:lineTo x="21483" y="21121"/>
                <wp:lineTo x="2148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00968" cy="915980"/>
                    </a:xfrm>
                    <a:prstGeom prst="rect">
                      <a:avLst/>
                    </a:prstGeom>
                  </pic:spPr>
                </pic:pic>
              </a:graphicData>
            </a:graphic>
          </wp:anchor>
        </w:drawing>
      </w:r>
    </w:p>
    <w:p w14:paraId="3876E74A" w14:textId="3C2CA4EA" w:rsidR="00600887" w:rsidRDefault="00600887" w:rsidP="00653D91">
      <w:pPr>
        <w:spacing w:after="120"/>
        <w:jc w:val="both"/>
        <w:rPr>
          <w:rFonts w:ascii="Arial" w:hAnsi="Arial" w:cs="Arial"/>
          <w:b/>
          <w:bCs/>
          <w:sz w:val="36"/>
          <w:szCs w:val="36"/>
          <w:lang w:eastAsia="zh-CN"/>
        </w:rPr>
      </w:pPr>
    </w:p>
    <w:p w14:paraId="4493E131" w14:textId="1D5FFACB" w:rsidR="00600887" w:rsidRDefault="00600887" w:rsidP="00653D91">
      <w:pPr>
        <w:spacing w:after="120"/>
        <w:jc w:val="both"/>
        <w:rPr>
          <w:rFonts w:ascii="Arial" w:hAnsi="Arial" w:cs="Arial"/>
          <w:b/>
          <w:bCs/>
          <w:sz w:val="36"/>
          <w:szCs w:val="36"/>
          <w:lang w:eastAsia="zh-CN"/>
        </w:rPr>
      </w:pPr>
    </w:p>
    <w:p w14:paraId="7832F06F" w14:textId="77777777" w:rsidR="00600887" w:rsidRDefault="00600887" w:rsidP="00653D91">
      <w:pPr>
        <w:spacing w:after="120"/>
        <w:jc w:val="both"/>
        <w:rPr>
          <w:rFonts w:ascii="Arial" w:hAnsi="Arial" w:cs="Arial"/>
          <w:b/>
          <w:bCs/>
          <w:sz w:val="36"/>
          <w:szCs w:val="36"/>
          <w:lang w:eastAsia="zh-CN"/>
        </w:rPr>
      </w:pPr>
    </w:p>
    <w:p w14:paraId="1140B6DD" w14:textId="77777777" w:rsidR="00485692" w:rsidRDefault="00485692" w:rsidP="00653D91">
      <w:pPr>
        <w:spacing w:after="120"/>
        <w:jc w:val="center"/>
        <w:rPr>
          <w:rFonts w:ascii="Arial" w:hAnsi="Arial" w:cs="Arial"/>
          <w:b/>
          <w:bCs/>
          <w:sz w:val="36"/>
          <w:szCs w:val="36"/>
          <w:lang w:eastAsia="zh-CN"/>
        </w:rPr>
      </w:pPr>
    </w:p>
    <w:p w14:paraId="553ED825" w14:textId="77777777" w:rsidR="00600887" w:rsidRDefault="00600887" w:rsidP="00653D91">
      <w:pPr>
        <w:spacing w:after="120"/>
        <w:jc w:val="center"/>
        <w:rPr>
          <w:rFonts w:ascii="Arial" w:hAnsi="Arial" w:cs="Arial"/>
          <w:b/>
          <w:bCs/>
          <w:sz w:val="36"/>
          <w:szCs w:val="36"/>
          <w:lang w:eastAsia="zh-CN"/>
        </w:rPr>
      </w:pPr>
      <w:r w:rsidRPr="009972D4">
        <w:rPr>
          <w:rFonts w:ascii="Arial" w:hAnsi="Arial" w:cs="Arial"/>
          <w:b/>
          <w:bCs/>
          <w:sz w:val="36"/>
          <w:szCs w:val="36"/>
          <w:lang w:eastAsia="zh-CN"/>
        </w:rPr>
        <w:t xml:space="preserve">Sprawozdanie z </w:t>
      </w:r>
      <w:r>
        <w:rPr>
          <w:rFonts w:ascii="Arial" w:hAnsi="Arial" w:cs="Arial"/>
          <w:b/>
          <w:bCs/>
          <w:sz w:val="36"/>
          <w:szCs w:val="36"/>
          <w:lang w:eastAsia="zh-CN"/>
        </w:rPr>
        <w:t xml:space="preserve">przebiegu i wyników </w:t>
      </w:r>
      <w:r w:rsidRPr="009972D4">
        <w:rPr>
          <w:rFonts w:ascii="Arial" w:hAnsi="Arial" w:cs="Arial"/>
          <w:b/>
          <w:bCs/>
          <w:sz w:val="36"/>
          <w:szCs w:val="36"/>
          <w:lang w:eastAsia="zh-CN"/>
        </w:rPr>
        <w:t xml:space="preserve">konsultacji społecznych projektu </w:t>
      </w:r>
      <w:r>
        <w:rPr>
          <w:rFonts w:ascii="Arial" w:hAnsi="Arial" w:cs="Arial"/>
          <w:b/>
          <w:bCs/>
          <w:sz w:val="36"/>
          <w:szCs w:val="36"/>
          <w:lang w:eastAsia="zh-CN"/>
        </w:rPr>
        <w:t>aktualizacji programu ochrony wód morskich</w:t>
      </w:r>
    </w:p>
    <w:p w14:paraId="66F6ED2A" w14:textId="77777777" w:rsidR="00600887" w:rsidRDefault="00600887" w:rsidP="00653D91">
      <w:pPr>
        <w:spacing w:after="120"/>
        <w:jc w:val="center"/>
        <w:rPr>
          <w:rFonts w:ascii="Arial" w:hAnsi="Arial" w:cs="Arial"/>
          <w:b/>
          <w:bCs/>
          <w:sz w:val="36"/>
          <w:szCs w:val="36"/>
          <w:lang w:eastAsia="zh-CN"/>
        </w:rPr>
      </w:pPr>
    </w:p>
    <w:p w14:paraId="29F5496A" w14:textId="77777777" w:rsidR="00600887" w:rsidRDefault="00600887" w:rsidP="00653D91">
      <w:pPr>
        <w:spacing w:after="120"/>
        <w:jc w:val="center"/>
        <w:rPr>
          <w:rFonts w:ascii="Arial" w:hAnsi="Arial" w:cs="Arial"/>
          <w:b/>
          <w:bCs/>
          <w:sz w:val="36"/>
          <w:szCs w:val="36"/>
          <w:lang w:eastAsia="zh-CN"/>
        </w:rPr>
      </w:pPr>
    </w:p>
    <w:p w14:paraId="420E233A" w14:textId="05DEF404" w:rsidR="00600887" w:rsidRDefault="00600887" w:rsidP="00653D91">
      <w:pPr>
        <w:spacing w:after="120"/>
        <w:jc w:val="center"/>
        <w:rPr>
          <w:rFonts w:ascii="Arial" w:hAnsi="Arial" w:cs="Arial"/>
          <w:b/>
          <w:bCs/>
          <w:sz w:val="36"/>
          <w:szCs w:val="36"/>
          <w:lang w:eastAsia="zh-CN"/>
        </w:rPr>
      </w:pPr>
    </w:p>
    <w:p w14:paraId="336A38FE" w14:textId="77777777" w:rsidR="00600887" w:rsidRDefault="00600887" w:rsidP="00653D91">
      <w:pPr>
        <w:spacing w:after="120"/>
        <w:jc w:val="center"/>
        <w:rPr>
          <w:rFonts w:ascii="Arial" w:hAnsi="Arial" w:cs="Arial"/>
          <w:b/>
          <w:bCs/>
          <w:sz w:val="36"/>
          <w:szCs w:val="36"/>
          <w:lang w:eastAsia="zh-CN"/>
        </w:rPr>
      </w:pPr>
    </w:p>
    <w:p w14:paraId="0D1948B6" w14:textId="77777777" w:rsidR="00600887" w:rsidRDefault="00600887" w:rsidP="00653D91">
      <w:pPr>
        <w:spacing w:after="120"/>
        <w:jc w:val="center"/>
        <w:rPr>
          <w:rFonts w:ascii="Arial" w:hAnsi="Arial" w:cs="Arial"/>
          <w:b/>
          <w:bCs/>
          <w:sz w:val="36"/>
          <w:szCs w:val="36"/>
          <w:lang w:eastAsia="zh-CN"/>
        </w:rPr>
      </w:pPr>
    </w:p>
    <w:p w14:paraId="1E0718D4" w14:textId="77777777" w:rsidR="00600887" w:rsidRDefault="00600887" w:rsidP="00653D91">
      <w:pPr>
        <w:spacing w:after="120"/>
        <w:jc w:val="center"/>
        <w:rPr>
          <w:rFonts w:ascii="Arial" w:hAnsi="Arial" w:cs="Arial"/>
          <w:b/>
          <w:bCs/>
          <w:sz w:val="36"/>
          <w:szCs w:val="36"/>
          <w:lang w:eastAsia="zh-CN"/>
        </w:rPr>
      </w:pPr>
    </w:p>
    <w:p w14:paraId="11504506" w14:textId="77777777" w:rsidR="00600887" w:rsidRDefault="00600887" w:rsidP="00653D91">
      <w:pPr>
        <w:spacing w:after="120"/>
        <w:jc w:val="center"/>
        <w:rPr>
          <w:rFonts w:ascii="Arial" w:hAnsi="Arial" w:cs="Arial"/>
          <w:b/>
          <w:bCs/>
          <w:sz w:val="36"/>
          <w:szCs w:val="36"/>
          <w:lang w:eastAsia="zh-CN"/>
        </w:rPr>
      </w:pPr>
    </w:p>
    <w:p w14:paraId="4F74C002" w14:textId="77777777" w:rsidR="00600887" w:rsidRDefault="00600887" w:rsidP="00653D91">
      <w:pPr>
        <w:spacing w:after="120"/>
        <w:jc w:val="center"/>
        <w:rPr>
          <w:rFonts w:ascii="Arial" w:hAnsi="Arial" w:cs="Arial"/>
          <w:b/>
          <w:bCs/>
          <w:sz w:val="36"/>
          <w:szCs w:val="36"/>
          <w:lang w:eastAsia="zh-CN"/>
        </w:rPr>
      </w:pPr>
    </w:p>
    <w:p w14:paraId="4CF6FBD8" w14:textId="77777777" w:rsidR="00600887" w:rsidRDefault="00600887" w:rsidP="00653D91">
      <w:pPr>
        <w:spacing w:after="120"/>
        <w:jc w:val="center"/>
        <w:rPr>
          <w:rFonts w:ascii="Arial" w:hAnsi="Arial" w:cs="Arial"/>
          <w:b/>
          <w:bCs/>
          <w:sz w:val="36"/>
          <w:szCs w:val="36"/>
          <w:lang w:eastAsia="zh-CN"/>
        </w:rPr>
      </w:pPr>
    </w:p>
    <w:p w14:paraId="3A28759F" w14:textId="77777777" w:rsidR="00600887" w:rsidRDefault="00600887" w:rsidP="00653D91">
      <w:pPr>
        <w:spacing w:after="120"/>
        <w:jc w:val="center"/>
        <w:rPr>
          <w:rFonts w:ascii="Arial" w:hAnsi="Arial" w:cs="Arial"/>
          <w:b/>
          <w:bCs/>
          <w:sz w:val="36"/>
          <w:szCs w:val="36"/>
          <w:lang w:eastAsia="zh-CN"/>
        </w:rPr>
      </w:pPr>
    </w:p>
    <w:p w14:paraId="3D351AAC" w14:textId="77777777" w:rsidR="00600887" w:rsidRDefault="00600887" w:rsidP="00653D91">
      <w:pPr>
        <w:spacing w:after="120"/>
        <w:jc w:val="center"/>
        <w:rPr>
          <w:rFonts w:ascii="Arial" w:hAnsi="Arial" w:cs="Arial"/>
          <w:b/>
          <w:bCs/>
          <w:sz w:val="36"/>
          <w:szCs w:val="36"/>
          <w:lang w:eastAsia="zh-CN"/>
        </w:rPr>
      </w:pPr>
    </w:p>
    <w:p w14:paraId="394CFE05" w14:textId="77777777" w:rsidR="00600887" w:rsidRPr="00600887" w:rsidRDefault="00600887" w:rsidP="00653D91">
      <w:pPr>
        <w:spacing w:after="120"/>
        <w:jc w:val="center"/>
        <w:rPr>
          <w:rFonts w:ascii="Arial" w:hAnsi="Arial" w:cs="Arial"/>
          <w:bCs/>
          <w:sz w:val="28"/>
          <w:szCs w:val="28"/>
          <w:lang w:eastAsia="zh-CN"/>
        </w:rPr>
      </w:pPr>
    </w:p>
    <w:p w14:paraId="59B9CEDF" w14:textId="77777777" w:rsidR="00600887" w:rsidRDefault="00600887" w:rsidP="00653D91">
      <w:pPr>
        <w:spacing w:after="120"/>
        <w:jc w:val="center"/>
        <w:rPr>
          <w:rFonts w:ascii="Arial" w:hAnsi="Arial" w:cs="Arial"/>
          <w:bCs/>
          <w:sz w:val="28"/>
          <w:szCs w:val="28"/>
          <w:lang w:eastAsia="zh-CN"/>
        </w:rPr>
      </w:pPr>
      <w:r w:rsidRPr="00600887">
        <w:rPr>
          <w:rFonts w:ascii="Arial" w:hAnsi="Arial" w:cs="Arial"/>
          <w:bCs/>
          <w:sz w:val="28"/>
          <w:szCs w:val="28"/>
          <w:lang w:eastAsia="zh-CN"/>
        </w:rPr>
        <w:t>Warszawa, kwiecień 2022</w:t>
      </w:r>
    </w:p>
    <w:p w14:paraId="48421EAC" w14:textId="77777777" w:rsidR="00600887" w:rsidRDefault="00600887" w:rsidP="00653D91">
      <w:pPr>
        <w:pStyle w:val="Nagwekspisutreci"/>
        <w:jc w:val="center"/>
        <w:rPr>
          <w:rFonts w:ascii="Arial" w:hAnsi="Arial" w:cs="Arial"/>
          <w:bCs/>
          <w:sz w:val="28"/>
          <w:szCs w:val="28"/>
          <w:lang w:eastAsia="zh-CN"/>
        </w:rPr>
      </w:pPr>
      <w:r>
        <w:rPr>
          <w:rFonts w:ascii="Arial" w:hAnsi="Arial" w:cs="Arial"/>
          <w:bCs/>
          <w:sz w:val="28"/>
          <w:szCs w:val="28"/>
          <w:lang w:eastAsia="zh-CN"/>
        </w:rPr>
        <w:br w:type="column"/>
      </w:r>
    </w:p>
    <w:sdt>
      <w:sdtPr>
        <w:rPr>
          <w:rFonts w:ascii="Calibri" w:eastAsia="SimSun" w:hAnsi="Calibri" w:cs="font499"/>
          <w:color w:val="auto"/>
          <w:sz w:val="22"/>
          <w:szCs w:val="22"/>
          <w:lang w:eastAsia="ar-SA"/>
        </w:rPr>
        <w:id w:val="-1079436610"/>
        <w:docPartObj>
          <w:docPartGallery w:val="Table of Contents"/>
          <w:docPartUnique/>
        </w:docPartObj>
      </w:sdtPr>
      <w:sdtEndPr>
        <w:rPr>
          <w:b/>
          <w:bCs/>
        </w:rPr>
      </w:sdtEndPr>
      <w:sdtContent>
        <w:p w14:paraId="2B9F8846" w14:textId="77777777" w:rsidR="00600887" w:rsidRDefault="00600887" w:rsidP="00653D91">
          <w:pPr>
            <w:pStyle w:val="Nagwekspisutreci"/>
            <w:jc w:val="both"/>
            <w:rPr>
              <w:rFonts w:ascii="Calibri" w:eastAsia="SimSun" w:hAnsi="Calibri" w:cs="font499"/>
              <w:color w:val="auto"/>
              <w:sz w:val="22"/>
              <w:szCs w:val="22"/>
              <w:lang w:eastAsia="ar-SA"/>
            </w:rPr>
          </w:pPr>
        </w:p>
        <w:p w14:paraId="223BAC77" w14:textId="77777777" w:rsidR="00600887" w:rsidRDefault="00600887" w:rsidP="00653D91">
          <w:pPr>
            <w:pStyle w:val="Nagwekspisutreci"/>
            <w:jc w:val="both"/>
            <w:rPr>
              <w:rFonts w:ascii="Calibri" w:eastAsia="SimSun" w:hAnsi="Calibri" w:cs="font499"/>
              <w:color w:val="auto"/>
              <w:sz w:val="22"/>
              <w:szCs w:val="22"/>
              <w:lang w:eastAsia="ar-SA"/>
            </w:rPr>
          </w:pPr>
        </w:p>
        <w:p w14:paraId="66540C32" w14:textId="77777777" w:rsidR="00600887" w:rsidRPr="0025408C" w:rsidRDefault="00600887" w:rsidP="00653D91">
          <w:pPr>
            <w:pStyle w:val="Nagwekspisutreci"/>
            <w:jc w:val="both"/>
            <w:rPr>
              <w:b/>
            </w:rPr>
          </w:pPr>
          <w:r w:rsidRPr="0025408C">
            <w:rPr>
              <w:b/>
              <w:color w:val="000000" w:themeColor="text1"/>
            </w:rPr>
            <w:t>Spis</w:t>
          </w:r>
          <w:r w:rsidRPr="0025408C">
            <w:rPr>
              <w:b/>
            </w:rPr>
            <w:t xml:space="preserve"> </w:t>
          </w:r>
          <w:r w:rsidRPr="0025408C">
            <w:rPr>
              <w:b/>
              <w:color w:val="000000" w:themeColor="text1"/>
            </w:rPr>
            <w:t>treści</w:t>
          </w:r>
        </w:p>
        <w:p w14:paraId="4164D87E" w14:textId="77777777" w:rsidR="00600887" w:rsidRPr="00CB44E4" w:rsidRDefault="00600887" w:rsidP="00653D91">
          <w:pPr>
            <w:jc w:val="both"/>
            <w:rPr>
              <w:sz w:val="20"/>
              <w:szCs w:val="20"/>
              <w:lang w:eastAsia="pl-PL"/>
            </w:rPr>
          </w:pPr>
        </w:p>
        <w:p w14:paraId="476A6D9A" w14:textId="77777777" w:rsidR="00FE14D0" w:rsidRDefault="00600887">
          <w:pPr>
            <w:pStyle w:val="Spistreci1"/>
            <w:rPr>
              <w:rFonts w:asciiTheme="minorHAnsi" w:eastAsiaTheme="minorEastAsia" w:hAnsiTheme="minorHAnsi" w:cstheme="minorBidi"/>
              <w:noProof/>
              <w:lang w:eastAsia="pl-PL"/>
            </w:rPr>
          </w:pPr>
          <w:r w:rsidRPr="00CB44E4">
            <w:rPr>
              <w:sz w:val="20"/>
              <w:szCs w:val="20"/>
            </w:rPr>
            <w:fldChar w:fldCharType="begin"/>
          </w:r>
          <w:r w:rsidRPr="00CB44E4">
            <w:rPr>
              <w:sz w:val="20"/>
              <w:szCs w:val="20"/>
            </w:rPr>
            <w:instrText xml:space="preserve"> TOC \o "1-3" \h \z \u </w:instrText>
          </w:r>
          <w:r w:rsidRPr="00CB44E4">
            <w:rPr>
              <w:sz w:val="20"/>
              <w:szCs w:val="20"/>
            </w:rPr>
            <w:fldChar w:fldCharType="separate"/>
          </w:r>
          <w:hyperlink w:anchor="_Toc100563971" w:history="1">
            <w:r w:rsidR="00FE14D0" w:rsidRPr="00B253A5">
              <w:rPr>
                <w:rStyle w:val="Hipercze"/>
                <w:rFonts w:ascii="Arial" w:hAnsi="Arial" w:cs="Arial"/>
                <w:noProof/>
                <w:lang w:eastAsia="zh-CN"/>
              </w:rPr>
              <w:t>1.</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zh-CN"/>
              </w:rPr>
              <w:t>Przebieg realizacji zadania</w:t>
            </w:r>
            <w:r w:rsidR="00FE14D0">
              <w:rPr>
                <w:noProof/>
                <w:webHidden/>
              </w:rPr>
              <w:tab/>
            </w:r>
            <w:r w:rsidR="00FE14D0">
              <w:rPr>
                <w:noProof/>
                <w:webHidden/>
              </w:rPr>
              <w:fldChar w:fldCharType="begin"/>
            </w:r>
            <w:r w:rsidR="00FE14D0">
              <w:rPr>
                <w:noProof/>
                <w:webHidden/>
              </w:rPr>
              <w:instrText xml:space="preserve"> PAGEREF _Toc100563971 \h </w:instrText>
            </w:r>
            <w:r w:rsidR="00FE14D0">
              <w:rPr>
                <w:noProof/>
                <w:webHidden/>
              </w:rPr>
            </w:r>
            <w:r w:rsidR="00FE14D0">
              <w:rPr>
                <w:noProof/>
                <w:webHidden/>
              </w:rPr>
              <w:fldChar w:fldCharType="separate"/>
            </w:r>
            <w:r w:rsidR="00FE14D0">
              <w:rPr>
                <w:noProof/>
                <w:webHidden/>
              </w:rPr>
              <w:t>3</w:t>
            </w:r>
            <w:r w:rsidR="00FE14D0">
              <w:rPr>
                <w:noProof/>
                <w:webHidden/>
              </w:rPr>
              <w:fldChar w:fldCharType="end"/>
            </w:r>
          </w:hyperlink>
        </w:p>
        <w:p w14:paraId="58FB7972"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72" w:history="1">
            <w:r w:rsidR="00FE14D0" w:rsidRPr="00B253A5">
              <w:rPr>
                <w:rStyle w:val="Hipercze"/>
                <w:rFonts w:ascii="Arial" w:hAnsi="Arial" w:cs="Arial"/>
                <w:noProof/>
                <w:lang w:eastAsia="en-US"/>
              </w:rPr>
              <w:t>1.1.</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en-US"/>
              </w:rPr>
              <w:t>Charakterystyka grup docelowych konsultacji społecznych</w:t>
            </w:r>
            <w:r w:rsidR="00FE14D0">
              <w:rPr>
                <w:noProof/>
                <w:webHidden/>
              </w:rPr>
              <w:tab/>
            </w:r>
            <w:r w:rsidR="00FE14D0">
              <w:rPr>
                <w:noProof/>
                <w:webHidden/>
              </w:rPr>
              <w:fldChar w:fldCharType="begin"/>
            </w:r>
            <w:r w:rsidR="00FE14D0">
              <w:rPr>
                <w:noProof/>
                <w:webHidden/>
              </w:rPr>
              <w:instrText xml:space="preserve"> PAGEREF _Toc100563972 \h </w:instrText>
            </w:r>
            <w:r w:rsidR="00FE14D0">
              <w:rPr>
                <w:noProof/>
                <w:webHidden/>
              </w:rPr>
            </w:r>
            <w:r w:rsidR="00FE14D0">
              <w:rPr>
                <w:noProof/>
                <w:webHidden/>
              </w:rPr>
              <w:fldChar w:fldCharType="separate"/>
            </w:r>
            <w:r w:rsidR="00FE14D0">
              <w:rPr>
                <w:noProof/>
                <w:webHidden/>
              </w:rPr>
              <w:t>4</w:t>
            </w:r>
            <w:r w:rsidR="00FE14D0">
              <w:rPr>
                <w:noProof/>
                <w:webHidden/>
              </w:rPr>
              <w:fldChar w:fldCharType="end"/>
            </w:r>
          </w:hyperlink>
        </w:p>
        <w:p w14:paraId="426EF5B6"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73" w:history="1">
            <w:r w:rsidR="00FE14D0" w:rsidRPr="00B253A5">
              <w:rPr>
                <w:rStyle w:val="Hipercze"/>
                <w:rFonts w:ascii="Arial" w:hAnsi="Arial" w:cs="Arial"/>
                <w:noProof/>
              </w:rPr>
              <w:t>1.2.</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rPr>
              <w:t>Lokalizacje i terminy konferencji ogólnopolskich</w:t>
            </w:r>
            <w:r w:rsidR="00FE14D0">
              <w:rPr>
                <w:noProof/>
                <w:webHidden/>
              </w:rPr>
              <w:tab/>
            </w:r>
            <w:r w:rsidR="00FE14D0">
              <w:rPr>
                <w:noProof/>
                <w:webHidden/>
              </w:rPr>
              <w:fldChar w:fldCharType="begin"/>
            </w:r>
            <w:r w:rsidR="00FE14D0">
              <w:rPr>
                <w:noProof/>
                <w:webHidden/>
              </w:rPr>
              <w:instrText xml:space="preserve"> PAGEREF _Toc100563973 \h </w:instrText>
            </w:r>
            <w:r w:rsidR="00FE14D0">
              <w:rPr>
                <w:noProof/>
                <w:webHidden/>
              </w:rPr>
            </w:r>
            <w:r w:rsidR="00FE14D0">
              <w:rPr>
                <w:noProof/>
                <w:webHidden/>
              </w:rPr>
              <w:fldChar w:fldCharType="separate"/>
            </w:r>
            <w:r w:rsidR="00FE14D0">
              <w:rPr>
                <w:noProof/>
                <w:webHidden/>
              </w:rPr>
              <w:t>4</w:t>
            </w:r>
            <w:r w:rsidR="00FE14D0">
              <w:rPr>
                <w:noProof/>
                <w:webHidden/>
              </w:rPr>
              <w:fldChar w:fldCharType="end"/>
            </w:r>
          </w:hyperlink>
        </w:p>
        <w:p w14:paraId="35D52527"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74" w:history="1">
            <w:r w:rsidR="00FE14D0" w:rsidRPr="00B253A5">
              <w:rPr>
                <w:rStyle w:val="Hipercze"/>
                <w:rFonts w:ascii="Arial" w:hAnsi="Arial" w:cs="Arial"/>
                <w:noProof/>
              </w:rPr>
              <w:t>1.3.</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rPr>
              <w:t>Lokalizacja i termin spotkania dla Urzędów Morskich</w:t>
            </w:r>
            <w:r w:rsidR="00FE14D0">
              <w:rPr>
                <w:noProof/>
                <w:webHidden/>
              </w:rPr>
              <w:tab/>
            </w:r>
            <w:r w:rsidR="00FE14D0">
              <w:rPr>
                <w:noProof/>
                <w:webHidden/>
              </w:rPr>
              <w:fldChar w:fldCharType="begin"/>
            </w:r>
            <w:r w:rsidR="00FE14D0">
              <w:rPr>
                <w:noProof/>
                <w:webHidden/>
              </w:rPr>
              <w:instrText xml:space="preserve"> PAGEREF _Toc100563974 \h </w:instrText>
            </w:r>
            <w:r w:rsidR="00FE14D0">
              <w:rPr>
                <w:noProof/>
                <w:webHidden/>
              </w:rPr>
            </w:r>
            <w:r w:rsidR="00FE14D0">
              <w:rPr>
                <w:noProof/>
                <w:webHidden/>
              </w:rPr>
              <w:fldChar w:fldCharType="separate"/>
            </w:r>
            <w:r w:rsidR="00FE14D0">
              <w:rPr>
                <w:noProof/>
                <w:webHidden/>
              </w:rPr>
              <w:t>6</w:t>
            </w:r>
            <w:r w:rsidR="00FE14D0">
              <w:rPr>
                <w:noProof/>
                <w:webHidden/>
              </w:rPr>
              <w:fldChar w:fldCharType="end"/>
            </w:r>
          </w:hyperlink>
        </w:p>
        <w:p w14:paraId="4CFF216F" w14:textId="77777777" w:rsidR="00FE14D0" w:rsidRDefault="00766ACC">
          <w:pPr>
            <w:pStyle w:val="Spistreci1"/>
            <w:rPr>
              <w:rFonts w:asciiTheme="minorHAnsi" w:eastAsiaTheme="minorEastAsia" w:hAnsiTheme="minorHAnsi" w:cstheme="minorBidi"/>
              <w:noProof/>
              <w:lang w:eastAsia="pl-PL"/>
            </w:rPr>
          </w:pPr>
          <w:hyperlink w:anchor="_Toc100563975" w:history="1">
            <w:r w:rsidR="00FE14D0" w:rsidRPr="00B253A5">
              <w:rPr>
                <w:rStyle w:val="Hipercze"/>
                <w:rFonts w:ascii="Arial" w:hAnsi="Arial" w:cs="Arial"/>
                <w:noProof/>
                <w:lang w:eastAsia="zh-CN"/>
              </w:rPr>
              <w:t>2.</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zh-CN"/>
              </w:rPr>
              <w:t>Zgłaszanie uwag, wniosków i opinii do projektu aPOWM</w:t>
            </w:r>
            <w:r w:rsidR="00FE14D0">
              <w:rPr>
                <w:noProof/>
                <w:webHidden/>
              </w:rPr>
              <w:tab/>
            </w:r>
            <w:r w:rsidR="00FE14D0">
              <w:rPr>
                <w:noProof/>
                <w:webHidden/>
              </w:rPr>
              <w:fldChar w:fldCharType="begin"/>
            </w:r>
            <w:r w:rsidR="00FE14D0">
              <w:rPr>
                <w:noProof/>
                <w:webHidden/>
              </w:rPr>
              <w:instrText xml:space="preserve"> PAGEREF _Toc100563975 \h </w:instrText>
            </w:r>
            <w:r w:rsidR="00FE14D0">
              <w:rPr>
                <w:noProof/>
                <w:webHidden/>
              </w:rPr>
            </w:r>
            <w:r w:rsidR="00FE14D0">
              <w:rPr>
                <w:noProof/>
                <w:webHidden/>
              </w:rPr>
              <w:fldChar w:fldCharType="separate"/>
            </w:r>
            <w:r w:rsidR="00FE14D0">
              <w:rPr>
                <w:noProof/>
                <w:webHidden/>
              </w:rPr>
              <w:t>6</w:t>
            </w:r>
            <w:r w:rsidR="00FE14D0">
              <w:rPr>
                <w:noProof/>
                <w:webHidden/>
              </w:rPr>
              <w:fldChar w:fldCharType="end"/>
            </w:r>
          </w:hyperlink>
        </w:p>
        <w:p w14:paraId="72B2781D" w14:textId="77777777" w:rsidR="00FE14D0" w:rsidRDefault="00766ACC">
          <w:pPr>
            <w:pStyle w:val="Spistreci1"/>
            <w:rPr>
              <w:rFonts w:asciiTheme="minorHAnsi" w:eastAsiaTheme="minorEastAsia" w:hAnsiTheme="minorHAnsi" w:cstheme="minorBidi"/>
              <w:noProof/>
              <w:lang w:eastAsia="pl-PL"/>
            </w:rPr>
          </w:pPr>
          <w:hyperlink w:anchor="_Toc100563976" w:history="1">
            <w:r w:rsidR="00FE14D0" w:rsidRPr="00B253A5">
              <w:rPr>
                <w:rStyle w:val="Hipercze"/>
                <w:rFonts w:ascii="Arial" w:hAnsi="Arial" w:cs="Arial"/>
                <w:noProof/>
                <w:lang w:eastAsia="zh-CN"/>
              </w:rPr>
              <w:t>3.</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zh-CN"/>
              </w:rPr>
              <w:t>Wyniki analizy zgłoszonych uwag do projektu aPOWM</w:t>
            </w:r>
            <w:r w:rsidR="00FE14D0">
              <w:rPr>
                <w:noProof/>
                <w:webHidden/>
              </w:rPr>
              <w:tab/>
            </w:r>
            <w:r w:rsidR="00FE14D0">
              <w:rPr>
                <w:noProof/>
                <w:webHidden/>
              </w:rPr>
              <w:fldChar w:fldCharType="begin"/>
            </w:r>
            <w:r w:rsidR="00FE14D0">
              <w:rPr>
                <w:noProof/>
                <w:webHidden/>
              </w:rPr>
              <w:instrText xml:space="preserve"> PAGEREF _Toc100563976 \h </w:instrText>
            </w:r>
            <w:r w:rsidR="00FE14D0">
              <w:rPr>
                <w:noProof/>
                <w:webHidden/>
              </w:rPr>
            </w:r>
            <w:r w:rsidR="00FE14D0">
              <w:rPr>
                <w:noProof/>
                <w:webHidden/>
              </w:rPr>
              <w:fldChar w:fldCharType="separate"/>
            </w:r>
            <w:r w:rsidR="00FE14D0">
              <w:rPr>
                <w:noProof/>
                <w:webHidden/>
              </w:rPr>
              <w:t>6</w:t>
            </w:r>
            <w:r w:rsidR="00FE14D0">
              <w:rPr>
                <w:noProof/>
                <w:webHidden/>
              </w:rPr>
              <w:fldChar w:fldCharType="end"/>
            </w:r>
          </w:hyperlink>
        </w:p>
        <w:p w14:paraId="43B6D3BE" w14:textId="77777777" w:rsidR="00FE14D0" w:rsidRDefault="00766ACC">
          <w:pPr>
            <w:pStyle w:val="Spistreci2"/>
            <w:tabs>
              <w:tab w:val="right" w:leader="dot" w:pos="9062"/>
            </w:tabs>
            <w:rPr>
              <w:rFonts w:asciiTheme="minorHAnsi" w:eastAsiaTheme="minorEastAsia" w:hAnsiTheme="minorHAnsi" w:cstheme="minorBidi"/>
              <w:noProof/>
              <w:lang w:eastAsia="pl-PL"/>
            </w:rPr>
          </w:pPr>
          <w:hyperlink w:anchor="_Toc100563977" w:history="1">
            <w:r w:rsidR="00FE14D0" w:rsidRPr="00B253A5">
              <w:rPr>
                <w:rStyle w:val="Hipercze"/>
                <w:rFonts w:ascii="Arial" w:hAnsi="Arial" w:cs="Arial"/>
                <w:noProof/>
                <w:lang w:eastAsia="fr-FR"/>
              </w:rPr>
              <w:t>3.1. Charakterystyka uwag według sposobu rozpatrzenia</w:t>
            </w:r>
            <w:r w:rsidR="00FE14D0">
              <w:rPr>
                <w:noProof/>
                <w:webHidden/>
              </w:rPr>
              <w:tab/>
            </w:r>
            <w:r w:rsidR="00FE14D0">
              <w:rPr>
                <w:noProof/>
                <w:webHidden/>
              </w:rPr>
              <w:fldChar w:fldCharType="begin"/>
            </w:r>
            <w:r w:rsidR="00FE14D0">
              <w:rPr>
                <w:noProof/>
                <w:webHidden/>
              </w:rPr>
              <w:instrText xml:space="preserve"> PAGEREF _Toc100563977 \h </w:instrText>
            </w:r>
            <w:r w:rsidR="00FE14D0">
              <w:rPr>
                <w:noProof/>
                <w:webHidden/>
              </w:rPr>
            </w:r>
            <w:r w:rsidR="00FE14D0">
              <w:rPr>
                <w:noProof/>
                <w:webHidden/>
              </w:rPr>
              <w:fldChar w:fldCharType="separate"/>
            </w:r>
            <w:r w:rsidR="00FE14D0">
              <w:rPr>
                <w:noProof/>
                <w:webHidden/>
              </w:rPr>
              <w:t>6</w:t>
            </w:r>
            <w:r w:rsidR="00FE14D0">
              <w:rPr>
                <w:noProof/>
                <w:webHidden/>
              </w:rPr>
              <w:fldChar w:fldCharType="end"/>
            </w:r>
          </w:hyperlink>
        </w:p>
        <w:p w14:paraId="57E5E661"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78" w:history="1">
            <w:r w:rsidR="00FE14D0" w:rsidRPr="00B253A5">
              <w:rPr>
                <w:rStyle w:val="Hipercze"/>
                <w:rFonts w:ascii="Arial" w:hAnsi="Arial" w:cs="Arial"/>
                <w:noProof/>
                <w:lang w:eastAsia="fr-FR"/>
              </w:rPr>
              <w:t>3.2.</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fr-FR"/>
              </w:rPr>
              <w:t>Uwagi według formy otrzymania</w:t>
            </w:r>
            <w:r w:rsidR="00FE14D0">
              <w:rPr>
                <w:noProof/>
                <w:webHidden/>
              </w:rPr>
              <w:tab/>
            </w:r>
            <w:r w:rsidR="00FE14D0">
              <w:rPr>
                <w:noProof/>
                <w:webHidden/>
              </w:rPr>
              <w:fldChar w:fldCharType="begin"/>
            </w:r>
            <w:r w:rsidR="00FE14D0">
              <w:rPr>
                <w:noProof/>
                <w:webHidden/>
              </w:rPr>
              <w:instrText xml:space="preserve"> PAGEREF _Toc100563978 \h </w:instrText>
            </w:r>
            <w:r w:rsidR="00FE14D0">
              <w:rPr>
                <w:noProof/>
                <w:webHidden/>
              </w:rPr>
            </w:r>
            <w:r w:rsidR="00FE14D0">
              <w:rPr>
                <w:noProof/>
                <w:webHidden/>
              </w:rPr>
              <w:fldChar w:fldCharType="separate"/>
            </w:r>
            <w:r w:rsidR="00FE14D0">
              <w:rPr>
                <w:noProof/>
                <w:webHidden/>
              </w:rPr>
              <w:t>7</w:t>
            </w:r>
            <w:r w:rsidR="00FE14D0">
              <w:rPr>
                <w:noProof/>
                <w:webHidden/>
              </w:rPr>
              <w:fldChar w:fldCharType="end"/>
            </w:r>
          </w:hyperlink>
        </w:p>
        <w:p w14:paraId="29C40695"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79" w:history="1">
            <w:r w:rsidR="00FE14D0" w:rsidRPr="00B253A5">
              <w:rPr>
                <w:rStyle w:val="Hipercze"/>
                <w:rFonts w:ascii="Arial" w:hAnsi="Arial" w:cs="Arial"/>
                <w:noProof/>
                <w:lang w:eastAsia="fr-FR"/>
              </w:rPr>
              <w:t>3.3.</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fr-FR"/>
              </w:rPr>
              <w:t>Analiza podmiotów zgłaszających uwagi</w:t>
            </w:r>
            <w:r w:rsidR="00FE14D0">
              <w:rPr>
                <w:noProof/>
                <w:webHidden/>
              </w:rPr>
              <w:tab/>
            </w:r>
            <w:r w:rsidR="00FE14D0">
              <w:rPr>
                <w:noProof/>
                <w:webHidden/>
              </w:rPr>
              <w:fldChar w:fldCharType="begin"/>
            </w:r>
            <w:r w:rsidR="00FE14D0">
              <w:rPr>
                <w:noProof/>
                <w:webHidden/>
              </w:rPr>
              <w:instrText xml:space="preserve"> PAGEREF _Toc100563979 \h </w:instrText>
            </w:r>
            <w:r w:rsidR="00FE14D0">
              <w:rPr>
                <w:noProof/>
                <w:webHidden/>
              </w:rPr>
            </w:r>
            <w:r w:rsidR="00FE14D0">
              <w:rPr>
                <w:noProof/>
                <w:webHidden/>
              </w:rPr>
              <w:fldChar w:fldCharType="separate"/>
            </w:r>
            <w:r w:rsidR="00FE14D0">
              <w:rPr>
                <w:noProof/>
                <w:webHidden/>
              </w:rPr>
              <w:t>8</w:t>
            </w:r>
            <w:r w:rsidR="00FE14D0">
              <w:rPr>
                <w:noProof/>
                <w:webHidden/>
              </w:rPr>
              <w:fldChar w:fldCharType="end"/>
            </w:r>
          </w:hyperlink>
        </w:p>
        <w:p w14:paraId="603D58D2" w14:textId="77777777" w:rsidR="00FE14D0" w:rsidRDefault="00766ACC">
          <w:pPr>
            <w:pStyle w:val="Spistreci1"/>
            <w:rPr>
              <w:rFonts w:asciiTheme="minorHAnsi" w:eastAsiaTheme="minorEastAsia" w:hAnsiTheme="minorHAnsi" w:cstheme="minorBidi"/>
              <w:noProof/>
              <w:lang w:eastAsia="pl-PL"/>
            </w:rPr>
          </w:pPr>
          <w:hyperlink w:anchor="_Toc100563980" w:history="1">
            <w:r w:rsidR="00FE14D0" w:rsidRPr="00B253A5">
              <w:rPr>
                <w:rStyle w:val="Hipercze"/>
                <w:rFonts w:ascii="Arial" w:hAnsi="Arial" w:cs="Arial"/>
                <w:noProof/>
                <w:lang w:eastAsia="zh-CN"/>
              </w:rPr>
              <w:t>4.</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zh-CN"/>
              </w:rPr>
              <w:t>Kampania informacyjno-promocyjna</w:t>
            </w:r>
            <w:r w:rsidR="00FE14D0">
              <w:rPr>
                <w:noProof/>
                <w:webHidden/>
              </w:rPr>
              <w:tab/>
            </w:r>
            <w:r w:rsidR="00FE14D0">
              <w:rPr>
                <w:noProof/>
                <w:webHidden/>
              </w:rPr>
              <w:fldChar w:fldCharType="begin"/>
            </w:r>
            <w:r w:rsidR="00FE14D0">
              <w:rPr>
                <w:noProof/>
                <w:webHidden/>
              </w:rPr>
              <w:instrText xml:space="preserve"> PAGEREF _Toc100563980 \h </w:instrText>
            </w:r>
            <w:r w:rsidR="00FE14D0">
              <w:rPr>
                <w:noProof/>
                <w:webHidden/>
              </w:rPr>
            </w:r>
            <w:r w:rsidR="00FE14D0">
              <w:rPr>
                <w:noProof/>
                <w:webHidden/>
              </w:rPr>
              <w:fldChar w:fldCharType="separate"/>
            </w:r>
            <w:r w:rsidR="00FE14D0">
              <w:rPr>
                <w:noProof/>
                <w:webHidden/>
              </w:rPr>
              <w:t>8</w:t>
            </w:r>
            <w:r w:rsidR="00FE14D0">
              <w:rPr>
                <w:noProof/>
                <w:webHidden/>
              </w:rPr>
              <w:fldChar w:fldCharType="end"/>
            </w:r>
          </w:hyperlink>
        </w:p>
        <w:p w14:paraId="2C855033" w14:textId="77777777" w:rsidR="00FE14D0" w:rsidRDefault="00766ACC">
          <w:pPr>
            <w:pStyle w:val="Spistreci2"/>
            <w:tabs>
              <w:tab w:val="right" w:leader="dot" w:pos="9062"/>
            </w:tabs>
            <w:rPr>
              <w:rFonts w:asciiTheme="minorHAnsi" w:eastAsiaTheme="minorEastAsia" w:hAnsiTheme="minorHAnsi" w:cstheme="minorBidi"/>
              <w:noProof/>
              <w:lang w:eastAsia="pl-PL"/>
            </w:rPr>
          </w:pPr>
          <w:hyperlink w:anchor="_Toc100563981" w:history="1">
            <w:r w:rsidR="00FE14D0" w:rsidRPr="00B253A5">
              <w:rPr>
                <w:rStyle w:val="Hipercze"/>
                <w:rFonts w:ascii="Arial" w:hAnsi="Arial" w:cs="Arial"/>
                <w:noProof/>
                <w:lang w:eastAsia="fr-FR"/>
              </w:rPr>
              <w:t>4.1. Harmonogram działań</w:t>
            </w:r>
            <w:r w:rsidR="00FE14D0">
              <w:rPr>
                <w:noProof/>
                <w:webHidden/>
              </w:rPr>
              <w:tab/>
            </w:r>
            <w:r w:rsidR="00FE14D0">
              <w:rPr>
                <w:noProof/>
                <w:webHidden/>
              </w:rPr>
              <w:fldChar w:fldCharType="begin"/>
            </w:r>
            <w:r w:rsidR="00FE14D0">
              <w:rPr>
                <w:noProof/>
                <w:webHidden/>
              </w:rPr>
              <w:instrText xml:space="preserve"> PAGEREF _Toc100563981 \h </w:instrText>
            </w:r>
            <w:r w:rsidR="00FE14D0">
              <w:rPr>
                <w:noProof/>
                <w:webHidden/>
              </w:rPr>
            </w:r>
            <w:r w:rsidR="00FE14D0">
              <w:rPr>
                <w:noProof/>
                <w:webHidden/>
              </w:rPr>
              <w:fldChar w:fldCharType="separate"/>
            </w:r>
            <w:r w:rsidR="00FE14D0">
              <w:rPr>
                <w:noProof/>
                <w:webHidden/>
              </w:rPr>
              <w:t>8</w:t>
            </w:r>
            <w:r w:rsidR="00FE14D0">
              <w:rPr>
                <w:noProof/>
                <w:webHidden/>
              </w:rPr>
              <w:fldChar w:fldCharType="end"/>
            </w:r>
          </w:hyperlink>
        </w:p>
        <w:p w14:paraId="11627B30"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82" w:history="1">
            <w:r w:rsidR="00FE14D0" w:rsidRPr="00B253A5">
              <w:rPr>
                <w:rStyle w:val="Hipercze"/>
                <w:rFonts w:ascii="Arial" w:hAnsi="Arial" w:cs="Arial"/>
                <w:noProof/>
                <w:lang w:eastAsia="fr-FR"/>
              </w:rPr>
              <w:t>4.2.</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fr-FR"/>
              </w:rPr>
              <w:t>Przygotowanie wersji niespecjalistycznej programu</w:t>
            </w:r>
            <w:r w:rsidR="00FE14D0">
              <w:rPr>
                <w:noProof/>
                <w:webHidden/>
              </w:rPr>
              <w:tab/>
            </w:r>
            <w:r w:rsidR="00FE14D0">
              <w:rPr>
                <w:noProof/>
                <w:webHidden/>
              </w:rPr>
              <w:fldChar w:fldCharType="begin"/>
            </w:r>
            <w:r w:rsidR="00FE14D0">
              <w:rPr>
                <w:noProof/>
                <w:webHidden/>
              </w:rPr>
              <w:instrText xml:space="preserve"> PAGEREF _Toc100563982 \h </w:instrText>
            </w:r>
            <w:r w:rsidR="00FE14D0">
              <w:rPr>
                <w:noProof/>
                <w:webHidden/>
              </w:rPr>
            </w:r>
            <w:r w:rsidR="00FE14D0">
              <w:rPr>
                <w:noProof/>
                <w:webHidden/>
              </w:rPr>
              <w:fldChar w:fldCharType="separate"/>
            </w:r>
            <w:r w:rsidR="00FE14D0">
              <w:rPr>
                <w:noProof/>
                <w:webHidden/>
              </w:rPr>
              <w:t>8</w:t>
            </w:r>
            <w:r w:rsidR="00FE14D0">
              <w:rPr>
                <w:noProof/>
                <w:webHidden/>
              </w:rPr>
              <w:fldChar w:fldCharType="end"/>
            </w:r>
          </w:hyperlink>
        </w:p>
        <w:p w14:paraId="0A1C9EEE"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83" w:history="1">
            <w:r w:rsidR="00FE14D0" w:rsidRPr="00B253A5">
              <w:rPr>
                <w:rStyle w:val="Hipercze"/>
                <w:rFonts w:ascii="Arial" w:hAnsi="Arial" w:cs="Arial"/>
                <w:noProof/>
                <w:lang w:eastAsia="fr-FR"/>
              </w:rPr>
              <w:t>4.3.</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lang w:eastAsia="fr-FR"/>
              </w:rPr>
              <w:t>Strona internetowa projektu</w:t>
            </w:r>
            <w:r w:rsidR="00FE14D0">
              <w:rPr>
                <w:noProof/>
                <w:webHidden/>
              </w:rPr>
              <w:tab/>
            </w:r>
            <w:r w:rsidR="00FE14D0">
              <w:rPr>
                <w:noProof/>
                <w:webHidden/>
              </w:rPr>
              <w:fldChar w:fldCharType="begin"/>
            </w:r>
            <w:r w:rsidR="00FE14D0">
              <w:rPr>
                <w:noProof/>
                <w:webHidden/>
              </w:rPr>
              <w:instrText xml:space="preserve"> PAGEREF _Toc100563983 \h </w:instrText>
            </w:r>
            <w:r w:rsidR="00FE14D0">
              <w:rPr>
                <w:noProof/>
                <w:webHidden/>
              </w:rPr>
            </w:r>
            <w:r w:rsidR="00FE14D0">
              <w:rPr>
                <w:noProof/>
                <w:webHidden/>
              </w:rPr>
              <w:fldChar w:fldCharType="separate"/>
            </w:r>
            <w:r w:rsidR="00FE14D0">
              <w:rPr>
                <w:noProof/>
                <w:webHidden/>
              </w:rPr>
              <w:t>9</w:t>
            </w:r>
            <w:r w:rsidR="00FE14D0">
              <w:rPr>
                <w:noProof/>
                <w:webHidden/>
              </w:rPr>
              <w:fldChar w:fldCharType="end"/>
            </w:r>
          </w:hyperlink>
        </w:p>
        <w:p w14:paraId="0709D6AC"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84" w:history="1">
            <w:r w:rsidR="00FE14D0" w:rsidRPr="00B253A5">
              <w:rPr>
                <w:rStyle w:val="Hipercze"/>
                <w:rFonts w:ascii="Arial" w:hAnsi="Arial" w:cs="Arial"/>
                <w:noProof/>
              </w:rPr>
              <w:t>4.4.</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rPr>
              <w:t>Przygotowanie i publikacja artykułów sponsorowanych</w:t>
            </w:r>
            <w:r w:rsidR="00FE14D0">
              <w:rPr>
                <w:noProof/>
                <w:webHidden/>
              </w:rPr>
              <w:tab/>
            </w:r>
            <w:r w:rsidR="00FE14D0">
              <w:rPr>
                <w:noProof/>
                <w:webHidden/>
              </w:rPr>
              <w:fldChar w:fldCharType="begin"/>
            </w:r>
            <w:r w:rsidR="00FE14D0">
              <w:rPr>
                <w:noProof/>
                <w:webHidden/>
              </w:rPr>
              <w:instrText xml:space="preserve"> PAGEREF _Toc100563984 \h </w:instrText>
            </w:r>
            <w:r w:rsidR="00FE14D0">
              <w:rPr>
                <w:noProof/>
                <w:webHidden/>
              </w:rPr>
            </w:r>
            <w:r w:rsidR="00FE14D0">
              <w:rPr>
                <w:noProof/>
                <w:webHidden/>
              </w:rPr>
              <w:fldChar w:fldCharType="separate"/>
            </w:r>
            <w:r w:rsidR="00FE14D0">
              <w:rPr>
                <w:noProof/>
                <w:webHidden/>
              </w:rPr>
              <w:t>9</w:t>
            </w:r>
            <w:r w:rsidR="00FE14D0">
              <w:rPr>
                <w:noProof/>
                <w:webHidden/>
              </w:rPr>
              <w:fldChar w:fldCharType="end"/>
            </w:r>
          </w:hyperlink>
        </w:p>
        <w:p w14:paraId="1F7D3F88"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85" w:history="1">
            <w:r w:rsidR="00FE14D0" w:rsidRPr="00B253A5">
              <w:rPr>
                <w:rStyle w:val="Hipercze"/>
                <w:rFonts w:ascii="Arial" w:hAnsi="Arial" w:cs="Arial"/>
                <w:noProof/>
              </w:rPr>
              <w:t>4.5.</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rPr>
              <w:t>Kampania edukacyjna</w:t>
            </w:r>
            <w:r w:rsidR="00FE14D0">
              <w:rPr>
                <w:noProof/>
                <w:webHidden/>
              </w:rPr>
              <w:tab/>
            </w:r>
            <w:r w:rsidR="00FE14D0">
              <w:rPr>
                <w:noProof/>
                <w:webHidden/>
              </w:rPr>
              <w:fldChar w:fldCharType="begin"/>
            </w:r>
            <w:r w:rsidR="00FE14D0">
              <w:rPr>
                <w:noProof/>
                <w:webHidden/>
              </w:rPr>
              <w:instrText xml:space="preserve"> PAGEREF _Toc100563985 \h </w:instrText>
            </w:r>
            <w:r w:rsidR="00FE14D0">
              <w:rPr>
                <w:noProof/>
                <w:webHidden/>
              </w:rPr>
            </w:r>
            <w:r w:rsidR="00FE14D0">
              <w:rPr>
                <w:noProof/>
                <w:webHidden/>
              </w:rPr>
              <w:fldChar w:fldCharType="separate"/>
            </w:r>
            <w:r w:rsidR="00FE14D0">
              <w:rPr>
                <w:noProof/>
                <w:webHidden/>
              </w:rPr>
              <w:t>9</w:t>
            </w:r>
            <w:r w:rsidR="00FE14D0">
              <w:rPr>
                <w:noProof/>
                <w:webHidden/>
              </w:rPr>
              <w:fldChar w:fldCharType="end"/>
            </w:r>
          </w:hyperlink>
        </w:p>
        <w:p w14:paraId="22FAFCFB" w14:textId="77777777" w:rsidR="00FE14D0" w:rsidRDefault="00766ACC">
          <w:pPr>
            <w:pStyle w:val="Spistreci2"/>
            <w:tabs>
              <w:tab w:val="left" w:pos="880"/>
              <w:tab w:val="right" w:leader="dot" w:pos="9062"/>
            </w:tabs>
            <w:rPr>
              <w:rFonts w:asciiTheme="minorHAnsi" w:eastAsiaTheme="minorEastAsia" w:hAnsiTheme="minorHAnsi" w:cstheme="minorBidi"/>
              <w:noProof/>
              <w:lang w:eastAsia="pl-PL"/>
            </w:rPr>
          </w:pPr>
          <w:hyperlink w:anchor="_Toc100563986" w:history="1">
            <w:r w:rsidR="00FE14D0" w:rsidRPr="00B253A5">
              <w:rPr>
                <w:rStyle w:val="Hipercze"/>
                <w:rFonts w:ascii="Arial" w:hAnsi="Arial" w:cs="Arial"/>
                <w:noProof/>
              </w:rPr>
              <w:t>4.6.</w:t>
            </w:r>
            <w:r w:rsidR="00FE14D0">
              <w:rPr>
                <w:rFonts w:asciiTheme="minorHAnsi" w:eastAsiaTheme="minorEastAsia" w:hAnsiTheme="minorHAnsi" w:cstheme="minorBidi"/>
                <w:noProof/>
                <w:lang w:eastAsia="pl-PL"/>
              </w:rPr>
              <w:tab/>
            </w:r>
            <w:r w:rsidR="00FE14D0" w:rsidRPr="00B253A5">
              <w:rPr>
                <w:rStyle w:val="Hipercze"/>
                <w:rFonts w:ascii="Arial" w:hAnsi="Arial" w:cs="Arial"/>
                <w:noProof/>
              </w:rPr>
              <w:t>Film</w:t>
            </w:r>
            <w:r w:rsidR="00FE14D0">
              <w:rPr>
                <w:noProof/>
                <w:webHidden/>
              </w:rPr>
              <w:tab/>
            </w:r>
            <w:r w:rsidR="00FE14D0">
              <w:rPr>
                <w:noProof/>
                <w:webHidden/>
              </w:rPr>
              <w:fldChar w:fldCharType="begin"/>
            </w:r>
            <w:r w:rsidR="00FE14D0">
              <w:rPr>
                <w:noProof/>
                <w:webHidden/>
              </w:rPr>
              <w:instrText xml:space="preserve"> PAGEREF _Toc100563986 \h </w:instrText>
            </w:r>
            <w:r w:rsidR="00FE14D0">
              <w:rPr>
                <w:noProof/>
                <w:webHidden/>
              </w:rPr>
            </w:r>
            <w:r w:rsidR="00FE14D0">
              <w:rPr>
                <w:noProof/>
                <w:webHidden/>
              </w:rPr>
              <w:fldChar w:fldCharType="separate"/>
            </w:r>
            <w:r w:rsidR="00FE14D0">
              <w:rPr>
                <w:noProof/>
                <w:webHidden/>
              </w:rPr>
              <w:t>9</w:t>
            </w:r>
            <w:r w:rsidR="00FE14D0">
              <w:rPr>
                <w:noProof/>
                <w:webHidden/>
              </w:rPr>
              <w:fldChar w:fldCharType="end"/>
            </w:r>
          </w:hyperlink>
        </w:p>
        <w:p w14:paraId="61A56721" w14:textId="77777777" w:rsidR="00600887" w:rsidRDefault="00600887" w:rsidP="00653D91">
          <w:pPr>
            <w:jc w:val="both"/>
          </w:pPr>
          <w:r w:rsidRPr="00CB44E4">
            <w:rPr>
              <w:b/>
              <w:bCs/>
              <w:sz w:val="20"/>
              <w:szCs w:val="20"/>
            </w:rPr>
            <w:fldChar w:fldCharType="end"/>
          </w:r>
        </w:p>
      </w:sdtContent>
    </w:sdt>
    <w:p w14:paraId="21724836" w14:textId="77777777" w:rsidR="00600887" w:rsidRPr="009972D4" w:rsidRDefault="00600887" w:rsidP="00653D91">
      <w:pPr>
        <w:keepNext/>
        <w:keepLines/>
        <w:suppressAutoHyphens w:val="0"/>
        <w:spacing w:before="240" w:after="0" w:line="259" w:lineRule="auto"/>
        <w:jc w:val="both"/>
        <w:outlineLvl w:val="0"/>
        <w:rPr>
          <w:rFonts w:ascii="Arial" w:eastAsia="Times New Roman" w:hAnsi="Arial" w:cs="Arial"/>
          <w:b/>
          <w:color w:val="2E74B5"/>
          <w:sz w:val="32"/>
          <w:szCs w:val="32"/>
          <w:lang w:eastAsia="en-US"/>
        </w:rPr>
      </w:pPr>
    </w:p>
    <w:p w14:paraId="384916AF" w14:textId="77777777" w:rsidR="00600887" w:rsidRPr="009972D4" w:rsidRDefault="00600887" w:rsidP="00653D91">
      <w:pPr>
        <w:suppressAutoHyphens w:val="0"/>
        <w:spacing w:after="160" w:line="259" w:lineRule="auto"/>
        <w:jc w:val="both"/>
        <w:rPr>
          <w:rFonts w:ascii="Arial" w:eastAsia="Calibri" w:hAnsi="Arial" w:cs="Arial"/>
          <w:lang w:eastAsia="en-US"/>
        </w:rPr>
      </w:pPr>
    </w:p>
    <w:p w14:paraId="66F813F5" w14:textId="77777777" w:rsidR="00600887" w:rsidRPr="009972D4" w:rsidRDefault="00600887" w:rsidP="00653D91">
      <w:pPr>
        <w:suppressAutoHyphens w:val="0"/>
        <w:spacing w:after="160" w:line="259" w:lineRule="auto"/>
        <w:jc w:val="both"/>
        <w:rPr>
          <w:rFonts w:ascii="Arial" w:eastAsia="Times New Roman" w:hAnsi="Arial" w:cs="Arial"/>
          <w:b/>
          <w:color w:val="2E74B5"/>
          <w:sz w:val="32"/>
          <w:szCs w:val="32"/>
          <w:lang w:eastAsia="en-US"/>
        </w:rPr>
      </w:pPr>
      <w:r w:rsidRPr="009972D4">
        <w:rPr>
          <w:rFonts w:ascii="Arial" w:eastAsia="Calibri" w:hAnsi="Arial" w:cs="Arial"/>
          <w:lang w:eastAsia="en-US"/>
        </w:rPr>
        <w:br w:type="page"/>
      </w:r>
    </w:p>
    <w:p w14:paraId="56229CC8" w14:textId="77777777" w:rsidR="00600887" w:rsidRPr="006351B8" w:rsidRDefault="00600887" w:rsidP="00653D91">
      <w:pPr>
        <w:pStyle w:val="Nagwek1"/>
        <w:numPr>
          <w:ilvl w:val="0"/>
          <w:numId w:val="2"/>
        </w:numPr>
        <w:jc w:val="both"/>
        <w:rPr>
          <w:rFonts w:ascii="Arial" w:hAnsi="Arial" w:cs="Arial"/>
          <w:sz w:val="24"/>
          <w:szCs w:val="24"/>
          <w:lang w:eastAsia="zh-CN"/>
        </w:rPr>
      </w:pPr>
      <w:bookmarkStart w:id="1" w:name="_Toc100563971"/>
      <w:r w:rsidRPr="006351B8">
        <w:rPr>
          <w:rFonts w:ascii="Arial" w:hAnsi="Arial" w:cs="Arial"/>
          <w:sz w:val="24"/>
          <w:szCs w:val="24"/>
          <w:lang w:eastAsia="zh-CN"/>
        </w:rPr>
        <w:lastRenderedPageBreak/>
        <w:t>Przebieg realizacji zadania</w:t>
      </w:r>
      <w:bookmarkEnd w:id="1"/>
    </w:p>
    <w:p w14:paraId="08E58B63" w14:textId="77777777" w:rsidR="00A214ED" w:rsidRDefault="00600887" w:rsidP="00653D91">
      <w:pPr>
        <w:spacing w:after="120"/>
        <w:jc w:val="both"/>
        <w:rPr>
          <w:rFonts w:ascii="Arial" w:hAnsi="Arial" w:cs="Arial"/>
          <w:sz w:val="20"/>
          <w:szCs w:val="20"/>
          <w:lang w:eastAsia="en-US"/>
        </w:rPr>
      </w:pPr>
      <w:r w:rsidRPr="00600887">
        <w:rPr>
          <w:rFonts w:ascii="Arial" w:hAnsi="Arial" w:cs="Arial"/>
          <w:sz w:val="20"/>
          <w:szCs w:val="20"/>
          <w:lang w:eastAsia="en-US"/>
        </w:rPr>
        <w:t xml:space="preserve">Państwowe Gospodarstwo Wodne Wody Polskie przygotowało projekt </w:t>
      </w:r>
      <w:r>
        <w:rPr>
          <w:rFonts w:ascii="Arial" w:hAnsi="Arial" w:cs="Arial"/>
          <w:sz w:val="20"/>
          <w:szCs w:val="20"/>
          <w:lang w:eastAsia="en-US"/>
        </w:rPr>
        <w:t xml:space="preserve">aktualizacji </w:t>
      </w:r>
      <w:r w:rsidRPr="00600887">
        <w:rPr>
          <w:rFonts w:ascii="Arial" w:hAnsi="Arial" w:cs="Arial"/>
          <w:sz w:val="20"/>
          <w:szCs w:val="20"/>
          <w:lang w:eastAsia="en-US"/>
        </w:rPr>
        <w:t xml:space="preserve">Programu Ochrony Wód Morskich (dalej </w:t>
      </w:r>
      <w:proofErr w:type="spellStart"/>
      <w:r w:rsidRPr="00600887">
        <w:rPr>
          <w:rFonts w:ascii="Arial" w:hAnsi="Arial" w:cs="Arial"/>
          <w:sz w:val="20"/>
          <w:szCs w:val="20"/>
          <w:lang w:eastAsia="en-US"/>
        </w:rPr>
        <w:t>aPOWM</w:t>
      </w:r>
      <w:proofErr w:type="spellEnd"/>
      <w:r w:rsidRPr="00600887">
        <w:rPr>
          <w:rFonts w:ascii="Arial" w:hAnsi="Arial" w:cs="Arial"/>
          <w:sz w:val="20"/>
          <w:szCs w:val="20"/>
          <w:lang w:eastAsia="en-US"/>
        </w:rPr>
        <w:t>)</w:t>
      </w:r>
      <w:r>
        <w:rPr>
          <w:rFonts w:ascii="Arial" w:hAnsi="Arial" w:cs="Arial"/>
          <w:sz w:val="20"/>
          <w:szCs w:val="20"/>
          <w:lang w:eastAsia="en-US"/>
        </w:rPr>
        <w:t xml:space="preserve">, </w:t>
      </w:r>
      <w:r w:rsidRPr="00600887">
        <w:rPr>
          <w:rFonts w:ascii="Arial" w:hAnsi="Arial" w:cs="Arial"/>
          <w:sz w:val="20"/>
          <w:szCs w:val="20"/>
          <w:lang w:eastAsia="en-US"/>
        </w:rPr>
        <w:t xml:space="preserve">który następnie minister właściwy do spraw gospodarki wodnej skierował do konsultacji społecznych, zgodnie z art. </w:t>
      </w:r>
      <w:r w:rsidR="00A214ED">
        <w:rPr>
          <w:rFonts w:ascii="Arial" w:hAnsi="Arial" w:cs="Arial"/>
          <w:sz w:val="20"/>
          <w:szCs w:val="20"/>
          <w:lang w:eastAsia="en-US"/>
        </w:rPr>
        <w:t xml:space="preserve">161 ust. 6 </w:t>
      </w:r>
      <w:r w:rsidR="00A214ED" w:rsidRPr="00600887">
        <w:rPr>
          <w:rFonts w:ascii="Arial" w:hAnsi="Arial" w:cs="Arial"/>
          <w:sz w:val="20"/>
          <w:szCs w:val="20"/>
          <w:lang w:eastAsia="en-US"/>
        </w:rPr>
        <w:t>ustawy z dnia 20 lipca 2017 r. - Prawo wodne</w:t>
      </w:r>
      <w:r w:rsidR="00A214ED">
        <w:rPr>
          <w:rFonts w:ascii="Arial" w:hAnsi="Arial" w:cs="Arial"/>
          <w:sz w:val="20"/>
          <w:szCs w:val="20"/>
          <w:lang w:eastAsia="en-US"/>
        </w:rPr>
        <w:t xml:space="preserve"> </w:t>
      </w:r>
      <w:r w:rsidR="00A214ED" w:rsidRPr="00A214ED">
        <w:rPr>
          <w:rFonts w:ascii="Arial" w:hAnsi="Arial" w:cs="Arial"/>
          <w:sz w:val="20"/>
          <w:szCs w:val="20"/>
          <w:lang w:eastAsia="en-US"/>
        </w:rPr>
        <w:t xml:space="preserve">(Dz. U. z </w:t>
      </w:r>
      <w:r w:rsidR="00A214ED">
        <w:rPr>
          <w:rFonts w:ascii="Arial" w:hAnsi="Arial" w:cs="Arial"/>
          <w:sz w:val="20"/>
          <w:szCs w:val="20"/>
          <w:lang w:eastAsia="en-US"/>
        </w:rPr>
        <w:t xml:space="preserve">2021 r. poz. 2233, z </w:t>
      </w:r>
      <w:proofErr w:type="spellStart"/>
      <w:r w:rsidR="00A214ED">
        <w:rPr>
          <w:rFonts w:ascii="Arial" w:hAnsi="Arial" w:cs="Arial"/>
          <w:sz w:val="20"/>
          <w:szCs w:val="20"/>
          <w:lang w:eastAsia="en-US"/>
        </w:rPr>
        <w:t>późn</w:t>
      </w:r>
      <w:proofErr w:type="spellEnd"/>
      <w:r w:rsidR="00A214ED">
        <w:rPr>
          <w:rFonts w:ascii="Arial" w:hAnsi="Arial" w:cs="Arial"/>
          <w:sz w:val="20"/>
          <w:szCs w:val="20"/>
          <w:lang w:eastAsia="en-US"/>
        </w:rPr>
        <w:t>. zm.).</w:t>
      </w:r>
    </w:p>
    <w:p w14:paraId="3378C6C9" w14:textId="20E1364D" w:rsidR="00E06F56" w:rsidRDefault="00FA4A30" w:rsidP="00653D91">
      <w:pPr>
        <w:spacing w:after="120"/>
        <w:jc w:val="both"/>
        <w:rPr>
          <w:rFonts w:ascii="Arial" w:hAnsi="Arial" w:cs="Arial"/>
          <w:sz w:val="20"/>
          <w:szCs w:val="20"/>
          <w:lang w:eastAsia="en-US"/>
        </w:rPr>
      </w:pPr>
      <w:r>
        <w:rPr>
          <w:rFonts w:ascii="Arial" w:hAnsi="Arial" w:cs="Arial"/>
          <w:sz w:val="20"/>
          <w:szCs w:val="20"/>
          <w:lang w:eastAsia="en-US"/>
        </w:rPr>
        <w:t xml:space="preserve">Konsultacje społeczne projektu </w:t>
      </w:r>
      <w:proofErr w:type="spellStart"/>
      <w:r>
        <w:rPr>
          <w:rFonts w:ascii="Arial" w:hAnsi="Arial" w:cs="Arial"/>
          <w:sz w:val="20"/>
          <w:szCs w:val="20"/>
          <w:lang w:eastAsia="en-US"/>
        </w:rPr>
        <w:t>aPOWM</w:t>
      </w:r>
      <w:proofErr w:type="spellEnd"/>
      <w:r>
        <w:rPr>
          <w:rFonts w:ascii="Arial" w:hAnsi="Arial" w:cs="Arial"/>
          <w:sz w:val="20"/>
          <w:szCs w:val="20"/>
          <w:lang w:eastAsia="en-US"/>
        </w:rPr>
        <w:t xml:space="preserve"> miały charakter otwarty, co znaczyło, że każdy mógł wziąć w nich udział i zgłosić uwagi </w:t>
      </w:r>
      <w:r w:rsidR="00D24B23">
        <w:rPr>
          <w:rFonts w:ascii="Arial" w:hAnsi="Arial" w:cs="Arial"/>
          <w:sz w:val="20"/>
          <w:szCs w:val="20"/>
          <w:lang w:eastAsia="en-US"/>
        </w:rPr>
        <w:t xml:space="preserve">oraz </w:t>
      </w:r>
      <w:r>
        <w:rPr>
          <w:rFonts w:ascii="Arial" w:hAnsi="Arial" w:cs="Arial"/>
          <w:sz w:val="20"/>
          <w:szCs w:val="20"/>
          <w:lang w:eastAsia="en-US"/>
        </w:rPr>
        <w:t xml:space="preserve">wnioski. </w:t>
      </w:r>
      <w:r w:rsidRPr="008D4549">
        <w:rPr>
          <w:rFonts w:ascii="Arial" w:hAnsi="Arial" w:cs="Arial"/>
          <w:sz w:val="20"/>
          <w:szCs w:val="20"/>
          <w:lang w:eastAsia="en-US"/>
        </w:rPr>
        <w:t>Konsultacje prowadzone były</w:t>
      </w:r>
      <w:r>
        <w:rPr>
          <w:rFonts w:ascii="Arial" w:hAnsi="Arial" w:cs="Arial"/>
          <w:sz w:val="20"/>
          <w:szCs w:val="20"/>
          <w:lang w:eastAsia="en-US"/>
        </w:rPr>
        <w:t xml:space="preserve"> na zasadach </w:t>
      </w:r>
      <w:r w:rsidR="00D24B23">
        <w:rPr>
          <w:rFonts w:ascii="Arial" w:hAnsi="Arial" w:cs="Arial"/>
          <w:sz w:val="20"/>
          <w:szCs w:val="20"/>
          <w:lang w:eastAsia="en-US"/>
        </w:rPr>
        <w:t xml:space="preserve">oraz </w:t>
      </w:r>
      <w:r w:rsidRPr="008D4549">
        <w:rPr>
          <w:rFonts w:ascii="Arial" w:hAnsi="Arial" w:cs="Arial"/>
          <w:sz w:val="20"/>
          <w:szCs w:val="20"/>
          <w:lang w:eastAsia="en-US"/>
        </w:rPr>
        <w:t>w trybie określonym w przepisach ustawy z dnia</w:t>
      </w:r>
      <w:r w:rsidRPr="00FA4A30">
        <w:rPr>
          <w:rFonts w:ascii="Arial" w:hAnsi="Arial" w:cs="Arial"/>
          <w:sz w:val="20"/>
          <w:szCs w:val="20"/>
          <w:lang w:eastAsia="en-US"/>
        </w:rPr>
        <w:t xml:space="preserve"> 3 października 2008 r. o udostępnianiu informacji o środowisku i jego ochronie, udziale społeczeństwa w ochronie środowiska oraz o ocenach oddziaływania na środowisko (ustawa OOŚ</w:t>
      </w:r>
      <w:r>
        <w:rPr>
          <w:rFonts w:ascii="Arial" w:hAnsi="Arial" w:cs="Arial"/>
          <w:sz w:val="20"/>
          <w:szCs w:val="20"/>
          <w:lang w:eastAsia="en-US"/>
        </w:rPr>
        <w:t xml:space="preserve">, </w:t>
      </w:r>
      <w:r w:rsidR="00E06F56" w:rsidRPr="00E06F56">
        <w:rPr>
          <w:rFonts w:ascii="Arial" w:hAnsi="Arial" w:cs="Arial"/>
          <w:sz w:val="20"/>
          <w:szCs w:val="20"/>
          <w:lang w:eastAsia="en-US"/>
        </w:rPr>
        <w:t xml:space="preserve">Dz. U. z 2020 r. poz. 283, z </w:t>
      </w:r>
      <w:proofErr w:type="spellStart"/>
      <w:r w:rsidR="00E06F56" w:rsidRPr="00E06F56">
        <w:rPr>
          <w:rFonts w:ascii="Arial" w:hAnsi="Arial" w:cs="Arial"/>
          <w:sz w:val="20"/>
          <w:szCs w:val="20"/>
          <w:lang w:eastAsia="en-US"/>
        </w:rPr>
        <w:t>późn</w:t>
      </w:r>
      <w:proofErr w:type="spellEnd"/>
      <w:r w:rsidR="00E06F56" w:rsidRPr="00E06F56">
        <w:rPr>
          <w:rFonts w:ascii="Arial" w:hAnsi="Arial" w:cs="Arial"/>
          <w:sz w:val="20"/>
          <w:szCs w:val="20"/>
          <w:lang w:eastAsia="en-US"/>
        </w:rPr>
        <w:t>. zm.</w:t>
      </w:r>
      <w:r w:rsidRPr="00FA4A30">
        <w:rPr>
          <w:rFonts w:ascii="Arial" w:hAnsi="Arial" w:cs="Arial"/>
          <w:sz w:val="20"/>
          <w:szCs w:val="20"/>
          <w:lang w:eastAsia="en-US"/>
        </w:rPr>
        <w:t xml:space="preserve">). Zgodnie z zapisami ustawy OOŚ uwagi </w:t>
      </w:r>
      <w:r w:rsidR="00D24B23">
        <w:rPr>
          <w:rFonts w:ascii="Arial" w:hAnsi="Arial" w:cs="Arial"/>
          <w:sz w:val="20"/>
          <w:szCs w:val="20"/>
          <w:lang w:eastAsia="en-US"/>
        </w:rPr>
        <w:t>mogły</w:t>
      </w:r>
      <w:r w:rsidR="00D24B23" w:rsidRPr="00FA4A30">
        <w:rPr>
          <w:rFonts w:ascii="Arial" w:hAnsi="Arial" w:cs="Arial"/>
          <w:sz w:val="20"/>
          <w:szCs w:val="20"/>
          <w:lang w:eastAsia="en-US"/>
        </w:rPr>
        <w:t xml:space="preserve"> </w:t>
      </w:r>
      <w:r w:rsidRPr="00FA4A30">
        <w:rPr>
          <w:rFonts w:ascii="Arial" w:hAnsi="Arial" w:cs="Arial"/>
          <w:sz w:val="20"/>
          <w:szCs w:val="20"/>
          <w:lang w:eastAsia="en-US"/>
        </w:rPr>
        <w:t>być składane w różnych formach</w:t>
      </w:r>
      <w:r w:rsidR="00E06F56" w:rsidRPr="00E06F56">
        <w:rPr>
          <w:rFonts w:ascii="Arial" w:hAnsi="Arial" w:cs="Arial"/>
          <w:sz w:val="20"/>
          <w:szCs w:val="20"/>
          <w:lang w:eastAsia="en-US"/>
        </w:rPr>
        <w:t>: drogą elektroniczną, pocztą tradycyjną, poprzez dedykowany formularz on-line, a także ustnie do protokołu</w:t>
      </w:r>
      <w:r w:rsidR="00E06F56">
        <w:rPr>
          <w:rFonts w:ascii="Arial" w:hAnsi="Arial" w:cs="Arial"/>
          <w:sz w:val="20"/>
          <w:szCs w:val="20"/>
          <w:lang w:eastAsia="en-US"/>
        </w:rPr>
        <w:t xml:space="preserve"> w Ministerstwie Infrastruktury</w:t>
      </w:r>
      <w:r w:rsidRPr="00FA4A30">
        <w:rPr>
          <w:rFonts w:ascii="Arial" w:hAnsi="Arial" w:cs="Arial"/>
          <w:sz w:val="20"/>
          <w:szCs w:val="20"/>
          <w:lang w:eastAsia="en-US"/>
        </w:rPr>
        <w:t xml:space="preserve">. </w:t>
      </w:r>
      <w:r>
        <w:rPr>
          <w:rFonts w:ascii="Arial" w:hAnsi="Arial" w:cs="Arial"/>
          <w:sz w:val="20"/>
          <w:szCs w:val="20"/>
          <w:lang w:eastAsia="en-US"/>
        </w:rPr>
        <w:t>Zgodnie z art. 2</w:t>
      </w:r>
      <w:r w:rsidRPr="009C5D6F">
        <w:rPr>
          <w:rFonts w:ascii="Arial" w:hAnsi="Arial" w:cs="Arial"/>
          <w:sz w:val="20"/>
          <w:szCs w:val="20"/>
          <w:lang w:eastAsia="en-US"/>
        </w:rPr>
        <w:t xml:space="preserve">9 </w:t>
      </w:r>
      <w:r>
        <w:rPr>
          <w:rFonts w:ascii="Arial" w:hAnsi="Arial" w:cs="Arial"/>
          <w:sz w:val="20"/>
          <w:szCs w:val="20"/>
          <w:lang w:eastAsia="en-US"/>
        </w:rPr>
        <w:t>przytoczonej ustawy, k</w:t>
      </w:r>
      <w:r w:rsidRPr="001452AF">
        <w:rPr>
          <w:rFonts w:ascii="Arial" w:hAnsi="Arial" w:cs="Arial"/>
          <w:sz w:val="20"/>
          <w:szCs w:val="20"/>
          <w:lang w:eastAsia="en-US"/>
        </w:rPr>
        <w:t>ażdy ma prawo składania</w:t>
      </w:r>
      <w:r>
        <w:rPr>
          <w:rFonts w:ascii="Arial" w:hAnsi="Arial" w:cs="Arial"/>
          <w:sz w:val="20"/>
          <w:szCs w:val="20"/>
          <w:lang w:eastAsia="en-US"/>
        </w:rPr>
        <w:t xml:space="preserve"> uwag i wniosków w postępowaniu </w:t>
      </w:r>
      <w:r w:rsidRPr="001452AF">
        <w:rPr>
          <w:rFonts w:ascii="Arial" w:hAnsi="Arial" w:cs="Arial"/>
          <w:sz w:val="20"/>
          <w:szCs w:val="20"/>
          <w:lang w:eastAsia="en-US"/>
        </w:rPr>
        <w:t>wymagającym udziału społeczeństwa</w:t>
      </w:r>
      <w:r>
        <w:rPr>
          <w:rFonts w:ascii="Arial" w:hAnsi="Arial" w:cs="Arial"/>
          <w:sz w:val="20"/>
          <w:szCs w:val="20"/>
          <w:lang w:eastAsia="en-US"/>
        </w:rPr>
        <w:t>. Ponadto art. 30 przedmiotowej ustawy wskazuje, iż o</w:t>
      </w:r>
      <w:r w:rsidRPr="001452AF">
        <w:rPr>
          <w:rFonts w:ascii="Arial" w:hAnsi="Arial" w:cs="Arial"/>
          <w:sz w:val="20"/>
          <w:szCs w:val="20"/>
          <w:lang w:eastAsia="en-US"/>
        </w:rPr>
        <w:t xml:space="preserve">rgany administracji właściwe do </w:t>
      </w:r>
      <w:r>
        <w:rPr>
          <w:rFonts w:ascii="Arial" w:hAnsi="Arial" w:cs="Arial"/>
          <w:sz w:val="20"/>
          <w:szCs w:val="20"/>
          <w:lang w:eastAsia="en-US"/>
        </w:rPr>
        <w:t xml:space="preserve">wydania decyzji lub opracowania projektów dokumentów, zapewniają </w:t>
      </w:r>
      <w:r w:rsidRPr="001452AF">
        <w:rPr>
          <w:rFonts w:ascii="Arial" w:hAnsi="Arial" w:cs="Arial"/>
          <w:sz w:val="20"/>
          <w:szCs w:val="20"/>
          <w:lang w:eastAsia="en-US"/>
        </w:rPr>
        <w:t>możliwość udziału społeczeństwa odpowiednio prze</w:t>
      </w:r>
      <w:r>
        <w:rPr>
          <w:rFonts w:ascii="Arial" w:hAnsi="Arial" w:cs="Arial"/>
          <w:sz w:val="20"/>
          <w:szCs w:val="20"/>
          <w:lang w:eastAsia="en-US"/>
        </w:rPr>
        <w:t xml:space="preserve">d wydaniem tych decyzji lub ich </w:t>
      </w:r>
      <w:r w:rsidRPr="001452AF">
        <w:rPr>
          <w:rFonts w:ascii="Arial" w:hAnsi="Arial" w:cs="Arial"/>
          <w:sz w:val="20"/>
          <w:szCs w:val="20"/>
          <w:lang w:eastAsia="en-US"/>
        </w:rPr>
        <w:t>zmianą oraz przed przyjęciem tych dokumentów lub ich zmianą</w:t>
      </w:r>
      <w:r w:rsidR="00A7342D">
        <w:rPr>
          <w:rFonts w:ascii="Arial" w:hAnsi="Arial" w:cs="Arial"/>
          <w:sz w:val="20"/>
          <w:szCs w:val="20"/>
          <w:lang w:eastAsia="en-US"/>
        </w:rPr>
        <w:t>.</w:t>
      </w:r>
    </w:p>
    <w:p w14:paraId="3B6ECEF5" w14:textId="7EC5044E" w:rsidR="00A7342D" w:rsidRPr="00A7342D" w:rsidRDefault="00A7342D" w:rsidP="00653D91">
      <w:pPr>
        <w:spacing w:after="120"/>
        <w:jc w:val="both"/>
        <w:rPr>
          <w:rFonts w:ascii="Arial" w:hAnsi="Arial" w:cs="Arial"/>
          <w:sz w:val="20"/>
          <w:szCs w:val="20"/>
          <w:lang w:eastAsia="en-US"/>
        </w:rPr>
      </w:pPr>
      <w:r w:rsidRPr="00A7342D">
        <w:rPr>
          <w:rFonts w:ascii="Arial" w:hAnsi="Arial" w:cs="Arial"/>
          <w:sz w:val="20"/>
          <w:szCs w:val="20"/>
          <w:lang w:eastAsia="en-US"/>
        </w:rPr>
        <w:t xml:space="preserve">Nawiązanie dialogu z interesariuszami (grupami docelowymi) poprzez skonsultowanie dokumentu pozwoliło sprawdzić, czy zidentyfikowane przez ekspertów zagadnienia mogą być zaakceptowane przez przedstawicieli rożnych grup społecznych. Zebranie uwag i opinii różnych środowisk pozwoliło na dopracowanie proponowanych rozwiązań </w:t>
      </w:r>
      <w:r w:rsidR="00713C72">
        <w:rPr>
          <w:rFonts w:ascii="Arial" w:hAnsi="Arial" w:cs="Arial"/>
          <w:sz w:val="20"/>
          <w:szCs w:val="20"/>
          <w:lang w:eastAsia="en-US"/>
        </w:rPr>
        <w:t>oraz</w:t>
      </w:r>
      <w:r w:rsidR="00713C72" w:rsidRPr="00A7342D">
        <w:rPr>
          <w:rFonts w:ascii="Arial" w:hAnsi="Arial" w:cs="Arial"/>
          <w:sz w:val="20"/>
          <w:szCs w:val="20"/>
          <w:lang w:eastAsia="en-US"/>
        </w:rPr>
        <w:t xml:space="preserve"> </w:t>
      </w:r>
      <w:r w:rsidRPr="00A7342D">
        <w:rPr>
          <w:rFonts w:ascii="Arial" w:hAnsi="Arial" w:cs="Arial"/>
          <w:sz w:val="20"/>
          <w:szCs w:val="20"/>
          <w:lang w:eastAsia="en-US"/>
        </w:rPr>
        <w:t>ich implementację do dokumentu.</w:t>
      </w:r>
    </w:p>
    <w:p w14:paraId="250660DA" w14:textId="55A13A1F" w:rsidR="00A7342D" w:rsidRPr="00A7342D" w:rsidRDefault="00A7342D" w:rsidP="00653D91">
      <w:pPr>
        <w:spacing w:after="120"/>
        <w:jc w:val="both"/>
        <w:rPr>
          <w:rFonts w:ascii="Arial" w:hAnsi="Arial" w:cs="Arial"/>
          <w:sz w:val="20"/>
          <w:szCs w:val="20"/>
          <w:lang w:eastAsia="en-US"/>
        </w:rPr>
      </w:pPr>
      <w:r w:rsidRPr="00A7342D">
        <w:rPr>
          <w:rFonts w:ascii="Arial" w:hAnsi="Arial" w:cs="Arial"/>
          <w:sz w:val="20"/>
          <w:szCs w:val="20"/>
          <w:lang w:eastAsia="en-US"/>
        </w:rPr>
        <w:t xml:space="preserve">Konsultacje społeczne </w:t>
      </w:r>
      <w:r w:rsidR="00C459AD">
        <w:rPr>
          <w:rFonts w:ascii="Arial" w:hAnsi="Arial" w:cs="Arial"/>
          <w:sz w:val="20"/>
          <w:szCs w:val="20"/>
          <w:lang w:eastAsia="en-US"/>
        </w:rPr>
        <w:t xml:space="preserve">projektu </w:t>
      </w:r>
      <w:proofErr w:type="spellStart"/>
      <w:r w:rsidR="00C459AD">
        <w:rPr>
          <w:rFonts w:ascii="Arial" w:hAnsi="Arial" w:cs="Arial"/>
          <w:sz w:val="20"/>
          <w:szCs w:val="20"/>
          <w:lang w:eastAsia="en-US"/>
        </w:rPr>
        <w:t>aPOWM</w:t>
      </w:r>
      <w:proofErr w:type="spellEnd"/>
      <w:r w:rsidR="00C459AD">
        <w:rPr>
          <w:rFonts w:ascii="Arial" w:hAnsi="Arial" w:cs="Arial"/>
          <w:sz w:val="20"/>
          <w:szCs w:val="20"/>
          <w:lang w:eastAsia="en-US"/>
        </w:rPr>
        <w:t xml:space="preserve"> </w:t>
      </w:r>
      <w:r w:rsidRPr="00A7342D">
        <w:rPr>
          <w:rFonts w:ascii="Arial" w:hAnsi="Arial" w:cs="Arial"/>
          <w:sz w:val="20"/>
          <w:szCs w:val="20"/>
          <w:lang w:eastAsia="en-US"/>
        </w:rPr>
        <w:t xml:space="preserve">przeprowadzone zostały w terminie od 5 lipca 2021 r. do 5 października 2021 r. W ramach konsultacji odbyło się m. in. spotkanie z przedstawicielami Urzędów morskich, </w:t>
      </w:r>
      <w:r w:rsidR="007119C5">
        <w:rPr>
          <w:rFonts w:ascii="Arial" w:hAnsi="Arial" w:cs="Arial"/>
          <w:sz w:val="20"/>
          <w:szCs w:val="20"/>
          <w:lang w:eastAsia="en-US"/>
        </w:rPr>
        <w:t xml:space="preserve">3 </w:t>
      </w:r>
      <w:r w:rsidRPr="00A7342D">
        <w:rPr>
          <w:rFonts w:ascii="Arial" w:hAnsi="Arial" w:cs="Arial"/>
          <w:sz w:val="20"/>
          <w:szCs w:val="20"/>
          <w:lang w:eastAsia="en-US"/>
        </w:rPr>
        <w:t xml:space="preserve">ogólnopolskie konferencje </w:t>
      </w:r>
      <w:r w:rsidRPr="007119C5">
        <w:rPr>
          <w:rFonts w:ascii="Arial" w:hAnsi="Arial" w:cs="Arial"/>
          <w:sz w:val="20"/>
          <w:szCs w:val="20"/>
          <w:lang w:eastAsia="en-US"/>
        </w:rPr>
        <w:t xml:space="preserve">merytoryczne </w:t>
      </w:r>
      <w:r w:rsidR="007119C5" w:rsidRPr="007119C5">
        <w:rPr>
          <w:rFonts w:ascii="Arial" w:hAnsi="Arial" w:cs="Arial"/>
          <w:sz w:val="20"/>
          <w:szCs w:val="20"/>
          <w:lang w:eastAsia="en-US"/>
        </w:rPr>
        <w:t xml:space="preserve">(w Gdańsku, Gdyni i Szczecinie) </w:t>
      </w:r>
      <w:r w:rsidRPr="007119C5">
        <w:rPr>
          <w:rFonts w:ascii="Arial" w:hAnsi="Arial" w:cs="Arial"/>
          <w:sz w:val="20"/>
          <w:szCs w:val="20"/>
          <w:lang w:eastAsia="en-US"/>
        </w:rPr>
        <w:t>oraz</w:t>
      </w:r>
      <w:r w:rsidRPr="00A7342D">
        <w:rPr>
          <w:rFonts w:ascii="Arial" w:hAnsi="Arial" w:cs="Arial"/>
          <w:sz w:val="20"/>
          <w:szCs w:val="20"/>
          <w:lang w:eastAsia="en-US"/>
        </w:rPr>
        <w:t xml:space="preserve"> briefingi prasowe. Wszys</w:t>
      </w:r>
      <w:r w:rsidR="00C459AD">
        <w:rPr>
          <w:rFonts w:ascii="Arial" w:hAnsi="Arial" w:cs="Arial"/>
          <w:sz w:val="20"/>
          <w:szCs w:val="20"/>
          <w:lang w:eastAsia="en-US"/>
        </w:rPr>
        <w:t>tkie</w:t>
      </w:r>
      <w:r w:rsidR="00FF263F">
        <w:rPr>
          <w:rFonts w:ascii="Arial" w:hAnsi="Arial" w:cs="Arial"/>
          <w:sz w:val="20"/>
          <w:szCs w:val="20"/>
          <w:lang w:eastAsia="en-US"/>
        </w:rPr>
        <w:t xml:space="preserve"> </w:t>
      </w:r>
      <w:r w:rsidRPr="00A7342D">
        <w:rPr>
          <w:rFonts w:ascii="Arial" w:hAnsi="Arial" w:cs="Arial"/>
          <w:sz w:val="20"/>
          <w:szCs w:val="20"/>
          <w:lang w:eastAsia="en-US"/>
        </w:rPr>
        <w:t xml:space="preserve">zostały przeprowadzone w formule on-line ze względu na obowiązujące obostrzenia epidemiczne. Dodatkowo każde ze spotkań poprzedzone było </w:t>
      </w:r>
      <w:r w:rsidR="00C459AD">
        <w:rPr>
          <w:rFonts w:ascii="Arial" w:hAnsi="Arial" w:cs="Arial"/>
          <w:sz w:val="20"/>
          <w:szCs w:val="20"/>
          <w:lang w:eastAsia="en-US"/>
        </w:rPr>
        <w:t xml:space="preserve">wysłaniem wiadomości drogą mailową </w:t>
      </w:r>
      <w:r w:rsidRPr="00A7342D">
        <w:rPr>
          <w:rFonts w:ascii="Arial" w:hAnsi="Arial" w:cs="Arial"/>
          <w:sz w:val="20"/>
          <w:szCs w:val="20"/>
          <w:lang w:eastAsia="en-US"/>
        </w:rPr>
        <w:t>do jednostek samorządu terytorialnego, urzędów wojewódzkich i marszałkowskich, wybranych jednostek administracji rządowej</w:t>
      </w:r>
      <w:r w:rsidR="00C459AD">
        <w:rPr>
          <w:rFonts w:ascii="Arial" w:hAnsi="Arial" w:cs="Arial"/>
          <w:sz w:val="20"/>
          <w:szCs w:val="20"/>
          <w:lang w:eastAsia="en-US"/>
        </w:rPr>
        <w:t>,</w:t>
      </w:r>
      <w:r w:rsidRPr="00A7342D">
        <w:rPr>
          <w:rFonts w:ascii="Arial" w:hAnsi="Arial" w:cs="Arial"/>
          <w:sz w:val="20"/>
          <w:szCs w:val="20"/>
          <w:lang w:eastAsia="en-US"/>
        </w:rPr>
        <w:t xml:space="preserve"> </w:t>
      </w:r>
      <w:r w:rsidR="000601B8">
        <w:rPr>
          <w:rFonts w:ascii="Arial" w:hAnsi="Arial" w:cs="Arial"/>
          <w:sz w:val="20"/>
          <w:szCs w:val="20"/>
          <w:lang w:eastAsia="en-US"/>
        </w:rPr>
        <w:t>np.:</w:t>
      </w:r>
      <w:r w:rsidRPr="00A7342D">
        <w:rPr>
          <w:rFonts w:ascii="Arial" w:hAnsi="Arial" w:cs="Arial"/>
          <w:sz w:val="20"/>
          <w:szCs w:val="20"/>
          <w:lang w:eastAsia="en-US"/>
        </w:rPr>
        <w:t xml:space="preserve"> Ministerstw</w:t>
      </w:r>
      <w:r w:rsidR="000601B8">
        <w:rPr>
          <w:rFonts w:ascii="Arial" w:hAnsi="Arial" w:cs="Arial"/>
          <w:sz w:val="20"/>
          <w:szCs w:val="20"/>
          <w:lang w:eastAsia="en-US"/>
        </w:rPr>
        <w:t>a</w:t>
      </w:r>
      <w:r w:rsidRPr="00A7342D">
        <w:rPr>
          <w:rFonts w:ascii="Arial" w:hAnsi="Arial" w:cs="Arial"/>
          <w:sz w:val="20"/>
          <w:szCs w:val="20"/>
          <w:lang w:eastAsia="en-US"/>
        </w:rPr>
        <w:t xml:space="preserve"> Rolnictwa i Rozwoju Wsi, Ministerstw</w:t>
      </w:r>
      <w:r w:rsidR="000601B8">
        <w:rPr>
          <w:rFonts w:ascii="Arial" w:hAnsi="Arial" w:cs="Arial"/>
          <w:sz w:val="20"/>
          <w:szCs w:val="20"/>
          <w:lang w:eastAsia="en-US"/>
        </w:rPr>
        <w:t>a</w:t>
      </w:r>
      <w:r w:rsidRPr="00A7342D">
        <w:rPr>
          <w:rFonts w:ascii="Arial" w:hAnsi="Arial" w:cs="Arial"/>
          <w:sz w:val="20"/>
          <w:szCs w:val="20"/>
          <w:lang w:eastAsia="en-US"/>
        </w:rPr>
        <w:t xml:space="preserve"> Klimatu i Środowiska, Urzęd</w:t>
      </w:r>
      <w:r w:rsidR="00C459AD">
        <w:rPr>
          <w:rFonts w:ascii="Arial" w:hAnsi="Arial" w:cs="Arial"/>
          <w:sz w:val="20"/>
          <w:szCs w:val="20"/>
          <w:lang w:eastAsia="en-US"/>
        </w:rPr>
        <w:t>ów Morskich</w:t>
      </w:r>
      <w:r w:rsidRPr="00A7342D">
        <w:rPr>
          <w:rFonts w:ascii="Arial" w:hAnsi="Arial" w:cs="Arial"/>
          <w:sz w:val="20"/>
          <w:szCs w:val="20"/>
          <w:lang w:eastAsia="en-US"/>
        </w:rPr>
        <w:t xml:space="preserve">, </w:t>
      </w:r>
      <w:r w:rsidR="00C459AD" w:rsidRPr="00C459AD">
        <w:rPr>
          <w:rFonts w:ascii="Arial" w:hAnsi="Arial" w:cs="Arial"/>
          <w:sz w:val="20"/>
          <w:szCs w:val="20"/>
          <w:lang w:eastAsia="en-US"/>
        </w:rPr>
        <w:t>Narodow</w:t>
      </w:r>
      <w:r w:rsidR="00C459AD">
        <w:rPr>
          <w:rFonts w:ascii="Arial" w:hAnsi="Arial" w:cs="Arial"/>
          <w:sz w:val="20"/>
          <w:szCs w:val="20"/>
          <w:lang w:eastAsia="en-US"/>
        </w:rPr>
        <w:t>ego</w:t>
      </w:r>
      <w:r w:rsidR="00C459AD" w:rsidRPr="00C459AD">
        <w:rPr>
          <w:rFonts w:ascii="Arial" w:hAnsi="Arial" w:cs="Arial"/>
          <w:sz w:val="20"/>
          <w:szCs w:val="20"/>
          <w:lang w:eastAsia="en-US"/>
        </w:rPr>
        <w:t xml:space="preserve"> Fundusz</w:t>
      </w:r>
      <w:r w:rsidR="00C459AD">
        <w:rPr>
          <w:rFonts w:ascii="Arial" w:hAnsi="Arial" w:cs="Arial"/>
          <w:sz w:val="20"/>
          <w:szCs w:val="20"/>
          <w:lang w:eastAsia="en-US"/>
        </w:rPr>
        <w:t>u</w:t>
      </w:r>
      <w:r w:rsidR="00C459AD" w:rsidRPr="00C459AD">
        <w:rPr>
          <w:rFonts w:ascii="Arial" w:hAnsi="Arial" w:cs="Arial"/>
          <w:sz w:val="20"/>
          <w:szCs w:val="20"/>
          <w:lang w:eastAsia="en-US"/>
        </w:rPr>
        <w:t xml:space="preserve"> Ochrony Środowiska i Gospodarki Wodnej</w:t>
      </w:r>
      <w:r w:rsidRPr="00A7342D">
        <w:rPr>
          <w:rFonts w:ascii="Arial" w:hAnsi="Arial" w:cs="Arial"/>
          <w:sz w:val="20"/>
          <w:szCs w:val="20"/>
          <w:lang w:eastAsia="en-US"/>
        </w:rPr>
        <w:t xml:space="preserve">, </w:t>
      </w:r>
      <w:r w:rsidR="00C459AD">
        <w:rPr>
          <w:rFonts w:ascii="Arial" w:hAnsi="Arial" w:cs="Arial"/>
          <w:sz w:val="20"/>
          <w:szCs w:val="20"/>
          <w:lang w:eastAsia="en-US"/>
        </w:rPr>
        <w:t>Głównego</w:t>
      </w:r>
      <w:r w:rsidR="00C459AD" w:rsidRPr="00C459AD">
        <w:rPr>
          <w:rFonts w:ascii="Arial" w:hAnsi="Arial" w:cs="Arial"/>
          <w:sz w:val="20"/>
          <w:szCs w:val="20"/>
          <w:lang w:eastAsia="en-US"/>
        </w:rPr>
        <w:t xml:space="preserve"> Inspektorat</w:t>
      </w:r>
      <w:r w:rsidR="00C459AD">
        <w:rPr>
          <w:rFonts w:ascii="Arial" w:hAnsi="Arial" w:cs="Arial"/>
          <w:sz w:val="20"/>
          <w:szCs w:val="20"/>
          <w:lang w:eastAsia="en-US"/>
        </w:rPr>
        <w:t>u</w:t>
      </w:r>
      <w:r w:rsidR="00C459AD" w:rsidRPr="00C459AD">
        <w:rPr>
          <w:rFonts w:ascii="Arial" w:hAnsi="Arial" w:cs="Arial"/>
          <w:sz w:val="20"/>
          <w:szCs w:val="20"/>
          <w:lang w:eastAsia="en-US"/>
        </w:rPr>
        <w:t xml:space="preserve"> Ochrony Środowiska</w:t>
      </w:r>
      <w:r w:rsidR="00C459AD">
        <w:rPr>
          <w:rFonts w:ascii="Arial" w:hAnsi="Arial" w:cs="Arial"/>
          <w:sz w:val="20"/>
          <w:szCs w:val="20"/>
          <w:lang w:eastAsia="en-US"/>
        </w:rPr>
        <w:t>. W</w:t>
      </w:r>
      <w:r w:rsidR="000601B8">
        <w:rPr>
          <w:rFonts w:ascii="Arial" w:hAnsi="Arial" w:cs="Arial"/>
          <w:sz w:val="20"/>
          <w:szCs w:val="20"/>
          <w:lang w:eastAsia="en-US"/>
        </w:rPr>
        <w:t xml:space="preserve">iadomość została również wysłana do jednostek </w:t>
      </w:r>
      <w:r w:rsidRPr="00A7342D">
        <w:rPr>
          <w:rFonts w:ascii="Arial" w:hAnsi="Arial" w:cs="Arial"/>
          <w:sz w:val="20"/>
          <w:szCs w:val="20"/>
          <w:lang w:eastAsia="en-US"/>
        </w:rPr>
        <w:t>park</w:t>
      </w:r>
      <w:r w:rsidR="00FF263F">
        <w:rPr>
          <w:rFonts w:ascii="Arial" w:hAnsi="Arial" w:cs="Arial"/>
          <w:sz w:val="20"/>
          <w:szCs w:val="20"/>
          <w:lang w:eastAsia="en-US"/>
        </w:rPr>
        <w:t>ów</w:t>
      </w:r>
      <w:r w:rsidRPr="00A7342D">
        <w:rPr>
          <w:rFonts w:ascii="Arial" w:hAnsi="Arial" w:cs="Arial"/>
          <w:sz w:val="20"/>
          <w:szCs w:val="20"/>
          <w:lang w:eastAsia="en-US"/>
        </w:rPr>
        <w:t xml:space="preserve"> narodow</w:t>
      </w:r>
      <w:r w:rsidR="00FF263F">
        <w:rPr>
          <w:rFonts w:ascii="Arial" w:hAnsi="Arial" w:cs="Arial"/>
          <w:sz w:val="20"/>
          <w:szCs w:val="20"/>
          <w:lang w:eastAsia="en-US"/>
        </w:rPr>
        <w:t>ych,</w:t>
      </w:r>
      <w:r w:rsidRPr="00A7342D">
        <w:rPr>
          <w:rFonts w:ascii="Arial" w:hAnsi="Arial" w:cs="Arial"/>
          <w:sz w:val="20"/>
          <w:szCs w:val="20"/>
          <w:lang w:eastAsia="en-US"/>
        </w:rPr>
        <w:t> park</w:t>
      </w:r>
      <w:r w:rsidR="00FF263F">
        <w:rPr>
          <w:rFonts w:ascii="Arial" w:hAnsi="Arial" w:cs="Arial"/>
          <w:sz w:val="20"/>
          <w:szCs w:val="20"/>
          <w:lang w:eastAsia="en-US"/>
        </w:rPr>
        <w:t>ów</w:t>
      </w:r>
      <w:r w:rsidRPr="00A7342D">
        <w:rPr>
          <w:rFonts w:ascii="Arial" w:hAnsi="Arial" w:cs="Arial"/>
          <w:sz w:val="20"/>
          <w:szCs w:val="20"/>
          <w:lang w:eastAsia="en-US"/>
        </w:rPr>
        <w:t xml:space="preserve"> krajobrazow</w:t>
      </w:r>
      <w:r w:rsidR="00FF263F">
        <w:rPr>
          <w:rFonts w:ascii="Arial" w:hAnsi="Arial" w:cs="Arial"/>
          <w:sz w:val="20"/>
          <w:szCs w:val="20"/>
          <w:lang w:eastAsia="en-US"/>
        </w:rPr>
        <w:t>ych</w:t>
      </w:r>
      <w:r w:rsidRPr="00A7342D">
        <w:rPr>
          <w:rFonts w:ascii="Arial" w:hAnsi="Arial" w:cs="Arial"/>
          <w:sz w:val="20"/>
          <w:szCs w:val="20"/>
          <w:lang w:eastAsia="en-US"/>
        </w:rPr>
        <w:t xml:space="preserve"> </w:t>
      </w:r>
      <w:r w:rsidR="00FF263F">
        <w:rPr>
          <w:rFonts w:ascii="Arial" w:hAnsi="Arial" w:cs="Arial"/>
          <w:sz w:val="20"/>
          <w:szCs w:val="20"/>
          <w:lang w:eastAsia="en-US"/>
        </w:rPr>
        <w:t>oraz</w:t>
      </w:r>
      <w:r w:rsidRPr="00A7342D">
        <w:rPr>
          <w:rFonts w:ascii="Arial" w:hAnsi="Arial" w:cs="Arial"/>
          <w:sz w:val="20"/>
          <w:szCs w:val="20"/>
          <w:lang w:eastAsia="en-US"/>
        </w:rPr>
        <w:t xml:space="preserve"> inn</w:t>
      </w:r>
      <w:r w:rsidR="00FF263F">
        <w:rPr>
          <w:rFonts w:ascii="Arial" w:hAnsi="Arial" w:cs="Arial"/>
          <w:sz w:val="20"/>
          <w:szCs w:val="20"/>
          <w:lang w:eastAsia="en-US"/>
        </w:rPr>
        <w:t>ych</w:t>
      </w:r>
      <w:r w:rsidRPr="00A7342D">
        <w:rPr>
          <w:rFonts w:ascii="Arial" w:hAnsi="Arial" w:cs="Arial"/>
          <w:sz w:val="20"/>
          <w:szCs w:val="20"/>
          <w:lang w:eastAsia="en-US"/>
        </w:rPr>
        <w:t xml:space="preserve"> podmiot</w:t>
      </w:r>
      <w:r w:rsidR="00FF263F">
        <w:rPr>
          <w:rFonts w:ascii="Arial" w:hAnsi="Arial" w:cs="Arial"/>
          <w:sz w:val="20"/>
          <w:szCs w:val="20"/>
          <w:lang w:eastAsia="en-US"/>
        </w:rPr>
        <w:t>ów</w:t>
      </w:r>
      <w:r w:rsidRPr="00A7342D">
        <w:rPr>
          <w:rFonts w:ascii="Arial" w:hAnsi="Arial" w:cs="Arial"/>
          <w:sz w:val="20"/>
          <w:szCs w:val="20"/>
          <w:lang w:eastAsia="en-US"/>
        </w:rPr>
        <w:t>.</w:t>
      </w:r>
    </w:p>
    <w:p w14:paraId="00BE487E" w14:textId="06C4BB51" w:rsidR="00A7342D" w:rsidRDefault="00A7342D" w:rsidP="00653D91">
      <w:pPr>
        <w:spacing w:after="120"/>
        <w:jc w:val="both"/>
        <w:rPr>
          <w:rFonts w:ascii="Arial" w:hAnsi="Arial" w:cs="Arial"/>
          <w:sz w:val="20"/>
          <w:szCs w:val="20"/>
          <w:lang w:eastAsia="en-US"/>
        </w:rPr>
      </w:pPr>
      <w:r w:rsidRPr="00A7342D">
        <w:rPr>
          <w:rFonts w:ascii="Arial" w:hAnsi="Arial" w:cs="Arial"/>
          <w:sz w:val="20"/>
          <w:szCs w:val="20"/>
          <w:lang w:eastAsia="en-US"/>
        </w:rPr>
        <w:t>Proces zaangażowania społeczeństwa wspierany był przez zróżnicowane materiały informacyjno-promocyjne opracowane na potrzeby tego projektu. Dostępn</w:t>
      </w:r>
      <w:r w:rsidR="005D5E0C">
        <w:rPr>
          <w:rFonts w:ascii="Arial" w:hAnsi="Arial" w:cs="Arial"/>
          <w:sz w:val="20"/>
          <w:szCs w:val="20"/>
          <w:lang w:eastAsia="en-US"/>
        </w:rPr>
        <w:t>a</w:t>
      </w:r>
      <w:r w:rsidRPr="00A7342D">
        <w:rPr>
          <w:rFonts w:ascii="Arial" w:hAnsi="Arial" w:cs="Arial"/>
          <w:sz w:val="20"/>
          <w:szCs w:val="20"/>
          <w:lang w:eastAsia="en-US"/>
        </w:rPr>
        <w:t xml:space="preserve"> był</w:t>
      </w:r>
      <w:r w:rsidR="00844412">
        <w:rPr>
          <w:rFonts w:ascii="Arial" w:hAnsi="Arial" w:cs="Arial"/>
          <w:sz w:val="20"/>
          <w:szCs w:val="20"/>
          <w:lang w:eastAsia="en-US"/>
        </w:rPr>
        <w:t>a</w:t>
      </w:r>
      <w:r w:rsidRPr="00A7342D">
        <w:rPr>
          <w:rFonts w:ascii="Arial" w:hAnsi="Arial" w:cs="Arial"/>
          <w:sz w:val="20"/>
          <w:szCs w:val="20"/>
          <w:lang w:eastAsia="en-US"/>
        </w:rPr>
        <w:t xml:space="preserve"> m.in.: niespecjalistyczna wersja programu wraz z instrukcją składania uwag i wniosków (formularz online, aktywny PDF oraz wersja drukowana), któr</w:t>
      </w:r>
      <w:r w:rsidR="005D5E0C">
        <w:rPr>
          <w:rFonts w:ascii="Arial" w:hAnsi="Arial" w:cs="Arial"/>
          <w:sz w:val="20"/>
          <w:szCs w:val="20"/>
          <w:lang w:eastAsia="en-US"/>
        </w:rPr>
        <w:t>a</w:t>
      </w:r>
      <w:r w:rsidRPr="00A7342D">
        <w:rPr>
          <w:rFonts w:ascii="Arial" w:hAnsi="Arial" w:cs="Arial"/>
          <w:sz w:val="20"/>
          <w:szCs w:val="20"/>
          <w:lang w:eastAsia="en-US"/>
        </w:rPr>
        <w:t xml:space="preserve"> był</w:t>
      </w:r>
      <w:r w:rsidR="005D5E0C">
        <w:rPr>
          <w:rFonts w:ascii="Arial" w:hAnsi="Arial" w:cs="Arial"/>
          <w:sz w:val="20"/>
          <w:szCs w:val="20"/>
          <w:lang w:eastAsia="en-US"/>
        </w:rPr>
        <w:t>a</w:t>
      </w:r>
      <w:r w:rsidRPr="00A7342D">
        <w:rPr>
          <w:rFonts w:ascii="Arial" w:hAnsi="Arial" w:cs="Arial"/>
          <w:sz w:val="20"/>
          <w:szCs w:val="20"/>
          <w:lang w:eastAsia="en-US"/>
        </w:rPr>
        <w:t xml:space="preserve"> umieszczon</w:t>
      </w:r>
      <w:r w:rsidR="005D5E0C">
        <w:rPr>
          <w:rFonts w:ascii="Arial" w:hAnsi="Arial" w:cs="Arial"/>
          <w:sz w:val="20"/>
          <w:szCs w:val="20"/>
          <w:lang w:eastAsia="en-US"/>
        </w:rPr>
        <w:t>a</w:t>
      </w:r>
      <w:r w:rsidRPr="00A7342D">
        <w:rPr>
          <w:rFonts w:ascii="Arial" w:hAnsi="Arial" w:cs="Arial"/>
          <w:sz w:val="20"/>
          <w:szCs w:val="20"/>
          <w:lang w:eastAsia="en-US"/>
        </w:rPr>
        <w:t xml:space="preserve"> na stronie projektu </w:t>
      </w:r>
      <w:hyperlink r:id="rId9" w:history="1">
        <w:r w:rsidRPr="00426A94">
          <w:rPr>
            <w:rStyle w:val="Hipercze"/>
            <w:rFonts w:ascii="Arial" w:hAnsi="Arial" w:cs="Arial"/>
            <w:sz w:val="20"/>
            <w:szCs w:val="20"/>
            <w:lang w:eastAsia="en-US"/>
          </w:rPr>
          <w:t>www.chronmorze.eu</w:t>
        </w:r>
      </w:hyperlink>
      <w:r w:rsidRPr="00A7342D">
        <w:rPr>
          <w:rFonts w:ascii="Arial" w:hAnsi="Arial" w:cs="Arial"/>
          <w:sz w:val="20"/>
          <w:szCs w:val="20"/>
          <w:lang w:eastAsia="en-US"/>
        </w:rPr>
        <w:t>.</w:t>
      </w:r>
    </w:p>
    <w:p w14:paraId="1EEFAD38" w14:textId="77777777" w:rsidR="00B028D4" w:rsidRPr="00B028D4" w:rsidRDefault="00B028D4" w:rsidP="00B028D4">
      <w:pPr>
        <w:rPr>
          <w:rFonts w:ascii="Arial" w:eastAsiaTheme="minorHAnsi" w:hAnsi="Arial" w:cs="Arial"/>
          <w:sz w:val="20"/>
          <w:szCs w:val="20"/>
          <w:lang w:eastAsia="zh-CN"/>
        </w:rPr>
      </w:pPr>
      <w:r w:rsidRPr="00B028D4">
        <w:rPr>
          <w:rFonts w:ascii="Arial" w:hAnsi="Arial" w:cs="Arial"/>
          <w:sz w:val="20"/>
          <w:szCs w:val="20"/>
          <w:lang w:eastAsia="zh-CN"/>
        </w:rPr>
        <w:t>Kluczowe dane podsumowujące proces konsultacji społecznych przedstawiono poniżej: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3884"/>
      </w:tblGrid>
      <w:tr w:rsidR="00B028D4" w:rsidRPr="00B028D4" w14:paraId="78641EB7" w14:textId="77777777" w:rsidTr="00B028D4">
        <w:trPr>
          <w:trHeight w:val="24"/>
        </w:trPr>
        <w:tc>
          <w:tcPr>
            <w:tcW w:w="2857" w:type="pct"/>
            <w:tcBorders>
              <w:top w:val="single" w:sz="4" w:space="0" w:color="auto"/>
              <w:left w:val="single" w:sz="4" w:space="0" w:color="auto"/>
              <w:bottom w:val="single" w:sz="4" w:space="0" w:color="auto"/>
              <w:right w:val="single" w:sz="4" w:space="0" w:color="auto"/>
            </w:tcBorders>
            <w:hideMark/>
          </w:tcPr>
          <w:p w14:paraId="6BD4ED99" w14:textId="77777777" w:rsidR="00B028D4" w:rsidRPr="00B028D4" w:rsidRDefault="00B028D4">
            <w:pPr>
              <w:pStyle w:val="Default"/>
              <w:spacing w:line="256" w:lineRule="auto"/>
              <w:rPr>
                <w:sz w:val="20"/>
                <w:szCs w:val="20"/>
              </w:rPr>
            </w:pPr>
            <w:r w:rsidRPr="00B028D4">
              <w:rPr>
                <w:sz w:val="20"/>
                <w:szCs w:val="20"/>
              </w:rPr>
              <w:t xml:space="preserve">Czas trwania konsultacji społecznych </w:t>
            </w:r>
            <w:proofErr w:type="spellStart"/>
            <w:r w:rsidRPr="00B028D4">
              <w:rPr>
                <w:sz w:val="20"/>
                <w:szCs w:val="20"/>
              </w:rPr>
              <w:t>aPOWM</w:t>
            </w:r>
            <w:proofErr w:type="spellEnd"/>
          </w:p>
        </w:tc>
        <w:tc>
          <w:tcPr>
            <w:tcW w:w="2143" w:type="pct"/>
            <w:tcBorders>
              <w:top w:val="single" w:sz="4" w:space="0" w:color="auto"/>
              <w:left w:val="single" w:sz="4" w:space="0" w:color="auto"/>
              <w:bottom w:val="single" w:sz="4" w:space="0" w:color="auto"/>
              <w:right w:val="single" w:sz="4" w:space="0" w:color="auto"/>
            </w:tcBorders>
            <w:hideMark/>
          </w:tcPr>
          <w:p w14:paraId="62ABEB06" w14:textId="77777777" w:rsidR="00B028D4" w:rsidRPr="00B028D4" w:rsidRDefault="00B028D4">
            <w:pPr>
              <w:pStyle w:val="Default"/>
              <w:spacing w:line="256" w:lineRule="auto"/>
              <w:rPr>
                <w:sz w:val="20"/>
                <w:szCs w:val="20"/>
              </w:rPr>
            </w:pPr>
            <w:r w:rsidRPr="00B028D4">
              <w:rPr>
                <w:sz w:val="20"/>
                <w:szCs w:val="20"/>
              </w:rPr>
              <w:t>5.07.2021 – 5.10.2021 (3 miesiące)</w:t>
            </w:r>
          </w:p>
        </w:tc>
      </w:tr>
      <w:tr w:rsidR="00B028D4" w:rsidRPr="00B028D4" w14:paraId="28513DA1" w14:textId="77777777" w:rsidTr="00B028D4">
        <w:trPr>
          <w:trHeight w:val="24"/>
        </w:trPr>
        <w:tc>
          <w:tcPr>
            <w:tcW w:w="2857" w:type="pct"/>
            <w:tcBorders>
              <w:top w:val="single" w:sz="4" w:space="0" w:color="auto"/>
              <w:left w:val="single" w:sz="4" w:space="0" w:color="auto"/>
              <w:bottom w:val="single" w:sz="4" w:space="0" w:color="auto"/>
              <w:right w:val="single" w:sz="4" w:space="0" w:color="auto"/>
            </w:tcBorders>
            <w:hideMark/>
          </w:tcPr>
          <w:p w14:paraId="33FB5502" w14:textId="77777777" w:rsidR="00B028D4" w:rsidRPr="00B028D4" w:rsidRDefault="00B028D4">
            <w:pPr>
              <w:pStyle w:val="Default"/>
              <w:spacing w:line="256" w:lineRule="auto"/>
              <w:rPr>
                <w:sz w:val="20"/>
                <w:szCs w:val="20"/>
              </w:rPr>
            </w:pPr>
            <w:r w:rsidRPr="00B028D4">
              <w:rPr>
                <w:sz w:val="20"/>
                <w:szCs w:val="20"/>
              </w:rPr>
              <w:t>Liczba konferencji merytorycznych zorganizowanych w trakcie konsultacji</w:t>
            </w:r>
          </w:p>
        </w:tc>
        <w:tc>
          <w:tcPr>
            <w:tcW w:w="2143" w:type="pct"/>
            <w:tcBorders>
              <w:top w:val="single" w:sz="4" w:space="0" w:color="auto"/>
              <w:left w:val="single" w:sz="4" w:space="0" w:color="auto"/>
              <w:bottom w:val="single" w:sz="4" w:space="0" w:color="auto"/>
              <w:right w:val="single" w:sz="4" w:space="0" w:color="auto"/>
            </w:tcBorders>
            <w:hideMark/>
          </w:tcPr>
          <w:p w14:paraId="4BF8F163" w14:textId="77777777" w:rsidR="00B028D4" w:rsidRPr="00B028D4" w:rsidRDefault="00B028D4">
            <w:pPr>
              <w:pStyle w:val="Default"/>
              <w:spacing w:line="256" w:lineRule="auto"/>
              <w:rPr>
                <w:sz w:val="20"/>
                <w:szCs w:val="20"/>
              </w:rPr>
            </w:pPr>
            <w:r w:rsidRPr="00B028D4">
              <w:rPr>
                <w:sz w:val="20"/>
                <w:szCs w:val="20"/>
              </w:rPr>
              <w:t>3</w:t>
            </w:r>
          </w:p>
        </w:tc>
      </w:tr>
      <w:tr w:rsidR="00B028D4" w:rsidRPr="00B028D4" w14:paraId="0155CDDC" w14:textId="77777777" w:rsidTr="00B028D4">
        <w:trPr>
          <w:trHeight w:val="24"/>
        </w:trPr>
        <w:tc>
          <w:tcPr>
            <w:tcW w:w="2857" w:type="pct"/>
            <w:tcBorders>
              <w:top w:val="single" w:sz="4" w:space="0" w:color="auto"/>
              <w:left w:val="single" w:sz="4" w:space="0" w:color="auto"/>
              <w:bottom w:val="single" w:sz="4" w:space="0" w:color="auto"/>
              <w:right w:val="single" w:sz="4" w:space="0" w:color="auto"/>
            </w:tcBorders>
            <w:hideMark/>
          </w:tcPr>
          <w:p w14:paraId="4FB61B16" w14:textId="77777777" w:rsidR="00B028D4" w:rsidRPr="00B028D4" w:rsidRDefault="00B028D4">
            <w:pPr>
              <w:pStyle w:val="Default"/>
              <w:spacing w:line="256" w:lineRule="auto"/>
              <w:rPr>
                <w:sz w:val="20"/>
                <w:szCs w:val="20"/>
              </w:rPr>
            </w:pPr>
            <w:r w:rsidRPr="00B028D4">
              <w:rPr>
                <w:sz w:val="20"/>
                <w:szCs w:val="20"/>
              </w:rPr>
              <w:t>Liczba zalogowanych uczestników trzech konferencji łącznie</w:t>
            </w:r>
          </w:p>
        </w:tc>
        <w:tc>
          <w:tcPr>
            <w:tcW w:w="2143" w:type="pct"/>
            <w:tcBorders>
              <w:top w:val="single" w:sz="4" w:space="0" w:color="auto"/>
              <w:left w:val="single" w:sz="4" w:space="0" w:color="auto"/>
              <w:bottom w:val="single" w:sz="4" w:space="0" w:color="auto"/>
              <w:right w:val="single" w:sz="4" w:space="0" w:color="auto"/>
            </w:tcBorders>
            <w:hideMark/>
          </w:tcPr>
          <w:p w14:paraId="1839ED6B" w14:textId="77777777" w:rsidR="00B028D4" w:rsidRPr="00B028D4" w:rsidRDefault="00B028D4">
            <w:pPr>
              <w:pStyle w:val="Default"/>
              <w:spacing w:line="256" w:lineRule="auto"/>
              <w:rPr>
                <w:sz w:val="20"/>
                <w:szCs w:val="20"/>
              </w:rPr>
            </w:pPr>
            <w:r w:rsidRPr="00B028D4">
              <w:rPr>
                <w:sz w:val="20"/>
                <w:szCs w:val="20"/>
              </w:rPr>
              <w:t>258 osób</w:t>
            </w:r>
          </w:p>
        </w:tc>
      </w:tr>
      <w:tr w:rsidR="00B028D4" w:rsidRPr="00B028D4" w14:paraId="2613A587" w14:textId="77777777" w:rsidTr="00B028D4">
        <w:trPr>
          <w:trHeight w:val="24"/>
        </w:trPr>
        <w:tc>
          <w:tcPr>
            <w:tcW w:w="2857" w:type="pct"/>
            <w:tcBorders>
              <w:top w:val="single" w:sz="4" w:space="0" w:color="auto"/>
              <w:left w:val="single" w:sz="4" w:space="0" w:color="auto"/>
              <w:bottom w:val="single" w:sz="4" w:space="0" w:color="auto"/>
              <w:right w:val="single" w:sz="4" w:space="0" w:color="auto"/>
            </w:tcBorders>
            <w:hideMark/>
          </w:tcPr>
          <w:p w14:paraId="53C715F0" w14:textId="77777777" w:rsidR="00B028D4" w:rsidRPr="00B028D4" w:rsidRDefault="00B028D4">
            <w:pPr>
              <w:pStyle w:val="Default"/>
              <w:spacing w:line="256" w:lineRule="auto"/>
              <w:rPr>
                <w:sz w:val="20"/>
                <w:szCs w:val="20"/>
              </w:rPr>
            </w:pPr>
            <w:r w:rsidRPr="00B028D4">
              <w:rPr>
                <w:sz w:val="20"/>
                <w:szCs w:val="20"/>
              </w:rPr>
              <w:t xml:space="preserve">Łączna liczba wszystkich uwag do </w:t>
            </w:r>
            <w:proofErr w:type="spellStart"/>
            <w:r w:rsidRPr="00B028D4">
              <w:rPr>
                <w:sz w:val="20"/>
                <w:szCs w:val="20"/>
              </w:rPr>
              <w:t>aPOWM</w:t>
            </w:r>
            <w:proofErr w:type="spellEnd"/>
            <w:r w:rsidRPr="00B028D4">
              <w:rPr>
                <w:sz w:val="20"/>
                <w:szCs w:val="20"/>
              </w:rPr>
              <w:t xml:space="preserve"> </w:t>
            </w:r>
          </w:p>
        </w:tc>
        <w:tc>
          <w:tcPr>
            <w:tcW w:w="2143" w:type="pct"/>
            <w:tcBorders>
              <w:top w:val="single" w:sz="4" w:space="0" w:color="auto"/>
              <w:left w:val="single" w:sz="4" w:space="0" w:color="auto"/>
              <w:bottom w:val="single" w:sz="4" w:space="0" w:color="auto"/>
              <w:right w:val="single" w:sz="4" w:space="0" w:color="auto"/>
            </w:tcBorders>
            <w:hideMark/>
          </w:tcPr>
          <w:p w14:paraId="17A167B1" w14:textId="77777777" w:rsidR="00B028D4" w:rsidRPr="00B028D4" w:rsidRDefault="00B028D4">
            <w:pPr>
              <w:pStyle w:val="Default"/>
              <w:spacing w:line="256" w:lineRule="auto"/>
              <w:rPr>
                <w:sz w:val="20"/>
                <w:szCs w:val="20"/>
              </w:rPr>
            </w:pPr>
            <w:r w:rsidRPr="00B028D4">
              <w:rPr>
                <w:sz w:val="20"/>
                <w:szCs w:val="20"/>
              </w:rPr>
              <w:t>188</w:t>
            </w:r>
          </w:p>
        </w:tc>
      </w:tr>
      <w:tr w:rsidR="00B028D4" w:rsidRPr="00B028D4" w14:paraId="324B0D84" w14:textId="77777777" w:rsidTr="00B028D4">
        <w:trPr>
          <w:trHeight w:val="24"/>
        </w:trPr>
        <w:tc>
          <w:tcPr>
            <w:tcW w:w="2857" w:type="pct"/>
            <w:tcBorders>
              <w:top w:val="single" w:sz="4" w:space="0" w:color="auto"/>
              <w:left w:val="single" w:sz="4" w:space="0" w:color="auto"/>
              <w:bottom w:val="single" w:sz="4" w:space="0" w:color="auto"/>
              <w:right w:val="single" w:sz="4" w:space="0" w:color="auto"/>
            </w:tcBorders>
            <w:hideMark/>
          </w:tcPr>
          <w:p w14:paraId="5AC1F6AC" w14:textId="77777777" w:rsidR="00B028D4" w:rsidRPr="00B028D4" w:rsidRDefault="00B028D4">
            <w:pPr>
              <w:pStyle w:val="Default"/>
              <w:spacing w:line="256" w:lineRule="auto"/>
              <w:rPr>
                <w:sz w:val="20"/>
                <w:szCs w:val="20"/>
              </w:rPr>
            </w:pPr>
            <w:r w:rsidRPr="00B028D4">
              <w:rPr>
                <w:sz w:val="20"/>
                <w:szCs w:val="20"/>
              </w:rPr>
              <w:t xml:space="preserve">Liczba wysłanych mailingów </w:t>
            </w:r>
          </w:p>
        </w:tc>
        <w:tc>
          <w:tcPr>
            <w:tcW w:w="2143" w:type="pct"/>
            <w:tcBorders>
              <w:top w:val="single" w:sz="4" w:space="0" w:color="auto"/>
              <w:left w:val="single" w:sz="4" w:space="0" w:color="auto"/>
              <w:bottom w:val="single" w:sz="4" w:space="0" w:color="auto"/>
              <w:right w:val="single" w:sz="4" w:space="0" w:color="auto"/>
            </w:tcBorders>
            <w:hideMark/>
          </w:tcPr>
          <w:p w14:paraId="5E20FB06" w14:textId="77777777" w:rsidR="00B028D4" w:rsidRPr="00B028D4" w:rsidRDefault="00B028D4">
            <w:pPr>
              <w:pStyle w:val="Default"/>
              <w:spacing w:line="256" w:lineRule="auto"/>
              <w:rPr>
                <w:sz w:val="20"/>
                <w:szCs w:val="20"/>
              </w:rPr>
            </w:pPr>
            <w:r w:rsidRPr="00B028D4">
              <w:rPr>
                <w:sz w:val="20"/>
                <w:szCs w:val="20"/>
              </w:rPr>
              <w:t>8</w:t>
            </w:r>
          </w:p>
        </w:tc>
      </w:tr>
      <w:tr w:rsidR="00B028D4" w:rsidRPr="00B028D4" w14:paraId="57D25139" w14:textId="77777777" w:rsidTr="00B028D4">
        <w:trPr>
          <w:trHeight w:val="24"/>
        </w:trPr>
        <w:tc>
          <w:tcPr>
            <w:tcW w:w="2857" w:type="pct"/>
            <w:tcBorders>
              <w:top w:val="single" w:sz="4" w:space="0" w:color="auto"/>
              <w:left w:val="single" w:sz="4" w:space="0" w:color="auto"/>
              <w:bottom w:val="single" w:sz="4" w:space="0" w:color="auto"/>
              <w:right w:val="single" w:sz="4" w:space="0" w:color="auto"/>
            </w:tcBorders>
            <w:hideMark/>
          </w:tcPr>
          <w:p w14:paraId="04524FDB" w14:textId="77777777" w:rsidR="00B028D4" w:rsidRPr="00B028D4" w:rsidRDefault="00B028D4">
            <w:pPr>
              <w:pStyle w:val="Default"/>
              <w:spacing w:line="256" w:lineRule="auto"/>
              <w:rPr>
                <w:sz w:val="20"/>
                <w:szCs w:val="20"/>
              </w:rPr>
            </w:pPr>
            <w:r w:rsidRPr="00B028D4">
              <w:rPr>
                <w:sz w:val="20"/>
                <w:szCs w:val="20"/>
              </w:rPr>
              <w:t>Liczba wyświetleń spotu „Chroń morze razem z nami” na YouTube Zamawiającego</w:t>
            </w:r>
          </w:p>
        </w:tc>
        <w:tc>
          <w:tcPr>
            <w:tcW w:w="2143" w:type="pct"/>
            <w:tcBorders>
              <w:top w:val="single" w:sz="4" w:space="0" w:color="auto"/>
              <w:left w:val="single" w:sz="4" w:space="0" w:color="auto"/>
              <w:bottom w:val="single" w:sz="4" w:space="0" w:color="auto"/>
              <w:right w:val="single" w:sz="4" w:space="0" w:color="auto"/>
            </w:tcBorders>
            <w:hideMark/>
          </w:tcPr>
          <w:p w14:paraId="64CE424C" w14:textId="77777777" w:rsidR="00B028D4" w:rsidRPr="00B028D4" w:rsidRDefault="00B028D4">
            <w:pPr>
              <w:pStyle w:val="Default"/>
              <w:spacing w:line="256" w:lineRule="auto"/>
              <w:rPr>
                <w:sz w:val="20"/>
                <w:szCs w:val="20"/>
              </w:rPr>
            </w:pPr>
            <w:r w:rsidRPr="00B028D4">
              <w:rPr>
                <w:sz w:val="20"/>
                <w:szCs w:val="20"/>
              </w:rPr>
              <w:t>Około 500 wyświetleń</w:t>
            </w:r>
          </w:p>
        </w:tc>
      </w:tr>
      <w:tr w:rsidR="00B028D4" w:rsidRPr="00B028D4" w14:paraId="4EEEEE99" w14:textId="77777777" w:rsidTr="00B028D4">
        <w:trPr>
          <w:trHeight w:val="29"/>
        </w:trPr>
        <w:tc>
          <w:tcPr>
            <w:tcW w:w="2857" w:type="pct"/>
            <w:tcBorders>
              <w:top w:val="single" w:sz="4" w:space="0" w:color="auto"/>
              <w:left w:val="single" w:sz="4" w:space="0" w:color="auto"/>
              <w:bottom w:val="single" w:sz="4" w:space="0" w:color="auto"/>
              <w:right w:val="single" w:sz="4" w:space="0" w:color="auto"/>
            </w:tcBorders>
            <w:hideMark/>
          </w:tcPr>
          <w:p w14:paraId="3A82DBF6" w14:textId="77777777" w:rsidR="00B028D4" w:rsidRPr="00B028D4" w:rsidRDefault="00B028D4">
            <w:pPr>
              <w:pStyle w:val="Default"/>
              <w:spacing w:line="256" w:lineRule="auto"/>
              <w:rPr>
                <w:sz w:val="20"/>
                <w:szCs w:val="20"/>
              </w:rPr>
            </w:pPr>
            <w:r w:rsidRPr="00B028D4">
              <w:rPr>
                <w:sz w:val="20"/>
                <w:szCs w:val="20"/>
              </w:rPr>
              <w:t xml:space="preserve">Strona internetowa Chroń Morze </w:t>
            </w:r>
          </w:p>
        </w:tc>
        <w:tc>
          <w:tcPr>
            <w:tcW w:w="2143" w:type="pct"/>
            <w:tcBorders>
              <w:top w:val="single" w:sz="4" w:space="0" w:color="auto"/>
              <w:left w:val="single" w:sz="4" w:space="0" w:color="auto"/>
              <w:bottom w:val="single" w:sz="4" w:space="0" w:color="auto"/>
              <w:right w:val="single" w:sz="4" w:space="0" w:color="auto"/>
            </w:tcBorders>
            <w:hideMark/>
          </w:tcPr>
          <w:p w14:paraId="493D478E" w14:textId="77777777" w:rsidR="00B028D4" w:rsidRPr="00B028D4" w:rsidRDefault="00B028D4">
            <w:pPr>
              <w:pStyle w:val="Default"/>
              <w:spacing w:line="256" w:lineRule="auto"/>
              <w:rPr>
                <w:sz w:val="20"/>
                <w:szCs w:val="20"/>
              </w:rPr>
            </w:pPr>
            <w:r w:rsidRPr="00B028D4">
              <w:rPr>
                <w:sz w:val="20"/>
                <w:szCs w:val="20"/>
              </w:rPr>
              <w:t>Nowa strona internetowa projektu uruchomiona w dniu 22 marca 2021 r.</w:t>
            </w:r>
          </w:p>
        </w:tc>
      </w:tr>
      <w:tr w:rsidR="00B028D4" w:rsidRPr="00B028D4" w14:paraId="6309179C" w14:textId="77777777" w:rsidTr="00B028D4">
        <w:trPr>
          <w:trHeight w:val="24"/>
        </w:trPr>
        <w:tc>
          <w:tcPr>
            <w:tcW w:w="2857" w:type="pct"/>
            <w:tcBorders>
              <w:top w:val="single" w:sz="4" w:space="0" w:color="auto"/>
              <w:left w:val="single" w:sz="4" w:space="0" w:color="auto"/>
              <w:bottom w:val="single" w:sz="4" w:space="0" w:color="auto"/>
              <w:right w:val="single" w:sz="4" w:space="0" w:color="auto"/>
            </w:tcBorders>
            <w:hideMark/>
          </w:tcPr>
          <w:p w14:paraId="3F443F85" w14:textId="77777777" w:rsidR="00B028D4" w:rsidRPr="00B028D4" w:rsidRDefault="00B028D4">
            <w:pPr>
              <w:pStyle w:val="Default"/>
              <w:spacing w:line="256" w:lineRule="auto"/>
              <w:rPr>
                <w:sz w:val="20"/>
                <w:szCs w:val="20"/>
              </w:rPr>
            </w:pPr>
            <w:r w:rsidRPr="00B028D4">
              <w:rPr>
                <w:sz w:val="20"/>
                <w:szCs w:val="20"/>
              </w:rPr>
              <w:t xml:space="preserve">Liczba wejść na stronę </w:t>
            </w:r>
            <w:hyperlink r:id="rId10" w:history="1">
              <w:r w:rsidRPr="00B028D4">
                <w:rPr>
                  <w:rStyle w:val="Hipercze"/>
                  <w:sz w:val="20"/>
                  <w:szCs w:val="20"/>
                </w:rPr>
                <w:t>www.chronmorze.eu</w:t>
              </w:r>
            </w:hyperlink>
            <w:r w:rsidRPr="00B028D4">
              <w:rPr>
                <w:sz w:val="20"/>
                <w:szCs w:val="20"/>
              </w:rPr>
              <w:t xml:space="preserve"> do dnia 19 stycznia 2022 r.</w:t>
            </w:r>
          </w:p>
        </w:tc>
        <w:tc>
          <w:tcPr>
            <w:tcW w:w="2143" w:type="pct"/>
            <w:tcBorders>
              <w:top w:val="single" w:sz="4" w:space="0" w:color="auto"/>
              <w:left w:val="single" w:sz="4" w:space="0" w:color="auto"/>
              <w:bottom w:val="single" w:sz="4" w:space="0" w:color="auto"/>
              <w:right w:val="single" w:sz="4" w:space="0" w:color="auto"/>
            </w:tcBorders>
            <w:hideMark/>
          </w:tcPr>
          <w:p w14:paraId="3845A649" w14:textId="77777777" w:rsidR="00B028D4" w:rsidRPr="00B028D4" w:rsidRDefault="00B028D4">
            <w:pPr>
              <w:pStyle w:val="Default"/>
              <w:spacing w:line="256" w:lineRule="auto"/>
              <w:rPr>
                <w:sz w:val="20"/>
                <w:szCs w:val="20"/>
              </w:rPr>
            </w:pPr>
            <w:r w:rsidRPr="00B028D4">
              <w:rPr>
                <w:sz w:val="20"/>
                <w:szCs w:val="20"/>
              </w:rPr>
              <w:t>4 000 unikalnych użytkowników</w:t>
            </w:r>
          </w:p>
        </w:tc>
      </w:tr>
      <w:tr w:rsidR="00B028D4" w:rsidRPr="00B028D4" w14:paraId="233B7372" w14:textId="77777777" w:rsidTr="00B028D4">
        <w:trPr>
          <w:trHeight w:val="54"/>
        </w:trPr>
        <w:tc>
          <w:tcPr>
            <w:tcW w:w="2857" w:type="pct"/>
            <w:tcBorders>
              <w:top w:val="single" w:sz="4" w:space="0" w:color="auto"/>
              <w:left w:val="single" w:sz="4" w:space="0" w:color="auto"/>
              <w:bottom w:val="single" w:sz="4" w:space="0" w:color="auto"/>
              <w:right w:val="single" w:sz="4" w:space="0" w:color="auto"/>
            </w:tcBorders>
            <w:hideMark/>
          </w:tcPr>
          <w:p w14:paraId="6EDB9462" w14:textId="77777777" w:rsidR="00B028D4" w:rsidRPr="00B028D4" w:rsidRDefault="00B028D4">
            <w:pPr>
              <w:pStyle w:val="Default"/>
              <w:spacing w:line="256" w:lineRule="auto"/>
              <w:rPr>
                <w:sz w:val="20"/>
                <w:szCs w:val="20"/>
              </w:rPr>
            </w:pPr>
            <w:r w:rsidRPr="00B028D4">
              <w:rPr>
                <w:sz w:val="20"/>
                <w:szCs w:val="20"/>
              </w:rPr>
              <w:t>Liczba odsłon serwisu</w:t>
            </w:r>
          </w:p>
        </w:tc>
        <w:tc>
          <w:tcPr>
            <w:tcW w:w="2143" w:type="pct"/>
            <w:tcBorders>
              <w:top w:val="single" w:sz="4" w:space="0" w:color="auto"/>
              <w:left w:val="single" w:sz="4" w:space="0" w:color="auto"/>
              <w:bottom w:val="single" w:sz="4" w:space="0" w:color="auto"/>
              <w:right w:val="single" w:sz="4" w:space="0" w:color="auto"/>
            </w:tcBorders>
            <w:hideMark/>
          </w:tcPr>
          <w:p w14:paraId="78D87633" w14:textId="77777777" w:rsidR="00B028D4" w:rsidRPr="00B028D4" w:rsidRDefault="00B028D4">
            <w:pPr>
              <w:pStyle w:val="Default"/>
              <w:spacing w:line="256" w:lineRule="auto"/>
              <w:rPr>
                <w:sz w:val="20"/>
                <w:szCs w:val="20"/>
              </w:rPr>
            </w:pPr>
            <w:r w:rsidRPr="00B028D4">
              <w:rPr>
                <w:sz w:val="20"/>
                <w:szCs w:val="20"/>
              </w:rPr>
              <w:t>17 000</w:t>
            </w:r>
          </w:p>
        </w:tc>
      </w:tr>
    </w:tbl>
    <w:p w14:paraId="3F7DBEE0" w14:textId="77777777" w:rsidR="00A7342D" w:rsidRPr="00AE2672" w:rsidRDefault="00A7342D" w:rsidP="00653D91">
      <w:pPr>
        <w:pStyle w:val="Nagwek2"/>
        <w:numPr>
          <w:ilvl w:val="1"/>
          <w:numId w:val="5"/>
        </w:numPr>
        <w:jc w:val="both"/>
        <w:rPr>
          <w:rFonts w:ascii="Arial" w:hAnsi="Arial" w:cs="Arial"/>
          <w:sz w:val="20"/>
          <w:szCs w:val="20"/>
          <w:lang w:eastAsia="en-US"/>
        </w:rPr>
      </w:pPr>
      <w:bookmarkStart w:id="2" w:name="_Toc100563972"/>
      <w:r w:rsidRPr="00AE2672">
        <w:rPr>
          <w:rFonts w:ascii="Arial" w:hAnsi="Arial" w:cs="Arial"/>
          <w:sz w:val="20"/>
          <w:szCs w:val="20"/>
          <w:lang w:eastAsia="en-US"/>
        </w:rPr>
        <w:lastRenderedPageBreak/>
        <w:t>Charakterystyka grup docelowych konsultacji społecznych</w:t>
      </w:r>
      <w:bookmarkEnd w:id="2"/>
    </w:p>
    <w:p w14:paraId="561061C7" w14:textId="77777777" w:rsidR="00A7342D" w:rsidRPr="00AE2672" w:rsidRDefault="00A7342D" w:rsidP="00653D91">
      <w:pPr>
        <w:jc w:val="both"/>
        <w:rPr>
          <w:rFonts w:ascii="Arial" w:eastAsiaTheme="minorHAnsi" w:hAnsi="Arial" w:cs="Arial"/>
          <w:sz w:val="20"/>
          <w:szCs w:val="20"/>
          <w:lang w:eastAsia="en-US"/>
        </w:rPr>
      </w:pPr>
      <w:r w:rsidRPr="00AE2672">
        <w:rPr>
          <w:rFonts w:ascii="Arial" w:hAnsi="Arial" w:cs="Arial"/>
          <w:sz w:val="20"/>
          <w:szCs w:val="20"/>
        </w:rPr>
        <w:t>Grupy docelowe to interesariusze projektu – szerokie grono odbiorców począwszy od ekspertów, przez pracowników administracji, aż po ogół społeczeństwa. Główny podział tak różnorodnej grupy został dokonany ze względu na poziom zaangażowania we współtworzenie aktualizacji programy wód morskich. Wyróżniono dwie podstawowe grupy docelowe interesariuszy: bezpośrednio zainteresowaną planami oraz ogół społeczeństwa.</w:t>
      </w:r>
    </w:p>
    <w:p w14:paraId="4D83F74B" w14:textId="77777777" w:rsidR="00A7342D" w:rsidRPr="00AE2672" w:rsidRDefault="00A7342D" w:rsidP="00653D91">
      <w:pPr>
        <w:jc w:val="both"/>
        <w:rPr>
          <w:rFonts w:ascii="Arial" w:hAnsi="Arial" w:cs="Arial"/>
          <w:sz w:val="20"/>
          <w:szCs w:val="20"/>
        </w:rPr>
      </w:pPr>
      <w:r w:rsidRPr="00AE2672">
        <w:rPr>
          <w:rFonts w:ascii="Arial" w:hAnsi="Arial" w:cs="Arial"/>
          <w:sz w:val="20"/>
          <w:szCs w:val="20"/>
        </w:rPr>
        <w:t>Grupy bezpośrednio zainteresowane planami to osoby związane zawodowo z gospodarką wodną i gospodarką morską, pracujące w organach administracji, eksperci. Typologia interesariuszy wygląda następująco:</w:t>
      </w:r>
    </w:p>
    <w:p w14:paraId="5AB2D694" w14:textId="77777777" w:rsidR="00AE2672" w:rsidRPr="00AE2672" w:rsidRDefault="00AE2672" w:rsidP="00653D91">
      <w:pPr>
        <w:pStyle w:val="Akapitzlist"/>
        <w:numPr>
          <w:ilvl w:val="0"/>
          <w:numId w:val="4"/>
        </w:numPr>
        <w:suppressAutoHyphens w:val="0"/>
        <w:spacing w:after="160"/>
        <w:jc w:val="both"/>
        <w:rPr>
          <w:rFonts w:ascii="Arial" w:eastAsiaTheme="minorHAnsi" w:hAnsi="Arial" w:cs="Arial"/>
          <w:sz w:val="20"/>
          <w:szCs w:val="20"/>
          <w:lang w:eastAsia="en-US"/>
        </w:rPr>
      </w:pPr>
      <w:r w:rsidRPr="00AE2672">
        <w:rPr>
          <w:rFonts w:ascii="Arial" w:hAnsi="Arial" w:cs="Arial"/>
          <w:sz w:val="20"/>
          <w:szCs w:val="20"/>
        </w:rPr>
        <w:t>Specjaliści – w tym m.in. organizacje sektora publicznego i prywatnego, profesjonalne grupy pozarządowe (społeczne, gospodarcze i środowiskowe), a także grupy biznesowe czy środowiska akademickie,</w:t>
      </w:r>
    </w:p>
    <w:p w14:paraId="19DEDFE8" w14:textId="7E437FD3" w:rsidR="00AE2672" w:rsidRPr="00AE2672" w:rsidRDefault="00AE2672" w:rsidP="00653D91">
      <w:pPr>
        <w:pStyle w:val="Akapitzlist"/>
        <w:numPr>
          <w:ilvl w:val="0"/>
          <w:numId w:val="4"/>
        </w:numPr>
        <w:suppressAutoHyphens w:val="0"/>
        <w:spacing w:after="160"/>
        <w:jc w:val="both"/>
        <w:rPr>
          <w:rFonts w:ascii="Arial" w:hAnsi="Arial" w:cs="Arial"/>
          <w:sz w:val="20"/>
          <w:szCs w:val="20"/>
        </w:rPr>
      </w:pPr>
      <w:r w:rsidRPr="00AE2672">
        <w:rPr>
          <w:rFonts w:ascii="Arial" w:hAnsi="Arial" w:cs="Arial"/>
          <w:sz w:val="20"/>
          <w:szCs w:val="20"/>
        </w:rPr>
        <w:t>Administracja rządowa i samorządowa – wybrani reprezentanci departamentów organów rządowych i władz samorządowych związanych</w:t>
      </w:r>
      <w:r w:rsidR="005D5E0C">
        <w:rPr>
          <w:rFonts w:ascii="Arial" w:hAnsi="Arial" w:cs="Arial"/>
          <w:sz w:val="20"/>
          <w:szCs w:val="20"/>
        </w:rPr>
        <w:t xml:space="preserve"> </w:t>
      </w:r>
      <w:r w:rsidR="001E7AC7">
        <w:rPr>
          <w:rFonts w:ascii="Arial" w:hAnsi="Arial" w:cs="Arial"/>
          <w:sz w:val="20"/>
          <w:szCs w:val="20"/>
        </w:rPr>
        <w:t xml:space="preserve">oraz odpowiedzialnych </w:t>
      </w:r>
      <w:r w:rsidRPr="00AE2672">
        <w:rPr>
          <w:rFonts w:ascii="Arial" w:hAnsi="Arial" w:cs="Arial"/>
          <w:sz w:val="20"/>
          <w:szCs w:val="20"/>
        </w:rPr>
        <w:t>z</w:t>
      </w:r>
      <w:r w:rsidR="001E7AC7">
        <w:rPr>
          <w:rFonts w:ascii="Arial" w:hAnsi="Arial" w:cs="Arial"/>
          <w:sz w:val="20"/>
          <w:szCs w:val="20"/>
        </w:rPr>
        <w:t>a</w:t>
      </w:r>
      <w:r w:rsidRPr="00AE2672">
        <w:rPr>
          <w:rFonts w:ascii="Arial" w:hAnsi="Arial" w:cs="Arial"/>
          <w:sz w:val="20"/>
          <w:szCs w:val="20"/>
        </w:rPr>
        <w:t xml:space="preserve"> ochron</w:t>
      </w:r>
      <w:r w:rsidR="005D5E0C">
        <w:rPr>
          <w:rFonts w:ascii="Arial" w:hAnsi="Arial" w:cs="Arial"/>
          <w:sz w:val="20"/>
          <w:szCs w:val="20"/>
        </w:rPr>
        <w:t>ę</w:t>
      </w:r>
      <w:r w:rsidRPr="00AE2672">
        <w:rPr>
          <w:rFonts w:ascii="Arial" w:hAnsi="Arial" w:cs="Arial"/>
          <w:sz w:val="20"/>
          <w:szCs w:val="20"/>
        </w:rPr>
        <w:t xml:space="preserve"> wód, gospodark</w:t>
      </w:r>
      <w:r w:rsidR="005D5E0C">
        <w:rPr>
          <w:rFonts w:ascii="Arial" w:hAnsi="Arial" w:cs="Arial"/>
          <w:sz w:val="20"/>
          <w:szCs w:val="20"/>
        </w:rPr>
        <w:t>ę</w:t>
      </w:r>
      <w:r w:rsidRPr="00AE2672">
        <w:rPr>
          <w:rFonts w:ascii="Arial" w:hAnsi="Arial" w:cs="Arial"/>
          <w:sz w:val="20"/>
          <w:szCs w:val="20"/>
        </w:rPr>
        <w:t xml:space="preserve"> wodną, gospodark</w:t>
      </w:r>
      <w:r w:rsidR="005D5E0C">
        <w:rPr>
          <w:rFonts w:ascii="Arial" w:hAnsi="Arial" w:cs="Arial"/>
          <w:sz w:val="20"/>
          <w:szCs w:val="20"/>
        </w:rPr>
        <w:t>ę</w:t>
      </w:r>
      <w:r w:rsidRPr="00AE2672">
        <w:rPr>
          <w:rFonts w:ascii="Arial" w:hAnsi="Arial" w:cs="Arial"/>
          <w:sz w:val="20"/>
          <w:szCs w:val="20"/>
        </w:rPr>
        <w:t xml:space="preserve"> morską</w:t>
      </w:r>
      <w:r w:rsidR="005D5E0C">
        <w:rPr>
          <w:rFonts w:ascii="Arial" w:hAnsi="Arial" w:cs="Arial"/>
          <w:sz w:val="20"/>
          <w:szCs w:val="20"/>
        </w:rPr>
        <w:t xml:space="preserve"> oraz </w:t>
      </w:r>
      <w:r w:rsidRPr="00AE2672">
        <w:rPr>
          <w:rFonts w:ascii="Arial" w:hAnsi="Arial" w:cs="Arial"/>
          <w:sz w:val="20"/>
          <w:szCs w:val="20"/>
        </w:rPr>
        <w:t>gospodark</w:t>
      </w:r>
      <w:r w:rsidR="005D5E0C">
        <w:rPr>
          <w:rFonts w:ascii="Arial" w:hAnsi="Arial" w:cs="Arial"/>
          <w:sz w:val="20"/>
          <w:szCs w:val="20"/>
        </w:rPr>
        <w:t>ę</w:t>
      </w:r>
      <w:r w:rsidRPr="00AE2672">
        <w:rPr>
          <w:rFonts w:ascii="Arial" w:hAnsi="Arial" w:cs="Arial"/>
          <w:sz w:val="20"/>
          <w:szCs w:val="20"/>
        </w:rPr>
        <w:t xml:space="preserve"> wodno-ściekową</w:t>
      </w:r>
      <w:r w:rsidR="005D5E0C">
        <w:rPr>
          <w:rFonts w:ascii="Arial" w:hAnsi="Arial" w:cs="Arial"/>
          <w:sz w:val="20"/>
          <w:szCs w:val="20"/>
        </w:rPr>
        <w:t>.</w:t>
      </w:r>
    </w:p>
    <w:p w14:paraId="16408F97" w14:textId="77777777" w:rsidR="00AE2672" w:rsidRPr="00AE2672" w:rsidRDefault="00AE2672" w:rsidP="00653D91">
      <w:pPr>
        <w:pStyle w:val="Akapitzlist"/>
        <w:numPr>
          <w:ilvl w:val="0"/>
          <w:numId w:val="4"/>
        </w:numPr>
        <w:suppressAutoHyphens w:val="0"/>
        <w:spacing w:after="160"/>
        <w:jc w:val="both"/>
        <w:rPr>
          <w:rFonts w:ascii="Arial" w:hAnsi="Arial" w:cs="Arial"/>
          <w:sz w:val="20"/>
          <w:szCs w:val="20"/>
        </w:rPr>
      </w:pPr>
      <w:r w:rsidRPr="00AE2672">
        <w:rPr>
          <w:rFonts w:ascii="Arial" w:hAnsi="Arial" w:cs="Arial"/>
          <w:sz w:val="20"/>
          <w:szCs w:val="20"/>
        </w:rPr>
        <w:t>Grupy lokalne - niezorganizowane podmioty działające na poziomie lokalnym np. stowarzyszenia i rady lokalne,</w:t>
      </w:r>
    </w:p>
    <w:p w14:paraId="45D15232" w14:textId="77777777" w:rsidR="00AE2672" w:rsidRPr="00AE2672" w:rsidRDefault="00AE2672" w:rsidP="00653D91">
      <w:pPr>
        <w:pStyle w:val="Akapitzlist"/>
        <w:numPr>
          <w:ilvl w:val="0"/>
          <w:numId w:val="4"/>
        </w:numPr>
        <w:suppressAutoHyphens w:val="0"/>
        <w:spacing w:after="160"/>
        <w:jc w:val="both"/>
        <w:rPr>
          <w:rFonts w:ascii="Arial" w:hAnsi="Arial" w:cs="Arial"/>
          <w:sz w:val="20"/>
          <w:szCs w:val="20"/>
        </w:rPr>
      </w:pPr>
      <w:r w:rsidRPr="00AE2672">
        <w:rPr>
          <w:rFonts w:ascii="Arial" w:hAnsi="Arial" w:cs="Arial"/>
          <w:sz w:val="20"/>
          <w:szCs w:val="20"/>
        </w:rPr>
        <w:t xml:space="preserve">Społeczności bezpośrednio zainteresowane – grupy rolników, rybaków, mieszkańców obszarów nadmorskich itp. </w:t>
      </w:r>
    </w:p>
    <w:p w14:paraId="0A4B26CD" w14:textId="3F832E1E" w:rsidR="00F77E7C" w:rsidRPr="0074160C" w:rsidRDefault="00AE2672" w:rsidP="00F77E7C">
      <w:pPr>
        <w:pStyle w:val="Akapitzlist"/>
        <w:numPr>
          <w:ilvl w:val="0"/>
          <w:numId w:val="4"/>
        </w:numPr>
        <w:suppressAutoHyphens w:val="0"/>
        <w:spacing w:after="160"/>
        <w:jc w:val="both"/>
        <w:rPr>
          <w:rFonts w:ascii="Arial" w:hAnsi="Arial" w:cs="Arial"/>
          <w:sz w:val="20"/>
          <w:szCs w:val="20"/>
        </w:rPr>
      </w:pPr>
      <w:r w:rsidRPr="00AE2672">
        <w:rPr>
          <w:rFonts w:ascii="Arial" w:hAnsi="Arial" w:cs="Arial"/>
          <w:sz w:val="20"/>
          <w:szCs w:val="20"/>
        </w:rPr>
        <w:t>Drugą podstawową grupą docelową jest ogół społeczeństwa. To właśnie do niego skierowane były działania informacyjno-promocyjne. Ta grupa nie jest bezpośrednio związana z</w:t>
      </w:r>
      <w:r w:rsidR="00E72CEC">
        <w:rPr>
          <w:rFonts w:ascii="Arial" w:hAnsi="Arial" w:cs="Arial"/>
          <w:sz w:val="20"/>
          <w:szCs w:val="20"/>
        </w:rPr>
        <w:t> </w:t>
      </w:r>
      <w:r w:rsidRPr="00AE2672">
        <w:rPr>
          <w:rFonts w:ascii="Arial" w:hAnsi="Arial" w:cs="Arial"/>
          <w:sz w:val="20"/>
          <w:szCs w:val="20"/>
        </w:rPr>
        <w:t>aktualizacją programu ochrony wód morskich, jednak podniesienie świadomości oraz wiedzy na temat utrzymania lub przywrócenia dobrego stanu wód morskich to istotny cel prowadzonej kampanii. Wszystkie podejmowane działania podejmowane przy promocji projektu Chroń Morze były bardzo istotne dla kształtowania właściwych i świadomych postaw obywatelskich w</w:t>
      </w:r>
      <w:r w:rsidR="00E72CEC">
        <w:rPr>
          <w:rFonts w:ascii="Arial" w:hAnsi="Arial" w:cs="Arial"/>
          <w:sz w:val="20"/>
          <w:szCs w:val="20"/>
        </w:rPr>
        <w:t> </w:t>
      </w:r>
      <w:r w:rsidRPr="00AE2672">
        <w:rPr>
          <w:rFonts w:ascii="Arial" w:hAnsi="Arial" w:cs="Arial"/>
          <w:sz w:val="20"/>
          <w:szCs w:val="20"/>
        </w:rPr>
        <w:t>przyszłości.</w:t>
      </w:r>
    </w:p>
    <w:p w14:paraId="001C49C3" w14:textId="77777777" w:rsidR="00F77E7C" w:rsidRPr="00F77E7C" w:rsidRDefault="00F77E7C" w:rsidP="00F77E7C">
      <w:pPr>
        <w:pStyle w:val="Nagwek2"/>
        <w:numPr>
          <w:ilvl w:val="1"/>
          <w:numId w:val="5"/>
        </w:numPr>
        <w:rPr>
          <w:rFonts w:ascii="Arial" w:hAnsi="Arial" w:cs="Arial"/>
          <w:sz w:val="20"/>
          <w:szCs w:val="20"/>
        </w:rPr>
      </w:pPr>
      <w:bookmarkStart w:id="3" w:name="_Toc100563973"/>
      <w:r w:rsidRPr="00F77E7C">
        <w:rPr>
          <w:rFonts w:ascii="Arial" w:hAnsi="Arial" w:cs="Arial"/>
          <w:sz w:val="20"/>
          <w:szCs w:val="20"/>
        </w:rPr>
        <w:t>Lokalizacje i terminy konferencji ogólnopolskich</w:t>
      </w:r>
      <w:bookmarkEnd w:id="3"/>
    </w:p>
    <w:p w14:paraId="584675A9" w14:textId="77777777" w:rsidR="00F77E7C" w:rsidRDefault="00287BFD" w:rsidP="00F77E7C">
      <w:pPr>
        <w:jc w:val="both"/>
        <w:rPr>
          <w:rFonts w:ascii="Arial" w:hAnsi="Arial" w:cs="Arial"/>
          <w:sz w:val="20"/>
          <w:szCs w:val="20"/>
        </w:rPr>
      </w:pPr>
      <w:r>
        <w:rPr>
          <w:rFonts w:ascii="Arial" w:hAnsi="Arial" w:cs="Arial"/>
          <w:sz w:val="20"/>
          <w:szCs w:val="20"/>
        </w:rPr>
        <w:t>W ramach konsultacji społecznych, t</w:t>
      </w:r>
      <w:r w:rsidR="00F77E7C" w:rsidRPr="00F77E7C">
        <w:rPr>
          <w:rFonts w:ascii="Arial" w:hAnsi="Arial" w:cs="Arial"/>
          <w:sz w:val="20"/>
          <w:szCs w:val="20"/>
        </w:rPr>
        <w:t>rzy ogólnopolskie, merytoryczne konferencje na temat aktualizacji programu ochrony wód morskich były okazją do przedyskutowania w gronie ekspertów zagadn</w:t>
      </w:r>
      <w:r w:rsidR="00F77E7C">
        <w:rPr>
          <w:rFonts w:ascii="Arial" w:hAnsi="Arial" w:cs="Arial"/>
          <w:sz w:val="20"/>
          <w:szCs w:val="20"/>
        </w:rPr>
        <w:t xml:space="preserve">ień proponowanych w dokumencie. </w:t>
      </w:r>
      <w:r w:rsidR="00F77E7C" w:rsidRPr="00F77E7C">
        <w:rPr>
          <w:rFonts w:ascii="Arial" w:hAnsi="Arial" w:cs="Arial"/>
          <w:sz w:val="20"/>
          <w:szCs w:val="20"/>
        </w:rPr>
        <w:t>Ze względu na obowiązujące w tamtym czasie obostrzenia, wszystkie trzy konferencje odbyły się w formule on-line, z transm</w:t>
      </w:r>
      <w:r w:rsidR="00F77E7C">
        <w:rPr>
          <w:rFonts w:ascii="Arial" w:hAnsi="Arial" w:cs="Arial"/>
          <w:sz w:val="20"/>
          <w:szCs w:val="20"/>
        </w:rPr>
        <w:t>isją z trzech miast nadmorskich:</w:t>
      </w:r>
    </w:p>
    <w:p w14:paraId="221CBA9A" w14:textId="77777777" w:rsidR="00F77E7C" w:rsidRPr="00F77E7C" w:rsidRDefault="00F77E7C" w:rsidP="00F77E7C">
      <w:pPr>
        <w:pStyle w:val="Akapitzlist"/>
        <w:numPr>
          <w:ilvl w:val="0"/>
          <w:numId w:val="6"/>
        </w:numPr>
        <w:jc w:val="both"/>
        <w:rPr>
          <w:rFonts w:ascii="Arial" w:eastAsiaTheme="minorHAnsi" w:hAnsi="Arial" w:cs="Arial"/>
          <w:sz w:val="20"/>
          <w:szCs w:val="20"/>
        </w:rPr>
      </w:pPr>
      <w:r w:rsidRPr="00F77E7C">
        <w:rPr>
          <w:rFonts w:ascii="Arial" w:hAnsi="Arial" w:cs="Arial"/>
          <w:sz w:val="20"/>
          <w:szCs w:val="20"/>
        </w:rPr>
        <w:t>9 lip</w:t>
      </w:r>
      <w:r>
        <w:rPr>
          <w:rFonts w:ascii="Arial" w:hAnsi="Arial" w:cs="Arial"/>
          <w:sz w:val="20"/>
          <w:szCs w:val="20"/>
        </w:rPr>
        <w:t>ca 2021 r. - Gdańsk</w:t>
      </w:r>
      <w:r w:rsidRPr="00F77E7C">
        <w:rPr>
          <w:rFonts w:ascii="Arial" w:hAnsi="Arial" w:cs="Arial"/>
          <w:sz w:val="20"/>
          <w:szCs w:val="20"/>
        </w:rPr>
        <w:t xml:space="preserve">, </w:t>
      </w:r>
    </w:p>
    <w:p w14:paraId="432F5E84" w14:textId="77777777" w:rsidR="00F77E7C" w:rsidRPr="00F77E7C" w:rsidRDefault="00F77E7C" w:rsidP="00F77E7C">
      <w:pPr>
        <w:pStyle w:val="Akapitzlist"/>
        <w:numPr>
          <w:ilvl w:val="0"/>
          <w:numId w:val="6"/>
        </w:numPr>
        <w:jc w:val="both"/>
        <w:rPr>
          <w:rFonts w:ascii="Arial" w:eastAsiaTheme="minorHAnsi" w:hAnsi="Arial" w:cs="Arial"/>
          <w:sz w:val="20"/>
          <w:szCs w:val="20"/>
        </w:rPr>
      </w:pPr>
      <w:r>
        <w:rPr>
          <w:rFonts w:ascii="Arial" w:hAnsi="Arial" w:cs="Arial"/>
          <w:sz w:val="20"/>
          <w:szCs w:val="20"/>
        </w:rPr>
        <w:t xml:space="preserve">31 sierpnia 2021 r. – </w:t>
      </w:r>
      <w:r w:rsidRPr="00F77E7C">
        <w:rPr>
          <w:rFonts w:ascii="Arial" w:hAnsi="Arial" w:cs="Arial"/>
          <w:sz w:val="20"/>
          <w:szCs w:val="20"/>
        </w:rPr>
        <w:t>Gdyni</w:t>
      </w:r>
      <w:r>
        <w:rPr>
          <w:rFonts w:ascii="Arial" w:hAnsi="Arial" w:cs="Arial"/>
          <w:sz w:val="20"/>
          <w:szCs w:val="20"/>
        </w:rPr>
        <w:t>a,</w:t>
      </w:r>
    </w:p>
    <w:p w14:paraId="0B49CD1E" w14:textId="77777777" w:rsidR="00F77E7C" w:rsidRPr="00287BFD" w:rsidRDefault="00F77E7C" w:rsidP="00F77E7C">
      <w:pPr>
        <w:pStyle w:val="Akapitzlist"/>
        <w:numPr>
          <w:ilvl w:val="0"/>
          <w:numId w:val="6"/>
        </w:numPr>
        <w:jc w:val="both"/>
        <w:rPr>
          <w:rFonts w:ascii="Arial" w:hAnsi="Arial" w:cs="Arial"/>
          <w:sz w:val="20"/>
          <w:szCs w:val="20"/>
        </w:rPr>
      </w:pPr>
      <w:r w:rsidRPr="00F77E7C">
        <w:rPr>
          <w:rFonts w:ascii="Arial" w:hAnsi="Arial" w:cs="Arial"/>
          <w:sz w:val="20"/>
          <w:szCs w:val="20"/>
        </w:rPr>
        <w:t xml:space="preserve">5 </w:t>
      </w:r>
      <w:r w:rsidRPr="00287BFD">
        <w:rPr>
          <w:rFonts w:ascii="Arial" w:hAnsi="Arial" w:cs="Arial"/>
          <w:sz w:val="20"/>
          <w:szCs w:val="20"/>
        </w:rPr>
        <w:t>października 2021 r. - Szczecin.</w:t>
      </w:r>
    </w:p>
    <w:p w14:paraId="294E9F3D" w14:textId="77777777" w:rsidR="00F77E7C" w:rsidRPr="00287BFD" w:rsidRDefault="00F77E7C" w:rsidP="00287BFD">
      <w:pPr>
        <w:jc w:val="both"/>
        <w:rPr>
          <w:rFonts w:ascii="Arial" w:eastAsiaTheme="minorHAnsi" w:hAnsi="Arial" w:cs="Arial"/>
          <w:sz w:val="20"/>
          <w:szCs w:val="20"/>
          <w:lang w:eastAsia="en-US"/>
        </w:rPr>
      </w:pPr>
      <w:r w:rsidRPr="00287BFD">
        <w:rPr>
          <w:rFonts w:ascii="Arial" w:hAnsi="Arial" w:cs="Arial"/>
          <w:sz w:val="20"/>
          <w:szCs w:val="20"/>
        </w:rPr>
        <w:t xml:space="preserve">Formuła on-line pozwoliła każdej zainteresowanej osobie na wygodne łączenie się z każdego miejsca. Łącznie we wszystkich trzech konferencjach uczestniczyło prawie 300 osób. Transmisje z konferencji zostały udostępnione na stronie projektu: </w:t>
      </w:r>
      <w:hyperlink r:id="rId11" w:history="1">
        <w:r w:rsidRPr="00287BFD">
          <w:rPr>
            <w:rStyle w:val="Hipercze"/>
            <w:rFonts w:ascii="Arial" w:hAnsi="Arial" w:cs="Arial"/>
            <w:sz w:val="20"/>
            <w:szCs w:val="20"/>
          </w:rPr>
          <w:t>https://chronmorze.eu/konferencje/</w:t>
        </w:r>
      </w:hyperlink>
      <w:r w:rsidRPr="00287BFD">
        <w:rPr>
          <w:rFonts w:ascii="Arial" w:hAnsi="Arial" w:cs="Arial"/>
          <w:sz w:val="20"/>
          <w:szCs w:val="20"/>
        </w:rPr>
        <w:t>.</w:t>
      </w:r>
      <w:r w:rsidR="00287BFD" w:rsidRPr="00287BFD">
        <w:rPr>
          <w:rFonts w:ascii="Arial" w:hAnsi="Arial" w:cs="Arial"/>
          <w:sz w:val="20"/>
          <w:szCs w:val="20"/>
        </w:rPr>
        <w:t xml:space="preserve"> Na stronie internetowej projektu dostępne są także materiały pokonferencyjne oraz prezentacje.</w:t>
      </w:r>
    </w:p>
    <w:p w14:paraId="483FA87F" w14:textId="7D63B099" w:rsidR="00F77E7C" w:rsidRPr="00287BFD" w:rsidRDefault="00287BFD" w:rsidP="00287BFD">
      <w:pPr>
        <w:jc w:val="both"/>
        <w:rPr>
          <w:rFonts w:ascii="Arial" w:hAnsi="Arial" w:cs="Arial"/>
          <w:sz w:val="20"/>
          <w:szCs w:val="20"/>
        </w:rPr>
      </w:pPr>
      <w:r w:rsidRPr="00287BFD">
        <w:rPr>
          <w:rFonts w:ascii="Arial" w:hAnsi="Arial" w:cs="Arial"/>
          <w:sz w:val="20"/>
          <w:szCs w:val="20"/>
        </w:rPr>
        <w:t xml:space="preserve">Podczas konferencji eksperci przybliżyli założenia </w:t>
      </w:r>
      <w:r w:rsidR="005F7230">
        <w:rPr>
          <w:rFonts w:ascii="Arial" w:hAnsi="Arial" w:cs="Arial"/>
          <w:sz w:val="20"/>
          <w:szCs w:val="20"/>
        </w:rPr>
        <w:t xml:space="preserve">i cele </w:t>
      </w:r>
      <w:r w:rsidRPr="00287BFD">
        <w:rPr>
          <w:rFonts w:ascii="Arial" w:hAnsi="Arial" w:cs="Arial"/>
          <w:sz w:val="20"/>
          <w:szCs w:val="20"/>
        </w:rPr>
        <w:t xml:space="preserve">projektu, </w:t>
      </w:r>
      <w:r w:rsidR="005F7230">
        <w:rPr>
          <w:rFonts w:ascii="Arial" w:hAnsi="Arial" w:cs="Arial"/>
          <w:sz w:val="20"/>
          <w:szCs w:val="20"/>
        </w:rPr>
        <w:t>podsumowali wdrożenie krajowego programu ochrony wód morskich (KPOWM)</w:t>
      </w:r>
      <w:r w:rsidRPr="00287BFD">
        <w:rPr>
          <w:rFonts w:ascii="Arial" w:hAnsi="Arial" w:cs="Arial"/>
          <w:sz w:val="20"/>
          <w:szCs w:val="20"/>
        </w:rPr>
        <w:t xml:space="preserve"> oraz przedstawili proponowane w projekcie </w:t>
      </w:r>
      <w:proofErr w:type="spellStart"/>
      <w:r w:rsidR="005F7230">
        <w:rPr>
          <w:rFonts w:ascii="Arial" w:hAnsi="Arial" w:cs="Arial"/>
          <w:sz w:val="20"/>
          <w:szCs w:val="20"/>
        </w:rPr>
        <w:t>aPOWM</w:t>
      </w:r>
      <w:proofErr w:type="spellEnd"/>
      <w:r w:rsidRPr="00287BFD">
        <w:rPr>
          <w:rFonts w:ascii="Arial" w:hAnsi="Arial" w:cs="Arial"/>
          <w:sz w:val="20"/>
          <w:szCs w:val="20"/>
        </w:rPr>
        <w:t xml:space="preserve"> działania.</w:t>
      </w:r>
    </w:p>
    <w:p w14:paraId="4D2FF8F6" w14:textId="745A38EB" w:rsidR="00287BFD" w:rsidRPr="00287BFD" w:rsidRDefault="00287BFD" w:rsidP="00287BFD">
      <w:pPr>
        <w:jc w:val="both"/>
        <w:rPr>
          <w:rFonts w:ascii="Arial" w:hAnsi="Arial" w:cs="Arial"/>
          <w:sz w:val="20"/>
          <w:szCs w:val="20"/>
        </w:rPr>
      </w:pPr>
      <w:r w:rsidRPr="00287BFD">
        <w:rPr>
          <w:rFonts w:ascii="Arial" w:hAnsi="Arial" w:cs="Arial"/>
          <w:sz w:val="20"/>
          <w:szCs w:val="20"/>
        </w:rPr>
        <w:t xml:space="preserve">O wszystkich konferencjach na bieżąco informowano na stronie projektu, gdzie </w:t>
      </w:r>
      <w:r w:rsidR="0084387B" w:rsidRPr="00287BFD">
        <w:rPr>
          <w:rFonts w:ascii="Arial" w:hAnsi="Arial" w:cs="Arial"/>
          <w:sz w:val="20"/>
          <w:szCs w:val="20"/>
        </w:rPr>
        <w:t xml:space="preserve">zamieszczony był </w:t>
      </w:r>
      <w:r w:rsidRPr="00287BFD">
        <w:rPr>
          <w:rFonts w:ascii="Arial" w:hAnsi="Arial" w:cs="Arial"/>
          <w:sz w:val="20"/>
          <w:szCs w:val="20"/>
        </w:rPr>
        <w:t xml:space="preserve">również formularz rejestracyjny. Zaproszenia na wszystkie konferencje rozesłane zostały </w:t>
      </w:r>
      <w:r w:rsidR="00C459AD">
        <w:rPr>
          <w:rFonts w:ascii="Arial" w:hAnsi="Arial" w:cs="Arial"/>
          <w:sz w:val="20"/>
          <w:szCs w:val="20"/>
        </w:rPr>
        <w:t>pocztą elektroniczną</w:t>
      </w:r>
      <w:r w:rsidRPr="00287BFD">
        <w:rPr>
          <w:rFonts w:ascii="Arial" w:hAnsi="Arial" w:cs="Arial"/>
          <w:sz w:val="20"/>
          <w:szCs w:val="20"/>
        </w:rPr>
        <w:t xml:space="preserve"> do interesariuszy projektu – jednostek samorządu terytorialnego, administracji rządowej i</w:t>
      </w:r>
      <w:r w:rsidR="00E72CEC">
        <w:rPr>
          <w:rFonts w:ascii="Arial" w:hAnsi="Arial" w:cs="Arial"/>
          <w:sz w:val="20"/>
          <w:szCs w:val="20"/>
        </w:rPr>
        <w:t> </w:t>
      </w:r>
      <w:r w:rsidRPr="00287BFD">
        <w:rPr>
          <w:rFonts w:ascii="Arial" w:hAnsi="Arial" w:cs="Arial"/>
          <w:sz w:val="20"/>
          <w:szCs w:val="20"/>
        </w:rPr>
        <w:t>samorządowej oraz organizacji pozarządowych. Zaproszenie na wydarzenia były również zamieszczane w mediach społecznościowych Wód Polskich.</w:t>
      </w:r>
    </w:p>
    <w:p w14:paraId="446ED3A1" w14:textId="77777777" w:rsidR="00287BFD" w:rsidRPr="00287BFD" w:rsidRDefault="00287BFD" w:rsidP="00287BFD">
      <w:pPr>
        <w:keepNext/>
        <w:spacing w:line="256" w:lineRule="auto"/>
        <w:rPr>
          <w:rFonts w:ascii="Arial" w:eastAsiaTheme="minorHAnsi" w:hAnsi="Arial" w:cs="Arial"/>
          <w:lang w:eastAsia="en-US"/>
        </w:rPr>
      </w:pPr>
      <w:r w:rsidRPr="00287BFD">
        <w:rPr>
          <w:rFonts w:ascii="Arial" w:hAnsi="Arial" w:cs="Arial"/>
          <w:noProof/>
          <w:sz w:val="20"/>
          <w:szCs w:val="20"/>
          <w:lang w:eastAsia="pl-PL"/>
        </w:rPr>
        <w:lastRenderedPageBreak/>
        <w:drawing>
          <wp:inline distT="0" distB="0" distL="0" distR="0" wp14:anchorId="461C1F4B" wp14:editId="3FE9640D">
            <wp:extent cx="5495290" cy="3209290"/>
            <wp:effectExtent l="0" t="0" r="10160" b="1016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B98E4B" w14:textId="77777777" w:rsidR="00287BFD" w:rsidRPr="00287BFD" w:rsidRDefault="00287BFD" w:rsidP="00287BFD">
      <w:pPr>
        <w:pStyle w:val="podpisy"/>
        <w:rPr>
          <w:rFonts w:ascii="Arial" w:hAnsi="Arial" w:cs="Arial"/>
          <w:noProof/>
        </w:rPr>
      </w:pPr>
      <w:bookmarkStart w:id="4" w:name="_Toc97637030"/>
      <w:r w:rsidRPr="00287BFD">
        <w:rPr>
          <w:rFonts w:ascii="Arial" w:hAnsi="Arial" w:cs="Arial"/>
          <w:b/>
          <w:bCs/>
          <w:noProof/>
        </w:rPr>
        <w:t xml:space="preserve">Rysunek </w:t>
      </w:r>
      <w:r w:rsidRPr="00287BFD">
        <w:rPr>
          <w:rFonts w:ascii="Arial" w:hAnsi="Arial" w:cs="Arial"/>
        </w:rPr>
        <w:fldChar w:fldCharType="begin"/>
      </w:r>
      <w:r w:rsidRPr="00287BFD">
        <w:rPr>
          <w:rFonts w:ascii="Arial" w:hAnsi="Arial" w:cs="Arial"/>
          <w:b/>
          <w:bCs/>
          <w:noProof/>
        </w:rPr>
        <w:instrText xml:space="preserve"> SEQ Rysunek \* ARABIC \s 1 </w:instrText>
      </w:r>
      <w:r w:rsidRPr="00287BFD">
        <w:rPr>
          <w:rFonts w:ascii="Arial" w:hAnsi="Arial" w:cs="Arial"/>
        </w:rPr>
        <w:fldChar w:fldCharType="separate"/>
      </w:r>
      <w:r w:rsidRPr="00287BFD">
        <w:rPr>
          <w:rFonts w:ascii="Arial" w:hAnsi="Arial" w:cs="Arial"/>
          <w:b/>
          <w:bCs/>
          <w:noProof/>
        </w:rPr>
        <w:t>1</w:t>
      </w:r>
      <w:r w:rsidRPr="00287BFD">
        <w:rPr>
          <w:rFonts w:ascii="Arial" w:hAnsi="Arial" w:cs="Arial"/>
        </w:rPr>
        <w:fldChar w:fldCharType="end"/>
      </w:r>
      <w:r w:rsidRPr="00287BFD">
        <w:rPr>
          <w:rFonts w:ascii="Arial" w:hAnsi="Arial" w:cs="Arial"/>
          <w:noProof/>
        </w:rPr>
        <w:t xml:space="preserve"> Liczba uczestników konferencji ogólnokrajowych Chroń Morze</w:t>
      </w:r>
      <w:bookmarkEnd w:id="4"/>
    </w:p>
    <w:p w14:paraId="6B94C609" w14:textId="77777777" w:rsidR="00287BFD" w:rsidRPr="00287BFD" w:rsidRDefault="00287BFD" w:rsidP="00287BFD">
      <w:pPr>
        <w:jc w:val="both"/>
        <w:rPr>
          <w:rFonts w:ascii="Arial" w:hAnsi="Arial" w:cs="Arial"/>
        </w:rPr>
      </w:pPr>
    </w:p>
    <w:p w14:paraId="3B84BA08" w14:textId="568C1773" w:rsidR="00FE14D0" w:rsidRDefault="00FE14D0" w:rsidP="00287BFD">
      <w:pPr>
        <w:jc w:val="both"/>
        <w:rPr>
          <w:rFonts w:ascii="Arial" w:hAnsi="Arial" w:cs="Arial"/>
          <w:sz w:val="20"/>
          <w:szCs w:val="20"/>
        </w:rPr>
      </w:pPr>
      <w:r>
        <w:rPr>
          <w:rFonts w:ascii="Arial" w:hAnsi="Arial" w:cs="Arial"/>
          <w:sz w:val="20"/>
          <w:szCs w:val="20"/>
        </w:rPr>
        <w:t>Jak przedstawiono na Rysunku 1 powyżej, liczba uczestników konferencji kształtowała się w</w:t>
      </w:r>
      <w:r w:rsidR="00E72CEC">
        <w:rPr>
          <w:rFonts w:ascii="Arial" w:hAnsi="Arial" w:cs="Arial"/>
          <w:sz w:val="20"/>
          <w:szCs w:val="20"/>
        </w:rPr>
        <w:t> </w:t>
      </w:r>
      <w:r>
        <w:rPr>
          <w:rFonts w:ascii="Arial" w:hAnsi="Arial" w:cs="Arial"/>
          <w:sz w:val="20"/>
          <w:szCs w:val="20"/>
        </w:rPr>
        <w:t>następujący sposób:</w:t>
      </w:r>
    </w:p>
    <w:p w14:paraId="28E8FDB8" w14:textId="7F8AEBD8" w:rsidR="00FE14D0" w:rsidRPr="00F77E7C" w:rsidRDefault="00FE14D0" w:rsidP="00FE14D0">
      <w:pPr>
        <w:pStyle w:val="Akapitzlist"/>
        <w:numPr>
          <w:ilvl w:val="0"/>
          <w:numId w:val="6"/>
        </w:numPr>
        <w:jc w:val="both"/>
        <w:rPr>
          <w:rFonts w:ascii="Arial" w:eastAsiaTheme="minorHAnsi" w:hAnsi="Arial" w:cs="Arial"/>
          <w:sz w:val="20"/>
          <w:szCs w:val="20"/>
        </w:rPr>
      </w:pPr>
      <w:r>
        <w:rPr>
          <w:rFonts w:ascii="Arial" w:hAnsi="Arial" w:cs="Arial"/>
          <w:sz w:val="20"/>
          <w:szCs w:val="20"/>
        </w:rPr>
        <w:t>Gdańsk: 100 uczestników,</w:t>
      </w:r>
    </w:p>
    <w:p w14:paraId="0D5A5397" w14:textId="4012F6A0" w:rsidR="00FE14D0" w:rsidRPr="00F77E7C" w:rsidRDefault="00FE14D0" w:rsidP="00FE14D0">
      <w:pPr>
        <w:pStyle w:val="Akapitzlist"/>
        <w:numPr>
          <w:ilvl w:val="0"/>
          <w:numId w:val="6"/>
        </w:numPr>
        <w:jc w:val="both"/>
        <w:rPr>
          <w:rFonts w:ascii="Arial" w:eastAsiaTheme="minorHAnsi" w:hAnsi="Arial" w:cs="Arial"/>
          <w:sz w:val="20"/>
          <w:szCs w:val="20"/>
        </w:rPr>
      </w:pPr>
      <w:r w:rsidRPr="00F77E7C">
        <w:rPr>
          <w:rFonts w:ascii="Arial" w:hAnsi="Arial" w:cs="Arial"/>
          <w:sz w:val="20"/>
          <w:szCs w:val="20"/>
        </w:rPr>
        <w:t>Gdyni</w:t>
      </w:r>
      <w:r>
        <w:rPr>
          <w:rFonts w:ascii="Arial" w:hAnsi="Arial" w:cs="Arial"/>
          <w:sz w:val="20"/>
          <w:szCs w:val="20"/>
        </w:rPr>
        <w:t>a: 95 uczestników,</w:t>
      </w:r>
    </w:p>
    <w:p w14:paraId="0DB3A5A2" w14:textId="49796A7A" w:rsidR="00FE14D0" w:rsidRPr="00FE14D0" w:rsidRDefault="00FE14D0" w:rsidP="00287BFD">
      <w:pPr>
        <w:pStyle w:val="Akapitzlist"/>
        <w:numPr>
          <w:ilvl w:val="0"/>
          <w:numId w:val="6"/>
        </w:numPr>
        <w:jc w:val="both"/>
        <w:rPr>
          <w:rFonts w:ascii="Arial" w:hAnsi="Arial" w:cs="Arial"/>
          <w:sz w:val="20"/>
          <w:szCs w:val="20"/>
        </w:rPr>
      </w:pPr>
      <w:r>
        <w:rPr>
          <w:rFonts w:ascii="Arial" w:hAnsi="Arial" w:cs="Arial"/>
          <w:sz w:val="20"/>
          <w:szCs w:val="20"/>
        </w:rPr>
        <w:t>Szczecin: 63 uczestników.</w:t>
      </w:r>
    </w:p>
    <w:p w14:paraId="7F0E0A5A" w14:textId="7871A3A1" w:rsidR="005F7230" w:rsidRDefault="007B63FA" w:rsidP="00287BFD">
      <w:pPr>
        <w:jc w:val="both"/>
        <w:rPr>
          <w:rFonts w:ascii="Arial" w:hAnsi="Arial" w:cs="Arial"/>
          <w:sz w:val="20"/>
          <w:szCs w:val="20"/>
        </w:rPr>
      </w:pPr>
      <w:r>
        <w:rPr>
          <w:rFonts w:ascii="Arial" w:hAnsi="Arial" w:cs="Arial"/>
          <w:sz w:val="20"/>
          <w:szCs w:val="20"/>
        </w:rPr>
        <w:t>P</w:t>
      </w:r>
      <w:r w:rsidR="00A72DA3">
        <w:rPr>
          <w:rFonts w:ascii="Arial" w:hAnsi="Arial" w:cs="Arial"/>
          <w:sz w:val="20"/>
          <w:szCs w:val="20"/>
        </w:rPr>
        <w:t>rzykładowo, p</w:t>
      </w:r>
      <w:r>
        <w:rPr>
          <w:rFonts w:ascii="Arial" w:hAnsi="Arial" w:cs="Arial"/>
          <w:sz w:val="20"/>
          <w:szCs w:val="20"/>
        </w:rPr>
        <w:t xml:space="preserve">rzebieg konferencji formalnie inaugurującej proces konsultacji społecznych, która odbyła się 9 lipca 2021 r. w Gdańsku, </w:t>
      </w:r>
      <w:r w:rsidR="005F7230">
        <w:rPr>
          <w:rFonts w:ascii="Arial" w:hAnsi="Arial" w:cs="Arial"/>
          <w:sz w:val="20"/>
          <w:szCs w:val="20"/>
        </w:rPr>
        <w:t>prezentował się w sposób następujący:</w:t>
      </w:r>
    </w:p>
    <w:tbl>
      <w:tblPr>
        <w:tblStyle w:val="Tabela-Siatka"/>
        <w:tblW w:w="0" w:type="auto"/>
        <w:tblLook w:val="04A0" w:firstRow="1" w:lastRow="0" w:firstColumn="1" w:lastColumn="0" w:noHBand="0" w:noVBand="1"/>
      </w:tblPr>
      <w:tblGrid>
        <w:gridCol w:w="1838"/>
        <w:gridCol w:w="7224"/>
      </w:tblGrid>
      <w:tr w:rsidR="005F7230" w14:paraId="7CB5F8A9" w14:textId="77777777" w:rsidTr="005F7230">
        <w:trPr>
          <w:trHeight w:val="870"/>
        </w:trPr>
        <w:tc>
          <w:tcPr>
            <w:tcW w:w="1838" w:type="dxa"/>
          </w:tcPr>
          <w:p w14:paraId="0F8ACCEC" w14:textId="23BDD038" w:rsidR="005F7230" w:rsidRDefault="005F7230" w:rsidP="00287BFD">
            <w:pPr>
              <w:jc w:val="both"/>
              <w:rPr>
                <w:rFonts w:ascii="Arial" w:hAnsi="Arial" w:cs="Arial"/>
                <w:sz w:val="20"/>
                <w:szCs w:val="20"/>
              </w:rPr>
            </w:pPr>
            <w:r>
              <w:rPr>
                <w:rFonts w:ascii="Arial" w:hAnsi="Arial" w:cs="Arial"/>
                <w:sz w:val="20"/>
                <w:szCs w:val="20"/>
              </w:rPr>
              <w:t>10:00 – 10:15</w:t>
            </w:r>
          </w:p>
        </w:tc>
        <w:tc>
          <w:tcPr>
            <w:tcW w:w="7224" w:type="dxa"/>
          </w:tcPr>
          <w:p w14:paraId="77207188" w14:textId="77777777" w:rsidR="005F7230" w:rsidRPr="005F7230" w:rsidRDefault="005F7230" w:rsidP="005F7230">
            <w:pPr>
              <w:spacing w:after="0"/>
              <w:jc w:val="both"/>
              <w:rPr>
                <w:rFonts w:ascii="Arial" w:hAnsi="Arial" w:cs="Arial"/>
                <w:sz w:val="20"/>
                <w:szCs w:val="20"/>
              </w:rPr>
            </w:pPr>
            <w:r w:rsidRPr="005F7230">
              <w:rPr>
                <w:rFonts w:ascii="Arial" w:hAnsi="Arial" w:cs="Arial"/>
                <w:sz w:val="20"/>
                <w:szCs w:val="20"/>
              </w:rPr>
              <w:t>Powitanie</w:t>
            </w:r>
          </w:p>
          <w:p w14:paraId="65E5B248" w14:textId="77777777" w:rsid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Powitanie zgromadzonych gości</w:t>
            </w:r>
          </w:p>
          <w:p w14:paraId="5AE4203F" w14:textId="37F568AC"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Wprowadzenie do zagadnienia – znaczenie ochrony wód morskich</w:t>
            </w:r>
          </w:p>
        </w:tc>
      </w:tr>
      <w:tr w:rsidR="005F7230" w14:paraId="79DC6705" w14:textId="77777777" w:rsidTr="005F7230">
        <w:tc>
          <w:tcPr>
            <w:tcW w:w="1838" w:type="dxa"/>
          </w:tcPr>
          <w:p w14:paraId="6C115B2F" w14:textId="282231FA" w:rsidR="005F7230" w:rsidRDefault="005F7230" w:rsidP="00287BFD">
            <w:pPr>
              <w:jc w:val="both"/>
              <w:rPr>
                <w:rFonts w:ascii="Arial" w:hAnsi="Arial" w:cs="Arial"/>
                <w:sz w:val="20"/>
                <w:szCs w:val="20"/>
              </w:rPr>
            </w:pPr>
            <w:r>
              <w:rPr>
                <w:rFonts w:ascii="Arial" w:hAnsi="Arial" w:cs="Arial"/>
                <w:sz w:val="20"/>
                <w:szCs w:val="20"/>
              </w:rPr>
              <w:t>10:15 – 11:45</w:t>
            </w:r>
          </w:p>
        </w:tc>
        <w:tc>
          <w:tcPr>
            <w:tcW w:w="7224" w:type="dxa"/>
          </w:tcPr>
          <w:p w14:paraId="65EAAEC1" w14:textId="77777777" w:rsidR="005F7230" w:rsidRDefault="005F7230" w:rsidP="005F7230">
            <w:pPr>
              <w:spacing w:after="0"/>
              <w:jc w:val="both"/>
              <w:rPr>
                <w:rFonts w:ascii="Arial" w:hAnsi="Arial" w:cs="Arial"/>
                <w:sz w:val="20"/>
                <w:szCs w:val="20"/>
              </w:rPr>
            </w:pPr>
            <w:r w:rsidRPr="005F7230">
              <w:rPr>
                <w:rFonts w:ascii="Arial" w:hAnsi="Arial" w:cs="Arial"/>
                <w:sz w:val="20"/>
                <w:szCs w:val="20"/>
              </w:rPr>
              <w:t>I blok prezentacji – założenia projektu i podejście metodyczne</w:t>
            </w:r>
          </w:p>
          <w:p w14:paraId="51240643" w14:textId="23D4AE15"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Działania Ministerstwa Infrastruktury i Wód Polskich w zakresie ochrony</w:t>
            </w:r>
            <w:r>
              <w:rPr>
                <w:rFonts w:ascii="Arial" w:hAnsi="Arial" w:cs="Arial"/>
                <w:sz w:val="20"/>
                <w:szCs w:val="20"/>
              </w:rPr>
              <w:t xml:space="preserve"> </w:t>
            </w:r>
            <w:r w:rsidRPr="005F7230">
              <w:rPr>
                <w:rFonts w:ascii="Arial" w:hAnsi="Arial" w:cs="Arial"/>
                <w:sz w:val="20"/>
                <w:szCs w:val="20"/>
              </w:rPr>
              <w:t>wód morskich (wdrażanie RDSM, współpraca międzyresortowa,</w:t>
            </w:r>
            <w:r>
              <w:rPr>
                <w:rFonts w:ascii="Arial" w:hAnsi="Arial" w:cs="Arial"/>
                <w:sz w:val="20"/>
                <w:szCs w:val="20"/>
              </w:rPr>
              <w:t xml:space="preserve"> </w:t>
            </w:r>
            <w:r w:rsidRPr="005F7230">
              <w:rPr>
                <w:rFonts w:ascii="Arial" w:hAnsi="Arial" w:cs="Arial"/>
                <w:sz w:val="20"/>
                <w:szCs w:val="20"/>
              </w:rPr>
              <w:t>współpraca międzynarodowa – KE, HELCOM)</w:t>
            </w:r>
          </w:p>
          <w:p w14:paraId="6E1122CF" w14:textId="312719E5"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Podsumowanie wdrożenia KPOWM</w:t>
            </w:r>
          </w:p>
          <w:p w14:paraId="73099CB7" w14:textId="66F9B67C"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Założenia i cele projektu, harmonogram prac, relacje z innymi</w:t>
            </w:r>
            <w:r>
              <w:rPr>
                <w:rFonts w:ascii="Arial" w:hAnsi="Arial" w:cs="Arial"/>
                <w:sz w:val="20"/>
                <w:szCs w:val="20"/>
              </w:rPr>
              <w:t xml:space="preserve"> </w:t>
            </w:r>
            <w:r w:rsidRPr="005F7230">
              <w:rPr>
                <w:rFonts w:ascii="Arial" w:hAnsi="Arial" w:cs="Arial"/>
                <w:sz w:val="20"/>
                <w:szCs w:val="20"/>
              </w:rPr>
              <w:t>projektami i dokumentami</w:t>
            </w:r>
          </w:p>
          <w:p w14:paraId="52CE1383" w14:textId="14DA9F52"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 xml:space="preserve">Podejście metodyczne do opracowania </w:t>
            </w:r>
            <w:proofErr w:type="spellStart"/>
            <w:r w:rsidRPr="005F7230">
              <w:rPr>
                <w:rFonts w:ascii="Arial" w:hAnsi="Arial" w:cs="Arial"/>
                <w:sz w:val="20"/>
                <w:szCs w:val="20"/>
              </w:rPr>
              <w:t>aPOWM</w:t>
            </w:r>
            <w:proofErr w:type="spellEnd"/>
          </w:p>
          <w:p w14:paraId="70E41A93" w14:textId="221ED253" w:rsid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 xml:space="preserve">Działania informacyjno-promocyjne projektu </w:t>
            </w:r>
            <w:proofErr w:type="spellStart"/>
            <w:r w:rsidRPr="005F7230">
              <w:rPr>
                <w:rFonts w:ascii="Arial" w:hAnsi="Arial" w:cs="Arial"/>
                <w:sz w:val="20"/>
                <w:szCs w:val="20"/>
              </w:rPr>
              <w:t>aPOWM</w:t>
            </w:r>
            <w:proofErr w:type="spellEnd"/>
          </w:p>
        </w:tc>
      </w:tr>
      <w:tr w:rsidR="005F7230" w14:paraId="31994B1B" w14:textId="77777777" w:rsidTr="005F7230">
        <w:tc>
          <w:tcPr>
            <w:tcW w:w="1838" w:type="dxa"/>
          </w:tcPr>
          <w:p w14:paraId="17692122" w14:textId="22B56238" w:rsidR="005F7230" w:rsidRDefault="005F7230" w:rsidP="00287BFD">
            <w:pPr>
              <w:jc w:val="both"/>
              <w:rPr>
                <w:rFonts w:ascii="Arial" w:hAnsi="Arial" w:cs="Arial"/>
                <w:sz w:val="20"/>
                <w:szCs w:val="20"/>
              </w:rPr>
            </w:pPr>
            <w:r>
              <w:rPr>
                <w:rFonts w:ascii="Arial" w:hAnsi="Arial" w:cs="Arial"/>
                <w:sz w:val="20"/>
                <w:szCs w:val="20"/>
              </w:rPr>
              <w:t>11:45 – 12:00</w:t>
            </w:r>
          </w:p>
        </w:tc>
        <w:tc>
          <w:tcPr>
            <w:tcW w:w="7224" w:type="dxa"/>
          </w:tcPr>
          <w:p w14:paraId="3728C1A3" w14:textId="2385C048" w:rsidR="005F7230" w:rsidRDefault="005F7230" w:rsidP="00287BFD">
            <w:pPr>
              <w:jc w:val="both"/>
              <w:rPr>
                <w:rFonts w:ascii="Arial" w:hAnsi="Arial" w:cs="Arial"/>
                <w:sz w:val="20"/>
                <w:szCs w:val="20"/>
              </w:rPr>
            </w:pPr>
            <w:r>
              <w:rPr>
                <w:rFonts w:ascii="Arial" w:hAnsi="Arial" w:cs="Arial"/>
                <w:sz w:val="20"/>
                <w:szCs w:val="20"/>
              </w:rPr>
              <w:t>Przerwa</w:t>
            </w:r>
          </w:p>
        </w:tc>
      </w:tr>
      <w:tr w:rsidR="005F7230" w14:paraId="799CCC59" w14:textId="77777777" w:rsidTr="005F7230">
        <w:tc>
          <w:tcPr>
            <w:tcW w:w="1838" w:type="dxa"/>
          </w:tcPr>
          <w:p w14:paraId="60E309D2" w14:textId="2798EFCB" w:rsidR="005F7230" w:rsidRDefault="005F7230" w:rsidP="00287BFD">
            <w:pPr>
              <w:jc w:val="both"/>
              <w:rPr>
                <w:rFonts w:ascii="Arial" w:hAnsi="Arial" w:cs="Arial"/>
                <w:sz w:val="20"/>
                <w:szCs w:val="20"/>
              </w:rPr>
            </w:pPr>
            <w:r>
              <w:rPr>
                <w:rFonts w:ascii="Arial" w:hAnsi="Arial" w:cs="Arial"/>
                <w:sz w:val="20"/>
                <w:szCs w:val="20"/>
              </w:rPr>
              <w:t>12:00 – 14:00</w:t>
            </w:r>
          </w:p>
        </w:tc>
        <w:tc>
          <w:tcPr>
            <w:tcW w:w="7224" w:type="dxa"/>
          </w:tcPr>
          <w:p w14:paraId="6A80ABB4" w14:textId="77777777" w:rsidR="005F7230" w:rsidRDefault="005F7230" w:rsidP="005F7230">
            <w:pPr>
              <w:spacing w:after="0"/>
              <w:jc w:val="both"/>
              <w:rPr>
                <w:rFonts w:ascii="Arial" w:hAnsi="Arial" w:cs="Arial"/>
                <w:sz w:val="20"/>
                <w:szCs w:val="20"/>
              </w:rPr>
            </w:pPr>
            <w:r w:rsidRPr="005F7230">
              <w:rPr>
                <w:rFonts w:ascii="Arial" w:hAnsi="Arial" w:cs="Arial"/>
                <w:sz w:val="20"/>
                <w:szCs w:val="20"/>
              </w:rPr>
              <w:t>II blok prezentacji – wyniki projektu</w:t>
            </w:r>
          </w:p>
          <w:p w14:paraId="016E0256" w14:textId="77777777"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 xml:space="preserve">Ustalenia </w:t>
            </w:r>
            <w:proofErr w:type="spellStart"/>
            <w:r w:rsidRPr="005F7230">
              <w:rPr>
                <w:rFonts w:ascii="Arial" w:hAnsi="Arial" w:cs="Arial"/>
                <w:sz w:val="20"/>
                <w:szCs w:val="20"/>
              </w:rPr>
              <w:t>aPOWM</w:t>
            </w:r>
            <w:proofErr w:type="spellEnd"/>
            <w:r w:rsidRPr="005F7230">
              <w:rPr>
                <w:rFonts w:ascii="Arial" w:hAnsi="Arial" w:cs="Arial"/>
                <w:sz w:val="20"/>
                <w:szCs w:val="20"/>
              </w:rPr>
              <w:t xml:space="preserve"> – program działań</w:t>
            </w:r>
          </w:p>
          <w:p w14:paraId="745C4CD2" w14:textId="6870A27C"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Analizy ekonomiczne</w:t>
            </w:r>
          </w:p>
          <w:p w14:paraId="13FBFB3F" w14:textId="441661C3" w:rsidR="005F7230" w:rsidRP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t>Wyniki analizy luk i wyjątki</w:t>
            </w:r>
          </w:p>
          <w:p w14:paraId="00FCB448" w14:textId="4E10C9B1" w:rsidR="005F7230" w:rsidRDefault="005F7230" w:rsidP="005F7230">
            <w:pPr>
              <w:pStyle w:val="Akapitzlist"/>
              <w:numPr>
                <w:ilvl w:val="0"/>
                <w:numId w:val="14"/>
              </w:numPr>
              <w:jc w:val="both"/>
              <w:rPr>
                <w:rFonts w:ascii="Arial" w:hAnsi="Arial" w:cs="Arial"/>
                <w:sz w:val="20"/>
                <w:szCs w:val="20"/>
              </w:rPr>
            </w:pPr>
            <w:r w:rsidRPr="005F7230">
              <w:rPr>
                <w:rFonts w:ascii="Arial" w:hAnsi="Arial" w:cs="Arial"/>
                <w:sz w:val="20"/>
                <w:szCs w:val="20"/>
              </w:rPr>
              <w:lastRenderedPageBreak/>
              <w:t>Monitoring postępów prac – rekomendacje zmian</w:t>
            </w:r>
          </w:p>
        </w:tc>
      </w:tr>
      <w:tr w:rsidR="005F7230" w14:paraId="301BE643" w14:textId="77777777" w:rsidTr="005F7230">
        <w:tc>
          <w:tcPr>
            <w:tcW w:w="1838" w:type="dxa"/>
          </w:tcPr>
          <w:p w14:paraId="0F587A42" w14:textId="5346D7E4" w:rsidR="005F7230" w:rsidRDefault="005F7230" w:rsidP="00287BFD">
            <w:pPr>
              <w:jc w:val="both"/>
              <w:rPr>
                <w:rFonts w:ascii="Arial" w:hAnsi="Arial" w:cs="Arial"/>
                <w:sz w:val="20"/>
                <w:szCs w:val="20"/>
              </w:rPr>
            </w:pPr>
            <w:r>
              <w:rPr>
                <w:rFonts w:ascii="Arial" w:hAnsi="Arial" w:cs="Arial"/>
                <w:sz w:val="20"/>
                <w:szCs w:val="20"/>
              </w:rPr>
              <w:lastRenderedPageBreak/>
              <w:t>14:00 – 14:10</w:t>
            </w:r>
          </w:p>
        </w:tc>
        <w:tc>
          <w:tcPr>
            <w:tcW w:w="7224" w:type="dxa"/>
          </w:tcPr>
          <w:p w14:paraId="5056E1A9" w14:textId="5FD51D58" w:rsidR="005F7230" w:rsidRDefault="005F7230" w:rsidP="00287BFD">
            <w:pPr>
              <w:jc w:val="both"/>
              <w:rPr>
                <w:rFonts w:ascii="Arial" w:hAnsi="Arial" w:cs="Arial"/>
                <w:sz w:val="20"/>
                <w:szCs w:val="20"/>
              </w:rPr>
            </w:pPr>
            <w:r>
              <w:rPr>
                <w:rFonts w:ascii="Arial" w:hAnsi="Arial" w:cs="Arial"/>
                <w:sz w:val="20"/>
                <w:szCs w:val="20"/>
              </w:rPr>
              <w:t>Przerwa</w:t>
            </w:r>
          </w:p>
        </w:tc>
      </w:tr>
      <w:tr w:rsidR="005F7230" w14:paraId="465F1406" w14:textId="77777777" w:rsidTr="005F7230">
        <w:tc>
          <w:tcPr>
            <w:tcW w:w="1838" w:type="dxa"/>
          </w:tcPr>
          <w:p w14:paraId="395D7853" w14:textId="2276E1DE" w:rsidR="005F7230" w:rsidRDefault="005F7230" w:rsidP="00287BFD">
            <w:pPr>
              <w:jc w:val="both"/>
              <w:rPr>
                <w:rFonts w:ascii="Arial" w:hAnsi="Arial" w:cs="Arial"/>
                <w:sz w:val="20"/>
                <w:szCs w:val="20"/>
              </w:rPr>
            </w:pPr>
            <w:r>
              <w:rPr>
                <w:rFonts w:ascii="Arial" w:hAnsi="Arial" w:cs="Arial"/>
                <w:sz w:val="20"/>
                <w:szCs w:val="20"/>
              </w:rPr>
              <w:t>14:10 – 15:20</w:t>
            </w:r>
          </w:p>
        </w:tc>
        <w:tc>
          <w:tcPr>
            <w:tcW w:w="7224" w:type="dxa"/>
          </w:tcPr>
          <w:p w14:paraId="51DDD5C7" w14:textId="45C3C037" w:rsidR="005F7230" w:rsidRDefault="005F7230" w:rsidP="00287BFD">
            <w:pPr>
              <w:jc w:val="both"/>
              <w:rPr>
                <w:rFonts w:ascii="Arial" w:hAnsi="Arial" w:cs="Arial"/>
                <w:sz w:val="20"/>
                <w:szCs w:val="20"/>
              </w:rPr>
            </w:pPr>
            <w:r>
              <w:rPr>
                <w:rFonts w:ascii="Arial" w:hAnsi="Arial" w:cs="Arial"/>
                <w:sz w:val="20"/>
                <w:szCs w:val="20"/>
              </w:rPr>
              <w:t>Dyskusja</w:t>
            </w:r>
          </w:p>
        </w:tc>
      </w:tr>
      <w:tr w:rsidR="005F7230" w14:paraId="12BDDFEC" w14:textId="77777777" w:rsidTr="005F7230">
        <w:tc>
          <w:tcPr>
            <w:tcW w:w="1838" w:type="dxa"/>
          </w:tcPr>
          <w:p w14:paraId="48901720" w14:textId="5BF7A770" w:rsidR="005F7230" w:rsidRDefault="005F7230" w:rsidP="00287BFD">
            <w:pPr>
              <w:jc w:val="both"/>
              <w:rPr>
                <w:rFonts w:ascii="Arial" w:hAnsi="Arial" w:cs="Arial"/>
                <w:sz w:val="20"/>
                <w:szCs w:val="20"/>
              </w:rPr>
            </w:pPr>
            <w:r>
              <w:rPr>
                <w:rFonts w:ascii="Arial" w:hAnsi="Arial" w:cs="Arial"/>
                <w:sz w:val="20"/>
                <w:szCs w:val="20"/>
              </w:rPr>
              <w:t>15:20 – 15:30</w:t>
            </w:r>
          </w:p>
        </w:tc>
        <w:tc>
          <w:tcPr>
            <w:tcW w:w="7224" w:type="dxa"/>
          </w:tcPr>
          <w:p w14:paraId="5AD40482" w14:textId="1724558F" w:rsidR="005F7230" w:rsidRDefault="005F7230" w:rsidP="00287BFD">
            <w:pPr>
              <w:jc w:val="both"/>
              <w:rPr>
                <w:rFonts w:ascii="Arial" w:hAnsi="Arial" w:cs="Arial"/>
                <w:sz w:val="20"/>
                <w:szCs w:val="20"/>
              </w:rPr>
            </w:pPr>
            <w:r w:rsidRPr="005F7230">
              <w:rPr>
                <w:rFonts w:ascii="Arial" w:hAnsi="Arial" w:cs="Arial"/>
                <w:sz w:val="20"/>
                <w:szCs w:val="20"/>
              </w:rPr>
              <w:t>Podsumowanie i zamknięcie spotkania</w:t>
            </w:r>
          </w:p>
        </w:tc>
      </w:tr>
    </w:tbl>
    <w:p w14:paraId="457E2B99" w14:textId="77777777" w:rsidR="00287BFD" w:rsidRPr="00287BFD" w:rsidRDefault="00287BFD" w:rsidP="00287BFD">
      <w:pPr>
        <w:jc w:val="both"/>
        <w:rPr>
          <w:rFonts w:ascii="Arial" w:hAnsi="Arial" w:cs="Arial"/>
          <w:sz w:val="20"/>
          <w:szCs w:val="20"/>
        </w:rPr>
      </w:pPr>
      <w:r w:rsidRPr="00287BFD">
        <w:rPr>
          <w:rFonts w:ascii="Arial" w:hAnsi="Arial" w:cs="Arial"/>
          <w:sz w:val="20"/>
          <w:szCs w:val="20"/>
        </w:rPr>
        <w:t xml:space="preserve">Konferencjom ogólnopolskim towarzyszyły briefingi prasowe z udziałem przedstawicieli Ministerstwa Infrastruktury oraz Państwowego Gospodarstwa Wodnego Wody Polskie. Organizacja konferencji prasowych oraz kontakt z mediami były elementami działań Public Relations. </w:t>
      </w:r>
    </w:p>
    <w:p w14:paraId="145B6ED1" w14:textId="77777777" w:rsidR="00287BFD" w:rsidRPr="00287BFD" w:rsidRDefault="00287BFD" w:rsidP="00287BFD">
      <w:pPr>
        <w:pStyle w:val="Nagwek2"/>
        <w:numPr>
          <w:ilvl w:val="1"/>
          <w:numId w:val="5"/>
        </w:numPr>
        <w:rPr>
          <w:rFonts w:ascii="Arial" w:hAnsi="Arial" w:cs="Arial"/>
          <w:sz w:val="20"/>
          <w:szCs w:val="20"/>
        </w:rPr>
      </w:pPr>
      <w:bookmarkStart w:id="5" w:name="_Toc100563974"/>
      <w:r w:rsidRPr="00287BFD">
        <w:rPr>
          <w:rFonts w:ascii="Arial" w:hAnsi="Arial" w:cs="Arial"/>
          <w:sz w:val="20"/>
          <w:szCs w:val="20"/>
        </w:rPr>
        <w:t>Lokalizacja i termin spotkania dla Urzędów Morskich</w:t>
      </w:r>
      <w:bookmarkEnd w:id="5"/>
    </w:p>
    <w:p w14:paraId="12B7006D" w14:textId="43D9DD80" w:rsidR="00287BFD" w:rsidRPr="00287BFD" w:rsidRDefault="00287BFD" w:rsidP="00287BFD">
      <w:pPr>
        <w:jc w:val="both"/>
        <w:rPr>
          <w:rFonts w:ascii="Arial" w:hAnsi="Arial" w:cs="Arial"/>
          <w:sz w:val="20"/>
          <w:szCs w:val="20"/>
        </w:rPr>
      </w:pPr>
      <w:r w:rsidRPr="00287BFD">
        <w:rPr>
          <w:rFonts w:ascii="Arial" w:hAnsi="Arial" w:cs="Arial"/>
          <w:sz w:val="20"/>
          <w:szCs w:val="20"/>
        </w:rPr>
        <w:t>W ramach konsultacji społecznych, odbyło się spotkanie dla przedstawicieli urzędów morskich. Z</w:t>
      </w:r>
      <w:r w:rsidR="00E72CEC">
        <w:rPr>
          <w:rFonts w:ascii="Arial" w:hAnsi="Arial" w:cs="Arial"/>
          <w:sz w:val="20"/>
          <w:szCs w:val="20"/>
        </w:rPr>
        <w:t> </w:t>
      </w:r>
      <w:r w:rsidRPr="00287BFD">
        <w:rPr>
          <w:rFonts w:ascii="Arial" w:hAnsi="Arial" w:cs="Arial"/>
          <w:sz w:val="20"/>
          <w:szCs w:val="20"/>
        </w:rPr>
        <w:t>powodu obostrzeń związanych z sytuacją pandemiczną w kraju, odbyło się ono online, 16 września 2021 roku. By zachęcić do udziału jak największą liczbę osób, został rozesłany mailing do Urzędów Morskich w Gdyni i w Szczecinie.</w:t>
      </w:r>
    </w:p>
    <w:p w14:paraId="1198076E" w14:textId="77777777" w:rsidR="00287BFD" w:rsidRDefault="00287BFD" w:rsidP="00F77E7C">
      <w:pPr>
        <w:jc w:val="both"/>
        <w:rPr>
          <w:rFonts w:ascii="Arial" w:hAnsi="Arial" w:cs="Arial"/>
          <w:sz w:val="20"/>
          <w:szCs w:val="20"/>
        </w:rPr>
      </w:pPr>
      <w:r w:rsidRPr="00287BFD">
        <w:rPr>
          <w:rFonts w:ascii="Arial" w:hAnsi="Arial" w:cs="Arial"/>
          <w:sz w:val="20"/>
          <w:szCs w:val="20"/>
        </w:rPr>
        <w:t>W spotkaniu wzięło udział 31 osób.</w:t>
      </w:r>
    </w:p>
    <w:p w14:paraId="1061B26C" w14:textId="77777777" w:rsidR="00A7342D" w:rsidRPr="00B52C4A" w:rsidRDefault="00B52C4A" w:rsidP="00B52C4A">
      <w:pPr>
        <w:pStyle w:val="Nagwek1"/>
        <w:numPr>
          <w:ilvl w:val="0"/>
          <w:numId w:val="2"/>
        </w:numPr>
        <w:jc w:val="both"/>
        <w:rPr>
          <w:rFonts w:ascii="Arial" w:hAnsi="Arial" w:cs="Arial"/>
          <w:sz w:val="24"/>
          <w:szCs w:val="24"/>
          <w:lang w:eastAsia="zh-CN"/>
        </w:rPr>
      </w:pPr>
      <w:bookmarkStart w:id="6" w:name="_Toc100563975"/>
      <w:r>
        <w:rPr>
          <w:rFonts w:ascii="Arial" w:hAnsi="Arial" w:cs="Arial"/>
          <w:sz w:val="24"/>
          <w:szCs w:val="24"/>
          <w:lang w:eastAsia="zh-CN"/>
        </w:rPr>
        <w:t xml:space="preserve">Zgłaszanie uwag, </w:t>
      </w:r>
      <w:r w:rsidRPr="00B52C4A">
        <w:rPr>
          <w:rFonts w:ascii="Arial" w:hAnsi="Arial" w:cs="Arial"/>
          <w:sz w:val="24"/>
          <w:szCs w:val="24"/>
          <w:lang w:eastAsia="zh-CN"/>
        </w:rPr>
        <w:t xml:space="preserve">wniosków </w:t>
      </w:r>
      <w:r>
        <w:rPr>
          <w:rFonts w:ascii="Arial" w:hAnsi="Arial" w:cs="Arial"/>
          <w:sz w:val="24"/>
          <w:szCs w:val="24"/>
          <w:lang w:eastAsia="zh-CN"/>
        </w:rPr>
        <w:t xml:space="preserve">i opinii </w:t>
      </w:r>
      <w:r w:rsidRPr="00B52C4A">
        <w:rPr>
          <w:rFonts w:ascii="Arial" w:hAnsi="Arial" w:cs="Arial"/>
          <w:sz w:val="24"/>
          <w:szCs w:val="24"/>
          <w:lang w:eastAsia="zh-CN"/>
        </w:rPr>
        <w:t xml:space="preserve">do projektu </w:t>
      </w:r>
      <w:proofErr w:type="spellStart"/>
      <w:r w:rsidRPr="00B52C4A">
        <w:rPr>
          <w:rFonts w:ascii="Arial" w:hAnsi="Arial" w:cs="Arial"/>
          <w:sz w:val="24"/>
          <w:szCs w:val="24"/>
          <w:lang w:eastAsia="zh-CN"/>
        </w:rPr>
        <w:t>aPOWM</w:t>
      </w:r>
      <w:bookmarkEnd w:id="6"/>
      <w:proofErr w:type="spellEnd"/>
    </w:p>
    <w:p w14:paraId="0F069A33" w14:textId="77777777" w:rsidR="00B52C4A" w:rsidRPr="00B52C4A" w:rsidRDefault="00B52C4A" w:rsidP="00B52C4A">
      <w:pPr>
        <w:jc w:val="both"/>
        <w:rPr>
          <w:rFonts w:ascii="Arial" w:hAnsi="Arial" w:cs="Arial"/>
          <w:color w:val="000000" w:themeColor="text1"/>
          <w:sz w:val="20"/>
          <w:szCs w:val="20"/>
          <w:lang w:eastAsia="fr-FR"/>
        </w:rPr>
      </w:pPr>
      <w:r w:rsidRPr="00B52C4A">
        <w:rPr>
          <w:rFonts w:ascii="Arial" w:hAnsi="Arial" w:cs="Arial"/>
          <w:color w:val="000000" w:themeColor="text1"/>
          <w:sz w:val="20"/>
          <w:szCs w:val="20"/>
          <w:lang w:eastAsia="fr-FR"/>
        </w:rPr>
        <w:t xml:space="preserve">Podczas </w:t>
      </w:r>
      <w:r>
        <w:rPr>
          <w:rFonts w:ascii="Arial" w:hAnsi="Arial" w:cs="Arial"/>
          <w:color w:val="000000" w:themeColor="text1"/>
          <w:sz w:val="20"/>
          <w:szCs w:val="20"/>
          <w:lang w:eastAsia="fr-FR"/>
        </w:rPr>
        <w:t>trzy</w:t>
      </w:r>
      <w:r w:rsidRPr="00B52C4A">
        <w:rPr>
          <w:rFonts w:ascii="Arial" w:hAnsi="Arial" w:cs="Arial"/>
          <w:color w:val="000000" w:themeColor="text1"/>
          <w:sz w:val="20"/>
          <w:szCs w:val="20"/>
          <w:lang w:eastAsia="fr-FR"/>
        </w:rPr>
        <w:t xml:space="preserve">miesięcznych konsultacji społecznych projektu </w:t>
      </w:r>
      <w:proofErr w:type="spellStart"/>
      <w:r>
        <w:rPr>
          <w:rFonts w:ascii="Arial" w:hAnsi="Arial" w:cs="Arial"/>
          <w:color w:val="000000" w:themeColor="text1"/>
          <w:sz w:val="20"/>
          <w:szCs w:val="20"/>
          <w:lang w:eastAsia="fr-FR"/>
        </w:rPr>
        <w:t>aPOWM</w:t>
      </w:r>
      <w:proofErr w:type="spellEnd"/>
      <w:r>
        <w:rPr>
          <w:rFonts w:ascii="Arial" w:hAnsi="Arial" w:cs="Arial"/>
          <w:color w:val="000000" w:themeColor="text1"/>
          <w:sz w:val="20"/>
          <w:szCs w:val="20"/>
          <w:lang w:eastAsia="fr-FR"/>
        </w:rPr>
        <w:t xml:space="preserve">, tj. </w:t>
      </w:r>
      <w:r w:rsidRPr="00B52C4A">
        <w:rPr>
          <w:rFonts w:ascii="Arial" w:hAnsi="Arial" w:cs="Arial"/>
          <w:color w:val="000000" w:themeColor="text1"/>
          <w:sz w:val="20"/>
          <w:szCs w:val="20"/>
          <w:lang w:eastAsia="fr-FR"/>
        </w:rPr>
        <w:t>od</w:t>
      </w:r>
      <w:r w:rsidRPr="00A7342D">
        <w:rPr>
          <w:rFonts w:ascii="Arial" w:hAnsi="Arial" w:cs="Arial"/>
          <w:sz w:val="20"/>
          <w:szCs w:val="20"/>
          <w:lang w:eastAsia="en-US"/>
        </w:rPr>
        <w:t xml:space="preserve"> 5 lipca 2021 r. do 5 października 2021 r</w:t>
      </w:r>
      <w:r w:rsidRPr="00B52C4A">
        <w:rPr>
          <w:rFonts w:ascii="Arial" w:hAnsi="Arial" w:cs="Arial"/>
          <w:sz w:val="20"/>
          <w:szCs w:val="20"/>
          <w:lang w:eastAsia="en-US"/>
        </w:rPr>
        <w:t>.</w:t>
      </w:r>
      <w:r w:rsidRPr="00B52C4A">
        <w:rPr>
          <w:rFonts w:ascii="Arial" w:hAnsi="Arial" w:cs="Arial"/>
          <w:color w:val="000000" w:themeColor="text1"/>
          <w:sz w:val="20"/>
          <w:szCs w:val="20"/>
          <w:lang w:eastAsia="fr-FR"/>
        </w:rPr>
        <w:t xml:space="preserve">, umożliwiono interesariuszom zgłaszanie uwag, wniosków i opinii do projektu. </w:t>
      </w:r>
    </w:p>
    <w:p w14:paraId="0B565C84" w14:textId="77777777" w:rsidR="00B52C4A" w:rsidRPr="00B52C4A" w:rsidRDefault="00B52C4A" w:rsidP="00B52C4A">
      <w:pPr>
        <w:jc w:val="both"/>
        <w:rPr>
          <w:rFonts w:ascii="Arial" w:eastAsiaTheme="minorHAnsi" w:hAnsi="Arial" w:cs="Arial"/>
          <w:sz w:val="20"/>
          <w:szCs w:val="20"/>
          <w:lang w:eastAsia="en-US"/>
        </w:rPr>
      </w:pPr>
      <w:r w:rsidRPr="00B52C4A">
        <w:rPr>
          <w:rFonts w:ascii="Arial" w:hAnsi="Arial" w:cs="Arial"/>
          <w:color w:val="000000" w:themeColor="text1"/>
          <w:sz w:val="20"/>
          <w:szCs w:val="20"/>
          <w:lang w:eastAsia="fr-FR"/>
        </w:rPr>
        <w:t xml:space="preserve">Uwagi, wnioski i opinie do projektu programu można było zgłaszać poprzez ankietę, która została opracowana na potrzeby projektu. </w:t>
      </w:r>
      <w:r w:rsidRPr="00B52C4A">
        <w:rPr>
          <w:rFonts w:ascii="Arial" w:hAnsi="Arial" w:cs="Arial"/>
          <w:sz w:val="20"/>
          <w:szCs w:val="20"/>
        </w:rPr>
        <w:t>Wydrukowana ankieta dostępna była w siedzibie Ministerstwa Infrastruktury, ul. Chałubińskiego 4/6, 00-928 Warszawa oraz Państwowego Gospodarstwa Wodnego Wody Polskie, ul. Żelazna 59A, 00-848 Warszawa i jednostkach podległych.</w:t>
      </w:r>
    </w:p>
    <w:p w14:paraId="0B27DA18" w14:textId="77777777" w:rsidR="009764B1" w:rsidRPr="00807B87" w:rsidRDefault="00B52C4A" w:rsidP="009764B1">
      <w:pPr>
        <w:suppressAutoHyphens w:val="0"/>
        <w:spacing w:after="0"/>
        <w:jc w:val="both"/>
        <w:rPr>
          <w:rFonts w:ascii="Arial" w:hAnsi="Arial" w:cs="Arial"/>
          <w:sz w:val="20"/>
          <w:szCs w:val="20"/>
        </w:rPr>
      </w:pPr>
      <w:r w:rsidRPr="00B52C4A">
        <w:rPr>
          <w:rFonts w:ascii="Arial" w:hAnsi="Arial" w:cs="Arial"/>
          <w:sz w:val="20"/>
          <w:szCs w:val="20"/>
        </w:rPr>
        <w:t xml:space="preserve">Ankieta w postaci formularza online do zbierania uwag i wniosków dostępna była na stronie projektu </w:t>
      </w:r>
      <w:hyperlink r:id="rId13" w:history="1">
        <w:r w:rsidRPr="00B52C4A">
          <w:rPr>
            <w:rStyle w:val="Hipercze"/>
            <w:rFonts w:ascii="Arial" w:hAnsi="Arial" w:cs="Arial"/>
            <w:sz w:val="20"/>
            <w:szCs w:val="20"/>
          </w:rPr>
          <w:t>www.chronmorze.pl</w:t>
        </w:r>
      </w:hyperlink>
      <w:r w:rsidRPr="00B52C4A">
        <w:rPr>
          <w:rFonts w:ascii="Arial" w:hAnsi="Arial" w:cs="Arial"/>
          <w:sz w:val="20"/>
          <w:szCs w:val="20"/>
        </w:rPr>
        <w:t xml:space="preserve"> w zakładce konsultacje społeczne. Uwagi, wnioski i opinie do projektu programu można było składać również mailowo pod adresem </w:t>
      </w:r>
      <w:hyperlink r:id="rId14" w:history="1">
        <w:r w:rsidRPr="00B52C4A">
          <w:rPr>
            <w:rStyle w:val="Hipercze"/>
            <w:rFonts w:ascii="Arial" w:hAnsi="Arial" w:cs="Arial"/>
            <w:sz w:val="20"/>
            <w:szCs w:val="20"/>
          </w:rPr>
          <w:t>konsultacje@chronmorze.eu</w:t>
        </w:r>
      </w:hyperlink>
      <w:r w:rsidRPr="00B52C4A">
        <w:rPr>
          <w:rFonts w:ascii="Arial" w:hAnsi="Arial" w:cs="Arial"/>
          <w:sz w:val="20"/>
          <w:szCs w:val="20"/>
        </w:rPr>
        <w:t>, a także pocztą tradycyjną na ad</w:t>
      </w:r>
      <w:r w:rsidR="009764B1">
        <w:rPr>
          <w:rFonts w:ascii="Arial" w:hAnsi="Arial" w:cs="Arial"/>
          <w:sz w:val="20"/>
          <w:szCs w:val="20"/>
        </w:rPr>
        <w:t>res Ministerstwa Infrastruktury,</w:t>
      </w:r>
      <w:r w:rsidR="009764B1" w:rsidRPr="00807B87">
        <w:rPr>
          <w:rFonts w:ascii="Arial" w:hAnsi="Arial" w:cs="Arial"/>
          <w:sz w:val="20"/>
          <w:szCs w:val="20"/>
        </w:rPr>
        <w:t xml:space="preserve"> ul. Chał</w:t>
      </w:r>
      <w:r w:rsidR="009764B1">
        <w:rPr>
          <w:rFonts w:ascii="Arial" w:hAnsi="Arial" w:cs="Arial"/>
          <w:sz w:val="20"/>
          <w:szCs w:val="20"/>
        </w:rPr>
        <w:t>ubińskiego 4/6, 00-928 Warszawa.</w:t>
      </w:r>
    </w:p>
    <w:p w14:paraId="12E68FA8" w14:textId="77777777" w:rsidR="00B52C4A" w:rsidRPr="00B52C4A" w:rsidRDefault="00B52C4A" w:rsidP="00B52C4A">
      <w:pPr>
        <w:jc w:val="both"/>
        <w:rPr>
          <w:rFonts w:ascii="Arial" w:eastAsiaTheme="minorHAnsi" w:hAnsi="Arial" w:cs="Arial"/>
          <w:sz w:val="20"/>
          <w:szCs w:val="20"/>
          <w:lang w:eastAsia="en-US"/>
        </w:rPr>
      </w:pPr>
    </w:p>
    <w:p w14:paraId="3221D7B4" w14:textId="77777777" w:rsidR="00AD6D2D" w:rsidRPr="00AD6D2D" w:rsidRDefault="00AD6D2D" w:rsidP="00AD6D2D">
      <w:pPr>
        <w:pStyle w:val="Nagwek1"/>
        <w:numPr>
          <w:ilvl w:val="0"/>
          <w:numId w:val="2"/>
        </w:numPr>
        <w:jc w:val="both"/>
        <w:rPr>
          <w:rFonts w:ascii="Arial" w:hAnsi="Arial" w:cs="Arial"/>
          <w:sz w:val="24"/>
          <w:szCs w:val="24"/>
          <w:lang w:eastAsia="zh-CN"/>
        </w:rPr>
      </w:pPr>
      <w:bookmarkStart w:id="7" w:name="_Toc100563976"/>
      <w:r w:rsidRPr="00AD6D2D">
        <w:rPr>
          <w:rFonts w:ascii="Arial" w:hAnsi="Arial" w:cs="Arial"/>
          <w:sz w:val="24"/>
          <w:szCs w:val="24"/>
          <w:lang w:eastAsia="zh-CN"/>
        </w:rPr>
        <w:t>Wyniki analizy zgłoszonych uwag do projekt</w:t>
      </w:r>
      <w:r>
        <w:rPr>
          <w:rFonts w:ascii="Arial" w:hAnsi="Arial" w:cs="Arial"/>
          <w:sz w:val="24"/>
          <w:szCs w:val="24"/>
          <w:lang w:eastAsia="zh-CN"/>
        </w:rPr>
        <w:t xml:space="preserve">u </w:t>
      </w:r>
      <w:proofErr w:type="spellStart"/>
      <w:r>
        <w:rPr>
          <w:rFonts w:ascii="Arial" w:hAnsi="Arial" w:cs="Arial"/>
          <w:sz w:val="24"/>
          <w:szCs w:val="24"/>
          <w:lang w:eastAsia="zh-CN"/>
        </w:rPr>
        <w:t>aPOWM</w:t>
      </w:r>
      <w:bookmarkEnd w:id="7"/>
      <w:proofErr w:type="spellEnd"/>
    </w:p>
    <w:p w14:paraId="575CECA8" w14:textId="77777777" w:rsidR="00553B6E" w:rsidRDefault="00553B6E" w:rsidP="00553B6E">
      <w:pPr>
        <w:jc w:val="both"/>
        <w:rPr>
          <w:rFonts w:ascii="Arial" w:hAnsi="Arial" w:cs="Arial"/>
          <w:color w:val="000000" w:themeColor="text1"/>
          <w:sz w:val="20"/>
          <w:szCs w:val="20"/>
          <w:lang w:eastAsia="fr-FR"/>
        </w:rPr>
      </w:pPr>
      <w:r w:rsidRPr="00553B6E">
        <w:rPr>
          <w:rFonts w:ascii="Arial" w:hAnsi="Arial" w:cs="Arial"/>
          <w:color w:val="000000" w:themeColor="text1"/>
          <w:sz w:val="20"/>
          <w:szCs w:val="20"/>
          <w:lang w:eastAsia="fr-FR"/>
        </w:rPr>
        <w:t>Uwagi i wnioski zgłoszone w ramach k</w:t>
      </w:r>
      <w:r>
        <w:rPr>
          <w:rFonts w:ascii="Arial" w:hAnsi="Arial" w:cs="Arial"/>
          <w:color w:val="000000" w:themeColor="text1"/>
          <w:sz w:val="20"/>
          <w:szCs w:val="20"/>
          <w:lang w:eastAsia="fr-FR"/>
        </w:rPr>
        <w:t xml:space="preserve">onsultacji społecznych projektu </w:t>
      </w:r>
      <w:proofErr w:type="spellStart"/>
      <w:r w:rsidRPr="00553B6E">
        <w:rPr>
          <w:rFonts w:ascii="Arial" w:hAnsi="Arial" w:cs="Arial"/>
          <w:color w:val="000000" w:themeColor="text1"/>
          <w:sz w:val="20"/>
          <w:szCs w:val="20"/>
          <w:lang w:eastAsia="fr-FR"/>
        </w:rPr>
        <w:t>aP</w:t>
      </w:r>
      <w:r>
        <w:rPr>
          <w:rFonts w:ascii="Arial" w:hAnsi="Arial" w:cs="Arial"/>
          <w:color w:val="000000" w:themeColor="text1"/>
          <w:sz w:val="20"/>
          <w:szCs w:val="20"/>
          <w:lang w:eastAsia="fr-FR"/>
        </w:rPr>
        <w:t>OWM</w:t>
      </w:r>
      <w:proofErr w:type="spellEnd"/>
      <w:r w:rsidRPr="00553B6E">
        <w:rPr>
          <w:rFonts w:ascii="Arial" w:hAnsi="Arial" w:cs="Arial"/>
          <w:color w:val="000000" w:themeColor="text1"/>
          <w:sz w:val="20"/>
          <w:szCs w:val="20"/>
          <w:lang w:eastAsia="fr-FR"/>
        </w:rPr>
        <w:t xml:space="preserve"> zostały poddane analizie pod względem:</w:t>
      </w:r>
    </w:p>
    <w:p w14:paraId="22EFC1D3" w14:textId="54228E83" w:rsidR="009978CE" w:rsidRDefault="00B1106D" w:rsidP="00553B6E">
      <w:pPr>
        <w:pStyle w:val="Akapitzlist"/>
        <w:numPr>
          <w:ilvl w:val="0"/>
          <w:numId w:val="11"/>
        </w:numPr>
        <w:jc w:val="both"/>
        <w:rPr>
          <w:rFonts w:ascii="Arial" w:hAnsi="Arial" w:cs="Arial"/>
          <w:color w:val="000000" w:themeColor="text1"/>
          <w:sz w:val="20"/>
          <w:szCs w:val="20"/>
          <w:lang w:eastAsia="fr-FR"/>
        </w:rPr>
      </w:pPr>
      <w:r>
        <w:rPr>
          <w:rFonts w:ascii="Arial" w:hAnsi="Arial" w:cs="Arial"/>
          <w:color w:val="000000" w:themeColor="text1"/>
          <w:sz w:val="20"/>
          <w:szCs w:val="20"/>
          <w:lang w:eastAsia="fr-FR"/>
        </w:rPr>
        <w:t>l</w:t>
      </w:r>
      <w:r w:rsidR="00C53C14">
        <w:rPr>
          <w:rFonts w:ascii="Arial" w:hAnsi="Arial" w:cs="Arial"/>
          <w:color w:val="000000" w:themeColor="text1"/>
          <w:sz w:val="20"/>
          <w:szCs w:val="20"/>
          <w:lang w:eastAsia="fr-FR"/>
        </w:rPr>
        <w:t xml:space="preserve">iczby </w:t>
      </w:r>
      <w:r w:rsidR="009978CE" w:rsidRPr="009978CE">
        <w:rPr>
          <w:rFonts w:ascii="Arial" w:hAnsi="Arial" w:cs="Arial"/>
          <w:color w:val="000000" w:themeColor="text1"/>
          <w:sz w:val="20"/>
          <w:szCs w:val="20"/>
          <w:lang w:eastAsia="fr-FR"/>
        </w:rPr>
        <w:t>uwag otrzymanych za pośrednictwem danych form otrzym</w:t>
      </w:r>
      <w:r w:rsidR="0084387B">
        <w:rPr>
          <w:rFonts w:ascii="Arial" w:hAnsi="Arial" w:cs="Arial"/>
          <w:color w:val="000000" w:themeColor="text1"/>
          <w:sz w:val="20"/>
          <w:szCs w:val="20"/>
          <w:lang w:eastAsia="fr-FR"/>
        </w:rPr>
        <w:t>ywania</w:t>
      </w:r>
      <w:r w:rsidR="009978CE" w:rsidRPr="009978CE">
        <w:rPr>
          <w:rFonts w:ascii="Arial" w:hAnsi="Arial" w:cs="Arial"/>
          <w:color w:val="000000" w:themeColor="text1"/>
          <w:sz w:val="20"/>
          <w:szCs w:val="20"/>
          <w:lang w:eastAsia="fr-FR"/>
        </w:rPr>
        <w:t xml:space="preserve"> uwag,</w:t>
      </w:r>
    </w:p>
    <w:p w14:paraId="62EB787E" w14:textId="77777777" w:rsidR="009978CE" w:rsidRDefault="009978CE" w:rsidP="009978CE">
      <w:pPr>
        <w:pStyle w:val="Akapitzlist"/>
        <w:numPr>
          <w:ilvl w:val="0"/>
          <w:numId w:val="11"/>
        </w:numPr>
        <w:jc w:val="both"/>
        <w:rPr>
          <w:rFonts w:ascii="Arial" w:hAnsi="Arial" w:cs="Arial"/>
          <w:color w:val="000000" w:themeColor="text1"/>
          <w:sz w:val="20"/>
          <w:szCs w:val="20"/>
          <w:lang w:eastAsia="fr-FR"/>
        </w:rPr>
      </w:pPr>
      <w:r w:rsidRPr="009978CE">
        <w:rPr>
          <w:rFonts w:ascii="Arial" w:hAnsi="Arial" w:cs="Arial"/>
          <w:color w:val="000000" w:themeColor="text1"/>
          <w:sz w:val="20"/>
          <w:szCs w:val="20"/>
          <w:lang w:eastAsia="fr-FR"/>
        </w:rPr>
        <w:t>rodzaju podmiotu zgłaszającego, ze zróżnicowaniem na grupy: administracja rządowa/administracja samorządowa/organizacja pozarządowa/osoba prywatna,</w:t>
      </w:r>
    </w:p>
    <w:p w14:paraId="38BADF1E" w14:textId="4CC21BEB" w:rsidR="009978CE" w:rsidRPr="00C31244" w:rsidRDefault="009978CE" w:rsidP="00C31244">
      <w:pPr>
        <w:pStyle w:val="Akapitzlist"/>
        <w:numPr>
          <w:ilvl w:val="0"/>
          <w:numId w:val="11"/>
        </w:numPr>
        <w:jc w:val="both"/>
        <w:rPr>
          <w:rFonts w:ascii="Arial" w:hAnsi="Arial" w:cs="Arial"/>
          <w:color w:val="000000" w:themeColor="text1"/>
          <w:sz w:val="20"/>
          <w:szCs w:val="20"/>
          <w:lang w:eastAsia="fr-FR"/>
        </w:rPr>
      </w:pPr>
      <w:r w:rsidRPr="009978CE">
        <w:rPr>
          <w:rFonts w:ascii="Arial" w:hAnsi="Arial" w:cs="Arial"/>
          <w:color w:val="000000" w:themeColor="text1"/>
          <w:sz w:val="20"/>
          <w:szCs w:val="20"/>
          <w:lang w:eastAsia="fr-FR"/>
        </w:rPr>
        <w:t>sposobu rozpatrzenia: uwzględniono/uwzględniono częściowo/nie uwzględniono/ wyjaśniono</w:t>
      </w:r>
      <w:r>
        <w:rPr>
          <w:rFonts w:ascii="Arial" w:hAnsi="Arial" w:cs="Arial"/>
          <w:color w:val="000000" w:themeColor="text1"/>
          <w:sz w:val="20"/>
          <w:szCs w:val="20"/>
          <w:lang w:eastAsia="fr-FR"/>
        </w:rPr>
        <w:t>.</w:t>
      </w:r>
    </w:p>
    <w:p w14:paraId="740E58BD" w14:textId="77777777" w:rsidR="009978CE" w:rsidRPr="00C53C14" w:rsidRDefault="00156783" w:rsidP="00C53C14">
      <w:pPr>
        <w:pStyle w:val="Nagwek2"/>
        <w:rPr>
          <w:rFonts w:ascii="Arial" w:hAnsi="Arial" w:cs="Arial"/>
          <w:sz w:val="20"/>
          <w:szCs w:val="20"/>
          <w:lang w:eastAsia="fr-FR"/>
        </w:rPr>
      </w:pPr>
      <w:bookmarkStart w:id="8" w:name="_Toc100563977"/>
      <w:r>
        <w:rPr>
          <w:rFonts w:ascii="Arial" w:hAnsi="Arial" w:cs="Arial"/>
          <w:sz w:val="20"/>
          <w:szCs w:val="20"/>
          <w:lang w:eastAsia="fr-FR"/>
        </w:rPr>
        <w:t xml:space="preserve">3.1. </w:t>
      </w:r>
      <w:r w:rsidR="00B1106D">
        <w:rPr>
          <w:rFonts w:ascii="Arial" w:hAnsi="Arial" w:cs="Arial"/>
          <w:sz w:val="20"/>
          <w:szCs w:val="20"/>
          <w:lang w:eastAsia="fr-FR"/>
        </w:rPr>
        <w:t>Charakterystyka uwag według sposobu rozpatrzenia</w:t>
      </w:r>
      <w:bookmarkEnd w:id="8"/>
    </w:p>
    <w:p w14:paraId="656F3881" w14:textId="6FBD6CAF" w:rsidR="00B1106D" w:rsidRDefault="00C53C14" w:rsidP="00B1106D">
      <w:pPr>
        <w:jc w:val="both"/>
        <w:rPr>
          <w:rFonts w:ascii="Arial" w:hAnsi="Arial" w:cs="Arial"/>
          <w:color w:val="000000" w:themeColor="text1"/>
          <w:sz w:val="20"/>
          <w:szCs w:val="20"/>
          <w:lang w:eastAsia="fr-FR"/>
        </w:rPr>
      </w:pPr>
      <w:r w:rsidRPr="00C53C14">
        <w:rPr>
          <w:rFonts w:ascii="Arial" w:hAnsi="Arial" w:cs="Arial"/>
          <w:color w:val="000000" w:themeColor="text1"/>
          <w:sz w:val="20"/>
          <w:szCs w:val="20"/>
          <w:lang w:eastAsia="fr-FR"/>
        </w:rPr>
        <w:t>W czasie trwania konsultacji</w:t>
      </w:r>
      <w:r w:rsidR="00C459AD">
        <w:rPr>
          <w:rFonts w:ascii="Arial" w:hAnsi="Arial" w:cs="Arial"/>
          <w:color w:val="000000" w:themeColor="text1"/>
          <w:sz w:val="20"/>
          <w:szCs w:val="20"/>
          <w:lang w:eastAsia="fr-FR"/>
        </w:rPr>
        <w:t xml:space="preserve"> społecznych projektu programu </w:t>
      </w:r>
      <w:r w:rsidRPr="00C53C14">
        <w:rPr>
          <w:rFonts w:ascii="Arial" w:hAnsi="Arial" w:cs="Arial"/>
          <w:color w:val="000000" w:themeColor="text1"/>
          <w:sz w:val="20"/>
          <w:szCs w:val="20"/>
          <w:lang w:eastAsia="fr-FR"/>
        </w:rPr>
        <w:t>złożonych zostało łącznie 188 uwag i</w:t>
      </w:r>
      <w:r w:rsidR="00E72CEC">
        <w:rPr>
          <w:rFonts w:ascii="Arial" w:hAnsi="Arial" w:cs="Arial"/>
          <w:color w:val="000000" w:themeColor="text1"/>
          <w:sz w:val="20"/>
          <w:szCs w:val="20"/>
          <w:lang w:eastAsia="fr-FR"/>
        </w:rPr>
        <w:t> </w:t>
      </w:r>
      <w:r w:rsidRPr="00C53C14">
        <w:rPr>
          <w:rFonts w:ascii="Arial" w:hAnsi="Arial" w:cs="Arial"/>
          <w:color w:val="000000" w:themeColor="text1"/>
          <w:sz w:val="20"/>
          <w:szCs w:val="20"/>
          <w:lang w:eastAsia="fr-FR"/>
        </w:rPr>
        <w:t>wniosków</w:t>
      </w:r>
      <w:r w:rsidR="00B1106D">
        <w:rPr>
          <w:rFonts w:ascii="Arial" w:hAnsi="Arial" w:cs="Arial"/>
          <w:color w:val="000000" w:themeColor="text1"/>
          <w:sz w:val="20"/>
          <w:szCs w:val="20"/>
          <w:lang w:eastAsia="fr-FR"/>
        </w:rPr>
        <w:t xml:space="preserve">. </w:t>
      </w:r>
      <w:r w:rsidR="00B1106D" w:rsidRPr="00B1106D">
        <w:rPr>
          <w:rFonts w:ascii="Arial" w:hAnsi="Arial" w:cs="Arial"/>
          <w:color w:val="000000" w:themeColor="text1"/>
          <w:sz w:val="20"/>
          <w:szCs w:val="20"/>
          <w:lang w:eastAsia="fr-FR"/>
        </w:rPr>
        <w:t>Ze zgłoszonych uwag i wniosków uwzględniono 121 uwag, częściowo uwzględniono 11, nie uwzględniono 35, a wyjaśniono 21.</w:t>
      </w:r>
    </w:p>
    <w:p w14:paraId="76D791CA" w14:textId="77777777" w:rsidR="00B1106D" w:rsidRDefault="00B1106D" w:rsidP="00B1106D">
      <w:pPr>
        <w:spacing w:after="0"/>
        <w:jc w:val="both"/>
        <w:rPr>
          <w:rFonts w:ascii="Arial" w:hAnsi="Arial" w:cs="Arial"/>
          <w:color w:val="000000" w:themeColor="text1"/>
          <w:sz w:val="20"/>
          <w:szCs w:val="20"/>
          <w:lang w:eastAsia="fr-FR"/>
        </w:rPr>
      </w:pPr>
      <w:r>
        <w:rPr>
          <w:rFonts w:ascii="Arial" w:hAnsi="Arial" w:cs="Arial"/>
          <w:color w:val="000000" w:themeColor="text1"/>
          <w:sz w:val="20"/>
          <w:szCs w:val="20"/>
          <w:lang w:eastAsia="fr-FR"/>
        </w:rPr>
        <w:t>Charakterystykę ogółu uwag według sposobu rozpatrzenia prezentuje Rysunek 2.</w:t>
      </w:r>
    </w:p>
    <w:p w14:paraId="4700E5EC" w14:textId="77777777" w:rsidR="00B1106D" w:rsidRPr="00B1106D" w:rsidRDefault="00B1106D" w:rsidP="00B1106D">
      <w:pPr>
        <w:jc w:val="both"/>
        <w:rPr>
          <w:rFonts w:ascii="Arial" w:hAnsi="Arial" w:cs="Arial"/>
          <w:color w:val="000000" w:themeColor="text1"/>
          <w:sz w:val="20"/>
          <w:szCs w:val="20"/>
          <w:lang w:eastAsia="fr-FR"/>
        </w:rPr>
      </w:pPr>
    </w:p>
    <w:p w14:paraId="08816C2C" w14:textId="77777777" w:rsidR="00B1106D" w:rsidRDefault="00B1106D" w:rsidP="00B1106D">
      <w:pPr>
        <w:keepNext/>
        <w:spacing w:line="256" w:lineRule="auto"/>
        <w:rPr>
          <w:rFonts w:ascii="Open Sans" w:eastAsiaTheme="minorHAnsi" w:hAnsi="Open Sans" w:cstheme="minorBidi"/>
          <w:lang w:eastAsia="en-US"/>
        </w:rPr>
      </w:pPr>
      <w:r>
        <w:rPr>
          <w:rFonts w:cs="Open Sans"/>
          <w:noProof/>
          <w:sz w:val="20"/>
          <w:szCs w:val="20"/>
          <w:lang w:eastAsia="pl-PL"/>
        </w:rPr>
        <w:lastRenderedPageBreak/>
        <w:drawing>
          <wp:inline distT="0" distB="0" distL="0" distR="0" wp14:anchorId="77B01E76" wp14:editId="3A8D899B">
            <wp:extent cx="5495290" cy="3209290"/>
            <wp:effectExtent l="0" t="0" r="10160" b="1016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1F9ADD" w14:textId="77777777" w:rsidR="00B1106D" w:rsidRPr="00B1106D" w:rsidRDefault="00B1106D" w:rsidP="00B1106D">
      <w:pPr>
        <w:pStyle w:val="podpisy"/>
        <w:rPr>
          <w:rFonts w:ascii="Arial" w:hAnsi="Arial" w:cs="Arial"/>
          <w:noProof/>
        </w:rPr>
      </w:pPr>
      <w:bookmarkStart w:id="9" w:name="_Toc97637031"/>
      <w:r w:rsidRPr="00B1106D">
        <w:rPr>
          <w:rFonts w:ascii="Arial" w:hAnsi="Arial" w:cs="Arial"/>
          <w:b/>
          <w:bCs/>
          <w:noProof/>
        </w:rPr>
        <w:t xml:space="preserve">Rysunek </w:t>
      </w:r>
      <w:r w:rsidRPr="00B1106D">
        <w:rPr>
          <w:rFonts w:ascii="Arial" w:hAnsi="Arial" w:cs="Arial"/>
        </w:rPr>
        <w:fldChar w:fldCharType="begin"/>
      </w:r>
      <w:r w:rsidRPr="00B1106D">
        <w:rPr>
          <w:rFonts w:ascii="Arial" w:hAnsi="Arial" w:cs="Arial"/>
          <w:b/>
          <w:bCs/>
          <w:noProof/>
        </w:rPr>
        <w:instrText xml:space="preserve"> SEQ Rysunek \* ARABIC \s 1 </w:instrText>
      </w:r>
      <w:r w:rsidRPr="00B1106D">
        <w:rPr>
          <w:rFonts w:ascii="Arial" w:hAnsi="Arial" w:cs="Arial"/>
        </w:rPr>
        <w:fldChar w:fldCharType="separate"/>
      </w:r>
      <w:r w:rsidRPr="00B1106D">
        <w:rPr>
          <w:rFonts w:ascii="Arial" w:hAnsi="Arial" w:cs="Arial"/>
          <w:b/>
          <w:bCs/>
          <w:noProof/>
        </w:rPr>
        <w:t>2</w:t>
      </w:r>
      <w:r w:rsidRPr="00B1106D">
        <w:rPr>
          <w:rFonts w:ascii="Arial" w:hAnsi="Arial" w:cs="Arial"/>
        </w:rPr>
        <w:fldChar w:fldCharType="end"/>
      </w:r>
      <w:r w:rsidRPr="00B1106D">
        <w:rPr>
          <w:rFonts w:ascii="Arial" w:hAnsi="Arial" w:cs="Arial"/>
          <w:noProof/>
        </w:rPr>
        <w:t xml:space="preserve"> Sposób rozpatrzenia uwag i wniosków</w:t>
      </w:r>
      <w:bookmarkEnd w:id="9"/>
    </w:p>
    <w:p w14:paraId="1F850A0C" w14:textId="77777777" w:rsidR="009978CE" w:rsidRDefault="009978CE" w:rsidP="00553B6E">
      <w:pPr>
        <w:jc w:val="both"/>
        <w:rPr>
          <w:rFonts w:ascii="Arial" w:hAnsi="Arial" w:cs="Arial"/>
          <w:color w:val="000000" w:themeColor="text1"/>
          <w:sz w:val="20"/>
          <w:szCs w:val="20"/>
          <w:lang w:eastAsia="fr-FR"/>
        </w:rPr>
      </w:pPr>
    </w:p>
    <w:p w14:paraId="4DDF2834" w14:textId="77777777" w:rsidR="00B1106D" w:rsidRPr="00B1106D" w:rsidRDefault="00B1106D" w:rsidP="00B1106D">
      <w:pPr>
        <w:pStyle w:val="Nagwek2"/>
        <w:numPr>
          <w:ilvl w:val="1"/>
          <w:numId w:val="2"/>
        </w:numPr>
        <w:rPr>
          <w:rFonts w:ascii="Arial" w:hAnsi="Arial" w:cs="Arial"/>
          <w:sz w:val="20"/>
          <w:szCs w:val="20"/>
          <w:lang w:eastAsia="fr-FR"/>
        </w:rPr>
      </w:pPr>
      <w:bookmarkStart w:id="10" w:name="_Toc100563978"/>
      <w:r w:rsidRPr="00B1106D">
        <w:rPr>
          <w:rFonts w:ascii="Arial" w:hAnsi="Arial" w:cs="Arial"/>
          <w:sz w:val="20"/>
          <w:szCs w:val="20"/>
          <w:lang w:eastAsia="fr-FR"/>
        </w:rPr>
        <w:t>Uwagi według formy otrzymania</w:t>
      </w:r>
      <w:bookmarkEnd w:id="10"/>
    </w:p>
    <w:p w14:paraId="0516356D" w14:textId="77777777" w:rsidR="00B1106D" w:rsidRDefault="00B1106D" w:rsidP="00B1106D">
      <w:pPr>
        <w:jc w:val="both"/>
        <w:rPr>
          <w:rFonts w:ascii="Arial" w:hAnsi="Arial" w:cs="Arial"/>
          <w:color w:val="000000" w:themeColor="text1"/>
          <w:sz w:val="20"/>
          <w:szCs w:val="20"/>
          <w:lang w:eastAsia="fr-FR"/>
        </w:rPr>
      </w:pPr>
      <w:r>
        <w:rPr>
          <w:rFonts w:ascii="Arial" w:hAnsi="Arial" w:cs="Arial"/>
          <w:color w:val="000000" w:themeColor="text1"/>
          <w:sz w:val="20"/>
          <w:szCs w:val="20"/>
          <w:lang w:eastAsia="fr-FR"/>
        </w:rPr>
        <w:t>Uczestnicy konsultacji społecznych złożyli uwagi i wnioski do projektu dokumentu za pośrednictwem następujących</w:t>
      </w:r>
      <w:r w:rsidR="004E4E4A">
        <w:rPr>
          <w:rFonts w:ascii="Arial" w:hAnsi="Arial" w:cs="Arial"/>
          <w:color w:val="000000" w:themeColor="text1"/>
          <w:sz w:val="20"/>
          <w:szCs w:val="20"/>
          <w:lang w:eastAsia="fr-FR"/>
        </w:rPr>
        <w:t xml:space="preserve"> kanałów dostępu:</w:t>
      </w:r>
    </w:p>
    <w:p w14:paraId="400C449B" w14:textId="77777777" w:rsidR="004E4E4A" w:rsidRDefault="004E4E4A" w:rsidP="004E4E4A">
      <w:pPr>
        <w:pStyle w:val="Akapitzlist"/>
        <w:numPr>
          <w:ilvl w:val="0"/>
          <w:numId w:val="12"/>
        </w:numPr>
        <w:jc w:val="both"/>
        <w:rPr>
          <w:rFonts w:ascii="Arial" w:hAnsi="Arial" w:cs="Arial"/>
          <w:color w:val="000000" w:themeColor="text1"/>
          <w:sz w:val="20"/>
          <w:szCs w:val="20"/>
          <w:lang w:eastAsia="fr-FR"/>
        </w:rPr>
      </w:pPr>
      <w:r>
        <w:rPr>
          <w:rFonts w:ascii="Arial" w:hAnsi="Arial" w:cs="Arial"/>
          <w:color w:val="000000" w:themeColor="text1"/>
          <w:sz w:val="20"/>
          <w:szCs w:val="20"/>
          <w:lang w:eastAsia="fr-FR"/>
        </w:rPr>
        <w:t>ankieta on-line,</w:t>
      </w:r>
    </w:p>
    <w:p w14:paraId="31B0B604" w14:textId="77777777" w:rsidR="004E4E4A" w:rsidRPr="004E4E4A" w:rsidRDefault="004E4E4A" w:rsidP="004E4E4A">
      <w:pPr>
        <w:pStyle w:val="Akapitzlist"/>
        <w:numPr>
          <w:ilvl w:val="0"/>
          <w:numId w:val="12"/>
        </w:numPr>
        <w:jc w:val="both"/>
        <w:rPr>
          <w:rFonts w:ascii="Arial" w:hAnsi="Arial" w:cs="Arial"/>
          <w:color w:val="000000" w:themeColor="text1"/>
          <w:sz w:val="20"/>
          <w:szCs w:val="20"/>
          <w:lang w:eastAsia="fr-FR"/>
        </w:rPr>
      </w:pPr>
      <w:r>
        <w:rPr>
          <w:rFonts w:ascii="Arial" w:hAnsi="Arial" w:cs="Arial"/>
          <w:color w:val="000000" w:themeColor="text1"/>
          <w:sz w:val="20"/>
          <w:szCs w:val="20"/>
          <w:lang w:eastAsia="fr-FR"/>
        </w:rPr>
        <w:t>e-mail.</w:t>
      </w:r>
    </w:p>
    <w:p w14:paraId="63438AC6" w14:textId="77777777" w:rsidR="00B1106D" w:rsidRPr="00C53C14" w:rsidRDefault="004E4E4A" w:rsidP="00553B6E">
      <w:pPr>
        <w:jc w:val="both"/>
        <w:rPr>
          <w:rFonts w:ascii="Arial" w:hAnsi="Arial" w:cs="Arial"/>
          <w:color w:val="000000" w:themeColor="text1"/>
          <w:sz w:val="20"/>
          <w:szCs w:val="20"/>
          <w:lang w:eastAsia="fr-FR"/>
        </w:rPr>
      </w:pPr>
      <w:r>
        <w:rPr>
          <w:rFonts w:cs="Open Sans"/>
          <w:noProof/>
          <w:sz w:val="20"/>
          <w:szCs w:val="20"/>
          <w:lang w:eastAsia="pl-PL"/>
        </w:rPr>
        <w:drawing>
          <wp:inline distT="0" distB="0" distL="0" distR="0" wp14:anchorId="62E4D925" wp14:editId="006B587B">
            <wp:extent cx="5495290" cy="3209290"/>
            <wp:effectExtent l="0" t="0" r="10160" b="1016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2FA72C" w14:textId="77777777" w:rsidR="00C53C14" w:rsidRDefault="00C53C14" w:rsidP="004E4E4A">
      <w:pPr>
        <w:pStyle w:val="podpisy"/>
        <w:rPr>
          <w:noProof/>
        </w:rPr>
      </w:pPr>
      <w:bookmarkStart w:id="11" w:name="_Toc97637032"/>
      <w:r>
        <w:rPr>
          <w:b/>
          <w:bCs/>
          <w:noProof/>
        </w:rPr>
        <w:t xml:space="preserve">Rysunek </w:t>
      </w:r>
      <w:r>
        <w:fldChar w:fldCharType="begin"/>
      </w:r>
      <w:r>
        <w:rPr>
          <w:b/>
          <w:bCs/>
          <w:noProof/>
        </w:rPr>
        <w:instrText xml:space="preserve"> SEQ Rysunek \* ARABIC \s 1 </w:instrText>
      </w:r>
      <w:r>
        <w:fldChar w:fldCharType="separate"/>
      </w:r>
      <w:r>
        <w:rPr>
          <w:b/>
          <w:bCs/>
          <w:noProof/>
        </w:rPr>
        <w:t>3</w:t>
      </w:r>
      <w:r>
        <w:fldChar w:fldCharType="end"/>
      </w:r>
      <w:r>
        <w:rPr>
          <w:noProof/>
        </w:rPr>
        <w:t xml:space="preserve"> Forma otrzymania formularza uwag i wniosków</w:t>
      </w:r>
      <w:bookmarkEnd w:id="11"/>
    </w:p>
    <w:p w14:paraId="0C2D0347" w14:textId="77777777" w:rsidR="00C53C14" w:rsidRPr="00C53C14" w:rsidRDefault="00C53C14" w:rsidP="00553B6E">
      <w:pPr>
        <w:jc w:val="both"/>
        <w:rPr>
          <w:rFonts w:ascii="Arial" w:hAnsi="Arial" w:cs="Arial"/>
          <w:sz w:val="20"/>
          <w:szCs w:val="20"/>
          <w:lang w:eastAsia="en-US"/>
        </w:rPr>
      </w:pPr>
    </w:p>
    <w:p w14:paraId="35E3686D" w14:textId="77777777" w:rsidR="003B2C82" w:rsidRDefault="0065628C" w:rsidP="004E4E4A">
      <w:pPr>
        <w:pStyle w:val="Nagwek2"/>
        <w:numPr>
          <w:ilvl w:val="1"/>
          <w:numId w:val="2"/>
        </w:numPr>
        <w:rPr>
          <w:rFonts w:ascii="Arial" w:hAnsi="Arial" w:cs="Arial"/>
          <w:sz w:val="20"/>
          <w:szCs w:val="20"/>
          <w:lang w:eastAsia="fr-FR"/>
        </w:rPr>
      </w:pPr>
      <w:bookmarkStart w:id="12" w:name="_Toc100563979"/>
      <w:r>
        <w:rPr>
          <w:rFonts w:ascii="Arial" w:hAnsi="Arial" w:cs="Arial"/>
          <w:sz w:val="20"/>
          <w:szCs w:val="20"/>
          <w:lang w:eastAsia="fr-FR"/>
        </w:rPr>
        <w:lastRenderedPageBreak/>
        <w:t>Analiza podmiotów zgłaszających uwagi</w:t>
      </w:r>
      <w:bookmarkEnd w:id="12"/>
    </w:p>
    <w:p w14:paraId="7029E8D3" w14:textId="77777777" w:rsidR="00BC5192" w:rsidRPr="00BC5192" w:rsidRDefault="00BC5192" w:rsidP="00BC5192">
      <w:pPr>
        <w:jc w:val="both"/>
        <w:rPr>
          <w:rFonts w:ascii="Arial" w:hAnsi="Arial" w:cs="Arial"/>
          <w:sz w:val="20"/>
          <w:szCs w:val="20"/>
          <w:lang w:eastAsia="fr-FR"/>
        </w:rPr>
      </w:pPr>
      <w:r w:rsidRPr="00BC5192">
        <w:rPr>
          <w:rFonts w:ascii="Arial" w:hAnsi="Arial" w:cs="Arial"/>
          <w:sz w:val="20"/>
          <w:szCs w:val="20"/>
          <w:lang w:eastAsia="fr-FR"/>
        </w:rPr>
        <w:t xml:space="preserve">Uczestnicy konsultacji społecznych reprezentowali stanowiska różnych </w:t>
      </w:r>
      <w:r>
        <w:rPr>
          <w:rFonts w:ascii="Arial" w:hAnsi="Arial" w:cs="Arial"/>
          <w:sz w:val="20"/>
          <w:szCs w:val="20"/>
          <w:lang w:eastAsia="fr-FR"/>
        </w:rPr>
        <w:t xml:space="preserve">podmiotów, </w:t>
      </w:r>
      <w:r w:rsidRPr="00BC5192">
        <w:rPr>
          <w:rFonts w:ascii="Arial" w:hAnsi="Arial" w:cs="Arial"/>
          <w:sz w:val="20"/>
          <w:szCs w:val="20"/>
          <w:lang w:eastAsia="fr-FR"/>
        </w:rPr>
        <w:t xml:space="preserve">jak również składali uwagi we własnym imieniu, jako osoby </w:t>
      </w:r>
      <w:r>
        <w:rPr>
          <w:rFonts w:ascii="Arial" w:hAnsi="Arial" w:cs="Arial"/>
          <w:sz w:val="20"/>
          <w:szCs w:val="20"/>
          <w:lang w:eastAsia="fr-FR"/>
        </w:rPr>
        <w:t>prywatne.</w:t>
      </w:r>
      <w:r w:rsidRPr="00BC5192">
        <w:rPr>
          <w:rFonts w:ascii="Arial" w:hAnsi="Arial" w:cs="Arial"/>
          <w:sz w:val="20"/>
          <w:szCs w:val="20"/>
          <w:lang w:eastAsia="fr-FR"/>
        </w:rPr>
        <w:t xml:space="preserve"> </w:t>
      </w:r>
    </w:p>
    <w:p w14:paraId="12D5CE95" w14:textId="4DB5E887" w:rsidR="004E4E4A" w:rsidRPr="004E4E4A" w:rsidRDefault="00BC5192" w:rsidP="00BC5192">
      <w:pPr>
        <w:jc w:val="both"/>
        <w:rPr>
          <w:lang w:eastAsia="fr-FR"/>
        </w:rPr>
      </w:pPr>
      <w:r>
        <w:rPr>
          <w:rFonts w:ascii="Arial" w:hAnsi="Arial" w:cs="Arial"/>
          <w:sz w:val="20"/>
          <w:szCs w:val="20"/>
          <w:lang w:eastAsia="fr-FR"/>
        </w:rPr>
        <w:t>Najwięcej uwag zostało zgłoszonych przez organizacje pozarządowe, podczas gdy administracja samorządowa miała najmniejszy udział w puli otrzymanych uwag.</w:t>
      </w:r>
    </w:p>
    <w:p w14:paraId="2F62DB35" w14:textId="77777777" w:rsidR="004E4E4A" w:rsidRPr="004E4E4A" w:rsidRDefault="004E4E4A" w:rsidP="004E4E4A">
      <w:pPr>
        <w:pStyle w:val="Akapitzlist"/>
        <w:keepNext/>
        <w:ind w:left="360"/>
        <w:rPr>
          <w:rFonts w:ascii="Arial" w:eastAsiaTheme="minorHAnsi" w:hAnsi="Arial" w:cs="Arial"/>
          <w:lang w:eastAsia="en-US"/>
        </w:rPr>
      </w:pPr>
      <w:r w:rsidRPr="004E4E4A">
        <w:rPr>
          <w:rFonts w:ascii="Arial" w:hAnsi="Arial" w:cs="Arial"/>
          <w:noProof/>
          <w:lang w:eastAsia="pl-PL"/>
        </w:rPr>
        <w:drawing>
          <wp:inline distT="0" distB="0" distL="0" distR="0" wp14:anchorId="312E19B6" wp14:editId="509D2958">
            <wp:extent cx="5495290" cy="3209290"/>
            <wp:effectExtent l="0" t="0" r="10160" b="1016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80591E" w14:textId="77777777" w:rsidR="004159B0" w:rsidRPr="00156783" w:rsidRDefault="004E4E4A" w:rsidP="00156783">
      <w:pPr>
        <w:pStyle w:val="podpisy"/>
        <w:ind w:left="360"/>
        <w:rPr>
          <w:rFonts w:ascii="Arial" w:hAnsi="Arial" w:cs="Arial"/>
          <w:noProof/>
        </w:rPr>
      </w:pPr>
      <w:bookmarkStart w:id="13" w:name="_Toc97637033"/>
      <w:r w:rsidRPr="004E4E4A">
        <w:rPr>
          <w:rFonts w:ascii="Arial" w:hAnsi="Arial" w:cs="Arial"/>
          <w:b/>
          <w:bCs/>
          <w:noProof/>
        </w:rPr>
        <w:t xml:space="preserve">Rysunek </w:t>
      </w:r>
      <w:r w:rsidRPr="004E4E4A">
        <w:rPr>
          <w:rFonts w:ascii="Arial" w:hAnsi="Arial" w:cs="Arial"/>
        </w:rPr>
        <w:fldChar w:fldCharType="begin"/>
      </w:r>
      <w:r w:rsidRPr="004E4E4A">
        <w:rPr>
          <w:rFonts w:ascii="Arial" w:hAnsi="Arial" w:cs="Arial"/>
          <w:b/>
          <w:bCs/>
          <w:noProof/>
        </w:rPr>
        <w:instrText xml:space="preserve"> SEQ Rysunek \* ARABIC \s 1 </w:instrText>
      </w:r>
      <w:r w:rsidRPr="004E4E4A">
        <w:rPr>
          <w:rFonts w:ascii="Arial" w:hAnsi="Arial" w:cs="Arial"/>
        </w:rPr>
        <w:fldChar w:fldCharType="separate"/>
      </w:r>
      <w:r w:rsidRPr="004E4E4A">
        <w:rPr>
          <w:rFonts w:ascii="Arial" w:hAnsi="Arial" w:cs="Arial"/>
          <w:b/>
          <w:bCs/>
          <w:noProof/>
        </w:rPr>
        <w:t>4</w:t>
      </w:r>
      <w:r w:rsidRPr="004E4E4A">
        <w:rPr>
          <w:rFonts w:ascii="Arial" w:hAnsi="Arial" w:cs="Arial"/>
        </w:rPr>
        <w:fldChar w:fldCharType="end"/>
      </w:r>
      <w:r w:rsidRPr="004E4E4A">
        <w:rPr>
          <w:rFonts w:ascii="Arial" w:hAnsi="Arial" w:cs="Arial"/>
          <w:noProof/>
        </w:rPr>
        <w:t xml:space="preserve"> Rodzaj podmiotu składającego uwagi i wnioski</w:t>
      </w:r>
      <w:bookmarkEnd w:id="13"/>
    </w:p>
    <w:p w14:paraId="1CE7BE13" w14:textId="77777777" w:rsidR="004159B0" w:rsidRPr="004159B0" w:rsidRDefault="004159B0" w:rsidP="004159B0">
      <w:pPr>
        <w:pStyle w:val="Nagwek1"/>
        <w:numPr>
          <w:ilvl w:val="0"/>
          <w:numId w:val="2"/>
        </w:numPr>
        <w:jc w:val="both"/>
        <w:rPr>
          <w:rFonts w:ascii="Arial" w:hAnsi="Arial" w:cs="Arial"/>
          <w:sz w:val="24"/>
          <w:szCs w:val="24"/>
          <w:lang w:eastAsia="zh-CN"/>
        </w:rPr>
      </w:pPr>
      <w:bookmarkStart w:id="14" w:name="_Toc100563980"/>
      <w:r>
        <w:rPr>
          <w:rFonts w:ascii="Arial" w:hAnsi="Arial" w:cs="Arial"/>
          <w:sz w:val="24"/>
          <w:szCs w:val="24"/>
          <w:lang w:eastAsia="zh-CN"/>
        </w:rPr>
        <w:t>Kampania</w:t>
      </w:r>
      <w:r w:rsidRPr="004159B0">
        <w:rPr>
          <w:rFonts w:ascii="Arial" w:hAnsi="Arial" w:cs="Arial"/>
          <w:sz w:val="24"/>
          <w:szCs w:val="24"/>
          <w:lang w:eastAsia="zh-CN"/>
        </w:rPr>
        <w:t xml:space="preserve"> informacyjno-promocyjn</w:t>
      </w:r>
      <w:r w:rsidR="00674218">
        <w:rPr>
          <w:rFonts w:ascii="Arial" w:hAnsi="Arial" w:cs="Arial"/>
          <w:sz w:val="24"/>
          <w:szCs w:val="24"/>
          <w:lang w:eastAsia="zh-CN"/>
        </w:rPr>
        <w:t>a</w:t>
      </w:r>
      <w:bookmarkEnd w:id="14"/>
    </w:p>
    <w:p w14:paraId="0173A138" w14:textId="0FD82A2F" w:rsidR="004159B0" w:rsidRDefault="004159B0" w:rsidP="004159B0">
      <w:pPr>
        <w:jc w:val="both"/>
        <w:rPr>
          <w:rFonts w:ascii="Arial" w:hAnsi="Arial" w:cs="Arial"/>
          <w:sz w:val="20"/>
          <w:szCs w:val="20"/>
          <w:lang w:eastAsia="fr-FR"/>
        </w:rPr>
      </w:pPr>
      <w:r w:rsidRPr="004159B0">
        <w:rPr>
          <w:rFonts w:ascii="Arial" w:hAnsi="Arial" w:cs="Arial"/>
          <w:sz w:val="20"/>
          <w:szCs w:val="20"/>
          <w:lang w:eastAsia="fr-FR"/>
        </w:rPr>
        <w:t>Działania informacyjno-promocyjne były najważniejszym elementem wspierającym proces konsultacji s</w:t>
      </w:r>
      <w:r>
        <w:rPr>
          <w:rFonts w:ascii="Arial" w:hAnsi="Arial" w:cs="Arial"/>
          <w:sz w:val="20"/>
          <w:szCs w:val="20"/>
          <w:lang w:eastAsia="fr-FR"/>
        </w:rPr>
        <w:t>połecznych,</w:t>
      </w:r>
      <w:r w:rsidRPr="004159B0">
        <w:rPr>
          <w:rFonts w:ascii="Arial" w:hAnsi="Arial" w:cs="Arial"/>
          <w:sz w:val="20"/>
          <w:szCs w:val="20"/>
          <w:lang w:eastAsia="fr-FR"/>
        </w:rPr>
        <w:t xml:space="preserve"> pozwalającym na dotarcie z informacją do interesariuszy. Przeprowadzenie kampanii informacyjno-promocyjnej służącej rozpowszechnieniu wiedzy o aktualizacji programu ochrony wód morskich było informowaniem społeczeństwa, a tym samym </w:t>
      </w:r>
      <w:r w:rsidR="009D6861">
        <w:rPr>
          <w:rFonts w:ascii="Arial" w:hAnsi="Arial" w:cs="Arial"/>
          <w:sz w:val="20"/>
          <w:szCs w:val="20"/>
          <w:lang w:eastAsia="fr-FR"/>
        </w:rPr>
        <w:t>wsparciem</w:t>
      </w:r>
      <w:r w:rsidRPr="004159B0">
        <w:rPr>
          <w:rFonts w:ascii="Arial" w:hAnsi="Arial" w:cs="Arial"/>
          <w:sz w:val="20"/>
          <w:szCs w:val="20"/>
          <w:lang w:eastAsia="fr-FR"/>
        </w:rPr>
        <w:t xml:space="preserve"> w nawiązywaniu dialogu z</w:t>
      </w:r>
      <w:r w:rsidR="00E72CEC">
        <w:rPr>
          <w:rFonts w:ascii="Arial" w:hAnsi="Arial" w:cs="Arial"/>
          <w:sz w:val="20"/>
          <w:szCs w:val="20"/>
          <w:lang w:eastAsia="fr-FR"/>
        </w:rPr>
        <w:t> </w:t>
      </w:r>
      <w:r w:rsidRPr="004159B0">
        <w:rPr>
          <w:rFonts w:ascii="Arial" w:hAnsi="Arial" w:cs="Arial"/>
          <w:sz w:val="20"/>
          <w:szCs w:val="20"/>
          <w:lang w:eastAsia="fr-FR"/>
        </w:rPr>
        <w:t xml:space="preserve">interesariuszami. Działania objęte kampanią dotyczyły informowania zarówno grup interesariuszy bezpośrednio związanych z programem, jak również ogółu społeczeństwa. </w:t>
      </w:r>
    </w:p>
    <w:p w14:paraId="4BFC8B4E" w14:textId="508376BE" w:rsidR="004159B0" w:rsidRPr="004159B0" w:rsidRDefault="004159B0" w:rsidP="004159B0">
      <w:pPr>
        <w:jc w:val="both"/>
        <w:rPr>
          <w:rFonts w:ascii="Arial" w:hAnsi="Arial" w:cs="Arial"/>
          <w:sz w:val="20"/>
          <w:szCs w:val="20"/>
          <w:lang w:eastAsia="fr-FR"/>
        </w:rPr>
      </w:pPr>
      <w:r w:rsidRPr="004159B0">
        <w:rPr>
          <w:rFonts w:ascii="Arial" w:hAnsi="Arial" w:cs="Arial"/>
          <w:sz w:val="20"/>
          <w:szCs w:val="20"/>
          <w:lang w:eastAsia="fr-FR"/>
        </w:rPr>
        <w:t xml:space="preserve">Działania informacyjno-promocyjne projektu aktualizacji programu ochrony wód morskich, prowadzone były w formie kampanii społecznej pod nazwą „Chroń morze”. Przyjęta komunikacyjna nazwa programu </w:t>
      </w:r>
      <w:r w:rsidR="009D6861">
        <w:rPr>
          <w:rFonts w:ascii="Arial" w:hAnsi="Arial" w:cs="Arial"/>
          <w:sz w:val="20"/>
          <w:szCs w:val="20"/>
          <w:lang w:eastAsia="fr-FR"/>
        </w:rPr>
        <w:t>była</w:t>
      </w:r>
      <w:r w:rsidR="009D6861" w:rsidRPr="004159B0">
        <w:rPr>
          <w:rFonts w:ascii="Arial" w:hAnsi="Arial" w:cs="Arial"/>
          <w:sz w:val="20"/>
          <w:szCs w:val="20"/>
          <w:lang w:eastAsia="fr-FR"/>
        </w:rPr>
        <w:t xml:space="preserve"> </w:t>
      </w:r>
      <w:r w:rsidRPr="004159B0">
        <w:rPr>
          <w:rFonts w:ascii="Arial" w:hAnsi="Arial" w:cs="Arial"/>
          <w:sz w:val="20"/>
          <w:szCs w:val="20"/>
          <w:lang w:eastAsia="fr-FR"/>
        </w:rPr>
        <w:t>zrozumiała dla wszystkich grup społecznych, łatwo zapamiętywana i kojarzona bezpośrednio z działaniami programu. W znacznym też stopniu ułatwiła komunikację projektu i zwiększyła szanse na dotarcie do szerokiego grona odbiorców, szczególnie do osób, które nie są związane z projektem.</w:t>
      </w:r>
    </w:p>
    <w:p w14:paraId="3278FE63" w14:textId="77777777" w:rsidR="004159B0" w:rsidRDefault="00156783" w:rsidP="008E2C43">
      <w:pPr>
        <w:pStyle w:val="Nagwek2"/>
        <w:rPr>
          <w:rFonts w:ascii="Arial" w:hAnsi="Arial" w:cs="Arial"/>
          <w:sz w:val="20"/>
          <w:szCs w:val="20"/>
          <w:lang w:eastAsia="fr-FR"/>
        </w:rPr>
      </w:pPr>
      <w:bookmarkStart w:id="15" w:name="_Toc100563981"/>
      <w:r>
        <w:rPr>
          <w:rFonts w:ascii="Arial" w:hAnsi="Arial" w:cs="Arial"/>
          <w:sz w:val="20"/>
          <w:szCs w:val="20"/>
          <w:lang w:eastAsia="fr-FR"/>
        </w:rPr>
        <w:t xml:space="preserve">4.1. </w:t>
      </w:r>
      <w:r w:rsidR="004159B0">
        <w:rPr>
          <w:rFonts w:ascii="Arial" w:hAnsi="Arial" w:cs="Arial"/>
          <w:sz w:val="20"/>
          <w:szCs w:val="20"/>
          <w:lang w:eastAsia="fr-FR"/>
        </w:rPr>
        <w:t>Harmonogram działań</w:t>
      </w:r>
      <w:bookmarkEnd w:id="15"/>
      <w:r w:rsidR="004159B0">
        <w:rPr>
          <w:rFonts w:ascii="Arial" w:hAnsi="Arial" w:cs="Arial"/>
          <w:sz w:val="20"/>
          <w:szCs w:val="20"/>
          <w:lang w:eastAsia="fr-FR"/>
        </w:rPr>
        <w:t xml:space="preserve"> </w:t>
      </w:r>
    </w:p>
    <w:p w14:paraId="66C3F31B" w14:textId="6ACF1EA9" w:rsidR="004159B0" w:rsidRPr="008E2C43" w:rsidRDefault="004159B0" w:rsidP="008E2C43">
      <w:pPr>
        <w:jc w:val="both"/>
        <w:rPr>
          <w:rFonts w:ascii="Arial" w:hAnsi="Arial" w:cs="Arial"/>
          <w:sz w:val="20"/>
          <w:szCs w:val="20"/>
          <w:lang w:eastAsia="fr-FR"/>
        </w:rPr>
      </w:pPr>
      <w:r w:rsidRPr="008E2C43">
        <w:rPr>
          <w:rFonts w:ascii="Arial" w:hAnsi="Arial" w:cs="Arial"/>
          <w:sz w:val="20"/>
          <w:szCs w:val="20"/>
          <w:lang w:eastAsia="fr-FR"/>
        </w:rPr>
        <w:t>Harmonogram kampanii informacyjnej uwzględniał określony termin konsultacji społecznych – od 5 lipca 2021 r. do 5 października 2021 r. Działania informacyjno-promocyjne programu były zaplanowane na cały czas trwania projektu</w:t>
      </w:r>
      <w:r w:rsidR="008A1B4F">
        <w:rPr>
          <w:rFonts w:ascii="Arial" w:hAnsi="Arial" w:cs="Arial"/>
          <w:sz w:val="20"/>
          <w:szCs w:val="20"/>
          <w:lang w:eastAsia="fr-FR"/>
        </w:rPr>
        <w:t xml:space="preserve"> oraz</w:t>
      </w:r>
      <w:r w:rsidRPr="008E2C43">
        <w:rPr>
          <w:rFonts w:ascii="Arial" w:hAnsi="Arial" w:cs="Arial"/>
          <w:sz w:val="20"/>
          <w:szCs w:val="20"/>
          <w:lang w:eastAsia="fr-FR"/>
        </w:rPr>
        <w:t xml:space="preserve"> z intensyfikacją tuż przed </w:t>
      </w:r>
      <w:r w:rsidR="008A1B4F">
        <w:rPr>
          <w:rFonts w:ascii="Arial" w:hAnsi="Arial" w:cs="Arial"/>
          <w:sz w:val="20"/>
          <w:szCs w:val="20"/>
          <w:lang w:eastAsia="fr-FR"/>
        </w:rPr>
        <w:t>rozpoczęciem</w:t>
      </w:r>
      <w:r w:rsidRPr="008E2C43">
        <w:rPr>
          <w:rFonts w:ascii="Arial" w:hAnsi="Arial" w:cs="Arial"/>
          <w:sz w:val="20"/>
          <w:szCs w:val="20"/>
          <w:lang w:eastAsia="fr-FR"/>
        </w:rPr>
        <w:t xml:space="preserve"> konsultacji społecznych programu.</w:t>
      </w:r>
    </w:p>
    <w:p w14:paraId="0652362B" w14:textId="77777777" w:rsidR="008E2C43" w:rsidRPr="008E2C43" w:rsidRDefault="004159B0" w:rsidP="008E2C43">
      <w:pPr>
        <w:pStyle w:val="Nagwek2"/>
        <w:numPr>
          <w:ilvl w:val="1"/>
          <w:numId w:val="2"/>
        </w:numPr>
        <w:rPr>
          <w:rFonts w:ascii="Arial" w:hAnsi="Arial" w:cs="Arial"/>
          <w:sz w:val="20"/>
          <w:szCs w:val="20"/>
          <w:lang w:eastAsia="fr-FR"/>
        </w:rPr>
      </w:pPr>
      <w:bookmarkStart w:id="16" w:name="_Toc100563982"/>
      <w:r w:rsidRPr="008E2C43">
        <w:rPr>
          <w:rFonts w:ascii="Arial" w:hAnsi="Arial" w:cs="Arial"/>
          <w:sz w:val="20"/>
          <w:szCs w:val="20"/>
          <w:lang w:eastAsia="fr-FR"/>
        </w:rPr>
        <w:t>Przygotowanie wersji niespecjalistycznej programu</w:t>
      </w:r>
      <w:bookmarkEnd w:id="16"/>
      <w:r w:rsidRPr="008E2C43">
        <w:rPr>
          <w:rFonts w:ascii="Arial" w:hAnsi="Arial" w:cs="Arial"/>
          <w:sz w:val="20"/>
          <w:szCs w:val="20"/>
          <w:lang w:eastAsia="fr-FR"/>
        </w:rPr>
        <w:t xml:space="preserve"> </w:t>
      </w:r>
    </w:p>
    <w:p w14:paraId="1AF4BD8E" w14:textId="07A98490" w:rsidR="008E2C43" w:rsidRPr="008E2C43" w:rsidRDefault="008E2C43" w:rsidP="008E2C43">
      <w:pPr>
        <w:jc w:val="both"/>
        <w:rPr>
          <w:rFonts w:ascii="Arial" w:hAnsi="Arial" w:cs="Arial"/>
          <w:sz w:val="20"/>
          <w:szCs w:val="20"/>
          <w:lang w:eastAsia="fr-FR"/>
        </w:rPr>
      </w:pPr>
      <w:r w:rsidRPr="008E2C43">
        <w:rPr>
          <w:rFonts w:ascii="Arial" w:hAnsi="Arial" w:cs="Arial"/>
          <w:sz w:val="20"/>
          <w:szCs w:val="20"/>
          <w:lang w:eastAsia="fr-FR"/>
        </w:rPr>
        <w:t>Działaniem wspierającym właściwy przekaz konsultowanego dokumentu było przygotowanie wersji niespecjalistycznej aktualizacji programu ochrony wód morskich. Wydrukowana wersja niespecjalistyczna programu dostępna była podczas ogólnopolskich konferencji i w siedzibie Państwowego Gospodarstwa Wodnego Wody Polskie oraz Ministerstwa Infrastruktury</w:t>
      </w:r>
      <w:r w:rsidR="008A1B4F">
        <w:rPr>
          <w:rFonts w:ascii="Arial" w:hAnsi="Arial" w:cs="Arial"/>
          <w:sz w:val="20"/>
          <w:szCs w:val="20"/>
          <w:lang w:eastAsia="fr-FR"/>
        </w:rPr>
        <w:t>.</w:t>
      </w:r>
      <w:r w:rsidRPr="008E2C43">
        <w:rPr>
          <w:rFonts w:ascii="Arial" w:hAnsi="Arial" w:cs="Arial"/>
          <w:sz w:val="20"/>
          <w:szCs w:val="20"/>
          <w:lang w:eastAsia="fr-FR"/>
        </w:rPr>
        <w:t xml:space="preserve"> </w:t>
      </w:r>
      <w:r w:rsidR="008A1B4F">
        <w:rPr>
          <w:rFonts w:ascii="Arial" w:hAnsi="Arial" w:cs="Arial"/>
          <w:sz w:val="20"/>
          <w:szCs w:val="20"/>
          <w:lang w:eastAsia="fr-FR"/>
        </w:rPr>
        <w:t>W</w:t>
      </w:r>
      <w:r w:rsidRPr="008E2C43">
        <w:rPr>
          <w:rFonts w:ascii="Arial" w:hAnsi="Arial" w:cs="Arial"/>
          <w:sz w:val="20"/>
          <w:szCs w:val="20"/>
          <w:lang w:eastAsia="fr-FR"/>
        </w:rPr>
        <w:t xml:space="preserve">ersja </w:t>
      </w:r>
      <w:r w:rsidRPr="008E2C43">
        <w:rPr>
          <w:rFonts w:ascii="Arial" w:hAnsi="Arial" w:cs="Arial"/>
          <w:sz w:val="20"/>
          <w:szCs w:val="20"/>
          <w:lang w:eastAsia="fr-FR"/>
        </w:rPr>
        <w:lastRenderedPageBreak/>
        <w:t>elektroniczna zamieszczona była na stronie internetowej projektu www.chronmorze.eu (PDF do pobrania). Dokument opracowany był zrozumiałym</w:t>
      </w:r>
      <w:r w:rsidR="008A1B4F">
        <w:rPr>
          <w:rFonts w:ascii="Arial" w:hAnsi="Arial" w:cs="Arial"/>
          <w:sz w:val="20"/>
          <w:szCs w:val="20"/>
          <w:lang w:eastAsia="fr-FR"/>
        </w:rPr>
        <w:t xml:space="preserve">, </w:t>
      </w:r>
      <w:r w:rsidRPr="008E2C43">
        <w:rPr>
          <w:rFonts w:ascii="Arial" w:hAnsi="Arial" w:cs="Arial"/>
          <w:sz w:val="20"/>
          <w:szCs w:val="20"/>
          <w:lang w:eastAsia="fr-FR"/>
        </w:rPr>
        <w:t xml:space="preserve">nietechnicznym językiem </w:t>
      </w:r>
      <w:r w:rsidR="008A1B4F">
        <w:rPr>
          <w:rFonts w:ascii="Arial" w:hAnsi="Arial" w:cs="Arial"/>
          <w:sz w:val="20"/>
          <w:szCs w:val="20"/>
          <w:lang w:eastAsia="fr-FR"/>
        </w:rPr>
        <w:t>i</w:t>
      </w:r>
      <w:r w:rsidR="008A1B4F" w:rsidRPr="008E2C43">
        <w:rPr>
          <w:rFonts w:ascii="Arial" w:hAnsi="Arial" w:cs="Arial"/>
          <w:sz w:val="20"/>
          <w:szCs w:val="20"/>
          <w:lang w:eastAsia="fr-FR"/>
        </w:rPr>
        <w:t xml:space="preserve"> </w:t>
      </w:r>
      <w:r w:rsidRPr="008E2C43">
        <w:rPr>
          <w:rFonts w:ascii="Arial" w:hAnsi="Arial" w:cs="Arial"/>
          <w:sz w:val="20"/>
          <w:szCs w:val="20"/>
          <w:lang w:eastAsia="fr-FR"/>
        </w:rPr>
        <w:t>był zaprojektowany zgodnie z wybraną identyfikacją projektu oraz zawierał dedykowane ilustracje.</w:t>
      </w:r>
    </w:p>
    <w:p w14:paraId="3A18B153" w14:textId="77777777" w:rsidR="008E2C43" w:rsidRPr="008E2C43" w:rsidRDefault="008E2C43" w:rsidP="008E2C43">
      <w:pPr>
        <w:pStyle w:val="Nagwek2"/>
        <w:numPr>
          <w:ilvl w:val="1"/>
          <w:numId w:val="2"/>
        </w:numPr>
        <w:rPr>
          <w:rFonts w:ascii="Arial" w:hAnsi="Arial" w:cs="Arial"/>
          <w:sz w:val="20"/>
          <w:szCs w:val="20"/>
          <w:lang w:eastAsia="fr-FR"/>
        </w:rPr>
      </w:pPr>
      <w:bookmarkStart w:id="17" w:name="_Toc100563983"/>
      <w:r w:rsidRPr="008E2C43">
        <w:rPr>
          <w:rFonts w:ascii="Arial" w:hAnsi="Arial" w:cs="Arial"/>
          <w:sz w:val="20"/>
          <w:szCs w:val="20"/>
          <w:lang w:eastAsia="fr-FR"/>
        </w:rPr>
        <w:t>Strona internetowa projektu</w:t>
      </w:r>
      <w:bookmarkEnd w:id="17"/>
      <w:r w:rsidRPr="008E2C43">
        <w:rPr>
          <w:rFonts w:ascii="Arial" w:hAnsi="Arial" w:cs="Arial"/>
          <w:sz w:val="20"/>
          <w:szCs w:val="20"/>
          <w:lang w:eastAsia="fr-FR"/>
        </w:rPr>
        <w:t xml:space="preserve"> </w:t>
      </w:r>
    </w:p>
    <w:p w14:paraId="60579498" w14:textId="77777777" w:rsidR="008E2C43" w:rsidRPr="008E2C43" w:rsidRDefault="008E2C43" w:rsidP="008E2C43">
      <w:pPr>
        <w:jc w:val="both"/>
        <w:rPr>
          <w:rFonts w:ascii="Arial" w:hAnsi="Arial" w:cs="Arial"/>
          <w:sz w:val="20"/>
          <w:szCs w:val="20"/>
          <w:lang w:eastAsia="fr-FR"/>
        </w:rPr>
      </w:pPr>
      <w:r w:rsidRPr="008E2C43">
        <w:rPr>
          <w:rFonts w:ascii="Arial" w:hAnsi="Arial" w:cs="Arial"/>
          <w:sz w:val="20"/>
          <w:szCs w:val="20"/>
          <w:lang w:eastAsia="fr-FR"/>
        </w:rPr>
        <w:t xml:space="preserve">Na potrzeby projektu stworzono nową stronę internetową programu, która była uruchomiona w domenie: www.chronmorze.eu. Nowa strona internetowa była bardzo ważnym narzędziem komunikacji. Skierowana do wszystkich grup docelowych miała klarowny podział treści, a jej możliwie płaska struktura ułatwiała dotarcie do poszukiwanych informacji. </w:t>
      </w:r>
    </w:p>
    <w:p w14:paraId="1AEC6416" w14:textId="77777777" w:rsidR="008E2C43" w:rsidRPr="008E2C43" w:rsidRDefault="008E2C43" w:rsidP="008E2C43">
      <w:pPr>
        <w:jc w:val="both"/>
        <w:rPr>
          <w:rFonts w:ascii="Arial" w:hAnsi="Arial" w:cs="Arial"/>
          <w:sz w:val="20"/>
          <w:szCs w:val="20"/>
          <w:lang w:eastAsia="fr-FR"/>
        </w:rPr>
      </w:pPr>
      <w:r w:rsidRPr="008E2C43">
        <w:rPr>
          <w:rFonts w:ascii="Arial" w:hAnsi="Arial" w:cs="Arial"/>
          <w:sz w:val="20"/>
          <w:szCs w:val="20"/>
          <w:lang w:eastAsia="fr-FR"/>
        </w:rPr>
        <w:t xml:space="preserve">Strona była na bieżąco aktualizowana przez cały czas trwania projektu i docelowo będzie zawierać również wszystkie informacje na temat programu oraz kampanii Chroń morze. </w:t>
      </w:r>
    </w:p>
    <w:p w14:paraId="79C863CD" w14:textId="0D4F2FA7" w:rsidR="008E2C43" w:rsidRPr="008E2C43" w:rsidRDefault="008E2C43" w:rsidP="008E2C43">
      <w:pPr>
        <w:jc w:val="both"/>
        <w:rPr>
          <w:rFonts w:ascii="Arial" w:hAnsi="Arial" w:cs="Arial"/>
          <w:sz w:val="20"/>
          <w:szCs w:val="20"/>
          <w:lang w:eastAsia="fr-FR"/>
        </w:rPr>
      </w:pPr>
      <w:r w:rsidRPr="008E2C43">
        <w:rPr>
          <w:rFonts w:ascii="Arial" w:hAnsi="Arial" w:cs="Arial"/>
          <w:sz w:val="20"/>
          <w:szCs w:val="20"/>
          <w:lang w:eastAsia="fr-FR"/>
        </w:rPr>
        <w:t xml:space="preserve">Na stronie znajdowały się również wszystkie informacje związane z procesem konsultacji społecznych programu, formularz online oraz informacja na temat prowadzanych działań informacyjno-promocyjnych programu. Poza tym, strona zawierała zakładkę „Edukacja”, w której znajdowały się materiały dla dzieci i młodzieży: książeczka „Nasz Bałtyk”, kolorowanki, teksty na temat 11 cech (mających na celu przybliżenia zagadnień odpowiedzialnych za utrzymanie, lub poprawienie dobrego stanu Morza Bałtyckiego) oraz broszura </w:t>
      </w:r>
      <w:r w:rsidR="00C6686A">
        <w:rPr>
          <w:rFonts w:ascii="Arial" w:hAnsi="Arial" w:cs="Arial"/>
          <w:sz w:val="20"/>
          <w:szCs w:val="20"/>
          <w:lang w:eastAsia="fr-FR"/>
        </w:rPr>
        <w:t>„</w:t>
      </w:r>
      <w:r w:rsidR="00143974">
        <w:rPr>
          <w:rFonts w:ascii="Arial" w:hAnsi="Arial" w:cs="Arial"/>
          <w:sz w:val="20"/>
          <w:szCs w:val="20"/>
          <w:lang w:eastAsia="fr-FR"/>
        </w:rPr>
        <w:t>D</w:t>
      </w:r>
      <w:r w:rsidR="00143974" w:rsidRPr="008E2C43">
        <w:rPr>
          <w:rFonts w:ascii="Arial" w:hAnsi="Arial" w:cs="Arial"/>
          <w:sz w:val="20"/>
          <w:szCs w:val="20"/>
          <w:lang w:eastAsia="fr-FR"/>
        </w:rPr>
        <w:t xml:space="preserve">obre </w:t>
      </w:r>
      <w:r w:rsidRPr="008E2C43">
        <w:rPr>
          <w:rFonts w:ascii="Arial" w:hAnsi="Arial" w:cs="Arial"/>
          <w:sz w:val="20"/>
          <w:szCs w:val="20"/>
          <w:lang w:eastAsia="fr-FR"/>
        </w:rPr>
        <w:t>praktyki</w:t>
      </w:r>
      <w:r w:rsidR="00C6686A">
        <w:rPr>
          <w:rFonts w:ascii="Arial" w:hAnsi="Arial" w:cs="Arial"/>
          <w:sz w:val="20"/>
          <w:szCs w:val="20"/>
          <w:lang w:eastAsia="fr-FR"/>
        </w:rPr>
        <w:t>”</w:t>
      </w:r>
      <w:r w:rsidRPr="008E2C43">
        <w:rPr>
          <w:rFonts w:ascii="Arial" w:hAnsi="Arial" w:cs="Arial"/>
          <w:sz w:val="20"/>
          <w:szCs w:val="20"/>
          <w:lang w:eastAsia="fr-FR"/>
        </w:rPr>
        <w:t xml:space="preserve"> przygotowana dla studentów. </w:t>
      </w:r>
    </w:p>
    <w:p w14:paraId="17A99813" w14:textId="77777777" w:rsidR="008E2C43" w:rsidRPr="0074160C" w:rsidRDefault="008E2C43" w:rsidP="008E2C43">
      <w:pPr>
        <w:pStyle w:val="Nagwek2"/>
        <w:numPr>
          <w:ilvl w:val="1"/>
          <w:numId w:val="2"/>
        </w:numPr>
        <w:rPr>
          <w:rFonts w:ascii="Arial" w:hAnsi="Arial" w:cs="Arial"/>
          <w:sz w:val="20"/>
          <w:szCs w:val="20"/>
        </w:rPr>
      </w:pPr>
      <w:bookmarkStart w:id="18" w:name="_Toc100563984"/>
      <w:r w:rsidRPr="0074160C">
        <w:rPr>
          <w:rFonts w:ascii="Arial" w:hAnsi="Arial" w:cs="Arial"/>
          <w:sz w:val="20"/>
          <w:szCs w:val="20"/>
        </w:rPr>
        <w:t>Przygotowanie i publikacja artykułów sponsorowanych</w:t>
      </w:r>
      <w:bookmarkEnd w:id="18"/>
    </w:p>
    <w:p w14:paraId="603BDA41" w14:textId="79D1169F" w:rsidR="008E2C43" w:rsidRPr="0074160C" w:rsidRDefault="008E2C43" w:rsidP="008E2C43">
      <w:pPr>
        <w:jc w:val="both"/>
        <w:rPr>
          <w:rFonts w:ascii="Arial" w:eastAsiaTheme="minorHAnsi" w:hAnsi="Arial" w:cs="Arial"/>
          <w:sz w:val="20"/>
          <w:szCs w:val="20"/>
          <w:lang w:eastAsia="en-US"/>
        </w:rPr>
      </w:pPr>
      <w:r>
        <w:rPr>
          <w:rFonts w:ascii="Arial" w:hAnsi="Arial" w:cs="Arial"/>
          <w:sz w:val="20"/>
          <w:szCs w:val="20"/>
        </w:rPr>
        <w:t>Z</w:t>
      </w:r>
      <w:r w:rsidRPr="0074160C">
        <w:rPr>
          <w:rFonts w:ascii="Arial" w:hAnsi="Arial" w:cs="Arial"/>
          <w:sz w:val="20"/>
          <w:szCs w:val="20"/>
        </w:rPr>
        <w:t>ostały opublikowane artykuły sponsorowane, których celem było poinformowanie społeczeństwa o</w:t>
      </w:r>
      <w:r w:rsidR="00E72CEC">
        <w:rPr>
          <w:rFonts w:ascii="Arial" w:hAnsi="Arial" w:cs="Arial"/>
          <w:sz w:val="20"/>
          <w:szCs w:val="20"/>
        </w:rPr>
        <w:t> </w:t>
      </w:r>
      <w:r w:rsidRPr="0074160C">
        <w:rPr>
          <w:rFonts w:ascii="Arial" w:hAnsi="Arial" w:cs="Arial"/>
          <w:sz w:val="20"/>
          <w:szCs w:val="20"/>
        </w:rPr>
        <w:t>programie oraz konsultacjach społecznych projektu programu. Pierwszy tekst opublikowany w</w:t>
      </w:r>
      <w:r w:rsidR="00E72CEC">
        <w:rPr>
          <w:rFonts w:ascii="Arial" w:hAnsi="Arial" w:cs="Arial"/>
          <w:sz w:val="20"/>
          <w:szCs w:val="20"/>
        </w:rPr>
        <w:t> </w:t>
      </w:r>
      <w:r w:rsidRPr="0074160C">
        <w:rPr>
          <w:rFonts w:ascii="Arial" w:hAnsi="Arial" w:cs="Arial"/>
          <w:sz w:val="20"/>
          <w:szCs w:val="20"/>
        </w:rPr>
        <w:t>Dzienniku Bałtyckim dotyczył rozpoczęcia konsultacji społecznych i zachęcał do wzięcia w nich udziału. Drugi tekst był podsumowaniem konsultacji społecznych. Ukazał się on w Polska the Times w</w:t>
      </w:r>
      <w:r w:rsidR="00E72CEC">
        <w:rPr>
          <w:rFonts w:ascii="Arial" w:hAnsi="Arial" w:cs="Arial"/>
          <w:sz w:val="20"/>
          <w:szCs w:val="20"/>
        </w:rPr>
        <w:t> </w:t>
      </w:r>
      <w:r w:rsidRPr="0074160C">
        <w:rPr>
          <w:rFonts w:ascii="Arial" w:hAnsi="Arial" w:cs="Arial"/>
          <w:sz w:val="20"/>
          <w:szCs w:val="20"/>
        </w:rPr>
        <w:t>dniu 5 grudnia 2021 r. (w wydaniu drukowanym i on-line). Poza publikacjami sponsorowanymi, w</w:t>
      </w:r>
      <w:r w:rsidR="00E72CEC">
        <w:rPr>
          <w:rFonts w:ascii="Arial" w:hAnsi="Arial" w:cs="Arial"/>
          <w:sz w:val="20"/>
          <w:szCs w:val="20"/>
        </w:rPr>
        <w:t> </w:t>
      </w:r>
      <w:r w:rsidRPr="0074160C">
        <w:rPr>
          <w:rFonts w:ascii="Arial" w:hAnsi="Arial" w:cs="Arial"/>
          <w:sz w:val="20"/>
          <w:szCs w:val="20"/>
        </w:rPr>
        <w:t>wydaniu drukowanym Dziennika Rzeczpospolita, ukazało się obwieszczenie o otwarciu konsultacji społecznych aktualizacji programu ochrony wód morskich.</w:t>
      </w:r>
    </w:p>
    <w:p w14:paraId="7330E925" w14:textId="77777777" w:rsidR="008E2C43" w:rsidRPr="0074160C" w:rsidRDefault="008E2C43" w:rsidP="008E2C43">
      <w:pPr>
        <w:jc w:val="both"/>
        <w:rPr>
          <w:rFonts w:ascii="Arial" w:hAnsi="Arial" w:cs="Arial"/>
          <w:sz w:val="20"/>
          <w:szCs w:val="20"/>
        </w:rPr>
      </w:pPr>
      <w:r w:rsidRPr="0074160C">
        <w:rPr>
          <w:rFonts w:ascii="Arial" w:hAnsi="Arial" w:cs="Arial"/>
          <w:sz w:val="20"/>
          <w:szCs w:val="20"/>
        </w:rPr>
        <w:t>Teksty na temat aktualizacji programu ochrony wód morskich ukazały się również w następujących tytułach:</w:t>
      </w:r>
    </w:p>
    <w:p w14:paraId="366D221C" w14:textId="77777777" w:rsidR="008E2C43" w:rsidRPr="0074160C"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24kurier.pl</w:t>
      </w:r>
    </w:p>
    <w:p w14:paraId="13C254C8" w14:textId="77777777" w:rsidR="008E2C43" w:rsidRPr="0074160C"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Dziennik Bałtycki</w:t>
      </w:r>
    </w:p>
    <w:p w14:paraId="213B3082" w14:textId="77777777" w:rsidR="008E2C43" w:rsidRPr="0074160C"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Gospodarka Morska</w:t>
      </w:r>
    </w:p>
    <w:p w14:paraId="76C0B960" w14:textId="77777777" w:rsidR="008E2C43" w:rsidRPr="0074160C"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Klaster Morski</w:t>
      </w:r>
    </w:p>
    <w:p w14:paraId="5A948305" w14:textId="77777777" w:rsidR="008E2C43" w:rsidRPr="0074160C"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Polska-morska.pl</w:t>
      </w:r>
    </w:p>
    <w:p w14:paraId="0E734D6E" w14:textId="77777777" w:rsidR="008E2C43" w:rsidRPr="0074160C"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Portalmorski.pl</w:t>
      </w:r>
    </w:p>
    <w:p w14:paraId="786E3D0A" w14:textId="77777777" w:rsidR="008E2C43" w:rsidRPr="0074160C"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Teraz-srodowisko.pl</w:t>
      </w:r>
    </w:p>
    <w:p w14:paraId="38289ECC" w14:textId="77777777" w:rsidR="008E2C43" w:rsidRPr="008E2C43" w:rsidRDefault="008E2C43" w:rsidP="008E2C43">
      <w:pPr>
        <w:pStyle w:val="Akapitzlist"/>
        <w:numPr>
          <w:ilvl w:val="0"/>
          <w:numId w:val="7"/>
        </w:numPr>
        <w:suppressAutoHyphens w:val="0"/>
        <w:spacing w:after="160"/>
        <w:jc w:val="both"/>
        <w:rPr>
          <w:rFonts w:ascii="Arial" w:hAnsi="Arial" w:cs="Arial"/>
          <w:sz w:val="20"/>
          <w:szCs w:val="20"/>
        </w:rPr>
      </w:pPr>
      <w:r w:rsidRPr="0074160C">
        <w:rPr>
          <w:rFonts w:ascii="Arial" w:hAnsi="Arial" w:cs="Arial"/>
          <w:sz w:val="20"/>
          <w:szCs w:val="20"/>
        </w:rPr>
        <w:t>Zielona gospodarka</w:t>
      </w:r>
    </w:p>
    <w:p w14:paraId="0960BCD3" w14:textId="77777777" w:rsidR="008E2C43" w:rsidRDefault="008E2C43" w:rsidP="008E2C43">
      <w:pPr>
        <w:pStyle w:val="Nagwek2"/>
        <w:numPr>
          <w:ilvl w:val="1"/>
          <w:numId w:val="2"/>
        </w:numPr>
        <w:rPr>
          <w:rFonts w:ascii="Arial" w:hAnsi="Arial" w:cs="Arial"/>
          <w:sz w:val="20"/>
          <w:szCs w:val="20"/>
        </w:rPr>
      </w:pPr>
      <w:bookmarkStart w:id="19" w:name="_Toc100563985"/>
      <w:r>
        <w:rPr>
          <w:rFonts w:ascii="Arial" w:hAnsi="Arial" w:cs="Arial"/>
          <w:sz w:val="20"/>
          <w:szCs w:val="20"/>
        </w:rPr>
        <w:t>Kampania edukacyjna</w:t>
      </w:r>
      <w:bookmarkEnd w:id="19"/>
    </w:p>
    <w:p w14:paraId="5F388D6B" w14:textId="17D1A543" w:rsidR="008E2C43" w:rsidRDefault="008E2C43" w:rsidP="008E2C43">
      <w:pPr>
        <w:jc w:val="both"/>
        <w:rPr>
          <w:rFonts w:ascii="Arial" w:hAnsi="Arial" w:cs="Arial"/>
          <w:sz w:val="20"/>
          <w:szCs w:val="20"/>
        </w:rPr>
      </w:pPr>
      <w:r w:rsidRPr="008E2C43">
        <w:rPr>
          <w:rFonts w:ascii="Arial" w:hAnsi="Arial" w:cs="Arial"/>
          <w:sz w:val="20"/>
          <w:szCs w:val="20"/>
        </w:rPr>
        <w:t xml:space="preserve">Kampania edukacyjna towarzyszyła prowadzonym działaniom informacyjno-promocyjnym Chroń morze i była skierowana </w:t>
      </w:r>
      <w:r w:rsidR="00143974">
        <w:rPr>
          <w:rFonts w:ascii="Arial" w:hAnsi="Arial" w:cs="Arial"/>
          <w:sz w:val="20"/>
          <w:szCs w:val="20"/>
        </w:rPr>
        <w:t xml:space="preserve">także </w:t>
      </w:r>
      <w:r w:rsidRPr="008E2C43">
        <w:rPr>
          <w:rFonts w:ascii="Arial" w:hAnsi="Arial" w:cs="Arial"/>
          <w:sz w:val="20"/>
          <w:szCs w:val="20"/>
        </w:rPr>
        <w:t xml:space="preserve">do studentów szkół morskich. W tym zadaniu opracowano broszurę </w:t>
      </w:r>
      <w:r w:rsidR="00143974">
        <w:rPr>
          <w:rFonts w:ascii="Arial" w:hAnsi="Arial" w:cs="Arial"/>
          <w:sz w:val="20"/>
          <w:szCs w:val="20"/>
        </w:rPr>
        <w:t>„D</w:t>
      </w:r>
      <w:r w:rsidR="00143974" w:rsidRPr="008E2C43">
        <w:rPr>
          <w:rFonts w:ascii="Arial" w:hAnsi="Arial" w:cs="Arial"/>
          <w:sz w:val="20"/>
          <w:szCs w:val="20"/>
        </w:rPr>
        <w:t xml:space="preserve">obre </w:t>
      </w:r>
      <w:r w:rsidRPr="008E2C43">
        <w:rPr>
          <w:rFonts w:ascii="Arial" w:hAnsi="Arial" w:cs="Arial"/>
          <w:sz w:val="20"/>
          <w:szCs w:val="20"/>
        </w:rPr>
        <w:t>praktyki</w:t>
      </w:r>
      <w:r w:rsidR="00143974">
        <w:rPr>
          <w:rFonts w:ascii="Arial" w:hAnsi="Arial" w:cs="Arial"/>
          <w:sz w:val="20"/>
          <w:szCs w:val="20"/>
        </w:rPr>
        <w:t>”</w:t>
      </w:r>
      <w:r w:rsidRPr="008E2C43">
        <w:rPr>
          <w:rFonts w:ascii="Arial" w:hAnsi="Arial" w:cs="Arial"/>
          <w:sz w:val="20"/>
          <w:szCs w:val="20"/>
        </w:rPr>
        <w:t>, która w atrakcyjny sposób prezentowała tematykę i podejście do ochrony wód morskich</w:t>
      </w:r>
      <w:r w:rsidR="00143974">
        <w:rPr>
          <w:rFonts w:ascii="Arial" w:hAnsi="Arial" w:cs="Arial"/>
          <w:sz w:val="20"/>
          <w:szCs w:val="20"/>
        </w:rPr>
        <w:t>. Dodatkowo opracowano</w:t>
      </w:r>
      <w:r w:rsidRPr="008E2C43">
        <w:rPr>
          <w:rFonts w:ascii="Arial" w:hAnsi="Arial" w:cs="Arial"/>
          <w:sz w:val="20"/>
          <w:szCs w:val="20"/>
        </w:rPr>
        <w:t xml:space="preserve"> także książeczkę dla dzieci, która pomoże zrozumieć najmłodszym, dlaczego ochrona Morza Bałtyckiego jest tak ważna oraz w jaki sposób mogą się do tego przyczynić.</w:t>
      </w:r>
    </w:p>
    <w:p w14:paraId="17962681" w14:textId="77777777" w:rsidR="008E2C43" w:rsidRDefault="008E2C43" w:rsidP="008E2C43">
      <w:pPr>
        <w:pStyle w:val="Nagwek2"/>
        <w:numPr>
          <w:ilvl w:val="1"/>
          <w:numId w:val="2"/>
        </w:numPr>
        <w:rPr>
          <w:rFonts w:ascii="Arial" w:hAnsi="Arial" w:cs="Arial"/>
          <w:sz w:val="20"/>
          <w:szCs w:val="20"/>
        </w:rPr>
      </w:pPr>
      <w:bookmarkStart w:id="20" w:name="_Toc100563986"/>
      <w:r>
        <w:rPr>
          <w:rFonts w:ascii="Arial" w:hAnsi="Arial" w:cs="Arial"/>
          <w:sz w:val="20"/>
          <w:szCs w:val="20"/>
        </w:rPr>
        <w:t>Film</w:t>
      </w:r>
      <w:bookmarkEnd w:id="20"/>
    </w:p>
    <w:p w14:paraId="764FD42A" w14:textId="7C34502A" w:rsidR="004159B0" w:rsidRDefault="008E2C43" w:rsidP="004159B0">
      <w:pPr>
        <w:jc w:val="both"/>
        <w:rPr>
          <w:rFonts w:ascii="Arial" w:hAnsi="Arial" w:cs="Arial"/>
          <w:sz w:val="20"/>
          <w:szCs w:val="20"/>
        </w:rPr>
      </w:pPr>
      <w:r w:rsidRPr="008E2C43">
        <w:rPr>
          <w:rFonts w:ascii="Arial" w:hAnsi="Arial" w:cs="Arial"/>
          <w:sz w:val="20"/>
          <w:szCs w:val="20"/>
        </w:rPr>
        <w:t xml:space="preserve">W ramach wypracowanej koncepcji filmu i w nawiązaniu do przyjętej identyfikacji graficznej projektu przygotowano animację, której celem jest opowiedzenie o programie, skupienie się na najważniejszych jego cechach oraz zachęta do wzięcia udziału w konsultacjach społecznych. Film dostępny był na stronie projektu www.chronmorze.eu oraz na YouTube. </w:t>
      </w:r>
    </w:p>
    <w:p w14:paraId="7F5432A6" w14:textId="66E7E21D" w:rsidR="0039018A" w:rsidRPr="0039018A" w:rsidRDefault="00DF5BDB" w:rsidP="004159B0">
      <w:pPr>
        <w:jc w:val="both"/>
        <w:rPr>
          <w:rFonts w:ascii="Arial" w:hAnsi="Arial" w:cs="Arial"/>
          <w:sz w:val="20"/>
          <w:szCs w:val="20"/>
          <w:u w:val="single"/>
        </w:rPr>
      </w:pPr>
      <w:r>
        <w:rPr>
          <w:rFonts w:ascii="Arial" w:hAnsi="Arial" w:cs="Arial"/>
          <w:sz w:val="20"/>
          <w:szCs w:val="20"/>
          <w:u w:val="single"/>
        </w:rPr>
        <w:br w:type="column"/>
      </w:r>
      <w:r w:rsidR="0039018A" w:rsidRPr="0039018A">
        <w:rPr>
          <w:rFonts w:ascii="Arial" w:hAnsi="Arial" w:cs="Arial"/>
          <w:sz w:val="20"/>
          <w:szCs w:val="20"/>
          <w:u w:val="single"/>
        </w:rPr>
        <w:lastRenderedPageBreak/>
        <w:t>Załącznik:</w:t>
      </w:r>
    </w:p>
    <w:p w14:paraId="5C28149F" w14:textId="77777777" w:rsidR="0039018A" w:rsidRPr="004159B0" w:rsidRDefault="0039018A" w:rsidP="004159B0">
      <w:pPr>
        <w:jc w:val="both"/>
        <w:rPr>
          <w:rFonts w:ascii="Arial" w:hAnsi="Arial" w:cs="Arial"/>
          <w:sz w:val="20"/>
          <w:szCs w:val="20"/>
        </w:rPr>
      </w:pPr>
      <w:r>
        <w:rPr>
          <w:rFonts w:ascii="Arial" w:hAnsi="Arial" w:cs="Arial"/>
          <w:sz w:val="20"/>
          <w:szCs w:val="20"/>
        </w:rPr>
        <w:t>Tabela uwag i wniosków z konsultacji społecznych projektu aktualizacji programu ochrony wód morskich</w:t>
      </w:r>
    </w:p>
    <w:sectPr w:rsidR="0039018A" w:rsidRPr="004159B0">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3B3F1" w14:textId="77777777" w:rsidR="00766ACC" w:rsidRDefault="00766ACC" w:rsidP="008D4549">
      <w:pPr>
        <w:spacing w:after="0" w:line="240" w:lineRule="auto"/>
      </w:pPr>
      <w:r>
        <w:separator/>
      </w:r>
    </w:p>
  </w:endnote>
  <w:endnote w:type="continuationSeparator" w:id="0">
    <w:p w14:paraId="1B3D7244" w14:textId="77777777" w:rsidR="00766ACC" w:rsidRDefault="00766ACC" w:rsidP="008D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9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96271"/>
      <w:docPartObj>
        <w:docPartGallery w:val="Page Numbers (Bottom of Page)"/>
        <w:docPartUnique/>
      </w:docPartObj>
    </w:sdtPr>
    <w:sdtEndPr/>
    <w:sdtContent>
      <w:p w14:paraId="3FE7BC97" w14:textId="4C457AEA" w:rsidR="00156783" w:rsidRDefault="00156783">
        <w:pPr>
          <w:pStyle w:val="Stopka"/>
          <w:jc w:val="right"/>
        </w:pPr>
        <w:r>
          <w:fldChar w:fldCharType="begin"/>
        </w:r>
        <w:r>
          <w:instrText>PAGE   \* MERGEFORMAT</w:instrText>
        </w:r>
        <w:r>
          <w:fldChar w:fldCharType="separate"/>
        </w:r>
        <w:r w:rsidR="00E72CEC">
          <w:rPr>
            <w:noProof/>
          </w:rPr>
          <w:t>10</w:t>
        </w:r>
        <w:r>
          <w:fldChar w:fldCharType="end"/>
        </w:r>
      </w:p>
    </w:sdtContent>
  </w:sdt>
  <w:p w14:paraId="383AC4AC" w14:textId="77777777" w:rsidR="00156783" w:rsidRDefault="001567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C2D98" w14:textId="77777777" w:rsidR="00766ACC" w:rsidRDefault="00766ACC" w:rsidP="008D4549">
      <w:pPr>
        <w:spacing w:after="0" w:line="240" w:lineRule="auto"/>
      </w:pPr>
      <w:r>
        <w:separator/>
      </w:r>
    </w:p>
  </w:footnote>
  <w:footnote w:type="continuationSeparator" w:id="0">
    <w:p w14:paraId="4E8E7B8C" w14:textId="77777777" w:rsidR="00766ACC" w:rsidRDefault="00766ACC" w:rsidP="008D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FC9E" w14:textId="77777777" w:rsidR="008D4549" w:rsidRPr="008D4549" w:rsidRDefault="008D4549" w:rsidP="008D4549">
    <w:pPr>
      <w:pStyle w:val="Nagwek"/>
      <w:jc w:val="right"/>
      <w:rPr>
        <w:rFonts w:ascii="Arial" w:hAnsi="Arial" w:cs="Arial"/>
      </w:rPr>
    </w:pPr>
    <w:r w:rsidRPr="008D4549">
      <w:rPr>
        <w:rFonts w:ascii="Arial" w:hAnsi="Arial" w:cs="Arial"/>
        <w:sz w:val="18"/>
        <w:szCs w:val="18"/>
      </w:rPr>
      <w:t>Projekt: Aktualizacja Programu Ochrony Wód Morskich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D0F"/>
    <w:multiLevelType w:val="hybridMultilevel"/>
    <w:tmpl w:val="BFD00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8005B6"/>
    <w:multiLevelType w:val="hybridMultilevel"/>
    <w:tmpl w:val="7598D2CE"/>
    <w:lvl w:ilvl="0" w:tplc="E4DEC7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A34450"/>
    <w:multiLevelType w:val="hybridMultilevel"/>
    <w:tmpl w:val="FBDE11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2AF31DE"/>
    <w:multiLevelType w:val="hybridMultilevel"/>
    <w:tmpl w:val="7BDE8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134CF1"/>
    <w:multiLevelType w:val="hybridMultilevel"/>
    <w:tmpl w:val="F6A0DD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82D4AEC"/>
    <w:multiLevelType w:val="hybridMultilevel"/>
    <w:tmpl w:val="F2BC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83213D"/>
    <w:multiLevelType w:val="multilevel"/>
    <w:tmpl w:val="193C520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CE55B38"/>
    <w:multiLevelType w:val="hybridMultilevel"/>
    <w:tmpl w:val="64AC8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0647BB1"/>
    <w:multiLevelType w:val="multilevel"/>
    <w:tmpl w:val="33E40944"/>
    <w:lvl w:ilvl="0">
      <w:start w:val="1"/>
      <w:numFmt w:val="decimal"/>
      <w:lvlText w:val="%1."/>
      <w:lvlJc w:val="left"/>
      <w:pPr>
        <w:ind w:left="360" w:hanging="360"/>
      </w:pPr>
      <w:rPr>
        <w:b/>
        <w:bCs w:val="0"/>
        <w:color w:val="000000" w:themeColor="text1"/>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7B36E9"/>
    <w:multiLevelType w:val="multilevel"/>
    <w:tmpl w:val="AB72C9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C7171B"/>
    <w:multiLevelType w:val="hybridMultilevel"/>
    <w:tmpl w:val="C5E0A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026220"/>
    <w:multiLevelType w:val="hybridMultilevel"/>
    <w:tmpl w:val="49E43B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EE47F0C"/>
    <w:multiLevelType w:val="multilevel"/>
    <w:tmpl w:val="AC98B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936782"/>
    <w:multiLevelType w:val="multilevel"/>
    <w:tmpl w:val="6706E5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6"/>
  </w:num>
  <w:num w:numId="3">
    <w:abstractNumId w:val="12"/>
  </w:num>
  <w:num w:numId="4">
    <w:abstractNumId w:val="2"/>
  </w:num>
  <w:num w:numId="5">
    <w:abstractNumId w:val="9"/>
  </w:num>
  <w:num w:numId="6">
    <w:abstractNumId w:val="7"/>
  </w:num>
  <w:num w:numId="7">
    <w:abstractNumId w:val="4"/>
  </w:num>
  <w:num w:numId="8">
    <w:abstractNumId w:val="13"/>
  </w:num>
  <w:num w:numId="9">
    <w:abstractNumId w:val="8"/>
  </w:num>
  <w:num w:numId="10">
    <w:abstractNumId w:val="1"/>
  </w:num>
  <w:num w:numId="11">
    <w:abstractNumId w:val="0"/>
  </w:num>
  <w:num w:numId="12">
    <w:abstractNumId w:val="5"/>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87"/>
    <w:rsid w:val="00001C0D"/>
    <w:rsid w:val="000601B8"/>
    <w:rsid w:val="00143974"/>
    <w:rsid w:val="00156783"/>
    <w:rsid w:val="001E7AC7"/>
    <w:rsid w:val="00242922"/>
    <w:rsid w:val="00287BFD"/>
    <w:rsid w:val="002B0919"/>
    <w:rsid w:val="002F6CDE"/>
    <w:rsid w:val="0039018A"/>
    <w:rsid w:val="003B2C82"/>
    <w:rsid w:val="004159B0"/>
    <w:rsid w:val="00485692"/>
    <w:rsid w:val="004E4E4A"/>
    <w:rsid w:val="00553B6E"/>
    <w:rsid w:val="005D5E0C"/>
    <w:rsid w:val="005E2CCD"/>
    <w:rsid w:val="005F7230"/>
    <w:rsid w:val="00600887"/>
    <w:rsid w:val="006351B8"/>
    <w:rsid w:val="00653D91"/>
    <w:rsid w:val="0065628C"/>
    <w:rsid w:val="00674218"/>
    <w:rsid w:val="006850FB"/>
    <w:rsid w:val="006B38C4"/>
    <w:rsid w:val="00710AF7"/>
    <w:rsid w:val="007119C5"/>
    <w:rsid w:val="00713C72"/>
    <w:rsid w:val="007363B0"/>
    <w:rsid w:val="0074160C"/>
    <w:rsid w:val="00766ACC"/>
    <w:rsid w:val="007B63FA"/>
    <w:rsid w:val="008211A9"/>
    <w:rsid w:val="0084387B"/>
    <w:rsid w:val="00844412"/>
    <w:rsid w:val="00847CA5"/>
    <w:rsid w:val="008A1B4F"/>
    <w:rsid w:val="008D4549"/>
    <w:rsid w:val="008E2C43"/>
    <w:rsid w:val="009764B1"/>
    <w:rsid w:val="009978CE"/>
    <w:rsid w:val="009D6861"/>
    <w:rsid w:val="00A214ED"/>
    <w:rsid w:val="00A606F1"/>
    <w:rsid w:val="00A72DA3"/>
    <w:rsid w:val="00A7342D"/>
    <w:rsid w:val="00AD6D2D"/>
    <w:rsid w:val="00AE2672"/>
    <w:rsid w:val="00B028D4"/>
    <w:rsid w:val="00B1106D"/>
    <w:rsid w:val="00B52C4A"/>
    <w:rsid w:val="00B86A8C"/>
    <w:rsid w:val="00BC5192"/>
    <w:rsid w:val="00BF1FDA"/>
    <w:rsid w:val="00C31244"/>
    <w:rsid w:val="00C459AD"/>
    <w:rsid w:val="00C53C14"/>
    <w:rsid w:val="00C6686A"/>
    <w:rsid w:val="00D24B23"/>
    <w:rsid w:val="00DF5BDB"/>
    <w:rsid w:val="00E06F56"/>
    <w:rsid w:val="00E72CEC"/>
    <w:rsid w:val="00EB7C07"/>
    <w:rsid w:val="00F108DE"/>
    <w:rsid w:val="00F77E7C"/>
    <w:rsid w:val="00FA4A30"/>
    <w:rsid w:val="00FD4C34"/>
    <w:rsid w:val="00FE14D0"/>
    <w:rsid w:val="00FF263F"/>
    <w:rsid w:val="00FF5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1F76"/>
  <w15:chartTrackingRefBased/>
  <w15:docId w15:val="{C2966134-58C0-4EBA-8282-5508BF53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2C4A"/>
    <w:pPr>
      <w:suppressAutoHyphens/>
      <w:spacing w:after="200" w:line="276" w:lineRule="auto"/>
    </w:pPr>
    <w:rPr>
      <w:rFonts w:ascii="Calibri" w:eastAsia="SimSun" w:hAnsi="Calibri" w:cs="font499"/>
      <w:lang w:eastAsia="ar-SA"/>
    </w:rPr>
  </w:style>
  <w:style w:type="paragraph" w:styleId="Nagwek1">
    <w:name w:val="heading 1"/>
    <w:basedOn w:val="Normalny"/>
    <w:next w:val="Normalny"/>
    <w:link w:val="Nagwek1Znak"/>
    <w:uiPriority w:val="9"/>
    <w:qFormat/>
    <w:rsid w:val="00600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E26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0887"/>
    <w:rPr>
      <w:rFonts w:asciiTheme="majorHAnsi" w:eastAsiaTheme="majorEastAsia" w:hAnsiTheme="majorHAnsi" w:cstheme="majorBidi"/>
      <w:color w:val="2E74B5" w:themeColor="accent1" w:themeShade="BF"/>
      <w:sz w:val="32"/>
      <w:szCs w:val="32"/>
      <w:lang w:eastAsia="ar-SA"/>
    </w:rPr>
  </w:style>
  <w:style w:type="paragraph" w:styleId="Nagwekspisutreci">
    <w:name w:val="TOC Heading"/>
    <w:basedOn w:val="Nagwek1"/>
    <w:next w:val="Normalny"/>
    <w:uiPriority w:val="39"/>
    <w:unhideWhenUsed/>
    <w:qFormat/>
    <w:rsid w:val="00600887"/>
    <w:pPr>
      <w:suppressAutoHyphens w:val="0"/>
      <w:spacing w:line="259" w:lineRule="auto"/>
      <w:outlineLvl w:val="9"/>
    </w:pPr>
    <w:rPr>
      <w:rFonts w:ascii="Calibri Light" w:eastAsia="Times New Roman" w:hAnsi="Calibri Light" w:cs="Times New Roman"/>
      <w:color w:val="2E74B5"/>
      <w:lang w:eastAsia="pl-PL"/>
    </w:rPr>
  </w:style>
  <w:style w:type="paragraph" w:styleId="Spistreci1">
    <w:name w:val="toc 1"/>
    <w:basedOn w:val="Normalny"/>
    <w:next w:val="Normalny"/>
    <w:autoRedefine/>
    <w:uiPriority w:val="39"/>
    <w:unhideWhenUsed/>
    <w:rsid w:val="00600887"/>
    <w:pPr>
      <w:tabs>
        <w:tab w:val="left" w:pos="440"/>
        <w:tab w:val="right" w:leader="dot" w:pos="8777"/>
      </w:tabs>
    </w:pPr>
  </w:style>
  <w:style w:type="character" w:styleId="Hipercze">
    <w:name w:val="Hyperlink"/>
    <w:uiPriority w:val="99"/>
    <w:unhideWhenUsed/>
    <w:rsid w:val="00600887"/>
    <w:rPr>
      <w:color w:val="0563C1"/>
      <w:u w:val="single"/>
    </w:rPr>
  </w:style>
  <w:style w:type="paragraph" w:styleId="Akapitzlist">
    <w:name w:val="List Paragraph"/>
    <w:aliases w:val="Akapit z listą1,Akapit z numeracją,Akapit z listą kropka,Numerowanie,Wyliczanie,Obiekt,Akapit z listą31,lista punktowana,maz_wyliczenie,opis dzialania,K-P_odwolanie,A_wyliczenie,Akapit z listą5,L1,List Paragraph"/>
    <w:basedOn w:val="Normalny"/>
    <w:link w:val="AkapitzlistZnak"/>
    <w:uiPriority w:val="34"/>
    <w:qFormat/>
    <w:rsid w:val="00600887"/>
    <w:pPr>
      <w:ind w:left="720"/>
      <w:contextualSpacing/>
    </w:pPr>
  </w:style>
  <w:style w:type="paragraph" w:styleId="Nagwek">
    <w:name w:val="header"/>
    <w:basedOn w:val="Normalny"/>
    <w:link w:val="NagwekZnak"/>
    <w:uiPriority w:val="99"/>
    <w:unhideWhenUsed/>
    <w:rsid w:val="008D4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549"/>
    <w:rPr>
      <w:rFonts w:ascii="Calibri" w:eastAsia="SimSun" w:hAnsi="Calibri" w:cs="font499"/>
      <w:lang w:eastAsia="ar-SA"/>
    </w:rPr>
  </w:style>
  <w:style w:type="paragraph" w:styleId="Stopka">
    <w:name w:val="footer"/>
    <w:basedOn w:val="Normalny"/>
    <w:link w:val="StopkaZnak"/>
    <w:uiPriority w:val="99"/>
    <w:unhideWhenUsed/>
    <w:rsid w:val="008D4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549"/>
    <w:rPr>
      <w:rFonts w:ascii="Calibri" w:eastAsia="SimSun" w:hAnsi="Calibri" w:cs="font499"/>
      <w:lang w:eastAsia="ar-SA"/>
    </w:rPr>
  </w:style>
  <w:style w:type="character" w:customStyle="1" w:styleId="AkapitzlistZnak">
    <w:name w:val="Akapit z listą Znak"/>
    <w:aliases w:val="Akapit z listą1 Znak,Akapit z numeracją Znak,Akapit z listą kropka Znak,Numerowanie Znak,Wyliczanie Znak,Obiekt Znak,Akapit z listą31 Znak,lista punktowana Znak,maz_wyliczenie Znak,opis dzialania Znak,K-P_odwolanie Znak,L1 Znak"/>
    <w:basedOn w:val="Domylnaczcionkaakapitu"/>
    <w:link w:val="Akapitzlist"/>
    <w:uiPriority w:val="34"/>
    <w:locked/>
    <w:rsid w:val="00AE2672"/>
    <w:rPr>
      <w:rFonts w:ascii="Calibri" w:eastAsia="SimSun" w:hAnsi="Calibri" w:cs="font499"/>
      <w:lang w:eastAsia="ar-SA"/>
    </w:rPr>
  </w:style>
  <w:style w:type="character" w:customStyle="1" w:styleId="Nagwek2Znak">
    <w:name w:val="Nagłówek 2 Znak"/>
    <w:basedOn w:val="Domylnaczcionkaakapitu"/>
    <w:link w:val="Nagwek2"/>
    <w:uiPriority w:val="9"/>
    <w:rsid w:val="00AE2672"/>
    <w:rPr>
      <w:rFonts w:asciiTheme="majorHAnsi" w:eastAsiaTheme="majorEastAsia" w:hAnsiTheme="majorHAnsi" w:cstheme="majorBidi"/>
      <w:color w:val="2E74B5" w:themeColor="accent1" w:themeShade="BF"/>
      <w:sz w:val="26"/>
      <w:szCs w:val="26"/>
      <w:lang w:eastAsia="ar-SA"/>
    </w:rPr>
  </w:style>
  <w:style w:type="paragraph" w:customStyle="1" w:styleId="Default">
    <w:name w:val="Default"/>
    <w:rsid w:val="00B028D4"/>
    <w:pPr>
      <w:autoSpaceDE w:val="0"/>
      <w:autoSpaceDN w:val="0"/>
      <w:adjustRightInd w:val="0"/>
      <w:spacing w:after="0" w:line="240" w:lineRule="auto"/>
    </w:pPr>
    <w:rPr>
      <w:rFonts w:ascii="Arial" w:hAnsi="Arial" w:cs="Arial"/>
      <w:color w:val="000000"/>
      <w:sz w:val="24"/>
      <w:szCs w:val="24"/>
    </w:rPr>
  </w:style>
  <w:style w:type="character" w:customStyle="1" w:styleId="podpisyChar">
    <w:name w:val="podpisy Char"/>
    <w:basedOn w:val="Domylnaczcionkaakapitu"/>
    <w:link w:val="podpisy"/>
    <w:locked/>
    <w:rsid w:val="00287BFD"/>
    <w:rPr>
      <w:rFonts w:ascii="Open Sans" w:hAnsi="Open Sans" w:cs="Open Sans"/>
      <w:color w:val="1F3864" w:themeColor="accent5" w:themeShade="80"/>
      <w:sz w:val="20"/>
    </w:rPr>
  </w:style>
  <w:style w:type="paragraph" w:customStyle="1" w:styleId="podpisy">
    <w:name w:val="podpisy"/>
    <w:basedOn w:val="Tekstpodstawowy"/>
    <w:link w:val="podpisyChar"/>
    <w:qFormat/>
    <w:rsid w:val="00287BFD"/>
    <w:pPr>
      <w:suppressAutoHyphens w:val="0"/>
      <w:spacing w:before="120" w:after="0" w:line="264" w:lineRule="auto"/>
      <w:jc w:val="center"/>
    </w:pPr>
    <w:rPr>
      <w:rFonts w:ascii="Open Sans" w:eastAsiaTheme="minorHAnsi" w:hAnsi="Open Sans" w:cs="Open Sans"/>
      <w:color w:val="1F3864" w:themeColor="accent5" w:themeShade="80"/>
      <w:sz w:val="20"/>
      <w:lang w:eastAsia="en-US"/>
    </w:rPr>
  </w:style>
  <w:style w:type="paragraph" w:styleId="Tekstpodstawowy">
    <w:name w:val="Body Text"/>
    <w:basedOn w:val="Normalny"/>
    <w:link w:val="TekstpodstawowyZnak"/>
    <w:uiPriority w:val="99"/>
    <w:semiHidden/>
    <w:unhideWhenUsed/>
    <w:rsid w:val="00287BFD"/>
    <w:pPr>
      <w:spacing w:after="120"/>
    </w:pPr>
  </w:style>
  <w:style w:type="character" w:customStyle="1" w:styleId="TekstpodstawowyZnak">
    <w:name w:val="Tekst podstawowy Znak"/>
    <w:basedOn w:val="Domylnaczcionkaakapitu"/>
    <w:link w:val="Tekstpodstawowy"/>
    <w:uiPriority w:val="99"/>
    <w:semiHidden/>
    <w:rsid w:val="00287BFD"/>
    <w:rPr>
      <w:rFonts w:ascii="Calibri" w:eastAsia="SimSun" w:hAnsi="Calibri" w:cs="font499"/>
      <w:lang w:eastAsia="ar-SA"/>
    </w:rPr>
  </w:style>
  <w:style w:type="paragraph" w:styleId="Spistreci2">
    <w:name w:val="toc 2"/>
    <w:basedOn w:val="Normalny"/>
    <w:next w:val="Normalny"/>
    <w:autoRedefine/>
    <w:uiPriority w:val="39"/>
    <w:unhideWhenUsed/>
    <w:rsid w:val="00156783"/>
    <w:pPr>
      <w:spacing w:after="100"/>
      <w:ind w:left="220"/>
    </w:pPr>
  </w:style>
  <w:style w:type="character" w:styleId="Odwoaniedokomentarza">
    <w:name w:val="annotation reference"/>
    <w:basedOn w:val="Domylnaczcionkaakapitu"/>
    <w:uiPriority w:val="99"/>
    <w:semiHidden/>
    <w:unhideWhenUsed/>
    <w:rsid w:val="00D24B23"/>
    <w:rPr>
      <w:sz w:val="16"/>
      <w:szCs w:val="16"/>
    </w:rPr>
  </w:style>
  <w:style w:type="paragraph" w:styleId="Tekstkomentarza">
    <w:name w:val="annotation text"/>
    <w:basedOn w:val="Normalny"/>
    <w:link w:val="TekstkomentarzaZnak"/>
    <w:uiPriority w:val="99"/>
    <w:semiHidden/>
    <w:unhideWhenUsed/>
    <w:rsid w:val="00D24B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4B23"/>
    <w:rPr>
      <w:rFonts w:ascii="Calibri" w:eastAsia="SimSun" w:hAnsi="Calibri" w:cs="font499"/>
      <w:sz w:val="20"/>
      <w:szCs w:val="20"/>
      <w:lang w:eastAsia="ar-SA"/>
    </w:rPr>
  </w:style>
  <w:style w:type="paragraph" w:styleId="Tematkomentarza">
    <w:name w:val="annotation subject"/>
    <w:basedOn w:val="Tekstkomentarza"/>
    <w:next w:val="Tekstkomentarza"/>
    <w:link w:val="TematkomentarzaZnak"/>
    <w:uiPriority w:val="99"/>
    <w:semiHidden/>
    <w:unhideWhenUsed/>
    <w:rsid w:val="00D24B23"/>
    <w:rPr>
      <w:b/>
      <w:bCs/>
    </w:rPr>
  </w:style>
  <w:style w:type="character" w:customStyle="1" w:styleId="TematkomentarzaZnak">
    <w:name w:val="Temat komentarza Znak"/>
    <w:basedOn w:val="TekstkomentarzaZnak"/>
    <w:link w:val="Tematkomentarza"/>
    <w:uiPriority w:val="99"/>
    <w:semiHidden/>
    <w:rsid w:val="00D24B23"/>
    <w:rPr>
      <w:rFonts w:ascii="Calibri" w:eastAsia="SimSun" w:hAnsi="Calibri" w:cs="font499"/>
      <w:b/>
      <w:bCs/>
      <w:sz w:val="20"/>
      <w:szCs w:val="20"/>
      <w:lang w:eastAsia="ar-SA"/>
    </w:rPr>
  </w:style>
  <w:style w:type="paragraph" w:styleId="Tekstdymka">
    <w:name w:val="Balloon Text"/>
    <w:basedOn w:val="Normalny"/>
    <w:link w:val="TekstdymkaZnak"/>
    <w:uiPriority w:val="99"/>
    <w:semiHidden/>
    <w:unhideWhenUsed/>
    <w:rsid w:val="00D24B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4B23"/>
    <w:rPr>
      <w:rFonts w:ascii="Segoe UI" w:eastAsia="SimSun" w:hAnsi="Segoe UI" w:cs="Segoe UI"/>
      <w:sz w:val="18"/>
      <w:szCs w:val="18"/>
      <w:lang w:eastAsia="ar-SA"/>
    </w:rPr>
  </w:style>
  <w:style w:type="character" w:styleId="UyteHipercze">
    <w:name w:val="FollowedHyperlink"/>
    <w:basedOn w:val="Domylnaczcionkaakapitu"/>
    <w:uiPriority w:val="99"/>
    <w:semiHidden/>
    <w:unhideWhenUsed/>
    <w:rsid w:val="001E7AC7"/>
    <w:rPr>
      <w:color w:val="954F72" w:themeColor="followedHyperlink"/>
      <w:u w:val="single"/>
    </w:rPr>
  </w:style>
  <w:style w:type="table" w:styleId="Tabela-Siatka">
    <w:name w:val="Table Grid"/>
    <w:basedOn w:val="Standardowy"/>
    <w:uiPriority w:val="39"/>
    <w:rsid w:val="005F7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36659">
      <w:bodyDiv w:val="1"/>
      <w:marLeft w:val="0"/>
      <w:marRight w:val="0"/>
      <w:marTop w:val="0"/>
      <w:marBottom w:val="0"/>
      <w:divBdr>
        <w:top w:val="none" w:sz="0" w:space="0" w:color="auto"/>
        <w:left w:val="none" w:sz="0" w:space="0" w:color="auto"/>
        <w:bottom w:val="none" w:sz="0" w:space="0" w:color="auto"/>
        <w:right w:val="none" w:sz="0" w:space="0" w:color="auto"/>
      </w:divBdr>
    </w:div>
    <w:div w:id="289627695">
      <w:bodyDiv w:val="1"/>
      <w:marLeft w:val="0"/>
      <w:marRight w:val="0"/>
      <w:marTop w:val="0"/>
      <w:marBottom w:val="0"/>
      <w:divBdr>
        <w:top w:val="none" w:sz="0" w:space="0" w:color="auto"/>
        <w:left w:val="none" w:sz="0" w:space="0" w:color="auto"/>
        <w:bottom w:val="none" w:sz="0" w:space="0" w:color="auto"/>
        <w:right w:val="none" w:sz="0" w:space="0" w:color="auto"/>
      </w:divBdr>
    </w:div>
    <w:div w:id="298194265">
      <w:bodyDiv w:val="1"/>
      <w:marLeft w:val="0"/>
      <w:marRight w:val="0"/>
      <w:marTop w:val="0"/>
      <w:marBottom w:val="0"/>
      <w:divBdr>
        <w:top w:val="none" w:sz="0" w:space="0" w:color="auto"/>
        <w:left w:val="none" w:sz="0" w:space="0" w:color="auto"/>
        <w:bottom w:val="none" w:sz="0" w:space="0" w:color="auto"/>
        <w:right w:val="none" w:sz="0" w:space="0" w:color="auto"/>
      </w:divBdr>
    </w:div>
    <w:div w:id="311956314">
      <w:bodyDiv w:val="1"/>
      <w:marLeft w:val="0"/>
      <w:marRight w:val="0"/>
      <w:marTop w:val="0"/>
      <w:marBottom w:val="0"/>
      <w:divBdr>
        <w:top w:val="none" w:sz="0" w:space="0" w:color="auto"/>
        <w:left w:val="none" w:sz="0" w:space="0" w:color="auto"/>
        <w:bottom w:val="none" w:sz="0" w:space="0" w:color="auto"/>
        <w:right w:val="none" w:sz="0" w:space="0" w:color="auto"/>
      </w:divBdr>
    </w:div>
    <w:div w:id="316955748">
      <w:bodyDiv w:val="1"/>
      <w:marLeft w:val="0"/>
      <w:marRight w:val="0"/>
      <w:marTop w:val="0"/>
      <w:marBottom w:val="0"/>
      <w:divBdr>
        <w:top w:val="none" w:sz="0" w:space="0" w:color="auto"/>
        <w:left w:val="none" w:sz="0" w:space="0" w:color="auto"/>
        <w:bottom w:val="none" w:sz="0" w:space="0" w:color="auto"/>
        <w:right w:val="none" w:sz="0" w:space="0" w:color="auto"/>
      </w:divBdr>
    </w:div>
    <w:div w:id="393281893">
      <w:bodyDiv w:val="1"/>
      <w:marLeft w:val="0"/>
      <w:marRight w:val="0"/>
      <w:marTop w:val="0"/>
      <w:marBottom w:val="0"/>
      <w:divBdr>
        <w:top w:val="none" w:sz="0" w:space="0" w:color="auto"/>
        <w:left w:val="none" w:sz="0" w:space="0" w:color="auto"/>
        <w:bottom w:val="none" w:sz="0" w:space="0" w:color="auto"/>
        <w:right w:val="none" w:sz="0" w:space="0" w:color="auto"/>
      </w:divBdr>
    </w:div>
    <w:div w:id="405539392">
      <w:bodyDiv w:val="1"/>
      <w:marLeft w:val="0"/>
      <w:marRight w:val="0"/>
      <w:marTop w:val="0"/>
      <w:marBottom w:val="0"/>
      <w:divBdr>
        <w:top w:val="none" w:sz="0" w:space="0" w:color="auto"/>
        <w:left w:val="none" w:sz="0" w:space="0" w:color="auto"/>
        <w:bottom w:val="none" w:sz="0" w:space="0" w:color="auto"/>
        <w:right w:val="none" w:sz="0" w:space="0" w:color="auto"/>
      </w:divBdr>
    </w:div>
    <w:div w:id="468135773">
      <w:bodyDiv w:val="1"/>
      <w:marLeft w:val="0"/>
      <w:marRight w:val="0"/>
      <w:marTop w:val="0"/>
      <w:marBottom w:val="0"/>
      <w:divBdr>
        <w:top w:val="none" w:sz="0" w:space="0" w:color="auto"/>
        <w:left w:val="none" w:sz="0" w:space="0" w:color="auto"/>
        <w:bottom w:val="none" w:sz="0" w:space="0" w:color="auto"/>
        <w:right w:val="none" w:sz="0" w:space="0" w:color="auto"/>
      </w:divBdr>
    </w:div>
    <w:div w:id="492068300">
      <w:bodyDiv w:val="1"/>
      <w:marLeft w:val="0"/>
      <w:marRight w:val="0"/>
      <w:marTop w:val="0"/>
      <w:marBottom w:val="0"/>
      <w:divBdr>
        <w:top w:val="none" w:sz="0" w:space="0" w:color="auto"/>
        <w:left w:val="none" w:sz="0" w:space="0" w:color="auto"/>
        <w:bottom w:val="none" w:sz="0" w:space="0" w:color="auto"/>
        <w:right w:val="none" w:sz="0" w:space="0" w:color="auto"/>
      </w:divBdr>
    </w:div>
    <w:div w:id="610630372">
      <w:bodyDiv w:val="1"/>
      <w:marLeft w:val="0"/>
      <w:marRight w:val="0"/>
      <w:marTop w:val="0"/>
      <w:marBottom w:val="0"/>
      <w:divBdr>
        <w:top w:val="none" w:sz="0" w:space="0" w:color="auto"/>
        <w:left w:val="none" w:sz="0" w:space="0" w:color="auto"/>
        <w:bottom w:val="none" w:sz="0" w:space="0" w:color="auto"/>
        <w:right w:val="none" w:sz="0" w:space="0" w:color="auto"/>
      </w:divBdr>
    </w:div>
    <w:div w:id="628241338">
      <w:bodyDiv w:val="1"/>
      <w:marLeft w:val="0"/>
      <w:marRight w:val="0"/>
      <w:marTop w:val="0"/>
      <w:marBottom w:val="0"/>
      <w:divBdr>
        <w:top w:val="none" w:sz="0" w:space="0" w:color="auto"/>
        <w:left w:val="none" w:sz="0" w:space="0" w:color="auto"/>
        <w:bottom w:val="none" w:sz="0" w:space="0" w:color="auto"/>
        <w:right w:val="none" w:sz="0" w:space="0" w:color="auto"/>
      </w:divBdr>
    </w:div>
    <w:div w:id="633097447">
      <w:bodyDiv w:val="1"/>
      <w:marLeft w:val="0"/>
      <w:marRight w:val="0"/>
      <w:marTop w:val="0"/>
      <w:marBottom w:val="0"/>
      <w:divBdr>
        <w:top w:val="none" w:sz="0" w:space="0" w:color="auto"/>
        <w:left w:val="none" w:sz="0" w:space="0" w:color="auto"/>
        <w:bottom w:val="none" w:sz="0" w:space="0" w:color="auto"/>
        <w:right w:val="none" w:sz="0" w:space="0" w:color="auto"/>
      </w:divBdr>
    </w:div>
    <w:div w:id="694498824">
      <w:bodyDiv w:val="1"/>
      <w:marLeft w:val="0"/>
      <w:marRight w:val="0"/>
      <w:marTop w:val="0"/>
      <w:marBottom w:val="0"/>
      <w:divBdr>
        <w:top w:val="none" w:sz="0" w:space="0" w:color="auto"/>
        <w:left w:val="none" w:sz="0" w:space="0" w:color="auto"/>
        <w:bottom w:val="none" w:sz="0" w:space="0" w:color="auto"/>
        <w:right w:val="none" w:sz="0" w:space="0" w:color="auto"/>
      </w:divBdr>
    </w:div>
    <w:div w:id="734396838">
      <w:bodyDiv w:val="1"/>
      <w:marLeft w:val="0"/>
      <w:marRight w:val="0"/>
      <w:marTop w:val="0"/>
      <w:marBottom w:val="0"/>
      <w:divBdr>
        <w:top w:val="none" w:sz="0" w:space="0" w:color="auto"/>
        <w:left w:val="none" w:sz="0" w:space="0" w:color="auto"/>
        <w:bottom w:val="none" w:sz="0" w:space="0" w:color="auto"/>
        <w:right w:val="none" w:sz="0" w:space="0" w:color="auto"/>
      </w:divBdr>
    </w:div>
    <w:div w:id="880215164">
      <w:bodyDiv w:val="1"/>
      <w:marLeft w:val="0"/>
      <w:marRight w:val="0"/>
      <w:marTop w:val="0"/>
      <w:marBottom w:val="0"/>
      <w:divBdr>
        <w:top w:val="none" w:sz="0" w:space="0" w:color="auto"/>
        <w:left w:val="none" w:sz="0" w:space="0" w:color="auto"/>
        <w:bottom w:val="none" w:sz="0" w:space="0" w:color="auto"/>
        <w:right w:val="none" w:sz="0" w:space="0" w:color="auto"/>
      </w:divBdr>
    </w:div>
    <w:div w:id="906065907">
      <w:bodyDiv w:val="1"/>
      <w:marLeft w:val="0"/>
      <w:marRight w:val="0"/>
      <w:marTop w:val="0"/>
      <w:marBottom w:val="0"/>
      <w:divBdr>
        <w:top w:val="none" w:sz="0" w:space="0" w:color="auto"/>
        <w:left w:val="none" w:sz="0" w:space="0" w:color="auto"/>
        <w:bottom w:val="none" w:sz="0" w:space="0" w:color="auto"/>
        <w:right w:val="none" w:sz="0" w:space="0" w:color="auto"/>
      </w:divBdr>
    </w:div>
    <w:div w:id="912349144">
      <w:bodyDiv w:val="1"/>
      <w:marLeft w:val="0"/>
      <w:marRight w:val="0"/>
      <w:marTop w:val="0"/>
      <w:marBottom w:val="0"/>
      <w:divBdr>
        <w:top w:val="none" w:sz="0" w:space="0" w:color="auto"/>
        <w:left w:val="none" w:sz="0" w:space="0" w:color="auto"/>
        <w:bottom w:val="none" w:sz="0" w:space="0" w:color="auto"/>
        <w:right w:val="none" w:sz="0" w:space="0" w:color="auto"/>
      </w:divBdr>
    </w:div>
    <w:div w:id="937983952">
      <w:bodyDiv w:val="1"/>
      <w:marLeft w:val="0"/>
      <w:marRight w:val="0"/>
      <w:marTop w:val="0"/>
      <w:marBottom w:val="0"/>
      <w:divBdr>
        <w:top w:val="none" w:sz="0" w:space="0" w:color="auto"/>
        <w:left w:val="none" w:sz="0" w:space="0" w:color="auto"/>
        <w:bottom w:val="none" w:sz="0" w:space="0" w:color="auto"/>
        <w:right w:val="none" w:sz="0" w:space="0" w:color="auto"/>
      </w:divBdr>
    </w:div>
    <w:div w:id="1089304518">
      <w:bodyDiv w:val="1"/>
      <w:marLeft w:val="0"/>
      <w:marRight w:val="0"/>
      <w:marTop w:val="0"/>
      <w:marBottom w:val="0"/>
      <w:divBdr>
        <w:top w:val="none" w:sz="0" w:space="0" w:color="auto"/>
        <w:left w:val="none" w:sz="0" w:space="0" w:color="auto"/>
        <w:bottom w:val="none" w:sz="0" w:space="0" w:color="auto"/>
        <w:right w:val="none" w:sz="0" w:space="0" w:color="auto"/>
      </w:divBdr>
    </w:div>
    <w:div w:id="1114246016">
      <w:bodyDiv w:val="1"/>
      <w:marLeft w:val="0"/>
      <w:marRight w:val="0"/>
      <w:marTop w:val="0"/>
      <w:marBottom w:val="0"/>
      <w:divBdr>
        <w:top w:val="none" w:sz="0" w:space="0" w:color="auto"/>
        <w:left w:val="none" w:sz="0" w:space="0" w:color="auto"/>
        <w:bottom w:val="none" w:sz="0" w:space="0" w:color="auto"/>
        <w:right w:val="none" w:sz="0" w:space="0" w:color="auto"/>
      </w:divBdr>
    </w:div>
    <w:div w:id="1144278528">
      <w:bodyDiv w:val="1"/>
      <w:marLeft w:val="0"/>
      <w:marRight w:val="0"/>
      <w:marTop w:val="0"/>
      <w:marBottom w:val="0"/>
      <w:divBdr>
        <w:top w:val="none" w:sz="0" w:space="0" w:color="auto"/>
        <w:left w:val="none" w:sz="0" w:space="0" w:color="auto"/>
        <w:bottom w:val="none" w:sz="0" w:space="0" w:color="auto"/>
        <w:right w:val="none" w:sz="0" w:space="0" w:color="auto"/>
      </w:divBdr>
    </w:div>
    <w:div w:id="1208375321">
      <w:bodyDiv w:val="1"/>
      <w:marLeft w:val="0"/>
      <w:marRight w:val="0"/>
      <w:marTop w:val="0"/>
      <w:marBottom w:val="0"/>
      <w:divBdr>
        <w:top w:val="none" w:sz="0" w:space="0" w:color="auto"/>
        <w:left w:val="none" w:sz="0" w:space="0" w:color="auto"/>
        <w:bottom w:val="none" w:sz="0" w:space="0" w:color="auto"/>
        <w:right w:val="none" w:sz="0" w:space="0" w:color="auto"/>
      </w:divBdr>
    </w:div>
    <w:div w:id="1315721553">
      <w:bodyDiv w:val="1"/>
      <w:marLeft w:val="0"/>
      <w:marRight w:val="0"/>
      <w:marTop w:val="0"/>
      <w:marBottom w:val="0"/>
      <w:divBdr>
        <w:top w:val="none" w:sz="0" w:space="0" w:color="auto"/>
        <w:left w:val="none" w:sz="0" w:space="0" w:color="auto"/>
        <w:bottom w:val="none" w:sz="0" w:space="0" w:color="auto"/>
        <w:right w:val="none" w:sz="0" w:space="0" w:color="auto"/>
      </w:divBdr>
    </w:div>
    <w:div w:id="1380784886">
      <w:bodyDiv w:val="1"/>
      <w:marLeft w:val="0"/>
      <w:marRight w:val="0"/>
      <w:marTop w:val="0"/>
      <w:marBottom w:val="0"/>
      <w:divBdr>
        <w:top w:val="none" w:sz="0" w:space="0" w:color="auto"/>
        <w:left w:val="none" w:sz="0" w:space="0" w:color="auto"/>
        <w:bottom w:val="none" w:sz="0" w:space="0" w:color="auto"/>
        <w:right w:val="none" w:sz="0" w:space="0" w:color="auto"/>
      </w:divBdr>
    </w:div>
    <w:div w:id="1690181234">
      <w:bodyDiv w:val="1"/>
      <w:marLeft w:val="0"/>
      <w:marRight w:val="0"/>
      <w:marTop w:val="0"/>
      <w:marBottom w:val="0"/>
      <w:divBdr>
        <w:top w:val="none" w:sz="0" w:space="0" w:color="auto"/>
        <w:left w:val="none" w:sz="0" w:space="0" w:color="auto"/>
        <w:bottom w:val="none" w:sz="0" w:space="0" w:color="auto"/>
        <w:right w:val="none" w:sz="0" w:space="0" w:color="auto"/>
      </w:divBdr>
    </w:div>
    <w:div w:id="1794862672">
      <w:bodyDiv w:val="1"/>
      <w:marLeft w:val="0"/>
      <w:marRight w:val="0"/>
      <w:marTop w:val="0"/>
      <w:marBottom w:val="0"/>
      <w:divBdr>
        <w:top w:val="none" w:sz="0" w:space="0" w:color="auto"/>
        <w:left w:val="none" w:sz="0" w:space="0" w:color="auto"/>
        <w:bottom w:val="none" w:sz="0" w:space="0" w:color="auto"/>
        <w:right w:val="none" w:sz="0" w:space="0" w:color="auto"/>
      </w:divBdr>
    </w:div>
    <w:div w:id="1849322883">
      <w:bodyDiv w:val="1"/>
      <w:marLeft w:val="0"/>
      <w:marRight w:val="0"/>
      <w:marTop w:val="0"/>
      <w:marBottom w:val="0"/>
      <w:divBdr>
        <w:top w:val="none" w:sz="0" w:space="0" w:color="auto"/>
        <w:left w:val="none" w:sz="0" w:space="0" w:color="auto"/>
        <w:bottom w:val="none" w:sz="0" w:space="0" w:color="auto"/>
        <w:right w:val="none" w:sz="0" w:space="0" w:color="auto"/>
      </w:divBdr>
    </w:div>
    <w:div w:id="20792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ronmorz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ronmorze.eu/konferencje/"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www.chronmorze.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ronmorze.eu" TargetMode="External"/><Relationship Id="rId14" Type="http://schemas.openxmlformats.org/officeDocument/2006/relationships/hyperlink" Target="mailto:konsultacje@chronmorze.e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Open Sans" panose="020B0606030504020204" pitchFamily="34" charset="0"/>
                <a:ea typeface="Open Sans" panose="020B0606030504020204" pitchFamily="34" charset="0"/>
                <a:cs typeface="Open Sans" panose="020B0606030504020204" pitchFamily="34" charset="0"/>
              </a:rPr>
              <a:t>Liczba uczestników konferencji </a:t>
            </a:r>
            <a:r>
              <a:rPr lang="pl-PL" sz="1200">
                <a:latin typeface="Open Sans" panose="020B0606030504020204" pitchFamily="34" charset="0"/>
                <a:ea typeface="Open Sans" panose="020B0606030504020204" pitchFamily="34" charset="0"/>
                <a:cs typeface="Open Sans" panose="020B0606030504020204" pitchFamily="34" charset="0"/>
              </a:rPr>
              <a:t>ogólnopolskich </a:t>
            </a:r>
            <a:r>
              <a:rPr lang="en-US" sz="1200">
                <a:latin typeface="Open Sans" panose="020B0606030504020204" pitchFamily="34" charset="0"/>
                <a:ea typeface="Open Sans" panose="020B0606030504020204" pitchFamily="34" charset="0"/>
                <a:cs typeface="Open Sans" panose="020B0606030504020204" pitchFamily="34" charset="0"/>
              </a:rPr>
              <a:t>Chroń Morze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uczestników konferencji Chroń Morze</c:v>
                </c:pt>
              </c:strCache>
            </c:strRef>
          </c:tx>
          <c:spPr>
            <a:solidFill>
              <a:schemeClr val="accent1"/>
            </a:solidFill>
            <a:ln>
              <a:noFill/>
            </a:ln>
            <a:effectLst/>
          </c:spPr>
          <c:invertIfNegative val="0"/>
          <c:cat>
            <c:strRef>
              <c:f>Arkusz1!$A$2:$A$4</c:f>
              <c:strCache>
                <c:ptCount val="3"/>
                <c:pt idx="0">
                  <c:v>Gdańsk</c:v>
                </c:pt>
                <c:pt idx="1">
                  <c:v>Gdynia</c:v>
                </c:pt>
                <c:pt idx="2">
                  <c:v>Szczecin</c:v>
                </c:pt>
              </c:strCache>
            </c:strRef>
          </c:cat>
          <c:val>
            <c:numRef>
              <c:f>Arkusz1!$B$2:$B$4</c:f>
              <c:numCache>
                <c:formatCode>General</c:formatCode>
                <c:ptCount val="3"/>
                <c:pt idx="0">
                  <c:v>100</c:v>
                </c:pt>
                <c:pt idx="1">
                  <c:v>95</c:v>
                </c:pt>
                <c:pt idx="2">
                  <c:v>63</c:v>
                </c:pt>
              </c:numCache>
            </c:numRef>
          </c:val>
          <c:extLst>
            <c:ext xmlns:c16="http://schemas.microsoft.com/office/drawing/2014/chart" uri="{C3380CC4-5D6E-409C-BE32-E72D297353CC}">
              <c16:uniqueId val="{00000000-56CC-4C8A-883A-42459581ED99}"/>
            </c:ext>
          </c:extLst>
        </c:ser>
        <c:dLbls>
          <c:showLegendKey val="0"/>
          <c:showVal val="0"/>
          <c:showCatName val="0"/>
          <c:showSerName val="0"/>
          <c:showPercent val="0"/>
          <c:showBubbleSize val="0"/>
        </c:dLbls>
        <c:gapWidth val="219"/>
        <c:overlap val="-27"/>
        <c:axId val="711146960"/>
        <c:axId val="711149680"/>
      </c:barChart>
      <c:catAx>
        <c:axId val="71114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11149680"/>
        <c:crosses val="autoZero"/>
        <c:auto val="1"/>
        <c:lblAlgn val="ctr"/>
        <c:lblOffset val="100"/>
        <c:noMultiLvlLbl val="0"/>
      </c:catAx>
      <c:valAx>
        <c:axId val="71114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1114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latin typeface="Open Sans" panose="020B0606030504020204" pitchFamily="34" charset="0"/>
                <a:ea typeface="Open Sans" panose="020B0606030504020204" pitchFamily="34" charset="0"/>
                <a:cs typeface="Open Sans" panose="020B0606030504020204" pitchFamily="34" charset="0"/>
              </a:rPr>
              <a:t>Sposób rozpatrzenia uwag i wniosków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Sposób rozpatrzenia uwag i wniosków</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056-419F-95A3-75D3644CA5E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056-419F-95A3-75D3644CA5E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056-419F-95A3-75D3644CA5E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056-419F-95A3-75D3644CA5E5}"/>
              </c:ext>
            </c:extLst>
          </c:dPt>
          <c:cat>
            <c:strRef>
              <c:f>Arkusz1!$A$2:$A$5</c:f>
              <c:strCache>
                <c:ptCount val="4"/>
                <c:pt idx="0">
                  <c:v>Uwzględnione uwagi i wnioski; 121</c:v>
                </c:pt>
                <c:pt idx="1">
                  <c:v>Częściowo uwzględnione uwagi i wnioski; 11</c:v>
                </c:pt>
                <c:pt idx="2">
                  <c:v>Nieuwzględnione uwagi i wnioski; 35</c:v>
                </c:pt>
                <c:pt idx="3">
                  <c:v>Wyjaśnione uwagi i wnioski; 21</c:v>
                </c:pt>
              </c:strCache>
            </c:strRef>
          </c:cat>
          <c:val>
            <c:numRef>
              <c:f>Arkusz1!$B$2:$B$5</c:f>
              <c:numCache>
                <c:formatCode>General</c:formatCode>
                <c:ptCount val="4"/>
                <c:pt idx="0">
                  <c:v>121</c:v>
                </c:pt>
                <c:pt idx="1">
                  <c:v>11</c:v>
                </c:pt>
                <c:pt idx="2">
                  <c:v>35</c:v>
                </c:pt>
                <c:pt idx="3">
                  <c:v>21</c:v>
                </c:pt>
              </c:numCache>
            </c:numRef>
          </c:val>
          <c:extLst>
            <c:ext xmlns:c16="http://schemas.microsoft.com/office/drawing/2014/chart" uri="{C3380CC4-5D6E-409C-BE32-E72D297353CC}">
              <c16:uniqueId val="{00000008-1056-419F-95A3-75D3644CA5E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latin typeface="Open Sans" panose="020B0606030504020204" pitchFamily="34" charset="0"/>
                <a:ea typeface="Open Sans" panose="020B0606030504020204" pitchFamily="34" charset="0"/>
                <a:cs typeface="Open Sans" panose="020B0606030504020204" pitchFamily="34" charset="0"/>
              </a:rPr>
              <a:t>Forma otrzymania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Forma otrzymania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E65-4698-859A-024120BCE0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E65-4698-859A-024120BCE0A9}"/>
              </c:ext>
            </c:extLst>
          </c:dPt>
          <c:cat>
            <c:strRef>
              <c:f>Arkusz1!$A$2:$A$3</c:f>
              <c:strCache>
                <c:ptCount val="2"/>
                <c:pt idx="0">
                  <c:v>ankieta on-line</c:v>
                </c:pt>
                <c:pt idx="1">
                  <c:v>e-mail</c:v>
                </c:pt>
              </c:strCache>
            </c:strRef>
          </c:cat>
          <c:val>
            <c:numRef>
              <c:f>Arkusz1!$B$2:$B$3</c:f>
              <c:numCache>
                <c:formatCode>General</c:formatCode>
                <c:ptCount val="2"/>
                <c:pt idx="0">
                  <c:v>4</c:v>
                </c:pt>
                <c:pt idx="1">
                  <c:v>184</c:v>
                </c:pt>
              </c:numCache>
            </c:numRef>
          </c:val>
          <c:extLst>
            <c:ext xmlns:c16="http://schemas.microsoft.com/office/drawing/2014/chart" uri="{C3380CC4-5D6E-409C-BE32-E72D297353CC}">
              <c16:uniqueId val="{00000004-6E65-4698-859A-024120BCE0A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latin typeface="Open Sans" panose="020B0606030504020204" pitchFamily="34" charset="0"/>
                <a:ea typeface="Open Sans" panose="020B0606030504020204" pitchFamily="34" charset="0"/>
                <a:cs typeface="Open Sans" panose="020B0606030504020204" pitchFamily="34" charset="0"/>
              </a:rPr>
              <a:t>Rodzaj podmiotu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Rodzaj podmiotu</c:v>
                </c:pt>
              </c:strCache>
            </c:strRef>
          </c:tx>
          <c:spPr>
            <a:solidFill>
              <a:schemeClr val="accent1"/>
            </a:solidFill>
            <a:ln>
              <a:noFill/>
            </a:ln>
            <a:effectLst/>
          </c:spPr>
          <c:invertIfNegative val="0"/>
          <c:cat>
            <c:strRef>
              <c:f>Arkusz1!$A$2:$A$5</c:f>
              <c:strCache>
                <c:ptCount val="4"/>
                <c:pt idx="0">
                  <c:v>aministracja rządowa</c:v>
                </c:pt>
                <c:pt idx="1">
                  <c:v>administracja samorządowa</c:v>
                </c:pt>
                <c:pt idx="2">
                  <c:v>organizacja pozarządowa</c:v>
                </c:pt>
                <c:pt idx="3">
                  <c:v>osoba prywatna</c:v>
                </c:pt>
              </c:strCache>
            </c:strRef>
          </c:cat>
          <c:val>
            <c:numRef>
              <c:f>Arkusz1!$B$2:$B$5</c:f>
              <c:numCache>
                <c:formatCode>General</c:formatCode>
                <c:ptCount val="4"/>
                <c:pt idx="0">
                  <c:v>13</c:v>
                </c:pt>
                <c:pt idx="1">
                  <c:v>1</c:v>
                </c:pt>
                <c:pt idx="2">
                  <c:v>160</c:v>
                </c:pt>
                <c:pt idx="3">
                  <c:v>14</c:v>
                </c:pt>
              </c:numCache>
            </c:numRef>
          </c:val>
          <c:extLst>
            <c:ext xmlns:c16="http://schemas.microsoft.com/office/drawing/2014/chart" uri="{C3380CC4-5D6E-409C-BE32-E72D297353CC}">
              <c16:uniqueId val="{00000000-B7AF-42DE-8E9B-741EEACB15A6}"/>
            </c:ext>
          </c:extLst>
        </c:ser>
        <c:dLbls>
          <c:showLegendKey val="0"/>
          <c:showVal val="0"/>
          <c:showCatName val="0"/>
          <c:showSerName val="0"/>
          <c:showPercent val="0"/>
          <c:showBubbleSize val="0"/>
        </c:dLbls>
        <c:gapWidth val="219"/>
        <c:overlap val="-27"/>
        <c:axId val="711150224"/>
        <c:axId val="711155120"/>
      </c:barChart>
      <c:catAx>
        <c:axId val="71115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11155120"/>
        <c:crosses val="autoZero"/>
        <c:auto val="1"/>
        <c:lblAlgn val="ctr"/>
        <c:lblOffset val="100"/>
        <c:noMultiLvlLbl val="0"/>
      </c:catAx>
      <c:valAx>
        <c:axId val="71115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1115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ED01-722B-4974-9AB8-68928D28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2702</Words>
  <Characters>16214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Breskvar Patrycja</dc:creator>
  <cp:keywords/>
  <dc:description/>
  <cp:lastModifiedBy>Paweł Pełka</cp:lastModifiedBy>
  <cp:revision>2</cp:revision>
  <dcterms:created xsi:type="dcterms:W3CDTF">2022-04-29T07:23:00Z</dcterms:created>
  <dcterms:modified xsi:type="dcterms:W3CDTF">2022-04-29T07:23:00Z</dcterms:modified>
</cp:coreProperties>
</file>