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29A4" w14:textId="3F18B758" w:rsidR="50CA78C1" w:rsidRDefault="50CA78C1" w:rsidP="50CA78C1">
      <w:pPr>
        <w:spacing w:before="120" w:after="120"/>
        <w:jc w:val="right"/>
        <w:rPr>
          <w:rFonts w:ascii="Arial" w:hAnsi="Arial" w:cs="Arial"/>
          <w:i/>
          <w:iCs/>
          <w:sz w:val="20"/>
          <w:szCs w:val="20"/>
        </w:rPr>
      </w:pPr>
    </w:p>
    <w:p w14:paraId="1D986BE1" w14:textId="7329F57B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3D7717">
        <w:rPr>
          <w:rFonts w:ascii="Arial" w:hAnsi="Arial" w:cs="Arial"/>
          <w:bCs/>
          <w:i/>
          <w:iCs/>
          <w:sz w:val="20"/>
          <w:szCs w:val="20"/>
        </w:rPr>
        <w:t>2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58BB51BF" w14:textId="025399D2" w:rsidR="00462731" w:rsidRPr="006A2591" w:rsidRDefault="006A2591" w:rsidP="006A2591">
      <w:pPr>
        <w:jc w:val="right"/>
        <w:rPr>
          <w:rFonts w:ascii="Arial" w:hAnsi="Arial" w:cs="Arial"/>
          <w:bCs/>
          <w:sz w:val="20"/>
          <w:szCs w:val="20"/>
        </w:rPr>
      </w:pPr>
      <w:r w:rsidRPr="00D10451">
        <w:rPr>
          <w:rFonts w:ascii="Arial" w:hAnsi="Arial" w:cs="Arial"/>
          <w:bCs/>
          <w:sz w:val="20"/>
          <w:szCs w:val="20"/>
        </w:rPr>
        <w:t>(</w:t>
      </w:r>
      <w:r w:rsidRPr="00D10451">
        <w:rPr>
          <w:rFonts w:ascii="Arial" w:hAnsi="Arial" w:cs="Arial"/>
          <w:bCs/>
          <w:i/>
          <w:iCs/>
          <w:sz w:val="20"/>
          <w:szCs w:val="20"/>
        </w:rPr>
        <w:t>aktualizacja z</w:t>
      </w:r>
      <w:r w:rsidRPr="00D10451">
        <w:rPr>
          <w:rFonts w:ascii="Arial" w:hAnsi="Arial" w:cs="Arial"/>
          <w:bCs/>
          <w:sz w:val="20"/>
          <w:szCs w:val="20"/>
        </w:rPr>
        <w:t xml:space="preserve"> 20.10.2025 r.)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3BE9E61F" w:rsidR="00503FF2" w:rsidRPr="004D1860" w:rsidRDefault="00CF4650" w:rsidP="00BA1EB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01326">
        <w:rPr>
          <w:rFonts w:ascii="Arial" w:hAnsi="Arial" w:cs="Arial"/>
          <w:sz w:val="20"/>
          <w:szCs w:val="20"/>
          <w:lang w:eastAsia="pl-PL"/>
        </w:rPr>
        <w:t>w tym</w:t>
      </w:r>
      <w:r w:rsidR="00B324DA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503FF2" w:rsidRPr="006C1E18">
        <w:rPr>
          <w:rFonts w:ascii="Arial" w:hAnsi="Arial" w:cs="Arial"/>
          <w:sz w:val="20"/>
          <w:szCs w:val="20"/>
          <w:lang w:eastAsia="pl-PL"/>
        </w:rPr>
        <w:t>:</w:t>
      </w:r>
      <w:r w:rsidR="001764B5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503FF2" w:rsidRPr="004D1860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03641D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2EE9875" w14:textId="77777777" w:rsidR="009F779F" w:rsidRPr="003A404F" w:rsidRDefault="009F779F" w:rsidP="009F779F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</w:t>
      </w:r>
      <w:r w:rsidR="003278C8" w:rsidRPr="006C1E18">
        <w:rPr>
          <w:rFonts w:ascii="Arial" w:hAnsi="Arial" w:cs="Arial"/>
          <w:sz w:val="20"/>
          <w:szCs w:val="20"/>
        </w:rPr>
        <w:lastRenderedPageBreak/>
        <w:t xml:space="preserve">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172E0CA7" w:rsidR="00CD3B95" w:rsidRPr="006C1E18" w:rsidRDefault="001F177C" w:rsidP="0003641D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01326">
        <w:rPr>
          <w:rFonts w:ascii="Arial" w:hAnsi="Arial" w:cs="Arial"/>
          <w:sz w:val="20"/>
          <w:szCs w:val="20"/>
        </w:rPr>
        <w:t>.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6E5AF013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656C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 sprawozdani</w:t>
      </w:r>
      <w:r w:rsidR="00656C22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656C2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6C22" w:rsidRPr="0030387F">
        <w:rPr>
          <w:rFonts w:ascii="Arial" w:hAnsi="Arial" w:cs="Arial"/>
          <w:sz w:val="20"/>
          <w:szCs w:val="20"/>
          <w:lang w:eastAsia="pl-PL"/>
        </w:rPr>
        <w:t>za ostatni rok obr</w:t>
      </w:r>
      <w:r w:rsidR="00244FEA">
        <w:rPr>
          <w:rFonts w:ascii="Arial" w:hAnsi="Arial" w:cs="Arial"/>
          <w:sz w:val="20"/>
          <w:szCs w:val="20"/>
          <w:lang w:eastAsia="pl-PL"/>
        </w:rPr>
        <w:t>achunkowy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656C22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656C22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="00656C2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5B8401E2" w:rsidR="0023737E" w:rsidRPr="006C1E18" w:rsidRDefault="0023737E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następujące dokumenty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Pr="006C1E18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9449F7" w:rsidR="0023737E" w:rsidRPr="006C1E18" w:rsidRDefault="00B06BBD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>
        <w:rPr>
          <w:rFonts w:ascii="Arial" w:hAnsi="Arial" w:cs="Arial"/>
          <w:sz w:val="20"/>
          <w:szCs w:val="20"/>
          <w:lang w:eastAsia="pl-PL"/>
        </w:rPr>
        <w:t>P</w:t>
      </w:r>
      <w:r w:rsidR="00200DF7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r w:rsidR="002350E5" w:rsidRPr="006C1E18">
        <w:rPr>
          <w:rFonts w:ascii="Arial" w:hAnsi="Arial" w:cs="Arial"/>
          <w:sz w:val="20"/>
          <w:szCs w:val="20"/>
          <w:lang w:eastAsia="pl-PL"/>
        </w:rPr>
        <w:t>;</w:t>
      </w:r>
    </w:p>
    <w:p w14:paraId="01B68F5C" w14:textId="77777777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75DC04CF" w:rsidR="0023737E" w:rsidRPr="006C1E18" w:rsidRDefault="0023737E" w:rsidP="0003641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…………………</w:t>
      </w:r>
      <w:r w:rsidR="00A06A30" w:rsidRPr="006C1E18">
        <w:rPr>
          <w:rFonts w:ascii="Arial" w:hAnsi="Arial" w:cs="Arial"/>
          <w:sz w:val="20"/>
          <w:szCs w:val="20"/>
          <w:lang w:eastAsia="pl-PL"/>
        </w:rPr>
        <w:t>…</w:t>
      </w:r>
    </w:p>
    <w:p w14:paraId="2BD6B564" w14:textId="69E64FC3" w:rsidR="00B06BBD" w:rsidRPr="006C1E18" w:rsidRDefault="00B06BBD" w:rsidP="0011763E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1"/>
      </w:r>
    </w:p>
    <w:p w14:paraId="756966D4" w14:textId="13EAE1BD" w:rsidR="00DC2947" w:rsidRPr="006C1E18" w:rsidRDefault="00B84A9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</w:p>
    <w:p w14:paraId="3949E13B" w14:textId="45EE328B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B30202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9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będącego załącznikiem nr </w:t>
      </w:r>
      <w:r w:rsidR="00F74386">
        <w:rPr>
          <w:rFonts w:ascii="Arial" w:hAnsi="Arial" w:cs="Arial"/>
          <w:sz w:val="20"/>
          <w:szCs w:val="20"/>
        </w:rPr>
        <w:t>7</w:t>
      </w:r>
      <w:r w:rsidR="00D61491" w:rsidRPr="00B30202">
        <w:rPr>
          <w:rFonts w:ascii="Arial" w:hAnsi="Arial" w:cs="Arial"/>
          <w:sz w:val="20"/>
          <w:szCs w:val="20"/>
        </w:rPr>
        <w:t xml:space="preserve"> do Umowy.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7DEE38A7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3B688CF2" w:rsidR="002116C6" w:rsidRPr="00B30202" w:rsidRDefault="002116C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>,</w:t>
      </w:r>
      <w:r w:rsidR="00C01326">
        <w:rPr>
          <w:rFonts w:ascii="Arial" w:eastAsiaTheme="minorEastAsia" w:hAnsi="Arial" w:cs="Arial"/>
          <w:sz w:val="20"/>
          <w:szCs w:val="20"/>
        </w:rPr>
        <w:t xml:space="preserve"> nad którymi musi być sprawowana kontrola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EB3872" w:rsidRPr="00B30202">
        <w:rPr>
          <w:rFonts w:ascii="Arial" w:eastAsiaTheme="minorEastAsia" w:hAnsi="Arial" w:cs="Arial"/>
          <w:sz w:val="20"/>
          <w:szCs w:val="20"/>
        </w:rPr>
        <w:t>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0333C0">
        <w:rPr>
          <w:rFonts w:ascii="Arial" w:eastAsiaTheme="minorEastAsia" w:hAnsi="Arial" w:cs="Arial"/>
          <w:sz w:val="20"/>
          <w:szCs w:val="20"/>
        </w:rPr>
        <w:t>UE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5D59377A" w:rsidR="00955DA0" w:rsidRPr="00B30202" w:rsidRDefault="00BC3F52" w:rsidP="0003641D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48375142" w:rsidR="00BD6F21" w:rsidRPr="006912CE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4868C9" w:rsidRPr="004868C9">
        <w:rPr>
          <w:rFonts w:ascii="Arial" w:eastAsiaTheme="minorEastAsia" w:hAnsi="Arial" w:cs="Arial"/>
          <w:sz w:val="20"/>
          <w:szCs w:val="20"/>
        </w:rPr>
        <w:t xml:space="preserve"> </w:t>
      </w:r>
      <w:r w:rsidR="004868C9">
        <w:rPr>
          <w:rFonts w:ascii="Arial" w:eastAsiaTheme="minorEastAsia" w:hAnsi="Arial" w:cs="Arial"/>
          <w:sz w:val="20"/>
          <w:szCs w:val="20"/>
        </w:rPr>
        <w:t>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1C4D117" w14:textId="77777777" w:rsid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E58AB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UE, tj. wprowadzi innowację produktową (na bazie uzyskanych wyników rozpocznie produkcję nowych/ulepszonych wyrobów lub zacznie świadczyć nowe/ulepszone usługi oraz wprowadzi te wyroby/usługi głównie na terytorium UE) lub wprowadzi innowację w swoim procesie biznesowym (na bazie uzyskanych wyników wprowadzi nowy/ulepszony proces produkcji wyrobów lub świadczenia usług, które są/będą wprowadzone głównie na terytorium UE)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lub </w:t>
      </w:r>
    </w:p>
    <w:p w14:paraId="1C27C1F9" w14:textId="296D411F" w:rsidR="00CE2BF2" w:rsidRPr="00CE2BF2" w:rsidRDefault="00CE2BF2" w:rsidP="0003641D">
      <w:pPr>
        <w:pStyle w:val="Akapitzlist"/>
        <w:numPr>
          <w:ilvl w:val="0"/>
          <w:numId w:val="58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udzieli licencji (na zasadach rynkowych) na korzystanie z przysługujących praw do wyników prac B+R w działalności gospodarczej prowadzonej przez innego przedsiębiorcę (z zastrzeżeniem ust. 4).</w:t>
      </w:r>
    </w:p>
    <w:p w14:paraId="6D1A52D6" w14:textId="472B132A" w:rsidR="00A47066" w:rsidRPr="00381539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licencji:</w:t>
      </w:r>
    </w:p>
    <w:p w14:paraId="69992A44" w14:textId="3F629268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03B48">
        <w:rPr>
          <w:rFonts w:ascii="Arial" w:eastAsiaTheme="minorEastAsia" w:hAnsi="Arial" w:cs="Arial"/>
          <w:sz w:val="20"/>
          <w:szCs w:val="20"/>
        </w:rPr>
        <w:t>licencjobiorca musi być podmiotem założonym (zarejestrowanym) w państwie członkowskim UE oraz musi być kontrolowany</w:t>
      </w:r>
      <w:r w:rsidR="00C01326">
        <w:rPr>
          <w:rFonts w:ascii="Arial" w:eastAsiaTheme="minorEastAsia" w:hAnsi="Arial" w:cs="Arial"/>
          <w:sz w:val="20"/>
          <w:szCs w:val="20"/>
        </w:rPr>
        <w:t xml:space="preserve"> </w:t>
      </w:r>
      <w:r w:rsidR="00C01326" w:rsidRPr="0021643E">
        <w:rPr>
          <w:rFonts w:ascii="Arial" w:eastAsiaTheme="minorEastAsia" w:hAnsi="Arial" w:cs="Arial"/>
          <w:sz w:val="20"/>
          <w:szCs w:val="20"/>
        </w:rPr>
        <w:t>(sprawowana kontrola)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Unii Europejskiej.</w:t>
      </w:r>
      <w:r w:rsidR="0003641D">
        <w:rPr>
          <w:rFonts w:ascii="Arial" w:eastAsiaTheme="minorEastAsia" w:hAnsi="Arial" w:cs="Arial"/>
          <w:sz w:val="20"/>
          <w:szCs w:val="20"/>
        </w:rPr>
        <w:t xml:space="preserve"> </w:t>
      </w:r>
      <w:r w:rsidRPr="00103B48">
        <w:rPr>
          <w:rFonts w:ascii="Arial" w:eastAsiaTheme="minorEastAsia" w:hAnsi="Arial" w:cs="Arial"/>
          <w:sz w:val="20"/>
          <w:szCs w:val="20"/>
        </w:rPr>
        <w:t xml:space="preserve">Wraz z zawarciem umowy licencji Beneficjent zobowiązuje licencjobiorcę praw do wyników prac B+R do złożenia </w:t>
      </w:r>
      <w:r w:rsidRPr="00103B48">
        <w:rPr>
          <w:rFonts w:ascii="Arial" w:eastAsiaTheme="minorEastAsia" w:hAnsi="Arial" w:cs="Arial"/>
          <w:sz w:val="20"/>
          <w:szCs w:val="20"/>
        </w:rPr>
        <w:lastRenderedPageBreak/>
        <w:t>oświadczenia</w:t>
      </w:r>
      <w:r w:rsidR="004C40C9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dotyczącego sprawowania kontroli nad licencjobiorcą o treści </w:t>
      </w:r>
      <w:r>
        <w:rPr>
          <w:rFonts w:ascii="Arial" w:eastAsiaTheme="minorEastAsia" w:hAnsi="Arial" w:cs="Arial"/>
          <w:sz w:val="20"/>
          <w:szCs w:val="20"/>
        </w:rPr>
        <w:t>zgodnej z załącznikiem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nr </w:t>
      </w:r>
      <w:r w:rsidR="0003641D">
        <w:rPr>
          <w:rFonts w:ascii="Arial" w:eastAsiaTheme="minorEastAsia" w:hAnsi="Arial" w:cs="Arial"/>
          <w:sz w:val="20"/>
          <w:szCs w:val="20"/>
        </w:rPr>
        <w:t>7</w:t>
      </w:r>
      <w:r w:rsidRPr="00103B48">
        <w:rPr>
          <w:rFonts w:ascii="Arial" w:eastAsiaTheme="minorEastAsia" w:hAnsi="Arial" w:cs="Arial"/>
          <w:sz w:val="20"/>
          <w:szCs w:val="20"/>
        </w:rPr>
        <w:t xml:space="preserve"> do Umowy;</w:t>
      </w:r>
    </w:p>
    <w:p w14:paraId="617E6493" w14:textId="34F3EBE4" w:rsidR="00CE2BF2" w:rsidRDefault="0003641D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zapewni, że licencjobiorca wdroży wyniki</w:t>
      </w:r>
      <w:r w:rsidR="00C01326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CE2BF2" w:rsidRPr="00CE2BF2">
        <w:rPr>
          <w:rFonts w:ascii="Arial" w:eastAsiaTheme="minorEastAsia" w:hAnsi="Arial" w:cs="Arial"/>
          <w:sz w:val="20"/>
          <w:szCs w:val="20"/>
        </w:rPr>
        <w:t xml:space="preserve"> we własnej działalności gospodarczej, tj. nie później niż 5 lat od zakończenia Projektu (niezależnie od daty zawarcia umowy licencji) rozpocznie produkcję nowych/ulepszonych wyrobów/ świadczenie nowych/ulepszonych usług/zastosuje nową technologię w swoim procesie biznesowym, które będą wprowadzone głównie na terytorium UE;</w:t>
      </w:r>
      <w:r w:rsid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Beneficjent przedłoży</w:t>
      </w:r>
      <w:r w:rsidR="002F4A04">
        <w:rPr>
          <w:rFonts w:ascii="Arial" w:eastAsiaTheme="minorEastAsia" w:hAnsi="Arial" w:cs="Arial"/>
          <w:sz w:val="20"/>
          <w:szCs w:val="20"/>
        </w:rPr>
        <w:t xml:space="preserve"> Instytucji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sprawozdanie, o którym mowa </w:t>
      </w:r>
      <w:bookmarkStart w:id="4" w:name="_Hlk201829142"/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w </w:t>
      </w:r>
      <w:r w:rsidR="00757BAC">
        <w:rPr>
          <w:rFonts w:ascii="Arial" w:eastAsiaTheme="minorEastAsia" w:hAnsi="Arial" w:cs="Arial"/>
          <w:sz w:val="20"/>
          <w:szCs w:val="20"/>
        </w:rPr>
        <w:t>§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4D1860">
        <w:rPr>
          <w:rFonts w:ascii="Arial" w:eastAsiaTheme="minorEastAsia" w:hAnsi="Arial" w:cs="Arial"/>
          <w:sz w:val="20"/>
          <w:szCs w:val="20"/>
        </w:rPr>
        <w:t xml:space="preserve"> </w:t>
      </w:r>
      <w:r w:rsidR="002F4A04" w:rsidRPr="002F4A04">
        <w:rPr>
          <w:rFonts w:ascii="Arial" w:eastAsiaTheme="minorEastAsia" w:hAnsi="Arial" w:cs="Arial"/>
          <w:sz w:val="20"/>
          <w:szCs w:val="20"/>
        </w:rPr>
        <w:t>10</w:t>
      </w:r>
      <w:r w:rsidR="002F4A04">
        <w:rPr>
          <w:rFonts w:ascii="Arial" w:eastAsiaTheme="minorEastAsia" w:hAnsi="Arial" w:cs="Arial"/>
          <w:sz w:val="20"/>
          <w:szCs w:val="20"/>
        </w:rPr>
        <w:t xml:space="preserve"> Umowy</w:t>
      </w:r>
      <w:r w:rsidR="002F4A04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2F4A04">
        <w:rPr>
          <w:rFonts w:ascii="Arial" w:eastAsiaTheme="minorEastAsia" w:hAnsi="Arial" w:cs="Arial"/>
          <w:sz w:val="20"/>
          <w:szCs w:val="20"/>
        </w:rPr>
        <w:t xml:space="preserve"> wyników prac B+R przez licencjobiorcę, w terminie 30 dni od dnia złożenia oświadczenia, o którym </w:t>
      </w:r>
      <w:bookmarkEnd w:id="4"/>
      <w:r w:rsidR="002F4A04">
        <w:rPr>
          <w:rFonts w:ascii="Arial" w:eastAsiaTheme="minorEastAsia" w:hAnsi="Arial" w:cs="Arial"/>
          <w:sz w:val="20"/>
          <w:szCs w:val="20"/>
        </w:rPr>
        <w:t>mowa w ust. 6</w:t>
      </w:r>
      <w:r w:rsidR="002F4A04" w:rsidRPr="00164C42">
        <w:rPr>
          <w:rFonts w:ascii="Arial" w:eastAsiaTheme="minorEastAsia" w:hAnsi="Arial" w:cs="Arial"/>
          <w:sz w:val="20"/>
          <w:szCs w:val="20"/>
        </w:rPr>
        <w:t xml:space="preserve"> lit. e</w:t>
      </w:r>
      <w:r w:rsidR="002F4A04">
        <w:rPr>
          <w:rFonts w:ascii="Arial" w:eastAsiaTheme="minorEastAsia" w:hAnsi="Arial" w:cs="Arial"/>
          <w:sz w:val="20"/>
          <w:szCs w:val="20"/>
        </w:rPr>
        <w:t>;</w:t>
      </w:r>
    </w:p>
    <w:p w14:paraId="24E4E67B" w14:textId="77777777" w:rsid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>wdrożenie wyników prac B+R przez licencjobiorcę nastąpi na terytorium Unii Europejskiej;</w:t>
      </w:r>
    </w:p>
    <w:p w14:paraId="0E3AD3C3" w14:textId="58A09E47" w:rsidR="00CE2BF2" w:rsidRPr="00CE2BF2" w:rsidRDefault="00CE2BF2" w:rsidP="0003641D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CE2BF2">
        <w:rPr>
          <w:rFonts w:ascii="Arial" w:eastAsiaTheme="minorEastAsia" w:hAnsi="Arial" w:cs="Arial"/>
          <w:sz w:val="20"/>
          <w:szCs w:val="20"/>
        </w:rPr>
        <w:t xml:space="preserve">za wdrożenie wyników prac B+R nie uznaje się licencjonowania wyników prac B+R w celu ich dalszego sublicencjonowania.  </w:t>
      </w:r>
    </w:p>
    <w:p w14:paraId="365A1ACA" w14:textId="483BE7C4" w:rsidR="00967ACF" w:rsidRPr="00430BB4" w:rsidRDefault="00A47066" w:rsidP="0003641D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BD6F21">
        <w:rPr>
          <w:rFonts w:ascii="Arial" w:eastAsiaTheme="minorEastAsia" w:hAnsi="Arial" w:cs="Arial"/>
          <w:sz w:val="20"/>
          <w:szCs w:val="20"/>
        </w:rPr>
        <w:t>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D0712A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5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6C089657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gwarancję ceny udzielenia licencji na korzystanie z tych wyników po cenie rynkowej; </w:t>
      </w:r>
    </w:p>
    <w:p w14:paraId="2AAE0CD9" w14:textId="408D0A5A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47EE0012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podmiotowi trzeciemu;</w:t>
      </w:r>
    </w:p>
    <w:p w14:paraId="035EF739" w14:textId="108582DE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termin, w jakim ma nastąpić wprowadzenie tych wyników do działalności gospodarczej licencjobiorcy,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licencji);</w:t>
      </w:r>
    </w:p>
    <w:p w14:paraId="097E90BA" w14:textId="495296E3" w:rsidR="00164C42" w:rsidRDefault="00BD6F21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4E32EA81" w:rsidR="00164C42" w:rsidRDefault="0068700D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>własności intelektualnej będącej przedmiotem umowy udzielenia licencj</w:t>
      </w:r>
      <w:r w:rsidR="0003641D">
        <w:rPr>
          <w:rFonts w:ascii="Arial" w:eastAsiaTheme="minorEastAsia" w:hAnsi="Arial" w:cs="Arial"/>
          <w:sz w:val="20"/>
          <w:szCs w:val="20"/>
        </w:rPr>
        <w:t>i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3B33BAE" w14:textId="64707C3F" w:rsidR="00A50FFC" w:rsidRDefault="00507D29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01326" w:rsidRPr="00F251CB">
        <w:rPr>
          <w:rFonts w:ascii="Arial" w:eastAsiaTheme="minorEastAsia" w:hAnsi="Arial" w:cs="Arial"/>
          <w:sz w:val="20"/>
          <w:szCs w:val="20"/>
        </w:rPr>
        <w:t xml:space="preserve">sprawowaniu kontroli,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Umowy)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A50FFC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0CAD6AB7" w:rsidR="003D1409" w:rsidRPr="00164C42" w:rsidRDefault="00A50FFC" w:rsidP="0003641D">
      <w:pPr>
        <w:pStyle w:val="Akapitzlist"/>
        <w:numPr>
          <w:ilvl w:val="0"/>
          <w:numId w:val="56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1829457"/>
      <w:r>
        <w:rPr>
          <w:rFonts w:ascii="Arial" w:eastAsiaTheme="minorEastAsia" w:hAnsi="Arial" w:cs="Arial"/>
          <w:sz w:val="20"/>
          <w:szCs w:val="20"/>
        </w:rPr>
        <w:t>zobowiązanie licencjobiorcy do przekazania Beneficjentowi informacji niezbędnych do sporządzenia sprawozdania</w:t>
      </w:r>
      <w:r w:rsidR="002F4A04">
        <w:rPr>
          <w:rFonts w:ascii="Arial" w:eastAsiaTheme="minorEastAsia" w:hAnsi="Arial" w:cs="Arial"/>
          <w:sz w:val="20"/>
          <w:szCs w:val="20"/>
        </w:rPr>
        <w:t>,</w:t>
      </w:r>
      <w:r>
        <w:rPr>
          <w:rFonts w:ascii="Arial" w:eastAsiaTheme="minorEastAsia" w:hAnsi="Arial" w:cs="Arial"/>
          <w:sz w:val="20"/>
          <w:szCs w:val="20"/>
        </w:rPr>
        <w:t xml:space="preserve"> o którym mowa w ust.</w:t>
      </w:r>
      <w:r w:rsidR="002F4A04">
        <w:rPr>
          <w:rFonts w:ascii="Arial" w:eastAsiaTheme="minorEastAsia" w:hAnsi="Arial" w:cs="Arial"/>
          <w:sz w:val="20"/>
          <w:szCs w:val="20"/>
        </w:rPr>
        <w:t xml:space="preserve"> 4 pkt 2</w:t>
      </w:r>
      <w:bookmarkEnd w:id="6"/>
      <w:r w:rsidR="004D1860">
        <w:rPr>
          <w:rFonts w:ascii="Arial" w:eastAsiaTheme="minorEastAsia" w:hAnsi="Arial" w:cs="Arial"/>
          <w:sz w:val="20"/>
          <w:szCs w:val="20"/>
        </w:rPr>
        <w:t>.</w:t>
      </w:r>
    </w:p>
    <w:bookmarkEnd w:id="5"/>
    <w:p w14:paraId="4C782205" w14:textId="758029B1" w:rsidR="00BD6F21" w:rsidRPr="00381539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Pr="00381539" w:rsidRDefault="00303658" w:rsidP="0003641D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03641D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0E69DF44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C16224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Pr="00381539" w:rsidRDefault="00C64303" w:rsidP="0003641D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42B10042" w:rsidR="00B23E8E" w:rsidRPr="005A7CD2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 xml:space="preserve">rozporządzenia Ministra Funduszy i Polityki Regionalnej z dnia 13 stycznia 2023 r. </w:t>
      </w:r>
      <w:r w:rsidRPr="005A7CD2">
        <w:rPr>
          <w:rFonts w:ascii="Arial" w:hAnsi="Arial" w:cs="Arial"/>
          <w:i/>
          <w:sz w:val="20"/>
          <w:szCs w:val="20"/>
        </w:rPr>
        <w:t>w sprawie udzielania pomocy finansowej przez Narodowe Centrum Badań i Rozwoju w ramach programu Fundusze Europejskie dla Nowoczesnej Gospodarki 2021-2027</w:t>
      </w:r>
      <w:r w:rsidRPr="005A7CD2">
        <w:rPr>
          <w:rFonts w:ascii="Arial" w:hAnsi="Arial" w:cs="Arial"/>
          <w:sz w:val="20"/>
          <w:szCs w:val="20"/>
        </w:rPr>
        <w:t xml:space="preserve"> (Dz. U. z 2023 r. poz. 187 z </w:t>
      </w:r>
      <w:proofErr w:type="spellStart"/>
      <w:r w:rsidRPr="005A7CD2">
        <w:rPr>
          <w:rFonts w:ascii="Arial" w:hAnsi="Arial" w:cs="Arial"/>
          <w:sz w:val="20"/>
          <w:szCs w:val="20"/>
        </w:rPr>
        <w:t>późn</w:t>
      </w:r>
      <w:proofErr w:type="spellEnd"/>
      <w:r w:rsidRPr="005A7CD2">
        <w:rPr>
          <w:rFonts w:ascii="Arial" w:hAnsi="Arial" w:cs="Arial"/>
          <w:sz w:val="20"/>
          <w:szCs w:val="20"/>
        </w:rPr>
        <w:t>. zm.)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6D2E6F98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3E39CA2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01326">
        <w:rPr>
          <w:rFonts w:ascii="Arial" w:hAnsi="Arial" w:cs="Arial"/>
          <w:sz w:val="20"/>
          <w:szCs w:val="20"/>
          <w:lang w:eastAsia="pl-PL"/>
        </w:rPr>
        <w:t>5 i 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42F20656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Wkład własny należy wnieść w formie pieniężnej i nie może być sfinansowany ze środków publicznych. </w:t>
      </w:r>
    </w:p>
    <w:p w14:paraId="078152A8" w14:textId="2D992324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23279F54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przyjęcie środków trwałych do użytkowania lub innych dokumentów potwierdzających zgodność realizacji Projektu z warunkami Umowy,</w:t>
      </w:r>
    </w:p>
    <w:p w14:paraId="42180C2B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2F979F5F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nabycia prawa użytkowania wieczystego gruntu:</w:t>
      </w:r>
    </w:p>
    <w:p w14:paraId="66C9B981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opinii rzeczoznawcy majątkowego potwierdzającej, że cena nabycia nie przekracza wartości rynkowej gruntu, aktualnej na dzień nabycia,</w:t>
      </w:r>
    </w:p>
    <w:p w14:paraId="63DE7A54" w14:textId="77777777" w:rsidR="00B23E8E" w:rsidRPr="00381539" w:rsidRDefault="00B23E8E" w:rsidP="0003641D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/>
        <w:ind w:left="184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oświadczenia podmiotu zbywającego, że grunt nie był współfinansowany ze środków unijnych lub z dotacji krajowych,</w:t>
      </w:r>
    </w:p>
    <w:p w14:paraId="6907DB01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77777777" w:rsidR="00B23E8E" w:rsidRPr="00381539" w:rsidRDefault="00B23E8E" w:rsidP="0003641D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aparatury– tabeli amortyzacyjnej lub wyciągu z tabeli amortyzacyjnej, potwierdzonych przez osobę, której powierzono prowadzenie ksiąg rachunkowych,</w:t>
      </w:r>
    </w:p>
    <w:p w14:paraId="08CC6B5B" w14:textId="77777777" w:rsidR="00B23E8E" w:rsidRPr="00381539" w:rsidRDefault="00B23E8E" w:rsidP="0003641D">
      <w:pPr>
        <w:pStyle w:val="Akapitzlist"/>
        <w:numPr>
          <w:ilvl w:val="2"/>
          <w:numId w:val="35"/>
        </w:numPr>
        <w:spacing w:before="120" w:after="12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wstępnego orzeczenia rzecznika patentowego o zdolności patentowej wynalazku lub zdolności ochronnej wzoru użytkowego – pozytywnego wyniku orzeczenia potwierdzającego zdolność patentową wynalazku lub zdolność ochronną wzoru użytkowego;</w:t>
      </w:r>
    </w:p>
    <w:p w14:paraId="253F323D" w14:textId="58558917" w:rsidR="00B23E8E" w:rsidRPr="00381539" w:rsidRDefault="00B23E8E" w:rsidP="0003641D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</w:p>
    <w:p w14:paraId="6D09865A" w14:textId="77777777" w:rsidR="00B23E8E" w:rsidRPr="00381539" w:rsidRDefault="00B23E8E" w:rsidP="0003641D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03641D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03641D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03641D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03641D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7DFCEEDB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0132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03641D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03641D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36F3D930" w14:textId="77777777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03641D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47EC9481" w:rsidR="00B23E8E" w:rsidRPr="00381539" w:rsidRDefault="00B23E8E" w:rsidP="0003641D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22E907EC" w14:textId="11E72AFD" w:rsidR="00B23E8E" w:rsidRPr="009F779F" w:rsidRDefault="00B23E8E" w:rsidP="009F779F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03641D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Pr="00706869">
        <w:rPr>
          <w:rFonts w:ascii="Arial" w:eastAsiaTheme="minorEastAsia" w:hAnsi="Arial" w:cs="Arial"/>
          <w:sz w:val="20"/>
          <w:szCs w:val="20"/>
        </w:rPr>
        <w:t xml:space="preserve">, </w:t>
      </w:r>
    </w:p>
    <w:p w14:paraId="4C5CF5C0" w14:textId="77777777" w:rsidR="00706869" w:rsidRDefault="00C61C3A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3705D5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63DAE374" w14:textId="3DCF14C7" w:rsidR="00BD6F21" w:rsidRPr="00706869" w:rsidRDefault="003705D5" w:rsidP="0003641D">
      <w:pPr>
        <w:pStyle w:val="Akapitzlist"/>
        <w:numPr>
          <w:ilvl w:val="0"/>
          <w:numId w:val="57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5E7C835D" w14:textId="34B87F74" w:rsidR="00BD6F21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03641D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03641D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03641D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03641D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03641D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3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0FB37884" w:rsidR="00663595" w:rsidRPr="00381539" w:rsidRDefault="006860B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="00266DBF" w:rsidRPr="00D00CC6">
        <w:rPr>
          <w:rFonts w:ascii="Arial" w:hAnsi="Arial" w:cs="Arial"/>
          <w:sz w:val="20"/>
          <w:szCs w:val="20"/>
          <w:lang w:eastAsia="pl-PL"/>
        </w:rPr>
        <w:t xml:space="preserve"> oraz nie więcej niż 10 mln</w:t>
      </w:r>
      <w:r w:rsidR="00FD6926" w:rsidRPr="00D00CC6">
        <w:rPr>
          <w:rFonts w:ascii="Arial" w:hAnsi="Arial" w:cs="Arial"/>
          <w:sz w:val="20"/>
          <w:szCs w:val="20"/>
          <w:lang w:eastAsia="pl-PL"/>
        </w:rPr>
        <w:t xml:space="preserve"> zł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5DF2CEA" w14:textId="77777777" w:rsidR="00C01326" w:rsidRDefault="007F4F08" w:rsidP="00C01326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15814B4B" w:rsidR="00DA0DE1" w:rsidRPr="00381539" w:rsidRDefault="00C01326" w:rsidP="00C0132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C01326">
        <w:rPr>
          <w:rFonts w:ascii="Arial" w:hAnsi="Arial" w:cs="Arial"/>
          <w:sz w:val="20"/>
          <w:szCs w:val="20"/>
          <w:lang w:eastAsia="pl-PL"/>
        </w:rPr>
        <w:t>e</w:t>
      </w:r>
      <w:r w:rsidR="00DA0DE1" w:rsidRPr="00C01326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27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28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03641D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29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1C323199" w:rsidR="00C40FC5" w:rsidRPr="00381539" w:rsidRDefault="008E0B97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B96C91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03641D">
      <w:pPr>
        <w:pStyle w:val="Akapitzlist"/>
        <w:numPr>
          <w:ilvl w:val="0"/>
          <w:numId w:val="5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0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03641D">
      <w:pPr>
        <w:pStyle w:val="Akapitzlist"/>
        <w:numPr>
          <w:ilvl w:val="0"/>
          <w:numId w:val="55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03641D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CA57AA5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035EF166" w:rsidR="00994EA4" w:rsidRPr="00381539" w:rsidRDefault="00994EA4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B96C91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Pr="00381539" w:rsidRDefault="6D504EC5" w:rsidP="0003641D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03641D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1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03641D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B051DB7" w14:textId="6E9A2548" w:rsidR="00ED0279" w:rsidRPr="00381539" w:rsidRDefault="00ED0279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</w:p>
    <w:p w14:paraId="0C4A5313" w14:textId="389A0448" w:rsidR="005F357B" w:rsidRPr="00381539" w:rsidRDefault="005F357B" w:rsidP="0003641D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03641D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2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3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03641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3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3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6C5F8748" w:rsidR="00A755CE" w:rsidRPr="00A755CE" w:rsidRDefault="00A755CE" w:rsidP="004D186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B96C91">
        <w:rPr>
          <w:rFonts w:ascii="Arial" w:hAnsi="Arial" w:cs="Arial"/>
          <w:sz w:val="20"/>
          <w:szCs w:val="20"/>
        </w:rPr>
        <w:t>każdorazowo</w:t>
      </w:r>
      <w:r w:rsidR="00B96C91" w:rsidRPr="00A755CE">
        <w:rPr>
          <w:rFonts w:ascii="Arial" w:hAnsi="Arial" w:cs="Arial"/>
          <w:sz w:val="20"/>
          <w:szCs w:val="20"/>
        </w:rPr>
        <w:t xml:space="preserve"> do</w:t>
      </w:r>
      <w:r w:rsidR="00B96C91">
        <w:rPr>
          <w:rFonts w:ascii="Arial" w:hAnsi="Arial" w:cs="Arial"/>
          <w:sz w:val="20"/>
          <w:szCs w:val="20"/>
        </w:rPr>
        <w:t xml:space="preserve"> niezwłocznego</w:t>
      </w:r>
      <w:r w:rsidR="00B96C91" w:rsidRPr="00A755CE">
        <w:rPr>
          <w:rFonts w:ascii="Arial" w:hAnsi="Arial" w:cs="Arial"/>
          <w:sz w:val="20"/>
          <w:szCs w:val="20"/>
        </w:rPr>
        <w:t xml:space="preserve"> 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717B342C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381539">
        <w:br/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03641D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03641D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35BAB11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4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3FF664F3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(łączny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03641D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55E0F6A4" w:rsidR="00E620B1" w:rsidRPr="00381539" w:rsidRDefault="002F75B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6"/>
      </w:r>
      <w:r w:rsidRPr="00381539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03641D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8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03641D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27D5BBF6" w:rsidR="00564666" w:rsidRPr="00381539" w:rsidRDefault="00101076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B96C91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03641D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03641D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03641D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0E20ACB6" w14:textId="77777777" w:rsidR="009F779F" w:rsidRPr="00381539" w:rsidRDefault="009F779F" w:rsidP="009F779F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4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4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5"/>
    <w:p w14:paraId="3DA50AC9" w14:textId="74672186" w:rsidR="00446D17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03641D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03641D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03641D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</w:p>
    <w:p w14:paraId="59ADE1B3" w14:textId="21467C9C" w:rsidR="007C6F27" w:rsidRPr="00381539" w:rsidRDefault="007C6F27" w:rsidP="0003641D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6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6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337DFC87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05D7B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106796CD" w:rsidRPr="005D65B3">
        <w:rPr>
          <w:rFonts w:ascii="Arial" w:hAnsi="Arial" w:cs="Arial"/>
          <w:sz w:val="20"/>
          <w:szCs w:val="20"/>
        </w:rPr>
        <w:t>(</w:t>
      </w:r>
      <w:r w:rsidRPr="005D65B3">
        <w:rPr>
          <w:rFonts w:ascii="Arial" w:hAnsi="Arial" w:cs="Arial"/>
          <w:sz w:val="20"/>
          <w:szCs w:val="20"/>
        </w:rPr>
        <w:t xml:space="preserve">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03641D">
      <w:pPr>
        <w:pStyle w:val="Akapitzlist"/>
        <w:numPr>
          <w:ilvl w:val="0"/>
          <w:numId w:val="13"/>
        </w:numPr>
        <w:spacing w:before="120" w:after="120"/>
        <w:ind w:left="624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46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03641D">
      <w:pPr>
        <w:pStyle w:val="Akapitzlist"/>
        <w:numPr>
          <w:ilvl w:val="0"/>
          <w:numId w:val="13"/>
        </w:numPr>
        <w:spacing w:before="120" w:after="120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7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5BAF788E" w:rsidR="00842662" w:rsidRPr="00951001" w:rsidRDefault="00AC10CD" w:rsidP="0003641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>
        <w:rPr>
          <w:rFonts w:ascii="Arial" w:hAnsi="Arial" w:cs="Arial"/>
          <w:sz w:val="20"/>
          <w:szCs w:val="20"/>
          <w:lang w:eastAsia="pl-PL"/>
        </w:rPr>
        <w:t>Unii Europejskiej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03641D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6605597B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0FF8D9A1" w:rsidR="00C60C22" w:rsidRPr="00D458A6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181F99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6380A18" w:rsidR="00C60C22" w:rsidRPr="00957015" w:rsidRDefault="00C60C22" w:rsidP="00957015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957015">
        <w:rPr>
          <w:rFonts w:ascii="Arial" w:hAnsi="Arial" w:cs="Arial"/>
          <w:sz w:val="20"/>
          <w:szCs w:val="20"/>
        </w:rPr>
        <w:t xml:space="preserve">na terytorium UE </w:t>
      </w:r>
      <w:r w:rsidR="00957015"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957015">
        <w:rPr>
          <w:rFonts w:ascii="Arial" w:hAnsi="Arial" w:cs="Arial"/>
          <w:sz w:val="20"/>
          <w:szCs w:val="20"/>
        </w:rPr>
        <w:t xml:space="preserve">umowie </w:t>
      </w:r>
      <w:r w:rsidR="00957015" w:rsidRPr="00D458A6">
        <w:rPr>
          <w:rFonts w:ascii="Arial" w:hAnsi="Arial" w:cs="Arial"/>
          <w:sz w:val="20"/>
          <w:szCs w:val="20"/>
        </w:rPr>
        <w:t>udzielenia licencji zawartej z Beneficjentem lub</w:t>
      </w:r>
    </w:p>
    <w:p w14:paraId="7B067EDB" w14:textId="68E6418B" w:rsidR="00F14EC6" w:rsidRPr="009A2D21" w:rsidRDefault="00F14EC6" w:rsidP="001D3AFC">
      <w:pPr>
        <w:pStyle w:val="Akapitzlist"/>
        <w:spacing w:before="120" w:after="120"/>
        <w:ind w:left="144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B96C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96C91" w:rsidRPr="008E5E2A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przez państwo </w:t>
      </w:r>
      <w:r w:rsidR="00957015">
        <w:rPr>
          <w:rFonts w:ascii="Arial" w:hAnsi="Arial" w:cs="Arial"/>
          <w:sz w:val="20"/>
          <w:szCs w:val="20"/>
          <w:lang w:eastAsia="pl-PL"/>
        </w:rPr>
        <w:t>lub</w:t>
      </w:r>
      <w:r w:rsidR="00957015" w:rsidRPr="00103B48">
        <w:rPr>
          <w:rFonts w:ascii="Arial" w:hAnsi="Arial" w:cs="Arial"/>
          <w:sz w:val="20"/>
          <w:szCs w:val="20"/>
          <w:lang w:eastAsia="pl-PL"/>
        </w:rPr>
        <w:t xml:space="preserve"> podmiot z państwa należącego do Unii Europejskiej </w:t>
      </w:r>
      <w:r w:rsidR="00957015" w:rsidRPr="00103B48">
        <w:rPr>
          <w:rFonts w:ascii="Arial" w:hAnsi="Arial" w:cs="Arial"/>
          <w:sz w:val="20"/>
          <w:szCs w:val="20"/>
        </w:rPr>
        <w:t xml:space="preserve">w terminie określonym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689FCE31" w:rsidR="00C60C22" w:rsidRPr="00EB3872" w:rsidRDefault="00C60C22" w:rsidP="0003641D">
      <w:pPr>
        <w:pStyle w:val="Akapitzlist"/>
        <w:numPr>
          <w:ilvl w:val="1"/>
          <w:numId w:val="4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trzeciemu.</w:t>
      </w:r>
    </w:p>
    <w:p w14:paraId="2C7AD9A3" w14:textId="236C4FB1" w:rsidR="00C33ACE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7098AD07" w14:textId="76122E75" w:rsidR="009F779F" w:rsidRDefault="00663A1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6F7A99C6" w14:textId="77777777" w:rsidR="009F779F" w:rsidRPr="005D65B3" w:rsidRDefault="009F779F" w:rsidP="00D458A6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03641D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03641D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03641D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03641D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5D65B3" w:rsidRDefault="00357616" w:rsidP="0003641D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48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03641D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2B4FF9D4" w:rsidR="00720018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78D011A8" w:rsidR="007A5D71" w:rsidRPr="005D65B3" w:rsidRDefault="1127C306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>5b</w:t>
      </w:r>
      <w:r w:rsidR="1D6C5F98" w:rsidRPr="0060583D">
        <w:rPr>
          <w:rFonts w:ascii="Arial" w:hAnsi="Arial" w:cs="Arial"/>
          <w:sz w:val="20"/>
          <w:szCs w:val="20"/>
        </w:rPr>
        <w:t xml:space="preserve"> ust. </w:t>
      </w:r>
      <w:r w:rsidR="00B96C91">
        <w:rPr>
          <w:rFonts w:ascii="Arial" w:hAnsi="Arial" w:cs="Arial"/>
          <w:sz w:val="20"/>
          <w:szCs w:val="20"/>
        </w:rPr>
        <w:t xml:space="preserve">7 i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w formie </w:t>
      </w:r>
      <w:r w:rsidR="00251E0F" w:rsidRPr="005D65B3">
        <w:rPr>
          <w:rFonts w:ascii="Arial" w:hAnsi="Arial" w:cs="Arial"/>
          <w:sz w:val="20"/>
          <w:szCs w:val="20"/>
        </w:rPr>
        <w:t>pisemn</w:t>
      </w:r>
      <w:r w:rsidR="00931BE9">
        <w:rPr>
          <w:rFonts w:ascii="Arial" w:hAnsi="Arial" w:cs="Arial"/>
          <w:sz w:val="20"/>
          <w:szCs w:val="20"/>
        </w:rPr>
        <w:t>ej</w:t>
      </w:r>
      <w:r w:rsidR="00301700">
        <w:rPr>
          <w:rFonts w:ascii="Arial" w:hAnsi="Arial" w:cs="Arial"/>
          <w:sz w:val="20"/>
          <w:szCs w:val="20"/>
        </w:rPr>
        <w:t xml:space="preserve"> lub 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482251D7" w:rsidR="006F1FF4" w:rsidRPr="005D65B3" w:rsidRDefault="006F1FF4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B96C91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03641D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8" w:name="_Hlk114733887"/>
      <w:r w:rsidRPr="005D65B3">
        <w:rPr>
          <w:rFonts w:cs="Arial"/>
        </w:rPr>
        <w:t>§</w:t>
      </w:r>
      <w:bookmarkEnd w:id="18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07983514" w:rsidR="0053467F" w:rsidRPr="005D65B3" w:rsidRDefault="00872BC5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DD12F5" w:rsidRPr="005D65B3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03641D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03641D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7CA24F1D" w:rsidR="00603818" w:rsidRPr="005D65B3" w:rsidRDefault="00251E0F" w:rsidP="0003641D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03641D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029488DD" w:rsidR="00AE6E04" w:rsidRPr="00AB782E" w:rsidRDefault="00026EEB" w:rsidP="0003641D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AB782E">
        <w:rPr>
          <w:rFonts w:ascii="Arial" w:hAnsi="Arial" w:cs="Arial"/>
          <w:sz w:val="20"/>
          <w:szCs w:val="20"/>
        </w:rPr>
        <w:t xml:space="preserve">oszczędności, </w:t>
      </w:r>
      <w:r w:rsidR="009C174D" w:rsidRPr="00AB782E">
        <w:rPr>
          <w:rFonts w:ascii="Arial" w:hAnsi="Arial" w:cs="Arial"/>
          <w:sz w:val="20"/>
          <w:szCs w:val="20"/>
        </w:rPr>
        <w:t xml:space="preserve">powstałych </w:t>
      </w:r>
      <w:r w:rsidR="007E0EB4" w:rsidRPr="00AB782E">
        <w:rPr>
          <w:rFonts w:ascii="Arial" w:hAnsi="Arial" w:cs="Arial"/>
          <w:sz w:val="20"/>
          <w:szCs w:val="20"/>
        </w:rPr>
        <w:t xml:space="preserve">w trakcie realizacji </w:t>
      </w:r>
      <w:r w:rsidR="00427889" w:rsidRPr="00AB782E">
        <w:rPr>
          <w:rFonts w:ascii="Arial" w:hAnsi="Arial" w:cs="Arial"/>
          <w:sz w:val="20"/>
          <w:szCs w:val="20"/>
        </w:rPr>
        <w:t>P</w:t>
      </w:r>
      <w:r w:rsidR="007E0EB4" w:rsidRPr="00AB782E">
        <w:rPr>
          <w:rFonts w:ascii="Arial" w:hAnsi="Arial" w:cs="Arial"/>
          <w:sz w:val="20"/>
          <w:szCs w:val="20"/>
        </w:rPr>
        <w:t>rojektu</w:t>
      </w:r>
      <w:r w:rsidRPr="00AB782E">
        <w:rPr>
          <w:rFonts w:ascii="Arial" w:hAnsi="Arial" w:cs="Arial"/>
          <w:sz w:val="20"/>
          <w:szCs w:val="20"/>
        </w:rPr>
        <w:t>,</w:t>
      </w:r>
      <w:r w:rsidR="007E0EB4" w:rsidRPr="00AB782E">
        <w:rPr>
          <w:rFonts w:ascii="Arial" w:hAnsi="Arial" w:cs="Arial"/>
          <w:sz w:val="20"/>
          <w:szCs w:val="20"/>
        </w:rPr>
        <w:t xml:space="preserve"> </w:t>
      </w:r>
      <w:r w:rsidR="00BB4489" w:rsidRPr="00AB782E">
        <w:rPr>
          <w:rFonts w:ascii="Arial" w:hAnsi="Arial" w:cs="Arial"/>
          <w:sz w:val="20"/>
          <w:szCs w:val="20"/>
        </w:rPr>
        <w:t xml:space="preserve">na </w:t>
      </w:r>
      <w:r w:rsidR="007970F6" w:rsidRPr="007970F6">
        <w:rPr>
          <w:rFonts w:ascii="Arial" w:hAnsi="Arial" w:cs="Arial"/>
          <w:sz w:val="20"/>
          <w:szCs w:val="20"/>
        </w:rPr>
        <w:t xml:space="preserve">rozszerzenie zakresu rzeczowego ujętego </w:t>
      </w:r>
      <w:r w:rsidR="00864B4A" w:rsidRPr="00AB782E">
        <w:rPr>
          <w:rFonts w:ascii="Arial" w:hAnsi="Arial" w:cs="Arial"/>
          <w:sz w:val="20"/>
          <w:szCs w:val="20"/>
        </w:rPr>
        <w:t>w zatwierdzony</w:t>
      </w:r>
      <w:r w:rsidR="006619B4" w:rsidRPr="00AB782E">
        <w:rPr>
          <w:rFonts w:ascii="Arial" w:hAnsi="Arial" w:cs="Arial"/>
          <w:sz w:val="20"/>
          <w:szCs w:val="20"/>
        </w:rPr>
        <w:t>m</w:t>
      </w:r>
      <w:r w:rsidR="00627F5F" w:rsidRPr="00AB782E">
        <w:rPr>
          <w:rFonts w:ascii="Arial" w:hAnsi="Arial" w:cs="Arial"/>
          <w:sz w:val="20"/>
          <w:szCs w:val="20"/>
        </w:rPr>
        <w:t xml:space="preserve"> pierwotnie wniosku o dofinansowanie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5D65B3" w:rsidRDefault="004F44D6" w:rsidP="0003641D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19" w:name="_Hlk125727899"/>
      <w:r w:rsidRPr="005D65B3">
        <w:rPr>
          <w:rFonts w:cs="Arial"/>
        </w:rPr>
        <w:t>§ 13</w:t>
      </w:r>
      <w:bookmarkEnd w:id="19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03641D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03641D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03641D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4"/>
      </w:r>
    </w:p>
    <w:p w14:paraId="2B53C952" w14:textId="77942999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03641D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5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44303BA6" w:rsidR="006A1032" w:rsidRPr="005D65B3" w:rsidRDefault="00702755" w:rsidP="0003641D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56"/>
      </w:r>
      <w:r w:rsidR="00E73FF1">
        <w:rPr>
          <w:rFonts w:ascii="Arial" w:hAnsi="Arial" w:cs="Arial"/>
          <w:sz w:val="20"/>
          <w:szCs w:val="20"/>
        </w:rPr>
        <w:t xml:space="preserve">.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0" w:name="_Hlk124429433"/>
      <w:r w:rsidRPr="005D65B3">
        <w:rPr>
          <w:rFonts w:cs="Arial"/>
        </w:rPr>
        <w:t>§ 14</w:t>
      </w:r>
      <w:bookmarkEnd w:id="20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4390C255" w14:textId="67AA73A1" w:rsidR="00533AD1" w:rsidRPr="005D65B3" w:rsidRDefault="12585183" w:rsidP="0003641D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B96C91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</w:p>
    <w:p w14:paraId="63CA4464" w14:textId="701315FD" w:rsidR="007A5B18" w:rsidRPr="005D65B3" w:rsidRDefault="000D697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5EBC5366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>miejsca realizacji inwestycji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03641D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03641D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03641D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F1F896" w14:textId="77777777" w:rsidR="00C9739D" w:rsidRPr="00E77215" w:rsidRDefault="00C9739D" w:rsidP="00C9739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5EDA9AA3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036B3AB5" w14:textId="77777777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3B7DCEA" w14:textId="58C1A6DD" w:rsidR="00C9739D" w:rsidRPr="005303FF" w:rsidRDefault="00C9739D" w:rsidP="00C9739D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wnioskodawcy, np. poprzez zawartą umowę w celu zarządzania, rozporządzania zyskiem)</w:t>
      </w:r>
    </w:p>
    <w:p w14:paraId="74A19585" w14:textId="0378B086" w:rsidR="00C9739D" w:rsidRPr="00C9739D" w:rsidRDefault="00C9739D" w:rsidP="00C9739D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5D65B3" w:rsidRDefault="0084570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5D65B3">
        <w:rPr>
          <w:rFonts w:ascii="Arial" w:hAnsi="Arial" w:cs="Arial"/>
          <w:sz w:val="20"/>
          <w:szCs w:val="20"/>
        </w:rPr>
        <w:t>– należy przez to rozumieć</w:t>
      </w:r>
      <w:r w:rsidRPr="005D65B3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69ED8720" w:rsidR="000D6975" w:rsidRDefault="000D6975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5D65B3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5D65B3" w:rsidRDefault="00BF1612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03641D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</w:p>
    <w:p w14:paraId="48F30AB5" w14:textId="0C2020C8" w:rsidR="00BF1612" w:rsidRPr="005D65B3" w:rsidRDefault="002479C4" w:rsidP="0003641D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2" w:name="_Hlk125728189"/>
      <w:r w:rsidRPr="005D65B3">
        <w:rPr>
          <w:rFonts w:cs="Arial"/>
        </w:rPr>
        <w:t>§ 15</w:t>
      </w:r>
      <w:bookmarkEnd w:id="22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5D65B3">
        <w:rPr>
          <w:rFonts w:ascii="Arial" w:hAnsi="Arial" w:cs="Arial"/>
          <w:sz w:val="20"/>
          <w:szCs w:val="20"/>
        </w:rPr>
        <w:t xml:space="preserve">poz. 187, z </w:t>
      </w:r>
      <w:proofErr w:type="spellStart"/>
      <w:r w:rsidRPr="005D65B3">
        <w:rPr>
          <w:rFonts w:ascii="Arial" w:hAnsi="Arial" w:cs="Arial"/>
          <w:sz w:val="20"/>
          <w:szCs w:val="20"/>
        </w:rPr>
        <w:t>późn</w:t>
      </w:r>
      <w:proofErr w:type="spellEnd"/>
      <w:r w:rsidRPr="005D65B3">
        <w:rPr>
          <w:rFonts w:ascii="Arial" w:hAnsi="Arial" w:cs="Arial"/>
          <w:sz w:val="20"/>
          <w:szCs w:val="20"/>
        </w:rPr>
        <w:t>. zm.);</w:t>
      </w:r>
    </w:p>
    <w:p w14:paraId="36FF58A0" w14:textId="54E4E836" w:rsidR="000A5E41" w:rsidRPr="00D458A6" w:rsidRDefault="000B59EC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03641D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03641D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3" w:name="_Hlk199934392"/>
      <w:bookmarkStart w:id="24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3"/>
      <w:r>
        <w:rPr>
          <w:rFonts w:ascii="Arial" w:hAnsi="Arial" w:cs="Arial"/>
          <w:sz w:val="20"/>
          <w:szCs w:val="20"/>
        </w:rPr>
        <w:t xml:space="preserve"> ustawy </w:t>
      </w:r>
      <w:bookmarkEnd w:id="24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03641D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09BDF23F" w:rsidR="00E251C1" w:rsidRPr="005D65B3" w:rsidRDefault="007B7E6B" w:rsidP="0003641D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C068C9">
        <w:rPr>
          <w:rFonts w:ascii="Arial" w:hAnsi="Arial" w:cs="Arial"/>
          <w:sz w:val="20"/>
          <w:szCs w:val="20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03641D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03641D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4E183817" w:rsidR="008F6FE1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567FAECE" w:rsidR="00321393" w:rsidRDefault="004754E4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</w:t>
      </w:r>
      <w:r w:rsidR="002260F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59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1B5493A7" w:rsidR="005E5DC8" w:rsidRPr="005E5DC8" w:rsidDel="00A172C4" w:rsidRDefault="00523339" w:rsidP="0003641D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9F779F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0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0603D" w14:textId="77777777" w:rsidR="0029262B" w:rsidRDefault="0029262B" w:rsidP="001F6437">
      <w:pPr>
        <w:spacing w:after="0" w:line="240" w:lineRule="auto"/>
      </w:pPr>
      <w:r>
        <w:separator/>
      </w:r>
    </w:p>
  </w:endnote>
  <w:endnote w:type="continuationSeparator" w:id="0">
    <w:p w14:paraId="7B7F6F39" w14:textId="77777777" w:rsidR="0029262B" w:rsidRDefault="0029262B" w:rsidP="001F6437">
      <w:pPr>
        <w:spacing w:after="0" w:line="240" w:lineRule="auto"/>
      </w:pPr>
      <w:r>
        <w:continuationSeparator/>
      </w:r>
    </w:p>
  </w:endnote>
  <w:endnote w:type="continuationNotice" w:id="1">
    <w:p w14:paraId="7FD97853" w14:textId="77777777" w:rsidR="0029262B" w:rsidRDefault="002926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3C485" w14:textId="77777777" w:rsidR="0029262B" w:rsidRDefault="0029262B" w:rsidP="001F6437">
      <w:pPr>
        <w:spacing w:after="0" w:line="240" w:lineRule="auto"/>
      </w:pPr>
      <w:r>
        <w:separator/>
      </w:r>
    </w:p>
  </w:footnote>
  <w:footnote w:type="continuationSeparator" w:id="0">
    <w:p w14:paraId="16D0D565" w14:textId="77777777" w:rsidR="0029262B" w:rsidRDefault="0029262B" w:rsidP="001F6437">
      <w:pPr>
        <w:spacing w:after="0" w:line="240" w:lineRule="auto"/>
      </w:pPr>
      <w:r>
        <w:continuationSeparator/>
      </w:r>
    </w:p>
  </w:footnote>
  <w:footnote w:type="continuationNotice" w:id="1">
    <w:p w14:paraId="1C342FDE" w14:textId="77777777" w:rsidR="0029262B" w:rsidRDefault="0029262B">
      <w:pPr>
        <w:spacing w:after="0" w:line="240" w:lineRule="auto"/>
      </w:pPr>
    </w:p>
  </w:footnote>
  <w:footnote w:id="2">
    <w:p w14:paraId="07EEF5F9" w14:textId="73D01DE5" w:rsidR="00F7340C" w:rsidRPr="00244FEA" w:rsidRDefault="00F501E7" w:rsidP="0041233C">
      <w:pPr>
        <w:spacing w:after="0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244FEA">
        <w:rPr>
          <w:rFonts w:ascii="Arial" w:hAnsi="Arial" w:cs="Arial"/>
          <w:sz w:val="16"/>
          <w:szCs w:val="16"/>
          <w:lang w:eastAsia="x-none"/>
        </w:rPr>
        <w:t>Stronę należy określić zgodnie z Instrukcją oznaczania stron Umowy.</w:t>
      </w:r>
      <w:r w:rsidR="005E6A35" w:rsidRPr="00244FEA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06B680EA" w14:textId="182F6B62" w:rsidR="006E7960" w:rsidRPr="00244FEA" w:rsidRDefault="006E7960" w:rsidP="00D21D10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Kwota może ulec zmianie zgodnie z zasadami określonymi  w § 5 ust. 21</w:t>
      </w:r>
      <w:r w:rsidR="00F5291E"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</w:rPr>
        <w:t>Umowy</w:t>
      </w:r>
      <w:r w:rsidR="00F5291E" w:rsidRPr="00244FEA">
        <w:rPr>
          <w:rFonts w:ascii="Arial" w:hAnsi="Arial" w:cs="Arial"/>
          <w:sz w:val="16"/>
          <w:szCs w:val="16"/>
        </w:rPr>
        <w:t>.</w:t>
      </w:r>
    </w:p>
  </w:footnote>
  <w:footnote w:id="4">
    <w:p w14:paraId="57B033B2" w14:textId="2EE1D90D" w:rsidR="00B324DA" w:rsidRPr="00244FEA" w:rsidRDefault="00B324DA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eastAsiaTheme="minorHAnsi" w:hAnsi="Arial" w:cs="Arial"/>
          <w:sz w:val="16"/>
          <w:szCs w:val="16"/>
          <w:lang w:eastAsia="en-US"/>
        </w:rPr>
        <w:t>W przypadku braku dan</w:t>
      </w:r>
      <w:r w:rsidR="007C1C1B" w:rsidRPr="00244FEA">
        <w:rPr>
          <w:rFonts w:ascii="Arial" w:eastAsiaTheme="minorHAnsi" w:hAnsi="Arial" w:cs="Arial"/>
          <w:sz w:val="16"/>
          <w:szCs w:val="16"/>
          <w:lang w:eastAsia="en-US"/>
        </w:rPr>
        <w:t xml:space="preserve">ego </w:t>
      </w:r>
      <w:r w:rsidR="009D0143" w:rsidRPr="00244FEA">
        <w:rPr>
          <w:rFonts w:ascii="Arial" w:eastAsiaTheme="minorHAnsi" w:hAnsi="Arial" w:cs="Arial"/>
          <w:sz w:val="16"/>
          <w:szCs w:val="16"/>
          <w:lang w:eastAsia="en-US"/>
        </w:rPr>
        <w:t>rodzaju pomocy należy wpisać „0”.</w:t>
      </w:r>
    </w:p>
  </w:footnote>
  <w:footnote w:id="5">
    <w:p w14:paraId="3E5FF82D" w14:textId="17D0397D" w:rsidR="00DB708B" w:rsidRPr="00244FEA" w:rsidRDefault="00DB708B" w:rsidP="00B0212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  przypadku regulaminów pracy konieczne jest uwzględnienie przesłanek </w:t>
      </w:r>
      <w:r w:rsidR="000F620F" w:rsidRPr="00244FEA">
        <w:rPr>
          <w:rFonts w:ascii="Arial" w:hAnsi="Arial" w:cs="Arial"/>
          <w:sz w:val="16"/>
          <w:szCs w:val="16"/>
        </w:rPr>
        <w:t>w</w:t>
      </w:r>
      <w:r w:rsidRPr="00244FEA">
        <w:rPr>
          <w:rFonts w:ascii="Arial" w:hAnsi="Arial" w:cs="Arial"/>
          <w:sz w:val="16"/>
          <w:szCs w:val="16"/>
        </w:rPr>
        <w:t>skazanych w art. 9 ust.3 rozporządzenia ogólnego takich jak m.in.: płeć, rasa lub pochodzenie etniczne, religia lub światopogląd, niepełnosprawność, wiek lub orientacja seksualna.</w:t>
      </w:r>
    </w:p>
  </w:footnote>
  <w:footnote w:id="6">
    <w:p w14:paraId="4E1E3A97" w14:textId="46F4997A" w:rsidR="004023C9" w:rsidRPr="00244FEA" w:rsidRDefault="004023C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</w:t>
      </w:r>
      <w:r w:rsidR="006727F0" w:rsidRPr="00244FEA">
        <w:rPr>
          <w:rFonts w:ascii="Arial" w:hAnsi="Arial" w:cs="Arial"/>
          <w:sz w:val="16"/>
          <w:szCs w:val="16"/>
        </w:rPr>
        <w:t>.</w:t>
      </w:r>
    </w:p>
  </w:footnote>
  <w:footnote w:id="7">
    <w:p w14:paraId="583AEE4A" w14:textId="29808E91" w:rsidR="00656C22" w:rsidRPr="00244FEA" w:rsidRDefault="00656C22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Wymóg dotyczy przypadku, kiedy sprawozdanie nie jest publikowane w ogólnodostępnych rejestrach.</w:t>
      </w:r>
    </w:p>
  </w:footnote>
  <w:footnote w:id="8">
    <w:p w14:paraId="68752FB3" w14:textId="60648969" w:rsidR="00B06BBD" w:rsidRPr="00244FEA" w:rsidRDefault="00B06BBD" w:rsidP="00E6719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  <w:vertAlign w:val="superscript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Wybrać właściwe</w:t>
      </w:r>
    </w:p>
  </w:footnote>
  <w:footnote w:id="9">
    <w:p w14:paraId="11F39239" w14:textId="256F2612" w:rsidR="00B06BBD" w:rsidRPr="00244FEA" w:rsidRDefault="00B06BB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Jeżeli dotyczy – obowiązek może wynikać z </w:t>
      </w:r>
      <w:r w:rsidR="00656C22" w:rsidRPr="00244FEA">
        <w:rPr>
          <w:rFonts w:ascii="Arial" w:hAnsi="Arial" w:cs="Arial"/>
          <w:sz w:val="16"/>
          <w:szCs w:val="16"/>
          <w:lang w:eastAsia="x-none"/>
        </w:rPr>
        <w:t>Regulaminu wyboru projektów</w:t>
      </w:r>
      <w:r w:rsidRPr="00244FEA">
        <w:rPr>
          <w:rFonts w:ascii="Arial" w:hAnsi="Arial" w:cs="Arial"/>
          <w:sz w:val="16"/>
          <w:szCs w:val="16"/>
          <w:lang w:eastAsia="x-none"/>
        </w:rPr>
        <w:t>.</w:t>
      </w:r>
    </w:p>
  </w:footnote>
  <w:footnote w:id="10">
    <w:p w14:paraId="41E4E309" w14:textId="0C3940A3" w:rsidR="00B06BBD" w:rsidRPr="00244FEA" w:rsidRDefault="00B06BB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4FEA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4FEA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4FEA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4FEA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4FEA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4FEA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1">
    <w:p w14:paraId="723C2948" w14:textId="2D3B3626" w:rsidR="00B06BBD" w:rsidRPr="00244FEA" w:rsidRDefault="00B06BBD" w:rsidP="00B06BBD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Wybrać właściwe</w:t>
      </w:r>
      <w:r w:rsidR="00FA138E" w:rsidRPr="00244FEA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2">
    <w:p w14:paraId="16759BA0" w14:textId="66854391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0D2F93AF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4">
    <w:p w14:paraId="3A12400C" w14:textId="2793B92C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244FEA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6A30B013" w14:textId="36F36853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 w:rsidRPr="00244FEA">
        <w:rPr>
          <w:rFonts w:ascii="Arial" w:hAnsi="Arial" w:cs="Arial"/>
          <w:sz w:val="16"/>
          <w:szCs w:val="16"/>
        </w:rPr>
        <w:t xml:space="preserve"> Beneficjent</w:t>
      </w:r>
      <w:r w:rsidRPr="00244FEA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 w:rsidRPr="00244FEA">
        <w:rPr>
          <w:rFonts w:ascii="Arial" w:hAnsi="Arial" w:cs="Arial"/>
          <w:sz w:val="16"/>
          <w:szCs w:val="16"/>
        </w:rPr>
        <w:t>P</w:t>
      </w:r>
      <w:r w:rsidRPr="00244FEA">
        <w:rPr>
          <w:rFonts w:ascii="Arial" w:hAnsi="Arial" w:cs="Arial"/>
          <w:sz w:val="16"/>
          <w:szCs w:val="16"/>
        </w:rPr>
        <w:t>rojektu.</w:t>
      </w:r>
    </w:p>
  </w:footnote>
  <w:footnote w:id="18">
    <w:p w14:paraId="16C78CAA" w14:textId="77777777" w:rsidR="00DB708B" w:rsidRPr="00244FEA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2C67DFDD" w14:textId="7F706D63" w:rsidR="00BC453C" w:rsidRPr="00244FEA" w:rsidRDefault="00BC453C" w:rsidP="00232B9E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Beneficjent </w:t>
      </w:r>
      <w:r w:rsidR="00810615" w:rsidRPr="00244FEA">
        <w:rPr>
          <w:rFonts w:ascii="Arial" w:hAnsi="Arial" w:cs="Arial"/>
          <w:sz w:val="16"/>
          <w:szCs w:val="16"/>
        </w:rPr>
        <w:t>mu</w:t>
      </w:r>
      <w:r w:rsidR="00263092" w:rsidRPr="00244FEA">
        <w:rPr>
          <w:rFonts w:ascii="Arial" w:hAnsi="Arial" w:cs="Arial"/>
          <w:sz w:val="16"/>
          <w:szCs w:val="16"/>
        </w:rPr>
        <w:t>s</w:t>
      </w:r>
      <w:r w:rsidR="000108BC" w:rsidRPr="00244FEA">
        <w:rPr>
          <w:rFonts w:ascii="Arial" w:hAnsi="Arial" w:cs="Arial"/>
          <w:sz w:val="16"/>
          <w:szCs w:val="16"/>
        </w:rPr>
        <w:t>i</w:t>
      </w:r>
      <w:r w:rsidR="00263092" w:rsidRPr="00244FEA">
        <w:rPr>
          <w:rFonts w:ascii="Arial" w:hAnsi="Arial" w:cs="Arial"/>
          <w:sz w:val="16"/>
          <w:szCs w:val="16"/>
        </w:rPr>
        <w:t xml:space="preserve"> być</w:t>
      </w:r>
      <w:r w:rsidR="00EB3872" w:rsidRPr="00244FEA">
        <w:rPr>
          <w:rFonts w:ascii="Arial" w:hAnsi="Arial" w:cs="Arial"/>
          <w:sz w:val="16"/>
          <w:szCs w:val="16"/>
        </w:rPr>
        <w:t xml:space="preserve"> kontrolowan</w:t>
      </w:r>
      <w:r w:rsidR="000108BC" w:rsidRPr="00244FEA">
        <w:rPr>
          <w:rFonts w:ascii="Arial" w:hAnsi="Arial" w:cs="Arial"/>
          <w:sz w:val="16"/>
          <w:szCs w:val="16"/>
        </w:rPr>
        <w:t>y</w:t>
      </w:r>
      <w:r w:rsidR="00C9739D" w:rsidRPr="00244FEA">
        <w:rPr>
          <w:rFonts w:ascii="Arial" w:hAnsi="Arial" w:cs="Arial"/>
          <w:sz w:val="16"/>
          <w:szCs w:val="16"/>
        </w:rPr>
        <w:t xml:space="preserve"> </w:t>
      </w:r>
      <w:r w:rsidR="00C01326" w:rsidRPr="00244FEA">
        <w:rPr>
          <w:rFonts w:ascii="Arial" w:hAnsi="Arial" w:cs="Arial"/>
          <w:sz w:val="16"/>
          <w:szCs w:val="16"/>
        </w:rPr>
        <w:t xml:space="preserve">(musi być sprawowana kontrola) </w:t>
      </w:r>
      <w:r w:rsidR="007563EA" w:rsidRPr="00244FEA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244FEA">
        <w:rPr>
          <w:rFonts w:ascii="Arial" w:hAnsi="Arial" w:cs="Arial"/>
          <w:sz w:val="16"/>
          <w:szCs w:val="16"/>
        </w:rPr>
        <w:t>państwa</w:t>
      </w:r>
      <w:r w:rsidR="00232B9E" w:rsidRPr="00244FEA">
        <w:rPr>
          <w:rFonts w:ascii="Arial" w:hAnsi="Arial" w:cs="Arial"/>
          <w:sz w:val="16"/>
          <w:szCs w:val="16"/>
        </w:rPr>
        <w:t xml:space="preserve"> należącego do</w:t>
      </w:r>
      <w:r w:rsidR="00EB3872" w:rsidRPr="00244FEA">
        <w:rPr>
          <w:rFonts w:ascii="Arial" w:hAnsi="Arial" w:cs="Arial"/>
          <w:sz w:val="16"/>
          <w:szCs w:val="16"/>
        </w:rPr>
        <w:t xml:space="preserve"> </w:t>
      </w:r>
      <w:r w:rsidR="000333C0" w:rsidRPr="00244FEA">
        <w:rPr>
          <w:rFonts w:ascii="Arial" w:hAnsi="Arial" w:cs="Arial"/>
          <w:sz w:val="16"/>
          <w:szCs w:val="16"/>
        </w:rPr>
        <w:t>UE.</w:t>
      </w:r>
      <w:r w:rsidR="007563EA"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</w:rPr>
        <w:t xml:space="preserve"> </w:t>
      </w:r>
    </w:p>
  </w:footnote>
  <w:footnote w:id="20">
    <w:p w14:paraId="421EF7F3" w14:textId="77777777" w:rsidR="00731010" w:rsidRPr="00244FEA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Cena może zostać uznana za rynkową, jeśli: </w:t>
      </w:r>
    </w:p>
    <w:p w14:paraId="391AF693" w14:textId="75D070F2" w:rsidR="00731010" w:rsidRPr="00244FEA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</w:rPr>
        <w:t>a)</w:t>
      </w:r>
      <w:r w:rsidRPr="00244FEA">
        <w:rPr>
          <w:rFonts w:ascii="Arial" w:hAnsi="Arial" w:cs="Arial"/>
          <w:sz w:val="16"/>
          <w:szCs w:val="16"/>
        </w:rPr>
        <w:tab/>
        <w:t>jej wysokość określono w drodze otwartej, przejrzystej i niedyskryminacyjnej konkurencyjnej procedury udzielenia licencji; lub</w:t>
      </w:r>
    </w:p>
    <w:p w14:paraId="5A724250" w14:textId="77777777" w:rsidR="00731010" w:rsidRPr="00244FEA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</w:rPr>
        <w:t>b)</w:t>
      </w:r>
      <w:r w:rsidRPr="00244FEA">
        <w:rPr>
          <w:rFonts w:ascii="Arial" w:hAnsi="Arial" w:cs="Arial"/>
          <w:sz w:val="16"/>
          <w:szCs w:val="16"/>
        </w:rPr>
        <w:tab/>
        <w:t>wycena niezależnego eksperta potwierdza, że cena jest co najmniej równa wartości rynkowej; lub</w:t>
      </w:r>
    </w:p>
    <w:p w14:paraId="38D84EA2" w14:textId="436C1F32" w:rsidR="00731010" w:rsidRPr="00244FEA" w:rsidRDefault="00731010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</w:rPr>
        <w:t>c)</w:t>
      </w:r>
      <w:r w:rsidRPr="00244FEA">
        <w:rPr>
          <w:rFonts w:ascii="Arial" w:hAnsi="Arial" w:cs="Arial"/>
          <w:sz w:val="16"/>
          <w:szCs w:val="16"/>
        </w:rPr>
        <w:tab/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58663ACC" w:rsidR="00B32451" w:rsidRPr="00244FEA" w:rsidRDefault="00B32451" w:rsidP="003E7E2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3E7E27" w:rsidRPr="00244FEA">
        <w:rPr>
          <w:rFonts w:ascii="Arial" w:hAnsi="Arial" w:cs="Arial"/>
          <w:sz w:val="16"/>
          <w:szCs w:val="16"/>
        </w:rPr>
        <w:t xml:space="preserve">Załącznik nr </w:t>
      </w:r>
      <w:r w:rsidR="00F74386" w:rsidRPr="00244FEA">
        <w:rPr>
          <w:rFonts w:ascii="Arial" w:hAnsi="Arial" w:cs="Arial"/>
          <w:sz w:val="16"/>
          <w:szCs w:val="16"/>
        </w:rPr>
        <w:t>8</w:t>
      </w:r>
      <w:r w:rsidR="003E7E27" w:rsidRPr="00244FEA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244FEA" w:rsidRDefault="00C64303" w:rsidP="00C64303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3">
    <w:p w14:paraId="37510329" w14:textId="783DA548" w:rsidR="00B23E8E" w:rsidRPr="00244FEA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 w:rsidRPr="00244FEA">
        <w:rPr>
          <w:rFonts w:ascii="Arial" w:hAnsi="Arial" w:cs="Arial"/>
          <w:sz w:val="16"/>
          <w:szCs w:val="16"/>
        </w:rPr>
        <w:t>Beneficjent</w:t>
      </w:r>
      <w:r w:rsidRPr="00244FEA">
        <w:rPr>
          <w:rFonts w:ascii="Arial" w:hAnsi="Arial" w:cs="Arial"/>
          <w:sz w:val="16"/>
          <w:szCs w:val="16"/>
        </w:rPr>
        <w:t xml:space="preserve"> nie rozpoczęli działań w </w:t>
      </w:r>
      <w:r w:rsidR="00EA0058" w:rsidRPr="00244FEA">
        <w:rPr>
          <w:rFonts w:ascii="Arial" w:hAnsi="Arial" w:cs="Arial"/>
          <w:sz w:val="16"/>
          <w:szCs w:val="16"/>
        </w:rPr>
        <w:t>P</w:t>
      </w:r>
      <w:r w:rsidRPr="00244FEA">
        <w:rPr>
          <w:rFonts w:ascii="Arial" w:hAnsi="Arial" w:cs="Arial"/>
          <w:sz w:val="16"/>
          <w:szCs w:val="16"/>
        </w:rPr>
        <w:t xml:space="preserve">rojekcie przed lub w dniu złożenia wniosku. </w:t>
      </w:r>
    </w:p>
  </w:footnote>
  <w:footnote w:id="24">
    <w:p w14:paraId="39F30E2B" w14:textId="77777777" w:rsidR="00B23E8E" w:rsidRPr="00244FEA" w:rsidRDefault="00B23E8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Zwiększenie dofinansowania uregulowane w ust. 21 nie narusza efektu zachęty.</w:t>
      </w:r>
    </w:p>
  </w:footnote>
  <w:footnote w:id="25">
    <w:p w14:paraId="3C734C08" w14:textId="77777777" w:rsidR="00B23E8E" w:rsidRPr="00244FEA" w:rsidRDefault="00B23E8E" w:rsidP="00B23E8E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stawką ryczałtową.</w:t>
      </w:r>
    </w:p>
  </w:footnote>
  <w:footnote w:id="26">
    <w:p w14:paraId="0FE33A9A" w14:textId="697AECBA" w:rsidR="00E93939" w:rsidRPr="00244FEA" w:rsidRDefault="00E9393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 przypadku zmiany miejsca realizacji </w:t>
      </w:r>
      <w:r w:rsidR="00F42A36" w:rsidRPr="00244FEA">
        <w:rPr>
          <w:rFonts w:ascii="Arial" w:hAnsi="Arial" w:cs="Arial"/>
          <w:sz w:val="16"/>
          <w:szCs w:val="16"/>
        </w:rPr>
        <w:t>prac</w:t>
      </w:r>
      <w:r w:rsidRPr="00244FEA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244FEA">
        <w:rPr>
          <w:rFonts w:ascii="Arial" w:hAnsi="Arial" w:cs="Arial"/>
          <w:sz w:val="16"/>
          <w:szCs w:val="16"/>
        </w:rPr>
        <w:t xml:space="preserve">art. 25 ust. 6 </w:t>
      </w:r>
      <w:r w:rsidRPr="00244FEA">
        <w:rPr>
          <w:rFonts w:ascii="Arial" w:hAnsi="Arial" w:cs="Arial"/>
          <w:sz w:val="16"/>
          <w:szCs w:val="16"/>
        </w:rPr>
        <w:t xml:space="preserve">lit. c </w:t>
      </w:r>
      <w:r w:rsidR="005719BC" w:rsidRPr="00244FEA">
        <w:rPr>
          <w:rFonts w:ascii="Arial" w:hAnsi="Arial" w:cs="Arial"/>
          <w:sz w:val="16"/>
          <w:szCs w:val="16"/>
        </w:rPr>
        <w:t>r</w:t>
      </w:r>
      <w:r w:rsidRPr="00244FEA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27">
    <w:p w14:paraId="737BA692" w14:textId="582DE522" w:rsidR="00873E49" w:rsidRPr="00244FEA" w:rsidRDefault="00873E49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Poziom transzy zaliczki  zostanie zmniejszony w przypadku wskazania przez eksperta, na etapie oceny wniosku</w:t>
      </w:r>
      <w:r w:rsidR="005719BC" w:rsidRPr="00244FEA">
        <w:rPr>
          <w:rFonts w:ascii="Arial" w:hAnsi="Arial" w:cs="Arial"/>
          <w:sz w:val="16"/>
          <w:szCs w:val="16"/>
        </w:rPr>
        <w:t xml:space="preserve"> o dofinansowanie</w:t>
      </w:r>
      <w:r w:rsidRPr="00244FEA">
        <w:rPr>
          <w:rFonts w:ascii="Arial" w:hAnsi="Arial" w:cs="Arial"/>
          <w:sz w:val="16"/>
          <w:szCs w:val="16"/>
        </w:rPr>
        <w:t>, niższego poziomu transzy zaliczki.</w:t>
      </w:r>
    </w:p>
  </w:footnote>
  <w:footnote w:id="28">
    <w:p w14:paraId="3DC99C37" w14:textId="07DEF36B" w:rsidR="00CF2E47" w:rsidRPr="00244FEA" w:rsidRDefault="00CF2E4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Z zastrzeżeniem </w:t>
      </w:r>
      <w:r w:rsidR="008A6BAA" w:rsidRPr="00244FEA">
        <w:rPr>
          <w:rFonts w:ascii="Arial" w:hAnsi="Arial" w:cs="Arial"/>
          <w:sz w:val="16"/>
          <w:szCs w:val="16"/>
        </w:rPr>
        <w:t>postanowień</w:t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8A6BAA" w:rsidRPr="00244FEA">
        <w:rPr>
          <w:rFonts w:ascii="Arial" w:hAnsi="Arial" w:cs="Arial"/>
          <w:sz w:val="16"/>
          <w:szCs w:val="16"/>
        </w:rPr>
        <w:t>§</w:t>
      </w:r>
      <w:r w:rsidRPr="00244FEA">
        <w:rPr>
          <w:rFonts w:ascii="Arial" w:hAnsi="Arial" w:cs="Arial"/>
          <w:sz w:val="16"/>
          <w:szCs w:val="16"/>
        </w:rPr>
        <w:t xml:space="preserve"> 5b ust. 1</w:t>
      </w:r>
      <w:r w:rsidR="008A6BAA" w:rsidRPr="00244FEA">
        <w:rPr>
          <w:rFonts w:ascii="Arial" w:hAnsi="Arial" w:cs="Arial"/>
          <w:sz w:val="16"/>
          <w:szCs w:val="16"/>
        </w:rPr>
        <w:t xml:space="preserve"> Umowy</w:t>
      </w:r>
      <w:r w:rsidRPr="00244FEA">
        <w:rPr>
          <w:rFonts w:ascii="Arial" w:hAnsi="Arial" w:cs="Arial"/>
          <w:sz w:val="16"/>
          <w:szCs w:val="16"/>
        </w:rPr>
        <w:t>.</w:t>
      </w:r>
    </w:p>
  </w:footnote>
  <w:footnote w:id="29">
    <w:p w14:paraId="1ADCC777" w14:textId="4A82E9B9" w:rsidR="00FE56FB" w:rsidRPr="00244FEA" w:rsidRDefault="00FE56F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C33906" w:rsidRPr="00244FEA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0">
    <w:p w14:paraId="32E731C3" w14:textId="05234014" w:rsidR="002D67F7" w:rsidRPr="00244FEA" w:rsidRDefault="002D67F7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Po uwzględnieniu </w:t>
      </w:r>
      <w:r w:rsidR="00E34CA4" w:rsidRPr="00244FEA">
        <w:rPr>
          <w:rFonts w:ascii="Arial" w:hAnsi="Arial" w:cs="Arial"/>
          <w:sz w:val="16"/>
          <w:szCs w:val="16"/>
        </w:rPr>
        <w:t xml:space="preserve">poziomu </w:t>
      </w:r>
      <w:r w:rsidRPr="00244FEA">
        <w:rPr>
          <w:rFonts w:ascii="Arial" w:hAnsi="Arial" w:cs="Arial"/>
          <w:sz w:val="16"/>
          <w:szCs w:val="16"/>
        </w:rPr>
        <w:t>dofinansowania przyznanego Beneficjentowi</w:t>
      </w:r>
      <w:r w:rsidR="002F74BE" w:rsidRPr="00244FEA">
        <w:rPr>
          <w:rFonts w:ascii="Arial" w:hAnsi="Arial" w:cs="Arial"/>
          <w:sz w:val="16"/>
          <w:szCs w:val="16"/>
        </w:rPr>
        <w:t>.</w:t>
      </w:r>
    </w:p>
  </w:footnote>
  <w:footnote w:id="31">
    <w:p w14:paraId="0360DC34" w14:textId="6C6635E5" w:rsidR="00AB6B7E" w:rsidRPr="00244FEA" w:rsidRDefault="00AB6B7E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6D0845" w:rsidRPr="00244FEA">
        <w:rPr>
          <w:rFonts w:ascii="Arial" w:hAnsi="Arial" w:cs="Arial"/>
          <w:sz w:val="16"/>
          <w:szCs w:val="16"/>
        </w:rPr>
        <w:t>Okres odpowiadający okresowi trwałości wynosi</w:t>
      </w:r>
      <w:r w:rsidR="00F324AC" w:rsidRPr="00244FEA">
        <w:rPr>
          <w:rFonts w:ascii="Arial" w:hAnsi="Arial" w:cs="Arial"/>
          <w:sz w:val="16"/>
          <w:szCs w:val="16"/>
        </w:rPr>
        <w:t xml:space="preserve"> 3 lata od zakończenia realizacji Projektu dla beneficjentów będących MŚP/</w:t>
      </w:r>
      <w:r w:rsidR="006D0845" w:rsidRPr="00244FE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 w:rsidRPr="00244FEA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244FEA">
        <w:rPr>
          <w:rFonts w:ascii="Arial" w:hAnsi="Arial" w:cs="Arial"/>
          <w:sz w:val="16"/>
          <w:szCs w:val="16"/>
        </w:rPr>
        <w:t xml:space="preserve">. </w:t>
      </w:r>
    </w:p>
  </w:footnote>
  <w:footnote w:id="32">
    <w:p w14:paraId="5DE134A2" w14:textId="22DEDCC5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23F76E37" w14:textId="5A03DF05" w:rsidR="00490400" w:rsidRPr="00244FEA" w:rsidRDefault="00490400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Wzór sprawozdania zostanie udostępniony na stronie internetowej Instytucji.</w:t>
      </w:r>
    </w:p>
  </w:footnote>
  <w:footnote w:id="34">
    <w:p w14:paraId="57577304" w14:textId="77777777" w:rsidR="00C44992" w:rsidRPr="00244FEA" w:rsidRDefault="00C44992" w:rsidP="00C44992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Jeśli Beneficjent nie posiada profilu na mediach społecznościowych, zobowiązany jest do założenia przynajmniej jednego takiego profilu.</w:t>
      </w:r>
    </w:p>
  </w:footnote>
  <w:footnote w:id="35">
    <w:p w14:paraId="42C2034D" w14:textId="3A238ABB" w:rsidR="004B3FA8" w:rsidRPr="00244FEA" w:rsidRDefault="004B3FA8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Dotyczy publikacji w mediach społecznościowych</w:t>
      </w:r>
      <w:r w:rsidR="0077552F" w:rsidRPr="00244FEA">
        <w:rPr>
          <w:rFonts w:ascii="Arial" w:hAnsi="Arial" w:cs="Arial"/>
          <w:sz w:val="16"/>
          <w:szCs w:val="16"/>
        </w:rPr>
        <w:t>.</w:t>
      </w:r>
    </w:p>
  </w:footnote>
  <w:footnote w:id="36">
    <w:p w14:paraId="73DFB15A" w14:textId="52B9D487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 w:rsidRPr="00244FEA">
        <w:rPr>
          <w:rFonts w:ascii="Arial" w:hAnsi="Arial" w:cs="Arial"/>
          <w:sz w:val="16"/>
          <w:szCs w:val="16"/>
        </w:rPr>
        <w:t>P</w:t>
      </w:r>
      <w:r w:rsidR="009D514C" w:rsidRPr="00244FEA">
        <w:rPr>
          <w:rFonts w:ascii="Arial" w:hAnsi="Arial" w:cs="Arial"/>
          <w:sz w:val="16"/>
          <w:szCs w:val="16"/>
        </w:rPr>
        <w:t>rogramu</w:t>
      </w:r>
      <w:r w:rsidRPr="00244FEA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 w:rsidRPr="00244FEA">
        <w:rPr>
          <w:rFonts w:ascii="Arial" w:hAnsi="Arial" w:cs="Arial"/>
          <w:sz w:val="16"/>
          <w:szCs w:val="16"/>
        </w:rPr>
        <w:t>.</w:t>
      </w:r>
    </w:p>
  </w:footnote>
  <w:footnote w:id="37">
    <w:p w14:paraId="598D0A97" w14:textId="266B11BC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Całkowity koszt Projektu obejmuje koszty kwalifikowane i niekwalifikowane. Koszt Projektu należy przeliczyć według kursu Europejskiego Banku Centralnego z przedostatniego dnia pracy Komisji Europejskiej w miesiącu poprzedzającym miesiąc podpisana umowy o dofinansowanie.</w:t>
      </w:r>
    </w:p>
  </w:footnote>
  <w:footnote w:id="38">
    <w:p w14:paraId="16739C7E" w14:textId="53FE305D" w:rsidR="00DB708B" w:rsidRPr="00244FEA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Dotyczy Projektów o </w:t>
      </w:r>
      <w:r w:rsidR="00E9432E" w:rsidRPr="00244FEA">
        <w:rPr>
          <w:rFonts w:ascii="Arial" w:hAnsi="Arial" w:cs="Arial"/>
          <w:sz w:val="16"/>
          <w:szCs w:val="16"/>
        </w:rPr>
        <w:t xml:space="preserve">całkowitym </w:t>
      </w:r>
      <w:r w:rsidRPr="00244FEA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9">
    <w:p w14:paraId="0FDD54C0" w14:textId="169194A2" w:rsidR="00DB708B" w:rsidRPr="00244FEA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bidi="pl-PL"/>
        </w:rPr>
        <w:t>Wydarzenia otwierające/kończące realizację Projektu lub związane z rozpoczęciem/realizacją/zakończeniem ważnego etapu Projektu.</w:t>
      </w:r>
    </w:p>
  </w:footnote>
  <w:footnote w:id="40">
    <w:p w14:paraId="3908F4AF" w14:textId="62A4F0C7" w:rsidR="00DB708B" w:rsidRPr="00244FEA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Projektu, przy czym nie jest odpowiedzialna ani za inicjowanie Projektu, ani jednocześnie za jego inicjowanie i wdrażanie i która nie otrzymuje wsparcia finansowego.</w:t>
      </w:r>
    </w:p>
  </w:footnote>
  <w:footnote w:id="41">
    <w:p w14:paraId="34BF4DCF" w14:textId="6D3B97D8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2">
    <w:p w14:paraId="573D6F19" w14:textId="1DC3FC4F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</w:t>
      </w:r>
    </w:p>
  </w:footnote>
  <w:footnote w:id="43">
    <w:p w14:paraId="39138061" w14:textId="7DCDAA81" w:rsidR="00DB708B" w:rsidRPr="00244FEA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Tj. przez okres 5 lat od dnia 31 grudnia  roku, w którym Instytucja dokonała ostatniej płatności na rzecz Beneficjenta. </w:t>
      </w:r>
    </w:p>
  </w:footnote>
  <w:footnote w:id="44">
    <w:p w14:paraId="3C30CE19" w14:textId="42AFC63F" w:rsidR="00DB708B" w:rsidRPr="00244FEA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x-none"/>
        </w:rPr>
        <w:t xml:space="preserve">Instytucja informuje Beneficjenta o dniu przyznania ostatniej pomocy. </w:t>
      </w:r>
    </w:p>
  </w:footnote>
  <w:footnote w:id="45">
    <w:p w14:paraId="5ABCEE73" w14:textId="4B3D1723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wydatków rozliczanych w sposób uproszczony. </w:t>
      </w:r>
    </w:p>
  </w:footnote>
  <w:footnote w:id="46">
    <w:p w14:paraId="6FFDA485" w14:textId="55A65198" w:rsidR="00757C16" w:rsidRPr="00244FEA" w:rsidRDefault="00DB708B" w:rsidP="00EB387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C8280A" w:rsidRPr="00244FE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 w:rsidRPr="00244FEA">
        <w:rPr>
          <w:rFonts w:ascii="Arial" w:hAnsi="Arial" w:cs="Arial"/>
          <w:sz w:val="16"/>
          <w:szCs w:val="16"/>
        </w:rPr>
        <w:t xml:space="preserve">Beneficjentem </w:t>
      </w:r>
      <w:r w:rsidR="00FE407E" w:rsidRPr="00244FEA">
        <w:rPr>
          <w:rFonts w:ascii="Arial" w:hAnsi="Arial" w:cs="Arial"/>
          <w:sz w:val="16"/>
          <w:szCs w:val="16"/>
        </w:rPr>
        <w:t>jest</w:t>
      </w:r>
      <w:r w:rsidR="00EC5F03" w:rsidRPr="00244FEA">
        <w:rPr>
          <w:rFonts w:ascii="Arial" w:hAnsi="Arial" w:cs="Arial"/>
          <w:sz w:val="16"/>
          <w:szCs w:val="16"/>
        </w:rPr>
        <w:t xml:space="preserve"> </w:t>
      </w:r>
      <w:r w:rsidR="00C8280A" w:rsidRPr="00244FEA">
        <w:rPr>
          <w:rFonts w:ascii="Arial" w:hAnsi="Arial" w:cs="Arial"/>
          <w:sz w:val="16"/>
          <w:szCs w:val="16"/>
        </w:rPr>
        <w:t>podmiot zależn</w:t>
      </w:r>
      <w:r w:rsidR="00FE407E" w:rsidRPr="00244FEA">
        <w:rPr>
          <w:rFonts w:ascii="Arial" w:hAnsi="Arial" w:cs="Arial"/>
          <w:sz w:val="16"/>
          <w:szCs w:val="16"/>
        </w:rPr>
        <w:t>y</w:t>
      </w:r>
      <w:r w:rsidR="00C8280A" w:rsidRPr="00244FEA">
        <w:rPr>
          <w:rFonts w:ascii="Arial" w:hAnsi="Arial" w:cs="Arial"/>
          <w:sz w:val="16"/>
          <w:szCs w:val="16"/>
        </w:rPr>
        <w:t xml:space="preserve"> lub kontrolowan</w:t>
      </w:r>
      <w:r w:rsidR="00FE407E" w:rsidRPr="00244FEA">
        <w:rPr>
          <w:rFonts w:ascii="Arial" w:hAnsi="Arial" w:cs="Arial"/>
          <w:sz w:val="16"/>
          <w:szCs w:val="16"/>
        </w:rPr>
        <w:t>y</w:t>
      </w:r>
      <w:r w:rsidR="00C8280A" w:rsidRPr="00244FEA">
        <w:rPr>
          <w:rFonts w:ascii="Arial" w:hAnsi="Arial" w:cs="Arial"/>
          <w:sz w:val="16"/>
          <w:szCs w:val="16"/>
        </w:rPr>
        <w:t xml:space="preserve"> </w:t>
      </w:r>
      <w:r w:rsidR="00EC5F03" w:rsidRPr="00244FEA">
        <w:rPr>
          <w:rFonts w:ascii="Arial" w:hAnsi="Arial" w:cs="Arial"/>
          <w:sz w:val="16"/>
          <w:szCs w:val="16"/>
        </w:rPr>
        <w:t>przez</w:t>
      </w:r>
      <w:r w:rsidR="00C8280A" w:rsidRPr="00244FE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7">
    <w:p w14:paraId="1618828B" w14:textId="4B06502D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244FEA">
        <w:rPr>
          <w:rFonts w:ascii="Arial" w:hAnsi="Arial" w:cs="Arial"/>
          <w:sz w:val="16"/>
          <w:szCs w:val="16"/>
          <w:lang w:eastAsia="en-US"/>
        </w:rPr>
        <w:t>ufp</w:t>
      </w:r>
      <w:proofErr w:type="spellEnd"/>
      <w:r w:rsidRPr="00244FEA">
        <w:rPr>
          <w:rFonts w:ascii="Arial" w:hAnsi="Arial" w:cs="Arial"/>
          <w:sz w:val="16"/>
          <w:szCs w:val="16"/>
          <w:lang w:eastAsia="en-US"/>
        </w:rPr>
        <w:t xml:space="preserve"> obejmuje również naruszenie Umowy.</w:t>
      </w:r>
    </w:p>
  </w:footnote>
  <w:footnote w:id="48">
    <w:p w14:paraId="328D9238" w14:textId="77777777" w:rsidR="00DB708B" w:rsidRPr="00244FEA" w:rsidRDefault="00DB708B" w:rsidP="00E77A93">
      <w:pPr>
        <w:pStyle w:val="Tekstprzypisudolnego"/>
        <w:jc w:val="both"/>
        <w:rPr>
          <w:rFonts w:ascii="Arial" w:hAnsi="Arial" w:cs="Arial"/>
          <w:sz w:val="16"/>
          <w:szCs w:val="16"/>
          <w:lang w:eastAsia="en-US"/>
        </w:rPr>
      </w:pP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Nie dotyczy jednostek sektora finansów publicznych albo fundacji, których jedynym fundatorem jest Skarb Państwa, a także Banku Gospodarstwa Krajowego.</w:t>
      </w:r>
    </w:p>
  </w:footnote>
  <w:footnote w:id="49">
    <w:p w14:paraId="7C2F2EB4" w14:textId="44E6100F" w:rsidR="00DB708B" w:rsidRPr="00244FEA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W przypadku</w:t>
      </w:r>
      <w:r w:rsidR="009D514C" w:rsidRPr="00244FEA">
        <w:rPr>
          <w:rFonts w:ascii="Arial" w:hAnsi="Arial" w:cs="Arial"/>
          <w:sz w:val="16"/>
          <w:szCs w:val="16"/>
          <w:lang w:eastAsia="en-US"/>
        </w:rPr>
        <w:t>,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0">
    <w:p w14:paraId="391FB0B8" w14:textId="43B25EF9" w:rsidR="00DB708B" w:rsidRPr="00244FEA" w:rsidRDefault="00DB708B" w:rsidP="007F0D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Jeżeli weksel jest podpisywany przez pełnomocnika</w:t>
      </w:r>
      <w:r w:rsidR="009D514C" w:rsidRPr="00244FEA">
        <w:rPr>
          <w:rFonts w:ascii="Arial" w:hAnsi="Arial" w:cs="Arial"/>
          <w:sz w:val="16"/>
          <w:szCs w:val="16"/>
          <w:lang w:eastAsia="en-US"/>
        </w:rPr>
        <w:t>,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1">
    <w:p w14:paraId="009EF36A" w14:textId="7638C211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footnoteRef/>
      </w:r>
      <w:r w:rsidRPr="00244FEA">
        <w:rPr>
          <w:rFonts w:ascii="Arial" w:hAnsi="Arial" w:cs="Arial"/>
          <w:sz w:val="16"/>
          <w:szCs w:val="16"/>
          <w:vertAlign w:val="superscript"/>
          <w:lang w:eastAsia="en-US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Zgodnie z art.78 §  1.</w:t>
      </w:r>
      <w:r w:rsidRPr="00244FEA">
        <w:rPr>
          <w:rFonts w:ascii="Arial" w:hAnsi="Arial" w:cs="Arial"/>
          <w:b/>
          <w:bCs/>
          <w:color w:val="333333"/>
          <w:sz w:val="16"/>
          <w:szCs w:val="16"/>
        </w:rPr>
        <w:t> 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Kodeksu Cywilnego. </w:t>
      </w:r>
    </w:p>
  </w:footnote>
  <w:footnote w:id="52">
    <w:p w14:paraId="5BD589CE" w14:textId="49682B1C" w:rsidR="00DB708B" w:rsidRPr="00244FEA" w:rsidRDefault="00DB708B" w:rsidP="00DD12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 xml:space="preserve">Granica 25% wartości kwoty danej kategorii kosztów </w:t>
      </w:r>
      <w:r w:rsidR="00E67835" w:rsidRPr="00244FEA">
        <w:rPr>
          <w:rFonts w:ascii="Arial" w:hAnsi="Arial" w:cs="Arial"/>
          <w:sz w:val="16"/>
          <w:szCs w:val="16"/>
          <w:lang w:eastAsia="en-US"/>
        </w:rPr>
        <w:t xml:space="preserve">FENG </w:t>
      </w:r>
      <w:r w:rsidRPr="00244FEA">
        <w:rPr>
          <w:rFonts w:ascii="Arial" w:hAnsi="Arial" w:cs="Arial"/>
          <w:sz w:val="16"/>
          <w:szCs w:val="16"/>
          <w:lang w:eastAsia="en-US"/>
        </w:rPr>
        <w:t>jest zawsze określana w stosunku do pierwotnego Harmonogramu rzeczowo-finansowego.</w:t>
      </w:r>
    </w:p>
  </w:footnote>
  <w:footnote w:id="53">
    <w:p w14:paraId="2288B795" w14:textId="77777777" w:rsidR="00251E0F" w:rsidRPr="00244FEA" w:rsidRDefault="00251E0F" w:rsidP="00251E0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en-US"/>
        </w:rPr>
        <w:t>Granica 25% wartości kwoty danej kategorii kosztów FENG jest zawsze określana w stosunku do pierwotnego Harmonogramu rzeczowo-finansowego.</w:t>
      </w:r>
    </w:p>
  </w:footnote>
  <w:footnote w:id="54">
    <w:p w14:paraId="4BDFF050" w14:textId="526FE416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 w:rsidRPr="00244FEA">
        <w:rPr>
          <w:rFonts w:ascii="Arial" w:hAnsi="Arial" w:cs="Arial"/>
          <w:sz w:val="16"/>
          <w:szCs w:val="16"/>
        </w:rPr>
        <w:t>.</w:t>
      </w:r>
    </w:p>
  </w:footnote>
  <w:footnote w:id="55">
    <w:p w14:paraId="1D47F065" w14:textId="2D85AA22" w:rsidR="00DB708B" w:rsidRPr="00244FEA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Pr="00244FEA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 w:rsidRPr="00244FEA">
        <w:rPr>
          <w:rFonts w:ascii="Arial" w:hAnsi="Arial" w:cs="Arial"/>
          <w:sz w:val="16"/>
          <w:szCs w:val="16"/>
          <w:lang w:eastAsia="pl-PL"/>
        </w:rPr>
        <w:t>zgłoszoną przez Beneficjenta zgodnie z procedurą zgłaszania osoby uprawnionej zarządzającej projektem po stronie Beneficjenta, stanowiącej Załącznik nr 4   do wytycznych dotyczących warunków gromadzenia i przekazywania danych w postaci elektronicznej na lata 2021-2027, na podstawie wniosku o dodanie osoby uprawnionej zarządzającej projektem po stronie Beneficjenta stanowiącego Załącznik nr 5 do ww. wytycznych</w:t>
      </w:r>
      <w:r w:rsidRPr="00244FEA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56">
    <w:p w14:paraId="199EC20F" w14:textId="3AE46EC4" w:rsidR="006B7AE6" w:rsidRPr="00244FEA" w:rsidRDefault="006B7AE6">
      <w:pPr>
        <w:pStyle w:val="Tekstprzypisudolnego"/>
        <w:rPr>
          <w:rFonts w:ascii="Arial" w:eastAsiaTheme="minorHAnsi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</w:t>
      </w:r>
      <w:r w:rsidR="00407C22" w:rsidRPr="00244FEA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244FEA">
        <w:rPr>
          <w:rFonts w:ascii="Arial" w:eastAsiaTheme="minorHAnsi" w:hAnsi="Arial" w:cs="Arial"/>
          <w:sz w:val="16"/>
          <w:szCs w:val="16"/>
        </w:rPr>
        <w:t xml:space="preserve">. </w:t>
      </w:r>
    </w:p>
  </w:footnote>
  <w:footnote w:id="57">
    <w:p w14:paraId="6BDE10BB" w14:textId="40B09BC8" w:rsidR="00DB708B" w:rsidRPr="00244FEA" w:rsidRDefault="00DB708B" w:rsidP="00B457EC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Dzień uznania rachunku Beneficjenta.</w:t>
      </w:r>
    </w:p>
  </w:footnote>
  <w:footnote w:id="58">
    <w:p w14:paraId="5145D89B" w14:textId="4BF89B0E" w:rsidR="00DB708B" w:rsidRPr="00244FE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59">
    <w:p w14:paraId="10106909" w14:textId="0426747C" w:rsidR="00254F0F" w:rsidRPr="00244FEA" w:rsidRDefault="00254F0F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Instytucja zastrzega sobie możliwość powierzenia podmiotom zewnętrznym czynności w zakresie zweryfikowania informacji zawartych w oświadczeniu.</w:t>
      </w:r>
    </w:p>
  </w:footnote>
  <w:footnote w:id="60">
    <w:p w14:paraId="6E8C7C5D" w14:textId="3887CCA0" w:rsidR="00FC4D37" w:rsidRPr="00244FEA" w:rsidRDefault="00FC4D37">
      <w:pPr>
        <w:pStyle w:val="Tekstprzypisudolnego"/>
        <w:rPr>
          <w:rFonts w:ascii="Arial" w:hAnsi="Arial" w:cs="Arial"/>
          <w:sz w:val="16"/>
          <w:szCs w:val="16"/>
        </w:rPr>
      </w:pPr>
      <w:r w:rsidRPr="00244F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FEA">
        <w:rPr>
          <w:rFonts w:ascii="Arial" w:hAnsi="Arial" w:cs="Arial"/>
          <w:sz w:val="16"/>
          <w:szCs w:val="16"/>
        </w:rPr>
        <w:t xml:space="preserve"> Oświadczenie składa </w:t>
      </w:r>
      <w:r w:rsidR="00F82DB8" w:rsidRPr="00244FEA">
        <w:rPr>
          <w:rFonts w:ascii="Arial" w:hAnsi="Arial" w:cs="Arial"/>
          <w:sz w:val="16"/>
          <w:szCs w:val="16"/>
        </w:rPr>
        <w:t>Beneficjent</w:t>
      </w:r>
      <w:r w:rsidRPr="00244FEA">
        <w:rPr>
          <w:rFonts w:ascii="Arial" w:hAnsi="Arial" w:cs="Arial"/>
          <w:sz w:val="16"/>
          <w:szCs w:val="16"/>
        </w:rPr>
        <w:t xml:space="preserve">, </w:t>
      </w:r>
      <w:r w:rsidR="00F82DB8" w:rsidRPr="00244FEA">
        <w:rPr>
          <w:rFonts w:ascii="Arial" w:hAnsi="Arial" w:cs="Arial"/>
          <w:sz w:val="16"/>
          <w:szCs w:val="16"/>
        </w:rPr>
        <w:t xml:space="preserve">o ile </w:t>
      </w:r>
      <w:r w:rsidRPr="00244FEA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6E3137C"/>
    <w:multiLevelType w:val="hybridMultilevel"/>
    <w:tmpl w:val="602A8CA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8B952B1"/>
    <w:multiLevelType w:val="hybridMultilevel"/>
    <w:tmpl w:val="31B68C2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75001C7"/>
    <w:multiLevelType w:val="hybridMultilevel"/>
    <w:tmpl w:val="AE3484BC"/>
    <w:lvl w:ilvl="0" w:tplc="9C16911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3767194">
    <w:abstractNumId w:val="58"/>
  </w:num>
  <w:num w:numId="2" w16cid:durableId="1311132823">
    <w:abstractNumId w:val="45"/>
  </w:num>
  <w:num w:numId="3" w16cid:durableId="1326740983">
    <w:abstractNumId w:val="44"/>
  </w:num>
  <w:num w:numId="4" w16cid:durableId="755632018">
    <w:abstractNumId w:val="34"/>
  </w:num>
  <w:num w:numId="5" w16cid:durableId="194736885">
    <w:abstractNumId w:val="32"/>
  </w:num>
  <w:num w:numId="6" w16cid:durableId="2130196539">
    <w:abstractNumId w:val="4"/>
  </w:num>
  <w:num w:numId="7" w16cid:durableId="1909336751">
    <w:abstractNumId w:val="27"/>
  </w:num>
  <w:num w:numId="8" w16cid:durableId="1051154644">
    <w:abstractNumId w:val="36"/>
  </w:num>
  <w:num w:numId="9" w16cid:durableId="1189484779">
    <w:abstractNumId w:val="12"/>
  </w:num>
  <w:num w:numId="10" w16cid:durableId="48118316">
    <w:abstractNumId w:val="16"/>
  </w:num>
  <w:num w:numId="11" w16cid:durableId="324095379">
    <w:abstractNumId w:val="55"/>
  </w:num>
  <w:num w:numId="12" w16cid:durableId="153452238">
    <w:abstractNumId w:val="53"/>
  </w:num>
  <w:num w:numId="13" w16cid:durableId="1305744302">
    <w:abstractNumId w:val="56"/>
  </w:num>
  <w:num w:numId="14" w16cid:durableId="2146849147">
    <w:abstractNumId w:val="25"/>
  </w:num>
  <w:num w:numId="15" w16cid:durableId="18200716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7749516">
    <w:abstractNumId w:val="40"/>
  </w:num>
  <w:num w:numId="17" w16cid:durableId="1248270049">
    <w:abstractNumId w:val="8"/>
  </w:num>
  <w:num w:numId="18" w16cid:durableId="1743214221">
    <w:abstractNumId w:val="42"/>
  </w:num>
  <w:num w:numId="19" w16cid:durableId="1625303481">
    <w:abstractNumId w:val="26"/>
  </w:num>
  <w:num w:numId="20" w16cid:durableId="1151947837">
    <w:abstractNumId w:val="10"/>
  </w:num>
  <w:num w:numId="21" w16cid:durableId="364212045">
    <w:abstractNumId w:val="1"/>
  </w:num>
  <w:num w:numId="22" w16cid:durableId="752162798">
    <w:abstractNumId w:val="9"/>
  </w:num>
  <w:num w:numId="23" w16cid:durableId="121272684">
    <w:abstractNumId w:val="6"/>
  </w:num>
  <w:num w:numId="24" w16cid:durableId="1944800127">
    <w:abstractNumId w:val="33"/>
  </w:num>
  <w:num w:numId="25" w16cid:durableId="310794693">
    <w:abstractNumId w:val="48"/>
  </w:num>
  <w:num w:numId="26" w16cid:durableId="386758602">
    <w:abstractNumId w:val="41"/>
  </w:num>
  <w:num w:numId="27" w16cid:durableId="1460300105">
    <w:abstractNumId w:val="17"/>
  </w:num>
  <w:num w:numId="28" w16cid:durableId="1286615619">
    <w:abstractNumId w:val="18"/>
  </w:num>
  <w:num w:numId="29" w16cid:durableId="1726753642">
    <w:abstractNumId w:val="7"/>
  </w:num>
  <w:num w:numId="30" w16cid:durableId="1005939972">
    <w:abstractNumId w:val="0"/>
  </w:num>
  <w:num w:numId="31" w16cid:durableId="487290781">
    <w:abstractNumId w:val="22"/>
  </w:num>
  <w:num w:numId="32" w16cid:durableId="185027165">
    <w:abstractNumId w:val="15"/>
  </w:num>
  <w:num w:numId="33" w16cid:durableId="487281612">
    <w:abstractNumId w:val="52"/>
  </w:num>
  <w:num w:numId="34" w16cid:durableId="1086338880">
    <w:abstractNumId w:val="43"/>
  </w:num>
  <w:num w:numId="35" w16cid:durableId="825829131">
    <w:abstractNumId w:val="51"/>
  </w:num>
  <w:num w:numId="36" w16cid:durableId="902906097">
    <w:abstractNumId w:val="50"/>
  </w:num>
  <w:num w:numId="37" w16cid:durableId="1354305416">
    <w:abstractNumId w:val="39"/>
  </w:num>
  <w:num w:numId="38" w16cid:durableId="325207797">
    <w:abstractNumId w:val="31"/>
  </w:num>
  <w:num w:numId="39" w16cid:durableId="839660629">
    <w:abstractNumId w:val="49"/>
  </w:num>
  <w:num w:numId="40" w16cid:durableId="919601791">
    <w:abstractNumId w:val="37"/>
  </w:num>
  <w:num w:numId="41" w16cid:durableId="1058823460">
    <w:abstractNumId w:val="5"/>
  </w:num>
  <w:num w:numId="42" w16cid:durableId="165023859">
    <w:abstractNumId w:val="47"/>
  </w:num>
  <w:num w:numId="43" w16cid:durableId="2108842351">
    <w:abstractNumId w:val="20"/>
  </w:num>
  <w:num w:numId="44" w16cid:durableId="251201599">
    <w:abstractNumId w:val="13"/>
  </w:num>
  <w:num w:numId="45" w16cid:durableId="464198610">
    <w:abstractNumId w:val="38"/>
  </w:num>
  <w:num w:numId="46" w16cid:durableId="950404716">
    <w:abstractNumId w:val="29"/>
  </w:num>
  <w:num w:numId="47" w16cid:durableId="789131252">
    <w:abstractNumId w:val="46"/>
  </w:num>
  <w:num w:numId="48" w16cid:durableId="168107326">
    <w:abstractNumId w:val="14"/>
  </w:num>
  <w:num w:numId="49" w16cid:durableId="258102877">
    <w:abstractNumId w:val="3"/>
  </w:num>
  <w:num w:numId="50" w16cid:durableId="229538862">
    <w:abstractNumId w:val="11"/>
  </w:num>
  <w:num w:numId="51" w16cid:durableId="1819413908">
    <w:abstractNumId w:val="35"/>
  </w:num>
  <w:num w:numId="52" w16cid:durableId="1828083072">
    <w:abstractNumId w:val="28"/>
  </w:num>
  <w:num w:numId="53" w16cid:durableId="217009432">
    <w:abstractNumId w:val="24"/>
  </w:num>
  <w:num w:numId="54" w16cid:durableId="1490755709">
    <w:abstractNumId w:val="2"/>
  </w:num>
  <w:num w:numId="55" w16cid:durableId="1626963570">
    <w:abstractNumId w:val="21"/>
  </w:num>
  <w:num w:numId="56" w16cid:durableId="553735356">
    <w:abstractNumId w:val="57"/>
  </w:num>
  <w:num w:numId="57" w16cid:durableId="1136869307">
    <w:abstractNumId w:val="23"/>
  </w:num>
  <w:num w:numId="58" w16cid:durableId="4478592">
    <w:abstractNumId w:val="19"/>
  </w:num>
  <w:num w:numId="59" w16cid:durableId="733625469">
    <w:abstractNumId w:val="30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CC0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8BC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41CA"/>
    <w:rsid w:val="000141FE"/>
    <w:rsid w:val="00014393"/>
    <w:rsid w:val="0001467E"/>
    <w:rsid w:val="00014748"/>
    <w:rsid w:val="0001489F"/>
    <w:rsid w:val="00014AFC"/>
    <w:rsid w:val="00014B1B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3C0"/>
    <w:rsid w:val="00033B32"/>
    <w:rsid w:val="00033B69"/>
    <w:rsid w:val="00033C2F"/>
    <w:rsid w:val="00033DD7"/>
    <w:rsid w:val="000341F2"/>
    <w:rsid w:val="00034256"/>
    <w:rsid w:val="0003470C"/>
    <w:rsid w:val="000348AC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41D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34C5"/>
    <w:rsid w:val="0004373C"/>
    <w:rsid w:val="00043F71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866"/>
    <w:rsid w:val="0006197D"/>
    <w:rsid w:val="00061F20"/>
    <w:rsid w:val="000620DC"/>
    <w:rsid w:val="0006217C"/>
    <w:rsid w:val="0006218E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2F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569"/>
    <w:rsid w:val="000D20D5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43B"/>
    <w:rsid w:val="000F54CD"/>
    <w:rsid w:val="000F55D5"/>
    <w:rsid w:val="000F5608"/>
    <w:rsid w:val="000F5991"/>
    <w:rsid w:val="000F5A38"/>
    <w:rsid w:val="000F5BB1"/>
    <w:rsid w:val="000F5CC7"/>
    <w:rsid w:val="000F620F"/>
    <w:rsid w:val="000F624F"/>
    <w:rsid w:val="000F6BAD"/>
    <w:rsid w:val="000F6C3B"/>
    <w:rsid w:val="000F7117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D24"/>
    <w:rsid w:val="00134446"/>
    <w:rsid w:val="001347C4"/>
    <w:rsid w:val="001347E5"/>
    <w:rsid w:val="001347F0"/>
    <w:rsid w:val="00134CF8"/>
    <w:rsid w:val="001352C0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F6A"/>
    <w:rsid w:val="0015716B"/>
    <w:rsid w:val="001572A0"/>
    <w:rsid w:val="00157419"/>
    <w:rsid w:val="00157433"/>
    <w:rsid w:val="001578A4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1F99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4FEA"/>
    <w:rsid w:val="0024540C"/>
    <w:rsid w:val="00245BB4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62B"/>
    <w:rsid w:val="00292726"/>
    <w:rsid w:val="00292994"/>
    <w:rsid w:val="00292AAB"/>
    <w:rsid w:val="00292FDB"/>
    <w:rsid w:val="00293346"/>
    <w:rsid w:val="00293466"/>
    <w:rsid w:val="00293571"/>
    <w:rsid w:val="002938FC"/>
    <w:rsid w:val="0029411A"/>
    <w:rsid w:val="00294387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3D72"/>
    <w:rsid w:val="002F4147"/>
    <w:rsid w:val="002F41ED"/>
    <w:rsid w:val="002F42FD"/>
    <w:rsid w:val="002F4599"/>
    <w:rsid w:val="002F4A04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D5E"/>
    <w:rsid w:val="00322E72"/>
    <w:rsid w:val="003234AB"/>
    <w:rsid w:val="003237AD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A42"/>
    <w:rsid w:val="003B4C9D"/>
    <w:rsid w:val="003B525C"/>
    <w:rsid w:val="003B573A"/>
    <w:rsid w:val="003B59A9"/>
    <w:rsid w:val="003B66B2"/>
    <w:rsid w:val="003B70A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717"/>
    <w:rsid w:val="003D7900"/>
    <w:rsid w:val="003D7BF1"/>
    <w:rsid w:val="003D7CE0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6528"/>
    <w:rsid w:val="003F6693"/>
    <w:rsid w:val="003F70B0"/>
    <w:rsid w:val="003F70B7"/>
    <w:rsid w:val="003F7345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614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C22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CA5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C04"/>
    <w:rsid w:val="00455C1B"/>
    <w:rsid w:val="0045630A"/>
    <w:rsid w:val="004569C2"/>
    <w:rsid w:val="00456C24"/>
    <w:rsid w:val="00456FB7"/>
    <w:rsid w:val="00457550"/>
    <w:rsid w:val="00457930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5413"/>
    <w:rsid w:val="00485667"/>
    <w:rsid w:val="00485E9B"/>
    <w:rsid w:val="0048607A"/>
    <w:rsid w:val="004860FB"/>
    <w:rsid w:val="00486379"/>
    <w:rsid w:val="004868C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E2E"/>
    <w:rsid w:val="00497544"/>
    <w:rsid w:val="004976DB"/>
    <w:rsid w:val="0049770B"/>
    <w:rsid w:val="00497C8F"/>
    <w:rsid w:val="00497DF0"/>
    <w:rsid w:val="004A00B1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0C9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D16"/>
    <w:rsid w:val="004D0D49"/>
    <w:rsid w:val="004D0D5C"/>
    <w:rsid w:val="004D0E47"/>
    <w:rsid w:val="004D0F8A"/>
    <w:rsid w:val="004D0F94"/>
    <w:rsid w:val="004D13F4"/>
    <w:rsid w:val="004D1860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24A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2D9"/>
    <w:rsid w:val="005B0305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63F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F97"/>
    <w:rsid w:val="005C6138"/>
    <w:rsid w:val="005C62AF"/>
    <w:rsid w:val="005C63BB"/>
    <w:rsid w:val="005C6B1E"/>
    <w:rsid w:val="005C7096"/>
    <w:rsid w:val="005C7269"/>
    <w:rsid w:val="005C738E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A6F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649"/>
    <w:rsid w:val="00602EC3"/>
    <w:rsid w:val="00602FB6"/>
    <w:rsid w:val="00603818"/>
    <w:rsid w:val="00603CE6"/>
    <w:rsid w:val="00603DA9"/>
    <w:rsid w:val="0060413D"/>
    <w:rsid w:val="006046B3"/>
    <w:rsid w:val="00604CF5"/>
    <w:rsid w:val="00605211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C22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91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963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4100"/>
    <w:rsid w:val="0070423F"/>
    <w:rsid w:val="00704771"/>
    <w:rsid w:val="007048B6"/>
    <w:rsid w:val="0070490B"/>
    <w:rsid w:val="00704D2D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A3B"/>
    <w:rsid w:val="00717EDE"/>
    <w:rsid w:val="0071FA79"/>
    <w:rsid w:val="00720018"/>
    <w:rsid w:val="007203EA"/>
    <w:rsid w:val="0072041B"/>
    <w:rsid w:val="007205F2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BAC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51C"/>
    <w:rsid w:val="0078081C"/>
    <w:rsid w:val="0078086C"/>
    <w:rsid w:val="00780B39"/>
    <w:rsid w:val="00780B6C"/>
    <w:rsid w:val="007814AA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FE"/>
    <w:rsid w:val="007A15E5"/>
    <w:rsid w:val="007A1A07"/>
    <w:rsid w:val="007A206B"/>
    <w:rsid w:val="007A30AF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787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303"/>
    <w:rsid w:val="008053E5"/>
    <w:rsid w:val="0080591E"/>
    <w:rsid w:val="00805D41"/>
    <w:rsid w:val="00805DD3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A73"/>
    <w:rsid w:val="00842F28"/>
    <w:rsid w:val="00843CE4"/>
    <w:rsid w:val="008441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FEA"/>
    <w:rsid w:val="008F011A"/>
    <w:rsid w:val="008F03FE"/>
    <w:rsid w:val="008F0D11"/>
    <w:rsid w:val="008F0E9A"/>
    <w:rsid w:val="008F101B"/>
    <w:rsid w:val="008F12C7"/>
    <w:rsid w:val="008F155A"/>
    <w:rsid w:val="008F15CA"/>
    <w:rsid w:val="008F1647"/>
    <w:rsid w:val="008F1C73"/>
    <w:rsid w:val="008F1FED"/>
    <w:rsid w:val="008F20B0"/>
    <w:rsid w:val="008F2102"/>
    <w:rsid w:val="008F2183"/>
    <w:rsid w:val="008F2266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36E"/>
    <w:rsid w:val="0090573B"/>
    <w:rsid w:val="00905A73"/>
    <w:rsid w:val="00905B20"/>
    <w:rsid w:val="009063FF"/>
    <w:rsid w:val="0090665B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15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3335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B4B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79F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3"/>
    <w:rsid w:val="00A22FFC"/>
    <w:rsid w:val="00A2326C"/>
    <w:rsid w:val="00A2334F"/>
    <w:rsid w:val="00A234B6"/>
    <w:rsid w:val="00A239C5"/>
    <w:rsid w:val="00A24484"/>
    <w:rsid w:val="00A24AA1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306"/>
    <w:rsid w:val="00A34357"/>
    <w:rsid w:val="00A34853"/>
    <w:rsid w:val="00A34988"/>
    <w:rsid w:val="00A34991"/>
    <w:rsid w:val="00A34A91"/>
    <w:rsid w:val="00A3501F"/>
    <w:rsid w:val="00A35A35"/>
    <w:rsid w:val="00A3601C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C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45D3"/>
    <w:rsid w:val="00A84603"/>
    <w:rsid w:val="00A846DC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3227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889"/>
    <w:rsid w:val="00AC7A07"/>
    <w:rsid w:val="00AC7BF6"/>
    <w:rsid w:val="00AC7F47"/>
    <w:rsid w:val="00ACB17D"/>
    <w:rsid w:val="00AD053A"/>
    <w:rsid w:val="00AD09E8"/>
    <w:rsid w:val="00AD0AF3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7CE"/>
    <w:rsid w:val="00B01B4D"/>
    <w:rsid w:val="00B01F43"/>
    <w:rsid w:val="00B0212F"/>
    <w:rsid w:val="00B023B0"/>
    <w:rsid w:val="00B02D08"/>
    <w:rsid w:val="00B03224"/>
    <w:rsid w:val="00B0344B"/>
    <w:rsid w:val="00B03C06"/>
    <w:rsid w:val="00B04367"/>
    <w:rsid w:val="00B04C97"/>
    <w:rsid w:val="00B04D0F"/>
    <w:rsid w:val="00B04DE0"/>
    <w:rsid w:val="00B050CB"/>
    <w:rsid w:val="00B05266"/>
    <w:rsid w:val="00B053D0"/>
    <w:rsid w:val="00B05874"/>
    <w:rsid w:val="00B05880"/>
    <w:rsid w:val="00B058E8"/>
    <w:rsid w:val="00B05964"/>
    <w:rsid w:val="00B05D94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11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E9"/>
    <w:rsid w:val="00B50A95"/>
    <w:rsid w:val="00B51050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617E"/>
    <w:rsid w:val="00B562C5"/>
    <w:rsid w:val="00B564A7"/>
    <w:rsid w:val="00B56C54"/>
    <w:rsid w:val="00B5728D"/>
    <w:rsid w:val="00B57859"/>
    <w:rsid w:val="00B579E8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87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6C91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EBA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326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224"/>
    <w:rsid w:val="00C16BC5"/>
    <w:rsid w:val="00C17012"/>
    <w:rsid w:val="00C173E2"/>
    <w:rsid w:val="00C1747B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246"/>
    <w:rsid w:val="00C268C7"/>
    <w:rsid w:val="00C26FEC"/>
    <w:rsid w:val="00C2731F"/>
    <w:rsid w:val="00C273B6"/>
    <w:rsid w:val="00C274DE"/>
    <w:rsid w:val="00C27835"/>
    <w:rsid w:val="00C27896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31B6"/>
    <w:rsid w:val="00C8360A"/>
    <w:rsid w:val="00C838F8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39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101F"/>
    <w:rsid w:val="00CB1184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5266"/>
    <w:rsid w:val="00CB57A9"/>
    <w:rsid w:val="00CB5E76"/>
    <w:rsid w:val="00CB627A"/>
    <w:rsid w:val="00CB6367"/>
    <w:rsid w:val="00CB644E"/>
    <w:rsid w:val="00CB65C0"/>
    <w:rsid w:val="00CB677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BF2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338"/>
    <w:rsid w:val="00CF363A"/>
    <w:rsid w:val="00CF3AC3"/>
    <w:rsid w:val="00CF3E64"/>
    <w:rsid w:val="00CF4650"/>
    <w:rsid w:val="00CF469C"/>
    <w:rsid w:val="00CF4C12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373"/>
    <w:rsid w:val="00D35819"/>
    <w:rsid w:val="00D3592A"/>
    <w:rsid w:val="00D367E5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FE6"/>
    <w:rsid w:val="00D80578"/>
    <w:rsid w:val="00D805E0"/>
    <w:rsid w:val="00D807C3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43EA"/>
    <w:rsid w:val="00DC43F6"/>
    <w:rsid w:val="00DC4406"/>
    <w:rsid w:val="00DC44A7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5126"/>
    <w:rsid w:val="00E052E1"/>
    <w:rsid w:val="00E05618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E27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32BA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28D"/>
    <w:rsid w:val="00EC5914"/>
    <w:rsid w:val="00EC59FA"/>
    <w:rsid w:val="00EC5B5B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1AD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E83"/>
    <w:rsid w:val="00F1108E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D97"/>
    <w:rsid w:val="00F23F93"/>
    <w:rsid w:val="00F24085"/>
    <w:rsid w:val="00F244EE"/>
    <w:rsid w:val="00F2451C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B28"/>
    <w:rsid w:val="00F26C55"/>
    <w:rsid w:val="00F270C3"/>
    <w:rsid w:val="00F2732C"/>
    <w:rsid w:val="00F27497"/>
    <w:rsid w:val="00F278A3"/>
    <w:rsid w:val="00F27AE8"/>
    <w:rsid w:val="00F300A3"/>
    <w:rsid w:val="00F3099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5CD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47C65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D7F"/>
    <w:rsid w:val="00F9512A"/>
    <w:rsid w:val="00F95188"/>
    <w:rsid w:val="00F9555A"/>
    <w:rsid w:val="00F955C7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A19"/>
    <w:rsid w:val="00FA3D2C"/>
    <w:rsid w:val="00FA3E5A"/>
    <w:rsid w:val="00FA411E"/>
    <w:rsid w:val="00FA4167"/>
    <w:rsid w:val="00FA4A0B"/>
    <w:rsid w:val="00FA4A74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DE9"/>
    <w:rsid w:val="00FB5F31"/>
    <w:rsid w:val="00FB6224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4EDF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333A618-27AC-4B99-AC6C-F5EAADD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90E7A-630D-4D33-881F-C224B0150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12365</Words>
  <Characters>74193</Characters>
  <Application>Microsoft Office Word</Application>
  <DocSecurity>0</DocSecurity>
  <Lines>618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86386</CharactersWithSpaces>
  <SharedDoc>false</SharedDoc>
  <HLinks>
    <vt:vector size="30" baseType="variant">
      <vt:variant>
        <vt:i4>3342451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5636205</vt:i4>
      </vt:variant>
      <vt:variant>
        <vt:i4>9</vt:i4>
      </vt:variant>
      <vt:variant>
        <vt:i4>0</vt:i4>
      </vt:variant>
      <vt:variant>
        <vt:i4>5</vt:i4>
      </vt:variant>
      <vt:variant>
        <vt:lpwstr>mailto:jakub.fryzlewicz@ncbr.gov.pl</vt:lpwstr>
      </vt:variant>
      <vt:variant>
        <vt:lpwstr/>
      </vt:variant>
      <vt:variant>
        <vt:i4>4980849</vt:i4>
      </vt:variant>
      <vt:variant>
        <vt:i4>6</vt:i4>
      </vt:variant>
      <vt:variant>
        <vt:i4>0</vt:i4>
      </vt:variant>
      <vt:variant>
        <vt:i4>5</vt:i4>
      </vt:variant>
      <vt:variant>
        <vt:lpwstr>mailto:Milena.Piatkowska@ncbr.gov.pl</vt:lpwstr>
      </vt:variant>
      <vt:variant>
        <vt:lpwstr/>
      </vt:variant>
      <vt:variant>
        <vt:i4>2293769</vt:i4>
      </vt:variant>
      <vt:variant>
        <vt:i4>3</vt:i4>
      </vt:variant>
      <vt:variant>
        <vt:i4>0</vt:i4>
      </vt:variant>
      <vt:variant>
        <vt:i4>5</vt:i4>
      </vt:variant>
      <vt:variant>
        <vt:lpwstr>mailto:ewakatarzyna.wisniewska@ncbr.gov.pl</vt:lpwstr>
      </vt:variant>
      <vt:variant>
        <vt:lpwstr/>
      </vt:variant>
      <vt:variant>
        <vt:i4>3604494</vt:i4>
      </vt:variant>
      <vt:variant>
        <vt:i4>0</vt:i4>
      </vt:variant>
      <vt:variant>
        <vt:i4>0</vt:i4>
      </vt:variant>
      <vt:variant>
        <vt:i4>5</vt:i4>
      </vt:variant>
      <vt:variant>
        <vt:lpwstr>mailto:Justyna.Szlagowska@ncbr.gov.pl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Dorota Mróz-Kaproń</cp:lastModifiedBy>
  <cp:revision>4</cp:revision>
  <cp:lastPrinted>2023-11-15T12:27:00Z</cp:lastPrinted>
  <dcterms:created xsi:type="dcterms:W3CDTF">2025-10-17T15:19:00Z</dcterms:created>
  <dcterms:modified xsi:type="dcterms:W3CDTF">2025-10-20T11:34:00Z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