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25B52" w14:textId="77777777" w:rsidR="00B96A8F" w:rsidRDefault="00B96A8F" w:rsidP="00730C4D">
      <w:pPr>
        <w:spacing w:line="259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037F8E4B" w14:textId="4CD6BCB5" w:rsidR="004F75A7" w:rsidRPr="006A6501" w:rsidRDefault="00A712CE" w:rsidP="00730C4D">
      <w:pPr>
        <w:spacing w:line="259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6A6501">
        <w:rPr>
          <w:rFonts w:ascii="Arial" w:hAnsi="Arial" w:cs="Arial"/>
          <w:b/>
          <w:caps/>
          <w:sz w:val="20"/>
          <w:szCs w:val="20"/>
        </w:rPr>
        <w:t>Opis Przedmiotu Zamówienia</w:t>
      </w:r>
    </w:p>
    <w:p w14:paraId="0F6959B2" w14:textId="77777777" w:rsidR="00D95742" w:rsidRPr="006A6501" w:rsidRDefault="00D95742" w:rsidP="00730C4D">
      <w:pPr>
        <w:spacing w:before="240" w:after="120" w:line="259" w:lineRule="auto"/>
        <w:rPr>
          <w:rFonts w:ascii="Arial" w:hAnsi="Arial" w:cs="Arial"/>
          <w:b/>
          <w:sz w:val="20"/>
          <w:szCs w:val="20"/>
        </w:rPr>
      </w:pPr>
    </w:p>
    <w:p w14:paraId="7198F5AB" w14:textId="67A711F9" w:rsidR="004F75A7" w:rsidRPr="006A6501" w:rsidRDefault="00622966" w:rsidP="00730C4D">
      <w:pPr>
        <w:spacing w:before="240" w:after="120" w:line="259" w:lineRule="auto"/>
        <w:rPr>
          <w:rFonts w:ascii="Arial" w:hAnsi="Arial" w:cs="Arial"/>
          <w:b/>
          <w:sz w:val="20"/>
          <w:szCs w:val="20"/>
        </w:rPr>
      </w:pPr>
      <w:r w:rsidRPr="006A6501">
        <w:rPr>
          <w:rFonts w:ascii="Arial" w:hAnsi="Arial" w:cs="Arial"/>
          <w:b/>
          <w:sz w:val="20"/>
          <w:szCs w:val="20"/>
        </w:rPr>
        <w:t xml:space="preserve">I </w:t>
      </w:r>
      <w:r w:rsidR="004F75A7" w:rsidRPr="006A6501">
        <w:rPr>
          <w:rFonts w:ascii="Arial" w:hAnsi="Arial" w:cs="Arial"/>
          <w:b/>
          <w:sz w:val="20"/>
          <w:szCs w:val="20"/>
        </w:rPr>
        <w:t>. PRZEDMIOT ZAMÓWIENIA</w:t>
      </w:r>
    </w:p>
    <w:p w14:paraId="7DEC8D03" w14:textId="5548CAD9" w:rsidR="00622966" w:rsidRPr="006A6501" w:rsidRDefault="006A6501" w:rsidP="00730C4D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6A6501">
        <w:rPr>
          <w:rFonts w:ascii="Arial" w:hAnsi="Arial" w:cs="Arial"/>
          <w:sz w:val="20"/>
          <w:szCs w:val="20"/>
        </w:rPr>
        <w:t xml:space="preserve">Przedmiotem zamówienia jest </w:t>
      </w:r>
      <w:bookmarkStart w:id="0" w:name="_Hlk186200997"/>
      <w:r w:rsidRPr="006A6501">
        <w:rPr>
          <w:rFonts w:ascii="Arial" w:hAnsi="Arial" w:cs="Arial"/>
          <w:sz w:val="20"/>
          <w:szCs w:val="20"/>
        </w:rPr>
        <w:t>dostawa i wdrożenie infrastruktury serwerowej typu „blade”</w:t>
      </w:r>
      <w:bookmarkEnd w:id="0"/>
      <w:r w:rsidRPr="006A6501">
        <w:rPr>
          <w:rFonts w:ascii="Arial" w:hAnsi="Arial" w:cs="Arial"/>
          <w:sz w:val="20"/>
          <w:szCs w:val="20"/>
        </w:rPr>
        <w:t xml:space="preserve">, a także udzielenie gwarancji jakości i wsparcia technicznego na oferowane rozwiązanie, w szczególności: </w:t>
      </w:r>
    </w:p>
    <w:p w14:paraId="27BE017D" w14:textId="77777777" w:rsidR="006A6501" w:rsidRPr="006A6501" w:rsidRDefault="006A6501" w:rsidP="006A6501">
      <w:pPr>
        <w:numPr>
          <w:ilvl w:val="0"/>
          <w:numId w:val="35"/>
        </w:num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6A6501">
        <w:rPr>
          <w:rFonts w:ascii="Arial" w:hAnsi="Arial" w:cs="Arial"/>
          <w:sz w:val="20"/>
          <w:szCs w:val="20"/>
        </w:rPr>
        <w:t>dostawę nowej obudowy typu „blade” oraz czterech serwerów kasetowych wraz z systemem do zarządzania;</w:t>
      </w:r>
    </w:p>
    <w:p w14:paraId="3F4BE609" w14:textId="552DCB44" w:rsidR="006A6501" w:rsidRPr="006A6501" w:rsidRDefault="006A6501" w:rsidP="006A6501">
      <w:pPr>
        <w:numPr>
          <w:ilvl w:val="0"/>
          <w:numId w:val="35"/>
        </w:num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6A6501">
        <w:rPr>
          <w:rFonts w:ascii="Arial" w:hAnsi="Arial" w:cs="Arial"/>
          <w:sz w:val="20"/>
          <w:szCs w:val="20"/>
        </w:rPr>
        <w:t>dostawę wentylatorów</w:t>
      </w:r>
      <w:r w:rsidR="00C006D5">
        <w:rPr>
          <w:rFonts w:ascii="Arial" w:hAnsi="Arial" w:cs="Arial"/>
          <w:sz w:val="20"/>
          <w:szCs w:val="20"/>
        </w:rPr>
        <w:t xml:space="preserve"> (modułów chłodzących)</w:t>
      </w:r>
      <w:r w:rsidRPr="006A6501">
        <w:rPr>
          <w:rFonts w:ascii="Arial" w:hAnsi="Arial" w:cs="Arial"/>
          <w:sz w:val="20"/>
          <w:szCs w:val="20"/>
        </w:rPr>
        <w:t xml:space="preserve"> do posiadanej już obudowy HPE Synergy12000 pozwalających na instalację najnowszych serwerów z procesorami Intel Gen4 i Gen5 (serwery oznaczone Gen11)</w:t>
      </w:r>
      <w:r w:rsidR="003F6C75">
        <w:rPr>
          <w:rFonts w:ascii="Arial" w:hAnsi="Arial" w:cs="Arial"/>
          <w:sz w:val="20"/>
          <w:szCs w:val="20"/>
        </w:rPr>
        <w:t>;</w:t>
      </w:r>
    </w:p>
    <w:p w14:paraId="5DC4C800" w14:textId="77777777" w:rsidR="006A6501" w:rsidRPr="006A6501" w:rsidRDefault="006A6501" w:rsidP="006A6501">
      <w:pPr>
        <w:numPr>
          <w:ilvl w:val="0"/>
          <w:numId w:val="35"/>
        </w:num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r w:rsidRPr="006A6501">
        <w:rPr>
          <w:rFonts w:ascii="Arial" w:hAnsi="Arial" w:cs="Arial"/>
          <w:sz w:val="20"/>
          <w:szCs w:val="20"/>
        </w:rPr>
        <w:t>instalację, wdrożenie i konfigurację Sprzętu w infrastrukturze Zamawiającego</w:t>
      </w:r>
      <w:bookmarkEnd w:id="1"/>
      <w:r w:rsidRPr="006A6501">
        <w:rPr>
          <w:rFonts w:ascii="Arial" w:hAnsi="Arial" w:cs="Arial"/>
          <w:sz w:val="20"/>
          <w:szCs w:val="20"/>
        </w:rPr>
        <w:t>;</w:t>
      </w:r>
    </w:p>
    <w:p w14:paraId="613994F2" w14:textId="074DF7F3" w:rsidR="006A6501" w:rsidRPr="006A6501" w:rsidRDefault="006A6501" w:rsidP="006A6501">
      <w:pPr>
        <w:numPr>
          <w:ilvl w:val="0"/>
          <w:numId w:val="35"/>
        </w:num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6A6501">
        <w:rPr>
          <w:rFonts w:ascii="Arial" w:hAnsi="Arial" w:cs="Arial"/>
          <w:sz w:val="20"/>
          <w:szCs w:val="20"/>
        </w:rPr>
        <w:t>udzielenie praw autorskich i licencji</w:t>
      </w:r>
      <w:r w:rsidR="00C006D5">
        <w:rPr>
          <w:rFonts w:ascii="Arial" w:hAnsi="Arial" w:cs="Arial"/>
          <w:sz w:val="20"/>
          <w:szCs w:val="20"/>
        </w:rPr>
        <w:t xml:space="preserve"> </w:t>
      </w:r>
      <w:r w:rsidR="00C006D5" w:rsidRPr="006A6501">
        <w:rPr>
          <w:rFonts w:ascii="Arial" w:hAnsi="Arial" w:cs="Arial"/>
          <w:sz w:val="20"/>
          <w:szCs w:val="20"/>
        </w:rPr>
        <w:t>dla wdrożonego rozwiązania</w:t>
      </w:r>
      <w:r w:rsidRPr="006A6501">
        <w:rPr>
          <w:rFonts w:ascii="Arial" w:hAnsi="Arial" w:cs="Arial"/>
          <w:sz w:val="20"/>
          <w:szCs w:val="20"/>
        </w:rPr>
        <w:t>;</w:t>
      </w:r>
    </w:p>
    <w:p w14:paraId="7913E5CC" w14:textId="47684C8F" w:rsidR="006A6501" w:rsidRPr="006A6501" w:rsidRDefault="006A6501" w:rsidP="00C006D5">
      <w:pPr>
        <w:numPr>
          <w:ilvl w:val="0"/>
          <w:numId w:val="35"/>
        </w:num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6A6501">
        <w:rPr>
          <w:rFonts w:ascii="Arial" w:hAnsi="Arial" w:cs="Arial"/>
          <w:sz w:val="20"/>
          <w:szCs w:val="20"/>
        </w:rPr>
        <w:t>udzielenie gwarancji jakości</w:t>
      </w:r>
      <w:r w:rsidR="00C006D5">
        <w:rPr>
          <w:rFonts w:ascii="Arial" w:hAnsi="Arial" w:cs="Arial"/>
          <w:sz w:val="20"/>
          <w:szCs w:val="20"/>
        </w:rPr>
        <w:t xml:space="preserve"> </w:t>
      </w:r>
      <w:r w:rsidR="00C006D5" w:rsidRPr="006A6501">
        <w:rPr>
          <w:rFonts w:ascii="Arial" w:hAnsi="Arial" w:cs="Arial"/>
          <w:sz w:val="20"/>
          <w:szCs w:val="20"/>
        </w:rPr>
        <w:t>dla wdrożonego rozwiązania</w:t>
      </w:r>
      <w:r w:rsidRPr="006A6501">
        <w:rPr>
          <w:rFonts w:ascii="Arial" w:hAnsi="Arial" w:cs="Arial"/>
          <w:sz w:val="20"/>
          <w:szCs w:val="20"/>
        </w:rPr>
        <w:t>;</w:t>
      </w:r>
    </w:p>
    <w:p w14:paraId="0B63B3CE" w14:textId="77777777" w:rsidR="006A6501" w:rsidRPr="006A6501" w:rsidRDefault="006A6501" w:rsidP="00C006D5">
      <w:pPr>
        <w:numPr>
          <w:ilvl w:val="0"/>
          <w:numId w:val="35"/>
        </w:num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6A6501">
        <w:rPr>
          <w:rFonts w:ascii="Arial" w:hAnsi="Arial" w:cs="Arial"/>
          <w:sz w:val="20"/>
          <w:szCs w:val="20"/>
        </w:rPr>
        <w:t>świadczenie usługi wsparcia technicznego dla wdrożonego rozwiązania.</w:t>
      </w:r>
    </w:p>
    <w:p w14:paraId="5B318410" w14:textId="77777777" w:rsidR="006A6501" w:rsidRPr="006A6501" w:rsidRDefault="006A6501" w:rsidP="00730C4D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</w:p>
    <w:p w14:paraId="39994669" w14:textId="3C7D2FFA" w:rsidR="00A01167" w:rsidRPr="006A6501" w:rsidRDefault="00622966" w:rsidP="00730C4D">
      <w:pPr>
        <w:spacing w:after="12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A6501">
        <w:rPr>
          <w:rFonts w:ascii="Arial" w:hAnsi="Arial" w:cs="Arial"/>
          <w:b/>
          <w:sz w:val="20"/>
          <w:szCs w:val="20"/>
        </w:rPr>
        <w:t>II. WYMAGANIA</w:t>
      </w:r>
      <w:r w:rsidRPr="006A6501">
        <w:rPr>
          <w:rFonts w:ascii="Arial" w:hAnsi="Arial" w:cs="Arial"/>
          <w:b/>
          <w:bCs/>
          <w:sz w:val="20"/>
          <w:szCs w:val="20"/>
        </w:rPr>
        <w:t xml:space="preserve"> I DANE TECHNICZNE W ZAKRESIE ZAMÓWIENIA</w:t>
      </w:r>
    </w:p>
    <w:p w14:paraId="72F0C79F" w14:textId="545A1348" w:rsidR="006A6501" w:rsidRPr="006A6501" w:rsidRDefault="006A6501" w:rsidP="006A6501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6A6501">
        <w:rPr>
          <w:rFonts w:ascii="Arial" w:hAnsi="Arial" w:cs="Arial"/>
          <w:b/>
          <w:sz w:val="20"/>
          <w:szCs w:val="20"/>
        </w:rPr>
        <w:t xml:space="preserve">1. Infrastruktura serwerowo-sieciowa 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09"/>
        <w:gridCol w:w="7681"/>
      </w:tblGrid>
      <w:tr w:rsidR="006A6501" w:rsidRPr="006A6501" w14:paraId="4581587E" w14:textId="77777777" w:rsidTr="00D97221">
        <w:trPr>
          <w:trHeight w:val="439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A27214A" w14:textId="77777777" w:rsidR="006A6501" w:rsidRPr="006A6501" w:rsidRDefault="006A6501" w:rsidP="00B96A8F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A34D78A" w14:textId="77777777" w:rsidR="006A6501" w:rsidRPr="006A6501" w:rsidRDefault="006A6501" w:rsidP="00B96A8F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Element konfiguracji</w:t>
            </w:r>
          </w:p>
        </w:tc>
        <w:tc>
          <w:tcPr>
            <w:tcW w:w="7229" w:type="dxa"/>
            <w:shd w:val="clear" w:color="auto" w:fill="BFBFBF"/>
            <w:vAlign w:val="center"/>
          </w:tcPr>
          <w:p w14:paraId="083DCA2A" w14:textId="77777777" w:rsidR="006A6501" w:rsidRPr="006A6501" w:rsidRDefault="006A6501" w:rsidP="00B96A8F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Wymagane parametry minimalne</w:t>
            </w:r>
          </w:p>
        </w:tc>
      </w:tr>
      <w:tr w:rsidR="006A6501" w:rsidRPr="006A6501" w14:paraId="3B787CE6" w14:textId="77777777" w:rsidTr="00D97221">
        <w:tc>
          <w:tcPr>
            <w:tcW w:w="562" w:type="dxa"/>
            <w:vAlign w:val="center"/>
          </w:tcPr>
          <w:p w14:paraId="0E2CAC33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0" w:after="120" w:line="276" w:lineRule="auto"/>
              <w:contextualSpacing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62D6CC82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color w:val="000000"/>
                <w:sz w:val="20"/>
                <w:szCs w:val="20"/>
              </w:rPr>
              <w:t>Typ infrastruktury</w:t>
            </w:r>
          </w:p>
        </w:tc>
        <w:tc>
          <w:tcPr>
            <w:tcW w:w="7229" w:type="dxa"/>
          </w:tcPr>
          <w:p w14:paraId="657088F7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Przystosowana do montażu w szafie typu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19”, składająca się z jednej lub parzystej liczby obudów, umożliwiająca instalację minimum 12 serwerów kasetowych dwuprocesorowych z procesorami Intel Xeon Scalable bez konieczności rozbudowy o kolejne elementy sprzętowe. Pojedyncza obudowa na serwery kasetowe w infrastrukturze zajmująca w szafie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19” nie więcej niż 10U. </w:t>
            </w:r>
          </w:p>
          <w:p w14:paraId="29436198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Infrastruktura obsługująca pasmo 100GbE oraz 32Gb FC (nie wymagana licencja).</w:t>
            </w:r>
          </w:p>
          <w:p w14:paraId="1903D359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Każda pojedyncza obudowa na serwery kasetowe w identycznej konfiguracji.</w:t>
            </w:r>
          </w:p>
          <w:p w14:paraId="42CFA99D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Każda pojedyncza obudowa na serwery kasetowe stanowiąca niezależną jednostkę pod względem zarządzania i modułów komunikacyjnych LAN i SAN, które nie mogą być współdzielone pomiędzy obudowami.</w:t>
            </w:r>
          </w:p>
          <w:p w14:paraId="33AAD34A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Infrastruktura składająca się z obudowy/obudów z funkcjonalnością instalacji 12 serwerów: każdy serwer z 2 procesorami (każdy procesor o mocy min.  300W) i z pełną obsadą pamięci.</w:t>
            </w:r>
          </w:p>
        </w:tc>
      </w:tr>
      <w:tr w:rsidR="006A6501" w:rsidRPr="006A6501" w14:paraId="46BF1E66" w14:textId="77777777" w:rsidTr="00D97221">
        <w:tc>
          <w:tcPr>
            <w:tcW w:w="562" w:type="dxa"/>
            <w:vAlign w:val="center"/>
          </w:tcPr>
          <w:p w14:paraId="185C542E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0" w:after="120" w:line="276" w:lineRule="auto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9162D46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Moduły komunikacyjne LAN</w:t>
            </w:r>
          </w:p>
        </w:tc>
        <w:tc>
          <w:tcPr>
            <w:tcW w:w="7229" w:type="dxa"/>
            <w:shd w:val="clear" w:color="auto" w:fill="auto"/>
          </w:tcPr>
          <w:p w14:paraId="52D3919F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Każda obudowa wchodząca w skład infrastruktury wyposażona w minimum dwa niezależne moduły komunikacyjne 100GbE. </w:t>
            </w:r>
          </w:p>
          <w:p w14:paraId="19866DA3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Urządzenia umożliwiające agregację połączeń LAN/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FCoE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w infrastrukturze i umożliwiające wyprowadzenie sygnałów LAN/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FCoE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ze wszystkich serwerów z zachowaniem redundancji połączeń. </w:t>
            </w:r>
          </w:p>
          <w:p w14:paraId="5528B6C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Awaria dowolnego z zainstalowanych modułów nie może powodować utraty komunikacji dla żadnego z serwerów z siecią LAN. </w:t>
            </w:r>
          </w:p>
          <w:p w14:paraId="15F87205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Każdy moduł posiadający ilość portów do serwerów (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downlink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) odpowiadającą ilości możliwych do zamontowania w pojedynczej obudowie serwerów. </w:t>
            </w:r>
          </w:p>
          <w:p w14:paraId="773AE41C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Porty wewnętrzne o sumarycznym pasmie min.400Gb. Każdy z modułów z min. 6 portami zewnętrznymi (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uplink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) o sumarycznym pasmie min. 600Gb. </w:t>
            </w:r>
          </w:p>
          <w:p w14:paraId="294DEC27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lastRenderedPageBreak/>
              <w:t>Możliwość wyprowadzenia na zewnątrz portów obsługujących sieci 10GbE.</w:t>
            </w:r>
          </w:p>
          <w:p w14:paraId="2D694FE3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Wszystkie porty w każdym module aktywne. </w:t>
            </w:r>
          </w:p>
          <w:p w14:paraId="3C2A8863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 każdym module 6 portów zewnętrznych wyposażonych w wkładki SFP+ 10Gb SR (6 przejściówek QSFP na SFP+ i 6 wkładek SFP+10Gb)</w:t>
            </w:r>
          </w:p>
        </w:tc>
      </w:tr>
      <w:tr w:rsidR="006A6501" w:rsidRPr="006A6501" w14:paraId="48186577" w14:textId="77777777" w:rsidTr="00D97221">
        <w:tc>
          <w:tcPr>
            <w:tcW w:w="562" w:type="dxa"/>
            <w:vAlign w:val="center"/>
          </w:tcPr>
          <w:p w14:paraId="2CFE0021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0" w:after="120" w:line="276" w:lineRule="auto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2757B9FF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Dodatkowa funkcjonalność modułów LAN/FC</w:t>
            </w:r>
          </w:p>
        </w:tc>
        <w:tc>
          <w:tcPr>
            <w:tcW w:w="7229" w:type="dxa"/>
          </w:tcPr>
          <w:p w14:paraId="6B873477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Zainstalowane moduły komunikacyjne LAN i FC w każdej obudowie z funkcjonalnością przydzielania adresów MAC i WWN predefiniowanych przez producenta rozwiązania kasetowego dla poszczególnych wnęk na serwery. </w:t>
            </w:r>
          </w:p>
          <w:p w14:paraId="3CF4A85A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Przydzielenie adresów powodujące zastąpienie fizycznych adresów kart LAN/FC na serwerze. </w:t>
            </w:r>
          </w:p>
          <w:p w14:paraId="10EB468F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Funkcjonalność przenoszenia przydzielonych adresów pomiędzy wnękami w obudowie. </w:t>
            </w:r>
          </w:p>
          <w:p w14:paraId="2CFEA8D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Dla sieci LAN funkcjonalność stworzenia niezależnych połączeń VLAN tak, aby między wydzielonymi sieciami nie było komunikacji. </w:t>
            </w:r>
          </w:p>
          <w:p w14:paraId="409F8E6E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Funkcjonalność określenia pasma przepustowości pojedynczego portu LAN na serwerze. </w:t>
            </w:r>
          </w:p>
          <w:p w14:paraId="4427DB6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Każdy moduł pozwalający na podział fizycznego portu w serwerze na min. 4 niezależne interfejsy logiczne z regulowaną szerokością pasma i oddzielnymi adresami MAC.</w:t>
            </w:r>
          </w:p>
        </w:tc>
      </w:tr>
      <w:tr w:rsidR="006A6501" w:rsidRPr="006A6501" w14:paraId="44598733" w14:textId="77777777" w:rsidTr="00D97221">
        <w:tc>
          <w:tcPr>
            <w:tcW w:w="562" w:type="dxa"/>
            <w:vAlign w:val="center"/>
          </w:tcPr>
          <w:p w14:paraId="6AF973C6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0" w:after="120" w:line="276" w:lineRule="auto"/>
              <w:contextualSpacing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7EDB6232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color w:val="000000"/>
                <w:sz w:val="20"/>
                <w:szCs w:val="20"/>
              </w:rPr>
              <w:t>Chłodzenie</w:t>
            </w:r>
          </w:p>
        </w:tc>
        <w:tc>
          <w:tcPr>
            <w:tcW w:w="7229" w:type="dxa"/>
          </w:tcPr>
          <w:p w14:paraId="41530E5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Infrastruktura wyposażona w komplet redundantnych wentylatorów (typ hot plug, czyli możliwość wymiany podczas pracy urządzenia) zapewniających chłodzenie dla maksymalnej liczby serwerów i urządzeń I/O zainstalowanych w infrastrukturze.</w:t>
            </w:r>
          </w:p>
          <w:p w14:paraId="2A59713A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Wentylatory niezależne od zasilaczy, wymiana wentylatora (wentylatorów) nie może powodować konieczności wyjęcia zasilacza (zasilaczy).</w:t>
            </w:r>
          </w:p>
        </w:tc>
      </w:tr>
      <w:tr w:rsidR="006A6501" w:rsidRPr="006A6501" w14:paraId="48D84A82" w14:textId="77777777" w:rsidTr="00D97221">
        <w:tc>
          <w:tcPr>
            <w:tcW w:w="562" w:type="dxa"/>
            <w:vAlign w:val="center"/>
          </w:tcPr>
          <w:p w14:paraId="39A49428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0" w:after="120" w:line="276" w:lineRule="auto"/>
              <w:contextualSpacing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79D49A32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color w:val="000000"/>
                <w:sz w:val="20"/>
                <w:szCs w:val="20"/>
              </w:rPr>
              <w:t>Zasilanie</w:t>
            </w:r>
          </w:p>
        </w:tc>
        <w:tc>
          <w:tcPr>
            <w:tcW w:w="7229" w:type="dxa"/>
          </w:tcPr>
          <w:p w14:paraId="6C2C5DEF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Infrastruktura wyposażona w komplet zasilaczy redundantnych typu Hot Plug. </w:t>
            </w:r>
          </w:p>
          <w:p w14:paraId="7D1C77B5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System zasilania musi pracować w trybie redundancji N+N lub N+1, wymagane ciągłe dostarczenie mocy niezbędnej do zasilenia maksymalnej liczby serwerów i urządzeń I/O zainstalowanych w obudowie.  </w:t>
            </w:r>
          </w:p>
          <w:p w14:paraId="48294B85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Procesory serwerów winny pracować z nominalną, maksymalną częstotliwością.</w:t>
            </w:r>
          </w:p>
          <w:p w14:paraId="7343156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Infrastruktura przystosowana do zasilania jednofazowego. </w:t>
            </w:r>
          </w:p>
          <w:p w14:paraId="6F9882A1" w14:textId="77777777" w:rsidR="006A6501" w:rsidRPr="006A6501" w:rsidRDefault="006A6501" w:rsidP="00D97221">
            <w:pPr>
              <w:pStyle w:val="Default"/>
              <w:spacing w:after="120" w:line="276" w:lineRule="auto"/>
              <w:rPr>
                <w:sz w:val="20"/>
                <w:szCs w:val="20"/>
              </w:rPr>
            </w:pPr>
            <w:r w:rsidRPr="006A6501">
              <w:rPr>
                <w:sz w:val="20"/>
                <w:szCs w:val="20"/>
              </w:rPr>
              <w:t xml:space="preserve">Wymagana jest instalacja minimum 2 szt. PDU w szafach </w:t>
            </w:r>
            <w:proofErr w:type="spellStart"/>
            <w:r w:rsidRPr="006A6501">
              <w:rPr>
                <w:sz w:val="20"/>
                <w:szCs w:val="20"/>
              </w:rPr>
              <w:t>rack</w:t>
            </w:r>
            <w:proofErr w:type="spellEnd"/>
            <w:r w:rsidRPr="006A6501">
              <w:rPr>
                <w:sz w:val="20"/>
                <w:szCs w:val="20"/>
              </w:rPr>
              <w:t xml:space="preserve"> Zamawiającego, dostarczone PDU muszą być kompletne i gotowe do pracy. </w:t>
            </w:r>
          </w:p>
        </w:tc>
      </w:tr>
      <w:tr w:rsidR="006A6501" w:rsidRPr="006A6501" w14:paraId="2B7CD513" w14:textId="77777777" w:rsidTr="00D97221">
        <w:tc>
          <w:tcPr>
            <w:tcW w:w="562" w:type="dxa"/>
            <w:vAlign w:val="center"/>
          </w:tcPr>
          <w:p w14:paraId="2CAF25FC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0" w:after="120" w:line="276" w:lineRule="auto"/>
              <w:contextualSpacing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5650F655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color w:val="000000"/>
                <w:sz w:val="20"/>
                <w:szCs w:val="20"/>
              </w:rPr>
              <w:t>Moduły zarządzające</w:t>
            </w:r>
          </w:p>
        </w:tc>
        <w:tc>
          <w:tcPr>
            <w:tcW w:w="7229" w:type="dxa"/>
          </w:tcPr>
          <w:p w14:paraId="7B070726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Dwa redundantne, sprzętowe moduły zarządzające, moduły typu Hot Plug.</w:t>
            </w:r>
          </w:p>
          <w:p w14:paraId="57AA28B3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Zintegrowany w modułach lub w obudowie, moduł KVM lub rozwiązanie równoważne, umożliwiające podłączenie klawiatury, myszy i monitora.</w:t>
            </w:r>
          </w:p>
          <w:p w14:paraId="35E84A72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Do każdej obudowy należy dostarczyć dedykowany, niezależny system zarządzania opisany w Tabeli 2.</w:t>
            </w:r>
          </w:p>
        </w:tc>
      </w:tr>
      <w:tr w:rsidR="006A6501" w:rsidRPr="006A6501" w14:paraId="0C1733A9" w14:textId="77777777" w:rsidTr="00D972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15B0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0" w:after="120" w:line="276" w:lineRule="auto"/>
              <w:contextualSpacing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EE5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color w:val="000000"/>
                <w:sz w:val="20"/>
                <w:szCs w:val="20"/>
              </w:rPr>
              <w:t>Wnęki na moduły komunikacyjne/ połączeniowe.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436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Możliwość zainstalowania w pojedynczej obudowie sumarycznie min. 6 modułów połączeniowych (modułów komunikacyjnych), niezależnie od modułów zarządzających i systemu zarządzania.</w:t>
            </w:r>
          </w:p>
        </w:tc>
      </w:tr>
      <w:tr w:rsidR="006A6501" w:rsidRPr="006A6501" w14:paraId="75FF4C37" w14:textId="77777777" w:rsidTr="00D972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E47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0" w:after="120" w:line="276" w:lineRule="auto"/>
              <w:contextualSpacing/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F95C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2A17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Oferowana infrastruktura serwerowo-sieciowa musi być fabrycznie nowa, wyprodukowana nie wcześniej niż 12 miesięcy przed datą dostarczenia do Zamawiającego i pochodzić z oficjalnego kanału dystrybucyjnego producenta na rynek polski. </w:t>
            </w:r>
          </w:p>
          <w:p w14:paraId="17D7B53C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lastRenderedPageBreak/>
              <w:t>Zamawiający zastrzega sobie, aby Wykonawca na żądanie Zamawiającego przedłożył oświadczenie producenta oferowanego sprzętu, w języku polskim, potwierdzające pochodzenie sprzętu z autoryzowanego kanału sprzedaży z Polski.</w:t>
            </w:r>
          </w:p>
          <w:p w14:paraId="49508275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Infrastruktura musi być kompatybilna z posiadanym już rozwiązaniem HPE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Synergy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12000, pozwalająca na przenoszenie/montaż/uruchomienie serwerów pomiędzy lokalizacjami Zamawiającego.</w:t>
            </w:r>
          </w:p>
          <w:p w14:paraId="30A99D2B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501" w:rsidRPr="006A6501" w14:paraId="4F3F639D" w14:textId="77777777" w:rsidTr="00D972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2C3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0" w:after="120" w:line="276" w:lineRule="auto"/>
              <w:contextualSpacing/>
              <w:jc w:val="lef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7B8C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Wsparcie techniczne / Gwarancja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B99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Dostarczona infrastruktura serwerowo-sieciowa  wraz z usługą instalacji i uruchomienia.</w:t>
            </w:r>
          </w:p>
          <w:p w14:paraId="31673298" w14:textId="16304D88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Wszystkie dostarczone urządzenia i oprogramowanie zarządzające muszą być objęte gwarancją </w:t>
            </w:r>
            <w:r w:rsidR="00A27499" w:rsidRPr="006A6501">
              <w:rPr>
                <w:rFonts w:ascii="Arial" w:hAnsi="Arial" w:cs="Arial"/>
                <w:sz w:val="20"/>
                <w:szCs w:val="20"/>
              </w:rPr>
              <w:t xml:space="preserve">(zgodnie z ofertą </w:t>
            </w:r>
            <w:r w:rsidR="00A27499">
              <w:rPr>
                <w:rFonts w:ascii="Arial" w:hAnsi="Arial" w:cs="Arial"/>
                <w:sz w:val="20"/>
                <w:szCs w:val="20"/>
              </w:rPr>
              <w:t>W</w:t>
            </w:r>
            <w:r w:rsidR="00A27499" w:rsidRPr="006A6501">
              <w:rPr>
                <w:rFonts w:ascii="Arial" w:hAnsi="Arial" w:cs="Arial"/>
                <w:sz w:val="20"/>
                <w:szCs w:val="20"/>
              </w:rPr>
              <w:t>ykonawcy</w:t>
            </w:r>
            <w:r w:rsidR="00A2749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6501">
              <w:rPr>
                <w:rFonts w:ascii="Arial" w:hAnsi="Arial" w:cs="Arial"/>
                <w:sz w:val="20"/>
                <w:szCs w:val="20"/>
              </w:rPr>
              <w:t>oraz wsparciem producenta z możliwością zgłaszania problemów w trybie 24x7, obsługa zgłoszeń w trybie 9x5, czas reakcji w ciągu następnego dnia roboczego (NBD) od zgłoszenia. W przypadku wymiany, wymieniane dyski pozostają u Zamawiającego.</w:t>
            </w:r>
          </w:p>
          <w:p w14:paraId="5F0CCE47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Wymagana jest obsługa zgłoszeń serwisowych/gwarancyjnych dotyczących sprzętu i oprogramowania w języku polskim.</w:t>
            </w:r>
          </w:p>
          <w:p w14:paraId="09526A90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Gwarancja na sprzęt musi być dostarczona i realizowana przez organizację serwisową producenta sprzętu lub autoryzowanego partnera serwisowego producenta. </w:t>
            </w:r>
          </w:p>
          <w:p w14:paraId="39CED7F3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Całość zaoferowanego sprzętu i oprogramowania musi pochodzić od jednego producenta.</w:t>
            </w:r>
          </w:p>
        </w:tc>
      </w:tr>
    </w:tbl>
    <w:p w14:paraId="4DDD4BCF" w14:textId="77777777" w:rsidR="006A6501" w:rsidRPr="006A6501" w:rsidRDefault="006A6501" w:rsidP="006A6501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3DB232DE" w14:textId="14659CD0" w:rsidR="006A6501" w:rsidRPr="006A6501" w:rsidRDefault="006A6501" w:rsidP="006A6501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6A6501">
        <w:rPr>
          <w:rFonts w:ascii="Arial" w:hAnsi="Arial" w:cs="Arial"/>
          <w:b/>
          <w:sz w:val="20"/>
          <w:szCs w:val="20"/>
        </w:rPr>
        <w:t>2. System do zarządzania infrastruktury serwerowo- sieciowej</w:t>
      </w:r>
      <w:r w:rsidR="006F0E53">
        <w:rPr>
          <w:rFonts w:ascii="Arial" w:hAnsi="Arial" w:cs="Arial"/>
          <w:b/>
          <w:sz w:val="20"/>
          <w:szCs w:val="20"/>
        </w:rPr>
        <w:t xml:space="preserve">. 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09"/>
        <w:gridCol w:w="7683"/>
      </w:tblGrid>
      <w:tr w:rsidR="006A6501" w:rsidRPr="006A6501" w14:paraId="11C19B51" w14:textId="77777777" w:rsidTr="00D97221">
        <w:trPr>
          <w:trHeight w:val="439"/>
        </w:trPr>
        <w:tc>
          <w:tcPr>
            <w:tcW w:w="562" w:type="dxa"/>
            <w:shd w:val="clear" w:color="auto" w:fill="BFBFBF" w:themeFill="background1" w:themeFillShade="BF"/>
          </w:tcPr>
          <w:p w14:paraId="78565359" w14:textId="77777777" w:rsidR="006A6501" w:rsidRPr="006A6501" w:rsidRDefault="006A6501" w:rsidP="00A67E7A">
            <w:pPr>
              <w:autoSpaceDE w:val="0"/>
              <w:autoSpaceDN w:val="0"/>
              <w:adjustRightInd w:val="0"/>
              <w:spacing w:line="276" w:lineRule="auto"/>
              <w:ind w:right="-1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2C88255" w14:textId="77777777" w:rsidR="006A6501" w:rsidRPr="006A6501" w:rsidRDefault="006A6501" w:rsidP="00A67E7A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Element konfiguracji</w:t>
            </w:r>
          </w:p>
        </w:tc>
        <w:tc>
          <w:tcPr>
            <w:tcW w:w="7231" w:type="dxa"/>
            <w:shd w:val="clear" w:color="auto" w:fill="BFBFBF"/>
            <w:vAlign w:val="center"/>
          </w:tcPr>
          <w:p w14:paraId="013CBA3E" w14:textId="77777777" w:rsidR="006A6501" w:rsidRPr="006A6501" w:rsidRDefault="006A6501" w:rsidP="00A67E7A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Wymagane parametry minimalne</w:t>
            </w:r>
          </w:p>
        </w:tc>
      </w:tr>
      <w:tr w:rsidR="006A6501" w:rsidRPr="006A6501" w14:paraId="4DC26A9C" w14:textId="77777777" w:rsidTr="00D97221">
        <w:trPr>
          <w:trHeight w:val="1349"/>
        </w:trPr>
        <w:tc>
          <w:tcPr>
            <w:tcW w:w="562" w:type="dxa"/>
            <w:vAlign w:val="center"/>
          </w:tcPr>
          <w:p w14:paraId="4B702E25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29A71DDE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Zarządzanie</w:t>
            </w:r>
          </w:p>
        </w:tc>
        <w:tc>
          <w:tcPr>
            <w:tcW w:w="7231" w:type="dxa"/>
          </w:tcPr>
          <w:p w14:paraId="0B319655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Zarządzanie w oparciu o jednolite oprogramowanie, czyli z jednego panelu o jednym adresie IP.</w:t>
            </w:r>
          </w:p>
          <w:p w14:paraId="0860F5B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Oprogramowanie musi w sposób graficzny wizualizować stan poszczególnych elementów infrastruktury (stan normalnej pracy, ostrzeżenia, awarie). </w:t>
            </w:r>
          </w:p>
          <w:p w14:paraId="0ABE9E0F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Musi istnieć możliwość modyfikacji panelu głównego aplikacji poprzez zmianę kategorii systemów, dla których prezentowany jest stan zdrowia/status. Na przykład musi istnieć możliwość zawężenia prezentacji stanu zdrowia tylko do serwerów kasetowych.</w:t>
            </w:r>
          </w:p>
        </w:tc>
      </w:tr>
      <w:tr w:rsidR="006A6501" w:rsidRPr="006A6501" w14:paraId="7C8ADAE5" w14:textId="77777777" w:rsidTr="00D97221">
        <w:tc>
          <w:tcPr>
            <w:tcW w:w="562" w:type="dxa"/>
            <w:vAlign w:val="center"/>
          </w:tcPr>
          <w:p w14:paraId="3680AF40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01CFF628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Serwery zarządzające</w:t>
            </w:r>
          </w:p>
        </w:tc>
        <w:tc>
          <w:tcPr>
            <w:tcW w:w="7231" w:type="dxa"/>
          </w:tcPr>
          <w:p w14:paraId="22231016" w14:textId="77777777" w:rsidR="006A6501" w:rsidRPr="006A6501" w:rsidRDefault="006A6501" w:rsidP="00D97221">
            <w:pPr>
              <w:pStyle w:val="ListParagraph"/>
              <w:spacing w:after="120" w:line="276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Dwa serwery/moduły zarządzające. </w:t>
            </w:r>
          </w:p>
          <w:p w14:paraId="362CCE46" w14:textId="77777777" w:rsidR="006A6501" w:rsidRPr="006A6501" w:rsidRDefault="006A6501" w:rsidP="00D97221">
            <w:pPr>
              <w:pStyle w:val="ListParagraph"/>
              <w:spacing w:after="120" w:line="276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Oprogramowanie zarządzające działające na tych serwerach musi pracować w trybie wysokiej dostępności HA (High </w:t>
            </w:r>
            <w:proofErr w:type="spellStart"/>
            <w:r w:rsidRPr="006A6501">
              <w:rPr>
                <w:rFonts w:ascii="Arial" w:eastAsia="Times New Roman" w:hAnsi="Arial" w:cs="Arial"/>
                <w:lang w:eastAsia="pl-PL"/>
              </w:rPr>
              <w:t>Availability</w:t>
            </w:r>
            <w:proofErr w:type="spellEnd"/>
            <w:r w:rsidRPr="006A6501">
              <w:rPr>
                <w:rFonts w:ascii="Arial" w:eastAsia="Times New Roman" w:hAnsi="Arial" w:cs="Arial"/>
                <w:lang w:eastAsia="pl-PL"/>
              </w:rPr>
              <w:t xml:space="preserve">). </w:t>
            </w:r>
          </w:p>
          <w:p w14:paraId="6FF21956" w14:textId="77777777" w:rsidR="006A6501" w:rsidRPr="006A6501" w:rsidRDefault="006A6501" w:rsidP="00D97221">
            <w:pPr>
              <w:pStyle w:val="ListParagraph"/>
              <w:spacing w:after="120" w:line="276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Zamawiający wymaga dostarczenia serwerów/modułów zarządzających, spełniających minimalne wymagania wydajnościowe podane przez producenta oprogramowania zarządzającego na publicznie dostępnych stronach. </w:t>
            </w:r>
          </w:p>
          <w:p w14:paraId="35C2E424" w14:textId="77777777" w:rsidR="006A6501" w:rsidRPr="006A6501" w:rsidRDefault="006A6501" w:rsidP="00D97221">
            <w:pPr>
              <w:pStyle w:val="ListParagraph"/>
              <w:spacing w:after="120" w:line="276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Wymagane wszystkie niezbędne licencje na systemy operacyjne i ewentualnie </w:t>
            </w:r>
            <w:proofErr w:type="spellStart"/>
            <w:r w:rsidRPr="006A6501">
              <w:rPr>
                <w:rFonts w:ascii="Arial" w:eastAsia="Times New Roman" w:hAnsi="Arial" w:cs="Arial"/>
                <w:lang w:eastAsia="pl-PL"/>
              </w:rPr>
              <w:t>wirtualizator</w:t>
            </w:r>
            <w:proofErr w:type="spellEnd"/>
            <w:r w:rsidRPr="006A6501">
              <w:rPr>
                <w:rFonts w:ascii="Arial" w:eastAsia="Times New Roman" w:hAnsi="Arial" w:cs="Arial"/>
                <w:lang w:eastAsia="pl-PL"/>
              </w:rPr>
              <w:t xml:space="preserve">, potrzebne do uruchomienia oprogramowania zarządzającego. </w:t>
            </w:r>
          </w:p>
          <w:p w14:paraId="10B70223" w14:textId="77777777" w:rsidR="006A6501" w:rsidRPr="006A6501" w:rsidRDefault="006A6501" w:rsidP="00D97221">
            <w:pPr>
              <w:pStyle w:val="ListParagraph"/>
              <w:spacing w:after="120" w:line="276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Jeżeli zapewnienie wysokiej dostępności dla systemu zarządzania wymaga dostarczenia współdzielonej macierzy, to taka macierz musi być częścią oferowanego rozwiązania. </w:t>
            </w:r>
          </w:p>
          <w:p w14:paraId="57D9B003" w14:textId="77777777" w:rsidR="006A6501" w:rsidRPr="006A6501" w:rsidRDefault="006A6501" w:rsidP="00D97221">
            <w:pPr>
              <w:pStyle w:val="ListParagraph"/>
              <w:spacing w:after="120" w:line="276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Serwery nie mogą zajmować wnęk przeznaczonych na serwery z tabeli 1. </w:t>
            </w:r>
          </w:p>
          <w:p w14:paraId="55423EE0" w14:textId="77777777" w:rsidR="006A6501" w:rsidRPr="006A6501" w:rsidRDefault="006A6501" w:rsidP="00D97221">
            <w:pPr>
              <w:pStyle w:val="ListParagraph"/>
              <w:spacing w:after="120" w:line="276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Dopuszcza się zaoferowanie systemu zarządzania w postaci wirtualnej maszyny. W </w:t>
            </w:r>
            <w:r w:rsidRPr="006A6501">
              <w:rPr>
                <w:rFonts w:ascii="Arial" w:eastAsia="Times New Roman" w:hAnsi="Arial" w:cs="Arial"/>
                <w:lang w:eastAsia="pl-PL"/>
              </w:rPr>
              <w:lastRenderedPageBreak/>
              <w:t xml:space="preserve">takim przypadku należy dostarczyć także serwery, na których uruchomiony zostanie klaster </w:t>
            </w:r>
            <w:proofErr w:type="spellStart"/>
            <w:r w:rsidRPr="006A6501">
              <w:rPr>
                <w:rFonts w:ascii="Arial" w:eastAsia="Times New Roman" w:hAnsi="Arial" w:cs="Arial"/>
                <w:lang w:eastAsia="pl-PL"/>
              </w:rPr>
              <w:t>VMware</w:t>
            </w:r>
            <w:proofErr w:type="spellEnd"/>
            <w:r w:rsidRPr="006A6501">
              <w:rPr>
                <w:rFonts w:ascii="Arial" w:eastAsia="Times New Roman" w:hAnsi="Arial" w:cs="Arial"/>
                <w:lang w:eastAsia="pl-PL"/>
              </w:rPr>
              <w:t xml:space="preserve"> z tą wirtualną maszyną. </w:t>
            </w:r>
          </w:p>
          <w:p w14:paraId="697304C5" w14:textId="77777777" w:rsidR="006A6501" w:rsidRPr="006A6501" w:rsidRDefault="006A6501" w:rsidP="00D97221">
            <w:pPr>
              <w:pStyle w:val="ListParagraph"/>
              <w:spacing w:after="120" w:line="276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>Należy zapewnić także zasoby dyskowe pozwalające uruchomić środowisko w trybie HA.</w:t>
            </w:r>
          </w:p>
        </w:tc>
      </w:tr>
      <w:tr w:rsidR="006A6501" w:rsidRPr="006A6501" w14:paraId="073A9535" w14:textId="77777777" w:rsidTr="00D97221">
        <w:tc>
          <w:tcPr>
            <w:tcW w:w="562" w:type="dxa"/>
          </w:tcPr>
          <w:p w14:paraId="75FC818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85" w:type="dxa"/>
            <w:vAlign w:val="center"/>
          </w:tcPr>
          <w:p w14:paraId="7301AEBE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Podstawowe funkcje zarządzania</w:t>
            </w:r>
          </w:p>
        </w:tc>
        <w:tc>
          <w:tcPr>
            <w:tcW w:w="7231" w:type="dxa"/>
          </w:tcPr>
          <w:p w14:paraId="2299B0BA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Zdalne włączanie/wyłączanie/restart niezależnie dla każdego serwera.</w:t>
            </w:r>
          </w:p>
          <w:p w14:paraId="7D1D933A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Wizualizacja wykorzystania procesorów (CPU), poboru energii przez serwer i temperatury w czasie rzeczywistym. Wymagana możliwość rysowania widoku centrum przetwarzania danych i nanoszenia na niego serwerów i szaf stelażowych.</w:t>
            </w:r>
          </w:p>
          <w:p w14:paraId="72A61918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Bezagentowe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zarządzanie i monitorowanie stanu urządzeń.</w:t>
            </w:r>
          </w:p>
          <w:p w14:paraId="691DA5D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Pojedynczy interfejs zapewniający widoki, podsumowanie szczegółowych informacji o sprzęcie i oprogramowaniu układowym zainstalowanym na serwerach.</w:t>
            </w:r>
          </w:p>
          <w:p w14:paraId="316F9673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Zebrane dane muszą być udostępniane poprzez interfejs REST API oraz interfejs graficzny użytkownika.</w:t>
            </w:r>
          </w:p>
          <w:p w14:paraId="20EB8ADA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Zarządzanie uprawnieniami użytkowników poprzez definiowanie ról.</w:t>
            </w:r>
          </w:p>
        </w:tc>
      </w:tr>
      <w:tr w:rsidR="006A6501" w:rsidRPr="006A6501" w14:paraId="3485F219" w14:textId="77777777" w:rsidTr="00D97221">
        <w:tc>
          <w:tcPr>
            <w:tcW w:w="562" w:type="dxa"/>
            <w:vAlign w:val="center"/>
          </w:tcPr>
          <w:p w14:paraId="6D7AB4B8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1773E5F7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Sposób zarządzania</w:t>
            </w:r>
          </w:p>
        </w:tc>
        <w:tc>
          <w:tcPr>
            <w:tcW w:w="7231" w:type="dxa"/>
          </w:tcPr>
          <w:p w14:paraId="5449F697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Dostęp do aplikacji zarządzającej z serwera zarządzającego lub dowolnego innego miejsca poprzez przeglądarkę internetową (połączenie szyfrowane SSL) bez konieczności instalowania dodatkowego oprogramowania producenta serwera.</w:t>
            </w:r>
          </w:p>
        </w:tc>
      </w:tr>
      <w:tr w:rsidR="006A6501" w:rsidRPr="006A6501" w14:paraId="4207081C" w14:textId="77777777" w:rsidTr="00D97221">
        <w:tc>
          <w:tcPr>
            <w:tcW w:w="562" w:type="dxa"/>
            <w:vAlign w:val="center"/>
          </w:tcPr>
          <w:p w14:paraId="11A56A7F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11F35392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Liczba jednoczesnych sesji zarządzania</w:t>
            </w:r>
          </w:p>
        </w:tc>
        <w:tc>
          <w:tcPr>
            <w:tcW w:w="7231" w:type="dxa"/>
          </w:tcPr>
          <w:p w14:paraId="3ED9BBD1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W danym momencie musi być niezależny, równoległy dostęp do konsol tekstowych i graficznych wszystkich serwerów. </w:t>
            </w:r>
          </w:p>
        </w:tc>
      </w:tr>
      <w:tr w:rsidR="006A6501" w:rsidRPr="006A6501" w14:paraId="0BF489E9" w14:textId="77777777" w:rsidTr="00D97221">
        <w:tc>
          <w:tcPr>
            <w:tcW w:w="562" w:type="dxa"/>
            <w:vAlign w:val="center"/>
          </w:tcPr>
          <w:p w14:paraId="22CEE31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14:paraId="75EA45FD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Zdalna identyfikacja</w:t>
            </w:r>
          </w:p>
        </w:tc>
        <w:tc>
          <w:tcPr>
            <w:tcW w:w="7231" w:type="dxa"/>
          </w:tcPr>
          <w:p w14:paraId="378BDEF1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Zdalna identyfikacja fizycznego serwera i obudowy za pomocą sygnalizatora optycznego.</w:t>
            </w:r>
          </w:p>
        </w:tc>
      </w:tr>
      <w:tr w:rsidR="006A6501" w:rsidRPr="006A6501" w14:paraId="51814D66" w14:textId="77777777" w:rsidTr="00D97221">
        <w:tc>
          <w:tcPr>
            <w:tcW w:w="562" w:type="dxa"/>
            <w:vAlign w:val="center"/>
          </w:tcPr>
          <w:p w14:paraId="3F5B78A0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332F68D1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Konfiguracja sprzętowa serwera</w:t>
            </w:r>
          </w:p>
        </w:tc>
        <w:tc>
          <w:tcPr>
            <w:tcW w:w="7231" w:type="dxa"/>
          </w:tcPr>
          <w:p w14:paraId="3CD4F9D6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Zautomatyzowana konfiguracja sprzętowa każdego serwera kasetowego, za pomocą profili.</w:t>
            </w:r>
          </w:p>
        </w:tc>
      </w:tr>
      <w:tr w:rsidR="006A6501" w:rsidRPr="006A6501" w14:paraId="26301CB9" w14:textId="77777777" w:rsidTr="00D97221">
        <w:tc>
          <w:tcPr>
            <w:tcW w:w="562" w:type="dxa"/>
            <w:vAlign w:val="center"/>
          </w:tcPr>
          <w:p w14:paraId="688326E8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0A787EDB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Dodatkowe cechy oprogramowania do zarządzania </w:t>
            </w:r>
          </w:p>
        </w:tc>
        <w:tc>
          <w:tcPr>
            <w:tcW w:w="7231" w:type="dxa"/>
          </w:tcPr>
          <w:p w14:paraId="4BA7529A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Konfiguracja środowiska serwerów kasetowych (Blade) w oparciu o logiczne profile serwerowe obejmujące konfigurację serwera w zakresie sieci LAN i SAN (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zonning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, wolumeny) wraz z możliwością migracji pomiędzy wieloma obudowami lub serwerami. </w:t>
            </w:r>
          </w:p>
          <w:p w14:paraId="6D18BCE1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W zakres logicznego profilu serwerowego muszą wchodzić następujące parametry: adres MAC, adres WWN, sekwencja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bootowania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systemu, sposób konfiguracji adapterów NIC i HBA, ustawienia BIOS, wersja oprogramowania układowego i sterowników (dla Windows,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i Red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Hat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>), konfiguracja użytkowników karty zarządzającej.</w:t>
            </w:r>
          </w:p>
          <w:p w14:paraId="6912E2E5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Ustawienia BIOS pozwalające na minimum:</w:t>
            </w:r>
          </w:p>
          <w:p w14:paraId="14975F68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włączenie/wyłączenie funkcji </w:t>
            </w:r>
            <w:proofErr w:type="spellStart"/>
            <w:r w:rsidRPr="006A6501">
              <w:rPr>
                <w:rFonts w:ascii="Arial" w:eastAsia="Times New Roman" w:hAnsi="Arial" w:cs="Arial"/>
                <w:lang w:eastAsia="pl-PL"/>
              </w:rPr>
              <w:t>hyper</w:t>
            </w:r>
            <w:proofErr w:type="spellEnd"/>
            <w:r w:rsidRPr="006A6501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Pr="006A6501">
              <w:rPr>
                <w:rFonts w:ascii="Arial" w:eastAsia="Times New Roman" w:hAnsi="Arial" w:cs="Arial"/>
                <w:lang w:eastAsia="pl-PL"/>
              </w:rPr>
              <w:t>threading</w:t>
            </w:r>
            <w:proofErr w:type="spellEnd"/>
            <w:r w:rsidRPr="006A6501">
              <w:rPr>
                <w:rFonts w:ascii="Arial" w:eastAsia="Times New Roman" w:hAnsi="Arial" w:cs="Arial"/>
                <w:lang w:eastAsia="pl-PL"/>
              </w:rPr>
              <w:t xml:space="preserve"> w procesorach Intel;</w:t>
            </w:r>
          </w:p>
          <w:p w14:paraId="0E33E80F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>włączenie/wyłączenie rdzeni procesora;</w:t>
            </w:r>
          </w:p>
          <w:p w14:paraId="785A41AA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włączenie/wyłącznie funkcji </w:t>
            </w:r>
            <w:proofErr w:type="spellStart"/>
            <w:r w:rsidRPr="006A6501">
              <w:rPr>
                <w:rFonts w:ascii="Arial" w:eastAsia="Times New Roman" w:hAnsi="Arial" w:cs="Arial"/>
                <w:lang w:eastAsia="pl-PL"/>
              </w:rPr>
              <w:t>wirtualizacyjnych</w:t>
            </w:r>
            <w:proofErr w:type="spellEnd"/>
            <w:r w:rsidRPr="006A6501">
              <w:rPr>
                <w:rFonts w:ascii="Arial" w:eastAsia="Times New Roman" w:hAnsi="Arial" w:cs="Arial"/>
                <w:lang w:eastAsia="pl-PL"/>
              </w:rPr>
              <w:t>;</w:t>
            </w:r>
          </w:p>
          <w:p w14:paraId="39961C22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>zmianę ustawień poziomu poboru prądu;</w:t>
            </w:r>
          </w:p>
          <w:p w14:paraId="4EC2041D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ustawienia trybu turbo </w:t>
            </w:r>
            <w:proofErr w:type="spellStart"/>
            <w:r w:rsidRPr="006A6501">
              <w:rPr>
                <w:rFonts w:ascii="Arial" w:eastAsia="Times New Roman" w:hAnsi="Arial" w:cs="Arial"/>
                <w:lang w:eastAsia="pl-PL"/>
              </w:rPr>
              <w:t>boost</w:t>
            </w:r>
            <w:proofErr w:type="spellEnd"/>
            <w:r w:rsidRPr="006A6501">
              <w:rPr>
                <w:rFonts w:ascii="Arial" w:eastAsia="Times New Roman" w:hAnsi="Arial" w:cs="Arial"/>
                <w:lang w:eastAsia="pl-PL"/>
              </w:rPr>
              <w:t xml:space="preserve"> w procesorach Intel;</w:t>
            </w:r>
          </w:p>
          <w:p w14:paraId="0424BC7B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ustawienia trybu zabezpieczenia pamięci RAM; </w:t>
            </w:r>
          </w:p>
          <w:p w14:paraId="105F7C66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Zdalna aktualizacja oprogramowania układowego i sterowników (dla Windows, Linux i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>) serwerów kasetowych, obudów, modułów LAN/SAN zainstalowanych w obudowie kasetowej.</w:t>
            </w:r>
          </w:p>
          <w:p w14:paraId="3A3413FF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lastRenderedPageBreak/>
              <w:t>Tworzenie dysków logicznych w serwerze (RAID, pojemność) w profilu dla serwerów kasetowych.</w:t>
            </w:r>
          </w:p>
          <w:p w14:paraId="7AEFE74A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Monitorowanie utylizacji serwera: procesorów, zasilania, temperatury.</w:t>
            </w:r>
          </w:p>
          <w:p w14:paraId="6088F0ED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Prezentacja w postaci graficznej logicznych i fizycznych połączeń pomiędzy serwerami kasetowymi, obudowami na serwery kasetowe, profilami serwerów i modułami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interconnect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8F956F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Integracja z narzędziami jak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vCenter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oraz Microsoft System Center przez specjalną wtyczkę (np. dodatkowe zakładki) w tych aplikacjach, rozszerzającą możliwości zarządzania o warstwę sprzętową.</w:t>
            </w:r>
          </w:p>
          <w:p w14:paraId="1F6474EE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Wbudowane raporty dotyczące użycia zasobów jak również zarejestrowanych zdarzeń z możliwością eksportu do plików w formacie xls lub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csv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lub PDF.</w:t>
            </w:r>
          </w:p>
          <w:p w14:paraId="6BE68B60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Wbudowany system automatycznego wysyłania zgłoszeń do serwisu producenta w razie wystąpienia awarii dowolnego komponentu sprzętowego serwerów i obudów zarządzanych przez aplikację.</w:t>
            </w:r>
          </w:p>
          <w:p w14:paraId="067DE112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Aplikacja musi posiadać interfejs REST API, przez który możliwa jest integracja z narzędziami firm trzecich.</w:t>
            </w:r>
          </w:p>
        </w:tc>
      </w:tr>
      <w:tr w:rsidR="006A6501" w:rsidRPr="006A6501" w14:paraId="4170D5F8" w14:textId="77777777" w:rsidTr="00D97221">
        <w:tc>
          <w:tcPr>
            <w:tcW w:w="562" w:type="dxa"/>
            <w:vAlign w:val="center"/>
          </w:tcPr>
          <w:p w14:paraId="1ECAACFE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5" w:type="dxa"/>
            <w:vAlign w:val="center"/>
          </w:tcPr>
          <w:p w14:paraId="605B4032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Licencje</w:t>
            </w:r>
          </w:p>
        </w:tc>
        <w:tc>
          <w:tcPr>
            <w:tcW w:w="7231" w:type="dxa"/>
          </w:tcPr>
          <w:p w14:paraId="27BAB9A6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Licencje na powyższą funkcjonalność na wszystkie oferowane serwery.</w:t>
            </w:r>
          </w:p>
        </w:tc>
      </w:tr>
      <w:tr w:rsidR="006A6501" w:rsidRPr="006A6501" w14:paraId="7D63B5A5" w14:textId="77777777" w:rsidTr="00D97221">
        <w:tc>
          <w:tcPr>
            <w:tcW w:w="562" w:type="dxa"/>
            <w:vAlign w:val="center"/>
          </w:tcPr>
          <w:p w14:paraId="20CD5B92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14:paraId="013EA6AA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Wsparcie techniczne dla aplikacji zarządzającej</w:t>
            </w:r>
          </w:p>
        </w:tc>
        <w:tc>
          <w:tcPr>
            <w:tcW w:w="7231" w:type="dxa"/>
          </w:tcPr>
          <w:p w14:paraId="5B8C8B31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Wsparcie techniczne musi obejmować wszystkie oferowane aplikacje składające się na system do zarządzania do pojedynczej infrastruktury serwerowo- sieciowej.</w:t>
            </w:r>
          </w:p>
          <w:p w14:paraId="39C4C2ED" w14:textId="561B22B6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Wszystkie dostarczone urządzenia i oprogramowanie zarządzające muszą być objęte gwarancją (zgodnie z ofertą </w:t>
            </w:r>
            <w:r w:rsidR="00A27499">
              <w:rPr>
                <w:rFonts w:ascii="Arial" w:hAnsi="Arial" w:cs="Arial"/>
                <w:sz w:val="20"/>
                <w:szCs w:val="20"/>
              </w:rPr>
              <w:t>W</w:t>
            </w:r>
            <w:r w:rsidRPr="006A6501">
              <w:rPr>
                <w:rFonts w:ascii="Arial" w:hAnsi="Arial" w:cs="Arial"/>
                <w:sz w:val="20"/>
                <w:szCs w:val="20"/>
              </w:rPr>
              <w:t>ykonawcy) oraz wsparciem producenta, z możliwością zgłaszania problemów w trybie 9x5. W przypadku wymiany, wymieniane dyski pozostają u Zamawiającego.</w:t>
            </w:r>
          </w:p>
          <w:p w14:paraId="4C76C128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Wymagana jest obsługa zgłoszeń serwisowych/gwarancyjnych dotyczących sprzętu i oprogramowania w języku polskim.</w:t>
            </w:r>
          </w:p>
          <w:p w14:paraId="02DD0B2E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Gwarancja na sprzęt musi być dostarczona i realizowana przez organizację serwisową producenta sprzętu lub autoryzowanego partnera serwisowego producenta. </w:t>
            </w:r>
          </w:p>
          <w:p w14:paraId="7502898C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Całość zaoferowanego sprzętu i oprogramowania musi pochodzić od jednego producenta.</w:t>
            </w:r>
          </w:p>
        </w:tc>
      </w:tr>
    </w:tbl>
    <w:p w14:paraId="753C8089" w14:textId="77777777" w:rsidR="006A6501" w:rsidRPr="006A6501" w:rsidRDefault="006A6501" w:rsidP="006A6501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2D1C02E1" w14:textId="77777777" w:rsidR="006A6501" w:rsidRPr="006A6501" w:rsidRDefault="006A6501" w:rsidP="006A6501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6A6501">
        <w:rPr>
          <w:rFonts w:ascii="Arial" w:hAnsi="Arial" w:cs="Arial"/>
          <w:b/>
          <w:sz w:val="20"/>
          <w:szCs w:val="20"/>
        </w:rPr>
        <w:t>3. Serwer – 4 sztuki.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30"/>
        <w:gridCol w:w="7662"/>
      </w:tblGrid>
      <w:tr w:rsidR="006A6501" w:rsidRPr="006A6501" w14:paraId="4F9F1B2B" w14:textId="77777777" w:rsidTr="00A67E7A">
        <w:trPr>
          <w:trHeight w:val="439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6A73600" w14:textId="77777777" w:rsidR="006A6501" w:rsidRPr="006A6501" w:rsidRDefault="006A6501" w:rsidP="00A67E7A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</w:tcPr>
          <w:p w14:paraId="77CF63AE" w14:textId="77777777" w:rsidR="006A6501" w:rsidRPr="006A6501" w:rsidRDefault="006A6501" w:rsidP="00A67E7A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Element konfiguracji</w:t>
            </w:r>
          </w:p>
        </w:tc>
        <w:tc>
          <w:tcPr>
            <w:tcW w:w="7210" w:type="dxa"/>
            <w:shd w:val="clear" w:color="auto" w:fill="BFBFBF"/>
            <w:vAlign w:val="center"/>
          </w:tcPr>
          <w:p w14:paraId="6A300790" w14:textId="77777777" w:rsidR="006A6501" w:rsidRPr="006A6501" w:rsidRDefault="006A6501" w:rsidP="00A67E7A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Wymagane parametry minimalne</w:t>
            </w:r>
          </w:p>
        </w:tc>
      </w:tr>
      <w:tr w:rsidR="006A6501" w:rsidRPr="006A6501" w14:paraId="7763A95F" w14:textId="77777777" w:rsidTr="00D9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421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1DA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CD6C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Minimum 2 procesory, każdy 24-rdzeniowy, 2.6GHz  klasy x86-64bit, osiągające wynik nie mniejszy niż 490  punktów w teście SPECrate2017_int_base, w konfiguracji dwuprocesorowej. Test dla oferowanego serwera lub serwera producenta oferowanego serwera, test wykonany dla konfiguracji z 2 procesorami.</w:t>
            </w:r>
          </w:p>
          <w:p w14:paraId="38FA5A36" w14:textId="0DA178C2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Wynik testu potwierdzony przez organizację SPEC i opublikowany na jej oficjalnej stronie internetowej (www.spec.org).</w:t>
            </w:r>
          </w:p>
        </w:tc>
      </w:tr>
      <w:tr w:rsidR="006A6501" w:rsidRPr="006A6501" w14:paraId="732E323D" w14:textId="77777777" w:rsidTr="00D9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A6F6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F22C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Pamięć RAM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74C6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1024GB RDIMM DDR4 w modułach min. 64GB. Serwer posiadający minimum 24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sloty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na pamięć. </w:t>
            </w:r>
          </w:p>
          <w:p w14:paraId="4A79B442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Po zainstalowaniu wymaganej pamięci RAM min.16 slotów wolnych pozwalających na rozbudowę pamięci RAM.  </w:t>
            </w:r>
          </w:p>
          <w:p w14:paraId="3A052A22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Płyta główna obsługująca zabezpieczenia pamięci : Advanced ECC, Memory Mirroring, Memory Patrol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Scrubbing</w:t>
            </w:r>
            <w:proofErr w:type="spellEnd"/>
          </w:p>
        </w:tc>
      </w:tr>
      <w:tr w:rsidR="006A6501" w:rsidRPr="006A6501" w14:paraId="7D6176CC" w14:textId="77777777" w:rsidTr="00D9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50D6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F331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Interfejsy sieciowe 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6349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Minimum 2 Interfejsy sieciowe o przepustowości min. 25GbE. </w:t>
            </w:r>
          </w:p>
          <w:p w14:paraId="4A56C21C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Funkcjonalność podziału każdego fizycznego portu na 4 interfejsy logiczne (interfejsy logiczne posiadające własne adresy MAC oraz będące widoczne z poziomu systemu operacyjnego, jako fizyczne karty sieciowe).</w:t>
            </w:r>
          </w:p>
        </w:tc>
      </w:tr>
      <w:tr w:rsidR="006A6501" w:rsidRPr="006A6501" w14:paraId="024E7C0E" w14:textId="77777777" w:rsidTr="00D9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6D04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047F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Kontroler dyskowy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785D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Sprzętowy kontroler dyskowy RAID obsługujący min. RAID 0, 1,10 z min 4GB pamięci cache z podtrzymaniem bateryjnym.  </w:t>
            </w:r>
          </w:p>
          <w:p w14:paraId="70798E21" w14:textId="34ACB7D9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Kontroler obsługujący dyski SAS,</w:t>
            </w:r>
            <w:r w:rsidR="00A67E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501">
              <w:rPr>
                <w:rFonts w:ascii="Arial" w:hAnsi="Arial" w:cs="Arial"/>
                <w:sz w:val="20"/>
                <w:szCs w:val="20"/>
              </w:rPr>
              <w:t>SATA,</w:t>
            </w:r>
            <w:r w:rsidR="00A67E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</w:p>
        </w:tc>
      </w:tr>
      <w:tr w:rsidR="006A6501" w:rsidRPr="006A6501" w14:paraId="26D3B46D" w14:textId="77777777" w:rsidTr="00D9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E680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85EE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Dyski twarde, nośniki danych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EC9B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Zainstalowane 2 dyski SSD hot plug, każdy: min.240GB - SATA 6G Read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Intensive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>/SAS/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6501" w:rsidRPr="006A6501" w14:paraId="1F494132" w14:textId="77777777" w:rsidTr="00D9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8354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FD2A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Sloty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PCI-E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1152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Co najmniej jeden wolny slot PCI-E (nie obsadzony kartą)</w:t>
            </w:r>
          </w:p>
        </w:tc>
      </w:tr>
      <w:tr w:rsidR="006A6501" w:rsidRPr="006A6501" w14:paraId="51D29B20" w14:textId="77777777" w:rsidTr="00D9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DCCD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82CF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Porty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0CFA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1 x USB 3.0 (wewnętrzny) </w:t>
            </w:r>
          </w:p>
        </w:tc>
      </w:tr>
      <w:tr w:rsidR="006A6501" w:rsidRPr="006A6501" w14:paraId="63450EAB" w14:textId="77777777" w:rsidTr="00D9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FF55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1826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Wsparcie dla systemów operacyjnych i systemów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wirtualizacyjnych</w:t>
            </w:r>
            <w:proofErr w:type="spellEnd"/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537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>Microsoft Windows Server 2019, 2022, 2025</w:t>
            </w:r>
          </w:p>
          <w:p w14:paraId="63666779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 xml:space="preserve">Red Hat Enterprise Linux (RHEL) 8.6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>lub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>nowszy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A9C8118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 xml:space="preserve">SUSE Linux Enterprise Server (SLES) 15SP4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>lub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>nowszy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1116464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 xml:space="preserve">VMware 7.0U3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>lub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  <w:lang w:val="en-GB"/>
              </w:rPr>
              <w:t>nowszy</w:t>
            </w:r>
            <w:proofErr w:type="spellEnd"/>
          </w:p>
        </w:tc>
      </w:tr>
      <w:tr w:rsidR="006A6501" w:rsidRPr="006A6501" w14:paraId="2AF4E4BA" w14:textId="77777777" w:rsidTr="00D9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4C1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99C4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Zarządzanie serwerem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AC2C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Serwer musi być wyposażony w kartę zdalnego zarządzania (konsoli) pozwalającej na: </w:t>
            </w:r>
          </w:p>
          <w:p w14:paraId="6214081F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>włączenie, wyłączenie i restart serwera;</w:t>
            </w:r>
          </w:p>
          <w:p w14:paraId="35887BEF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>podgląd logów sprzętowych serwera i karty;</w:t>
            </w:r>
          </w:p>
          <w:p w14:paraId="50073E2A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przejęcie zdalnej pełnej konsoli graficznej serwera niezależnie od jego stanu (także podczas startu, restartu OS); </w:t>
            </w:r>
          </w:p>
          <w:p w14:paraId="40E8AFE4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zdalne podłączenie wirtualnych napędów CD/DVD/ISO i FDD; </w:t>
            </w:r>
          </w:p>
          <w:p w14:paraId="39B0A77A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>integrację z Active Directory;</w:t>
            </w:r>
          </w:p>
          <w:p w14:paraId="4915D181" w14:textId="77777777" w:rsidR="006A6501" w:rsidRPr="006A6501" w:rsidRDefault="006A6501" w:rsidP="006A6501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120" w:line="276" w:lineRule="auto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6A6501">
              <w:rPr>
                <w:rFonts w:ascii="Arial" w:eastAsia="Times New Roman" w:hAnsi="Arial" w:cs="Arial"/>
                <w:lang w:eastAsia="pl-PL"/>
              </w:rPr>
              <w:t xml:space="preserve">wysyłanie zdarzeń do zdalnego serwera </w:t>
            </w:r>
            <w:proofErr w:type="spellStart"/>
            <w:r w:rsidRPr="006A6501">
              <w:rPr>
                <w:rFonts w:ascii="Arial" w:eastAsia="Times New Roman" w:hAnsi="Arial" w:cs="Arial"/>
                <w:lang w:eastAsia="pl-PL"/>
              </w:rPr>
              <w:t>syslog</w:t>
            </w:r>
            <w:proofErr w:type="spellEnd"/>
            <w:r w:rsidRPr="006A6501">
              <w:rPr>
                <w:rFonts w:ascii="Arial" w:eastAsia="Times New Roman" w:hAnsi="Arial" w:cs="Arial"/>
                <w:lang w:eastAsia="pl-PL"/>
              </w:rPr>
              <w:t>;</w:t>
            </w:r>
          </w:p>
          <w:p w14:paraId="65132810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Rozwiązanie sprzętowe, niezależne od systemów operacyjnych, zintegrowane z płytą główną. Wymagana odpowiednia licencja ze wsparciem technicznym zgodnym ze wsparciem na cały serwer.</w:t>
            </w:r>
          </w:p>
        </w:tc>
      </w:tr>
      <w:tr w:rsidR="006A6501" w:rsidRPr="006A6501" w14:paraId="3FE32D45" w14:textId="77777777" w:rsidTr="00D9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712A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1793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2889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Oferowany serwer musi być fabrycznie nowy, wyprodukowany nie wcześniej niż 12 miesięcy przed datą dostarczenia do Zamawiającego i pochodzić z oficjalnego kanału dystrybucyjnego producenta na rynek polski. </w:t>
            </w:r>
          </w:p>
          <w:p w14:paraId="2AA5EA36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Zamawiający zastrzega sobie, aby Wykonawca na żądanie Zamawiającego przedłożył oświadczenie producenta oferowanego sprzętu, w języku polskim, potwierdzające pochodzenie sprzętu z autoryzowanego kanału sprzedaży z Polski.</w:t>
            </w:r>
          </w:p>
          <w:p w14:paraId="3A16D64F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Serwery muszą być kompatybilne z posiadanym już rozwiązaniem HPE </w:t>
            </w:r>
            <w:proofErr w:type="spellStart"/>
            <w:r w:rsidRPr="006A6501">
              <w:rPr>
                <w:rFonts w:ascii="Arial" w:hAnsi="Arial" w:cs="Arial"/>
                <w:sz w:val="20"/>
                <w:szCs w:val="20"/>
              </w:rPr>
              <w:t>Synergy</w:t>
            </w:r>
            <w:proofErr w:type="spellEnd"/>
            <w:r w:rsidRPr="006A6501">
              <w:rPr>
                <w:rFonts w:ascii="Arial" w:hAnsi="Arial" w:cs="Arial"/>
                <w:sz w:val="20"/>
                <w:szCs w:val="20"/>
              </w:rPr>
              <w:t xml:space="preserve"> 12000, pozwalające na przenoszenie/montaż/uruchomienie serwerów pomiędzy lokalizacjami Zamawiającego.</w:t>
            </w:r>
          </w:p>
          <w:p w14:paraId="1928737C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501" w:rsidRPr="006A6501" w14:paraId="49A9F7DF" w14:textId="77777777" w:rsidTr="00D972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603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E1AD" w14:textId="77777777" w:rsidR="006A6501" w:rsidRPr="006A6501" w:rsidRDefault="006A6501" w:rsidP="00D9722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Wsparcie techniczne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99B8" w14:textId="6A0F84D2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 xml:space="preserve">Wszystkie dostarczone urządzenia i oprogramowanie zarządzające muszą być objęte gwarancją (zgodnie z ofertą </w:t>
            </w:r>
            <w:r w:rsidR="00A27499">
              <w:rPr>
                <w:rFonts w:ascii="Arial" w:hAnsi="Arial" w:cs="Arial"/>
                <w:sz w:val="20"/>
                <w:szCs w:val="20"/>
              </w:rPr>
              <w:t>W</w:t>
            </w:r>
            <w:r w:rsidRPr="006A6501">
              <w:rPr>
                <w:rFonts w:ascii="Arial" w:hAnsi="Arial" w:cs="Arial"/>
                <w:sz w:val="20"/>
                <w:szCs w:val="20"/>
              </w:rPr>
              <w:t>ykonawcy) oraz wsparciem producenta</w:t>
            </w:r>
            <w:r w:rsidRPr="006A6501">
              <w:rPr>
                <w:sz w:val="20"/>
                <w:szCs w:val="20"/>
              </w:rPr>
              <w:t xml:space="preserve"> </w:t>
            </w:r>
            <w:bookmarkStart w:id="2" w:name="_Hlk186202151"/>
            <w:r w:rsidRPr="006A6501">
              <w:rPr>
                <w:rFonts w:ascii="Arial" w:hAnsi="Arial" w:cs="Arial"/>
                <w:sz w:val="20"/>
                <w:szCs w:val="20"/>
              </w:rPr>
              <w:t>z możliwością zgłaszania problemów w trybie 24x7, obsługa zgłoszeń w trybie 9x5 , czas reakcji w ciągu następnego dnia roboczego (NBD) od zgłoszenia. W przypadku wymiany, wymieniane dyski pozostają u Zamawiającego.</w:t>
            </w:r>
          </w:p>
          <w:bookmarkEnd w:id="2"/>
          <w:p w14:paraId="2F20E297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Wymagana jest obsługa zgłoszeń serwisowych/gwarancyjnych dotyczących sprzętu i oprogramowania w języku polskim.</w:t>
            </w:r>
          </w:p>
          <w:p w14:paraId="1BA17DEB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lastRenderedPageBreak/>
              <w:t xml:space="preserve">Gwarancja na sprzęt musi być dostarczona i realizowana przez organizację serwisową producenta sprzętu lub autoryzowanego partnera serwisowego producenta. </w:t>
            </w:r>
          </w:p>
          <w:p w14:paraId="1D6869A7" w14:textId="77777777" w:rsidR="006A6501" w:rsidRPr="006A6501" w:rsidRDefault="006A6501" w:rsidP="00D9722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Całość zaoferowanego sprzętu i oprogramowania musi pochodzić od jednego producenta.</w:t>
            </w:r>
          </w:p>
        </w:tc>
      </w:tr>
    </w:tbl>
    <w:p w14:paraId="1896F570" w14:textId="77777777" w:rsidR="006A6501" w:rsidRPr="006A6501" w:rsidRDefault="006A6501" w:rsidP="006A6501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07B2EF30" w14:textId="5C864DBE" w:rsidR="00F91B33" w:rsidRDefault="00C006D5" w:rsidP="006A6501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Wentylator (moduł chłodzący) – 10 szt.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30"/>
        <w:gridCol w:w="7662"/>
      </w:tblGrid>
      <w:tr w:rsidR="00C006D5" w:rsidRPr="006A6501" w14:paraId="0B2A0B42" w14:textId="77777777" w:rsidTr="00163DD4">
        <w:trPr>
          <w:trHeight w:val="439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D768B76" w14:textId="77777777" w:rsidR="00C006D5" w:rsidRPr="006A6501" w:rsidRDefault="00C006D5" w:rsidP="00163DD4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</w:tcPr>
          <w:p w14:paraId="27D10E60" w14:textId="77777777" w:rsidR="00C006D5" w:rsidRPr="006A6501" w:rsidRDefault="00C006D5" w:rsidP="00163DD4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Element konfiguracji</w:t>
            </w:r>
          </w:p>
        </w:tc>
        <w:tc>
          <w:tcPr>
            <w:tcW w:w="7210" w:type="dxa"/>
            <w:shd w:val="clear" w:color="auto" w:fill="BFBFBF"/>
            <w:vAlign w:val="center"/>
          </w:tcPr>
          <w:p w14:paraId="1A2150EB" w14:textId="77777777" w:rsidR="00C006D5" w:rsidRPr="006A6501" w:rsidRDefault="00C006D5" w:rsidP="00163DD4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6501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Wymagane parametry minimalne</w:t>
            </w:r>
          </w:p>
        </w:tc>
      </w:tr>
      <w:tr w:rsidR="00C006D5" w:rsidRPr="006A6501" w14:paraId="0F69C86A" w14:textId="77777777" w:rsidTr="00163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AC2E" w14:textId="77777777" w:rsidR="00C006D5" w:rsidRPr="006A6501" w:rsidRDefault="00C006D5" w:rsidP="00163DD4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650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4C4F" w14:textId="3AF95E0B" w:rsidR="00C006D5" w:rsidRPr="006A6501" w:rsidRDefault="00C006D5" w:rsidP="00163DD4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Wentylator (moduł chłodzący)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A6AA" w14:textId="059A4787" w:rsidR="00C006D5" w:rsidRPr="006A6501" w:rsidRDefault="00C006D5" w:rsidP="00163DD4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Przystosowane </w:t>
            </w:r>
            <w:r w:rsidRPr="00C006D5">
              <w:rPr>
                <w:rFonts w:ascii="Arial" w:hAnsi="Arial" w:cs="Arial"/>
                <w:sz w:val="20"/>
                <w:szCs w:val="20"/>
              </w:rPr>
              <w:t>do posiadanej już obudowy HPE Synergy12000 pozwalając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006D5">
              <w:rPr>
                <w:rFonts w:ascii="Arial" w:hAnsi="Arial" w:cs="Arial"/>
                <w:sz w:val="20"/>
                <w:szCs w:val="20"/>
              </w:rPr>
              <w:t xml:space="preserve"> na instalację najnowszych serwerów z procesorami Intel Gen4 i Gen5 (serwery oznaczone Gen11)</w:t>
            </w:r>
          </w:p>
        </w:tc>
      </w:tr>
    </w:tbl>
    <w:p w14:paraId="27614D37" w14:textId="77777777" w:rsidR="00C006D5" w:rsidRDefault="00C006D5" w:rsidP="006A6501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725291D7" w14:textId="41925515" w:rsidR="006A6501" w:rsidRPr="006A6501" w:rsidRDefault="00C006D5" w:rsidP="006A6501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6A6501" w:rsidRPr="006A6501">
        <w:rPr>
          <w:rFonts w:ascii="Arial" w:hAnsi="Arial" w:cs="Arial"/>
          <w:b/>
          <w:sz w:val="20"/>
          <w:szCs w:val="20"/>
        </w:rPr>
        <w:t>. Instalacja, wdrożenie i konfiguracja dostarczonego sprzętu w infrastrukturze Zamawiającego.</w:t>
      </w:r>
    </w:p>
    <w:p w14:paraId="64B1E23C" w14:textId="77777777" w:rsidR="006A6501" w:rsidRPr="006A6501" w:rsidRDefault="006A6501" w:rsidP="006A6501">
      <w:pPr>
        <w:pStyle w:val="Default"/>
        <w:spacing w:after="120" w:line="276" w:lineRule="auto"/>
        <w:rPr>
          <w:sz w:val="20"/>
          <w:szCs w:val="20"/>
        </w:rPr>
      </w:pPr>
      <w:r w:rsidRPr="006A6501">
        <w:rPr>
          <w:b/>
          <w:sz w:val="20"/>
          <w:szCs w:val="20"/>
        </w:rPr>
        <w:t>1) Środowisko Zamawiającego:</w:t>
      </w:r>
    </w:p>
    <w:p w14:paraId="1740FED3" w14:textId="77777777" w:rsidR="006A6501" w:rsidRPr="006A6501" w:rsidRDefault="006A6501" w:rsidP="006A6501">
      <w:pPr>
        <w:pStyle w:val="Default"/>
        <w:spacing w:after="120" w:line="276" w:lineRule="auto"/>
        <w:rPr>
          <w:sz w:val="20"/>
          <w:szCs w:val="20"/>
        </w:rPr>
      </w:pPr>
      <w:r w:rsidRPr="006A6501">
        <w:rPr>
          <w:sz w:val="20"/>
          <w:szCs w:val="20"/>
        </w:rPr>
        <w:t xml:space="preserve">Zamawiający posiada środowisko oparte o system wirtualizacji </w:t>
      </w:r>
      <w:proofErr w:type="spellStart"/>
      <w:r w:rsidRPr="006A6501">
        <w:rPr>
          <w:sz w:val="20"/>
          <w:szCs w:val="20"/>
        </w:rPr>
        <w:t>VMware</w:t>
      </w:r>
      <w:proofErr w:type="spellEnd"/>
      <w:r w:rsidRPr="006A6501">
        <w:rPr>
          <w:sz w:val="20"/>
          <w:szCs w:val="20"/>
        </w:rPr>
        <w:t xml:space="preserve"> </w:t>
      </w:r>
      <w:proofErr w:type="spellStart"/>
      <w:r w:rsidRPr="006A6501">
        <w:rPr>
          <w:sz w:val="20"/>
          <w:szCs w:val="20"/>
        </w:rPr>
        <w:t>vSphere</w:t>
      </w:r>
      <w:proofErr w:type="spellEnd"/>
      <w:r w:rsidRPr="006A6501">
        <w:rPr>
          <w:sz w:val="20"/>
          <w:szCs w:val="20"/>
        </w:rPr>
        <w:t xml:space="preserve"> (wersja 7.0) oraz aktywne wsparcie dla oprogramowania </w:t>
      </w:r>
      <w:proofErr w:type="spellStart"/>
      <w:r w:rsidRPr="006A6501">
        <w:rPr>
          <w:sz w:val="20"/>
          <w:szCs w:val="20"/>
        </w:rPr>
        <w:t>VMware</w:t>
      </w:r>
      <w:proofErr w:type="spellEnd"/>
      <w:r w:rsidRPr="006A6501">
        <w:rPr>
          <w:sz w:val="20"/>
          <w:szCs w:val="20"/>
        </w:rPr>
        <w:t>.</w:t>
      </w:r>
    </w:p>
    <w:p w14:paraId="337CB520" w14:textId="77777777" w:rsidR="006A6501" w:rsidRPr="006A6501" w:rsidRDefault="006A6501" w:rsidP="006A6501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A6501">
        <w:rPr>
          <w:rFonts w:ascii="Arial" w:hAnsi="Arial" w:cs="Arial"/>
          <w:sz w:val="20"/>
          <w:szCs w:val="20"/>
        </w:rPr>
        <w:t xml:space="preserve">Zamawiający posiada w obecnej infrastrukturze macierze </w:t>
      </w:r>
      <w:proofErr w:type="spellStart"/>
      <w:r w:rsidRPr="006A6501">
        <w:rPr>
          <w:rFonts w:ascii="Arial" w:hAnsi="Arial" w:cs="Arial"/>
          <w:sz w:val="20"/>
          <w:szCs w:val="20"/>
        </w:rPr>
        <w:t>NetApp</w:t>
      </w:r>
      <w:proofErr w:type="spellEnd"/>
      <w:r w:rsidRPr="006A6501">
        <w:rPr>
          <w:rFonts w:ascii="Arial" w:hAnsi="Arial" w:cs="Arial"/>
          <w:sz w:val="20"/>
          <w:szCs w:val="20"/>
        </w:rPr>
        <w:t xml:space="preserve"> FAS 2750, obudowę blade Dell </w:t>
      </w:r>
      <w:proofErr w:type="spellStart"/>
      <w:r w:rsidRPr="006A6501">
        <w:rPr>
          <w:rFonts w:ascii="Arial" w:hAnsi="Arial" w:cs="Arial"/>
          <w:sz w:val="20"/>
          <w:szCs w:val="20"/>
        </w:rPr>
        <w:t>PowerEdge</w:t>
      </w:r>
      <w:proofErr w:type="spellEnd"/>
      <w:r w:rsidRPr="006A6501">
        <w:rPr>
          <w:rFonts w:ascii="Arial" w:hAnsi="Arial" w:cs="Arial"/>
          <w:sz w:val="20"/>
          <w:szCs w:val="20"/>
        </w:rPr>
        <w:t xml:space="preserve"> VRTX oraz przełączniki zewnętrzne Cisco C3850, które umożliwiają komunikację pomiędzy nimi. Obudowa ma zostać odinstalowana, a na jej miejsce zainstalowane i wdrożone nowe rozwiązanie blade dostarczone przez Wykonawcę.</w:t>
      </w:r>
    </w:p>
    <w:p w14:paraId="523D699C" w14:textId="77777777" w:rsidR="006A6501" w:rsidRPr="006A6501" w:rsidRDefault="006A6501" w:rsidP="006A6501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A6501">
        <w:rPr>
          <w:rFonts w:ascii="Arial" w:hAnsi="Arial" w:cs="Arial"/>
          <w:sz w:val="20"/>
          <w:szCs w:val="20"/>
        </w:rPr>
        <w:t xml:space="preserve">Dostarczone rozwiązanie musi być kompatybilne z posiadanym już rozwiązaniem HPE </w:t>
      </w:r>
      <w:proofErr w:type="spellStart"/>
      <w:r w:rsidRPr="006A6501">
        <w:rPr>
          <w:rFonts w:ascii="Arial" w:hAnsi="Arial" w:cs="Arial"/>
          <w:sz w:val="20"/>
          <w:szCs w:val="20"/>
        </w:rPr>
        <w:t>Synergy</w:t>
      </w:r>
      <w:proofErr w:type="spellEnd"/>
      <w:r w:rsidRPr="006A6501">
        <w:rPr>
          <w:rFonts w:ascii="Arial" w:hAnsi="Arial" w:cs="Arial"/>
          <w:sz w:val="20"/>
          <w:szCs w:val="20"/>
        </w:rPr>
        <w:t xml:space="preserve"> 12000 (w drugiej lokalizacji Zamawiającego), pozwalające na przenoszenie/montaż/uruchomienie serwerów pomiędzy lokalizacjami Zamawiającego.</w:t>
      </w:r>
    </w:p>
    <w:p w14:paraId="19096F79" w14:textId="77777777" w:rsidR="006A6501" w:rsidRPr="006A6501" w:rsidRDefault="006A6501" w:rsidP="006A6501">
      <w:pPr>
        <w:pStyle w:val="Default"/>
        <w:spacing w:after="120" w:line="276" w:lineRule="auto"/>
        <w:rPr>
          <w:b/>
          <w:bCs/>
          <w:sz w:val="20"/>
          <w:szCs w:val="20"/>
        </w:rPr>
      </w:pPr>
    </w:p>
    <w:p w14:paraId="1A063AB8" w14:textId="77777777" w:rsidR="006A6501" w:rsidRPr="006A6501" w:rsidRDefault="006A6501" w:rsidP="006A6501">
      <w:pPr>
        <w:pStyle w:val="Default"/>
        <w:spacing w:after="120" w:line="276" w:lineRule="auto"/>
        <w:rPr>
          <w:sz w:val="20"/>
          <w:szCs w:val="20"/>
        </w:rPr>
      </w:pPr>
      <w:r w:rsidRPr="006A6501">
        <w:rPr>
          <w:b/>
          <w:bCs/>
          <w:sz w:val="20"/>
          <w:szCs w:val="20"/>
        </w:rPr>
        <w:t>2) Wymagania dla usług wdrożeniowych i migracji:</w:t>
      </w:r>
    </w:p>
    <w:p w14:paraId="7C075C70" w14:textId="77777777" w:rsidR="006A6501" w:rsidRPr="006A6501" w:rsidRDefault="006A6501" w:rsidP="006A6501">
      <w:pPr>
        <w:pStyle w:val="Default"/>
        <w:spacing w:after="120" w:line="276" w:lineRule="auto"/>
        <w:rPr>
          <w:sz w:val="20"/>
          <w:szCs w:val="20"/>
        </w:rPr>
      </w:pPr>
      <w:r w:rsidRPr="006A6501">
        <w:rPr>
          <w:sz w:val="20"/>
          <w:szCs w:val="20"/>
        </w:rPr>
        <w:t xml:space="preserve">W ramach realizacji przedmiotu zamówienia Wykonawca: </w:t>
      </w:r>
    </w:p>
    <w:p w14:paraId="41722C59" w14:textId="77777777" w:rsidR="006A6501" w:rsidRPr="006A6501" w:rsidRDefault="006A6501" w:rsidP="006A6501">
      <w:pPr>
        <w:pStyle w:val="Default"/>
        <w:numPr>
          <w:ilvl w:val="0"/>
          <w:numId w:val="37"/>
        </w:numPr>
        <w:spacing w:after="120" w:line="276" w:lineRule="auto"/>
        <w:ind w:left="426" w:hanging="426"/>
        <w:rPr>
          <w:sz w:val="20"/>
          <w:szCs w:val="20"/>
        </w:rPr>
      </w:pPr>
      <w:r w:rsidRPr="006A6501">
        <w:rPr>
          <w:sz w:val="20"/>
          <w:szCs w:val="20"/>
        </w:rPr>
        <w:t>wykona plan instalacji oraz migracji infrastruktury w porozumieniu z Zamawiającym, zgodnie z przedstawioną przez Zamawiającego koncepcją modernizacji z uwzględnieniem wymagań środowiskowych (analiza przedwdrożeniowa); przedmiotowy plan będzie podlegać akceptacji Zamawiającego w toku bieżącej realizacji przedmiotu umowy oraz w trakcie jego przygotowywania Wykonawca oszacuje niezbędną ilość oraz rodzaj infrastruktury peryferyjnej, okablowania niezbędnych do dostarczenia i prawidłowego wykonania usług instalacyjnych;</w:t>
      </w:r>
    </w:p>
    <w:p w14:paraId="541C2F51" w14:textId="77777777" w:rsidR="006A6501" w:rsidRPr="006A6501" w:rsidRDefault="006A6501" w:rsidP="006A6501">
      <w:pPr>
        <w:pStyle w:val="Default"/>
        <w:numPr>
          <w:ilvl w:val="0"/>
          <w:numId w:val="37"/>
        </w:numPr>
        <w:spacing w:after="120" w:line="276" w:lineRule="auto"/>
        <w:ind w:left="426" w:hanging="426"/>
        <w:rPr>
          <w:sz w:val="20"/>
          <w:szCs w:val="20"/>
        </w:rPr>
      </w:pPr>
      <w:r w:rsidRPr="006A6501">
        <w:rPr>
          <w:sz w:val="20"/>
          <w:szCs w:val="20"/>
        </w:rPr>
        <w:t>odinstaluje obudowę typu blade znajdującej się w siedzibie Zamawiającego;</w:t>
      </w:r>
    </w:p>
    <w:p w14:paraId="58502039" w14:textId="77777777" w:rsidR="006A6501" w:rsidRPr="006A6501" w:rsidRDefault="006A6501" w:rsidP="006A6501">
      <w:pPr>
        <w:pStyle w:val="Default"/>
        <w:numPr>
          <w:ilvl w:val="0"/>
          <w:numId w:val="37"/>
        </w:numPr>
        <w:spacing w:after="120" w:line="276" w:lineRule="auto"/>
        <w:ind w:left="426" w:hanging="426"/>
        <w:rPr>
          <w:sz w:val="20"/>
          <w:szCs w:val="20"/>
        </w:rPr>
      </w:pPr>
      <w:r w:rsidRPr="006A6501">
        <w:rPr>
          <w:sz w:val="20"/>
          <w:szCs w:val="20"/>
        </w:rPr>
        <w:t xml:space="preserve">zainstaluje zaoferowany i dostarczony sprzęt w miejsce odinstalowanej obudowy, a w szczególności: </w:t>
      </w:r>
    </w:p>
    <w:p w14:paraId="14F116D5" w14:textId="77777777" w:rsidR="006A6501" w:rsidRPr="006A6501" w:rsidRDefault="006A6501" w:rsidP="006A6501">
      <w:pPr>
        <w:pStyle w:val="Default"/>
        <w:spacing w:after="120" w:line="276" w:lineRule="auto"/>
        <w:ind w:firstLine="426"/>
        <w:rPr>
          <w:sz w:val="20"/>
          <w:szCs w:val="20"/>
        </w:rPr>
      </w:pPr>
      <w:r w:rsidRPr="006A6501">
        <w:rPr>
          <w:sz w:val="20"/>
          <w:szCs w:val="20"/>
        </w:rPr>
        <w:t xml:space="preserve">- wykona montaż serwerów blade w obudowach blade oraz w szafach </w:t>
      </w:r>
      <w:proofErr w:type="spellStart"/>
      <w:r w:rsidRPr="006A6501">
        <w:rPr>
          <w:sz w:val="20"/>
          <w:szCs w:val="20"/>
        </w:rPr>
        <w:t>rack</w:t>
      </w:r>
      <w:proofErr w:type="spellEnd"/>
      <w:r w:rsidRPr="006A6501">
        <w:rPr>
          <w:sz w:val="20"/>
          <w:szCs w:val="20"/>
        </w:rPr>
        <w:t xml:space="preserve">, </w:t>
      </w:r>
    </w:p>
    <w:p w14:paraId="0005A0FB" w14:textId="77777777" w:rsidR="006A6501" w:rsidRPr="006A6501" w:rsidRDefault="006A6501" w:rsidP="006A6501">
      <w:pPr>
        <w:pStyle w:val="Default"/>
        <w:spacing w:after="120" w:line="276" w:lineRule="auto"/>
        <w:ind w:left="426"/>
        <w:rPr>
          <w:sz w:val="20"/>
          <w:szCs w:val="20"/>
        </w:rPr>
      </w:pPr>
      <w:r w:rsidRPr="006A6501">
        <w:rPr>
          <w:sz w:val="20"/>
          <w:szCs w:val="20"/>
        </w:rPr>
        <w:t xml:space="preserve">- wykona podłączenie do sieci energetycznej Zamawiającego na podstawie zdefiniowanych wymagań środowiskowych; Wykonawca zainstaluje dostarczone moduły PDU w szafach </w:t>
      </w:r>
      <w:proofErr w:type="spellStart"/>
      <w:r w:rsidRPr="006A6501">
        <w:rPr>
          <w:sz w:val="20"/>
          <w:szCs w:val="20"/>
        </w:rPr>
        <w:t>rack</w:t>
      </w:r>
      <w:proofErr w:type="spellEnd"/>
      <w:r w:rsidRPr="006A6501">
        <w:rPr>
          <w:sz w:val="20"/>
          <w:szCs w:val="20"/>
        </w:rPr>
        <w:t xml:space="preserve"> i  wykona ich podłączenie do sieci elektrycznej w rozdzielni Zamawiającego, </w:t>
      </w:r>
    </w:p>
    <w:p w14:paraId="72FD681D" w14:textId="77777777" w:rsidR="006A6501" w:rsidRPr="006A6501" w:rsidRDefault="006A6501" w:rsidP="006A6501">
      <w:pPr>
        <w:pStyle w:val="Default"/>
        <w:spacing w:after="120" w:line="276" w:lineRule="auto"/>
        <w:ind w:left="426"/>
        <w:rPr>
          <w:sz w:val="20"/>
          <w:szCs w:val="20"/>
        </w:rPr>
      </w:pPr>
      <w:r w:rsidRPr="006A6501">
        <w:rPr>
          <w:sz w:val="20"/>
          <w:szCs w:val="20"/>
        </w:rPr>
        <w:t>- wykona połączenia do sieci LAN Zamawiającego na poziomie fizycznym i logicznym (</w:t>
      </w:r>
      <w:proofErr w:type="spellStart"/>
      <w:r w:rsidRPr="006A6501">
        <w:rPr>
          <w:sz w:val="20"/>
          <w:szCs w:val="20"/>
        </w:rPr>
        <w:t>vlan</w:t>
      </w:r>
      <w:proofErr w:type="spellEnd"/>
      <w:r w:rsidRPr="006A6501">
        <w:rPr>
          <w:sz w:val="20"/>
          <w:szCs w:val="20"/>
        </w:rPr>
        <w:t xml:space="preserve"> itp.) na podstawie zdefiniowanych wymagań środowiskowych;</w:t>
      </w:r>
    </w:p>
    <w:p w14:paraId="7E9023CF" w14:textId="77777777" w:rsidR="006A6501" w:rsidRPr="006A6501" w:rsidRDefault="006A6501" w:rsidP="006A6501">
      <w:pPr>
        <w:pStyle w:val="Default"/>
        <w:numPr>
          <w:ilvl w:val="0"/>
          <w:numId w:val="37"/>
        </w:numPr>
        <w:spacing w:after="120" w:line="276" w:lineRule="auto"/>
        <w:ind w:left="426" w:hanging="426"/>
        <w:rPr>
          <w:sz w:val="20"/>
          <w:szCs w:val="20"/>
        </w:rPr>
      </w:pPr>
      <w:r w:rsidRPr="006A6501">
        <w:rPr>
          <w:sz w:val="20"/>
          <w:szCs w:val="20"/>
        </w:rPr>
        <w:t xml:space="preserve">zainstaluje i skonfiguruje oprogramowanie podstawowe, a w szczególności: </w:t>
      </w:r>
    </w:p>
    <w:p w14:paraId="7ABAACF7" w14:textId="77777777" w:rsidR="006A6501" w:rsidRPr="006A6501" w:rsidRDefault="006A6501" w:rsidP="006A6501">
      <w:pPr>
        <w:pStyle w:val="Default"/>
        <w:spacing w:after="120" w:line="276" w:lineRule="auto"/>
        <w:ind w:left="426"/>
        <w:rPr>
          <w:sz w:val="20"/>
          <w:szCs w:val="20"/>
        </w:rPr>
      </w:pPr>
      <w:r w:rsidRPr="006A6501">
        <w:rPr>
          <w:sz w:val="20"/>
          <w:szCs w:val="20"/>
        </w:rPr>
        <w:t xml:space="preserve">- skonfiguruje podstawowe elementy sprzętowe serwerów (BIOS, kontroler dysków lokalnych, karta zarządzająca), </w:t>
      </w:r>
    </w:p>
    <w:p w14:paraId="668A67CE" w14:textId="77777777" w:rsidR="006A6501" w:rsidRPr="006A6501" w:rsidRDefault="006A6501" w:rsidP="006A6501">
      <w:pPr>
        <w:pStyle w:val="Default"/>
        <w:spacing w:after="120" w:line="276" w:lineRule="auto"/>
        <w:ind w:firstLine="426"/>
        <w:rPr>
          <w:sz w:val="20"/>
          <w:szCs w:val="20"/>
        </w:rPr>
      </w:pPr>
      <w:r w:rsidRPr="006A6501">
        <w:rPr>
          <w:sz w:val="20"/>
          <w:szCs w:val="20"/>
        </w:rPr>
        <w:t xml:space="preserve">- wykona </w:t>
      </w:r>
      <w:proofErr w:type="spellStart"/>
      <w:r w:rsidRPr="006A6501">
        <w:rPr>
          <w:sz w:val="20"/>
          <w:szCs w:val="20"/>
        </w:rPr>
        <w:t>upgrade</w:t>
      </w:r>
      <w:proofErr w:type="spellEnd"/>
      <w:r w:rsidRPr="006A6501">
        <w:rPr>
          <w:sz w:val="20"/>
          <w:szCs w:val="20"/>
        </w:rPr>
        <w:t xml:space="preserve"> </w:t>
      </w:r>
      <w:proofErr w:type="spellStart"/>
      <w:r w:rsidRPr="006A6501">
        <w:rPr>
          <w:sz w:val="20"/>
          <w:szCs w:val="20"/>
        </w:rPr>
        <w:t>firmware’u</w:t>
      </w:r>
      <w:proofErr w:type="spellEnd"/>
      <w:r w:rsidRPr="006A6501">
        <w:rPr>
          <w:sz w:val="20"/>
          <w:szCs w:val="20"/>
        </w:rPr>
        <w:t xml:space="preserve"> poszczególnych komponentów rozwiązania;</w:t>
      </w:r>
    </w:p>
    <w:p w14:paraId="66BD2F36" w14:textId="77777777" w:rsidR="006A6501" w:rsidRPr="006A6501" w:rsidRDefault="006A6501" w:rsidP="006A6501">
      <w:pPr>
        <w:pStyle w:val="Default"/>
        <w:spacing w:after="120" w:line="276" w:lineRule="auto"/>
        <w:ind w:left="426"/>
        <w:rPr>
          <w:sz w:val="20"/>
          <w:szCs w:val="20"/>
        </w:rPr>
      </w:pPr>
      <w:r w:rsidRPr="006A6501">
        <w:rPr>
          <w:sz w:val="20"/>
          <w:szCs w:val="20"/>
        </w:rPr>
        <w:lastRenderedPageBreak/>
        <w:t>- wykona konfigurację umożliwiającą przenoszenie serwerów pomiędzy lokalizacjami Zamawiającego</w:t>
      </w:r>
    </w:p>
    <w:p w14:paraId="02C9219B" w14:textId="77777777" w:rsidR="006A6501" w:rsidRPr="006A6501" w:rsidRDefault="006A6501" w:rsidP="006A6501">
      <w:pPr>
        <w:pStyle w:val="Default"/>
        <w:numPr>
          <w:ilvl w:val="0"/>
          <w:numId w:val="37"/>
        </w:numPr>
        <w:spacing w:after="120" w:line="276" w:lineRule="auto"/>
        <w:ind w:left="426" w:hanging="426"/>
        <w:rPr>
          <w:sz w:val="20"/>
          <w:szCs w:val="20"/>
        </w:rPr>
      </w:pPr>
      <w:r w:rsidRPr="006A6501">
        <w:rPr>
          <w:b/>
          <w:bCs/>
          <w:color w:val="auto"/>
          <w:sz w:val="20"/>
          <w:szCs w:val="20"/>
        </w:rPr>
        <w:t xml:space="preserve"> </w:t>
      </w:r>
      <w:r w:rsidRPr="006A6501">
        <w:rPr>
          <w:color w:val="auto"/>
          <w:sz w:val="20"/>
          <w:szCs w:val="20"/>
        </w:rPr>
        <w:t>zainstaluje i skonfiguruje oprogramowanie monitorujące;</w:t>
      </w:r>
    </w:p>
    <w:p w14:paraId="791AFBDD" w14:textId="77777777" w:rsidR="006A6501" w:rsidRPr="006A6501" w:rsidRDefault="006A6501" w:rsidP="006A6501">
      <w:pPr>
        <w:pStyle w:val="Default"/>
        <w:numPr>
          <w:ilvl w:val="0"/>
          <w:numId w:val="37"/>
        </w:numPr>
        <w:spacing w:after="120" w:line="276" w:lineRule="auto"/>
        <w:ind w:left="426" w:hanging="426"/>
        <w:rPr>
          <w:sz w:val="20"/>
          <w:szCs w:val="20"/>
        </w:rPr>
      </w:pPr>
      <w:r w:rsidRPr="006A6501">
        <w:rPr>
          <w:sz w:val="20"/>
          <w:szCs w:val="20"/>
        </w:rPr>
        <w:t xml:space="preserve">wykona i dostarczy dokumentację techniczną powdrożeniową (przygotowana w języku polskim w wersji papierowej oraz elektronicznej na nośniku CD lub DVD w edytowalnym pliku doc. oraz w pliku pdf.) zawierającą w szczególności: </w:t>
      </w:r>
    </w:p>
    <w:p w14:paraId="1B3D5536" w14:textId="77777777" w:rsidR="006A6501" w:rsidRPr="006A6501" w:rsidRDefault="006A6501" w:rsidP="006A6501">
      <w:pPr>
        <w:pStyle w:val="Default"/>
        <w:spacing w:after="120" w:line="276" w:lineRule="auto"/>
        <w:ind w:left="426"/>
        <w:rPr>
          <w:sz w:val="20"/>
          <w:szCs w:val="20"/>
        </w:rPr>
      </w:pPr>
      <w:r w:rsidRPr="006A6501">
        <w:rPr>
          <w:sz w:val="20"/>
          <w:szCs w:val="20"/>
        </w:rPr>
        <w:t xml:space="preserve">- parametry techniczne dostarczanego rozwiązania – sprzętowe, sieciowe i oprogramowania podstawowego, </w:t>
      </w:r>
    </w:p>
    <w:p w14:paraId="1AFAAFD8" w14:textId="77777777" w:rsidR="006A6501" w:rsidRPr="006A6501" w:rsidRDefault="006A6501" w:rsidP="006A6501">
      <w:pPr>
        <w:pStyle w:val="Default"/>
        <w:spacing w:after="120" w:line="276" w:lineRule="auto"/>
        <w:ind w:left="426"/>
        <w:rPr>
          <w:sz w:val="20"/>
          <w:szCs w:val="20"/>
        </w:rPr>
      </w:pPr>
      <w:r w:rsidRPr="006A6501">
        <w:rPr>
          <w:sz w:val="20"/>
          <w:szCs w:val="20"/>
        </w:rPr>
        <w:t xml:space="preserve">-  topologię logiczną i fizyczną podłączeń sieciowych rozwiązania z uwzględnieniem opisu parametrów do sieci LAN Zamawiającego, </w:t>
      </w:r>
    </w:p>
    <w:p w14:paraId="1E389FED" w14:textId="77777777" w:rsidR="006A6501" w:rsidRPr="006A6501" w:rsidRDefault="006A6501" w:rsidP="006A6501">
      <w:pPr>
        <w:pStyle w:val="Default"/>
        <w:spacing w:after="120" w:line="276" w:lineRule="auto"/>
        <w:ind w:left="426"/>
        <w:rPr>
          <w:sz w:val="20"/>
          <w:szCs w:val="20"/>
        </w:rPr>
      </w:pPr>
      <w:r w:rsidRPr="006A6501">
        <w:rPr>
          <w:sz w:val="20"/>
          <w:szCs w:val="20"/>
        </w:rPr>
        <w:t>- zestawienie i opisanie funkcjonalności wykorzystywanych w rozwiązaniu objętym wdrożeniem,</w:t>
      </w:r>
    </w:p>
    <w:p w14:paraId="7D5C123F" w14:textId="77777777" w:rsidR="006A6501" w:rsidRPr="006A6501" w:rsidRDefault="006A6501" w:rsidP="006A6501">
      <w:pPr>
        <w:pStyle w:val="Default"/>
        <w:spacing w:after="120" w:line="276" w:lineRule="auto"/>
        <w:ind w:left="426"/>
        <w:rPr>
          <w:sz w:val="20"/>
          <w:szCs w:val="20"/>
        </w:rPr>
      </w:pPr>
      <w:r w:rsidRPr="006A6501">
        <w:rPr>
          <w:sz w:val="20"/>
          <w:szCs w:val="20"/>
        </w:rPr>
        <w:t>- zestawienie pełnej adresacji IP oraz danych dostępowych do rozwiązania objętego wdrożeniem;</w:t>
      </w:r>
    </w:p>
    <w:p w14:paraId="50350235" w14:textId="77777777" w:rsidR="006A6501" w:rsidRPr="006A6501" w:rsidRDefault="006A6501" w:rsidP="006A6501">
      <w:pPr>
        <w:pStyle w:val="Default"/>
        <w:numPr>
          <w:ilvl w:val="0"/>
          <w:numId w:val="37"/>
        </w:numPr>
        <w:spacing w:after="120" w:line="276" w:lineRule="auto"/>
        <w:ind w:left="426" w:hanging="426"/>
        <w:rPr>
          <w:color w:val="auto"/>
          <w:sz w:val="20"/>
          <w:szCs w:val="20"/>
        </w:rPr>
      </w:pPr>
      <w:r w:rsidRPr="006A6501">
        <w:rPr>
          <w:color w:val="auto"/>
          <w:sz w:val="20"/>
          <w:szCs w:val="20"/>
        </w:rPr>
        <w:t xml:space="preserve">wykona </w:t>
      </w:r>
      <w:proofErr w:type="spellStart"/>
      <w:r w:rsidRPr="006A6501">
        <w:rPr>
          <w:color w:val="auto"/>
          <w:sz w:val="20"/>
          <w:szCs w:val="20"/>
        </w:rPr>
        <w:t>upgrade</w:t>
      </w:r>
      <w:proofErr w:type="spellEnd"/>
      <w:r w:rsidRPr="006A6501">
        <w:rPr>
          <w:color w:val="auto"/>
          <w:sz w:val="20"/>
          <w:szCs w:val="20"/>
        </w:rPr>
        <w:t xml:space="preserve"> </w:t>
      </w:r>
      <w:proofErr w:type="spellStart"/>
      <w:r w:rsidRPr="006A6501">
        <w:rPr>
          <w:color w:val="auto"/>
          <w:sz w:val="20"/>
          <w:szCs w:val="20"/>
        </w:rPr>
        <w:t>firmware’u</w:t>
      </w:r>
      <w:proofErr w:type="spellEnd"/>
      <w:r w:rsidRPr="006A6501">
        <w:rPr>
          <w:color w:val="auto"/>
          <w:sz w:val="20"/>
          <w:szCs w:val="20"/>
        </w:rPr>
        <w:t xml:space="preserve"> poszczególnych komponentów oraz oprogramowania do zarządzania posiadanego już rozwiązania HPE </w:t>
      </w:r>
      <w:proofErr w:type="spellStart"/>
      <w:r w:rsidRPr="006A6501">
        <w:rPr>
          <w:color w:val="auto"/>
          <w:sz w:val="20"/>
          <w:szCs w:val="20"/>
        </w:rPr>
        <w:t>Synergy</w:t>
      </w:r>
      <w:proofErr w:type="spellEnd"/>
    </w:p>
    <w:p w14:paraId="1CA286E5" w14:textId="5DC494DE" w:rsidR="006A6501" w:rsidRPr="006A6501" w:rsidRDefault="006A6501" w:rsidP="006A6501">
      <w:pPr>
        <w:pStyle w:val="Default"/>
        <w:numPr>
          <w:ilvl w:val="0"/>
          <w:numId w:val="37"/>
        </w:numPr>
        <w:spacing w:after="120" w:line="276" w:lineRule="auto"/>
        <w:ind w:left="426" w:hanging="426"/>
        <w:rPr>
          <w:color w:val="auto"/>
          <w:sz w:val="20"/>
          <w:szCs w:val="20"/>
        </w:rPr>
      </w:pPr>
      <w:r w:rsidRPr="006A6501">
        <w:rPr>
          <w:color w:val="auto"/>
          <w:sz w:val="20"/>
          <w:szCs w:val="20"/>
        </w:rPr>
        <w:t>dokona montażu (wymiany) wentylatorów</w:t>
      </w:r>
      <w:r w:rsidR="001456A2">
        <w:rPr>
          <w:color w:val="auto"/>
          <w:sz w:val="20"/>
          <w:szCs w:val="20"/>
        </w:rPr>
        <w:t xml:space="preserve"> (modułów chłodzących)</w:t>
      </w:r>
      <w:r w:rsidRPr="006A6501">
        <w:rPr>
          <w:color w:val="auto"/>
          <w:sz w:val="20"/>
          <w:szCs w:val="20"/>
        </w:rPr>
        <w:t xml:space="preserve"> w posiadanej już obudowie Synergy12000</w:t>
      </w:r>
    </w:p>
    <w:p w14:paraId="221DB84A" w14:textId="77777777" w:rsidR="006A6501" w:rsidRPr="006A6501" w:rsidRDefault="006A6501" w:rsidP="006A6501">
      <w:pPr>
        <w:pStyle w:val="Default"/>
        <w:numPr>
          <w:ilvl w:val="0"/>
          <w:numId w:val="37"/>
        </w:numPr>
        <w:spacing w:after="120" w:line="276" w:lineRule="auto"/>
        <w:ind w:left="426" w:hanging="426"/>
        <w:rPr>
          <w:color w:val="auto"/>
          <w:sz w:val="20"/>
          <w:szCs w:val="20"/>
        </w:rPr>
      </w:pPr>
      <w:r w:rsidRPr="006A6501">
        <w:rPr>
          <w:sz w:val="20"/>
          <w:szCs w:val="20"/>
        </w:rPr>
        <w:t xml:space="preserve">Zamawiający w ramach wymagań dla usług wdrożeniowych i migracji w zakresie środowiska </w:t>
      </w:r>
      <w:proofErr w:type="spellStart"/>
      <w:r w:rsidRPr="006A6501">
        <w:rPr>
          <w:sz w:val="20"/>
          <w:szCs w:val="20"/>
        </w:rPr>
        <w:t>VMware</w:t>
      </w:r>
      <w:proofErr w:type="spellEnd"/>
      <w:r w:rsidRPr="006A6501">
        <w:rPr>
          <w:sz w:val="20"/>
          <w:szCs w:val="20"/>
        </w:rPr>
        <w:t xml:space="preserve"> wymaga instalacji i konfiguracji </w:t>
      </w:r>
      <w:proofErr w:type="spellStart"/>
      <w:r w:rsidRPr="006A6501">
        <w:rPr>
          <w:sz w:val="20"/>
          <w:szCs w:val="20"/>
        </w:rPr>
        <w:t>hypervisora</w:t>
      </w:r>
      <w:proofErr w:type="spellEnd"/>
      <w:r w:rsidRPr="006A6501">
        <w:rPr>
          <w:sz w:val="20"/>
          <w:szCs w:val="20"/>
        </w:rPr>
        <w:t xml:space="preserve"> na wszystkich dostarczonych serwerach, wsparcia przy przeniesieniu licencji </w:t>
      </w:r>
      <w:proofErr w:type="spellStart"/>
      <w:r w:rsidRPr="006A6501">
        <w:rPr>
          <w:sz w:val="20"/>
          <w:szCs w:val="20"/>
        </w:rPr>
        <w:t>VMware</w:t>
      </w:r>
      <w:proofErr w:type="spellEnd"/>
      <w:r w:rsidRPr="006A6501">
        <w:rPr>
          <w:sz w:val="20"/>
          <w:szCs w:val="20"/>
        </w:rPr>
        <w:t xml:space="preserve"> na nowe serwery dostarczone przez Wykonawcę, zainstalowania i skonfigurowania </w:t>
      </w:r>
      <w:proofErr w:type="spellStart"/>
      <w:r w:rsidRPr="006A6501">
        <w:rPr>
          <w:sz w:val="20"/>
          <w:szCs w:val="20"/>
        </w:rPr>
        <w:t>vCenter</w:t>
      </w:r>
      <w:proofErr w:type="spellEnd"/>
      <w:r w:rsidRPr="006A6501">
        <w:rPr>
          <w:sz w:val="20"/>
          <w:szCs w:val="20"/>
        </w:rPr>
        <w:t xml:space="preserve"> w trybie HA oraz wykonania niezbędnych aktualizacji na nowych serwerach. Ponadto wymagane jest wsparcie podczas procesu migracji jak i przy jego przygotowaniu, w zakresie niezbędnej konfiguracji obecnie posiadanych urządzeń Zamawiającego (m.in. podniesienie wersji </w:t>
      </w:r>
      <w:proofErr w:type="spellStart"/>
      <w:r w:rsidRPr="006A6501">
        <w:rPr>
          <w:sz w:val="20"/>
          <w:szCs w:val="20"/>
        </w:rPr>
        <w:t>hypervisora</w:t>
      </w:r>
      <w:proofErr w:type="spellEnd"/>
      <w:r w:rsidRPr="006A6501">
        <w:rPr>
          <w:sz w:val="20"/>
          <w:szCs w:val="20"/>
        </w:rPr>
        <w:t>).</w:t>
      </w:r>
    </w:p>
    <w:p w14:paraId="2225DEE9" w14:textId="38907BF0" w:rsidR="00622966" w:rsidRPr="006A6501" w:rsidRDefault="00632C69" w:rsidP="00730C4D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632C69">
        <w:rPr>
          <w:rFonts w:ascii="Arial" w:hAnsi="Arial" w:cs="Arial"/>
          <w:sz w:val="20"/>
          <w:szCs w:val="20"/>
        </w:rPr>
        <w:t>Zamawiający wymaga wykonania przez Wykonawcę wszystkich niezbędnych prac w celu uruchomienia poprawnego podłączenia nowej infrastruktury do istniejącej sieci LAN Zamawiającego, w tym dostarczenia w ramach przedmiotu umowy wszelkich niezbędnych akcesoriów, kabli przyłączeniowych oraz innych niezbędnych komponentów.</w:t>
      </w:r>
    </w:p>
    <w:p w14:paraId="35C769D6" w14:textId="14553C2E" w:rsidR="008D30C9" w:rsidRPr="006A6501" w:rsidRDefault="008D30C9" w:rsidP="00730C4D">
      <w:pPr>
        <w:spacing w:before="240" w:after="120" w:line="259" w:lineRule="auto"/>
        <w:rPr>
          <w:rFonts w:ascii="Arial" w:hAnsi="Arial" w:cs="Arial"/>
          <w:b/>
          <w:sz w:val="20"/>
          <w:szCs w:val="20"/>
        </w:rPr>
      </w:pPr>
      <w:r w:rsidRPr="006A6501">
        <w:rPr>
          <w:rFonts w:ascii="Arial" w:hAnsi="Arial" w:cs="Arial"/>
          <w:b/>
          <w:sz w:val="20"/>
          <w:szCs w:val="20"/>
        </w:rPr>
        <w:t>I</w:t>
      </w:r>
      <w:r w:rsidR="00622966" w:rsidRPr="006A6501">
        <w:rPr>
          <w:rFonts w:ascii="Arial" w:hAnsi="Arial" w:cs="Arial"/>
          <w:b/>
          <w:sz w:val="20"/>
          <w:szCs w:val="20"/>
        </w:rPr>
        <w:t>II</w:t>
      </w:r>
      <w:r w:rsidRPr="006A6501">
        <w:rPr>
          <w:rFonts w:ascii="Arial" w:hAnsi="Arial" w:cs="Arial"/>
          <w:b/>
          <w:sz w:val="20"/>
          <w:szCs w:val="20"/>
        </w:rPr>
        <w:t>. TERMIN REALIZACJI USŁUGI</w:t>
      </w:r>
    </w:p>
    <w:p w14:paraId="45E407CC" w14:textId="5ABCC2AB" w:rsidR="009D7486" w:rsidRDefault="005631A4" w:rsidP="00A01167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0"/>
          <w:szCs w:val="20"/>
        </w:rPr>
      </w:pPr>
      <w:bookmarkStart w:id="3" w:name="_Hlk182835005"/>
      <w:r>
        <w:rPr>
          <w:rFonts w:ascii="Arial" w:hAnsi="Arial" w:cs="Arial"/>
          <w:sz w:val="20"/>
          <w:szCs w:val="20"/>
        </w:rPr>
        <w:t xml:space="preserve">Do 60 </w:t>
      </w:r>
      <w:r w:rsidR="006F0E53">
        <w:rPr>
          <w:rFonts w:ascii="Arial" w:hAnsi="Arial" w:cs="Arial"/>
          <w:sz w:val="20"/>
          <w:szCs w:val="20"/>
        </w:rPr>
        <w:t xml:space="preserve">dni kalendarzowych </w:t>
      </w:r>
      <w:r w:rsidR="008D30C9" w:rsidRPr="006A6501">
        <w:rPr>
          <w:rFonts w:ascii="Arial" w:hAnsi="Arial" w:cs="Arial"/>
          <w:sz w:val="20"/>
          <w:szCs w:val="20"/>
        </w:rPr>
        <w:t>od dn</w:t>
      </w:r>
      <w:r w:rsidR="006F0E53">
        <w:rPr>
          <w:rFonts w:ascii="Arial" w:hAnsi="Arial" w:cs="Arial"/>
          <w:sz w:val="20"/>
          <w:szCs w:val="20"/>
        </w:rPr>
        <w:t>ia zawarcia umowy</w:t>
      </w:r>
      <w:r w:rsidR="008D30C9" w:rsidRPr="006A6501">
        <w:rPr>
          <w:rFonts w:ascii="Arial" w:hAnsi="Arial" w:cs="Arial"/>
          <w:sz w:val="20"/>
          <w:szCs w:val="20"/>
        </w:rPr>
        <w:t xml:space="preserve">. </w:t>
      </w:r>
    </w:p>
    <w:p w14:paraId="5D6121B5" w14:textId="77777777" w:rsidR="009D7486" w:rsidRDefault="009D7486" w:rsidP="00A01167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0"/>
          <w:szCs w:val="20"/>
        </w:rPr>
      </w:pPr>
    </w:p>
    <w:bookmarkEnd w:id="3"/>
    <w:p w14:paraId="7C734E0B" w14:textId="77777777" w:rsidR="003F705A" w:rsidRPr="006A6501" w:rsidRDefault="003F705A" w:rsidP="003F705A">
      <w:pPr>
        <w:spacing w:after="120" w:line="259" w:lineRule="auto"/>
        <w:contextualSpacing/>
        <w:rPr>
          <w:rFonts w:ascii="Arial" w:hAnsi="Arial" w:cs="Arial"/>
          <w:b/>
          <w:sz w:val="20"/>
          <w:szCs w:val="20"/>
        </w:rPr>
      </w:pPr>
    </w:p>
    <w:p w14:paraId="3F3AB5C3" w14:textId="570D1549" w:rsidR="00D95742" w:rsidRPr="006A6501" w:rsidRDefault="00D95742" w:rsidP="003F705A">
      <w:pPr>
        <w:spacing w:after="120" w:line="259" w:lineRule="auto"/>
        <w:rPr>
          <w:rFonts w:ascii="Arial" w:hAnsi="Arial" w:cs="Arial"/>
          <w:b/>
          <w:sz w:val="20"/>
          <w:szCs w:val="20"/>
        </w:rPr>
      </w:pPr>
      <w:r w:rsidRPr="006A6501">
        <w:rPr>
          <w:rFonts w:ascii="Arial" w:hAnsi="Arial" w:cs="Arial"/>
          <w:b/>
          <w:sz w:val="20"/>
          <w:szCs w:val="20"/>
        </w:rPr>
        <w:t>IV. PŁATNOŚĆ</w:t>
      </w:r>
    </w:p>
    <w:p w14:paraId="34147FB9" w14:textId="1174A8A4" w:rsidR="00D95742" w:rsidRPr="006A6501" w:rsidRDefault="00D95742" w:rsidP="00D95742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6A6501">
        <w:rPr>
          <w:rFonts w:ascii="Arial" w:hAnsi="Arial" w:cs="Arial"/>
          <w:sz w:val="20"/>
          <w:szCs w:val="20"/>
        </w:rPr>
        <w:t>Termin płatności 21 dni kalendarzowych od daty dostarczenia prawidłowo wystawionej faktury VAT.</w:t>
      </w:r>
    </w:p>
    <w:sectPr w:rsidR="00D95742" w:rsidRPr="006A6501" w:rsidSect="00B96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45731" w14:textId="77777777" w:rsidR="006E4436" w:rsidRDefault="006E4436">
      <w:r>
        <w:separator/>
      </w:r>
    </w:p>
  </w:endnote>
  <w:endnote w:type="continuationSeparator" w:id="0">
    <w:p w14:paraId="3DC73783" w14:textId="77777777" w:rsidR="006E4436" w:rsidRDefault="006E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30501" w14:textId="77777777" w:rsidR="00622966" w:rsidRDefault="00622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C3FF0" w14:textId="77777777" w:rsidR="00622966" w:rsidRDefault="00622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39B55" w14:textId="77777777" w:rsidR="00622966" w:rsidRDefault="00622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75EAF" w14:textId="77777777" w:rsidR="006E4436" w:rsidRDefault="006E4436">
      <w:r>
        <w:separator/>
      </w:r>
    </w:p>
  </w:footnote>
  <w:footnote w:type="continuationSeparator" w:id="0">
    <w:p w14:paraId="09185FD1" w14:textId="77777777" w:rsidR="006E4436" w:rsidRDefault="006E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5F6A" w14:textId="77777777" w:rsidR="00622966" w:rsidRDefault="00622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7D280" w14:textId="270E461C" w:rsidR="00B91EB1" w:rsidRPr="00B96A8F" w:rsidRDefault="00B96A8F" w:rsidP="00B96A8F">
    <w:pPr>
      <w:pStyle w:val="Header"/>
      <w:jc w:val="right"/>
      <w:rPr>
        <w:rFonts w:ascii="Arial" w:hAnsi="Arial" w:cs="Arial"/>
        <w:sz w:val="20"/>
        <w:szCs w:val="20"/>
      </w:rPr>
    </w:pPr>
    <w:r w:rsidRPr="00B96A8F">
      <w:rPr>
        <w:rFonts w:ascii="Arial" w:hAnsi="Arial" w:cs="Arial"/>
        <w:sz w:val="20"/>
        <w:szCs w:val="20"/>
      </w:rPr>
      <w:t>Załącznik nr 2 do Szacowani</w:t>
    </w:r>
    <w:r w:rsidR="00A67E7A">
      <w:rPr>
        <w:rFonts w:ascii="Arial" w:hAnsi="Arial" w:cs="Arial"/>
        <w:sz w:val="20"/>
        <w:szCs w:val="20"/>
      </w:rPr>
      <w:t>a</w:t>
    </w:r>
    <w:r w:rsidRPr="00B96A8F">
      <w:rPr>
        <w:rFonts w:ascii="Arial" w:hAnsi="Arial" w:cs="Arial"/>
        <w:sz w:val="20"/>
        <w:szCs w:val="20"/>
      </w:rPr>
      <w:t xml:space="preserve"> wartości zamówienia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BE89" w14:textId="77777777" w:rsidR="00622966" w:rsidRDefault="00622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4B66982"/>
    <w:multiLevelType w:val="hybridMultilevel"/>
    <w:tmpl w:val="87869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82CAD"/>
    <w:multiLevelType w:val="hybridMultilevel"/>
    <w:tmpl w:val="3A38F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87D40"/>
    <w:multiLevelType w:val="hybridMultilevel"/>
    <w:tmpl w:val="B1383F64"/>
    <w:lvl w:ilvl="0" w:tplc="88A0C6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2E197D"/>
    <w:multiLevelType w:val="hybridMultilevel"/>
    <w:tmpl w:val="331E677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2D44CF"/>
    <w:multiLevelType w:val="hybridMultilevel"/>
    <w:tmpl w:val="25CA00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29C"/>
    <w:multiLevelType w:val="hybridMultilevel"/>
    <w:tmpl w:val="26304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06D"/>
    <w:multiLevelType w:val="hybridMultilevel"/>
    <w:tmpl w:val="75886B12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1F3E487E"/>
    <w:multiLevelType w:val="multilevel"/>
    <w:tmpl w:val="2A5C749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3C45CAF"/>
    <w:multiLevelType w:val="hybridMultilevel"/>
    <w:tmpl w:val="3AD8D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9EED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24A56"/>
    <w:multiLevelType w:val="hybridMultilevel"/>
    <w:tmpl w:val="1D7A270A"/>
    <w:lvl w:ilvl="0" w:tplc="8CCE62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A1072CB"/>
    <w:multiLevelType w:val="hybridMultilevel"/>
    <w:tmpl w:val="331E677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DF3C55"/>
    <w:multiLevelType w:val="hybridMultilevel"/>
    <w:tmpl w:val="B03220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51CBE"/>
    <w:multiLevelType w:val="hybridMultilevel"/>
    <w:tmpl w:val="004CE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97709"/>
    <w:multiLevelType w:val="hybridMultilevel"/>
    <w:tmpl w:val="1A80F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7D97"/>
    <w:multiLevelType w:val="hybridMultilevel"/>
    <w:tmpl w:val="B09A7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751EB"/>
    <w:multiLevelType w:val="hybridMultilevel"/>
    <w:tmpl w:val="D548D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666004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7523ED"/>
    <w:multiLevelType w:val="hybridMultilevel"/>
    <w:tmpl w:val="D4AECC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EE930D1"/>
    <w:multiLevelType w:val="hybridMultilevel"/>
    <w:tmpl w:val="9D567430"/>
    <w:lvl w:ilvl="0" w:tplc="1B56F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941E3"/>
    <w:multiLevelType w:val="hybridMultilevel"/>
    <w:tmpl w:val="7B0E63C6"/>
    <w:lvl w:ilvl="0" w:tplc="A32A03A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87940"/>
    <w:multiLevelType w:val="hybridMultilevel"/>
    <w:tmpl w:val="153AA708"/>
    <w:lvl w:ilvl="0" w:tplc="B926606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766A7"/>
    <w:multiLevelType w:val="hybridMultilevel"/>
    <w:tmpl w:val="AC20F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91A1E44"/>
    <w:multiLevelType w:val="hybridMultilevel"/>
    <w:tmpl w:val="1ECAA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41C81"/>
    <w:multiLevelType w:val="hybridMultilevel"/>
    <w:tmpl w:val="06B011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E5A74"/>
    <w:multiLevelType w:val="hybridMultilevel"/>
    <w:tmpl w:val="9B6AC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C32EA"/>
    <w:multiLevelType w:val="hybridMultilevel"/>
    <w:tmpl w:val="E076D4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633ECB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67578"/>
    <w:multiLevelType w:val="hybridMultilevel"/>
    <w:tmpl w:val="7D80201E"/>
    <w:lvl w:ilvl="0" w:tplc="6B4C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56414"/>
    <w:multiLevelType w:val="hybridMultilevel"/>
    <w:tmpl w:val="F4FE4F84"/>
    <w:lvl w:ilvl="0" w:tplc="D5B41A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9173AE"/>
    <w:multiLevelType w:val="hybridMultilevel"/>
    <w:tmpl w:val="41B0813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5" w15:restartNumberingAfterBreak="0">
    <w:nsid w:val="6DCD1FB0"/>
    <w:multiLevelType w:val="hybridMultilevel"/>
    <w:tmpl w:val="0C8E201A"/>
    <w:lvl w:ilvl="0" w:tplc="E8243B3E">
      <w:start w:val="1"/>
      <w:numFmt w:val="decimal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F3824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6B56CC"/>
    <w:multiLevelType w:val="hybridMultilevel"/>
    <w:tmpl w:val="25A204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7874E42"/>
    <w:multiLevelType w:val="hybridMultilevel"/>
    <w:tmpl w:val="0074B7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FF34E6"/>
    <w:multiLevelType w:val="hybridMultilevel"/>
    <w:tmpl w:val="94840F96"/>
    <w:lvl w:ilvl="0" w:tplc="B4E092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F5469"/>
    <w:multiLevelType w:val="hybridMultilevel"/>
    <w:tmpl w:val="240EB20A"/>
    <w:lvl w:ilvl="0" w:tplc="6B4CC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5095D"/>
    <w:multiLevelType w:val="hybridMultilevel"/>
    <w:tmpl w:val="280CA50E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1" w15:restartNumberingAfterBreak="0">
    <w:nsid w:val="7D1158F4"/>
    <w:multiLevelType w:val="hybridMultilevel"/>
    <w:tmpl w:val="9502E4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11"/>
  </w:num>
  <w:num w:numId="4">
    <w:abstractNumId w:val="41"/>
  </w:num>
  <w:num w:numId="5">
    <w:abstractNumId w:val="20"/>
  </w:num>
  <w:num w:numId="6">
    <w:abstractNumId w:val="21"/>
  </w:num>
  <w:num w:numId="7">
    <w:abstractNumId w:val="6"/>
  </w:num>
  <w:num w:numId="8">
    <w:abstractNumId w:val="8"/>
  </w:num>
  <w:num w:numId="9">
    <w:abstractNumId w:val="19"/>
  </w:num>
  <w:num w:numId="10">
    <w:abstractNumId w:val="29"/>
  </w:num>
  <w:num w:numId="11">
    <w:abstractNumId w:val="27"/>
  </w:num>
  <w:num w:numId="12">
    <w:abstractNumId w:val="23"/>
  </w:num>
  <w:num w:numId="13">
    <w:abstractNumId w:val="15"/>
  </w:num>
  <w:num w:numId="14">
    <w:abstractNumId w:val="9"/>
  </w:num>
  <w:num w:numId="15">
    <w:abstractNumId w:val="5"/>
  </w:num>
  <w:num w:numId="16">
    <w:abstractNumId w:val="28"/>
  </w:num>
  <w:num w:numId="17">
    <w:abstractNumId w:val="37"/>
  </w:num>
  <w:num w:numId="18">
    <w:abstractNumId w:val="18"/>
  </w:num>
  <w:num w:numId="19">
    <w:abstractNumId w:val="22"/>
  </w:num>
  <w:num w:numId="20">
    <w:abstractNumId w:val="35"/>
  </w:num>
  <w:num w:numId="21">
    <w:abstractNumId w:val="10"/>
  </w:num>
  <w:num w:numId="22">
    <w:abstractNumId w:val="40"/>
  </w:num>
  <w:num w:numId="23">
    <w:abstractNumId w:val="26"/>
  </w:num>
  <w:num w:numId="24">
    <w:abstractNumId w:val="3"/>
  </w:num>
  <w:num w:numId="25">
    <w:abstractNumId w:val="16"/>
  </w:num>
  <w:num w:numId="26">
    <w:abstractNumId w:val="12"/>
  </w:num>
  <w:num w:numId="27">
    <w:abstractNumId w:val="33"/>
  </w:num>
  <w:num w:numId="28">
    <w:abstractNumId w:val="25"/>
  </w:num>
  <w:num w:numId="29">
    <w:abstractNumId w:val="24"/>
  </w:num>
  <w:num w:numId="30">
    <w:abstractNumId w:val="38"/>
  </w:num>
  <w:num w:numId="31">
    <w:abstractNumId w:val="13"/>
  </w:num>
  <w:num w:numId="32">
    <w:abstractNumId w:val="4"/>
  </w:num>
  <w:num w:numId="33">
    <w:abstractNumId w:val="14"/>
  </w:num>
  <w:num w:numId="34">
    <w:abstractNumId w:val="7"/>
  </w:num>
  <w:num w:numId="35">
    <w:abstractNumId w:val="17"/>
  </w:num>
  <w:num w:numId="36">
    <w:abstractNumId w:val="36"/>
  </w:num>
  <w:num w:numId="37">
    <w:abstractNumId w:val="32"/>
  </w:num>
  <w:num w:numId="38">
    <w:abstractNumId w:val="39"/>
  </w:num>
  <w:num w:numId="39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26"/>
    <w:rsid w:val="000000B3"/>
    <w:rsid w:val="00000C25"/>
    <w:rsid w:val="00002BC1"/>
    <w:rsid w:val="00004289"/>
    <w:rsid w:val="00004F10"/>
    <w:rsid w:val="00005F78"/>
    <w:rsid w:val="0000782E"/>
    <w:rsid w:val="00010FF2"/>
    <w:rsid w:val="00015AFC"/>
    <w:rsid w:val="00017EEC"/>
    <w:rsid w:val="00020031"/>
    <w:rsid w:val="00032A6F"/>
    <w:rsid w:val="00032DE2"/>
    <w:rsid w:val="00044485"/>
    <w:rsid w:val="000504BC"/>
    <w:rsid w:val="00051025"/>
    <w:rsid w:val="000518F7"/>
    <w:rsid w:val="000527FB"/>
    <w:rsid w:val="00060C84"/>
    <w:rsid w:val="00063EED"/>
    <w:rsid w:val="00072283"/>
    <w:rsid w:val="0007348E"/>
    <w:rsid w:val="000750F0"/>
    <w:rsid w:val="00077C39"/>
    <w:rsid w:val="00080D38"/>
    <w:rsid w:val="00083B09"/>
    <w:rsid w:val="00091044"/>
    <w:rsid w:val="00094199"/>
    <w:rsid w:val="000A49C4"/>
    <w:rsid w:val="000A67F0"/>
    <w:rsid w:val="000A7E8A"/>
    <w:rsid w:val="000B2917"/>
    <w:rsid w:val="000B7A1D"/>
    <w:rsid w:val="000B7BD5"/>
    <w:rsid w:val="000C3F61"/>
    <w:rsid w:val="000D46C4"/>
    <w:rsid w:val="000D7942"/>
    <w:rsid w:val="000E67EC"/>
    <w:rsid w:val="000E7508"/>
    <w:rsid w:val="000F2191"/>
    <w:rsid w:val="0011334F"/>
    <w:rsid w:val="001200CE"/>
    <w:rsid w:val="00120973"/>
    <w:rsid w:val="00120A1B"/>
    <w:rsid w:val="00120CFE"/>
    <w:rsid w:val="0012299A"/>
    <w:rsid w:val="00125F80"/>
    <w:rsid w:val="00142448"/>
    <w:rsid w:val="00143F9F"/>
    <w:rsid w:val="001456A2"/>
    <w:rsid w:val="001515E0"/>
    <w:rsid w:val="0015267A"/>
    <w:rsid w:val="00155A97"/>
    <w:rsid w:val="00177990"/>
    <w:rsid w:val="00181121"/>
    <w:rsid w:val="00182D1B"/>
    <w:rsid w:val="00186DAE"/>
    <w:rsid w:val="00190BF4"/>
    <w:rsid w:val="00195DF7"/>
    <w:rsid w:val="0019715C"/>
    <w:rsid w:val="00197CDE"/>
    <w:rsid w:val="001A5668"/>
    <w:rsid w:val="001B4626"/>
    <w:rsid w:val="001B76EC"/>
    <w:rsid w:val="001C2297"/>
    <w:rsid w:val="001D1919"/>
    <w:rsid w:val="001D3F6E"/>
    <w:rsid w:val="001E330D"/>
    <w:rsid w:val="001F41F5"/>
    <w:rsid w:val="00206D50"/>
    <w:rsid w:val="00207621"/>
    <w:rsid w:val="00213BC5"/>
    <w:rsid w:val="00215303"/>
    <w:rsid w:val="002235D7"/>
    <w:rsid w:val="00234697"/>
    <w:rsid w:val="00274CB0"/>
    <w:rsid w:val="00276B8A"/>
    <w:rsid w:val="00280AE2"/>
    <w:rsid w:val="00282609"/>
    <w:rsid w:val="00282A7E"/>
    <w:rsid w:val="00284916"/>
    <w:rsid w:val="0029042E"/>
    <w:rsid w:val="00290C49"/>
    <w:rsid w:val="00292647"/>
    <w:rsid w:val="002A017A"/>
    <w:rsid w:val="002A0E3E"/>
    <w:rsid w:val="002A368A"/>
    <w:rsid w:val="002A7446"/>
    <w:rsid w:val="002B141F"/>
    <w:rsid w:val="002B3899"/>
    <w:rsid w:val="002C2A3E"/>
    <w:rsid w:val="002D4BD5"/>
    <w:rsid w:val="002E3445"/>
    <w:rsid w:val="002E4A96"/>
    <w:rsid w:val="002E5DD6"/>
    <w:rsid w:val="002E5F74"/>
    <w:rsid w:val="002E614A"/>
    <w:rsid w:val="002E6E85"/>
    <w:rsid w:val="002E758B"/>
    <w:rsid w:val="002F3F26"/>
    <w:rsid w:val="002F5111"/>
    <w:rsid w:val="002F79F3"/>
    <w:rsid w:val="002F7E02"/>
    <w:rsid w:val="00302BF4"/>
    <w:rsid w:val="003047EF"/>
    <w:rsid w:val="00311431"/>
    <w:rsid w:val="003141E5"/>
    <w:rsid w:val="0032234A"/>
    <w:rsid w:val="00322820"/>
    <w:rsid w:val="0034237C"/>
    <w:rsid w:val="00342D47"/>
    <w:rsid w:val="00344497"/>
    <w:rsid w:val="00351369"/>
    <w:rsid w:val="003538AF"/>
    <w:rsid w:val="003565D7"/>
    <w:rsid w:val="0036578B"/>
    <w:rsid w:val="00372EF3"/>
    <w:rsid w:val="00373DA4"/>
    <w:rsid w:val="003748FC"/>
    <w:rsid w:val="00385E92"/>
    <w:rsid w:val="00386519"/>
    <w:rsid w:val="00394C3C"/>
    <w:rsid w:val="003A07BE"/>
    <w:rsid w:val="003A25EE"/>
    <w:rsid w:val="003A4901"/>
    <w:rsid w:val="003A64CB"/>
    <w:rsid w:val="003B0898"/>
    <w:rsid w:val="003B286D"/>
    <w:rsid w:val="003B7F8B"/>
    <w:rsid w:val="003C3535"/>
    <w:rsid w:val="003C57CE"/>
    <w:rsid w:val="003C7360"/>
    <w:rsid w:val="003D700E"/>
    <w:rsid w:val="003E1A74"/>
    <w:rsid w:val="003F6623"/>
    <w:rsid w:val="003F6C75"/>
    <w:rsid w:val="003F705A"/>
    <w:rsid w:val="0041346E"/>
    <w:rsid w:val="0042205A"/>
    <w:rsid w:val="00436A9D"/>
    <w:rsid w:val="0044229D"/>
    <w:rsid w:val="00443C1F"/>
    <w:rsid w:val="004445ED"/>
    <w:rsid w:val="00462433"/>
    <w:rsid w:val="00475E6D"/>
    <w:rsid w:val="004769DC"/>
    <w:rsid w:val="0048024A"/>
    <w:rsid w:val="004828CF"/>
    <w:rsid w:val="00482D22"/>
    <w:rsid w:val="004901E0"/>
    <w:rsid w:val="00490782"/>
    <w:rsid w:val="0049661E"/>
    <w:rsid w:val="00497792"/>
    <w:rsid w:val="004A329B"/>
    <w:rsid w:val="004B2D7B"/>
    <w:rsid w:val="004B3627"/>
    <w:rsid w:val="004D1160"/>
    <w:rsid w:val="004E0737"/>
    <w:rsid w:val="004E7C8F"/>
    <w:rsid w:val="004F2C97"/>
    <w:rsid w:val="004F75A7"/>
    <w:rsid w:val="0050049B"/>
    <w:rsid w:val="00501B12"/>
    <w:rsid w:val="00503AB7"/>
    <w:rsid w:val="005051AA"/>
    <w:rsid w:val="00515964"/>
    <w:rsid w:val="005159C9"/>
    <w:rsid w:val="005246A4"/>
    <w:rsid w:val="0052516D"/>
    <w:rsid w:val="00525506"/>
    <w:rsid w:val="005432B6"/>
    <w:rsid w:val="00546B5E"/>
    <w:rsid w:val="00547EA1"/>
    <w:rsid w:val="0055297C"/>
    <w:rsid w:val="0055500A"/>
    <w:rsid w:val="00560F39"/>
    <w:rsid w:val="00562816"/>
    <w:rsid w:val="005631A4"/>
    <w:rsid w:val="00567BE0"/>
    <w:rsid w:val="005714DD"/>
    <w:rsid w:val="00573E66"/>
    <w:rsid w:val="0058016F"/>
    <w:rsid w:val="005811BA"/>
    <w:rsid w:val="0059083D"/>
    <w:rsid w:val="005A17AE"/>
    <w:rsid w:val="005A311C"/>
    <w:rsid w:val="005A338A"/>
    <w:rsid w:val="005A7B41"/>
    <w:rsid w:val="005B045B"/>
    <w:rsid w:val="005B3166"/>
    <w:rsid w:val="005C2313"/>
    <w:rsid w:val="005C29B5"/>
    <w:rsid w:val="005C4267"/>
    <w:rsid w:val="005C4713"/>
    <w:rsid w:val="005D5D92"/>
    <w:rsid w:val="005D6317"/>
    <w:rsid w:val="005E2D34"/>
    <w:rsid w:val="005E4E66"/>
    <w:rsid w:val="005E7EB3"/>
    <w:rsid w:val="005F37A8"/>
    <w:rsid w:val="005F54A6"/>
    <w:rsid w:val="005F67B6"/>
    <w:rsid w:val="0060357A"/>
    <w:rsid w:val="00606086"/>
    <w:rsid w:val="006154D1"/>
    <w:rsid w:val="00622966"/>
    <w:rsid w:val="00630210"/>
    <w:rsid w:val="00632C69"/>
    <w:rsid w:val="00633499"/>
    <w:rsid w:val="00645AF8"/>
    <w:rsid w:val="00654916"/>
    <w:rsid w:val="00655199"/>
    <w:rsid w:val="00655DE5"/>
    <w:rsid w:val="00660353"/>
    <w:rsid w:val="00661C1C"/>
    <w:rsid w:val="00661C3A"/>
    <w:rsid w:val="00665560"/>
    <w:rsid w:val="006671B1"/>
    <w:rsid w:val="006701C6"/>
    <w:rsid w:val="00675336"/>
    <w:rsid w:val="00681A4A"/>
    <w:rsid w:val="006844CE"/>
    <w:rsid w:val="0069655B"/>
    <w:rsid w:val="006A6501"/>
    <w:rsid w:val="006A7829"/>
    <w:rsid w:val="006B0220"/>
    <w:rsid w:val="006B51BD"/>
    <w:rsid w:val="006B6BE2"/>
    <w:rsid w:val="006C291E"/>
    <w:rsid w:val="006C4375"/>
    <w:rsid w:val="006D4B41"/>
    <w:rsid w:val="006E3CA0"/>
    <w:rsid w:val="006E4436"/>
    <w:rsid w:val="006F0E53"/>
    <w:rsid w:val="006F5CE9"/>
    <w:rsid w:val="0070189D"/>
    <w:rsid w:val="007110D4"/>
    <w:rsid w:val="00716611"/>
    <w:rsid w:val="00730C4D"/>
    <w:rsid w:val="00750A5D"/>
    <w:rsid w:val="007562EC"/>
    <w:rsid w:val="00756C44"/>
    <w:rsid w:val="007636F1"/>
    <w:rsid w:val="00764A20"/>
    <w:rsid w:val="00775C1D"/>
    <w:rsid w:val="00777851"/>
    <w:rsid w:val="00781293"/>
    <w:rsid w:val="00790B14"/>
    <w:rsid w:val="00796871"/>
    <w:rsid w:val="007A5C35"/>
    <w:rsid w:val="007A628E"/>
    <w:rsid w:val="007B1996"/>
    <w:rsid w:val="007B5AE6"/>
    <w:rsid w:val="007C4BFD"/>
    <w:rsid w:val="007D59A1"/>
    <w:rsid w:val="007F1F8B"/>
    <w:rsid w:val="00815992"/>
    <w:rsid w:val="008202FE"/>
    <w:rsid w:val="0083228A"/>
    <w:rsid w:val="008450A0"/>
    <w:rsid w:val="0084518C"/>
    <w:rsid w:val="0084737C"/>
    <w:rsid w:val="008610D8"/>
    <w:rsid w:val="00861BB0"/>
    <w:rsid w:val="00864CF3"/>
    <w:rsid w:val="0087032D"/>
    <w:rsid w:val="00874C00"/>
    <w:rsid w:val="008819B6"/>
    <w:rsid w:val="00884EF8"/>
    <w:rsid w:val="00890E09"/>
    <w:rsid w:val="0089411A"/>
    <w:rsid w:val="008B25C0"/>
    <w:rsid w:val="008B4F41"/>
    <w:rsid w:val="008C282C"/>
    <w:rsid w:val="008C3AF8"/>
    <w:rsid w:val="008C73EE"/>
    <w:rsid w:val="008D105F"/>
    <w:rsid w:val="008D30C9"/>
    <w:rsid w:val="008E1AE6"/>
    <w:rsid w:val="008E3AC2"/>
    <w:rsid w:val="008E4395"/>
    <w:rsid w:val="008F2296"/>
    <w:rsid w:val="008F3D6D"/>
    <w:rsid w:val="008F743B"/>
    <w:rsid w:val="008F75E6"/>
    <w:rsid w:val="009049AE"/>
    <w:rsid w:val="00907A8B"/>
    <w:rsid w:val="00914ECC"/>
    <w:rsid w:val="009238DE"/>
    <w:rsid w:val="00923D52"/>
    <w:rsid w:val="0092433F"/>
    <w:rsid w:val="009261A1"/>
    <w:rsid w:val="009409FE"/>
    <w:rsid w:val="0094679D"/>
    <w:rsid w:val="00956749"/>
    <w:rsid w:val="00963B72"/>
    <w:rsid w:val="009721A7"/>
    <w:rsid w:val="00972918"/>
    <w:rsid w:val="0097704D"/>
    <w:rsid w:val="0097721C"/>
    <w:rsid w:val="009876C3"/>
    <w:rsid w:val="00992A71"/>
    <w:rsid w:val="009A21AD"/>
    <w:rsid w:val="009A2D8A"/>
    <w:rsid w:val="009B64D0"/>
    <w:rsid w:val="009B6EFF"/>
    <w:rsid w:val="009C6796"/>
    <w:rsid w:val="009C7F5D"/>
    <w:rsid w:val="009D05D6"/>
    <w:rsid w:val="009D29CD"/>
    <w:rsid w:val="009D62AB"/>
    <w:rsid w:val="009D7486"/>
    <w:rsid w:val="009E2D99"/>
    <w:rsid w:val="009E3AD9"/>
    <w:rsid w:val="009E4E6A"/>
    <w:rsid w:val="009E6C69"/>
    <w:rsid w:val="009E6D8F"/>
    <w:rsid w:val="009E7332"/>
    <w:rsid w:val="009F1696"/>
    <w:rsid w:val="009F4B12"/>
    <w:rsid w:val="009F62CA"/>
    <w:rsid w:val="009F6B66"/>
    <w:rsid w:val="00A01167"/>
    <w:rsid w:val="00A03CC6"/>
    <w:rsid w:val="00A14870"/>
    <w:rsid w:val="00A14AF3"/>
    <w:rsid w:val="00A16ABC"/>
    <w:rsid w:val="00A16ADB"/>
    <w:rsid w:val="00A2252D"/>
    <w:rsid w:val="00A27499"/>
    <w:rsid w:val="00A356B7"/>
    <w:rsid w:val="00A501E4"/>
    <w:rsid w:val="00A54971"/>
    <w:rsid w:val="00A678ED"/>
    <w:rsid w:val="00A67BE5"/>
    <w:rsid w:val="00A67E7A"/>
    <w:rsid w:val="00A712CE"/>
    <w:rsid w:val="00A72255"/>
    <w:rsid w:val="00A73D01"/>
    <w:rsid w:val="00A751EE"/>
    <w:rsid w:val="00A84073"/>
    <w:rsid w:val="00A87A71"/>
    <w:rsid w:val="00A950DA"/>
    <w:rsid w:val="00A96EB9"/>
    <w:rsid w:val="00AB1CC6"/>
    <w:rsid w:val="00AB2274"/>
    <w:rsid w:val="00AB4C75"/>
    <w:rsid w:val="00AB74A8"/>
    <w:rsid w:val="00AC2C9C"/>
    <w:rsid w:val="00AC6678"/>
    <w:rsid w:val="00AD56DB"/>
    <w:rsid w:val="00AE21E7"/>
    <w:rsid w:val="00AE2802"/>
    <w:rsid w:val="00AF7E21"/>
    <w:rsid w:val="00B0127E"/>
    <w:rsid w:val="00B048CC"/>
    <w:rsid w:val="00B067BE"/>
    <w:rsid w:val="00B16FB9"/>
    <w:rsid w:val="00B2471B"/>
    <w:rsid w:val="00B25982"/>
    <w:rsid w:val="00B33A81"/>
    <w:rsid w:val="00B3491A"/>
    <w:rsid w:val="00B51972"/>
    <w:rsid w:val="00B53CDF"/>
    <w:rsid w:val="00B64C2C"/>
    <w:rsid w:val="00B64D77"/>
    <w:rsid w:val="00B70F7D"/>
    <w:rsid w:val="00B72269"/>
    <w:rsid w:val="00B76FA4"/>
    <w:rsid w:val="00B772EF"/>
    <w:rsid w:val="00B77EC6"/>
    <w:rsid w:val="00B87469"/>
    <w:rsid w:val="00B91EB1"/>
    <w:rsid w:val="00B94856"/>
    <w:rsid w:val="00B96A8F"/>
    <w:rsid w:val="00BA56B6"/>
    <w:rsid w:val="00BB2B96"/>
    <w:rsid w:val="00BC057C"/>
    <w:rsid w:val="00BC0BD9"/>
    <w:rsid w:val="00BC5973"/>
    <w:rsid w:val="00BC5C26"/>
    <w:rsid w:val="00BD5E62"/>
    <w:rsid w:val="00BD622D"/>
    <w:rsid w:val="00BD64BA"/>
    <w:rsid w:val="00BE0C3E"/>
    <w:rsid w:val="00BE5276"/>
    <w:rsid w:val="00BE60B0"/>
    <w:rsid w:val="00BE6683"/>
    <w:rsid w:val="00BF10AA"/>
    <w:rsid w:val="00BF1241"/>
    <w:rsid w:val="00BF4CE2"/>
    <w:rsid w:val="00C006D5"/>
    <w:rsid w:val="00C03FEE"/>
    <w:rsid w:val="00C1265D"/>
    <w:rsid w:val="00C158AF"/>
    <w:rsid w:val="00C15DC6"/>
    <w:rsid w:val="00C24842"/>
    <w:rsid w:val="00C40027"/>
    <w:rsid w:val="00C408A0"/>
    <w:rsid w:val="00C44382"/>
    <w:rsid w:val="00C53D7D"/>
    <w:rsid w:val="00C545DB"/>
    <w:rsid w:val="00C630BB"/>
    <w:rsid w:val="00C663D9"/>
    <w:rsid w:val="00C77220"/>
    <w:rsid w:val="00C803B0"/>
    <w:rsid w:val="00C86163"/>
    <w:rsid w:val="00C87B24"/>
    <w:rsid w:val="00C90971"/>
    <w:rsid w:val="00C937BE"/>
    <w:rsid w:val="00C94769"/>
    <w:rsid w:val="00CB51A9"/>
    <w:rsid w:val="00CB7177"/>
    <w:rsid w:val="00CB7EE1"/>
    <w:rsid w:val="00CC4EA8"/>
    <w:rsid w:val="00CC672D"/>
    <w:rsid w:val="00CD6F17"/>
    <w:rsid w:val="00CE0E57"/>
    <w:rsid w:val="00CE35DC"/>
    <w:rsid w:val="00CE4474"/>
    <w:rsid w:val="00CE5532"/>
    <w:rsid w:val="00CE651A"/>
    <w:rsid w:val="00CF1707"/>
    <w:rsid w:val="00CF2E36"/>
    <w:rsid w:val="00D03C04"/>
    <w:rsid w:val="00D03CF1"/>
    <w:rsid w:val="00D07FA3"/>
    <w:rsid w:val="00D114B5"/>
    <w:rsid w:val="00D179FB"/>
    <w:rsid w:val="00D252CE"/>
    <w:rsid w:val="00D27B25"/>
    <w:rsid w:val="00D30A92"/>
    <w:rsid w:val="00D30FD4"/>
    <w:rsid w:val="00D32F8F"/>
    <w:rsid w:val="00D342A5"/>
    <w:rsid w:val="00D34B74"/>
    <w:rsid w:val="00D447E9"/>
    <w:rsid w:val="00D534F1"/>
    <w:rsid w:val="00D556A6"/>
    <w:rsid w:val="00D57976"/>
    <w:rsid w:val="00D6410A"/>
    <w:rsid w:val="00D64169"/>
    <w:rsid w:val="00D670D5"/>
    <w:rsid w:val="00D702E3"/>
    <w:rsid w:val="00D70487"/>
    <w:rsid w:val="00D70A21"/>
    <w:rsid w:val="00D8368A"/>
    <w:rsid w:val="00D8524F"/>
    <w:rsid w:val="00D90AA9"/>
    <w:rsid w:val="00D9424B"/>
    <w:rsid w:val="00D95742"/>
    <w:rsid w:val="00D9747F"/>
    <w:rsid w:val="00DA5BFA"/>
    <w:rsid w:val="00DA771D"/>
    <w:rsid w:val="00DB1027"/>
    <w:rsid w:val="00DB3407"/>
    <w:rsid w:val="00DB3E91"/>
    <w:rsid w:val="00DC0308"/>
    <w:rsid w:val="00DC03B7"/>
    <w:rsid w:val="00DC10AA"/>
    <w:rsid w:val="00DD0F02"/>
    <w:rsid w:val="00DD27D7"/>
    <w:rsid w:val="00DD6C2B"/>
    <w:rsid w:val="00DE17AB"/>
    <w:rsid w:val="00DE5726"/>
    <w:rsid w:val="00DF07D1"/>
    <w:rsid w:val="00DF6FA0"/>
    <w:rsid w:val="00E00875"/>
    <w:rsid w:val="00E00D99"/>
    <w:rsid w:val="00E01F35"/>
    <w:rsid w:val="00E04FE7"/>
    <w:rsid w:val="00E072CF"/>
    <w:rsid w:val="00E12BE4"/>
    <w:rsid w:val="00E1305D"/>
    <w:rsid w:val="00E145D7"/>
    <w:rsid w:val="00E14D91"/>
    <w:rsid w:val="00E17A06"/>
    <w:rsid w:val="00E17A8D"/>
    <w:rsid w:val="00E17B8C"/>
    <w:rsid w:val="00E23242"/>
    <w:rsid w:val="00E2547A"/>
    <w:rsid w:val="00E27E21"/>
    <w:rsid w:val="00E31AF8"/>
    <w:rsid w:val="00E32369"/>
    <w:rsid w:val="00E329B9"/>
    <w:rsid w:val="00E34BAE"/>
    <w:rsid w:val="00E35607"/>
    <w:rsid w:val="00E40DA9"/>
    <w:rsid w:val="00E42A7D"/>
    <w:rsid w:val="00E433F3"/>
    <w:rsid w:val="00E564AB"/>
    <w:rsid w:val="00E60005"/>
    <w:rsid w:val="00E652BC"/>
    <w:rsid w:val="00E65319"/>
    <w:rsid w:val="00E67835"/>
    <w:rsid w:val="00E80282"/>
    <w:rsid w:val="00E81E62"/>
    <w:rsid w:val="00E82865"/>
    <w:rsid w:val="00E84F4A"/>
    <w:rsid w:val="00E87DF1"/>
    <w:rsid w:val="00E87E6C"/>
    <w:rsid w:val="00E96A60"/>
    <w:rsid w:val="00EB08AA"/>
    <w:rsid w:val="00EB7558"/>
    <w:rsid w:val="00EC0BE6"/>
    <w:rsid w:val="00EC52B3"/>
    <w:rsid w:val="00ED1FA4"/>
    <w:rsid w:val="00ED33F9"/>
    <w:rsid w:val="00ED3E31"/>
    <w:rsid w:val="00ED66E2"/>
    <w:rsid w:val="00EE1CAF"/>
    <w:rsid w:val="00EF03F5"/>
    <w:rsid w:val="00EF7E03"/>
    <w:rsid w:val="00F01F60"/>
    <w:rsid w:val="00F04B26"/>
    <w:rsid w:val="00F06E3F"/>
    <w:rsid w:val="00F1085B"/>
    <w:rsid w:val="00F13141"/>
    <w:rsid w:val="00F17095"/>
    <w:rsid w:val="00F17C37"/>
    <w:rsid w:val="00F2494A"/>
    <w:rsid w:val="00F40377"/>
    <w:rsid w:val="00F41DE4"/>
    <w:rsid w:val="00F51593"/>
    <w:rsid w:val="00F52DA2"/>
    <w:rsid w:val="00F5590A"/>
    <w:rsid w:val="00F61498"/>
    <w:rsid w:val="00F736A8"/>
    <w:rsid w:val="00F84FA1"/>
    <w:rsid w:val="00F8579E"/>
    <w:rsid w:val="00F86B9F"/>
    <w:rsid w:val="00F91B33"/>
    <w:rsid w:val="00F94561"/>
    <w:rsid w:val="00F956B1"/>
    <w:rsid w:val="00F97ED6"/>
    <w:rsid w:val="00FA7719"/>
    <w:rsid w:val="00FB026D"/>
    <w:rsid w:val="00FC04AF"/>
    <w:rsid w:val="00FC0D2F"/>
    <w:rsid w:val="00FC3582"/>
    <w:rsid w:val="00FD331A"/>
    <w:rsid w:val="00FE1D52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878C5"/>
  <w15:docId w15:val="{6C7FFB70-4728-4164-B53B-3D8F0A8E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EED"/>
    <w:rPr>
      <w:sz w:val="24"/>
      <w:szCs w:val="24"/>
    </w:rPr>
  </w:style>
  <w:style w:type="paragraph" w:styleId="Heading1">
    <w:name w:val="heading 1"/>
    <w:aliases w:val="N1"/>
    <w:basedOn w:val="Normal"/>
    <w:next w:val="Normal"/>
    <w:autoRedefine/>
    <w:qFormat/>
    <w:rsid w:val="00005F78"/>
    <w:pPr>
      <w:keepNext/>
      <w:widowControl w:val="0"/>
      <w:numPr>
        <w:numId w:val="3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Heading2">
    <w:name w:val="heading 2"/>
    <w:aliases w:val="2,Header 2,H2,UNDERRUBRIK 1-2,Level 2,Reset numbering,Abschnitt,Arial 12 Fett Kursiv,2 headline,h,H21,H22,HD2,PIM2,wally's numerowanie 1"/>
    <w:basedOn w:val="Normal"/>
    <w:next w:val="Normal"/>
    <w:link w:val="Heading2Char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link w:val="ZnakZnak3"/>
    <w:uiPriority w:val="99"/>
    <w:semiHidden/>
    <w:unhideWhenUsed/>
  </w:style>
  <w:style w:type="character" w:styleId="Hyperlink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017EEC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"/>
    <w:link w:val="NoList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Heading2Char">
    <w:name w:val="Heading 2 Char"/>
    <w:aliases w:val="2 Char,Header 2 Char,H2 Char,UNDERRUBRIK 1-2 Char,Level 2 Char,Reset numbering Char,Abschnitt Char,Arial 12 Fett Kursiv Char,2 headline Char,h Char,H21 Char,H22 Char,HD2 Char,PIM2 Char,wally's numerowanie 1 Char"/>
    <w:link w:val="Heading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Heading3Char">
    <w:name w:val="Heading 3 Char"/>
    <w:link w:val="Heading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ListParagraph">
    <w:name w:val="List Paragraph"/>
    <w:aliases w:val="lp1,Preambuła,Numerowanie,L1,Wypunktowanie,BulletC,Wyliczanie,Obiekt,normalny tekst,Akapit z listą31,Bullets,List Paragraph1,T_SZ_List Paragraph,WYPUNKTOWANIE Akapit z listą,List Paragraph2,Nagłowek 3,Podsis rysunku,Bullet List,FooterText"/>
    <w:basedOn w:val="Normal"/>
    <w:link w:val="ListParagraphChar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aliases w:val="lp1 Char,Preambuła Char,Numerowanie Char,L1 Char,Wypunktowanie Char,BulletC Char,Wyliczanie Char,Obiekt Char,normalny tekst Char,Akapit z listą31 Char,Bullets Char,List Paragraph1 Char,T_SZ_List Paragraph Char,List Paragraph2 Char"/>
    <w:link w:val="ListParagraph"/>
    <w:uiPriority w:val="34"/>
    <w:qFormat/>
    <w:locked/>
    <w:rsid w:val="00005F78"/>
    <w:rPr>
      <w:rFonts w:eastAsia="Calibri"/>
      <w:lang w:val="x-none" w:eastAsia="x-none" w:bidi="ar-SA"/>
    </w:rPr>
  </w:style>
  <w:style w:type="paragraph" w:customStyle="1" w:styleId="TekstPodstawowy">
    <w:name w:val="Tekst Podstawowy"/>
    <w:basedOn w:val="Normal"/>
    <w:link w:val="TekstPodstawowyZnak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">
    <w:name w:val="Tekst Podstawowy Znak"/>
    <w:link w:val="TekstPodstawowy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BalloonText">
    <w:name w:val="Balloon Text"/>
    <w:basedOn w:val="Normal"/>
    <w:semiHidden/>
    <w:rsid w:val="005714D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BF1241"/>
    <w:rPr>
      <w:sz w:val="20"/>
      <w:szCs w:val="20"/>
    </w:rPr>
  </w:style>
  <w:style w:type="character" w:styleId="FootnoteReference">
    <w:name w:val="footnote reference"/>
    <w:semiHidden/>
    <w:rsid w:val="00BF1241"/>
    <w:rPr>
      <w:vertAlign w:val="superscript"/>
    </w:rPr>
  </w:style>
  <w:style w:type="paragraph" w:styleId="Header">
    <w:name w:val="header"/>
    <w:basedOn w:val="Normal"/>
    <w:link w:val="HeaderChar"/>
    <w:rsid w:val="00B91E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91EB1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link w:val="BodyText3Char"/>
    <w:rsid w:val="004F75A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5A7"/>
    <w:rPr>
      <w:sz w:val="16"/>
      <w:szCs w:val="16"/>
    </w:rPr>
  </w:style>
  <w:style w:type="paragraph" w:customStyle="1" w:styleId="ZnakZnak1">
    <w:name w:val="Znak Znak1"/>
    <w:basedOn w:val="Normal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CommentReference">
    <w:name w:val="annotation reference"/>
    <w:semiHidden/>
    <w:rsid w:val="00BD5E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5E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HeaderChar">
    <w:name w:val="Header Char"/>
    <w:link w:val="Header"/>
    <w:rsid w:val="00630210"/>
    <w:rPr>
      <w:sz w:val="24"/>
      <w:szCs w:val="24"/>
    </w:rPr>
  </w:style>
  <w:style w:type="paragraph" w:styleId="NormalWeb">
    <w:name w:val="Normal (Web)"/>
    <w:basedOn w:val="Normal"/>
    <w:rsid w:val="003A25EE"/>
    <w:pPr>
      <w:spacing w:before="100" w:after="100"/>
    </w:pPr>
    <w:rPr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63EED"/>
    <w:rPr>
      <w:rFonts w:ascii="Calibri" w:eastAsia="Calibri" w:hAnsi="Calibri"/>
      <w:sz w:val="22"/>
      <w:szCs w:val="21"/>
      <w:lang w:eastAsia="en-US"/>
    </w:rPr>
  </w:style>
  <w:style w:type="character" w:customStyle="1" w:styleId="CommentTextChar">
    <w:name w:val="Comment Text Char"/>
    <w:link w:val="CommentText"/>
    <w:semiHidden/>
    <w:locked/>
    <w:rsid w:val="00E31AF8"/>
  </w:style>
  <w:style w:type="character" w:customStyle="1" w:styleId="FootnoteTextChar">
    <w:name w:val="Footnote Text Char"/>
    <w:link w:val="FootnoteText"/>
    <w:semiHidden/>
    <w:locked/>
    <w:rsid w:val="0001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3A12-CCB4-4D3F-8FA1-26865557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3007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MIR</Company>
  <LinksUpToDate>false</LinksUpToDate>
  <CharactersWithSpaces>21007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Gora Dariusz</dc:creator>
  <cp:lastModifiedBy>Karasiewicz Piotr</cp:lastModifiedBy>
  <cp:revision>13</cp:revision>
  <cp:lastPrinted>2015-09-15T06:57:00Z</cp:lastPrinted>
  <dcterms:created xsi:type="dcterms:W3CDTF">2024-12-27T13:13:00Z</dcterms:created>
  <dcterms:modified xsi:type="dcterms:W3CDTF">2025-01-02T14:35:00Z</dcterms:modified>
</cp:coreProperties>
</file>