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6DF5" w:rsidRDefault="00FE1B7A">
      <w:pPr>
        <w:spacing w:line="240" w:lineRule="auto"/>
        <w:jc w:val="center"/>
        <w:rPr>
          <w:rFonts w:ascii="Times New Roman" w:hAnsi="Times New Roman"/>
          <w:b/>
          <w:bCs/>
          <w:spacing w:val="24"/>
          <w:sz w:val="26"/>
          <w:szCs w:val="26"/>
        </w:rPr>
      </w:pPr>
      <w:bookmarkStart w:id="0" w:name="_GoBack"/>
      <w:bookmarkEnd w:id="0"/>
      <w:r>
        <w:rPr>
          <w:rFonts w:ascii="Times New Roman" w:hAnsi="Times New Roman"/>
          <w:b/>
          <w:bCs/>
          <w:spacing w:val="24"/>
          <w:sz w:val="26"/>
          <w:szCs w:val="26"/>
        </w:rPr>
        <w:t>WYKAZ NIERUCHOMOŚCI przeznaczonej do sprzedaży</w:t>
      </w:r>
    </w:p>
    <w:p w:rsidR="00846DF5" w:rsidRDefault="00FE1B7A">
      <w:pPr>
        <w:spacing w:after="0" w:line="276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Starosta Zduńskowolski, wykonujący zadania z zakresu administracji rządowej podaje do publicznej wiadomości, na podstawie art. 35 ust. 1 i 2 ustawy z dnia 21 sierpnia 1997 r. o gospodarce nieruchomościami </w:t>
      </w:r>
      <w:r>
        <w:rPr>
          <w:rFonts w:ascii="Times New Roman" w:hAnsi="Times New Roman"/>
          <w:bCs/>
          <w:sz w:val="24"/>
          <w:szCs w:val="24"/>
        </w:rPr>
        <w:t>(t.j. Dz. U. z 2023 r., poz. 344 z późn. zm.) oraz Zarządzenia Nr 49/2023 Wojewody Łódzkiego z dnia 20 marca 2023 r. w sprawie zbycia nieruchomości Skarbu Państwa, że n/w nieruchomość zostaje przeznaczona do zbycia.</w:t>
      </w:r>
    </w:p>
    <w:tbl>
      <w:tblPr>
        <w:tblStyle w:val="Tabela-Siatka"/>
        <w:tblpPr w:leftFromText="141" w:rightFromText="141" w:vertAnchor="text" w:horzAnchor="margin" w:tblpXSpec="center" w:tblpY="509"/>
        <w:tblW w:w="14283" w:type="dxa"/>
        <w:jc w:val="center"/>
        <w:tblLayout w:type="fixed"/>
        <w:tblLook w:val="04A0" w:firstRow="1" w:lastRow="0" w:firstColumn="1" w:lastColumn="0" w:noHBand="0" w:noVBand="1"/>
      </w:tblPr>
      <w:tblGrid>
        <w:gridCol w:w="878"/>
        <w:gridCol w:w="4759"/>
        <w:gridCol w:w="8646"/>
      </w:tblGrid>
      <w:tr w:rsidR="00846DF5">
        <w:trPr>
          <w:jc w:val="center"/>
        </w:trPr>
        <w:tc>
          <w:tcPr>
            <w:tcW w:w="878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4759" w:type="dxa"/>
            <w:vAlign w:val="center"/>
          </w:tcPr>
          <w:p w:rsidR="00846DF5" w:rsidRDefault="00FE1B7A">
            <w:pPr>
              <w:spacing w:after="0" w:line="276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Oznaczenie nieruchomości</w:t>
            </w:r>
          </w:p>
        </w:tc>
        <w:tc>
          <w:tcPr>
            <w:tcW w:w="8646" w:type="dxa"/>
            <w:vAlign w:val="center"/>
          </w:tcPr>
          <w:p w:rsidR="00846DF5" w:rsidRDefault="00FE1B7A">
            <w:pPr>
              <w:spacing w:after="0"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Nieruchomość</w:t>
            </w:r>
            <w:r>
              <w:rPr>
                <w:rFonts w:ascii="Times New Roman" w:hAnsi="Times New Roman"/>
              </w:rPr>
              <w:t xml:space="preserve"> gruntowa, oznaczona w ewidencji gruntów i budynków jako działka nr 290, położona w Gminie Zduńska Wola, w obrębie 28 – Zamłynie.</w:t>
            </w:r>
          </w:p>
        </w:tc>
      </w:tr>
      <w:tr w:rsidR="00846DF5">
        <w:trPr>
          <w:jc w:val="center"/>
        </w:trPr>
        <w:tc>
          <w:tcPr>
            <w:tcW w:w="878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2.</w:t>
            </w:r>
          </w:p>
        </w:tc>
        <w:tc>
          <w:tcPr>
            <w:tcW w:w="4759" w:type="dxa"/>
            <w:vAlign w:val="center"/>
          </w:tcPr>
          <w:p w:rsidR="00846DF5" w:rsidRDefault="00FE1B7A">
            <w:pPr>
              <w:spacing w:after="0" w:line="276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Księga wieczysta</w:t>
            </w:r>
          </w:p>
        </w:tc>
        <w:tc>
          <w:tcPr>
            <w:tcW w:w="8646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SR1Z/00038983/8</w:t>
            </w:r>
          </w:p>
        </w:tc>
      </w:tr>
      <w:tr w:rsidR="00846DF5">
        <w:trPr>
          <w:jc w:val="center"/>
        </w:trPr>
        <w:tc>
          <w:tcPr>
            <w:tcW w:w="878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3.</w:t>
            </w:r>
          </w:p>
        </w:tc>
        <w:tc>
          <w:tcPr>
            <w:tcW w:w="4759" w:type="dxa"/>
            <w:vAlign w:val="center"/>
          </w:tcPr>
          <w:p w:rsidR="00846DF5" w:rsidRDefault="00FE1B7A">
            <w:pPr>
              <w:spacing w:after="0" w:line="276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Powierzchnia nieruchomości</w:t>
            </w:r>
          </w:p>
        </w:tc>
        <w:tc>
          <w:tcPr>
            <w:tcW w:w="8646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0,3128 ha</w:t>
            </w:r>
            <w:r>
              <w:rPr>
                <w:rFonts w:ascii="Times New Roman" w:hAnsi="Times New Roman"/>
                <w:b/>
                <w:vertAlign w:val="superscript"/>
              </w:rPr>
              <w:t xml:space="preserve"> </w:t>
            </w:r>
          </w:p>
        </w:tc>
      </w:tr>
      <w:tr w:rsidR="00846DF5">
        <w:trPr>
          <w:jc w:val="center"/>
        </w:trPr>
        <w:tc>
          <w:tcPr>
            <w:tcW w:w="878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4.</w:t>
            </w:r>
          </w:p>
        </w:tc>
        <w:tc>
          <w:tcPr>
            <w:tcW w:w="4759" w:type="dxa"/>
            <w:vAlign w:val="center"/>
          </w:tcPr>
          <w:p w:rsidR="00846DF5" w:rsidRDefault="00FE1B7A">
            <w:pPr>
              <w:spacing w:after="0" w:line="276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Opis nieruchomości</w:t>
            </w:r>
          </w:p>
        </w:tc>
        <w:tc>
          <w:tcPr>
            <w:tcW w:w="8646" w:type="dxa"/>
            <w:vAlign w:val="center"/>
          </w:tcPr>
          <w:p w:rsidR="00846DF5" w:rsidRDefault="00FE1B7A">
            <w:pPr>
              <w:spacing w:after="0"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Nieruchomość gruntowa niezabudowana, stanowiąca własność Skarbu Państwa, nieposiadająca dostępu do infrastruktury technicznej oraz bezpośredniego dostępu do drogi publicznej. Oznaczenie gruntu zgodnie z zapisem ewidencyjnym odnoszącym się do klasyfikacji u</w:t>
            </w:r>
            <w:r>
              <w:rPr>
                <w:rFonts w:ascii="Times New Roman" w:hAnsi="Times New Roman"/>
              </w:rPr>
              <w:t xml:space="preserve">żytków gruntowych: </w:t>
            </w:r>
            <w:r>
              <w:rPr>
                <w:rFonts w:ascii="Times New Roman" w:hAnsi="Times New Roman"/>
                <w:b/>
                <w:bCs/>
              </w:rPr>
              <w:t>LsVI – Lasy, RVI – Grunty orne</w:t>
            </w:r>
          </w:p>
        </w:tc>
      </w:tr>
      <w:tr w:rsidR="00846DF5">
        <w:trPr>
          <w:jc w:val="center"/>
        </w:trPr>
        <w:tc>
          <w:tcPr>
            <w:tcW w:w="878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5.</w:t>
            </w:r>
          </w:p>
        </w:tc>
        <w:tc>
          <w:tcPr>
            <w:tcW w:w="4759" w:type="dxa"/>
            <w:vAlign w:val="center"/>
          </w:tcPr>
          <w:p w:rsidR="00846DF5" w:rsidRDefault="00FE1B7A">
            <w:pPr>
              <w:spacing w:after="0" w:line="276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Przeznaczenie nieruchomości w planie miejscowym</w:t>
            </w:r>
          </w:p>
        </w:tc>
        <w:tc>
          <w:tcPr>
            <w:tcW w:w="8646" w:type="dxa"/>
            <w:vAlign w:val="center"/>
          </w:tcPr>
          <w:p w:rsidR="00846DF5" w:rsidRDefault="00FE1B7A">
            <w:pPr>
              <w:spacing w:after="0"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Brak miejscowego planu zagospodarowania przestrzennego. Zgodnie ze Studium uwarunkowań i kierunków zagospodarowania przestrzennego Gminy Zduńska Wola, zatwierdzonym Uchwałą Nr XXIV/178/2020 Rady Gminy Zduńska Wola z dnia 27.08.2020 r., ww. nieruchomość gru</w:t>
            </w:r>
            <w:r>
              <w:rPr>
                <w:rFonts w:ascii="Times New Roman" w:hAnsi="Times New Roman"/>
              </w:rPr>
              <w:t xml:space="preserve">ntowa położona jest częściowo na terenach leśnych i częściowo wskazanych do zalesienia. </w:t>
            </w:r>
          </w:p>
        </w:tc>
      </w:tr>
      <w:tr w:rsidR="00846DF5">
        <w:trPr>
          <w:jc w:val="center"/>
        </w:trPr>
        <w:tc>
          <w:tcPr>
            <w:tcW w:w="878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6.</w:t>
            </w:r>
          </w:p>
        </w:tc>
        <w:tc>
          <w:tcPr>
            <w:tcW w:w="4759" w:type="dxa"/>
            <w:vAlign w:val="center"/>
          </w:tcPr>
          <w:p w:rsidR="00846DF5" w:rsidRDefault="00FE1B7A">
            <w:pPr>
              <w:spacing w:after="0" w:line="276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Nieruchomości przeznaczona do</w:t>
            </w:r>
          </w:p>
        </w:tc>
        <w:tc>
          <w:tcPr>
            <w:tcW w:w="8646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Sprzedaży</w:t>
            </w:r>
          </w:p>
        </w:tc>
      </w:tr>
      <w:tr w:rsidR="00846DF5">
        <w:trPr>
          <w:jc w:val="center"/>
        </w:trPr>
        <w:tc>
          <w:tcPr>
            <w:tcW w:w="878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7.</w:t>
            </w:r>
          </w:p>
        </w:tc>
        <w:tc>
          <w:tcPr>
            <w:tcW w:w="4759" w:type="dxa"/>
            <w:vAlign w:val="center"/>
          </w:tcPr>
          <w:p w:rsidR="00846DF5" w:rsidRDefault="00FE1B7A">
            <w:pPr>
              <w:spacing w:after="0" w:line="276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Cena nieruchomości</w:t>
            </w:r>
          </w:p>
        </w:tc>
        <w:tc>
          <w:tcPr>
            <w:tcW w:w="8646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17 500,00 zł (sprzedaż zwolniona z opodatkowania podatkiem VAT)</w:t>
            </w:r>
          </w:p>
        </w:tc>
      </w:tr>
      <w:tr w:rsidR="00846DF5">
        <w:trPr>
          <w:jc w:val="center"/>
        </w:trPr>
        <w:tc>
          <w:tcPr>
            <w:tcW w:w="878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8.</w:t>
            </w:r>
          </w:p>
        </w:tc>
        <w:tc>
          <w:tcPr>
            <w:tcW w:w="4759" w:type="dxa"/>
            <w:vAlign w:val="center"/>
          </w:tcPr>
          <w:p w:rsidR="00846DF5" w:rsidRDefault="00FE1B7A">
            <w:pPr>
              <w:spacing w:after="0" w:line="276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</w:rPr>
              <w:t>Termin złożenia wniosku o którym</w:t>
            </w:r>
            <w:r>
              <w:rPr>
                <w:rFonts w:ascii="Times New Roman" w:hAnsi="Times New Roman"/>
                <w:b/>
              </w:rPr>
              <w:t xml:space="preserve"> mowa w art. 34 ust.1 pkt 1 i pkt 2 wyżej cytowanej ustawy.</w:t>
            </w:r>
          </w:p>
        </w:tc>
        <w:tc>
          <w:tcPr>
            <w:tcW w:w="8646" w:type="dxa"/>
            <w:vAlign w:val="center"/>
          </w:tcPr>
          <w:p w:rsidR="00846DF5" w:rsidRDefault="00FE1B7A">
            <w:pPr>
              <w:spacing w:after="0"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Do dnia 01.09.2023 r.</w:t>
            </w:r>
          </w:p>
        </w:tc>
      </w:tr>
    </w:tbl>
    <w:p w:rsidR="00846DF5" w:rsidRDefault="00FE1B7A">
      <w:pPr>
        <w:spacing w:line="276" w:lineRule="auto"/>
        <w:ind w:firstLine="567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Niniejsze obwieszczenie podane jest do publicznej wiadomości na okres </w:t>
      </w:r>
      <w:r>
        <w:rPr>
          <w:rFonts w:ascii="Times New Roman" w:hAnsi="Times New Roman"/>
          <w:b/>
          <w:bCs/>
          <w:sz w:val="24"/>
          <w:szCs w:val="24"/>
        </w:rPr>
        <w:t>21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dni tj. od dnia 21.07.2023 r. do dnia 12.08.2023 r.</w:t>
      </w:r>
    </w:p>
    <w:p w:rsidR="00846DF5" w:rsidRDefault="00846DF5">
      <w:pPr>
        <w:spacing w:after="0"/>
        <w:rPr>
          <w:rFonts w:ascii="Times New Roman" w:hAnsi="Times New Roman"/>
          <w:b/>
          <w:sz w:val="26"/>
          <w:szCs w:val="26"/>
        </w:rPr>
      </w:pPr>
    </w:p>
    <w:p w:rsidR="00846DF5" w:rsidRDefault="00FE1B7A">
      <w:pPr>
        <w:spacing w:line="360" w:lineRule="auto"/>
        <w:ind w:left="-851" w:right="-744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 xml:space="preserve">Uwaga: </w:t>
      </w:r>
      <w:r>
        <w:rPr>
          <w:rFonts w:ascii="Times New Roman" w:hAnsi="Times New Roman"/>
          <w:sz w:val="18"/>
          <w:szCs w:val="18"/>
        </w:rPr>
        <w:t xml:space="preserve">Na podstawie art. 34 ust. 1 pkt 1 i pkt </w:t>
      </w:r>
      <w:r>
        <w:rPr>
          <w:rFonts w:ascii="Times New Roman" w:hAnsi="Times New Roman"/>
          <w:sz w:val="18"/>
          <w:szCs w:val="18"/>
        </w:rPr>
        <w:t>2 ustawy o gospodarce nieruchomościami (t.j. Dz. U. z 2023 r., poz. 344 z późn. zm.) w przypadku zbywania nieruchomości osobom fizycznym                 i prawnym pierwszeństwo w ich nabyciu, przysługuje osobie , która spełnia jeden z następujących warunkó</w:t>
      </w:r>
      <w:r>
        <w:rPr>
          <w:rFonts w:ascii="Times New Roman" w:hAnsi="Times New Roman"/>
          <w:sz w:val="18"/>
          <w:szCs w:val="18"/>
        </w:rPr>
        <w:t>w: przysługuje jej roszczenie o nabycie nieruchomości z mocy powyższej ustawy lub odrębnych przepisów, jest poprzednim właścicielem zbywanej nieruchomości pozbawionym prawa własności tej nieruchomości przed dniem5 grudnia 1990 r. albo jego spadkobiercą, je</w:t>
      </w:r>
      <w:r>
        <w:rPr>
          <w:rFonts w:ascii="Times New Roman" w:hAnsi="Times New Roman"/>
          <w:sz w:val="18"/>
          <w:szCs w:val="18"/>
        </w:rPr>
        <w:t>żeli złoży wniosek o nabycie przed upływem terminu określonego w wykazie, o którym mowa wyżej; termin złożenia wniosku nie może być krótszy niż 6 tygodni, licząc od dnia wywieszenia wykazu.</w:t>
      </w:r>
    </w:p>
    <w:p w:rsidR="00846DF5" w:rsidRDefault="00846DF5">
      <w:pPr>
        <w:spacing w:after="0"/>
        <w:ind w:firstLine="9781"/>
        <w:jc w:val="center"/>
        <w:rPr>
          <w:rFonts w:ascii="Times New Roman" w:hAnsi="Times New Roman"/>
          <w:b/>
          <w:sz w:val="20"/>
          <w:szCs w:val="20"/>
        </w:rPr>
      </w:pPr>
    </w:p>
    <w:p w:rsidR="00846DF5" w:rsidRDefault="00FE1B7A">
      <w:pPr>
        <w:spacing w:after="0" w:line="360" w:lineRule="auto"/>
        <w:ind w:left="4540" w:firstLine="482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(-) </w:t>
      </w:r>
      <w:r>
        <w:rPr>
          <w:rFonts w:ascii="Times New Roman" w:hAnsi="Times New Roman"/>
          <w:b/>
          <w:i/>
          <w:iCs/>
        </w:rPr>
        <w:t>Hanna Iwaniuk</w:t>
      </w:r>
    </w:p>
    <w:p w:rsidR="00846DF5" w:rsidRDefault="00FE1B7A">
      <w:pPr>
        <w:spacing w:after="0" w:line="360" w:lineRule="auto"/>
        <w:ind w:left="4540" w:firstLine="482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Starosta Zduńskowolski</w:t>
      </w:r>
    </w:p>
    <w:p w:rsidR="00846DF5" w:rsidRDefault="00846DF5">
      <w:pPr>
        <w:spacing w:after="0"/>
        <w:ind w:firstLine="7797"/>
        <w:jc w:val="center"/>
        <w:rPr>
          <w:rFonts w:ascii="Times New Roman" w:hAnsi="Times New Roman"/>
          <w:b/>
          <w:sz w:val="24"/>
          <w:szCs w:val="24"/>
        </w:rPr>
      </w:pPr>
    </w:p>
    <w:sectPr w:rsidR="00846DF5">
      <w:pgSz w:w="15840" w:h="12240" w:orient="landscape"/>
      <w:pgMar w:top="851" w:right="1417" w:bottom="709" w:left="1417" w:header="0" w:footer="0" w:gutter="0"/>
      <w:cols w:space="708"/>
      <w:formProt w:val="0"/>
      <w:docGrid w:linePitch="299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defaultTabStop w:val="720"/>
  <w:autoHyphenation/>
  <w:hyphenationZone w:val="425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DF5"/>
    <w:rsid w:val="00846DF5"/>
    <w:rsid w:val="00FE1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4B4B8590-B610-47EC-A03A-1ED9DBAE2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31319F"/>
    <w:pPr>
      <w:keepNext/>
      <w:spacing w:after="0" w:line="240" w:lineRule="auto"/>
      <w:outlineLvl w:val="0"/>
    </w:pPr>
    <w:rPr>
      <w:rFonts w:ascii="Times New Roman" w:hAnsi="Times New Roman"/>
      <w:b/>
      <w:bCs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locked/>
    <w:rsid w:val="0031319F"/>
    <w:rPr>
      <w:rFonts w:ascii="Times New Roman" w:hAnsi="Times New Roman" w:cs="Times New Roman"/>
      <w:b/>
      <w:bCs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qFormat/>
    <w:locked/>
    <w:rsid w:val="0031319F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locked/>
    <w:rsid w:val="00B017E0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1319F"/>
    <w:pPr>
      <w:spacing w:after="0" w:line="240" w:lineRule="auto"/>
    </w:pPr>
    <w:rPr>
      <w:rFonts w:ascii="Times New Roman" w:hAnsi="Times New Roman"/>
      <w:b/>
      <w:bCs/>
      <w:sz w:val="24"/>
      <w:szCs w:val="20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B017E0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6645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AF2934-E697-4123-A140-58AFF9DAD4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373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Darek Tomczyk</dc:creator>
  <dc:description/>
  <cp:lastModifiedBy>Agnieszka Pakuła (apakula)</cp:lastModifiedBy>
  <cp:revision>2</cp:revision>
  <dcterms:created xsi:type="dcterms:W3CDTF">2023-07-24T11:54:00Z</dcterms:created>
  <dcterms:modified xsi:type="dcterms:W3CDTF">2023-07-24T11:54:00Z</dcterms:modified>
  <dc:language>pl-PL</dc:language>
</cp:coreProperties>
</file>