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549" w:rsidRPr="00280549" w:rsidRDefault="00280549" w:rsidP="00280549">
      <w:pPr>
        <w:spacing w:after="0" w:line="276" w:lineRule="auto"/>
        <w:jc w:val="center"/>
        <w:rPr>
          <w:rFonts w:eastAsia="Times New Roman" w:cs="Times New Roman"/>
          <w:b/>
        </w:rPr>
      </w:pPr>
      <w:r w:rsidRPr="00280549">
        <w:rPr>
          <w:rFonts w:eastAsia="Times New Roman" w:cs="Times New Roman"/>
          <w:b/>
          <w:noProof/>
          <w:lang w:eastAsia="pl-PL"/>
        </w:rPr>
        <w:drawing>
          <wp:inline distT="0" distB="0" distL="0" distR="0" wp14:anchorId="4E99E00C" wp14:editId="00350F1E">
            <wp:extent cx="1495425" cy="533400"/>
            <wp:effectExtent l="0" t="0" r="0" b="0"/>
            <wp:docPr id="1" name="Obraz 4"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LOGO NPZ\LOGO\NPZ_logo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inline>
        </w:drawing>
      </w:r>
    </w:p>
    <w:p w:rsidR="00280549" w:rsidRPr="00280549" w:rsidRDefault="00280549" w:rsidP="00280549">
      <w:pPr>
        <w:spacing w:after="0" w:line="276" w:lineRule="auto"/>
        <w:jc w:val="center"/>
        <w:rPr>
          <w:rFonts w:eastAsia="Times New Roman" w:cs="Times New Roman"/>
          <w:b/>
        </w:rPr>
      </w:pPr>
    </w:p>
    <w:p w:rsidR="00280549" w:rsidRPr="00280549" w:rsidRDefault="00280549" w:rsidP="00280549">
      <w:pPr>
        <w:spacing w:after="0" w:line="276" w:lineRule="auto"/>
        <w:jc w:val="center"/>
        <w:rPr>
          <w:rFonts w:eastAsia="Times New Roman" w:cs="Times New Roman"/>
          <w:b/>
        </w:rPr>
      </w:pPr>
      <w:r w:rsidRPr="00280549">
        <w:rPr>
          <w:rFonts w:eastAsia="Times New Roman" w:cs="Times New Roman"/>
          <w:b/>
        </w:rPr>
        <w:t>Ogłoszenie o konkursie ofert</w:t>
      </w:r>
    </w:p>
    <w:p w:rsidR="00280549" w:rsidRPr="00280549" w:rsidRDefault="00280549" w:rsidP="00280549">
      <w:pPr>
        <w:spacing w:after="0" w:line="276" w:lineRule="auto"/>
        <w:jc w:val="center"/>
        <w:rPr>
          <w:rFonts w:eastAsia="Times New Roman" w:cs="Times New Roman"/>
          <w:b/>
        </w:rPr>
      </w:pPr>
      <w:r w:rsidRPr="00280549">
        <w:rPr>
          <w:rFonts w:eastAsia="Times New Roman" w:cs="Times New Roman"/>
          <w:b/>
        </w:rPr>
        <w:t>na realizację zadania z zakresu zdrowia publicznego</w:t>
      </w:r>
    </w:p>
    <w:p w:rsidR="00280549" w:rsidRPr="00280549" w:rsidRDefault="00005E6D" w:rsidP="00280549">
      <w:pPr>
        <w:spacing w:after="0" w:line="276" w:lineRule="auto"/>
        <w:jc w:val="center"/>
        <w:rPr>
          <w:rFonts w:eastAsia="Times New Roman" w:cs="Times New Roman"/>
          <w:b/>
          <w:color w:val="FF0000"/>
        </w:rPr>
      </w:pPr>
      <w:r>
        <w:rPr>
          <w:rFonts w:eastAsia="Times New Roman" w:cs="Times New Roman"/>
          <w:b/>
        </w:rPr>
        <w:t>NPZ.</w:t>
      </w:r>
      <w:r w:rsidR="003847CB">
        <w:rPr>
          <w:rFonts w:eastAsia="Times New Roman" w:cs="Times New Roman"/>
          <w:b/>
        </w:rPr>
        <w:t>ZK</w:t>
      </w:r>
      <w:r>
        <w:rPr>
          <w:rFonts w:eastAsia="Times New Roman" w:cs="Times New Roman"/>
          <w:b/>
        </w:rPr>
        <w:t>_7</w:t>
      </w:r>
      <w:r w:rsidR="00280549" w:rsidRPr="00280549">
        <w:rPr>
          <w:rFonts w:eastAsia="Times New Roman" w:cs="Times New Roman"/>
          <w:b/>
        </w:rPr>
        <w:t>_2018</w:t>
      </w:r>
    </w:p>
    <w:p w:rsidR="00280549" w:rsidRPr="00280549" w:rsidRDefault="00280549" w:rsidP="00280549">
      <w:pPr>
        <w:spacing w:after="0" w:line="276" w:lineRule="auto"/>
        <w:jc w:val="center"/>
        <w:rPr>
          <w:rFonts w:eastAsia="Times New Roman" w:cs="Times New Roman"/>
          <w:b/>
        </w:rPr>
      </w:pPr>
    </w:p>
    <w:p w:rsidR="00280549" w:rsidRPr="00280549" w:rsidRDefault="00280549" w:rsidP="00280549">
      <w:pPr>
        <w:spacing w:after="0" w:line="276" w:lineRule="auto"/>
        <w:jc w:val="center"/>
        <w:rPr>
          <w:rFonts w:eastAsia="Times New Roman" w:cs="Times New Roman"/>
          <w:b/>
          <w:bCs/>
          <w:smallCaps/>
          <w:color w:val="0070C0"/>
          <w:spacing w:val="5"/>
        </w:rPr>
      </w:pPr>
      <w:r w:rsidRPr="00280549">
        <w:rPr>
          <w:rFonts w:eastAsia="Times New Roman" w:cs="Times New Roman"/>
          <w:b/>
          <w:bCs/>
          <w:smallCaps/>
          <w:color w:val="0070C0"/>
          <w:spacing w:val="5"/>
        </w:rPr>
        <w:t>CZĘŚĆ A</w:t>
      </w:r>
    </w:p>
    <w:p w:rsidR="00280549" w:rsidRPr="00280549" w:rsidRDefault="00280549" w:rsidP="00280549">
      <w:pPr>
        <w:tabs>
          <w:tab w:val="left" w:pos="6311"/>
        </w:tabs>
        <w:spacing w:after="0" w:line="276" w:lineRule="auto"/>
        <w:rPr>
          <w:rFonts w:eastAsia="Times New Roman" w:cs="Times New Roman"/>
          <w:b/>
        </w:rPr>
      </w:pP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Minister Zdrowia, działając na podstawie art. 14 ust. 1 w związku z art. 13 pkt 1 ustawy z dnia </w:t>
      </w:r>
      <w:r w:rsidRPr="00280549">
        <w:rPr>
          <w:rFonts w:eastAsia="Times New Roman" w:cs="Times New Roman"/>
        </w:rPr>
        <w:br/>
        <w:t>11 września 2015 r. o zdrowiu publicznym (Dz.U. z 2017 r. poz. 2237</w:t>
      </w:r>
      <w:r w:rsidRPr="00280549">
        <w:rPr>
          <w:rFonts w:eastAsia="Times New Roman" w:cs="Calibri"/>
        </w:rPr>
        <w:t xml:space="preserve">), zwanej dalej „ustawą” i rozporządzenia Rady Ministrów z dnia </w:t>
      </w:r>
      <w:r w:rsidRPr="00280549">
        <w:rPr>
          <w:rFonts w:eastAsia="Times New Roman" w:cs="Times New Roman"/>
        </w:rPr>
        <w:t>4 sierpnia 2016 r. w sprawie Narodowego Programu Zdrowia na lata 2016-2020 (Dz. U. poz. 1492), ogłasza konkurs ofert na realizację zadania z zakresu zdrowia publicznego:</w:t>
      </w:r>
    </w:p>
    <w:p w:rsidR="00280549" w:rsidRPr="00280549" w:rsidRDefault="00FC22CE" w:rsidP="00280549">
      <w:pPr>
        <w:spacing w:after="0" w:line="276" w:lineRule="auto"/>
        <w:jc w:val="center"/>
        <w:rPr>
          <w:rFonts w:eastAsia="Times New Roman" w:cs="Times New Roman"/>
          <w:b/>
        </w:rPr>
      </w:pPr>
      <w:r>
        <w:rPr>
          <w:rFonts w:eastAsia="Times New Roman" w:cs="Times New Roman"/>
          <w:b/>
        </w:rPr>
        <w:t>O</w:t>
      </w:r>
      <w:r w:rsidRPr="00FC22CE">
        <w:rPr>
          <w:rFonts w:eastAsia="Times New Roman" w:cs="Times New Roman"/>
          <w:b/>
        </w:rPr>
        <w:t xml:space="preserve">pracowanie i promocja projektu systemowego wsparcia u młodzieży szkolnej i studenckiej </w:t>
      </w:r>
      <w:r w:rsidR="001A3F7D">
        <w:rPr>
          <w:rFonts w:eastAsia="Times New Roman" w:cs="Times New Roman"/>
          <w:b/>
        </w:rPr>
        <w:br/>
      </w:r>
      <w:r w:rsidR="008B608F">
        <w:rPr>
          <w:rFonts w:eastAsia="Times New Roman" w:cs="Times New Roman"/>
          <w:b/>
        </w:rPr>
        <w:t xml:space="preserve">oraz osób starszych </w:t>
      </w:r>
      <w:r w:rsidRPr="00FC22CE">
        <w:rPr>
          <w:rFonts w:eastAsia="Times New Roman" w:cs="Times New Roman"/>
          <w:b/>
        </w:rPr>
        <w:t xml:space="preserve">mechanizmów automotywacji do zmiany stylu życia oraz promocji zachowań prozdrowotnych w obszarze profilaktyki otyłości, aktywności fizycznej, zdrowia psychicznego </w:t>
      </w:r>
      <w:r w:rsidR="001A3F7D">
        <w:rPr>
          <w:rFonts w:eastAsia="Times New Roman" w:cs="Times New Roman"/>
          <w:b/>
        </w:rPr>
        <w:br/>
      </w:r>
      <w:r w:rsidRPr="00FC22CE">
        <w:rPr>
          <w:rFonts w:eastAsia="Times New Roman" w:cs="Times New Roman"/>
          <w:b/>
        </w:rPr>
        <w:t>i przeciwdziałaniu uzależnieniom m.in. w środowisku szkolnym i akademickim</w:t>
      </w:r>
      <w:r w:rsidR="008B608F">
        <w:rPr>
          <w:rFonts w:eastAsia="Times New Roman" w:cs="Times New Roman"/>
          <w:b/>
        </w:rPr>
        <w:t xml:space="preserve"> oraz zamieszkania</w:t>
      </w:r>
    </w:p>
    <w:p w:rsidR="00280549" w:rsidRPr="00280549" w:rsidRDefault="00280549" w:rsidP="00CC7DA4">
      <w:pPr>
        <w:spacing w:after="0" w:line="276" w:lineRule="auto"/>
        <w:rPr>
          <w:rFonts w:eastAsia="Times New Roman" w:cs="Times New Roman"/>
          <w:b/>
        </w:rPr>
      </w:pPr>
    </w:p>
    <w:p w:rsidR="00280549" w:rsidRPr="00280549" w:rsidRDefault="00280549" w:rsidP="001A3F7D">
      <w:pPr>
        <w:spacing w:after="0" w:line="276" w:lineRule="auto"/>
        <w:jc w:val="center"/>
        <w:rPr>
          <w:rFonts w:eastAsia="Times New Roman" w:cs="Times New Roman"/>
          <w:i/>
        </w:rPr>
      </w:pPr>
      <w:r w:rsidRPr="00280549">
        <w:rPr>
          <w:rFonts w:eastAsia="Times New Roman" w:cs="Times New Roman"/>
          <w:b/>
        </w:rPr>
        <w:t xml:space="preserve">w ramach </w:t>
      </w:r>
      <w:r w:rsidR="001A3F7D">
        <w:rPr>
          <w:rFonts w:eastAsia="Times New Roman" w:cs="Times New Roman"/>
          <w:b/>
        </w:rPr>
        <w:t xml:space="preserve">pkt </w:t>
      </w:r>
      <w:r w:rsidR="00CC7DA4">
        <w:rPr>
          <w:rFonts w:eastAsia="Times New Roman" w:cs="Times New Roman"/>
          <w:b/>
        </w:rPr>
        <w:t xml:space="preserve">7. </w:t>
      </w:r>
      <w:r w:rsidR="001A3F7D">
        <w:rPr>
          <w:rFonts w:eastAsia="Times New Roman" w:cs="Times New Roman"/>
          <w:i/>
        </w:rPr>
        <w:t>Zadań</w:t>
      </w:r>
      <w:r w:rsidR="00CC7DA4">
        <w:rPr>
          <w:rFonts w:eastAsia="Times New Roman" w:cs="Times New Roman"/>
          <w:i/>
        </w:rPr>
        <w:t xml:space="preserve"> koordynacyjn</w:t>
      </w:r>
      <w:r w:rsidR="001A3F7D">
        <w:rPr>
          <w:rFonts w:eastAsia="Times New Roman" w:cs="Times New Roman"/>
          <w:i/>
        </w:rPr>
        <w:t>ych</w:t>
      </w:r>
      <w:r w:rsidR="00CC7DA4">
        <w:rPr>
          <w:rFonts w:eastAsia="Times New Roman" w:cs="Times New Roman"/>
          <w:i/>
        </w:rPr>
        <w:t>, ewaluacyjn</w:t>
      </w:r>
      <w:r w:rsidR="001A3F7D">
        <w:rPr>
          <w:rFonts w:eastAsia="Times New Roman" w:cs="Times New Roman"/>
          <w:i/>
        </w:rPr>
        <w:t>ych i badawczych</w:t>
      </w:r>
    </w:p>
    <w:p w:rsidR="00280549" w:rsidRPr="00280549" w:rsidRDefault="00280549" w:rsidP="00280549">
      <w:pPr>
        <w:spacing w:after="120" w:line="276" w:lineRule="auto"/>
        <w:jc w:val="both"/>
        <w:rPr>
          <w:rFonts w:eastAsia="Times New Roman" w:cs="Times New Roman"/>
          <w:b/>
          <w:bCs/>
          <w:smallCaps/>
          <w:spacing w:val="5"/>
          <w:sz w:val="28"/>
          <w:szCs w:val="28"/>
        </w:rPr>
      </w:pPr>
    </w:p>
    <w:p w:rsidR="00280549" w:rsidRPr="00280549" w:rsidRDefault="00280549" w:rsidP="00280549">
      <w:pPr>
        <w:spacing w:after="120" w:line="276" w:lineRule="auto"/>
        <w:jc w:val="both"/>
        <w:rPr>
          <w:rFonts w:eastAsia="Times New Roman" w:cs="Times New Roman"/>
          <w:b/>
          <w:bCs/>
          <w:smallCaps/>
          <w:spacing w:val="5"/>
          <w:sz w:val="28"/>
          <w:szCs w:val="28"/>
        </w:rPr>
      </w:pPr>
      <w:r w:rsidRPr="00280549">
        <w:rPr>
          <w:rFonts w:eastAsia="Times New Roman" w:cs="Times New Roman"/>
          <w:b/>
          <w:bCs/>
          <w:smallCaps/>
          <w:spacing w:val="5"/>
          <w:sz w:val="28"/>
          <w:szCs w:val="28"/>
        </w:rPr>
        <w:t>Zadanie będące przedmiotem konkursu ofert</w:t>
      </w:r>
    </w:p>
    <w:p w:rsidR="00280549" w:rsidRPr="00280549" w:rsidRDefault="00280549" w:rsidP="00280549">
      <w:pPr>
        <w:spacing w:after="0" w:line="276" w:lineRule="auto"/>
        <w:jc w:val="both"/>
        <w:rPr>
          <w:rFonts w:eastAsia="Times New Roman" w:cs="Arial"/>
        </w:rPr>
      </w:pPr>
      <w:r w:rsidRPr="00280549">
        <w:rPr>
          <w:rFonts w:eastAsia="Times New Roman" w:cs="Arial"/>
        </w:rPr>
        <w:t xml:space="preserve">Przedmiotem konkursu jest wybór realizatora zadania z zakresu zdrowia publicznego polegającego </w:t>
      </w:r>
      <w:r>
        <w:rPr>
          <w:rFonts w:eastAsia="Times New Roman" w:cs="Arial"/>
        </w:rPr>
        <w:br/>
      </w:r>
      <w:r w:rsidRPr="00280549">
        <w:rPr>
          <w:rFonts w:eastAsia="Times New Roman" w:cs="Arial"/>
        </w:rPr>
        <w:t xml:space="preserve">na opracowaniu systemowego </w:t>
      </w:r>
      <w:r w:rsidR="008B608F">
        <w:rPr>
          <w:rFonts w:eastAsia="Times New Roman" w:cs="Arial"/>
        </w:rPr>
        <w:t xml:space="preserve">wsparcia u młodzieży szkolnej i </w:t>
      </w:r>
      <w:r w:rsidRPr="00280549">
        <w:rPr>
          <w:rFonts w:eastAsia="Times New Roman" w:cs="Arial"/>
        </w:rPr>
        <w:t>studenckiej</w:t>
      </w:r>
      <w:r w:rsidR="008B608F">
        <w:rPr>
          <w:rFonts w:eastAsia="Times New Roman" w:cs="Arial"/>
        </w:rPr>
        <w:t xml:space="preserve"> oraz osób starszych</w:t>
      </w:r>
      <w:r w:rsidRPr="00280549">
        <w:rPr>
          <w:rFonts w:eastAsia="Times New Roman" w:cs="Arial"/>
        </w:rPr>
        <w:t xml:space="preserve"> mechanizmów automotywacji do zmiany stylu życia oraz promocji zachowań prozdrowotnych </w:t>
      </w:r>
      <w:r w:rsidR="008B608F">
        <w:rPr>
          <w:rFonts w:eastAsia="Times New Roman" w:cs="Arial"/>
        </w:rPr>
        <w:br/>
      </w:r>
      <w:r w:rsidRPr="00280549">
        <w:rPr>
          <w:rFonts w:eastAsia="Times New Roman" w:cs="Arial"/>
        </w:rPr>
        <w:t xml:space="preserve">w obszarze profilaktyki otyłości, zdrowia psychicznego i przeciwdziałaniu uzależnieniom m.in. </w:t>
      </w:r>
      <w:r w:rsidR="008B608F">
        <w:rPr>
          <w:rFonts w:eastAsia="Times New Roman" w:cs="Arial"/>
        </w:rPr>
        <w:br/>
      </w:r>
      <w:r w:rsidRPr="00280549">
        <w:rPr>
          <w:rFonts w:eastAsia="Times New Roman" w:cs="Arial"/>
        </w:rPr>
        <w:t>w środowisku szkolnym i akademickim, oraz przeprowadzeniu pilotażu i ocenie skuteczności programu poprzez:</w:t>
      </w:r>
    </w:p>
    <w:p w:rsidR="00280549" w:rsidRPr="00815DD0" w:rsidRDefault="00280549" w:rsidP="00815DD0">
      <w:pPr>
        <w:pStyle w:val="Akapitzlist"/>
        <w:numPr>
          <w:ilvl w:val="0"/>
          <w:numId w:val="2"/>
        </w:numPr>
        <w:spacing w:after="0" w:line="276" w:lineRule="auto"/>
        <w:ind w:left="709" w:hanging="425"/>
        <w:jc w:val="both"/>
        <w:rPr>
          <w:rFonts w:eastAsia="Times New Roman" w:cs="Arial"/>
        </w:rPr>
      </w:pPr>
      <w:r w:rsidRPr="00280549">
        <w:rPr>
          <w:rFonts w:eastAsia="Times New Roman" w:cs="Arial"/>
        </w:rPr>
        <w:t>opracowanie założeń programu i narzędzi do jego realizacji (w tym narzędzi informatycznych wspierających uczestników realizujących program),</w:t>
      </w:r>
    </w:p>
    <w:p w:rsidR="00280549" w:rsidRPr="00280549" w:rsidRDefault="00280549" w:rsidP="00280549">
      <w:pPr>
        <w:pStyle w:val="Akapitzlist"/>
        <w:numPr>
          <w:ilvl w:val="0"/>
          <w:numId w:val="2"/>
        </w:numPr>
        <w:spacing w:after="0" w:line="276" w:lineRule="auto"/>
        <w:ind w:left="709" w:hanging="425"/>
        <w:jc w:val="both"/>
        <w:rPr>
          <w:rFonts w:eastAsia="Times New Roman" w:cs="Arial"/>
        </w:rPr>
      </w:pPr>
      <w:r w:rsidRPr="00280549">
        <w:rPr>
          <w:rFonts w:eastAsia="Times New Roman" w:cs="Arial"/>
        </w:rPr>
        <w:t>przeprowadzenie ogólnopolskiej kampanii informacyjnej kierowanej do grupy docelowej</w:t>
      </w:r>
      <w:r>
        <w:rPr>
          <w:rFonts w:eastAsia="Times New Roman" w:cs="Arial"/>
        </w:rPr>
        <w:t>,</w:t>
      </w:r>
    </w:p>
    <w:p w:rsidR="00280549" w:rsidRPr="00280549" w:rsidRDefault="00280549" w:rsidP="00280549">
      <w:pPr>
        <w:pStyle w:val="Akapitzlist"/>
        <w:numPr>
          <w:ilvl w:val="0"/>
          <w:numId w:val="2"/>
        </w:numPr>
        <w:spacing w:after="0" w:line="276" w:lineRule="auto"/>
        <w:ind w:left="709" w:hanging="425"/>
        <w:jc w:val="both"/>
        <w:rPr>
          <w:rFonts w:eastAsia="Times New Roman" w:cs="Arial"/>
        </w:rPr>
      </w:pPr>
      <w:r w:rsidRPr="00280549">
        <w:rPr>
          <w:rFonts w:eastAsia="Times New Roman" w:cs="Arial"/>
        </w:rPr>
        <w:t>promocję programu</w:t>
      </w:r>
      <w:r>
        <w:rPr>
          <w:rFonts w:eastAsia="Times New Roman" w:cs="Arial"/>
        </w:rPr>
        <w:t>,</w:t>
      </w:r>
      <w:r w:rsidRPr="00280549">
        <w:rPr>
          <w:rFonts w:eastAsia="Times New Roman" w:cs="Arial"/>
        </w:rPr>
        <w:t xml:space="preserve"> </w:t>
      </w:r>
    </w:p>
    <w:p w:rsidR="00280549" w:rsidRPr="00CC7DA4" w:rsidRDefault="00280549" w:rsidP="001A3F7D">
      <w:pPr>
        <w:pStyle w:val="Akapitzlist"/>
        <w:numPr>
          <w:ilvl w:val="0"/>
          <w:numId w:val="2"/>
        </w:numPr>
        <w:spacing w:after="120" w:line="276" w:lineRule="auto"/>
        <w:ind w:left="709" w:hanging="425"/>
        <w:contextualSpacing w:val="0"/>
        <w:jc w:val="both"/>
        <w:rPr>
          <w:rFonts w:eastAsia="Times New Roman" w:cs="Arial"/>
        </w:rPr>
      </w:pPr>
      <w:r w:rsidRPr="00280549">
        <w:rPr>
          <w:rFonts w:eastAsia="Times New Roman" w:cs="Arial"/>
        </w:rPr>
        <w:t>walidację w grupach testowych założon</w:t>
      </w:r>
      <w:r>
        <w:rPr>
          <w:rFonts w:eastAsia="Times New Roman" w:cs="Arial"/>
        </w:rPr>
        <w:t>ej metodyki realizacji projektu.</w:t>
      </w:r>
    </w:p>
    <w:p w:rsidR="00280549" w:rsidRPr="00280549" w:rsidRDefault="00280549" w:rsidP="00280549">
      <w:pPr>
        <w:spacing w:after="200" w:line="276" w:lineRule="auto"/>
        <w:jc w:val="both"/>
        <w:rPr>
          <w:rFonts w:eastAsia="Times New Roman" w:cs="Times New Roman"/>
        </w:rPr>
      </w:pPr>
      <w:r w:rsidRPr="00280549">
        <w:rPr>
          <w:rFonts w:eastAsia="Times New Roman" w:cs="Times New Roman"/>
        </w:rPr>
        <w:t>Zadanie powinno być realizowane z uwzględnieniem aktualnej wiedzy naukowej.</w:t>
      </w:r>
    </w:p>
    <w:p w:rsidR="00280549" w:rsidRPr="00280549" w:rsidRDefault="00280549" w:rsidP="00280549">
      <w:pPr>
        <w:spacing w:after="200" w:line="276" w:lineRule="auto"/>
        <w:jc w:val="both"/>
        <w:rPr>
          <w:rFonts w:eastAsia="Times New Roman" w:cs="Times New Roman"/>
          <w:b/>
          <w:u w:val="single"/>
        </w:rPr>
      </w:pPr>
      <w:r w:rsidRPr="00280549">
        <w:rPr>
          <w:rFonts w:eastAsia="Times New Roman" w:cs="Times New Roman"/>
          <w:b/>
          <w:u w:val="single"/>
        </w:rPr>
        <w:t>Informacje ogólne</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Szczególnie istotnym elementem projektu powinien być komponent związany z nauką stawiania sobie celów i metody ich osiągania. Komponent powinien zostać zrealizowany w oparciu o sprawdzone narzędzia i metodologię tak, aby uczestnicy programu mogli, przy wsparciu zewnętrznym realizowanym za pomocą technologii informatycznych, radzić sobie nie tylko z porażkami ale przede wszystkim z budowaniem własnej wartości i skutecznie się motywować w drodze do osiągnięcia stawianego sobie celu. Program powinien uczyć kreatywności w poszukiwaniu nowych rozwiązań i </w:t>
      </w:r>
      <w:r w:rsidRPr="00280549">
        <w:rPr>
          <w:rFonts w:eastAsia="Times New Roman" w:cs="Times New Roman"/>
        </w:rPr>
        <w:lastRenderedPageBreak/>
        <w:t xml:space="preserve">przełamywania schematów, tak aby był realnym wsparciem dla młodych ludzi i zachęcał ich do podejmowania procesu zmiany. </w:t>
      </w:r>
    </w:p>
    <w:p w:rsidR="00280549" w:rsidRPr="00280549" w:rsidRDefault="00280549" w:rsidP="00815DD0">
      <w:pPr>
        <w:spacing w:after="120" w:line="276" w:lineRule="auto"/>
        <w:jc w:val="both"/>
        <w:rPr>
          <w:rFonts w:eastAsia="Times New Roman" w:cs="Times New Roman"/>
        </w:rPr>
      </w:pPr>
      <w:r w:rsidRPr="00280549">
        <w:rPr>
          <w:rFonts w:eastAsia="Times New Roman" w:cs="Times New Roman"/>
        </w:rPr>
        <w:t xml:space="preserve">W ramach projektu oczekiwane jest również </w:t>
      </w:r>
      <w:r w:rsidR="008B608F">
        <w:rPr>
          <w:rFonts w:eastAsia="Times New Roman" w:cs="Times New Roman"/>
        </w:rPr>
        <w:t>stworzenie</w:t>
      </w:r>
      <w:r w:rsidRPr="00280549">
        <w:rPr>
          <w:rFonts w:eastAsia="Times New Roman" w:cs="Times New Roman"/>
        </w:rPr>
        <w:t xml:space="preserve"> aplikacji mobilnej dostępnej </w:t>
      </w:r>
      <w:r>
        <w:rPr>
          <w:rFonts w:eastAsia="Times New Roman" w:cs="Times New Roman"/>
        </w:rPr>
        <w:br/>
      </w:r>
      <w:r w:rsidRPr="00280549">
        <w:rPr>
          <w:rFonts w:eastAsia="Times New Roman" w:cs="Times New Roman"/>
        </w:rPr>
        <w:t>dla najpopularniejszych systemów operacyjnych</w:t>
      </w:r>
      <w:r w:rsidR="00815DD0">
        <w:rPr>
          <w:rFonts w:eastAsia="Times New Roman" w:cs="Times New Roman"/>
        </w:rPr>
        <w:t xml:space="preserve"> (Android, iOS, </w:t>
      </w:r>
      <w:r w:rsidR="00815DD0" w:rsidRPr="00815DD0">
        <w:rPr>
          <w:rFonts w:eastAsia="Times New Roman" w:cs="Times New Roman"/>
        </w:rPr>
        <w:t>Windows</w:t>
      </w:r>
      <w:r w:rsidR="00815DD0">
        <w:rPr>
          <w:rFonts w:eastAsia="Times New Roman" w:cs="Times New Roman"/>
        </w:rPr>
        <w:t>)</w:t>
      </w:r>
      <w:r w:rsidRPr="00280549">
        <w:rPr>
          <w:rFonts w:eastAsia="Times New Roman" w:cs="Times New Roman"/>
        </w:rPr>
        <w:t xml:space="preserve">, zapewniającej interakcję </w:t>
      </w:r>
      <w:r w:rsidR="00815DD0">
        <w:rPr>
          <w:rFonts w:eastAsia="Times New Roman" w:cs="Times New Roman"/>
        </w:rPr>
        <w:br/>
      </w:r>
      <w:r w:rsidRPr="00280549">
        <w:rPr>
          <w:rFonts w:eastAsia="Times New Roman" w:cs="Times New Roman"/>
        </w:rPr>
        <w:t xml:space="preserve">z uczestnikami projektu w obszarach kreowania schematów automotywacyjnych, promocji właściwych nawyków żywieniowych i aktywności fizycznej, dostarczania celowanych treści edukacyjnych oraz zapewnienia dostępu do zwalidowanych testów i ankiet określających ryzyka depresji oraz uzależnień. Projekt ten pozwoli na ocenę przydatności technik informatycznych w kreowaniu postaw prozdrowotnych, budowaniu mechanizmów automotywacji i samozaangażowania oraz w profilaktyce chorób spowodowanych otyłością, złymi nawykami żywieniowymi, brakiem aktywności fizycznej oraz </w:t>
      </w:r>
      <w:r>
        <w:rPr>
          <w:rFonts w:eastAsia="Times New Roman" w:cs="Times New Roman"/>
        </w:rPr>
        <w:br/>
      </w:r>
      <w:r w:rsidRPr="00280549">
        <w:rPr>
          <w:rFonts w:eastAsia="Times New Roman" w:cs="Times New Roman"/>
        </w:rPr>
        <w:t>w prewencji depresji i uzależnień.</w:t>
      </w:r>
    </w:p>
    <w:p w:rsidR="00280549" w:rsidRPr="00280549" w:rsidRDefault="00280549" w:rsidP="00280549">
      <w:pPr>
        <w:spacing w:after="120" w:line="276" w:lineRule="auto"/>
        <w:jc w:val="both"/>
        <w:rPr>
          <w:rFonts w:eastAsia="Times New Roman" w:cs="Times New Roman"/>
          <w:b/>
        </w:rPr>
      </w:pPr>
      <w:r w:rsidRPr="00280549">
        <w:rPr>
          <w:rFonts w:eastAsia="Times New Roman" w:cs="Times New Roman"/>
          <w:b/>
          <w:u w:val="single"/>
        </w:rPr>
        <w:t>Podmioty uprawnione do składania ofert w konkursie</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Oferentami mogą </w:t>
      </w:r>
      <w:r w:rsidRPr="00280549">
        <w:rPr>
          <w:rFonts w:eastAsia="Times New Roman" w:cs="Calibri"/>
        </w:rPr>
        <w:t>być podmioty, określone w art. 3 ust. 2 ustawy, to jest</w:t>
      </w:r>
      <w:r w:rsidRPr="00280549">
        <w:rPr>
          <w:rFonts w:eastAsia="Times New Roman" w:cs="Times New Roman"/>
        </w:rPr>
        <w:t>:</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podmioty, których cele statutowe lub przedmiot działalności dotyczą spraw objętych zadaniami z zakresu zdrowia publicznego określonymi w art. 2 ustawy, w tym organizacje pozarządowe </w:t>
      </w:r>
      <w:r w:rsidRPr="00280549">
        <w:rPr>
          <w:rFonts w:eastAsia="Times New Roman" w:cs="Times New Roman"/>
        </w:rPr>
        <w:br/>
        <w:t>i podmioty, o których mowa w art. 3 ust. 2 i 3 ustawy z dnia 24 kwietnia 2003 r. o działalności pożytku publicznego i o wolontariacie (Dz. U. z 2016 r. poz. 1817, z późn. zm.), spełniające kryteria wyboru wskazane w ogłoszeniu o konkursie ofert.</w:t>
      </w:r>
    </w:p>
    <w:p w:rsidR="00280549" w:rsidRPr="00280549" w:rsidRDefault="00280549" w:rsidP="00280549">
      <w:pPr>
        <w:spacing w:after="120" w:line="276" w:lineRule="auto"/>
        <w:jc w:val="both"/>
        <w:rPr>
          <w:rFonts w:eastAsia="Times New Roman" w:cs="Times New Roman"/>
          <w:spacing w:val="5"/>
        </w:rPr>
      </w:pPr>
      <w:r w:rsidRPr="00280549">
        <w:rPr>
          <w:rFonts w:eastAsia="Times New Roman" w:cs="Times New Roman"/>
          <w:b/>
          <w:bCs/>
          <w:smallCaps/>
          <w:spacing w:val="5"/>
          <w:sz w:val="28"/>
          <w:szCs w:val="28"/>
        </w:rPr>
        <w:t>Kryteria oceny ofert</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Pozostałe informacje o formalnych i merytorycznych kryteriach oceny zawarte są w części B ogłoszenia.</w:t>
      </w:r>
    </w:p>
    <w:p w:rsidR="00280549" w:rsidRPr="00280549" w:rsidRDefault="00280549" w:rsidP="00280549">
      <w:pPr>
        <w:spacing w:after="120" w:line="276" w:lineRule="auto"/>
        <w:jc w:val="both"/>
        <w:rPr>
          <w:rFonts w:eastAsia="Times New Roman" w:cs="Times New Roman"/>
          <w:b/>
        </w:rPr>
      </w:pPr>
      <w:r w:rsidRPr="00280549">
        <w:rPr>
          <w:rFonts w:eastAsia="Times New Roman" w:cs="Times New Roman"/>
          <w:b/>
        </w:rPr>
        <w:t>Kryteria dostępu</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Kryteria dostępu dotyczą warunków, jakie powinna spełniać oferta oraz oferent, żeby móc ubiegać się o finansowanie zadania w konkursie. Spełnienie kryteriów jest konieczne do przyznania finansowania. Kryteria dostępu są oceniane na etapie oceny formalnej lub oceny merytorycznej. Ocena spełnienia kryterium polega na przypisaniu wynikowi weryfikacji wartości </w:t>
      </w:r>
      <w:r w:rsidRPr="00280549">
        <w:rPr>
          <w:rFonts w:eastAsia="Times New Roman" w:cs="Times New Roman"/>
          <w:i/>
        </w:rPr>
        <w:t>tak</w:t>
      </w:r>
      <w:r w:rsidRPr="00280549">
        <w:rPr>
          <w:rFonts w:eastAsia="Times New Roman" w:cs="Times New Roman"/>
        </w:rPr>
        <w:t xml:space="preserve"> lub </w:t>
      </w:r>
      <w:r w:rsidRPr="00280549">
        <w:rPr>
          <w:rFonts w:eastAsia="Times New Roman" w:cs="Times New Roman"/>
          <w:i/>
        </w:rPr>
        <w:t>nie</w:t>
      </w:r>
      <w:r w:rsidRPr="00280549">
        <w:rPr>
          <w:rFonts w:eastAsia="Times New Roman" w:cs="Times New Roman"/>
        </w:rPr>
        <w:t>.</w:t>
      </w:r>
    </w:p>
    <w:p w:rsidR="00280549" w:rsidRPr="00280549" w:rsidRDefault="00280549" w:rsidP="00280549">
      <w:pPr>
        <w:pBdr>
          <w:top w:val="single" w:sz="4" w:space="1" w:color="auto"/>
          <w:left w:val="single" w:sz="4" w:space="0" w:color="auto"/>
          <w:bottom w:val="single" w:sz="4" w:space="1" w:color="auto"/>
          <w:right w:val="single" w:sz="4" w:space="0" w:color="auto"/>
          <w:between w:val="single" w:sz="4" w:space="1" w:color="auto"/>
        </w:pBdr>
        <w:spacing w:after="120" w:line="276" w:lineRule="auto"/>
        <w:jc w:val="both"/>
        <w:rPr>
          <w:rFonts w:eastAsia="Times New Roman" w:cs="Times New Roman"/>
          <w:b/>
        </w:rPr>
      </w:pPr>
      <w:r w:rsidRPr="00280549">
        <w:rPr>
          <w:rFonts w:eastAsia="Times New Roman" w:cs="Times New Roman"/>
          <w:noProof/>
          <w:lang w:eastAsia="pl-PL"/>
        </w:rPr>
        <w:drawing>
          <wp:anchor distT="0" distB="0" distL="114300" distR="114300" simplePos="0" relativeHeight="251659264" behindDoc="0" locked="0" layoutInCell="1" allowOverlap="1" wp14:anchorId="0E91B4D0" wp14:editId="06D24AE9">
            <wp:simplePos x="0" y="0"/>
            <wp:positionH relativeFrom="column">
              <wp:posOffset>-356235</wp:posOffset>
            </wp:positionH>
            <wp:positionV relativeFrom="paragraph">
              <wp:posOffset>327660</wp:posOffset>
            </wp:positionV>
            <wp:extent cx="278130" cy="278130"/>
            <wp:effectExtent l="0" t="0" r="0" b="0"/>
            <wp:wrapNone/>
            <wp:docPr id="2" name="Obraz 7"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s://image.freepik.com/darmowe-ikony/wykrzyknik_318-4216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549">
        <w:rPr>
          <w:rFonts w:eastAsia="Times New Roman" w:cs="Times New Roman"/>
        </w:rPr>
        <w:t xml:space="preserve">Spełnienie kryteriów dostępu będzie weryfikowane na podstawie treści oferty, dlatego też wszelkie </w:t>
      </w:r>
      <w:r w:rsidRPr="00280549">
        <w:rPr>
          <w:rFonts w:eastAsia="Times New Roman" w:cs="Times New Roman"/>
          <w:b/>
        </w:rPr>
        <w:t>informacje potwierdzające spełnienie kryteriów muszą być wprost zawarte – poprzez odpowiednie zapisy - w poszczególnych punktach oferty</w:t>
      </w:r>
      <w:r w:rsidRPr="00280549">
        <w:rPr>
          <w:rFonts w:eastAsia="Times New Roman" w:cs="Times New Roman"/>
        </w:rPr>
        <w:t xml:space="preserve"> poprzez opisanie doświadczenia oferenta, jego potencjału, planowanych działań i ich kosztów, deklarowanych rezultatów. </w:t>
      </w:r>
    </w:p>
    <w:tbl>
      <w:tblPr>
        <w:tblStyle w:val="Tabela-Siatka"/>
        <w:tblW w:w="8936" w:type="dxa"/>
        <w:tblInd w:w="244" w:type="dxa"/>
        <w:tblLook w:val="04A0" w:firstRow="1" w:lastRow="0" w:firstColumn="1" w:lastColumn="0" w:noHBand="0" w:noVBand="1"/>
      </w:tblPr>
      <w:tblGrid>
        <w:gridCol w:w="602"/>
        <w:gridCol w:w="4497"/>
        <w:gridCol w:w="3837"/>
      </w:tblGrid>
      <w:tr w:rsidR="00280549" w:rsidRPr="00280549" w:rsidTr="009877F8">
        <w:tc>
          <w:tcPr>
            <w:tcW w:w="602" w:type="dxa"/>
          </w:tcPr>
          <w:p w:rsidR="00280549" w:rsidRPr="00280549" w:rsidRDefault="00280549" w:rsidP="00280549">
            <w:pPr>
              <w:spacing w:after="120" w:line="276" w:lineRule="auto"/>
              <w:jc w:val="center"/>
            </w:pPr>
            <w:r w:rsidRPr="00280549">
              <w:t>Lp.</w:t>
            </w:r>
          </w:p>
        </w:tc>
        <w:tc>
          <w:tcPr>
            <w:tcW w:w="4497" w:type="dxa"/>
          </w:tcPr>
          <w:p w:rsidR="00280549" w:rsidRPr="00280549" w:rsidRDefault="00280549" w:rsidP="00280549">
            <w:pPr>
              <w:spacing w:after="120" w:line="276" w:lineRule="auto"/>
              <w:jc w:val="center"/>
              <w:rPr>
                <w:color w:val="262626" w:themeColor="text1" w:themeTint="D9"/>
              </w:rPr>
            </w:pPr>
            <w:r w:rsidRPr="00280549">
              <w:rPr>
                <w:color w:val="262626" w:themeColor="text1" w:themeTint="D9"/>
              </w:rPr>
              <w:t>Nazwa kryterium dostępu</w:t>
            </w:r>
          </w:p>
        </w:tc>
        <w:tc>
          <w:tcPr>
            <w:tcW w:w="3837" w:type="dxa"/>
          </w:tcPr>
          <w:p w:rsidR="00280549" w:rsidRPr="00280549" w:rsidRDefault="00280549" w:rsidP="00280549">
            <w:pPr>
              <w:spacing w:after="120" w:line="276" w:lineRule="auto"/>
              <w:jc w:val="center"/>
              <w:rPr>
                <w:color w:val="262626" w:themeColor="text1" w:themeTint="D9"/>
              </w:rPr>
            </w:pPr>
            <w:r w:rsidRPr="00280549">
              <w:rPr>
                <w:color w:val="262626" w:themeColor="text1" w:themeTint="D9"/>
              </w:rPr>
              <w:t xml:space="preserve">Etap oceny </w:t>
            </w:r>
            <w:r w:rsidRPr="00280549">
              <w:rPr>
                <w:color w:val="262626" w:themeColor="text1" w:themeTint="D9"/>
              </w:rPr>
              <w:br/>
              <w:t>(ocena formalna/ocena merytoryczna)</w:t>
            </w:r>
          </w:p>
        </w:tc>
      </w:tr>
      <w:tr w:rsidR="00280549" w:rsidRPr="00280549" w:rsidTr="009877F8">
        <w:tc>
          <w:tcPr>
            <w:tcW w:w="602" w:type="dxa"/>
          </w:tcPr>
          <w:p w:rsidR="00280549" w:rsidRPr="00280549" w:rsidRDefault="00280549" w:rsidP="00280549">
            <w:pPr>
              <w:spacing w:after="120" w:line="276" w:lineRule="auto"/>
              <w:jc w:val="both"/>
            </w:pPr>
            <w:r w:rsidRPr="00280549">
              <w:t>1.</w:t>
            </w:r>
          </w:p>
        </w:tc>
        <w:tc>
          <w:tcPr>
            <w:tcW w:w="4497" w:type="dxa"/>
          </w:tcPr>
          <w:p w:rsidR="00280549" w:rsidRPr="00280549" w:rsidRDefault="00280549" w:rsidP="00CD29E5">
            <w:pPr>
              <w:suppressAutoHyphens/>
              <w:rPr>
                <w:color w:val="262626" w:themeColor="text1" w:themeTint="D9"/>
              </w:rPr>
            </w:pPr>
            <w:r w:rsidRPr="00280549">
              <w:rPr>
                <w:color w:val="262626" w:themeColor="text1" w:themeTint="D9"/>
              </w:rPr>
              <w:t>Oferent zobowiązuje się do zapewnienia zaplecza merytorycznego i technicznego niezbędnego do realizacji przedmiotowego zadania.</w:t>
            </w:r>
            <w:r w:rsidRPr="00280549">
              <w:rPr>
                <w:color w:val="262626" w:themeColor="text1" w:themeTint="D9"/>
              </w:rPr>
              <w:tab/>
            </w:r>
          </w:p>
        </w:tc>
        <w:tc>
          <w:tcPr>
            <w:tcW w:w="3837" w:type="dxa"/>
          </w:tcPr>
          <w:p w:rsidR="00280549" w:rsidRPr="00280549" w:rsidRDefault="00280549" w:rsidP="00280549">
            <w:pPr>
              <w:suppressAutoHyphens/>
              <w:spacing w:after="200" w:line="276" w:lineRule="auto"/>
              <w:jc w:val="both"/>
              <w:rPr>
                <w:color w:val="262626" w:themeColor="text1" w:themeTint="D9"/>
              </w:rPr>
            </w:pPr>
            <w:r w:rsidRPr="00280549">
              <w:rPr>
                <w:color w:val="262626" w:themeColor="text1" w:themeTint="D9"/>
              </w:rPr>
              <w:t>Ocena formalna</w:t>
            </w:r>
          </w:p>
        </w:tc>
      </w:tr>
      <w:tr w:rsidR="00280549" w:rsidRPr="00280549" w:rsidTr="009877F8">
        <w:tc>
          <w:tcPr>
            <w:tcW w:w="602" w:type="dxa"/>
          </w:tcPr>
          <w:p w:rsidR="00280549" w:rsidRPr="00280549" w:rsidRDefault="00280549" w:rsidP="00280549">
            <w:pPr>
              <w:spacing w:after="120" w:line="276" w:lineRule="auto"/>
              <w:jc w:val="both"/>
            </w:pPr>
            <w:r w:rsidRPr="00280549">
              <w:t>2.</w:t>
            </w:r>
          </w:p>
        </w:tc>
        <w:tc>
          <w:tcPr>
            <w:tcW w:w="4497" w:type="dxa"/>
          </w:tcPr>
          <w:p w:rsidR="00280549" w:rsidRPr="00280549" w:rsidRDefault="00CD29E5" w:rsidP="00CD29E5">
            <w:pPr>
              <w:suppressAutoHyphens/>
              <w:jc w:val="both"/>
              <w:rPr>
                <w:color w:val="262626" w:themeColor="text1" w:themeTint="D9"/>
              </w:rPr>
            </w:pPr>
            <w:r w:rsidRPr="00CD29E5">
              <w:rPr>
                <w:color w:val="262626" w:themeColor="text1" w:themeTint="D9"/>
              </w:rPr>
              <w:t>Oferent wskaże w ofercie, że grupą docelową jest młodzież szkolna i studencka</w:t>
            </w:r>
            <w:r w:rsidR="00D20D17">
              <w:rPr>
                <w:color w:val="262626" w:themeColor="text1" w:themeTint="D9"/>
              </w:rPr>
              <w:t>.</w:t>
            </w:r>
            <w:r w:rsidRPr="00CD29E5">
              <w:rPr>
                <w:color w:val="262626" w:themeColor="text1" w:themeTint="D9"/>
              </w:rPr>
              <w:tab/>
            </w:r>
          </w:p>
        </w:tc>
        <w:tc>
          <w:tcPr>
            <w:tcW w:w="3837" w:type="dxa"/>
          </w:tcPr>
          <w:p w:rsidR="00280549" w:rsidRPr="00280549" w:rsidRDefault="00280549" w:rsidP="00280549">
            <w:pPr>
              <w:suppressAutoHyphens/>
              <w:spacing w:after="200" w:line="276" w:lineRule="auto"/>
              <w:jc w:val="both"/>
              <w:rPr>
                <w:color w:val="262626" w:themeColor="text1" w:themeTint="D9"/>
              </w:rPr>
            </w:pPr>
            <w:r w:rsidRPr="00280549">
              <w:rPr>
                <w:color w:val="262626" w:themeColor="text1" w:themeTint="D9"/>
              </w:rPr>
              <w:t>Ocena formalna</w:t>
            </w:r>
          </w:p>
        </w:tc>
      </w:tr>
      <w:tr w:rsidR="00CD29E5" w:rsidRPr="00280549" w:rsidTr="009877F8">
        <w:tc>
          <w:tcPr>
            <w:tcW w:w="602" w:type="dxa"/>
          </w:tcPr>
          <w:p w:rsidR="00CD29E5" w:rsidRPr="00280549" w:rsidRDefault="00CD29E5" w:rsidP="00280549">
            <w:pPr>
              <w:spacing w:after="120" w:line="276" w:lineRule="auto"/>
              <w:jc w:val="both"/>
            </w:pPr>
            <w:r w:rsidRPr="00280549">
              <w:t>3.</w:t>
            </w:r>
          </w:p>
        </w:tc>
        <w:tc>
          <w:tcPr>
            <w:tcW w:w="4497" w:type="dxa"/>
          </w:tcPr>
          <w:p w:rsidR="00CD29E5" w:rsidRPr="00CD29E5" w:rsidRDefault="00CD29E5" w:rsidP="00D20D17">
            <w:pPr>
              <w:suppressAutoHyphens/>
              <w:rPr>
                <w:color w:val="262626" w:themeColor="text1" w:themeTint="D9"/>
              </w:rPr>
            </w:pPr>
            <w:r w:rsidRPr="00CD29E5">
              <w:rPr>
                <w:color w:val="262626" w:themeColor="text1" w:themeTint="D9"/>
              </w:rPr>
              <w:t>Oferent wskaże w ofercie, że obejmie programem pilotaż</w:t>
            </w:r>
            <w:r w:rsidR="008B608F">
              <w:rPr>
                <w:color w:val="262626" w:themeColor="text1" w:themeTint="D9"/>
              </w:rPr>
              <w:t xml:space="preserve">owym co najmniej 2000 uczniów, </w:t>
            </w:r>
            <w:r w:rsidRPr="00CD29E5">
              <w:rPr>
                <w:color w:val="262626" w:themeColor="text1" w:themeTint="D9"/>
              </w:rPr>
              <w:t xml:space="preserve">co najmniej 500 studentów </w:t>
            </w:r>
            <w:r w:rsidR="008B608F">
              <w:rPr>
                <w:color w:val="262626" w:themeColor="text1" w:themeTint="D9"/>
              </w:rPr>
              <w:t xml:space="preserve">i co </w:t>
            </w:r>
            <w:r w:rsidR="008B608F">
              <w:rPr>
                <w:color w:val="262626" w:themeColor="text1" w:themeTint="D9"/>
              </w:rPr>
              <w:lastRenderedPageBreak/>
              <w:t xml:space="preserve">najmniej 400 osób starszych, </w:t>
            </w:r>
            <w:r w:rsidRPr="00CD29E5">
              <w:rPr>
                <w:color w:val="262626" w:themeColor="text1" w:themeTint="D9"/>
              </w:rPr>
              <w:t>w co najmniej 4 województwach.</w:t>
            </w:r>
          </w:p>
        </w:tc>
        <w:tc>
          <w:tcPr>
            <w:tcW w:w="3837" w:type="dxa"/>
          </w:tcPr>
          <w:p w:rsidR="00CD29E5" w:rsidRPr="00280549" w:rsidRDefault="00CD29E5" w:rsidP="00280549">
            <w:pPr>
              <w:suppressAutoHyphens/>
              <w:spacing w:after="200" w:line="276" w:lineRule="auto"/>
              <w:jc w:val="both"/>
              <w:rPr>
                <w:color w:val="262626" w:themeColor="text1" w:themeTint="D9"/>
              </w:rPr>
            </w:pPr>
            <w:r w:rsidRPr="00CD29E5">
              <w:rPr>
                <w:color w:val="262626" w:themeColor="text1" w:themeTint="D9"/>
              </w:rPr>
              <w:lastRenderedPageBreak/>
              <w:t>Ocena formalna</w:t>
            </w:r>
          </w:p>
        </w:tc>
      </w:tr>
      <w:tr w:rsidR="00D20D17" w:rsidRPr="00280549" w:rsidTr="009877F8">
        <w:tc>
          <w:tcPr>
            <w:tcW w:w="602" w:type="dxa"/>
          </w:tcPr>
          <w:p w:rsidR="00D20D17" w:rsidRPr="00280549" w:rsidRDefault="00D20D17" w:rsidP="00D20D17">
            <w:pPr>
              <w:spacing w:after="120" w:line="276" w:lineRule="auto"/>
              <w:jc w:val="both"/>
            </w:pPr>
            <w:r w:rsidRPr="00280549">
              <w:t>4.</w:t>
            </w:r>
          </w:p>
        </w:tc>
        <w:tc>
          <w:tcPr>
            <w:tcW w:w="4497" w:type="dxa"/>
          </w:tcPr>
          <w:p w:rsidR="00D20D17" w:rsidRPr="00CD29E5" w:rsidRDefault="00D20D17" w:rsidP="00D20D17">
            <w:pPr>
              <w:suppressAutoHyphens/>
              <w:rPr>
                <w:color w:val="262626" w:themeColor="text1" w:themeTint="D9"/>
              </w:rPr>
            </w:pPr>
            <w:r w:rsidRPr="00D20D17">
              <w:rPr>
                <w:color w:val="262626" w:themeColor="text1" w:themeTint="D9"/>
              </w:rPr>
              <w:t>Oferent zagwarantuje w ofercie, że przeprowadzenie naboru uczestników zadania będzie w jego gestii</w:t>
            </w:r>
            <w:r>
              <w:rPr>
                <w:color w:val="262626" w:themeColor="text1" w:themeTint="D9"/>
              </w:rPr>
              <w:t>.</w:t>
            </w:r>
          </w:p>
        </w:tc>
        <w:tc>
          <w:tcPr>
            <w:tcW w:w="3837" w:type="dxa"/>
          </w:tcPr>
          <w:p w:rsidR="00D20D17" w:rsidRPr="00CD29E5" w:rsidRDefault="00D20D17" w:rsidP="00D20D17">
            <w:pPr>
              <w:suppressAutoHyphens/>
              <w:spacing w:after="200" w:line="276" w:lineRule="auto"/>
              <w:jc w:val="both"/>
              <w:rPr>
                <w:color w:val="262626" w:themeColor="text1" w:themeTint="D9"/>
              </w:rPr>
            </w:pPr>
            <w:r w:rsidRPr="00D20D17">
              <w:rPr>
                <w:color w:val="262626" w:themeColor="text1" w:themeTint="D9"/>
              </w:rPr>
              <w:t>Ocena formalna</w:t>
            </w:r>
          </w:p>
        </w:tc>
      </w:tr>
      <w:tr w:rsidR="00D20D17" w:rsidRPr="00280549" w:rsidTr="009877F8">
        <w:tc>
          <w:tcPr>
            <w:tcW w:w="602" w:type="dxa"/>
          </w:tcPr>
          <w:p w:rsidR="00D20D17" w:rsidRPr="00280549" w:rsidRDefault="00D20D17" w:rsidP="00D20D17">
            <w:pPr>
              <w:spacing w:after="120" w:line="276" w:lineRule="auto"/>
              <w:jc w:val="both"/>
            </w:pPr>
            <w:r w:rsidRPr="00280549">
              <w:t>5.</w:t>
            </w:r>
          </w:p>
        </w:tc>
        <w:tc>
          <w:tcPr>
            <w:tcW w:w="4497" w:type="dxa"/>
          </w:tcPr>
          <w:p w:rsidR="00D20D17" w:rsidRPr="00CD29E5" w:rsidRDefault="00D20D17" w:rsidP="00815DD0">
            <w:pPr>
              <w:suppressAutoHyphens/>
              <w:rPr>
                <w:color w:val="262626" w:themeColor="text1" w:themeTint="D9"/>
              </w:rPr>
            </w:pPr>
            <w:r w:rsidRPr="00D20D17">
              <w:rPr>
                <w:color w:val="262626" w:themeColor="text1" w:themeTint="D9"/>
              </w:rPr>
              <w:t>Oferent zobowiązuje się do przeprowadzenia projektu pilotażowego w grupie docelowej przez ok</w:t>
            </w:r>
            <w:r>
              <w:rPr>
                <w:color w:val="262626" w:themeColor="text1" w:themeTint="D9"/>
              </w:rPr>
              <w:t>res nie krótszy niż 1</w:t>
            </w:r>
            <w:r w:rsidR="00815DD0">
              <w:rPr>
                <w:color w:val="262626" w:themeColor="text1" w:themeTint="D9"/>
              </w:rPr>
              <w:t>8</w:t>
            </w:r>
            <w:r>
              <w:rPr>
                <w:color w:val="262626" w:themeColor="text1" w:themeTint="D9"/>
              </w:rPr>
              <w:t xml:space="preserve"> miesięcy.</w:t>
            </w:r>
          </w:p>
        </w:tc>
        <w:tc>
          <w:tcPr>
            <w:tcW w:w="3837" w:type="dxa"/>
          </w:tcPr>
          <w:p w:rsidR="00D20D17" w:rsidRPr="00CD29E5" w:rsidRDefault="00D20D17" w:rsidP="00D20D17">
            <w:pPr>
              <w:suppressAutoHyphens/>
              <w:spacing w:after="200" w:line="276" w:lineRule="auto"/>
              <w:jc w:val="both"/>
              <w:rPr>
                <w:color w:val="262626" w:themeColor="text1" w:themeTint="D9"/>
              </w:rPr>
            </w:pPr>
            <w:r w:rsidRPr="00D20D17">
              <w:rPr>
                <w:color w:val="262626" w:themeColor="text1" w:themeTint="D9"/>
              </w:rPr>
              <w:t>Ocena formalna</w:t>
            </w:r>
          </w:p>
        </w:tc>
      </w:tr>
      <w:tr w:rsidR="00D20D17" w:rsidRPr="00280549" w:rsidTr="009877F8">
        <w:tc>
          <w:tcPr>
            <w:tcW w:w="602" w:type="dxa"/>
          </w:tcPr>
          <w:p w:rsidR="00D20D17" w:rsidRPr="00280549" w:rsidRDefault="00D20D17" w:rsidP="00D20D17">
            <w:pPr>
              <w:spacing w:after="120" w:line="276" w:lineRule="auto"/>
              <w:jc w:val="both"/>
            </w:pPr>
            <w:r w:rsidRPr="00280549">
              <w:t>6.</w:t>
            </w:r>
          </w:p>
        </w:tc>
        <w:tc>
          <w:tcPr>
            <w:tcW w:w="4497" w:type="dxa"/>
          </w:tcPr>
          <w:p w:rsidR="00D20D17" w:rsidRPr="00D20D17" w:rsidRDefault="00D20D17" w:rsidP="00D20D17">
            <w:pPr>
              <w:suppressAutoHyphens/>
              <w:rPr>
                <w:color w:val="262626" w:themeColor="text1" w:themeTint="D9"/>
              </w:rPr>
            </w:pPr>
            <w:r w:rsidRPr="00D20D17">
              <w:rPr>
                <w:color w:val="262626" w:themeColor="text1" w:themeTint="D9"/>
              </w:rPr>
              <w:t>Oferent oświadczy, że uczestnicy programu rekrutowani będą w taki sposób, aby zapewnić reprezentatywność grupy docelowej w odniesieniu do populacji polskiej w określonej grupie wiekowej.</w:t>
            </w:r>
          </w:p>
        </w:tc>
        <w:tc>
          <w:tcPr>
            <w:tcW w:w="3837" w:type="dxa"/>
          </w:tcPr>
          <w:p w:rsidR="00D20D17" w:rsidRPr="00CD29E5" w:rsidRDefault="00D20D17" w:rsidP="00D20D17">
            <w:pPr>
              <w:suppressAutoHyphens/>
              <w:spacing w:after="200" w:line="276" w:lineRule="auto"/>
              <w:jc w:val="both"/>
              <w:rPr>
                <w:color w:val="262626" w:themeColor="text1" w:themeTint="D9"/>
              </w:rPr>
            </w:pPr>
            <w:r w:rsidRPr="00D20D17">
              <w:rPr>
                <w:color w:val="262626" w:themeColor="text1" w:themeTint="D9"/>
              </w:rPr>
              <w:t>Ocena formalna</w:t>
            </w:r>
          </w:p>
        </w:tc>
      </w:tr>
      <w:tr w:rsidR="00D20D17" w:rsidRPr="00280549" w:rsidTr="009877F8">
        <w:tc>
          <w:tcPr>
            <w:tcW w:w="602" w:type="dxa"/>
          </w:tcPr>
          <w:p w:rsidR="00D20D17" w:rsidRPr="00280549" w:rsidRDefault="00D20D17" w:rsidP="00D20D17">
            <w:pPr>
              <w:spacing w:after="120" w:line="276" w:lineRule="auto"/>
              <w:jc w:val="both"/>
            </w:pPr>
            <w:r>
              <w:t>7.</w:t>
            </w:r>
          </w:p>
        </w:tc>
        <w:tc>
          <w:tcPr>
            <w:tcW w:w="4497" w:type="dxa"/>
          </w:tcPr>
          <w:p w:rsidR="00D20D17" w:rsidRPr="00280549" w:rsidRDefault="00D20D17" w:rsidP="00E91417">
            <w:pPr>
              <w:autoSpaceDE w:val="0"/>
              <w:autoSpaceDN w:val="0"/>
              <w:adjustRightInd w:val="0"/>
              <w:spacing w:after="120"/>
              <w:rPr>
                <w:color w:val="262626" w:themeColor="text1" w:themeTint="D9"/>
              </w:rPr>
            </w:pPr>
            <w:r w:rsidRPr="00280549">
              <w:rPr>
                <w:color w:val="262626" w:themeColor="text1" w:themeTint="D9"/>
              </w:rPr>
              <w:t xml:space="preserve">W przypadku materiałów przeznaczonych do prezentowania na stronach internetowych - dokument powinien być przystosowany do standardu WCAG 2.0, zgodnie z rozporządzeniem Rady Ministrów z dnia 12 kwietnia 2012 r. w sprawie Krajowych Ram Interoperacyjności, minimalnych wymagań dla rejestrów publicznych i wymiany informacji w postaci elektronicznej oraz minimalnych wymagań dla systemów teleinformatycznych (Dz. U. z </w:t>
            </w:r>
            <w:r w:rsidR="00E91417">
              <w:rPr>
                <w:color w:val="262626" w:themeColor="text1" w:themeTint="D9"/>
              </w:rPr>
              <w:t>2016 r. poz. 113, z późn. zm.).</w:t>
            </w:r>
            <w:r w:rsidR="00C6677A" w:rsidRPr="00C6677A">
              <w:rPr>
                <w:color w:val="262626" w:themeColor="text1" w:themeTint="D9"/>
                <w:vertAlign w:val="superscript"/>
              </w:rPr>
              <w:t xml:space="preserve"> </w:t>
            </w:r>
            <w:r w:rsidR="00C6677A" w:rsidRPr="00C6677A">
              <w:rPr>
                <w:color w:val="262626" w:themeColor="text1" w:themeTint="D9"/>
                <w:vertAlign w:val="superscript"/>
              </w:rPr>
              <w:footnoteReference w:id="1"/>
            </w:r>
          </w:p>
        </w:tc>
        <w:tc>
          <w:tcPr>
            <w:tcW w:w="3837" w:type="dxa"/>
          </w:tcPr>
          <w:p w:rsidR="00D20D17" w:rsidRPr="00280549" w:rsidRDefault="00D20D17" w:rsidP="00D20D17">
            <w:pPr>
              <w:suppressAutoHyphens/>
              <w:spacing w:after="200" w:line="276" w:lineRule="auto"/>
              <w:jc w:val="both"/>
              <w:rPr>
                <w:color w:val="262626" w:themeColor="text1" w:themeTint="D9"/>
              </w:rPr>
            </w:pPr>
            <w:r w:rsidRPr="00280549">
              <w:rPr>
                <w:color w:val="262626" w:themeColor="text1" w:themeTint="D9"/>
              </w:rPr>
              <w:t>Ocena formalna</w:t>
            </w:r>
          </w:p>
        </w:tc>
      </w:tr>
      <w:tr w:rsidR="00D20D17" w:rsidRPr="00280549" w:rsidTr="009877F8">
        <w:tc>
          <w:tcPr>
            <w:tcW w:w="602" w:type="dxa"/>
          </w:tcPr>
          <w:p w:rsidR="00D20D17" w:rsidRPr="00280549" w:rsidRDefault="00D20D17" w:rsidP="00D20D17">
            <w:pPr>
              <w:spacing w:after="120" w:line="276" w:lineRule="auto"/>
              <w:jc w:val="both"/>
            </w:pPr>
            <w:r>
              <w:t>8.</w:t>
            </w:r>
          </w:p>
        </w:tc>
        <w:tc>
          <w:tcPr>
            <w:tcW w:w="4497" w:type="dxa"/>
          </w:tcPr>
          <w:p w:rsidR="00D20D17" w:rsidRPr="00280549" w:rsidRDefault="00D20D17" w:rsidP="00815DD0">
            <w:pPr>
              <w:suppressAutoHyphens/>
              <w:spacing w:after="120"/>
              <w:rPr>
                <w:color w:val="262626" w:themeColor="text1" w:themeTint="D9"/>
              </w:rPr>
            </w:pPr>
            <w:r w:rsidRPr="00280549">
              <w:rPr>
                <w:color w:val="262626" w:themeColor="text1" w:themeTint="D9"/>
              </w:rPr>
              <w:t>Oferent zobowiąże się, poprzez odpowiednie zapisy w ofercie, że wytworzone produkty (utwory), w tym materiały informacyjno-edukacyjne, opracowane w wersji papierowej lub  cyfrowej zostaną przekazane do Ministerstwa Zdrowia także w formie edytowalnej, na nośniku elektronicznym.</w:t>
            </w:r>
          </w:p>
        </w:tc>
        <w:tc>
          <w:tcPr>
            <w:tcW w:w="3837" w:type="dxa"/>
          </w:tcPr>
          <w:p w:rsidR="00D20D17" w:rsidRPr="00280549" w:rsidRDefault="00D20D17" w:rsidP="00D20D17">
            <w:pPr>
              <w:suppressAutoHyphens/>
              <w:spacing w:after="200" w:line="276" w:lineRule="auto"/>
              <w:jc w:val="both"/>
              <w:rPr>
                <w:color w:val="262626" w:themeColor="text1" w:themeTint="D9"/>
              </w:rPr>
            </w:pPr>
            <w:r w:rsidRPr="00280549">
              <w:rPr>
                <w:color w:val="262626" w:themeColor="text1" w:themeTint="D9"/>
              </w:rPr>
              <w:t>Ocena formalna</w:t>
            </w:r>
          </w:p>
        </w:tc>
      </w:tr>
      <w:tr w:rsidR="00D20D17" w:rsidRPr="00280549" w:rsidTr="009877F8">
        <w:trPr>
          <w:trHeight w:val="771"/>
        </w:trPr>
        <w:tc>
          <w:tcPr>
            <w:tcW w:w="602" w:type="dxa"/>
          </w:tcPr>
          <w:p w:rsidR="00D20D17" w:rsidRPr="00280549" w:rsidRDefault="00D20D17" w:rsidP="00D20D17">
            <w:pPr>
              <w:spacing w:after="120" w:line="276" w:lineRule="auto"/>
              <w:jc w:val="both"/>
            </w:pPr>
            <w:r>
              <w:t>9.</w:t>
            </w:r>
          </w:p>
        </w:tc>
        <w:tc>
          <w:tcPr>
            <w:tcW w:w="4497" w:type="dxa"/>
          </w:tcPr>
          <w:p w:rsidR="00D20D17" w:rsidRPr="00280549" w:rsidRDefault="00D20D17" w:rsidP="00815DD0">
            <w:pPr>
              <w:spacing w:after="120"/>
              <w:rPr>
                <w:color w:val="262626" w:themeColor="text1" w:themeTint="D9"/>
              </w:rPr>
            </w:pPr>
            <w:r w:rsidRPr="00280549">
              <w:rPr>
                <w:rFonts w:cs="Century Gothic"/>
                <w:color w:val="262626" w:themeColor="text1" w:themeTint="D9"/>
              </w:rPr>
              <w:t>Oferent określi wskaźniki rezultatu bezpośredniego – odnoszące się do sytuacji bezpośrednio po zakończeniu wsparcia, tj. w przypadku osób lub podmiotów – po zakończeniu ich udziału w projekcie oraz przedstawi planowany sposób ich pomiaru.</w:t>
            </w:r>
          </w:p>
        </w:tc>
        <w:tc>
          <w:tcPr>
            <w:tcW w:w="3837" w:type="dxa"/>
          </w:tcPr>
          <w:p w:rsidR="00D20D17" w:rsidRPr="00280549" w:rsidRDefault="00D20D17" w:rsidP="00D20D17">
            <w:pPr>
              <w:spacing w:after="120" w:line="276" w:lineRule="auto"/>
              <w:jc w:val="both"/>
              <w:rPr>
                <w:color w:val="262626" w:themeColor="text1" w:themeTint="D9"/>
              </w:rPr>
            </w:pPr>
            <w:r w:rsidRPr="00280549">
              <w:rPr>
                <w:color w:val="262626" w:themeColor="text1" w:themeTint="D9"/>
              </w:rPr>
              <w:t>Ocena formalna</w:t>
            </w:r>
          </w:p>
        </w:tc>
      </w:tr>
      <w:tr w:rsidR="00D20D17" w:rsidRPr="00280549" w:rsidTr="009877F8">
        <w:tc>
          <w:tcPr>
            <w:tcW w:w="602" w:type="dxa"/>
          </w:tcPr>
          <w:p w:rsidR="00D20D17" w:rsidRPr="00280549" w:rsidRDefault="00D20D17" w:rsidP="00D20D17">
            <w:pPr>
              <w:spacing w:after="120" w:line="276" w:lineRule="auto"/>
              <w:jc w:val="both"/>
            </w:pPr>
            <w:r>
              <w:t>10.</w:t>
            </w:r>
          </w:p>
        </w:tc>
        <w:tc>
          <w:tcPr>
            <w:tcW w:w="4497" w:type="dxa"/>
          </w:tcPr>
          <w:p w:rsidR="00D20D17" w:rsidRPr="00280549" w:rsidRDefault="00D20D17" w:rsidP="00D20D17">
            <w:pPr>
              <w:autoSpaceDE w:val="0"/>
              <w:autoSpaceDN w:val="0"/>
              <w:adjustRightInd w:val="0"/>
              <w:spacing w:after="120"/>
              <w:rPr>
                <w:rFonts w:cs="Calibri"/>
                <w:color w:val="262626" w:themeColor="text1" w:themeTint="D9"/>
              </w:rPr>
            </w:pPr>
            <w:r w:rsidRPr="00280549">
              <w:rPr>
                <w:rFonts w:cs="Calibri"/>
                <w:color w:val="262626" w:themeColor="text1" w:themeTint="D9"/>
              </w:rPr>
              <w:t xml:space="preserve">Oferent zagwarantuje, poprzez odpowiednie zapisy w ofercie, że dokona wyboru, zgodnie z zasadami konkurencyjności, określonymi w części B ogłoszenia, niezależnego podmiotu, który przeprowadzi ewaluację realizacji zadania opisanego w ogłoszenia konkursowym oraz wesprze go w osiągnięciu zakładanych efektów. </w:t>
            </w:r>
          </w:p>
          <w:p w:rsidR="00D20D17" w:rsidRPr="00280549" w:rsidRDefault="00D20D17" w:rsidP="00F74E22">
            <w:pPr>
              <w:jc w:val="both"/>
              <w:rPr>
                <w:rFonts w:cs="Arial"/>
              </w:rPr>
            </w:pPr>
            <w:r w:rsidRPr="00280549">
              <w:rPr>
                <w:rFonts w:cs="Arial"/>
              </w:rPr>
              <w:t xml:space="preserve">Celem ewaluacji będzie monitorowanie, ocena procesu wdrażania zadania i jego efektywność w </w:t>
            </w:r>
            <w:r w:rsidRPr="00280549">
              <w:rPr>
                <w:rFonts w:cs="Arial"/>
              </w:rPr>
              <w:lastRenderedPageBreak/>
              <w:t>odniesieniu do celu zadania, z uwzględnieniem m.in. następujących kryteriów ewaluacji:</w:t>
            </w:r>
          </w:p>
          <w:p w:rsidR="00D20D17" w:rsidRPr="00280549" w:rsidRDefault="00D20D17" w:rsidP="00F74E22">
            <w:pPr>
              <w:numPr>
                <w:ilvl w:val="0"/>
                <w:numId w:val="1"/>
              </w:numPr>
              <w:ind w:left="288" w:hanging="288"/>
              <w:jc w:val="both"/>
              <w:rPr>
                <w:rFonts w:cs="Arial"/>
              </w:rPr>
            </w:pPr>
            <w:r w:rsidRPr="00280549">
              <w:rPr>
                <w:rFonts w:cs="Arial"/>
              </w:rPr>
              <w:t xml:space="preserve">trafność – stopień dopasowania treści szkolenia oraz kanałów komunikowania do potrzeb grup docelowych, </w:t>
            </w:r>
          </w:p>
          <w:p w:rsidR="00D20D17" w:rsidRPr="00280549" w:rsidRDefault="00D20D17" w:rsidP="00F74E22">
            <w:pPr>
              <w:numPr>
                <w:ilvl w:val="0"/>
                <w:numId w:val="1"/>
              </w:numPr>
              <w:ind w:left="288" w:hanging="288"/>
              <w:jc w:val="both"/>
              <w:rPr>
                <w:rFonts w:cs="Arial"/>
              </w:rPr>
            </w:pPr>
            <w:r w:rsidRPr="00280549">
              <w:rPr>
                <w:rFonts w:cs="Arial"/>
              </w:rPr>
              <w:t>skuteczność – stopień realizacji celów i osiągnięcia wskaźników określonych dla przedsięwzięcia,</w:t>
            </w:r>
          </w:p>
          <w:p w:rsidR="00D20D17" w:rsidRPr="00F74E22" w:rsidRDefault="00D20D17" w:rsidP="00E91417">
            <w:pPr>
              <w:numPr>
                <w:ilvl w:val="0"/>
                <w:numId w:val="1"/>
              </w:numPr>
              <w:ind w:left="288" w:hanging="288"/>
              <w:jc w:val="both"/>
              <w:rPr>
                <w:rFonts w:cs="Arial"/>
              </w:rPr>
            </w:pPr>
            <w:r w:rsidRPr="00280549">
              <w:rPr>
                <w:rFonts w:cs="Arial"/>
              </w:rPr>
              <w:t xml:space="preserve">efektywność – stosunek poniesionych nakładów do uzyskanych efektów działań </w:t>
            </w:r>
            <w:r w:rsidRPr="00280549">
              <w:rPr>
                <w:rFonts w:cs="Arial"/>
              </w:rPr>
              <w:br/>
              <w:t>w praktyce.</w:t>
            </w:r>
          </w:p>
        </w:tc>
        <w:tc>
          <w:tcPr>
            <w:tcW w:w="3837" w:type="dxa"/>
          </w:tcPr>
          <w:p w:rsidR="00D20D17" w:rsidRPr="00280549" w:rsidRDefault="00D20D17" w:rsidP="00D20D17">
            <w:pPr>
              <w:spacing w:after="120" w:line="276" w:lineRule="auto"/>
              <w:jc w:val="both"/>
              <w:rPr>
                <w:color w:val="262626" w:themeColor="text1" w:themeTint="D9"/>
              </w:rPr>
            </w:pPr>
            <w:r w:rsidRPr="00280549">
              <w:rPr>
                <w:color w:val="262626" w:themeColor="text1" w:themeTint="D9"/>
              </w:rPr>
              <w:lastRenderedPageBreak/>
              <w:t>Ocena formalna</w:t>
            </w:r>
          </w:p>
        </w:tc>
      </w:tr>
      <w:tr w:rsidR="00D20D17" w:rsidRPr="00280549" w:rsidTr="009877F8">
        <w:tc>
          <w:tcPr>
            <w:tcW w:w="602" w:type="dxa"/>
          </w:tcPr>
          <w:p w:rsidR="00D20D17" w:rsidRPr="00280549" w:rsidRDefault="00D20D17" w:rsidP="00D20D17">
            <w:pPr>
              <w:spacing w:after="120" w:line="276" w:lineRule="auto"/>
              <w:jc w:val="both"/>
            </w:pPr>
            <w:r>
              <w:t>11</w:t>
            </w:r>
            <w:r w:rsidRPr="00280549">
              <w:t>.</w:t>
            </w:r>
          </w:p>
        </w:tc>
        <w:tc>
          <w:tcPr>
            <w:tcW w:w="4497" w:type="dxa"/>
          </w:tcPr>
          <w:p w:rsidR="00D20D17" w:rsidRPr="00280549" w:rsidRDefault="00D20D17" w:rsidP="00D20D17">
            <w:pPr>
              <w:autoSpaceDE w:val="0"/>
              <w:autoSpaceDN w:val="0"/>
              <w:adjustRightInd w:val="0"/>
              <w:rPr>
                <w:rFonts w:cs="Calibri"/>
              </w:rPr>
            </w:pPr>
            <w:r w:rsidRPr="00280549">
              <w:rPr>
                <w:rFonts w:cs="Arial"/>
              </w:rPr>
              <w:t>Oferent zagwarantuje, że wyniki ewaluacji zostaną przedstawione w raporcie, który musi zawierać systemowe wnioski i rekomendacje na temat działań zrealizowanych w ramach zadania</w:t>
            </w:r>
            <w:r w:rsidR="00815DD0">
              <w:rPr>
                <w:rFonts w:cs="Arial"/>
              </w:rPr>
              <w:t>.</w:t>
            </w:r>
          </w:p>
        </w:tc>
        <w:tc>
          <w:tcPr>
            <w:tcW w:w="3837" w:type="dxa"/>
          </w:tcPr>
          <w:p w:rsidR="00D20D17" w:rsidRPr="00280549" w:rsidRDefault="00D20D17" w:rsidP="00D20D17">
            <w:pPr>
              <w:spacing w:after="120" w:line="276" w:lineRule="auto"/>
              <w:jc w:val="both"/>
            </w:pPr>
            <w:r w:rsidRPr="00280549">
              <w:rPr>
                <w:rFonts w:cs="Calibri"/>
              </w:rPr>
              <w:t>Ocena formalna</w:t>
            </w:r>
          </w:p>
        </w:tc>
      </w:tr>
      <w:tr w:rsidR="00D20D17" w:rsidRPr="00280549" w:rsidTr="009877F8">
        <w:tc>
          <w:tcPr>
            <w:tcW w:w="602" w:type="dxa"/>
          </w:tcPr>
          <w:p w:rsidR="00D20D17" w:rsidRPr="00280549" w:rsidRDefault="00D20D17" w:rsidP="00D20D17">
            <w:pPr>
              <w:spacing w:after="120" w:line="276" w:lineRule="auto"/>
              <w:jc w:val="both"/>
            </w:pPr>
            <w:r>
              <w:t>12.</w:t>
            </w:r>
          </w:p>
        </w:tc>
        <w:tc>
          <w:tcPr>
            <w:tcW w:w="4497" w:type="dxa"/>
          </w:tcPr>
          <w:p w:rsidR="00D20D17" w:rsidRPr="00280549" w:rsidRDefault="00D20D17" w:rsidP="00D20D17">
            <w:pPr>
              <w:autoSpaceDE w:val="0"/>
              <w:autoSpaceDN w:val="0"/>
              <w:adjustRightInd w:val="0"/>
              <w:rPr>
                <w:rFonts w:cs="Calibri"/>
              </w:rPr>
            </w:pPr>
            <w:r w:rsidRPr="00280549">
              <w:rPr>
                <w:rFonts w:cs="Calibri"/>
              </w:rPr>
              <w:t xml:space="preserve">Oferent zagwarantuje, poprzez odpowiednie zapisy w ofercie, że przedstawi koncepcję monitorowania </w:t>
            </w:r>
            <w:r w:rsidRPr="00280549">
              <w:rPr>
                <w:rFonts w:cs="Calibri"/>
                <w:bCs/>
              </w:rPr>
              <w:t>wskaźników rezultatu długoterminowego</w:t>
            </w:r>
            <w:r w:rsidRPr="00280549">
              <w:rPr>
                <w:rFonts w:cs="Calibri"/>
              </w:rPr>
              <w:t xml:space="preserve"> (tj. dotyczącego efektów wsparcia osiągniętych w dłuższym okresie od zakończenia wsparcia) w okresie jednego roku po zakończeniu realizacji zadania</w:t>
            </w:r>
            <w:r w:rsidR="00436F03">
              <w:rPr>
                <w:rFonts w:cs="Calibri"/>
              </w:rPr>
              <w:t>.</w:t>
            </w:r>
            <w:r w:rsidRPr="00280549">
              <w:rPr>
                <w:vertAlign w:val="superscript"/>
              </w:rPr>
              <w:footnoteReference w:id="2"/>
            </w:r>
          </w:p>
        </w:tc>
        <w:tc>
          <w:tcPr>
            <w:tcW w:w="3837" w:type="dxa"/>
          </w:tcPr>
          <w:p w:rsidR="00D20D17" w:rsidRPr="00280549" w:rsidRDefault="00D20D17" w:rsidP="00D20D17">
            <w:pPr>
              <w:suppressAutoHyphens/>
              <w:spacing w:after="200" w:line="276" w:lineRule="auto"/>
              <w:jc w:val="both"/>
              <w:rPr>
                <w:rFonts w:cs="Calibri"/>
              </w:rPr>
            </w:pPr>
            <w:r w:rsidRPr="00280549">
              <w:rPr>
                <w:rFonts w:cs="Calibri"/>
              </w:rPr>
              <w:t>Ocena formalna</w:t>
            </w:r>
          </w:p>
        </w:tc>
      </w:tr>
      <w:tr w:rsidR="00D20D17" w:rsidRPr="00280549" w:rsidTr="009877F8">
        <w:tc>
          <w:tcPr>
            <w:tcW w:w="602" w:type="dxa"/>
          </w:tcPr>
          <w:p w:rsidR="00D20D17" w:rsidRPr="00280549" w:rsidRDefault="00D20D17" w:rsidP="00D20D17">
            <w:pPr>
              <w:spacing w:after="120" w:line="276" w:lineRule="auto"/>
              <w:jc w:val="both"/>
            </w:pPr>
            <w:r>
              <w:t>13</w:t>
            </w:r>
            <w:r w:rsidRPr="00280549">
              <w:t>.</w:t>
            </w:r>
          </w:p>
        </w:tc>
        <w:tc>
          <w:tcPr>
            <w:tcW w:w="4497" w:type="dxa"/>
          </w:tcPr>
          <w:p w:rsidR="00D20D17" w:rsidRPr="00280549" w:rsidRDefault="00D20D17" w:rsidP="009C535C">
            <w:pPr>
              <w:autoSpaceDE w:val="0"/>
              <w:autoSpaceDN w:val="0"/>
              <w:adjustRightInd w:val="0"/>
              <w:rPr>
                <w:rFonts w:cs="Calibri"/>
              </w:rPr>
            </w:pPr>
            <w:r w:rsidRPr="00CD29E5">
              <w:rPr>
                <w:rFonts w:cs="Calibri"/>
              </w:rPr>
              <w:t xml:space="preserve">Oferent wykaże w ofercie, że posiada </w:t>
            </w:r>
            <w:r>
              <w:rPr>
                <w:rFonts w:cs="Calibri"/>
              </w:rPr>
              <w:br/>
            </w:r>
            <w:r w:rsidRPr="00CD29E5">
              <w:rPr>
                <w:rFonts w:cs="Calibri"/>
              </w:rPr>
              <w:t>doświadczenie w przeprowadzaniu działań informacyjnych i/lub edukacyjnych o zasięgu ponadwojewódzkim w zakresie zdrowia publicznego lub motywacji w osiąganiu celów.</w:t>
            </w:r>
            <w:r w:rsidRPr="00CD29E5">
              <w:rPr>
                <w:rFonts w:cs="Calibri"/>
              </w:rPr>
              <w:tab/>
            </w:r>
          </w:p>
        </w:tc>
        <w:tc>
          <w:tcPr>
            <w:tcW w:w="3837" w:type="dxa"/>
          </w:tcPr>
          <w:p w:rsidR="00D20D17" w:rsidRPr="00280549" w:rsidRDefault="00D20D17" w:rsidP="00D20D17">
            <w:pPr>
              <w:suppressAutoHyphens/>
              <w:spacing w:after="200" w:line="276" w:lineRule="auto"/>
              <w:jc w:val="both"/>
              <w:rPr>
                <w:rFonts w:cs="Calibri"/>
              </w:rPr>
            </w:pPr>
            <w:r w:rsidRPr="00280549">
              <w:rPr>
                <w:rFonts w:cs="Calibri"/>
              </w:rPr>
              <w:t>Ocena merytoryczna</w:t>
            </w:r>
          </w:p>
        </w:tc>
      </w:tr>
      <w:tr w:rsidR="00D20D17" w:rsidRPr="00280549" w:rsidTr="009877F8">
        <w:tc>
          <w:tcPr>
            <w:tcW w:w="602" w:type="dxa"/>
          </w:tcPr>
          <w:p w:rsidR="00D20D17" w:rsidRPr="00280549" w:rsidRDefault="00D20D17" w:rsidP="00D20D17">
            <w:pPr>
              <w:spacing w:after="120" w:line="276" w:lineRule="auto"/>
              <w:jc w:val="both"/>
            </w:pPr>
            <w:r>
              <w:t>14.</w:t>
            </w:r>
          </w:p>
        </w:tc>
        <w:tc>
          <w:tcPr>
            <w:tcW w:w="4497" w:type="dxa"/>
          </w:tcPr>
          <w:p w:rsidR="00D20D17" w:rsidRPr="00D20D17" w:rsidRDefault="00D20D17" w:rsidP="00D20D17">
            <w:pPr>
              <w:autoSpaceDE w:val="0"/>
              <w:autoSpaceDN w:val="0"/>
              <w:adjustRightInd w:val="0"/>
              <w:rPr>
                <w:rFonts w:cs="Calibri"/>
              </w:rPr>
            </w:pPr>
            <w:r w:rsidRPr="00D20D17">
              <w:rPr>
                <w:rFonts w:cs="Calibri"/>
              </w:rPr>
              <w:t xml:space="preserve">Oferent wykaże w ofercie, iż dysponuje ekspertami merytorycznymi  posiadającymi min. 5-letnie doświadczenie i kwalifikacje </w:t>
            </w:r>
            <w:r>
              <w:rPr>
                <w:rFonts w:cs="Calibri"/>
              </w:rPr>
              <w:br/>
            </w:r>
            <w:r w:rsidRPr="00D20D17">
              <w:rPr>
                <w:rFonts w:cs="Calibri"/>
              </w:rPr>
              <w:t>w specjalizacjach:</w:t>
            </w:r>
          </w:p>
          <w:p w:rsidR="00D20D17" w:rsidRPr="00D20D17" w:rsidRDefault="00D20D17" w:rsidP="00D20D17">
            <w:pPr>
              <w:pStyle w:val="Akapitzlist"/>
              <w:numPr>
                <w:ilvl w:val="0"/>
                <w:numId w:val="3"/>
              </w:numPr>
              <w:autoSpaceDE w:val="0"/>
              <w:autoSpaceDN w:val="0"/>
              <w:adjustRightInd w:val="0"/>
              <w:ind w:left="317" w:hanging="283"/>
              <w:rPr>
                <w:rFonts w:cs="Calibri"/>
              </w:rPr>
            </w:pPr>
            <w:r w:rsidRPr="00D20D17">
              <w:rPr>
                <w:rFonts w:cs="Calibri"/>
              </w:rPr>
              <w:t>Tren</w:t>
            </w:r>
            <w:r>
              <w:rPr>
                <w:rFonts w:cs="Calibri"/>
              </w:rPr>
              <w:t>er (aktywność fizyczna i sport),</w:t>
            </w:r>
          </w:p>
          <w:p w:rsidR="00D20D17" w:rsidRPr="00D20D17" w:rsidRDefault="008B608F" w:rsidP="00D20D17">
            <w:pPr>
              <w:pStyle w:val="Akapitzlist"/>
              <w:numPr>
                <w:ilvl w:val="0"/>
                <w:numId w:val="3"/>
              </w:numPr>
              <w:autoSpaceDE w:val="0"/>
              <w:autoSpaceDN w:val="0"/>
              <w:adjustRightInd w:val="0"/>
              <w:ind w:left="317" w:hanging="283"/>
              <w:rPr>
                <w:rFonts w:cs="Calibri"/>
              </w:rPr>
            </w:pPr>
            <w:r>
              <w:rPr>
                <w:rFonts w:cs="Calibri"/>
              </w:rPr>
              <w:t>Psycholog i psycholog</w:t>
            </w:r>
            <w:r w:rsidR="00D20D17">
              <w:rPr>
                <w:rFonts w:cs="Calibri"/>
              </w:rPr>
              <w:t xml:space="preserve"> młodzieży,</w:t>
            </w:r>
          </w:p>
          <w:p w:rsidR="00D20D17" w:rsidRPr="00D20D17" w:rsidRDefault="00D20D17" w:rsidP="00D20D17">
            <w:pPr>
              <w:pStyle w:val="Akapitzlist"/>
              <w:numPr>
                <w:ilvl w:val="0"/>
                <w:numId w:val="3"/>
              </w:numPr>
              <w:autoSpaceDE w:val="0"/>
              <w:autoSpaceDN w:val="0"/>
              <w:adjustRightInd w:val="0"/>
              <w:ind w:left="317" w:hanging="283"/>
              <w:rPr>
                <w:rFonts w:cs="Calibri"/>
              </w:rPr>
            </w:pPr>
            <w:r w:rsidRPr="00D20D17">
              <w:rPr>
                <w:rFonts w:cs="Calibri"/>
              </w:rPr>
              <w:t>Psychiatria i profilaktyka depresji</w:t>
            </w:r>
            <w:r>
              <w:rPr>
                <w:rFonts w:cs="Calibri"/>
              </w:rPr>
              <w:t>,</w:t>
            </w:r>
          </w:p>
          <w:p w:rsidR="00D20D17" w:rsidRPr="00D20D17" w:rsidRDefault="00D20D17" w:rsidP="00D20D17">
            <w:pPr>
              <w:pStyle w:val="Akapitzlist"/>
              <w:numPr>
                <w:ilvl w:val="0"/>
                <w:numId w:val="3"/>
              </w:numPr>
              <w:autoSpaceDE w:val="0"/>
              <w:autoSpaceDN w:val="0"/>
              <w:adjustRightInd w:val="0"/>
              <w:ind w:left="317" w:hanging="283"/>
              <w:rPr>
                <w:rFonts w:cs="Calibri"/>
              </w:rPr>
            </w:pPr>
            <w:r w:rsidRPr="00D20D17">
              <w:rPr>
                <w:rFonts w:cs="Calibri"/>
              </w:rPr>
              <w:t>Psychiatria i profilaktyka  uzależnień</w:t>
            </w:r>
            <w:r>
              <w:rPr>
                <w:rFonts w:cs="Calibri"/>
              </w:rPr>
              <w:t>,</w:t>
            </w:r>
            <w:r w:rsidRPr="00D20D17">
              <w:rPr>
                <w:rFonts w:cs="Calibri"/>
              </w:rPr>
              <w:t xml:space="preserve"> </w:t>
            </w:r>
          </w:p>
          <w:p w:rsidR="008B608F" w:rsidRDefault="00D20D17" w:rsidP="00D20D17">
            <w:pPr>
              <w:pStyle w:val="Akapitzlist"/>
              <w:numPr>
                <w:ilvl w:val="0"/>
                <w:numId w:val="3"/>
              </w:numPr>
              <w:autoSpaceDE w:val="0"/>
              <w:autoSpaceDN w:val="0"/>
              <w:adjustRightInd w:val="0"/>
              <w:ind w:left="317" w:hanging="283"/>
              <w:rPr>
                <w:rFonts w:cs="Calibri"/>
              </w:rPr>
            </w:pPr>
            <w:r w:rsidRPr="00D20D17">
              <w:rPr>
                <w:rFonts w:cs="Calibri"/>
              </w:rPr>
              <w:t>Choroby cywili</w:t>
            </w:r>
            <w:r w:rsidR="00815DD0">
              <w:rPr>
                <w:rFonts w:cs="Calibri"/>
              </w:rPr>
              <w:t>zacyjne i profilaktyka otyłości</w:t>
            </w:r>
            <w:r w:rsidR="008B608F">
              <w:rPr>
                <w:rFonts w:cs="Calibri"/>
              </w:rPr>
              <w:t>,</w:t>
            </w:r>
          </w:p>
          <w:p w:rsidR="00D20D17" w:rsidRPr="00D20D17" w:rsidRDefault="008B608F" w:rsidP="00D20D17">
            <w:pPr>
              <w:pStyle w:val="Akapitzlist"/>
              <w:numPr>
                <w:ilvl w:val="0"/>
                <w:numId w:val="3"/>
              </w:numPr>
              <w:autoSpaceDE w:val="0"/>
              <w:autoSpaceDN w:val="0"/>
              <w:adjustRightInd w:val="0"/>
              <w:ind w:left="317" w:hanging="283"/>
              <w:rPr>
                <w:rFonts w:cs="Calibri"/>
              </w:rPr>
            </w:pPr>
            <w:r>
              <w:rPr>
                <w:rFonts w:cs="Calibri"/>
              </w:rPr>
              <w:t>Geriatra</w:t>
            </w:r>
            <w:r w:rsidR="00D20D17">
              <w:rPr>
                <w:rFonts w:cs="Calibri"/>
              </w:rPr>
              <w:t>.</w:t>
            </w:r>
          </w:p>
        </w:tc>
        <w:tc>
          <w:tcPr>
            <w:tcW w:w="3837" w:type="dxa"/>
          </w:tcPr>
          <w:p w:rsidR="00D20D17" w:rsidRPr="00280549" w:rsidRDefault="00D20D17" w:rsidP="00D20D17">
            <w:pPr>
              <w:suppressAutoHyphens/>
              <w:spacing w:after="200" w:line="276" w:lineRule="auto"/>
              <w:jc w:val="both"/>
              <w:rPr>
                <w:rFonts w:cs="Calibri"/>
              </w:rPr>
            </w:pPr>
            <w:r w:rsidRPr="00D20D17">
              <w:rPr>
                <w:rFonts w:cs="Calibri"/>
              </w:rPr>
              <w:t>Ocena merytoryczna</w:t>
            </w:r>
          </w:p>
        </w:tc>
      </w:tr>
      <w:tr w:rsidR="00D20D17" w:rsidRPr="00280549" w:rsidTr="009877F8">
        <w:tc>
          <w:tcPr>
            <w:tcW w:w="602" w:type="dxa"/>
          </w:tcPr>
          <w:p w:rsidR="00D20D17" w:rsidRPr="00280549" w:rsidRDefault="00D20D17" w:rsidP="00D20D17">
            <w:pPr>
              <w:spacing w:after="120" w:line="276" w:lineRule="auto"/>
              <w:jc w:val="both"/>
            </w:pPr>
            <w:r>
              <w:t>15.</w:t>
            </w:r>
          </w:p>
        </w:tc>
        <w:tc>
          <w:tcPr>
            <w:tcW w:w="4497" w:type="dxa"/>
          </w:tcPr>
          <w:p w:rsidR="00D20D17" w:rsidRPr="00CD29E5" w:rsidRDefault="00D20D17" w:rsidP="00D20D17">
            <w:pPr>
              <w:autoSpaceDE w:val="0"/>
              <w:autoSpaceDN w:val="0"/>
              <w:adjustRightInd w:val="0"/>
              <w:rPr>
                <w:rFonts w:cs="Calibri"/>
              </w:rPr>
            </w:pPr>
            <w:r w:rsidRPr="00D20D17">
              <w:rPr>
                <w:rFonts w:cs="Calibri"/>
              </w:rPr>
              <w:t xml:space="preserve">Oferent zapewni, że dysponuje co najmniej </w:t>
            </w:r>
            <w:r w:rsidR="009C535C">
              <w:rPr>
                <w:rFonts w:cs="Calibri"/>
              </w:rPr>
              <w:t>dwoma osobami, z co najmniej 3-l</w:t>
            </w:r>
            <w:r w:rsidRPr="00D20D17">
              <w:rPr>
                <w:rFonts w:cs="Calibri"/>
              </w:rPr>
              <w:t xml:space="preserve">etnim doświadczeniem w pracy z metodologią wspierającą budowanie automotywacji </w:t>
            </w:r>
            <w:r w:rsidR="009C535C">
              <w:rPr>
                <w:rFonts w:cs="Calibri"/>
              </w:rPr>
              <w:br/>
            </w:r>
            <w:r w:rsidRPr="00D20D17">
              <w:rPr>
                <w:rFonts w:cs="Calibri"/>
              </w:rPr>
              <w:t>i samozaangażowania.</w:t>
            </w:r>
          </w:p>
        </w:tc>
        <w:tc>
          <w:tcPr>
            <w:tcW w:w="3837" w:type="dxa"/>
          </w:tcPr>
          <w:p w:rsidR="00D20D17" w:rsidRPr="00280549" w:rsidRDefault="00D20D17" w:rsidP="00D20D17">
            <w:pPr>
              <w:suppressAutoHyphens/>
              <w:spacing w:after="200" w:line="276" w:lineRule="auto"/>
              <w:jc w:val="both"/>
              <w:rPr>
                <w:rFonts w:cs="Calibri"/>
              </w:rPr>
            </w:pPr>
            <w:r w:rsidRPr="00D20D17">
              <w:rPr>
                <w:rFonts w:cs="Calibri"/>
              </w:rPr>
              <w:t>Ocena merytoryczna</w:t>
            </w:r>
          </w:p>
        </w:tc>
      </w:tr>
      <w:tr w:rsidR="003E6241" w:rsidRPr="00280549" w:rsidTr="009877F8">
        <w:tc>
          <w:tcPr>
            <w:tcW w:w="602" w:type="dxa"/>
          </w:tcPr>
          <w:p w:rsidR="003E6241" w:rsidRPr="00280549" w:rsidRDefault="003E6241" w:rsidP="003E6241">
            <w:pPr>
              <w:spacing w:after="120" w:line="276" w:lineRule="auto"/>
              <w:jc w:val="both"/>
            </w:pPr>
            <w:r>
              <w:t>16.</w:t>
            </w:r>
          </w:p>
        </w:tc>
        <w:tc>
          <w:tcPr>
            <w:tcW w:w="4497" w:type="dxa"/>
          </w:tcPr>
          <w:p w:rsidR="003E6241" w:rsidRPr="00D20D17" w:rsidRDefault="003E6241" w:rsidP="003E6241">
            <w:pPr>
              <w:autoSpaceDE w:val="0"/>
              <w:autoSpaceDN w:val="0"/>
              <w:adjustRightInd w:val="0"/>
              <w:rPr>
                <w:rFonts w:cs="Calibri"/>
              </w:rPr>
            </w:pPr>
            <w:r w:rsidRPr="00D20D17">
              <w:rPr>
                <w:rFonts w:cs="Calibri"/>
              </w:rPr>
              <w:t>Oferent zobowiązuje się do</w:t>
            </w:r>
            <w:r>
              <w:rPr>
                <w:rFonts w:cs="Calibri"/>
              </w:rPr>
              <w:t xml:space="preserve"> opracowania aplikacji mobilnej, która</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lastRenderedPageBreak/>
              <w:t>powinna być dostępna dla dwóch najpopularniejszych systemów operacyjnych obsługujących urządzenia mobilne</w:t>
            </w:r>
            <w:r>
              <w:rPr>
                <w:rFonts w:cs="Calibri"/>
              </w:rPr>
              <w:t xml:space="preserve"> </w:t>
            </w:r>
            <w:r w:rsidRPr="00F74E22">
              <w:rPr>
                <w:rFonts w:cs="Calibri"/>
              </w:rPr>
              <w:t>(Android, iOS, Windows)</w:t>
            </w:r>
            <w:r>
              <w:rPr>
                <w:rFonts w:cs="Calibri"/>
              </w:rPr>
              <w:t>;</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powinna zapewniać funkcjonalności wspierające kreowanie automotywacji, i samozaangażowania, w tym definiowania celów oraz monitorowania ich realizacji</w:t>
            </w:r>
            <w:r>
              <w:rPr>
                <w:rFonts w:cs="Calibri"/>
              </w:rPr>
              <w:t>;</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powinna udostępniać dedykowany, multimedialny kontent edukacyjny</w:t>
            </w:r>
            <w:r>
              <w:rPr>
                <w:rFonts w:cs="Calibri"/>
              </w:rPr>
              <w:t>;</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powinna udostępniać zwalidowane badania oraz testy oceny ryzyka depresji i uzależnień</w:t>
            </w:r>
            <w:r>
              <w:rPr>
                <w:rFonts w:cs="Calibri"/>
              </w:rPr>
              <w:t>;</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powinna udostępniać bazę placówek świadczących pomoc w obszarze interwencji</w:t>
            </w:r>
            <w:r>
              <w:rPr>
                <w:rFonts w:cs="Calibri"/>
              </w:rPr>
              <w:t xml:space="preserve"> m.in.</w:t>
            </w:r>
            <w:r w:rsidRPr="00D20D17">
              <w:rPr>
                <w:rFonts w:cs="Calibri"/>
              </w:rPr>
              <w:t xml:space="preserve"> psychologicznej</w:t>
            </w:r>
            <w:r>
              <w:rPr>
                <w:rFonts w:cs="Calibri"/>
              </w:rPr>
              <w:t>;</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powinna udostępniać linki do stron promujących zdrowe nawyki żywieniowe</w:t>
            </w:r>
            <w:r>
              <w:rPr>
                <w:rFonts w:cs="Calibri"/>
              </w:rPr>
              <w:t>;</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powinna monitorować aktyw</w:t>
            </w:r>
            <w:r>
              <w:rPr>
                <w:rFonts w:cs="Calibri"/>
              </w:rPr>
              <w:t>ność fizyczną użytkownika;</w:t>
            </w:r>
          </w:p>
          <w:p w:rsidR="003E6241" w:rsidRPr="00D20D17" w:rsidRDefault="003E6241" w:rsidP="003E6241">
            <w:pPr>
              <w:pStyle w:val="Akapitzlist"/>
              <w:numPr>
                <w:ilvl w:val="0"/>
                <w:numId w:val="4"/>
              </w:numPr>
              <w:autoSpaceDE w:val="0"/>
              <w:autoSpaceDN w:val="0"/>
              <w:adjustRightInd w:val="0"/>
              <w:ind w:left="317" w:hanging="317"/>
              <w:rPr>
                <w:rFonts w:cs="Calibri"/>
              </w:rPr>
            </w:pPr>
            <w:r w:rsidRPr="00D20D17">
              <w:rPr>
                <w:rFonts w:cs="Calibri"/>
              </w:rPr>
              <w:t xml:space="preserve">powinna umożliwiać lokalizację najbliższych użytkownikowi miejsc, w których można uprawiać sport z wykorzystaniem </w:t>
            </w:r>
            <w:r>
              <w:rPr>
                <w:rFonts w:cs="Calibri"/>
              </w:rPr>
              <w:t>ogólno</w:t>
            </w:r>
            <w:r w:rsidRPr="00D20D17">
              <w:rPr>
                <w:rFonts w:cs="Calibri"/>
              </w:rPr>
              <w:t>dostępnych urządzeń sportowo-rekreacyjnych</w:t>
            </w:r>
            <w:r>
              <w:rPr>
                <w:rFonts w:cs="Calibri"/>
              </w:rPr>
              <w:t>.</w:t>
            </w:r>
          </w:p>
        </w:tc>
        <w:tc>
          <w:tcPr>
            <w:tcW w:w="3837" w:type="dxa"/>
          </w:tcPr>
          <w:p w:rsidR="003E6241" w:rsidRPr="00280549" w:rsidRDefault="003E6241" w:rsidP="003E6241">
            <w:pPr>
              <w:suppressAutoHyphens/>
              <w:spacing w:after="200" w:line="276" w:lineRule="auto"/>
              <w:jc w:val="both"/>
              <w:rPr>
                <w:rFonts w:cs="Calibri"/>
              </w:rPr>
            </w:pPr>
            <w:r w:rsidRPr="00D20D17">
              <w:rPr>
                <w:rFonts w:cs="Calibri"/>
              </w:rPr>
              <w:lastRenderedPageBreak/>
              <w:t>Ocena merytoryczna</w:t>
            </w:r>
          </w:p>
        </w:tc>
      </w:tr>
      <w:tr w:rsidR="003E6241" w:rsidRPr="00280549" w:rsidTr="009877F8">
        <w:tc>
          <w:tcPr>
            <w:tcW w:w="602" w:type="dxa"/>
          </w:tcPr>
          <w:p w:rsidR="003E6241" w:rsidRDefault="003E6241" w:rsidP="003E6241">
            <w:pPr>
              <w:spacing w:after="120" w:line="276" w:lineRule="auto"/>
              <w:jc w:val="both"/>
            </w:pPr>
            <w:r>
              <w:t>17.</w:t>
            </w:r>
          </w:p>
        </w:tc>
        <w:tc>
          <w:tcPr>
            <w:tcW w:w="4497" w:type="dxa"/>
          </w:tcPr>
          <w:p w:rsidR="003E6241" w:rsidRPr="00CD29E5" w:rsidRDefault="003E6241" w:rsidP="003E6241">
            <w:pPr>
              <w:autoSpaceDE w:val="0"/>
              <w:autoSpaceDN w:val="0"/>
              <w:adjustRightInd w:val="0"/>
              <w:rPr>
                <w:rFonts w:cs="Calibri"/>
              </w:rPr>
            </w:pPr>
            <w:r w:rsidRPr="002E4334">
              <w:rPr>
                <w:rFonts w:cs="Calibri"/>
              </w:rPr>
              <w:t>Oferent zapewni uruchomienie i obsługę portalu promującego projekt</w:t>
            </w:r>
            <w:r>
              <w:rPr>
                <w:rFonts w:cs="Calibri"/>
              </w:rPr>
              <w:t>.</w:t>
            </w:r>
          </w:p>
        </w:tc>
        <w:tc>
          <w:tcPr>
            <w:tcW w:w="3837" w:type="dxa"/>
          </w:tcPr>
          <w:p w:rsidR="003E6241" w:rsidRPr="00280549" w:rsidRDefault="003E6241" w:rsidP="003E6241">
            <w:pPr>
              <w:suppressAutoHyphens/>
              <w:spacing w:after="200" w:line="276" w:lineRule="auto"/>
              <w:jc w:val="both"/>
              <w:rPr>
                <w:rFonts w:cs="Calibri"/>
              </w:rPr>
            </w:pPr>
            <w:r w:rsidRPr="00D20D17">
              <w:rPr>
                <w:rFonts w:cs="Calibri"/>
              </w:rPr>
              <w:t>Ocena merytoryczna</w:t>
            </w:r>
          </w:p>
        </w:tc>
      </w:tr>
      <w:tr w:rsidR="003E6241" w:rsidRPr="00280549" w:rsidTr="009877F8">
        <w:tc>
          <w:tcPr>
            <w:tcW w:w="602" w:type="dxa"/>
          </w:tcPr>
          <w:p w:rsidR="003E6241" w:rsidRDefault="003E6241" w:rsidP="003E6241">
            <w:pPr>
              <w:spacing w:after="120" w:line="276" w:lineRule="auto"/>
              <w:jc w:val="both"/>
            </w:pPr>
            <w:r>
              <w:t>18.</w:t>
            </w:r>
          </w:p>
        </w:tc>
        <w:tc>
          <w:tcPr>
            <w:tcW w:w="4497" w:type="dxa"/>
          </w:tcPr>
          <w:p w:rsidR="003E6241" w:rsidRPr="00186D12" w:rsidRDefault="003E6241" w:rsidP="003E6241">
            <w:r w:rsidRPr="00186D12">
              <w:t xml:space="preserve">Oferent wykaże w ofercie, że dysponuje możliwością przeprowadzenia kampanii informacyjno-edukacyjnej o zasięgu </w:t>
            </w:r>
            <w:r>
              <w:t xml:space="preserve">ogólnopolskim, w tym zapewni dotarcie </w:t>
            </w:r>
            <w:r>
              <w:br/>
              <w:t xml:space="preserve">do założonej grupy docelowej przez okres </w:t>
            </w:r>
            <w:r>
              <w:br/>
              <w:t>co najmniej</w:t>
            </w:r>
            <w:r w:rsidRPr="002E4334">
              <w:t xml:space="preserve"> 1,5 roku</w:t>
            </w:r>
            <w:r>
              <w:t>.</w:t>
            </w:r>
          </w:p>
        </w:tc>
        <w:tc>
          <w:tcPr>
            <w:tcW w:w="3837" w:type="dxa"/>
          </w:tcPr>
          <w:p w:rsidR="003E6241" w:rsidRPr="00280549" w:rsidRDefault="003E6241" w:rsidP="003E6241">
            <w:pPr>
              <w:suppressAutoHyphens/>
              <w:spacing w:after="200" w:line="276" w:lineRule="auto"/>
              <w:jc w:val="both"/>
              <w:rPr>
                <w:rFonts w:cs="Calibri"/>
              </w:rPr>
            </w:pPr>
            <w:r w:rsidRPr="00D20D17">
              <w:rPr>
                <w:rFonts w:cs="Calibri"/>
              </w:rPr>
              <w:t>Ocena merytoryczna</w:t>
            </w:r>
          </w:p>
        </w:tc>
      </w:tr>
      <w:tr w:rsidR="003E6241" w:rsidRPr="00280549" w:rsidTr="009877F8">
        <w:tc>
          <w:tcPr>
            <w:tcW w:w="602" w:type="dxa"/>
          </w:tcPr>
          <w:p w:rsidR="003E6241" w:rsidRDefault="003E6241" w:rsidP="003E6241">
            <w:pPr>
              <w:spacing w:after="120" w:line="276" w:lineRule="auto"/>
              <w:jc w:val="both"/>
            </w:pPr>
            <w:r>
              <w:t>19.</w:t>
            </w:r>
          </w:p>
        </w:tc>
        <w:tc>
          <w:tcPr>
            <w:tcW w:w="4497" w:type="dxa"/>
          </w:tcPr>
          <w:p w:rsidR="003E6241" w:rsidRPr="00186D12" w:rsidRDefault="003E6241" w:rsidP="003E6241">
            <w:r w:rsidRPr="002E4334">
              <w:t xml:space="preserve">Oferent zapewni organizację co najmniej </w:t>
            </w:r>
            <w:r>
              <w:br/>
            </w:r>
            <w:r w:rsidRPr="002E4334">
              <w:t xml:space="preserve">4 </w:t>
            </w:r>
            <w:r>
              <w:t>eventów</w:t>
            </w:r>
            <w:r w:rsidRPr="002E4334">
              <w:t xml:space="preserve"> promujących projekt w co najmniej </w:t>
            </w:r>
            <w:r>
              <w:br/>
            </w:r>
            <w:r w:rsidRPr="002E4334">
              <w:t>4 wo</w:t>
            </w:r>
            <w:r>
              <w:t>jewództwach i co najmniej jednego ogólnopolskiego eventu promującego</w:t>
            </w:r>
            <w:r w:rsidRPr="002E4334">
              <w:t xml:space="preserve"> projekt </w:t>
            </w:r>
            <w:r>
              <w:br/>
            </w:r>
            <w:r w:rsidRPr="002E4334">
              <w:t>i treści merytoryczne z nim związane</w:t>
            </w:r>
            <w:r>
              <w:t>.</w:t>
            </w:r>
          </w:p>
        </w:tc>
        <w:tc>
          <w:tcPr>
            <w:tcW w:w="3837" w:type="dxa"/>
          </w:tcPr>
          <w:p w:rsidR="003E6241" w:rsidRDefault="003E6241" w:rsidP="003E6241">
            <w:r w:rsidRPr="002B3A36">
              <w:rPr>
                <w:rFonts w:cs="Calibri"/>
              </w:rPr>
              <w:t>Ocena merytoryczna</w:t>
            </w:r>
          </w:p>
        </w:tc>
      </w:tr>
      <w:tr w:rsidR="003E6241" w:rsidRPr="00280549" w:rsidTr="009877F8">
        <w:tc>
          <w:tcPr>
            <w:tcW w:w="602" w:type="dxa"/>
          </w:tcPr>
          <w:p w:rsidR="003E6241" w:rsidRDefault="003E6241" w:rsidP="003E6241">
            <w:pPr>
              <w:spacing w:after="120" w:line="276" w:lineRule="auto"/>
              <w:jc w:val="both"/>
            </w:pPr>
            <w:r>
              <w:t>20.</w:t>
            </w:r>
          </w:p>
        </w:tc>
        <w:tc>
          <w:tcPr>
            <w:tcW w:w="4497" w:type="dxa"/>
          </w:tcPr>
          <w:p w:rsidR="003E6241" w:rsidRPr="00815DD0" w:rsidRDefault="003E6241" w:rsidP="003E6241">
            <w:pPr>
              <w:rPr>
                <w:rFonts w:ascii="Calibri" w:eastAsia="Calibri" w:hAnsi="Calibri"/>
              </w:rPr>
            </w:pPr>
            <w:r w:rsidRPr="00815DD0">
              <w:rPr>
                <w:rFonts w:ascii="Calibri" w:eastAsia="Calibri" w:hAnsi="Calibri"/>
              </w:rPr>
              <w:t xml:space="preserve">Oferent zobowiązuje się w przypadku przetwarzania danych osobowych </w:t>
            </w:r>
            <w:r>
              <w:rPr>
                <w:rFonts w:ascii="Calibri" w:eastAsia="Calibri" w:hAnsi="Calibri"/>
              </w:rPr>
              <w:br/>
            </w:r>
            <w:r w:rsidRPr="00815DD0">
              <w:rPr>
                <w:rFonts w:ascii="Calibri" w:eastAsia="Calibri" w:hAnsi="Calibri"/>
              </w:rPr>
              <w:t xml:space="preserve">i prowadzenia bazy danych zgłoszenia tego </w:t>
            </w:r>
            <w:r>
              <w:rPr>
                <w:rFonts w:ascii="Calibri" w:eastAsia="Calibri" w:hAnsi="Calibri"/>
              </w:rPr>
              <w:br/>
            </w:r>
            <w:r w:rsidRPr="00815DD0">
              <w:rPr>
                <w:rFonts w:ascii="Calibri" w:eastAsia="Calibri" w:hAnsi="Calibri"/>
              </w:rPr>
              <w:t>faktu do Generalnego Inspektora Ochrony Danych Osobowych (GIODO).</w:t>
            </w:r>
          </w:p>
        </w:tc>
        <w:tc>
          <w:tcPr>
            <w:tcW w:w="3837" w:type="dxa"/>
          </w:tcPr>
          <w:p w:rsidR="003E6241" w:rsidRDefault="003E6241" w:rsidP="003E6241">
            <w:r w:rsidRPr="002B3A36">
              <w:rPr>
                <w:rFonts w:cs="Calibri"/>
              </w:rPr>
              <w:t>Ocena merytoryczna</w:t>
            </w:r>
          </w:p>
        </w:tc>
      </w:tr>
    </w:tbl>
    <w:p w:rsidR="00280549" w:rsidRDefault="00280549" w:rsidP="00280549">
      <w:pPr>
        <w:spacing w:after="0" w:line="276" w:lineRule="auto"/>
        <w:jc w:val="both"/>
        <w:rPr>
          <w:rFonts w:eastAsia="Times New Roman" w:cs="Times New Roman"/>
          <w:b/>
        </w:rPr>
      </w:pPr>
    </w:p>
    <w:p w:rsidR="003E6241" w:rsidRDefault="003E6241" w:rsidP="00280549">
      <w:pPr>
        <w:spacing w:after="0" w:line="276" w:lineRule="auto"/>
        <w:jc w:val="both"/>
        <w:rPr>
          <w:rFonts w:eastAsia="Times New Roman" w:cs="Times New Roman"/>
          <w:b/>
        </w:rPr>
      </w:pPr>
    </w:p>
    <w:p w:rsidR="003E6241" w:rsidRDefault="003E6241" w:rsidP="00280549">
      <w:pPr>
        <w:spacing w:after="0" w:line="276" w:lineRule="auto"/>
        <w:jc w:val="both"/>
        <w:rPr>
          <w:rFonts w:eastAsia="Times New Roman" w:cs="Times New Roman"/>
          <w:b/>
        </w:rPr>
      </w:pPr>
    </w:p>
    <w:p w:rsidR="003E6241" w:rsidRDefault="003E6241" w:rsidP="00280549">
      <w:pPr>
        <w:spacing w:after="0" w:line="276" w:lineRule="auto"/>
        <w:jc w:val="both"/>
        <w:rPr>
          <w:rFonts w:eastAsia="Times New Roman" w:cs="Times New Roman"/>
          <w:b/>
        </w:rPr>
      </w:pPr>
    </w:p>
    <w:p w:rsidR="00E91417" w:rsidRDefault="00E91417" w:rsidP="00280549">
      <w:pPr>
        <w:spacing w:after="0" w:line="276" w:lineRule="auto"/>
        <w:jc w:val="both"/>
        <w:rPr>
          <w:rFonts w:eastAsia="Times New Roman" w:cs="Times New Roman"/>
          <w:b/>
        </w:rPr>
      </w:pPr>
    </w:p>
    <w:p w:rsidR="00E91417" w:rsidRDefault="00E91417" w:rsidP="00280549">
      <w:pPr>
        <w:spacing w:after="0" w:line="276" w:lineRule="auto"/>
        <w:jc w:val="both"/>
        <w:rPr>
          <w:rFonts w:eastAsia="Times New Roman" w:cs="Times New Roman"/>
          <w:b/>
        </w:rPr>
      </w:pPr>
    </w:p>
    <w:p w:rsidR="00E91417" w:rsidRDefault="00E91417" w:rsidP="00280549">
      <w:pPr>
        <w:spacing w:after="0" w:line="276" w:lineRule="auto"/>
        <w:jc w:val="both"/>
        <w:rPr>
          <w:rFonts w:eastAsia="Times New Roman" w:cs="Times New Roman"/>
          <w:b/>
        </w:rPr>
      </w:pPr>
    </w:p>
    <w:p w:rsidR="001A3F7D" w:rsidRPr="00280549" w:rsidRDefault="001A3F7D" w:rsidP="00280549">
      <w:pPr>
        <w:spacing w:after="0" w:line="276" w:lineRule="auto"/>
        <w:jc w:val="both"/>
        <w:rPr>
          <w:rFonts w:eastAsia="Times New Roman" w:cs="Times New Roman"/>
          <w:b/>
        </w:rPr>
      </w:pPr>
    </w:p>
    <w:p w:rsidR="00280549" w:rsidRPr="00280549" w:rsidRDefault="00280549" w:rsidP="00280549">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eastAsia="Times New Roman" w:cs="Times New Roman"/>
          <w:b/>
          <w:bCs/>
          <w:smallCaps/>
          <w:spacing w:val="5"/>
          <w:sz w:val="28"/>
          <w:szCs w:val="28"/>
        </w:rPr>
      </w:pPr>
      <w:r w:rsidRPr="00280549">
        <w:rPr>
          <w:rFonts w:eastAsia="Times New Roman" w:cs="Times New Roman"/>
          <w:b/>
          <w:bCs/>
          <w:smallCaps/>
          <w:spacing w:val="5"/>
          <w:sz w:val="28"/>
          <w:szCs w:val="28"/>
        </w:rPr>
        <w:t>Wysokość środków przeznaczonych na realizację zadania</w:t>
      </w:r>
    </w:p>
    <w:p w:rsidR="00280549" w:rsidRPr="00280549" w:rsidRDefault="00280549" w:rsidP="00280549">
      <w:pPr>
        <w:spacing w:after="120" w:line="276" w:lineRule="auto"/>
        <w:jc w:val="both"/>
        <w:rPr>
          <w:rFonts w:eastAsia="Times New Roman" w:cs="Times New Roman"/>
        </w:rPr>
      </w:pP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Na realizację zadania w ramach ogłaszanego konkursu przeznaczono dotację celową w kwocie </w:t>
      </w:r>
      <w:r w:rsidR="002E4334">
        <w:rPr>
          <w:rFonts w:eastAsia="Times New Roman" w:cs="Times New Roman"/>
        </w:rPr>
        <w:t>9 000 000 zł</w:t>
      </w:r>
      <w:r w:rsidRPr="00280549">
        <w:rPr>
          <w:rFonts w:eastAsia="Times New Roman" w:cs="Times New Roman"/>
        </w:rPr>
        <w:t xml:space="preserve"> (słownie: </w:t>
      </w:r>
      <w:r w:rsidR="002E4334">
        <w:rPr>
          <w:rFonts w:eastAsia="Times New Roman" w:cs="Times New Roman"/>
          <w:i/>
        </w:rPr>
        <w:t>dziewięć milionów złotych</w:t>
      </w:r>
      <w:r w:rsidRPr="00280549">
        <w:rPr>
          <w:rFonts w:eastAsia="Times New Roman" w:cs="Times New Roman"/>
          <w:i/>
        </w:rPr>
        <w:t>, 00/100</w:t>
      </w:r>
      <w:r w:rsidRPr="00280549">
        <w:rPr>
          <w:rFonts w:eastAsia="Times New Roman" w:cs="Times New Roman"/>
        </w:rPr>
        <w:t>) ze środków Funduszu Rozwiązywania Problemów Hazardowych, w tym:</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 w 2018 r. -  </w:t>
      </w:r>
      <w:r w:rsidR="002E4334">
        <w:rPr>
          <w:rFonts w:eastAsia="Times New Roman" w:cs="Times New Roman"/>
        </w:rPr>
        <w:t xml:space="preserve">3 000 000 </w:t>
      </w:r>
      <w:r w:rsidRPr="00280549">
        <w:rPr>
          <w:rFonts w:eastAsia="Times New Roman" w:cs="Times New Roman"/>
        </w:rPr>
        <w:t>zł;</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w 2019</w:t>
      </w:r>
      <w:r w:rsidR="002E4334">
        <w:rPr>
          <w:rFonts w:eastAsia="Times New Roman" w:cs="Times New Roman"/>
        </w:rPr>
        <w:t xml:space="preserve"> r. -  3 000 000 </w:t>
      </w:r>
      <w:r w:rsidRPr="00280549">
        <w:rPr>
          <w:rFonts w:eastAsia="Times New Roman" w:cs="Times New Roman"/>
        </w:rPr>
        <w:t>zł;</w:t>
      </w:r>
    </w:p>
    <w:p w:rsidR="00280549" w:rsidRPr="00280549" w:rsidRDefault="002E4334" w:rsidP="00280549">
      <w:pPr>
        <w:spacing w:after="120" w:line="276" w:lineRule="auto"/>
        <w:jc w:val="both"/>
        <w:rPr>
          <w:rFonts w:eastAsia="Times New Roman" w:cs="Times New Roman"/>
        </w:rPr>
      </w:pPr>
      <w:r>
        <w:rPr>
          <w:rFonts w:eastAsia="Times New Roman" w:cs="Times New Roman"/>
        </w:rPr>
        <w:t xml:space="preserve">- w 2020 </w:t>
      </w:r>
      <w:r w:rsidRPr="002E4334">
        <w:rPr>
          <w:rFonts w:eastAsia="Times New Roman" w:cs="Times New Roman"/>
        </w:rPr>
        <w:t xml:space="preserve">r. -  </w:t>
      </w:r>
      <w:r>
        <w:rPr>
          <w:rFonts w:eastAsia="Times New Roman" w:cs="Times New Roman"/>
        </w:rPr>
        <w:t xml:space="preserve">3 000 000 </w:t>
      </w:r>
      <w:r w:rsidRPr="002E4334">
        <w:rPr>
          <w:rFonts w:eastAsia="Times New Roman" w:cs="Times New Roman"/>
        </w:rPr>
        <w:t>zł;</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Środki finansowe pochodzić będą ze środków budżetu państwa ujętych w </w:t>
      </w:r>
      <w:r w:rsidR="00005E6D">
        <w:rPr>
          <w:rFonts w:eastAsia="Times New Roman" w:cs="Times New Roman"/>
        </w:rPr>
        <w:t xml:space="preserve">planie </w:t>
      </w:r>
      <w:r w:rsidRPr="00280549">
        <w:rPr>
          <w:rFonts w:eastAsia="Times New Roman" w:cs="Times New Roman"/>
        </w:rPr>
        <w:t>finansowym Funduszu Rozwiązywania Problemów Hazardowych. Dysponentem środków jest minister właściwy do spraw zdrowia, który przekazuje środki realizatorom zadań, na zasadach określonych w art. 9 ust. 4 ustawy, tj. w formie dotacji celowej.</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Maksymalny dopuszczalny poziom finansowania zadania ze środków Funduszu Rozwiązywania Problemów Hazardowych przeznaczonych na realizację NPZ wynosi 100%. </w:t>
      </w:r>
    </w:p>
    <w:p w:rsidR="00280549" w:rsidRPr="00280549" w:rsidRDefault="00280549" w:rsidP="002E4334">
      <w:pPr>
        <w:autoSpaceDE w:val="0"/>
        <w:autoSpaceDN w:val="0"/>
        <w:adjustRightInd w:val="0"/>
        <w:spacing w:before="120" w:after="240" w:line="240" w:lineRule="auto"/>
        <w:jc w:val="both"/>
        <w:rPr>
          <w:rFonts w:eastAsia="Times New Roman" w:cs="Times New Roman"/>
        </w:rPr>
      </w:pPr>
      <w:r w:rsidRPr="00280549">
        <w:rPr>
          <w:rFonts w:eastAsia="Times New Roman" w:cs="Times New Roman"/>
        </w:rPr>
        <w:t>Umowy na realizację zadania ze środków Funduszu Rozwiązywania Problemów Hazardowych będą zawierane po zabezpieczeniu środków w planie finansowym Funduszu Rozwiązywania Problemów Hazardowych na realizację rozporządzenia Rady Ministrów z dnia 4 sierpnia 2016 r. w sprawie Narodowego Programu Zdrowia na lata 2016-2020.</w:t>
      </w:r>
    </w:p>
    <w:p w:rsidR="00280549" w:rsidRPr="00280549" w:rsidRDefault="00280549" w:rsidP="00280549">
      <w:pPr>
        <w:spacing w:after="120" w:line="276" w:lineRule="auto"/>
        <w:jc w:val="both"/>
        <w:rPr>
          <w:rFonts w:eastAsia="Times New Roman" w:cs="Times New Roman"/>
          <w:spacing w:val="5"/>
        </w:rPr>
      </w:pPr>
      <w:r w:rsidRPr="00280549">
        <w:rPr>
          <w:rFonts w:eastAsia="Times New Roman" w:cs="Times New Roman"/>
          <w:b/>
          <w:bCs/>
          <w:smallCaps/>
          <w:spacing w:val="5"/>
          <w:sz w:val="28"/>
          <w:szCs w:val="28"/>
        </w:rPr>
        <w:t>Terminy realizacji zadania</w:t>
      </w:r>
    </w:p>
    <w:p w:rsidR="00280549" w:rsidRPr="00280549" w:rsidRDefault="00280549" w:rsidP="00280549">
      <w:pPr>
        <w:spacing w:after="120" w:line="276" w:lineRule="auto"/>
        <w:jc w:val="both"/>
        <w:rPr>
          <w:rFonts w:eastAsia="Times New Roman" w:cs="Times New Roman"/>
          <w:b/>
          <w:bCs/>
        </w:rPr>
      </w:pPr>
      <w:r w:rsidRPr="00280549">
        <w:rPr>
          <w:rFonts w:eastAsia="Times New Roman" w:cs="Times New Roman"/>
        </w:rPr>
        <w:t xml:space="preserve">Zadanie należy zrealizować nie później niż do dnia </w:t>
      </w:r>
      <w:r w:rsidR="002E4334">
        <w:rPr>
          <w:rFonts w:eastAsia="Times New Roman" w:cs="Times New Roman"/>
        </w:rPr>
        <w:t>31 grudnia 2020 r.</w:t>
      </w:r>
    </w:p>
    <w:p w:rsidR="00280549" w:rsidRPr="00280549" w:rsidRDefault="00280549" w:rsidP="00280549">
      <w:pPr>
        <w:spacing w:after="120" w:line="276" w:lineRule="auto"/>
        <w:jc w:val="both"/>
        <w:rPr>
          <w:rFonts w:eastAsia="Times New Roman" w:cs="Times New Roman"/>
          <w:spacing w:val="5"/>
        </w:rPr>
      </w:pPr>
      <w:r w:rsidRPr="00280549">
        <w:rPr>
          <w:rFonts w:eastAsia="Times New Roman" w:cs="Times New Roman"/>
          <w:b/>
          <w:bCs/>
          <w:smallCaps/>
          <w:spacing w:val="5"/>
          <w:sz w:val="28"/>
          <w:szCs w:val="28"/>
        </w:rPr>
        <w:t>Miejsce i termin składania ofert</w:t>
      </w:r>
    </w:p>
    <w:p w:rsidR="00280549" w:rsidRPr="00280549" w:rsidRDefault="00280549" w:rsidP="00005E6D">
      <w:pPr>
        <w:spacing w:after="240" w:line="276" w:lineRule="auto"/>
        <w:jc w:val="both"/>
        <w:rPr>
          <w:rFonts w:eastAsia="Times New Roman" w:cs="Times New Roman"/>
        </w:rPr>
      </w:pPr>
      <w:r w:rsidRPr="00280549">
        <w:rPr>
          <w:rFonts w:eastAsia="Times New Roman" w:cs="Times New Roman"/>
        </w:rPr>
        <w:t xml:space="preserve">Prawidłowo przygotowaną i wypełnioną ofertę wraz z załącznikami (w jednym egzemplarzu) należy złożyć w formie papierowej </w:t>
      </w:r>
      <w:r w:rsidRPr="00280549">
        <w:rPr>
          <w:rFonts w:eastAsia="Times New Roman" w:cs="Times New Roman"/>
          <w:b/>
        </w:rPr>
        <w:t xml:space="preserve">w terminie od dnia </w:t>
      </w:r>
      <w:r w:rsidR="00536CAF">
        <w:rPr>
          <w:rFonts w:eastAsia="Times New Roman" w:cs="Times New Roman"/>
          <w:b/>
        </w:rPr>
        <w:t>22</w:t>
      </w:r>
      <w:r w:rsidR="002E4334">
        <w:rPr>
          <w:rFonts w:eastAsia="Times New Roman" w:cs="Times New Roman"/>
          <w:b/>
        </w:rPr>
        <w:t xml:space="preserve"> stycznia 2018 r.</w:t>
      </w:r>
      <w:r w:rsidRPr="00280549">
        <w:rPr>
          <w:rFonts w:eastAsia="Times New Roman" w:cs="Times New Roman"/>
          <w:b/>
        </w:rPr>
        <w:t xml:space="preserve"> do dnia </w:t>
      </w:r>
      <w:r w:rsidR="00536CAF">
        <w:rPr>
          <w:rFonts w:eastAsia="Times New Roman" w:cs="Times New Roman"/>
          <w:b/>
        </w:rPr>
        <w:t>12</w:t>
      </w:r>
      <w:r w:rsidR="002E4334">
        <w:rPr>
          <w:rFonts w:eastAsia="Times New Roman" w:cs="Times New Roman"/>
          <w:b/>
        </w:rPr>
        <w:t xml:space="preserve"> lutego 2018 r.</w:t>
      </w:r>
      <w:r w:rsidRPr="00280549">
        <w:rPr>
          <w:rFonts w:eastAsia="Times New Roman" w:cs="Times New Roman"/>
        </w:rPr>
        <w:t xml:space="preserve"> na adres:</w:t>
      </w:r>
    </w:p>
    <w:p w:rsidR="00280549" w:rsidRPr="00280549" w:rsidRDefault="00280549" w:rsidP="00280549">
      <w:pPr>
        <w:spacing w:after="120" w:line="240" w:lineRule="auto"/>
        <w:jc w:val="center"/>
        <w:rPr>
          <w:rFonts w:eastAsia="Times New Roman" w:cs="Times New Roman"/>
          <w:b/>
        </w:rPr>
      </w:pPr>
      <w:r w:rsidRPr="00280549">
        <w:rPr>
          <w:rFonts w:eastAsia="Times New Roman" w:cs="Times New Roman"/>
          <w:b/>
        </w:rPr>
        <w:t>Ministerstwo Zdrowia</w:t>
      </w:r>
    </w:p>
    <w:p w:rsidR="00280549" w:rsidRPr="00280549" w:rsidRDefault="00280549" w:rsidP="00280549">
      <w:pPr>
        <w:spacing w:after="120" w:line="240" w:lineRule="auto"/>
        <w:jc w:val="center"/>
        <w:rPr>
          <w:rFonts w:eastAsia="Times New Roman" w:cs="Times New Roman"/>
          <w:b/>
        </w:rPr>
      </w:pPr>
      <w:r w:rsidRPr="00280549">
        <w:rPr>
          <w:rFonts w:eastAsia="Times New Roman" w:cs="Times New Roman"/>
          <w:b/>
        </w:rPr>
        <w:t>Departament Zdrowia Publicznego</w:t>
      </w:r>
    </w:p>
    <w:p w:rsidR="00280549" w:rsidRPr="00280549" w:rsidRDefault="00280549" w:rsidP="00280549">
      <w:pPr>
        <w:spacing w:after="120" w:line="240" w:lineRule="auto"/>
        <w:jc w:val="center"/>
        <w:rPr>
          <w:rFonts w:eastAsia="Times New Roman" w:cs="Times New Roman"/>
        </w:rPr>
      </w:pPr>
      <w:r w:rsidRPr="00280549">
        <w:rPr>
          <w:rFonts w:eastAsia="Times New Roman" w:cs="Times New Roman"/>
        </w:rPr>
        <w:t>ul. Miodowa 15</w:t>
      </w:r>
    </w:p>
    <w:p w:rsidR="00280549" w:rsidRPr="00280549" w:rsidRDefault="00280549" w:rsidP="00280549">
      <w:pPr>
        <w:spacing w:after="120" w:line="240" w:lineRule="auto"/>
        <w:jc w:val="center"/>
        <w:rPr>
          <w:rFonts w:eastAsia="Times New Roman" w:cs="Times New Roman"/>
        </w:rPr>
      </w:pPr>
      <w:r w:rsidRPr="00280549">
        <w:rPr>
          <w:rFonts w:eastAsia="Times New Roman" w:cs="Times New Roman"/>
        </w:rPr>
        <w:t>00‐952 Warszawa</w:t>
      </w:r>
    </w:p>
    <w:p w:rsidR="00280549" w:rsidRPr="00280549" w:rsidRDefault="00280549" w:rsidP="00005E6D">
      <w:pPr>
        <w:spacing w:after="240" w:line="276" w:lineRule="auto"/>
        <w:jc w:val="center"/>
        <w:rPr>
          <w:rFonts w:eastAsia="Times New Roman" w:cs="Times New Roman"/>
          <w:b/>
        </w:rPr>
      </w:pPr>
      <w:r w:rsidRPr="00280549">
        <w:rPr>
          <w:rFonts w:eastAsia="Times New Roman" w:cs="Times New Roman"/>
        </w:rPr>
        <w:t>z dopiskiem na kopercie: Konkurs NPZ na rok 2018, zadanie:</w:t>
      </w:r>
      <w:r w:rsidRPr="00280549">
        <w:rPr>
          <w:rFonts w:eastAsia="Times New Roman" w:cs="Times New Roman"/>
          <w:b/>
          <w:sz w:val="28"/>
          <w:szCs w:val="28"/>
        </w:rPr>
        <w:t xml:space="preserve"> </w:t>
      </w:r>
      <w:r w:rsidR="008B608F" w:rsidRPr="008B608F">
        <w:rPr>
          <w:rFonts w:eastAsia="Times New Roman" w:cs="Times New Roman"/>
          <w:b/>
        </w:rPr>
        <w:t>Opracowanie i promocja projektu systemowego wsparcia u młodzieży szkolnej i studenckiej oraz osób starszych mechanizmów automotywacji do zmiany stylu życia oraz promocji zachowań prozdrowotnych w obszarze profilaktyki otyłości, aktywności fizycznej, zdrowia psychicznego i przeciwdziałaniu uzależnieniom m.in. w środowisku szkolnym i akademickim oraz zamieszkania</w:t>
      </w:r>
      <w:r w:rsidRPr="00280549">
        <w:rPr>
          <w:rFonts w:eastAsia="Times New Roman" w:cs="Calibri"/>
        </w:rPr>
        <w:t xml:space="preserve">, </w:t>
      </w:r>
      <w:r w:rsidR="00005E6D" w:rsidRPr="00005E6D">
        <w:rPr>
          <w:rFonts w:eastAsia="Times New Roman" w:cs="Times New Roman"/>
          <w:b/>
        </w:rPr>
        <w:t>NPZ.</w:t>
      </w:r>
      <w:r w:rsidR="003847CB">
        <w:rPr>
          <w:rFonts w:eastAsia="Times New Roman" w:cs="Times New Roman"/>
          <w:b/>
        </w:rPr>
        <w:t>ZK</w:t>
      </w:r>
      <w:r w:rsidR="00005E6D" w:rsidRPr="00005E6D">
        <w:rPr>
          <w:rFonts w:eastAsia="Times New Roman" w:cs="Times New Roman"/>
          <w:b/>
        </w:rPr>
        <w:t>_7_2018</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Oferty należy składać (osobiście, pocztą kurierską lub listem poleconym) w siedzibie Ministerstwa Zdrowia od poniedziałku do piątku w godzinach od 8.15 do 16.15.</w:t>
      </w:r>
    </w:p>
    <w:p w:rsidR="00280549" w:rsidRPr="00280549" w:rsidRDefault="00280549" w:rsidP="00280549">
      <w:pPr>
        <w:spacing w:after="120" w:line="276" w:lineRule="auto"/>
        <w:jc w:val="both"/>
        <w:rPr>
          <w:rFonts w:eastAsia="Times New Roman" w:cs="Times New Roman"/>
          <w:b/>
        </w:rPr>
      </w:pPr>
      <w:r w:rsidRPr="00280549">
        <w:rPr>
          <w:rFonts w:eastAsia="Times New Roman" w:cs="Times New Roman"/>
          <w:b/>
        </w:rPr>
        <w:t>O przyjęciu oferty decyduje data i godzina jej wpływu do Ministerstwa Zdrowia. Oferty, które wpłyną po terminie, będą odrzucane.</w:t>
      </w:r>
    </w:p>
    <w:p w:rsidR="00280549" w:rsidRPr="00280549" w:rsidRDefault="00280549" w:rsidP="00280549">
      <w:pPr>
        <w:spacing w:after="120" w:line="276" w:lineRule="auto"/>
        <w:jc w:val="both"/>
        <w:rPr>
          <w:rFonts w:eastAsia="Times New Roman" w:cs="Times New Roman"/>
          <w:spacing w:val="5"/>
        </w:rPr>
      </w:pPr>
      <w:r w:rsidRPr="00280549">
        <w:rPr>
          <w:rFonts w:eastAsia="Times New Roman" w:cs="Times New Roman"/>
          <w:b/>
          <w:bCs/>
          <w:smallCaps/>
          <w:spacing w:val="5"/>
          <w:sz w:val="28"/>
          <w:szCs w:val="28"/>
        </w:rPr>
        <w:lastRenderedPageBreak/>
        <w:t>Termin rozstrzygnięcia konkursu ofert</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Wyniki konkursu ofert zostaną podane do wiadomości publicznej w terminie jednego miesiąca od końca terminu przewidzianego na złożenie ofert. Termin ten może ulec przedłużeniu w przypadku konieczności oceny znacznej liczby ofert.</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b/>
        </w:rPr>
        <w:t xml:space="preserve">Oferent jest zobowiązany do bieżącego zapoznawania się z informacjami na temat wyników konkursu, zamieszczanymi na stronie internetowej Ministerstwa Zdrowia </w:t>
      </w:r>
      <w:hyperlink r:id="rId9" w:history="1">
        <w:r w:rsidRPr="00280549">
          <w:rPr>
            <w:rFonts w:eastAsia="Times New Roman" w:cs="Times New Roman"/>
            <w:b/>
            <w:color w:val="0563C1" w:themeColor="hyperlink"/>
            <w:u w:val="single"/>
          </w:rPr>
          <w:t>www.mz.gov.pl</w:t>
        </w:r>
      </w:hyperlink>
      <w:r w:rsidRPr="00280549">
        <w:rPr>
          <w:rFonts w:eastAsia="Times New Roman" w:cs="Times New Roman"/>
          <w:b/>
        </w:rPr>
        <w:t xml:space="preserve"> i na stronie podmiotowej Biuletynu Informacji Publicznej.</w:t>
      </w:r>
    </w:p>
    <w:p w:rsidR="00280549" w:rsidRPr="00280549" w:rsidRDefault="00280549" w:rsidP="00280549">
      <w:pPr>
        <w:spacing w:after="120" w:line="276" w:lineRule="auto"/>
        <w:jc w:val="both"/>
        <w:rPr>
          <w:rFonts w:eastAsia="Times New Roman" w:cs="Times New Roman"/>
          <w:b/>
          <w:bCs/>
          <w:smallCaps/>
          <w:spacing w:val="5"/>
          <w:sz w:val="28"/>
          <w:szCs w:val="28"/>
        </w:rPr>
      </w:pPr>
      <w:r w:rsidRPr="00280549">
        <w:rPr>
          <w:rFonts w:eastAsia="Times New Roman" w:cs="Times New Roman"/>
          <w:b/>
          <w:bCs/>
          <w:smallCaps/>
          <w:spacing w:val="5"/>
          <w:sz w:val="28"/>
          <w:szCs w:val="28"/>
        </w:rPr>
        <w:t>Uwagi</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Minister Zdrowia zastrzega sobie prawo do odwołania konkursu ofert przed upływem terminu na złożenie ofert oraz prawo do wprowadzania zmian w Ogłoszeniu, w tym do przedłużenia terminu na złożenie ofert, terminu uzupełnienia braków formalnych lub terminu rozstrzygnięcia konkursu, </w:t>
      </w:r>
      <w:r w:rsidRPr="00280549">
        <w:rPr>
          <w:rFonts w:eastAsia="Times New Roman" w:cs="Times New Roman"/>
        </w:rPr>
        <w:br/>
        <w:t xml:space="preserve">z wyłączeniem zmian skutkujących nierównym traktowaniem oferentów, chyba że konieczność ich wprowadzenia wynika ze zmiany przepisów prawa powszechnie obowiązującego. Minister Zdrowia zastrzega sobie także prawo do unieważnienia konkursu ofert bez podania przyczyn. </w:t>
      </w:r>
      <w:r w:rsidRPr="00280549">
        <w:rPr>
          <w:rFonts w:eastAsia="Times New Roman" w:cs="Times New Roman"/>
        </w:rPr>
        <w:br/>
        <w:t xml:space="preserve">W związku z powyższym zaleca się, aby podmioty aplikujące o środki w ramach niniejszego konkursu na bieżąco zapoznawały się z informacjami zamieszczanymi na stronie internetowej Ministerstwa Zdrowia </w:t>
      </w:r>
      <w:hyperlink r:id="rId10" w:history="1">
        <w:r w:rsidRPr="00280549">
          <w:rPr>
            <w:rFonts w:eastAsia="Times New Roman" w:cs="Times New Roman"/>
            <w:color w:val="0563C1" w:themeColor="hyperlink"/>
            <w:u w:val="single"/>
          </w:rPr>
          <w:t>www.mz.gov.pl</w:t>
        </w:r>
      </w:hyperlink>
      <w:r w:rsidRPr="00280549">
        <w:rPr>
          <w:rFonts w:eastAsia="Times New Roman" w:cs="Times New Roman"/>
        </w:rPr>
        <w:t xml:space="preserve"> i na stronie podmiotowej Biuletynu Informacji Publicznej.</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Umowa na realizację zadania zawarta w wyniku rozstrzygnięcia postępowania konkursowego będzie zawierała postanowienie o przeniesieniu autorskich praw majątkowych na Ministra Zdrowia, w ramach kwoty finansowania przewidzianego w umowie na realizację zadania, łącznie z wyłącznym prawem do udzielania zezwoleń na wykonywanie zależnego prawa autorskiego, do utworów wytworzonych </w:t>
      </w:r>
      <w:r w:rsidR="00E91417">
        <w:rPr>
          <w:rFonts w:eastAsia="Times New Roman" w:cs="Times New Roman"/>
        </w:rPr>
        <w:br/>
      </w:r>
      <w:r w:rsidRPr="00280549">
        <w:rPr>
          <w:rFonts w:eastAsia="Times New Roman" w:cs="Times New Roman"/>
        </w:rPr>
        <w:t>w ramach realizacji zadania w tym m.in. nieograniczonego w czasie wykorzystania w celach promocyjnych, szkoleniowych, edukacyjnych i informacyjnych.</w:t>
      </w:r>
    </w:p>
    <w:p w:rsidR="00280549" w:rsidRPr="00280549" w:rsidRDefault="00000031" w:rsidP="00280549">
      <w:pPr>
        <w:spacing w:after="120" w:line="276" w:lineRule="auto"/>
        <w:jc w:val="both"/>
        <w:rPr>
          <w:rFonts w:eastAsia="Times New Roman" w:cs="Times New Roman"/>
        </w:rPr>
      </w:pPr>
      <w:r>
        <w:rPr>
          <w:rFonts w:eastAsia="Times New Roman" w:cs="Times New Roman"/>
        </w:rPr>
        <w:pict>
          <v:rect id="_x0000_i1025" style="width:453.6pt;height:2pt" o:hralign="center" o:hrstd="t" o:hr="t" fillcolor="#a0a0a0" stroked="f"/>
        </w:pic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Wyjaśnienia w zakresie treści ogłoszenia o konkursie ofert udzielane będą telefonicznie pod numerem </w:t>
      </w:r>
      <w:r w:rsidR="00E91417">
        <w:rPr>
          <w:rFonts w:eastAsia="Times New Roman" w:cs="Times New Roman"/>
          <w:b/>
        </w:rPr>
        <w:t>(22) 53-00-147 lub (22) 53-00-253</w:t>
      </w:r>
      <w:r w:rsidRPr="00280549">
        <w:rPr>
          <w:rFonts w:eastAsia="Times New Roman" w:cs="Times New Roman"/>
        </w:rPr>
        <w:t xml:space="preserve"> w godzinach pracy Ministerstwa Zdrowia lub na pisemną prośbę oferenta. Prośba, o której mowa powyżej, może zostać przesłana drogą elektroniczną na adres: </w:t>
      </w:r>
      <w:r w:rsidR="00E91417">
        <w:rPr>
          <w:rFonts w:eastAsia="Times New Roman" w:cs="Times New Roman"/>
          <w:b/>
        </w:rPr>
        <w:t>NPZ3</w:t>
      </w:r>
      <w:r w:rsidRPr="00280549">
        <w:rPr>
          <w:rFonts w:eastAsia="Times New Roman" w:cs="Times New Roman"/>
          <w:b/>
        </w:rPr>
        <w:t>@mz.gov.pl</w:t>
      </w:r>
      <w:r w:rsidRPr="00280549">
        <w:rPr>
          <w:rFonts w:eastAsia="Times New Roman" w:cs="Times New Roman"/>
        </w:rPr>
        <w:t xml:space="preserve"> bez obowiązku zastosowania podpisu elektronicznego w formie przewidzianej ustawą z dnia 5 września 2016 r. o usługach zaufania oraz identyfikacji elektronicznej (Dz.U. z 2016 r., poz. 1579). Odpowiedź na pytania udzielona zostanie w ww. formie.</w:t>
      </w:r>
    </w:p>
    <w:p w:rsidR="00280549" w:rsidRPr="00280549" w:rsidRDefault="00280549" w:rsidP="00280549">
      <w:pPr>
        <w:spacing w:after="120" w:line="276" w:lineRule="auto"/>
        <w:jc w:val="both"/>
        <w:rPr>
          <w:rFonts w:eastAsia="Times New Roman" w:cs="Times New Roman"/>
        </w:rPr>
      </w:pPr>
      <w:r w:rsidRPr="00280549">
        <w:rPr>
          <w:rFonts w:eastAsia="Times New Roman" w:cs="Times New Roman"/>
        </w:rPr>
        <w:t xml:space="preserve">Wyjaśnienia o charakterze ogólnym publikowane są na stronie internetowej </w:t>
      </w:r>
      <w:hyperlink r:id="rId11" w:history="1">
        <w:r w:rsidRPr="00280549">
          <w:rPr>
            <w:rFonts w:eastAsia="Times New Roman" w:cs="Times New Roman"/>
            <w:color w:val="0563C1" w:themeColor="hyperlink"/>
            <w:u w:val="single"/>
          </w:rPr>
          <w:t>www.mz.gov.pl</w:t>
        </w:r>
      </w:hyperlink>
      <w:r w:rsidRPr="00280549">
        <w:rPr>
          <w:rFonts w:eastAsia="Times New Roman" w:cs="Times New Roman"/>
        </w:rPr>
        <w:t xml:space="preserve">. </w:t>
      </w:r>
    </w:p>
    <w:p w:rsidR="00280549" w:rsidRPr="00280549" w:rsidRDefault="00280549" w:rsidP="004904AC">
      <w:pPr>
        <w:spacing w:after="0" w:line="276" w:lineRule="auto"/>
        <w:jc w:val="both"/>
        <w:rPr>
          <w:rFonts w:eastAsia="Times New Roman" w:cs="Times New Roman"/>
        </w:rPr>
      </w:pPr>
      <w:r w:rsidRPr="00280549">
        <w:rPr>
          <w:rFonts w:eastAsia="Times New Roman" w:cs="Times New Roman"/>
        </w:rPr>
        <w:t xml:space="preserve">W ramach udzielanych wyjaśnień nie są prowadzone konsultacje dotyczące prawidłowości zapisów ofert, gdyż leży to w zakresie oceny formalnej i merytorycznej prowadzonej przez Komisję Konkursową. </w:t>
      </w:r>
      <w:r w:rsidRPr="00280549">
        <w:rPr>
          <w:rFonts w:eastAsia="Times New Roman" w:cs="Times New Roman"/>
          <w:b/>
          <w:bCs/>
          <w:smallCaps/>
          <w:spacing w:val="5"/>
          <w:sz w:val="28"/>
          <w:szCs w:val="28"/>
        </w:rPr>
        <w:t xml:space="preserve">Pozostałe informacje o konkursie zawiera </w:t>
      </w:r>
      <w:r w:rsidRPr="00280549">
        <w:rPr>
          <w:rFonts w:eastAsia="Times New Roman" w:cs="Times New Roman"/>
          <w:b/>
          <w:bCs/>
          <w:smallCaps/>
          <w:color w:val="0070C0"/>
          <w:spacing w:val="5"/>
          <w:sz w:val="28"/>
          <w:szCs w:val="28"/>
        </w:rPr>
        <w:t>część b</w:t>
      </w:r>
      <w:r w:rsidRPr="00280549">
        <w:rPr>
          <w:rFonts w:eastAsia="Times New Roman" w:cs="Times New Roman"/>
          <w:b/>
          <w:bCs/>
          <w:smallCaps/>
          <w:spacing w:val="5"/>
          <w:sz w:val="28"/>
          <w:szCs w:val="28"/>
        </w:rPr>
        <w:t xml:space="preserve"> ogłoszenia </w:t>
      </w:r>
      <w:r w:rsidRPr="00280549">
        <w:rPr>
          <w:rFonts w:eastAsia="Times New Roman" w:cs="Times New Roman"/>
          <w:b/>
          <w:bCs/>
          <w:smallCaps/>
          <w:color w:val="0070C0"/>
          <w:spacing w:val="5"/>
          <w:sz w:val="28"/>
          <w:szCs w:val="28"/>
        </w:rPr>
        <w:t>–</w:t>
      </w:r>
      <w:r w:rsidRPr="00280549">
        <w:rPr>
          <w:rFonts w:eastAsia="Times New Roman" w:cs="Times New Roman"/>
          <w:b/>
          <w:bCs/>
          <w:smallCaps/>
          <w:spacing w:val="5"/>
          <w:sz w:val="28"/>
          <w:szCs w:val="28"/>
        </w:rPr>
        <w:t xml:space="preserve"> </w:t>
      </w:r>
      <w:r w:rsidRPr="00280549">
        <w:rPr>
          <w:rFonts w:eastAsia="Times New Roman" w:cs="Times New Roman"/>
          <w:b/>
          <w:bCs/>
          <w:color w:val="0070C0"/>
        </w:rPr>
        <w:t xml:space="preserve">Pobierz CZĘŚĆ B ogłoszenia </w:t>
      </w:r>
    </w:p>
    <w:p w:rsidR="00436F03" w:rsidRDefault="00436F03" w:rsidP="003E6241">
      <w:pPr>
        <w:spacing w:after="120" w:line="276" w:lineRule="auto"/>
        <w:jc w:val="center"/>
        <w:rPr>
          <w:rFonts w:eastAsia="Times New Roman" w:cs="Times New Roman"/>
          <w:b/>
          <w:bCs/>
          <w:smallCaps/>
          <w:color w:val="0070C0"/>
          <w:sz w:val="28"/>
        </w:rPr>
      </w:pPr>
    </w:p>
    <w:p w:rsidR="007C2453" w:rsidRPr="003E6241" w:rsidRDefault="00280549" w:rsidP="003E6241">
      <w:pPr>
        <w:spacing w:after="120" w:line="276" w:lineRule="auto"/>
        <w:jc w:val="center"/>
        <w:rPr>
          <w:rFonts w:eastAsia="Times New Roman" w:cs="Times New Roman"/>
          <w:b/>
          <w:bCs/>
          <w:color w:val="0070C0"/>
        </w:rPr>
      </w:pPr>
      <w:bookmarkStart w:id="0" w:name="_GoBack"/>
      <w:bookmarkEnd w:id="0"/>
      <w:r w:rsidRPr="00280549">
        <w:rPr>
          <w:rFonts w:eastAsia="Times New Roman" w:cs="Times New Roman"/>
          <w:b/>
          <w:bCs/>
          <w:smallCaps/>
          <w:color w:val="0070C0"/>
          <w:sz w:val="28"/>
        </w:rPr>
        <w:t>Zapraszamy do złożenia oferty</w:t>
      </w:r>
    </w:p>
    <w:sectPr w:rsidR="007C2453" w:rsidRPr="003E62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31" w:rsidRDefault="00000031" w:rsidP="00280549">
      <w:pPr>
        <w:spacing w:after="0" w:line="240" w:lineRule="auto"/>
      </w:pPr>
      <w:r>
        <w:separator/>
      </w:r>
    </w:p>
  </w:endnote>
  <w:endnote w:type="continuationSeparator" w:id="0">
    <w:p w:rsidR="00000031" w:rsidRDefault="00000031" w:rsidP="0028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31" w:rsidRDefault="00000031" w:rsidP="00280549">
      <w:pPr>
        <w:spacing w:after="0" w:line="240" w:lineRule="auto"/>
      </w:pPr>
      <w:r>
        <w:separator/>
      </w:r>
    </w:p>
  </w:footnote>
  <w:footnote w:type="continuationSeparator" w:id="0">
    <w:p w:rsidR="00000031" w:rsidRDefault="00000031" w:rsidP="00280549">
      <w:pPr>
        <w:spacing w:after="0" w:line="240" w:lineRule="auto"/>
      </w:pPr>
      <w:r>
        <w:continuationSeparator/>
      </w:r>
    </w:p>
  </w:footnote>
  <w:footnote w:id="1">
    <w:p w:rsidR="00C6677A" w:rsidRDefault="00C6677A" w:rsidP="00436F03">
      <w:pPr>
        <w:pStyle w:val="Tekstprzypisudolnego"/>
        <w:jc w:val="both"/>
      </w:pPr>
      <w:r>
        <w:rPr>
          <w:rStyle w:val="Odwoanieprzypisudolnego"/>
        </w:rPr>
        <w:footnoteRef/>
      </w:r>
      <w:r>
        <w:t xml:space="preserve"> Kryterium dotyczy zadań, w których przewidziane jest opracowanie materiałów edukacyjno-promocyjnych do publikacji na stronę internetową. W przypadku gdy Oferent nie przewiduje takiej formy realizacji zadania – kryterium nie dotyczy ocenianej oferty. </w:t>
      </w:r>
    </w:p>
  </w:footnote>
  <w:footnote w:id="2">
    <w:p w:rsidR="00D20D17" w:rsidRDefault="00D20D17" w:rsidP="00280549">
      <w:pPr>
        <w:pStyle w:val="Tekstprzypisudolnego"/>
        <w:jc w:val="both"/>
      </w:pPr>
      <w:r>
        <w:rPr>
          <w:rStyle w:val="Odwoanieprzypisudolnego"/>
        </w:rPr>
        <w:footnoteRef/>
      </w:r>
      <w:r>
        <w:t xml:space="preserve"> W przypadku, gdy oferta przewiduje osiągnięcie wskaźników rezultatu długoterminowego, realizator po okresie realizacji zadania może zostać zobowiązany do przedkładania dokumentów potwierdzających osiągnięcie </w:t>
      </w:r>
      <w:r w:rsidR="00436F03">
        <w:br/>
      </w:r>
      <w:r>
        <w:t>ww. wskaźników.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81E65"/>
    <w:multiLevelType w:val="hybridMultilevel"/>
    <w:tmpl w:val="93A8F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693095"/>
    <w:multiLevelType w:val="hybridMultilevel"/>
    <w:tmpl w:val="FDEAB9C2"/>
    <w:lvl w:ilvl="0" w:tplc="DE9EEF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9BC1CEC"/>
    <w:multiLevelType w:val="hybridMultilevel"/>
    <w:tmpl w:val="780865F4"/>
    <w:lvl w:ilvl="0" w:tplc="DE9EEF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423C4D"/>
    <w:multiLevelType w:val="hybridMultilevel"/>
    <w:tmpl w:val="0930C8B6"/>
    <w:lvl w:ilvl="0" w:tplc="DE9EEF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49"/>
    <w:rsid w:val="00000031"/>
    <w:rsid w:val="00005E6D"/>
    <w:rsid w:val="00066615"/>
    <w:rsid w:val="001A3F7D"/>
    <w:rsid w:val="00280549"/>
    <w:rsid w:val="002B466C"/>
    <w:rsid w:val="002C6A1A"/>
    <w:rsid w:val="002E4334"/>
    <w:rsid w:val="003847CB"/>
    <w:rsid w:val="003E6241"/>
    <w:rsid w:val="00436F03"/>
    <w:rsid w:val="00483DD5"/>
    <w:rsid w:val="004904AC"/>
    <w:rsid w:val="00536CAF"/>
    <w:rsid w:val="00546AFD"/>
    <w:rsid w:val="007C2453"/>
    <w:rsid w:val="00815DD0"/>
    <w:rsid w:val="008B608F"/>
    <w:rsid w:val="009877F8"/>
    <w:rsid w:val="009C535C"/>
    <w:rsid w:val="00C17CFF"/>
    <w:rsid w:val="00C6677A"/>
    <w:rsid w:val="00CC7DA4"/>
    <w:rsid w:val="00CD29E5"/>
    <w:rsid w:val="00D20D17"/>
    <w:rsid w:val="00D57A91"/>
    <w:rsid w:val="00E91417"/>
    <w:rsid w:val="00F74E22"/>
    <w:rsid w:val="00FC22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C226B-05BF-4A2C-9748-5E792886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805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80549"/>
    <w:pPr>
      <w:spacing w:after="0" w:line="240" w:lineRule="auto"/>
    </w:pPr>
    <w:rPr>
      <w:rFonts w:eastAsia="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80549"/>
    <w:rPr>
      <w:rFonts w:eastAsia="Times New Roman" w:cs="Times New Roman"/>
      <w:sz w:val="20"/>
      <w:szCs w:val="20"/>
    </w:rPr>
  </w:style>
  <w:style w:type="character" w:styleId="Odwoanieprzypisudolnego">
    <w:name w:val="footnote reference"/>
    <w:basedOn w:val="Domylnaczcionkaakapitu"/>
    <w:uiPriority w:val="99"/>
    <w:semiHidden/>
    <w:unhideWhenUsed/>
    <w:rsid w:val="00280549"/>
    <w:rPr>
      <w:rFonts w:cs="Times New Roman"/>
      <w:vertAlign w:val="superscript"/>
    </w:rPr>
  </w:style>
  <w:style w:type="paragraph" w:styleId="Akapitzlist">
    <w:name w:val="List Paragraph"/>
    <w:basedOn w:val="Normalny"/>
    <w:uiPriority w:val="34"/>
    <w:qFormat/>
    <w:rsid w:val="00280549"/>
    <w:pPr>
      <w:ind w:left="720"/>
      <w:contextualSpacing/>
    </w:pPr>
  </w:style>
  <w:style w:type="paragraph" w:styleId="Tekstdymka">
    <w:name w:val="Balloon Text"/>
    <w:basedOn w:val="Normalny"/>
    <w:link w:val="TekstdymkaZnak"/>
    <w:uiPriority w:val="99"/>
    <w:semiHidden/>
    <w:unhideWhenUsed/>
    <w:rsid w:val="00005E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5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z.gov.pl" TargetMode="External"/><Relationship Id="rId5" Type="http://schemas.openxmlformats.org/officeDocument/2006/relationships/footnotes" Target="footnotes.xml"/><Relationship Id="rId10" Type="http://schemas.openxmlformats.org/officeDocument/2006/relationships/hyperlink" Target="http://www.mz.gov.pl" TargetMode="External"/><Relationship Id="rId4" Type="http://schemas.openxmlformats.org/officeDocument/2006/relationships/webSettings" Target="webSettings.xml"/><Relationship Id="rId9" Type="http://schemas.openxmlformats.org/officeDocument/2006/relationships/hyperlink" Target="http://www.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2246</Words>
  <Characters>13478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Jóźwik Dominika</dc:creator>
  <cp:keywords/>
  <dc:description/>
  <cp:lastModifiedBy>Jóźwik Dominika</cp:lastModifiedBy>
  <cp:revision>14</cp:revision>
  <cp:lastPrinted>2018-01-18T07:15:00Z</cp:lastPrinted>
  <dcterms:created xsi:type="dcterms:W3CDTF">2018-01-17T08:14:00Z</dcterms:created>
  <dcterms:modified xsi:type="dcterms:W3CDTF">2018-01-19T12:44:00Z</dcterms:modified>
</cp:coreProperties>
</file>