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45F0B9FE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80B044B" w14:textId="18290668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305B55F3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……………………………….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3BEC9560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2886567A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22836630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FC2EC2" w14:textId="1180675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19A9A60" w14:textId="00416499"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2E0489A6" w14:textId="6920D285" w:rsidR="00C25093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267"/>
        <w:gridCol w:w="1984"/>
        <w:gridCol w:w="1843"/>
        <w:gridCol w:w="1134"/>
      </w:tblGrid>
      <w:tr w:rsidR="003460E0" w:rsidRPr="003460E0" w14:paraId="53F743BC" w14:textId="77777777" w:rsidTr="003460E0">
        <w:trPr>
          <w:trHeight w:val="29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832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BE3F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Typ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46AF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Nazwa producenta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292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2410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3460E0" w:rsidRPr="003460E0" w14:paraId="4FD12D0E" w14:textId="77777777" w:rsidTr="003460E0">
        <w:trPr>
          <w:trHeight w:val="4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5B6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AEF9" w14:textId="4870DB28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Laptopy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307F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7CB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9BB8" w14:textId="4DB21105"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2121599E" w14:textId="77777777" w:rsidTr="003460E0">
        <w:trPr>
          <w:trHeight w:val="35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D20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2B3" w14:textId="4B78F8FE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Stacje dokujące</w:t>
            </w:r>
            <w:r>
              <w:rPr>
                <w:rFonts w:ascii="Calibri" w:hAnsi="Calibri" w:cs="Calibri"/>
                <w:color w:val="000000"/>
                <w:lang w:eastAsia="pl-PL"/>
              </w:rPr>
              <w:t xml:space="preserve"> do laptopów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134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E27A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79EB" w14:textId="66D7812E"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7369E3DA" w14:textId="77777777" w:rsidTr="003460E0">
        <w:trPr>
          <w:trHeight w:val="36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D93E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701" w14:textId="4DBDA4D9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Pakiety oprogramowania biurowego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625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8C1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9B1C" w14:textId="09A25936"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709455AC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32C2" w14:textId="79F56BA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0263" w14:textId="01646D90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Theme="minorHAnsi" w:hAnsiTheme="minorHAnsi" w:cstheme="minorHAnsi"/>
                <w:color w:val="000000"/>
              </w:rPr>
              <w:t>Zestawy klawiatura i mysz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F5580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D88F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9D40" w14:textId="38288CBF"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="003460E0">
              <w:rPr>
                <w:rFonts w:ascii="Calibri" w:hAnsi="Calibri" w:cs="Calibri"/>
                <w:color w:val="000000"/>
                <w:lang w:eastAsia="pl-PL"/>
              </w:rPr>
              <w:t>kpl</w:t>
            </w:r>
            <w:proofErr w:type="spellEnd"/>
            <w:r w:rsidR="003460E0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</w:tr>
      <w:tr w:rsidR="003460E0" w:rsidRPr="003460E0" w14:paraId="4701A799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205" w14:textId="66FACDD5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0ED0" w14:textId="7B58D044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Hub USB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2B49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74AC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CC91" w14:textId="629850FD"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2C8227D4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756" w14:textId="3EB755E5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D007" w14:textId="763827F4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Uchwyty do monitorów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5197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FEC7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C194" w14:textId="28E9708B"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55A8CB9D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9C8" w14:textId="7F56744A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399" w14:textId="227508C0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Monitory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B88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9046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732" w14:textId="3E6C966A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4A7E45" w:rsidRPr="003460E0" w14:paraId="5917DF19" w14:textId="77777777" w:rsidTr="00D437B1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BD3" w14:textId="6FA01013"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D5CF" w14:textId="587D1CEE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Podstawki chłodzące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3CF8" w14:textId="3C145E65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B69C" w14:textId="63B54491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737B" w14:textId="2A119455"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4A7E45" w:rsidRPr="003460E0" w14:paraId="37D2B123" w14:textId="77777777" w:rsidTr="00D437B1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B931" w14:textId="0CB7FD77"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7C38" w14:textId="1C47CE55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Pendrive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4E15" w14:textId="77777777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3804" w14:textId="77777777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0118" w14:textId="14E4B62C"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4A7E45" w:rsidRPr="003460E0" w14:paraId="74B97182" w14:textId="77777777" w:rsidTr="003460E0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ABB" w14:textId="2897E447" w:rsidR="004A7E45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B27F" w14:textId="1ECBCD56" w:rsidR="004A7E45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Torby do laptopów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6C36" w14:textId="6EBB720A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FE54" w14:textId="2812D169"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A486" w14:textId="1879F9C8" w:rsidR="004A7E45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</w:tbl>
    <w:p w14:paraId="703C1068" w14:textId="77777777" w:rsidR="003460E0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</w:pPr>
    </w:p>
    <w:p w14:paraId="3F6E6A46" w14:textId="26C4C9D2" w:rsidR="009270C1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405449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40544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B56E5E7" w14:textId="7B96453E" w:rsidR="006A61EA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</w:t>
      </w:r>
      <w:r>
        <w:rPr>
          <w:rFonts w:asciiTheme="minorHAnsi" w:hAnsiTheme="minorHAnsi" w:cstheme="minorHAnsi"/>
          <w:color w:val="000000"/>
          <w:sz w:val="24"/>
          <w:szCs w:val="24"/>
        </w:rPr>
        <w:t>Sprzedawcy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 dnia 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>, stanowiącą załącznik nr 2 do umowy.</w:t>
      </w:r>
    </w:p>
    <w:p w14:paraId="6CF66491" w14:textId="3B1C9603" w:rsidR="00405449" w:rsidRPr="006A61EA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A61EA">
        <w:rPr>
          <w:rFonts w:asciiTheme="minorHAnsi" w:hAnsiTheme="minorHAnsi" w:cstheme="minorHAnsi"/>
          <w:sz w:val="24"/>
          <w:szCs w:val="24"/>
        </w:rPr>
        <w:t xml:space="preserve">Zamówienie realizowane jest w ramach zadania pn. </w:t>
      </w:r>
      <w:r w:rsidR="00486289" w:rsidRPr="00486289">
        <w:rPr>
          <w:rFonts w:asciiTheme="minorHAnsi" w:hAnsiTheme="minorHAnsi" w:cstheme="minorHAnsi"/>
          <w:sz w:val="24"/>
          <w:szCs w:val="24"/>
        </w:rPr>
        <w:t xml:space="preserve">„Zapewnienie właściwego stanu ochrony obszarów cennych przyrodniczo 2024-2025”, podzadanie „Konferencja nt. ocen </w:t>
      </w:r>
      <w:r w:rsidR="00486289" w:rsidRPr="00486289">
        <w:rPr>
          <w:rFonts w:asciiTheme="minorHAnsi" w:hAnsiTheme="minorHAnsi" w:cstheme="minorHAnsi"/>
          <w:sz w:val="24"/>
          <w:szCs w:val="24"/>
        </w:rPr>
        <w:lastRenderedPageBreak/>
        <w:t>oddziaływania na środowisko oraz procedur wydawania decyzji o środowiskowych uwarunkowaniach</w:t>
      </w:r>
      <w:r w:rsidR="00AB4958">
        <w:rPr>
          <w:rFonts w:asciiTheme="minorHAnsi" w:hAnsiTheme="minorHAnsi" w:cstheme="minorHAnsi"/>
          <w:sz w:val="24"/>
          <w:szCs w:val="24"/>
        </w:rPr>
        <w:t xml:space="preserve"> – </w:t>
      </w:r>
      <w:r w:rsidR="00AB4958" w:rsidRPr="00AB4958">
        <w:rPr>
          <w:rFonts w:asciiTheme="minorHAnsi" w:hAnsiTheme="minorHAnsi" w:cstheme="minorHAnsi"/>
          <w:sz w:val="24"/>
          <w:szCs w:val="24"/>
        </w:rPr>
        <w:t>warsztaty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tematyczne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(przygotowanie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6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stanowisk multimedialnych)</w:t>
      </w:r>
      <w:r w:rsidR="00486289" w:rsidRPr="00486289">
        <w:rPr>
          <w:rFonts w:asciiTheme="minorHAnsi" w:hAnsiTheme="minorHAnsi" w:cstheme="minorHAnsi"/>
          <w:sz w:val="24"/>
          <w:szCs w:val="24"/>
        </w:rPr>
        <w:t>”</w:t>
      </w:r>
      <w:r w:rsidRPr="006A61EA">
        <w:rPr>
          <w:rFonts w:asciiTheme="minorHAnsi" w:hAnsiTheme="minorHAnsi" w:cstheme="minorHAnsi"/>
          <w:sz w:val="24"/>
          <w:szCs w:val="24"/>
        </w:rPr>
        <w:t>, finansowanego ze środków Wojewódzkiego Funduszu Ochrony Środowiska i Gospodarki Wodnej w Toruniu.</w:t>
      </w:r>
    </w:p>
    <w:p w14:paraId="4B4A83BF" w14:textId="77777777" w:rsidR="00405449" w:rsidRPr="00405449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17A7D38" w14:textId="520E3CDC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322BC9C" w14:textId="567DB6DD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rzeczy określone 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§ 2 ust. </w:t>
      </w:r>
      <w:r w:rsidR="00494CD5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w </w:t>
      </w:r>
      <w:r w:rsidR="00494CD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maksymalnym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494CD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do dnia ……………………… 202</w:t>
      </w:r>
      <w:r w:rsidR="004A7E4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5</w:t>
      </w:r>
      <w:r w:rsidR="00494CD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r.</w:t>
      </w:r>
      <w:r w:rsidR="00C970F2" w:rsidRPr="00D359E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22BB6A2C" w14:textId="77777777" w:rsidR="00405449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3E185529" w14:textId="2808F96E" w:rsidR="00405449" w:rsidRPr="00405449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Dostarczanie </w:t>
      </w:r>
      <w:r>
        <w:rPr>
          <w:rFonts w:asciiTheme="minorHAnsi" w:hAnsiTheme="minorHAnsi" w:cstheme="minorHAnsi"/>
          <w:color w:val="000000"/>
          <w:sz w:val="24"/>
          <w:szCs w:val="24"/>
        </w:rPr>
        <w:t>przedmi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z Zamawiającym oraz przesłaniu informacji o terminie i godzinie dostawy na adres e-mail: 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32D082" w14:textId="7B55BE22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Dostarczony sprzęt będzie gotowy do pracy i będzie posiadał wszelkie niezbędne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25C48E10" w:rsidR="007658F1" w:rsidRPr="000B4114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</w:t>
      </w:r>
      <w:r w:rsidRPr="00132FC8">
        <w:rPr>
          <w:rFonts w:asciiTheme="minorHAnsi" w:hAnsiTheme="minorHAnsi" w:cstheme="minorHAnsi"/>
          <w:bCs/>
          <w:sz w:val="24"/>
          <w:szCs w:val="24"/>
        </w:rPr>
        <w:t>Pan Grzegorz Rybacki i Pan</w:t>
      </w:r>
      <w:r w:rsidR="003D7E62" w:rsidRPr="00132FC8">
        <w:rPr>
          <w:rFonts w:asciiTheme="minorHAnsi" w:hAnsiTheme="minorHAnsi" w:cstheme="minorHAnsi"/>
          <w:bCs/>
          <w:sz w:val="24"/>
          <w:szCs w:val="24"/>
        </w:rPr>
        <w:t>i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7E45">
        <w:rPr>
          <w:rFonts w:asciiTheme="minorHAnsi" w:hAnsiTheme="minorHAnsi" w:cstheme="minorHAnsi"/>
          <w:bCs/>
          <w:sz w:val="24"/>
          <w:szCs w:val="24"/>
        </w:rPr>
        <w:t>Marta Dybicz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00567CC0" w14:textId="7CA0B160" w:rsidR="000B4114" w:rsidRPr="00132FC8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2FC8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7629545" w14:textId="58B3D500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0C054B2A" w14:textId="64690D26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sprzęt jest </w:t>
      </w:r>
      <w:r w:rsidRPr="00132FC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fabrycznie nowy</w:t>
      </w:r>
      <w:r w:rsidRPr="00132FC8">
        <w:rPr>
          <w:rFonts w:asciiTheme="minorHAnsi" w:hAnsiTheme="minorHAnsi" w:cstheme="minorHAnsi"/>
          <w:sz w:val="24"/>
          <w:szCs w:val="24"/>
        </w:rPr>
        <w:t>,</w:t>
      </w:r>
      <w:r w:rsidR="000B60B7" w:rsidRPr="00132FC8">
        <w:rPr>
          <w:rFonts w:asciiTheme="minorHAnsi" w:hAnsiTheme="minorHAnsi" w:cstheme="minorHAnsi"/>
          <w:sz w:val="24"/>
          <w:szCs w:val="24"/>
        </w:rPr>
        <w:t xml:space="preserve"> nie powystawowy,</w:t>
      </w:r>
      <w:r w:rsidRPr="00132FC8">
        <w:rPr>
          <w:rFonts w:asciiTheme="minorHAnsi" w:hAnsiTheme="minorHAnsi" w:cstheme="minorHAnsi"/>
          <w:sz w:val="24"/>
          <w:szCs w:val="24"/>
        </w:rPr>
        <w:t xml:space="preserve"> spełnia założone parametry techniczne, normy bezpieczeństwa ob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1C6687AC" w14:textId="1457E379" w:rsidR="00785B77" w:rsidRPr="004D0B32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0B32">
        <w:rPr>
          <w:rFonts w:asciiTheme="minorHAnsi" w:hAnsiTheme="minorHAnsi" w:cstheme="minorHAnsi"/>
          <w:sz w:val="24"/>
          <w:szCs w:val="24"/>
        </w:rPr>
        <w:t>Okres gwarancji na dostarczony sprzęt o którym mowa w § 1 wynosi odpowiednio:</w:t>
      </w:r>
      <w:r w:rsidR="0051173F" w:rsidRPr="004D0B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214E98" w14:textId="0801215B" w:rsidR="0048665F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Laptopy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349D979A" w14:textId="4978081F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Stacje dokujące do laptopów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5F3E2A7F" w14:textId="5D2CD743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Pakiety oprogramowania biurowego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</w:t>
      </w:r>
    </w:p>
    <w:p w14:paraId="049190A2" w14:textId="4CF929F6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Zestawy klawiatura i mysz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0947A618" w14:textId="5FE8EC9F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Hub USB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…………………………………………...</w:t>
      </w:r>
    </w:p>
    <w:p w14:paraId="11794855" w14:textId="477FC606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Uchwyty biurkowe do monitorów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……..</w:t>
      </w:r>
    </w:p>
    <w:p w14:paraId="5DD12497" w14:textId="23EC664A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Monitory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…………………………………………..</w:t>
      </w:r>
    </w:p>
    <w:p w14:paraId="43AF13DA" w14:textId="4B925E8D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Podstawki chłodzące do laptopów - ………………………………………………………………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7387DE53" w14:textId="4962E82A" w:rsidR="004A7E45" w:rsidRDefault="004A7E45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Pendrive - ……………………………………………………………………………………………………………</w:t>
      </w:r>
    </w:p>
    <w:p w14:paraId="72716A79" w14:textId="251037AB" w:rsidR="004A7E45" w:rsidRPr="006857B0" w:rsidRDefault="004A7E45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Torby do laptopów - …………………………………………………………………………………………………..</w:t>
      </w:r>
    </w:p>
    <w:p w14:paraId="12D0E9E0" w14:textId="0DAA0254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</w:t>
      </w:r>
      <w:r w:rsidR="000B4114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B0776A7" w:rsidR="0048665F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6FF19BA9" w14:textId="2B21F019" w:rsidR="000B4114" w:rsidRPr="00785B77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4114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0B4114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CA8DBA" w14:textId="729C64A2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3BAC078A" w14:textId="236C2201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na rachunek bankowy Sprzedawcy wskazany w fakturze Vat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</w:p>
    <w:p w14:paraId="51AA136C" w14:textId="4CD475A3" w:rsidR="0048665F" w:rsidRPr="00096A09" w:rsidRDefault="00A5538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>
        <w:rPr>
          <w:rFonts w:asciiTheme="minorHAnsi" w:hAnsiTheme="minorHAnsi" w:cstheme="minorHAnsi"/>
          <w:sz w:val="24"/>
          <w:szCs w:val="24"/>
        </w:rPr>
        <w:t>/wystawionego rachunku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E8B0C4" w14:textId="40A0BD97" w:rsidR="00096A09" w:rsidRPr="00405449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6A09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096A09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096A09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096A09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hyperlink r:id="rId8" w:history="1">
        <w:r w:rsidR="003D7E62" w:rsidRPr="00BF7F02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Pr="00096A0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7E62" w:rsidRPr="003D7E62">
        <w:rPr>
          <w:rFonts w:asciiTheme="minorHAnsi" w:hAnsiTheme="minorHAnsi" w:cstheme="minorHAnsi"/>
          <w:color w:val="000000"/>
          <w:sz w:val="24"/>
          <w:szCs w:val="24"/>
        </w:rPr>
        <w:t>Dowodem dostarczenia faktury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3D7E62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5B88772" w14:textId="4776D14C" w:rsidR="00405449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6A09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516B9A1C" w14:textId="71961F69" w:rsidR="00096A09" w:rsidRDefault="003D7E6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7E62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3D7E62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 odbioru bez wad lub protokołu z usunięcia wad, </w:t>
      </w:r>
      <w:r w:rsidR="00BB071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D7E62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</w:p>
    <w:p w14:paraId="383C0E73" w14:textId="5162DB8F" w:rsidR="003D7E62" w:rsidRDefault="003D7E6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7E62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3D7E62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2B6CAB64" w14:textId="0916E714" w:rsidR="00180F87" w:rsidRPr="00AC3996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54F2">
        <w:rPr>
          <w:rFonts w:asciiTheme="minorHAnsi" w:hAnsiTheme="minorHAnsi" w:cstheme="minorHAnsi"/>
          <w:color w:val="000000"/>
          <w:sz w:val="24"/>
          <w:szCs w:val="24"/>
        </w:rPr>
        <w:t>Wykonawca  nie jest podatnikiem podatku od towarów i usług VAT zarejestrowanym jako podatnik VAT czynny</w:t>
      </w:r>
      <w:r w:rsidR="00AA10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854F2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E307D0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D854F2">
        <w:rPr>
          <w:rFonts w:asciiTheme="minorHAnsi" w:hAnsiTheme="minorHAnsi" w:cstheme="minorHAnsi"/>
          <w:color w:val="000000"/>
          <w:sz w:val="24"/>
          <w:szCs w:val="24"/>
        </w:rPr>
        <w:t xml:space="preserve"> i ust. </w:t>
      </w:r>
      <w:r w:rsidR="00E307D0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D854F2">
        <w:rPr>
          <w:rFonts w:asciiTheme="minorHAnsi" w:hAnsiTheme="minorHAnsi" w:cstheme="minorHAnsi"/>
          <w:color w:val="000000"/>
          <w:sz w:val="24"/>
          <w:szCs w:val="24"/>
        </w:rPr>
        <w:t xml:space="preserve">)/ </w:t>
      </w:r>
      <w:r w:rsidRPr="00D85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lub</w:t>
      </w:r>
      <w:r w:rsidRPr="00D85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AC3996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 ………</w:t>
      </w:r>
      <w:r w:rsidR="00180F87" w:rsidRPr="00AC399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2F7DE78" w14:textId="274000B3" w:rsidR="00180F87" w:rsidRPr="00AC3996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96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C3996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1A6005F7" w14:textId="23DFA6CB" w:rsidR="00D854F2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96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081A605" w14:textId="77777777" w:rsidR="00BB071E" w:rsidRPr="00BB071E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5703AE" w14:textId="37DA77FE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D7E62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5</w:t>
      </w:r>
    </w:p>
    <w:p w14:paraId="15350733" w14:textId="4DA530E4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494CD5">
        <w:rPr>
          <w:rFonts w:asciiTheme="minorHAnsi" w:hAnsiTheme="minorHAnsi" w:cstheme="minorHAnsi"/>
          <w:color w:val="000000"/>
          <w:sz w:val="24"/>
          <w:szCs w:val="24"/>
        </w:rPr>
        <w:t>zwłoki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jącemu karę umowną w wysokości 0,5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 brutto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 określonej w § 4 ust. 1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4CD5">
        <w:rPr>
          <w:rFonts w:asciiTheme="minorHAnsi" w:hAnsiTheme="minorHAnsi" w:cstheme="minorHAnsi"/>
          <w:color w:val="000000"/>
          <w:sz w:val="24"/>
          <w:szCs w:val="24"/>
        </w:rPr>
        <w:t>zwłoki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</w:t>
      </w:r>
      <w:r w:rsidR="000C569F">
        <w:rPr>
          <w:rFonts w:asciiTheme="minorHAnsi" w:hAnsiTheme="minorHAnsi" w:cstheme="minorHAnsi"/>
          <w:color w:val="000000"/>
          <w:sz w:val="24"/>
          <w:szCs w:val="24"/>
        </w:rPr>
        <w:t>Sprzedawcy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61F2F7" w14:textId="403C7308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Jeżeli </w:t>
      </w:r>
      <w:r w:rsidR="00494CD5">
        <w:rPr>
          <w:rFonts w:asciiTheme="minorHAnsi" w:hAnsiTheme="minorHAnsi" w:cstheme="minorHAnsi"/>
          <w:color w:val="000000"/>
          <w:sz w:val="24"/>
          <w:szCs w:val="24"/>
        </w:rPr>
        <w:t>zwłoka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w d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ostawie przekroczy </w:t>
      </w:r>
      <w:r w:rsidR="00267A15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dni w stosunku do terminu określonego w umowie Kupujący ma prawo odstąpić od umowy z winy Sprzedawcy, a Sprzedawca jest zobowiązany do zap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łaty kary umownej w wysokości </w:t>
      </w:r>
      <w:r w:rsidR="00267A15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% wartości 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brutto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umowy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 określonej w § 4 ust. 1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B2B37C" w14:textId="0E37D20F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</w:t>
      </w:r>
      <w:r w:rsidR="00FA7E9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w wezwaniu do zapłaty.</w:t>
      </w:r>
    </w:p>
    <w:p w14:paraId="240B6334" w14:textId="77777777" w:rsidR="00267A15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4DC5BB7B" w14:textId="77777777" w:rsidR="00267A15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7A15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147CDC76" w14:textId="251D3C42" w:rsidR="00267A15" w:rsidRPr="00267A15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7A15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34017ABF" w14:textId="78876D85" w:rsidR="007A5E90" w:rsidRPr="00785B77" w:rsidRDefault="007A5E90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D1AADA" w14:textId="0933536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119418CF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0A0B0DC" w14:textId="4FADBEB0" w:rsidR="00EE16DF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58EDADA7" w14:textId="312BB829" w:rsidR="00EE16DF" w:rsidRPr="00EE16DF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E16DF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22786B24" w14:textId="6A21D88D" w:rsidR="00EE16DF" w:rsidRPr="00EE16DF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E16DF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1E4E522E" w14:textId="77777777" w:rsidR="00EE16DF" w:rsidRPr="00EE16DF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B0F59AC" w14:textId="6384B076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0BEB0A45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>
        <w:rPr>
          <w:rFonts w:asciiTheme="minorHAnsi" w:hAnsiTheme="minorHAnsi" w:cstheme="minorHAnsi"/>
          <w:sz w:val="24"/>
          <w:szCs w:val="24"/>
        </w:rPr>
        <w:t>Sprzedawcy</w:t>
      </w:r>
      <w:r w:rsidRPr="00785B77">
        <w:rPr>
          <w:rFonts w:asciiTheme="minorHAnsi" w:hAnsiTheme="minorHAnsi" w:cstheme="minorHAnsi"/>
          <w:sz w:val="24"/>
          <w:szCs w:val="24"/>
        </w:rPr>
        <w:t>.</w:t>
      </w:r>
    </w:p>
    <w:p w14:paraId="4D686503" w14:textId="5A6267E9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mniejszej ilości dostarczanego sprzętu o którym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</w:t>
      </w:r>
      <w:r w:rsidR="00C517AF">
        <w:rPr>
          <w:rFonts w:asciiTheme="minorHAnsi" w:hAnsiTheme="minorHAnsi" w:cstheme="minorHAnsi"/>
          <w:sz w:val="24"/>
          <w:szCs w:val="24"/>
        </w:rPr>
        <w:br/>
      </w:r>
      <w:r w:rsidRPr="00785B77">
        <w:rPr>
          <w:rFonts w:asciiTheme="minorHAnsi" w:hAnsiTheme="minorHAnsi" w:cstheme="minorHAnsi"/>
          <w:sz w:val="24"/>
          <w:szCs w:val="24"/>
        </w:rPr>
        <w:lastRenderedPageBreak/>
        <w:t xml:space="preserve">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0C393D59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>
        <w:rPr>
          <w:rFonts w:asciiTheme="minorHAnsi" w:hAnsiTheme="minorHAnsi" w:cstheme="minorHAnsi"/>
          <w:sz w:val="24"/>
          <w:szCs w:val="24"/>
        </w:rPr>
        <w:t>Sprzedawcy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>
        <w:rPr>
          <w:rFonts w:asciiTheme="minorHAnsi" w:hAnsiTheme="minorHAnsi" w:cstheme="minorHAnsi"/>
          <w:sz w:val="24"/>
          <w:szCs w:val="24"/>
        </w:rPr>
        <w:br/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0AF341CC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</w:t>
      </w:r>
      <w:r w:rsidR="00C517AF">
        <w:rPr>
          <w:rFonts w:asciiTheme="minorHAnsi" w:hAnsiTheme="minorHAnsi" w:cstheme="minorHAnsi"/>
          <w:sz w:val="24"/>
          <w:szCs w:val="24"/>
        </w:rPr>
        <w:br/>
      </w:r>
      <w:r w:rsidRPr="00785B77">
        <w:rPr>
          <w:rFonts w:asciiTheme="minorHAnsi" w:hAnsiTheme="minorHAnsi" w:cstheme="minorHAnsi"/>
          <w:sz w:val="24"/>
          <w:szCs w:val="24"/>
        </w:rPr>
        <w:t>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337A32B" w14:textId="77777777" w:rsidR="007A5E90" w:rsidRPr="00785B77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DD918B" w14:textId="684275C4" w:rsidR="00A55382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414E21F" w14:textId="77777777" w:rsidR="00FF773E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2F5D059C" w14:textId="6948F61E" w:rsidR="00FF773E" w:rsidRPr="00FF773E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1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pis przedmiotu zamówienia</w:t>
      </w:r>
    </w:p>
    <w:p w14:paraId="5EDE781B" w14:textId="6DCE8A84" w:rsidR="0048665F" w:rsidRPr="00785B77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Załącznik nr 2 Oferta złożona przez Wykonawcę z dnia …</w:t>
      </w:r>
      <w:r w:rsidR="00E96E7B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17B27A94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0B4FCCB2" w14:textId="75866155" w:rsidR="0048665F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</w:p>
    <w:p w14:paraId="0F6C8788" w14:textId="3BC1F532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po jednym dla Kupującego 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BA18" w14:textId="77777777" w:rsidR="000F6372" w:rsidRDefault="000F6372">
      <w:r>
        <w:separator/>
      </w:r>
    </w:p>
  </w:endnote>
  <w:endnote w:type="continuationSeparator" w:id="0">
    <w:p w14:paraId="14912379" w14:textId="77777777" w:rsidR="000F6372" w:rsidRDefault="000F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5C81" w14:textId="77777777" w:rsidR="00495943" w:rsidRDefault="004959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3E9E" w14:textId="0762D485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A61EA">
      <w:rPr>
        <w:noProof/>
      </w:rPr>
      <w:t>5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CBFF" w14:textId="77777777" w:rsidR="00495943" w:rsidRDefault="00495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D07E" w14:textId="77777777" w:rsidR="000F6372" w:rsidRDefault="000F6372">
      <w:r>
        <w:separator/>
      </w:r>
    </w:p>
  </w:footnote>
  <w:footnote w:type="continuationSeparator" w:id="0">
    <w:p w14:paraId="07E2312C" w14:textId="77777777" w:rsidR="000F6372" w:rsidRDefault="000F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B7CC" w14:textId="77777777" w:rsidR="00495943" w:rsidRDefault="004959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6EAE" w14:textId="77777777" w:rsidR="00495943" w:rsidRDefault="00495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9EF3" w14:textId="77777777" w:rsidR="00495943" w:rsidRDefault="00495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605114990">
    <w:abstractNumId w:val="0"/>
  </w:num>
  <w:num w:numId="2" w16cid:durableId="713699593">
    <w:abstractNumId w:val="1"/>
  </w:num>
  <w:num w:numId="3" w16cid:durableId="1506245940">
    <w:abstractNumId w:val="2"/>
  </w:num>
  <w:num w:numId="4" w16cid:durableId="1686515382">
    <w:abstractNumId w:val="3"/>
  </w:num>
  <w:num w:numId="5" w16cid:durableId="1586652361">
    <w:abstractNumId w:val="4"/>
  </w:num>
  <w:num w:numId="6" w16cid:durableId="1173107000">
    <w:abstractNumId w:val="5"/>
  </w:num>
  <w:num w:numId="7" w16cid:durableId="304240861">
    <w:abstractNumId w:val="6"/>
  </w:num>
  <w:num w:numId="8" w16cid:durableId="1287353202">
    <w:abstractNumId w:val="7"/>
  </w:num>
  <w:num w:numId="9" w16cid:durableId="836457396">
    <w:abstractNumId w:val="14"/>
  </w:num>
  <w:num w:numId="10" w16cid:durableId="996877763">
    <w:abstractNumId w:val="15"/>
  </w:num>
  <w:num w:numId="11" w16cid:durableId="868374034">
    <w:abstractNumId w:val="12"/>
  </w:num>
  <w:num w:numId="12" w16cid:durableId="658658122">
    <w:abstractNumId w:val="11"/>
  </w:num>
  <w:num w:numId="13" w16cid:durableId="115487598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5403874">
    <w:abstractNumId w:val="9"/>
  </w:num>
  <w:num w:numId="15" w16cid:durableId="19935940">
    <w:abstractNumId w:val="10"/>
  </w:num>
  <w:num w:numId="16" w16cid:durableId="1076591147">
    <w:abstractNumId w:val="13"/>
  </w:num>
  <w:num w:numId="17" w16cid:durableId="605187335">
    <w:abstractNumId w:val="8"/>
  </w:num>
  <w:num w:numId="18" w16cid:durableId="1327434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120AD5"/>
    <w:rsid w:val="00132FC8"/>
    <w:rsid w:val="001542DA"/>
    <w:rsid w:val="00161813"/>
    <w:rsid w:val="00180F87"/>
    <w:rsid w:val="00184A29"/>
    <w:rsid w:val="001C2CA3"/>
    <w:rsid w:val="001C2F59"/>
    <w:rsid w:val="001D3CF4"/>
    <w:rsid w:val="001E2DCF"/>
    <w:rsid w:val="00233B9C"/>
    <w:rsid w:val="002367BF"/>
    <w:rsid w:val="00267A15"/>
    <w:rsid w:val="00285334"/>
    <w:rsid w:val="002E2D9C"/>
    <w:rsid w:val="002F0468"/>
    <w:rsid w:val="002F2186"/>
    <w:rsid w:val="00327E02"/>
    <w:rsid w:val="00343364"/>
    <w:rsid w:val="003460E0"/>
    <w:rsid w:val="0038617B"/>
    <w:rsid w:val="00391D8A"/>
    <w:rsid w:val="003D7E62"/>
    <w:rsid w:val="00405449"/>
    <w:rsid w:val="00440B08"/>
    <w:rsid w:val="00446854"/>
    <w:rsid w:val="00474372"/>
    <w:rsid w:val="00486289"/>
    <w:rsid w:val="0048665F"/>
    <w:rsid w:val="004934AF"/>
    <w:rsid w:val="00494CD5"/>
    <w:rsid w:val="00495943"/>
    <w:rsid w:val="004A7E45"/>
    <w:rsid w:val="004C0178"/>
    <w:rsid w:val="004D0B32"/>
    <w:rsid w:val="005116D1"/>
    <w:rsid w:val="0051173F"/>
    <w:rsid w:val="005A5F1D"/>
    <w:rsid w:val="005E2196"/>
    <w:rsid w:val="006205E0"/>
    <w:rsid w:val="00632FB4"/>
    <w:rsid w:val="006857B0"/>
    <w:rsid w:val="00696990"/>
    <w:rsid w:val="006A61EA"/>
    <w:rsid w:val="00726569"/>
    <w:rsid w:val="007658F1"/>
    <w:rsid w:val="00785B77"/>
    <w:rsid w:val="007A5E90"/>
    <w:rsid w:val="007D1D67"/>
    <w:rsid w:val="007E462D"/>
    <w:rsid w:val="008002F3"/>
    <w:rsid w:val="00800320"/>
    <w:rsid w:val="00814737"/>
    <w:rsid w:val="00817240"/>
    <w:rsid w:val="00885F47"/>
    <w:rsid w:val="00892551"/>
    <w:rsid w:val="008D029D"/>
    <w:rsid w:val="008D5A69"/>
    <w:rsid w:val="008E05CF"/>
    <w:rsid w:val="009270C1"/>
    <w:rsid w:val="0095678B"/>
    <w:rsid w:val="00963CA4"/>
    <w:rsid w:val="009643D7"/>
    <w:rsid w:val="009A4DB4"/>
    <w:rsid w:val="009D3CC7"/>
    <w:rsid w:val="00A11F0F"/>
    <w:rsid w:val="00A2008D"/>
    <w:rsid w:val="00A2348B"/>
    <w:rsid w:val="00A55382"/>
    <w:rsid w:val="00A56D52"/>
    <w:rsid w:val="00AA10D7"/>
    <w:rsid w:val="00AB29E8"/>
    <w:rsid w:val="00AB4958"/>
    <w:rsid w:val="00B73DA4"/>
    <w:rsid w:val="00BB071E"/>
    <w:rsid w:val="00C25093"/>
    <w:rsid w:val="00C369FE"/>
    <w:rsid w:val="00C501D9"/>
    <w:rsid w:val="00C517AF"/>
    <w:rsid w:val="00C613E6"/>
    <w:rsid w:val="00C970F2"/>
    <w:rsid w:val="00D16F25"/>
    <w:rsid w:val="00D215C2"/>
    <w:rsid w:val="00D359E8"/>
    <w:rsid w:val="00D642D1"/>
    <w:rsid w:val="00D732A1"/>
    <w:rsid w:val="00D854F2"/>
    <w:rsid w:val="00DF345A"/>
    <w:rsid w:val="00DF462E"/>
    <w:rsid w:val="00E04C5E"/>
    <w:rsid w:val="00E307D0"/>
    <w:rsid w:val="00E80B4D"/>
    <w:rsid w:val="00E96E7B"/>
    <w:rsid w:val="00EC0513"/>
    <w:rsid w:val="00EC10E4"/>
    <w:rsid w:val="00EE16DF"/>
    <w:rsid w:val="00EF5548"/>
    <w:rsid w:val="00F04955"/>
    <w:rsid w:val="00F23BD7"/>
    <w:rsid w:val="00F54BD0"/>
    <w:rsid w:val="00F57695"/>
    <w:rsid w:val="00F9094F"/>
    <w:rsid w:val="00FA7E90"/>
    <w:rsid w:val="00FB25C0"/>
    <w:rsid w:val="00FC5775"/>
    <w:rsid w:val="00FD6A57"/>
    <w:rsid w:val="00FF01C9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9D1A57F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83C4-8C78-1B4E-84D4-5487A204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1501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9</cp:revision>
  <cp:lastPrinted>2025-03-31T12:30:00Z</cp:lastPrinted>
  <dcterms:created xsi:type="dcterms:W3CDTF">2025-03-28T10:31:00Z</dcterms:created>
  <dcterms:modified xsi:type="dcterms:W3CDTF">2025-04-01T09:29:00Z</dcterms:modified>
</cp:coreProperties>
</file>