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551F58" w:rsidRDefault="00BA7D09" w:rsidP="00425413">
      <w:pPr>
        <w:pStyle w:val="Nagwek1"/>
        <w:rPr>
          <w:color w:val="000000" w:themeColor="text1"/>
        </w:rPr>
      </w:pPr>
      <w:r w:rsidRPr="00551F58">
        <w:rPr>
          <w:color w:val="000000" w:themeColor="text1"/>
        </w:rPr>
        <w:t xml:space="preserve">Otwarty Konkurs Ofert </w:t>
      </w:r>
      <w:r w:rsidR="00CD3DA4">
        <w:rPr>
          <w:color w:val="000000" w:themeColor="text1"/>
        </w:rPr>
        <w:t>nr</w:t>
      </w:r>
      <w:r w:rsidRPr="00551F58">
        <w:rPr>
          <w:color w:val="000000" w:themeColor="text1"/>
        </w:rPr>
        <w:t xml:space="preserve"> ew. </w:t>
      </w:r>
      <w:r w:rsidR="00FD34CF" w:rsidRPr="00551F58">
        <w:rPr>
          <w:color w:val="000000" w:themeColor="text1"/>
        </w:rPr>
        <w:t>1</w:t>
      </w:r>
      <w:r w:rsidR="00B643F7" w:rsidRPr="00551F58">
        <w:rPr>
          <w:color w:val="000000" w:themeColor="text1"/>
        </w:rPr>
        <w:t>2</w:t>
      </w:r>
      <w:r w:rsidR="006B3E47" w:rsidRPr="00551F58">
        <w:rPr>
          <w:color w:val="000000" w:themeColor="text1"/>
        </w:rPr>
        <w:t>/2023</w:t>
      </w:r>
      <w:r w:rsidRPr="00551F58">
        <w:rPr>
          <w:color w:val="000000" w:themeColor="text1"/>
        </w:rPr>
        <w:t>/WD/DEKiD</w:t>
      </w:r>
    </w:p>
    <w:p w:rsidR="00BA7D09" w:rsidRPr="00551F58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551F58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-890270</wp:posOffset>
                </wp:positionH>
                <wp:positionV relativeFrom="paragraph">
                  <wp:posOffset>139065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E913B1" w:rsidRDefault="00E913B1" w:rsidP="00E913B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13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</w:t>
                            </w: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5961E5" w:rsidRDefault="00AF32BF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Mariusz BŁASZCZAK</w:t>
                            </w:r>
                          </w:p>
                          <w:p w:rsidR="00BA7D09" w:rsidRPr="0006435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1pt;margin-top:10.9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P9OBZr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E913B1" w:rsidRDefault="00E913B1" w:rsidP="00E913B1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913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</w:t>
                      </w: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5961E5" w:rsidRDefault="00AF32BF" w:rsidP="00BA7D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Mariusz BŁASZCZAK</w:t>
                      </w:r>
                    </w:p>
                    <w:p w:rsidR="00BA7D09" w:rsidRPr="0006435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A7D09" w:rsidRPr="00551F58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551F58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551F58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551F58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551F58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551F58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F32BF" w:rsidRDefault="00AF32BF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F32BF" w:rsidRDefault="00AF32BF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7D09" w:rsidRPr="00551F58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51F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:rsidR="00BA7D09" w:rsidRPr="00551F58" w:rsidRDefault="00BA7D09" w:rsidP="009B7808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551F5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Dzia</w:t>
      </w:r>
      <w:r w:rsidR="00217A78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łając na podstawie art. 13 ust.</w:t>
      </w:r>
      <w:r w:rsidR="001E2A3F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17A78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ustawy z dnia 24 kwietnia 2003 r. 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(Dz. U. 202</w:t>
      </w:r>
      <w:r w:rsidR="00FD34CF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poz.</w:t>
      </w:r>
      <w:r w:rsidRPr="00551F58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 xml:space="preserve"> </w:t>
      </w:r>
      <w:r w:rsidR="00FD34CF" w:rsidRPr="00551F58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571</w:t>
      </w:r>
      <w:r w:rsidRPr="00551F58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)</w:t>
      </w:r>
    </w:p>
    <w:p w:rsidR="00BA7D09" w:rsidRPr="00551F58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1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:rsidR="00D04F03" w:rsidRPr="00551F58" w:rsidRDefault="00BA7D09" w:rsidP="008F3A4B">
      <w:pPr>
        <w:pStyle w:val="Tekstpodstawowy"/>
        <w:contextualSpacing/>
        <w:rPr>
          <w:color w:val="000000" w:themeColor="text1"/>
        </w:rPr>
      </w:pPr>
      <w:r w:rsidRPr="00551F58">
        <w:rPr>
          <w:color w:val="000000" w:themeColor="text1"/>
        </w:rPr>
        <w:t>ogłasza Otwarty K</w:t>
      </w:r>
      <w:r w:rsidR="00770401">
        <w:rPr>
          <w:color w:val="000000" w:themeColor="text1"/>
        </w:rPr>
        <w:t>onkurs Ofert na realizację zadań</w:t>
      </w:r>
      <w:r w:rsidRPr="00551F58">
        <w:rPr>
          <w:color w:val="000000" w:themeColor="text1"/>
        </w:rPr>
        <w:t xml:space="preserve"> publiczn</w:t>
      </w:r>
      <w:r w:rsidR="00770401">
        <w:rPr>
          <w:color w:val="000000" w:themeColor="text1"/>
        </w:rPr>
        <w:t>ych</w:t>
      </w:r>
      <w:r w:rsidRPr="00551F58">
        <w:rPr>
          <w:color w:val="000000" w:themeColor="text1"/>
        </w:rPr>
        <w:t xml:space="preserve"> </w:t>
      </w:r>
      <w:r w:rsidR="008F3A4B" w:rsidRPr="00551F58">
        <w:rPr>
          <w:color w:val="000000" w:themeColor="text1"/>
        </w:rPr>
        <w:t xml:space="preserve">w formie wsparcia </w:t>
      </w:r>
      <w:r w:rsidR="008F3A4B" w:rsidRPr="00551F58">
        <w:rPr>
          <w:color w:val="000000" w:themeColor="text1"/>
        </w:rPr>
        <w:br/>
      </w:r>
      <w:r w:rsidR="00D04F03" w:rsidRPr="00551F58">
        <w:rPr>
          <w:color w:val="000000" w:themeColor="text1"/>
        </w:rPr>
        <w:t xml:space="preserve">w zakresie </w:t>
      </w:r>
      <w:r w:rsidR="00770401">
        <w:rPr>
          <w:color w:val="000000" w:themeColor="text1"/>
        </w:rPr>
        <w:t xml:space="preserve">Działalności na rzecz weteranów i weteranów poszkodowanych w rozumieniu </w:t>
      </w:r>
      <w:r w:rsidR="00CD3DA4">
        <w:rPr>
          <w:color w:val="000000" w:themeColor="text1"/>
        </w:rPr>
        <w:t>u</w:t>
      </w:r>
      <w:r w:rsidR="00770401">
        <w:rPr>
          <w:color w:val="000000" w:themeColor="text1"/>
        </w:rPr>
        <w:t>stawy z dnia 19 sierpnia 2011 r. o weteranach działań poza granicami państwa</w:t>
      </w:r>
    </w:p>
    <w:p w:rsidR="00BA7D09" w:rsidRPr="00551F58" w:rsidRDefault="00D04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551F58">
        <w:rPr>
          <w:b/>
          <w:color w:val="000000" w:themeColor="text1"/>
        </w:rPr>
        <w:t xml:space="preserve">pn. </w:t>
      </w:r>
      <w:r w:rsidR="00B643F7" w:rsidRPr="00551F58">
        <w:rPr>
          <w:b/>
          <w:color w:val="000000" w:themeColor="text1"/>
        </w:rPr>
        <w:t>WDZIĘCZNI WETERANOM DZIAŁAŃ POZA GRANICAMI PAŃSTWA</w:t>
      </w:r>
    </w:p>
    <w:p w:rsidR="00BA7D09" w:rsidRPr="00551F58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BA7D09" w:rsidRPr="00551F58" w:rsidRDefault="00BA7D09" w:rsidP="006600B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:rsidR="00C0531B" w:rsidRPr="00551F58" w:rsidRDefault="001D4733" w:rsidP="006600B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>udzielenie pomocy i wsparcia weteranom działań poza granicami państwa i weteranom poszkodowanym w działaniach poza granicami państwa;</w:t>
      </w:r>
    </w:p>
    <w:p w:rsidR="001D4733" w:rsidRPr="00551F58" w:rsidRDefault="001D4733" w:rsidP="006600B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>opieka i po</w:t>
      </w:r>
      <w:r w:rsidR="00E72022">
        <w:rPr>
          <w:rFonts w:ascii="Times New Roman" w:hAnsi="Times New Roman"/>
          <w:color w:val="000000" w:themeColor="text1"/>
          <w:sz w:val="24"/>
          <w:szCs w:val="24"/>
        </w:rPr>
        <w:t>moc najbliższym członkom rodzin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weteranów i weteranów</w:t>
      </w:r>
      <w:r w:rsidR="007704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0401" w:rsidRPr="00770401">
        <w:rPr>
          <w:rFonts w:ascii="Times New Roman" w:hAnsi="Times New Roman"/>
          <w:color w:val="000000" w:themeColor="text1"/>
          <w:sz w:val="24"/>
          <w:szCs w:val="24"/>
        </w:rPr>
        <w:t>poszkodowanych w działaniach poza granicami państwa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D4733" w:rsidRPr="00551F58" w:rsidRDefault="001D4733" w:rsidP="006600B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uczczenie </w:t>
      </w:r>
      <w:r w:rsidR="00EF70FF" w:rsidRPr="00551F58">
        <w:rPr>
          <w:rFonts w:ascii="Times New Roman" w:hAnsi="Times New Roman"/>
          <w:color w:val="000000" w:themeColor="text1"/>
          <w:sz w:val="24"/>
          <w:szCs w:val="24"/>
        </w:rPr>
        <w:t>pamięci i oddanie hołdu poległym i zmarłym żołnierzom i pracownikom wojska – uczestnikom działań poza granicami państwa;</w:t>
      </w:r>
    </w:p>
    <w:p w:rsidR="00EF70FF" w:rsidRPr="00551F58" w:rsidRDefault="00EF70FF" w:rsidP="006600B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opieka i pomoc najbliższym członkom rodziny poległych lub zmarłych żołnierzy </w:t>
      </w:r>
      <w:r w:rsidR="006600B8" w:rsidRPr="00551F5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>i pracowników wojska – uczestników działań poza granicami państwa</w:t>
      </w:r>
      <w:r w:rsidR="006600B8" w:rsidRPr="00551F5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F70FF" w:rsidRPr="00551F58" w:rsidRDefault="00EF70FF" w:rsidP="006600B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integracja i budowanie szacunku dla weteranów w społeczeństwie, w szczególności </w:t>
      </w:r>
      <w:r w:rsidR="006600B8" w:rsidRPr="00551F5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>w lokalnych społecznościach;</w:t>
      </w:r>
    </w:p>
    <w:p w:rsidR="00EF70FF" w:rsidRPr="00551F58" w:rsidRDefault="00EF70FF" w:rsidP="006600B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>upowszechnianie wśród społeczeństwa zasług i znaczenia udziału żołnierzy Wojska Polskiego w misjach i operacjach poza granicami państwa.</w:t>
      </w:r>
    </w:p>
    <w:p w:rsidR="00C777AA" w:rsidRPr="00551F58" w:rsidRDefault="006B3E47" w:rsidP="006600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551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:rsidR="00C0531B" w:rsidRPr="00551F58" w:rsidRDefault="00551F58" w:rsidP="006600B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wzrost </w:t>
      </w:r>
      <w:r w:rsidR="00EF70FF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wśród społeczeństwa, </w:t>
      </w:r>
      <w:r w:rsidR="006600B8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EF70FF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zwłaszcza </w:t>
      </w:r>
      <w:r w:rsidR="00BA1316">
        <w:rPr>
          <w:rFonts w:ascii="Times New Roman" w:hAnsi="Times New Roman"/>
          <w:color w:val="000000" w:themeColor="text1"/>
          <w:sz w:val="24"/>
          <w:szCs w:val="24"/>
        </w:rPr>
        <w:t xml:space="preserve">społeczności lokalnej </w:t>
      </w:r>
      <w:r w:rsidR="00EF70FF" w:rsidRPr="00551F58">
        <w:rPr>
          <w:rFonts w:ascii="Times New Roman" w:hAnsi="Times New Roman"/>
          <w:color w:val="000000" w:themeColor="text1"/>
          <w:sz w:val="24"/>
          <w:szCs w:val="24"/>
        </w:rPr>
        <w:t>i młodzieży</w:t>
      </w:r>
      <w:r w:rsidR="0077040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F70FF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świadomości dotyczącej </w:t>
      </w:r>
      <w:r w:rsidR="006600B8" w:rsidRPr="00551F58">
        <w:rPr>
          <w:rFonts w:ascii="Times New Roman" w:hAnsi="Times New Roman"/>
          <w:color w:val="000000" w:themeColor="text1"/>
          <w:sz w:val="24"/>
          <w:szCs w:val="24"/>
        </w:rPr>
        <w:t>znaczenia udziału żołnierzy Wojska Polskiego w działaniach poza granicami państwa</w:t>
      </w:r>
      <w:r w:rsidR="00C0531B" w:rsidRPr="00551F5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1F58" w:rsidRPr="00CD3DA4" w:rsidRDefault="00DE66B2" w:rsidP="00BA131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zwiększenie liczby przedsięwzięć (</w:t>
      </w:r>
      <w:r w:rsidR="00CD3DA4">
        <w:rPr>
          <w:rFonts w:ascii="Times New Roman" w:hAnsi="Times New Roman"/>
          <w:color w:val="000000" w:themeColor="text1"/>
          <w:sz w:val="24"/>
          <w:szCs w:val="24"/>
        </w:rPr>
        <w:t xml:space="preserve">działań, wydarzeń kulturalnych </w:t>
      </w:r>
      <w:r>
        <w:rPr>
          <w:rFonts w:ascii="Times New Roman" w:hAnsi="Times New Roman"/>
          <w:color w:val="000000" w:themeColor="text1"/>
          <w:sz w:val="24"/>
          <w:szCs w:val="24"/>
        </w:rPr>
        <w:t>itp.) skierowanych do</w:t>
      </w:r>
      <w:r w:rsidR="00BA13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1F58" w:rsidRPr="00551F58">
        <w:rPr>
          <w:rFonts w:ascii="Times New Roman" w:hAnsi="Times New Roman"/>
          <w:color w:val="000000" w:themeColor="text1"/>
          <w:sz w:val="24"/>
          <w:szCs w:val="24"/>
        </w:rPr>
        <w:t>weteranów i weteranów poszkodowanych w działaniach poza granicami państwa</w:t>
      </w:r>
      <w:r w:rsidR="00CD3DA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D3DA4" w:rsidRPr="00CD3DA4" w:rsidRDefault="00CD3DA4" w:rsidP="00CD3DA4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zwiększenie liczby przedsięwzięć (działań, wydarzeń itp.) skierowanych do </w:t>
      </w: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najbliższy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ch</w:t>
      </w: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członk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ów</w:t>
      </w: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rodziny poległych lub zmarłych żołnierzy i pracowników wojska – uczestników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działań poza granicami państwa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30027" w:rsidRPr="00551F58" w:rsidRDefault="00BA7D09" w:rsidP="00CD782B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Zadania konkursowe powinny </w:t>
      </w:r>
      <w:r w:rsidR="00B96955"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polegać</w:t>
      </w:r>
      <w:r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B96955"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</w:t>
      </w:r>
      <w:r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: </w:t>
      </w:r>
    </w:p>
    <w:p w:rsidR="009E0C85" w:rsidRPr="00551F58" w:rsidRDefault="00770401" w:rsidP="009E0C85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udzielaniu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wsparcia i pomocy psychologicznej weteranom działań poza granicami państwa i weteranom poszkodowanym w działaniach poza granicami państwa oraz ich najbliższym członkom rodziny, w tym m.in. organizowanie warsztatów terapeutycznych, przedsięwzięć z elementami odreagowania psychologicznego;</w:t>
      </w:r>
    </w:p>
    <w:p w:rsidR="009E0C85" w:rsidRPr="00551F58" w:rsidRDefault="00770401" w:rsidP="009E0C85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udzielaniu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wsparcia i pomocy psychologicznej najbliższym członkom rodziny poległych lub zmarłych żołnierzy i pracowników wojska – uczestników działań poza 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granicami państwa, w tym m.in. organizowanie warsztatów terapeutycznych, przedsięwzięć z elementami odreagowania psychologicznego; </w:t>
      </w:r>
    </w:p>
    <w:p w:rsidR="009E0C85" w:rsidRPr="00551F58" w:rsidRDefault="00770401" w:rsidP="009E0C85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organizowaniu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obozów i kolonii dla dzieci i młodzieży oraz imprez edukacyjno-rekreacyjnych, sportowych i artystycznych dla najbliższych członków rodzin:</w:t>
      </w:r>
    </w:p>
    <w:p w:rsidR="009E0C85" w:rsidRPr="00551F58" w:rsidRDefault="009E0C85" w:rsidP="009E0C85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poległych lub zmarłych żołnierzy i pracowników wojska – uczestników działań poza granicami państwa, </w:t>
      </w:r>
    </w:p>
    <w:p w:rsidR="009E0C85" w:rsidRPr="00551F58" w:rsidRDefault="009E0C85" w:rsidP="009E0C85">
      <w:pPr>
        <w:pStyle w:val="Akapitzlist"/>
        <w:numPr>
          <w:ilvl w:val="0"/>
          <w:numId w:val="31"/>
        </w:numPr>
        <w:spacing w:after="0"/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weteranów poszkodowanych w działaniach poza granicami państwa;</w:t>
      </w:r>
    </w:p>
    <w:p w:rsidR="009E0C85" w:rsidRPr="00551F58" w:rsidRDefault="00770401" w:rsidP="009E0C85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organizowaniu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opieki terapeutycznej i rehabilitacyjnej dla weteranów poszkodowanych oraz poszkodowanych żołnierzy i pracowników wojska – uczestników działań poza granicami państwa;</w:t>
      </w:r>
    </w:p>
    <w:p w:rsidR="009E0C85" w:rsidRPr="00551F58" w:rsidRDefault="00770401" w:rsidP="009E0C85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organizowaniu i przeprowadzeniu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szkoleń w zakresie rozpoznawania stanu funkcjonowania psychologicznego, udzielania pomocy i wsparcia poszkodowanym żołnierzom i pracownikom wojska oraz członkom rodzin poległych i zmarłych żołnierzy i pracowników wojska – uczestników działań poza granicami państwa;</w:t>
      </w:r>
    </w:p>
    <w:p w:rsidR="009E0C85" w:rsidRPr="00551F58" w:rsidRDefault="00770401" w:rsidP="009E0C85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zapewnieniu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transportu członkom rodziny na groby poległych lub zmarłych żołnierzy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 pracowników wojska – uczestników działań poza granicami państwa;</w:t>
      </w:r>
    </w:p>
    <w:p w:rsidR="009E0C85" w:rsidRPr="00551F58" w:rsidRDefault="00770401" w:rsidP="009E0C85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opiece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nad grobami poległych lub zmarłych żołnierzy i pracowników wojska – uczestników działań poza granicami państwa;</w:t>
      </w:r>
    </w:p>
    <w:p w:rsidR="009E0C85" w:rsidRPr="00551F58" w:rsidRDefault="00770401" w:rsidP="009E0C85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integrowaniu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środowiska weteranów działań poza granicami państwa i weteranów poszkodowanych w działaniach poza granicami państwa oraz rodzin poległych 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i zmarłych żołnierzy i pracowników wojska – uczestników działań poza granicami państwa.</w:t>
      </w:r>
    </w:p>
    <w:p w:rsidR="00BA7D09" w:rsidRPr="00551F58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6B3E47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wartego Konkursu Ofert </w:t>
      </w:r>
      <w:r w:rsidR="00CD3DA4">
        <w:rPr>
          <w:rFonts w:ascii="Times New Roman" w:eastAsia="Times New Roman" w:hAnsi="Times New Roman"/>
          <w:color w:val="000000" w:themeColor="text1"/>
          <w:sz w:val="24"/>
          <w:lang w:eastAsia="pl-PL"/>
        </w:rPr>
        <w:t>nr</w:t>
      </w:r>
      <w:r w:rsidR="006B3E47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 ew. </w:t>
      </w:r>
      <w:r w:rsidR="00FD34CF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1</w:t>
      </w:r>
      <w:r w:rsidR="009E0C85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2</w:t>
      </w:r>
      <w:r w:rsidR="006B3E47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/2023</w:t>
      </w:r>
      <w:r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:rsidR="00BA7D09" w:rsidRPr="00551F58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:rsidR="00BA7D09" w:rsidRPr="00BA1316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CD3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BA1316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D3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6B3E47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</w:t>
      </w:r>
      <w:r w:rsidR="00BA1316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327028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A1316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grudnia</w:t>
      </w:r>
      <w:r w:rsidR="006B3E47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BA7D09" w:rsidRPr="00BA1316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</w:t>
      </w:r>
      <w:r w:rsidRPr="00BA1316">
        <w:rPr>
          <w:rFonts w:ascii="Times New Roman" w:eastAsia="Times New Roman" w:hAnsi="Times New Roman" w:cs="Times New Roman"/>
          <w:sz w:val="24"/>
          <w:lang w:eastAsia="pl-PL"/>
        </w:rPr>
        <w:t xml:space="preserve"> zada</w:t>
      </w:r>
      <w:r w:rsidR="008C6974" w:rsidRPr="00BA1316">
        <w:rPr>
          <w:rFonts w:ascii="Times New Roman" w:eastAsia="Times New Roman" w:hAnsi="Times New Roman" w:cs="Times New Roman"/>
          <w:sz w:val="24"/>
          <w:lang w:eastAsia="pl-PL"/>
        </w:rPr>
        <w:t>ń zaplanowano kwotę w wysokości:</w:t>
      </w:r>
    </w:p>
    <w:p w:rsidR="00BA7D09" w:rsidRPr="00BA1316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BA1316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="004E181D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1</w:t>
      </w:r>
      <w:r w:rsidR="006B3E47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="004E181D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50</w:t>
      </w:r>
      <w:r w:rsidR="001C573A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0</w:t>
      </w:r>
      <w:r w:rsidR="008C6974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.000,00 zł;</w:t>
      </w:r>
    </w:p>
    <w:p w:rsidR="00BA7D09" w:rsidRPr="00551F58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2022 r. </w:t>
      </w:r>
      <w:r w:rsidR="00520977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zadań</w:t>
      </w:r>
      <w:r w:rsidR="00327028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przyznano kwotę w wysokości </w:t>
      </w:r>
      <w:r w:rsidR="009E0C85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447.400</w:t>
      </w:r>
      <w:r w:rsidR="00096FC5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</w:t>
      </w:r>
      <w:r w:rsidR="00F5176D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zł;</w:t>
      </w:r>
    </w:p>
    <w:p w:rsidR="00327028" w:rsidRPr="00551F58" w:rsidRDefault="00520977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2023 r. zadania</w:t>
      </w:r>
      <w:r w:rsidR="00327028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był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327028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realizowane</w:t>
      </w:r>
      <w:r w:rsidR="00F5176D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551F58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 w f</w:t>
      </w:r>
      <w:r w:rsidR="00520977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ormie wsparcia wykonania zadań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publiczn</w:t>
      </w:r>
      <w:r w:rsidR="00520977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ych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wraz z udzieleniem </w:t>
      </w:r>
      <w:r w:rsidR="009F7D84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551F58" w:rsidRDefault="00BA7D09" w:rsidP="009B7808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9E0C85" w:rsidRPr="006A2C69" w:rsidRDefault="009E0C85" w:rsidP="006A2C69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zadanie adresowane powinno być do weteranów i weteranów poszkodowanych 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rozumieniu ustawy z dnia 19 sierpnia 2011 r. o weteranach działań </w:t>
      </w:r>
      <w:r w:rsidR="0077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poza granicami państwa oraz najbliższych rodzin </w:t>
      </w:r>
      <w:r w:rsidR="00770401" w:rsidRPr="00551F58">
        <w:rPr>
          <w:rFonts w:ascii="Times New Roman" w:hAnsi="Times New Roman"/>
          <w:color w:val="000000" w:themeColor="text1"/>
          <w:sz w:val="24"/>
          <w:szCs w:val="24"/>
        </w:rPr>
        <w:t>weteranów i weteranów</w:t>
      </w:r>
      <w:r w:rsidR="007704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0401" w:rsidRPr="00770401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poszkodowanych </w:t>
      </w:r>
      <w:r w:rsidR="00770401">
        <w:rPr>
          <w:rFonts w:ascii="Times New Roman" w:eastAsia="Calibri" w:hAnsi="Times New Roman"/>
          <w:color w:val="000000" w:themeColor="text1"/>
          <w:sz w:val="24"/>
          <w:szCs w:val="24"/>
        </w:rPr>
        <w:br/>
      </w:r>
      <w:r w:rsidR="00770401" w:rsidRPr="00770401">
        <w:rPr>
          <w:rFonts w:ascii="Times New Roman" w:eastAsia="Calibri" w:hAnsi="Times New Roman"/>
          <w:color w:val="000000" w:themeColor="text1"/>
          <w:sz w:val="24"/>
          <w:szCs w:val="24"/>
        </w:rPr>
        <w:t>w działaniach poza granicami państwa</w:t>
      </w:r>
      <w:r w:rsidR="006A2C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CD3DA4" w:rsidRPr="006A2C6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najbliższych członków rodziny poległych lub zmarłych żołnierzy i pracowników wojska – uczestników działań poza granicami państwa</w:t>
      </w:r>
      <w:r w:rsidR="00770401" w:rsidRPr="006A2C69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:rsidR="009E0C85" w:rsidRPr="00551F58" w:rsidRDefault="009E0C85" w:rsidP="009E0C85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cele wskazane w ofercie muszą się pokrywać z celami wskazanymi w Ogłoszeniu Otwartego Konkursu Ofert;</w:t>
      </w:r>
    </w:p>
    <w:p w:rsidR="00F07C90" w:rsidRPr="00551F58" w:rsidRDefault="00F07C90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0A7289" w:rsidRPr="00551F58" w:rsidRDefault="002F63F8" w:rsidP="00D35BF0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A728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</w:t>
      </w:r>
      <w:r w:rsidR="00F51FBB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</w:t>
      </w:r>
      <w:r w:rsidR="000A728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ubiegający się o realizację zadania powin</w:t>
      </w:r>
      <w:r w:rsidR="00F51FBB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ien</w:t>
      </w:r>
      <w:r w:rsidR="000A728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0A7289" w:rsidRPr="00551F58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dysponować wykwalifikowaną kadrą oraz posiadać doświadczenie w organizacji przedsięwzięć podobnego rodzaju,</w:t>
      </w:r>
    </w:p>
    <w:p w:rsidR="00F51FBB" w:rsidRPr="00551F58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prowadzić</w:t>
      </w: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działalność statutową w </w:t>
      </w:r>
      <w:r w:rsidR="0034590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zakresie określonym w pkt 1 i/lub 3 niniejszego ogłoszenia</w:t>
      </w: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57706F" w:rsidRPr="00551F58" w:rsidRDefault="002F63F8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realizujący zadanie 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jest obowiązany</w:t>
      </w:r>
      <w:r w:rsidR="009B780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zgodnie z art. 5 ust. 2 ustawy z dnia 19 lipca 2019 r. </w:t>
      </w:r>
      <w:r w:rsidR="009B7808" w:rsidRPr="00551F5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="009B780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 </w:t>
      </w:r>
      <w:r w:rsidR="009B7808" w:rsidRPr="00551F58">
        <w:rPr>
          <w:rFonts w:ascii="Times New Roman" w:hAnsi="Times New Roman"/>
          <w:color w:val="000000" w:themeColor="text1"/>
          <w:sz w:val="24"/>
          <w:szCs w:val="24"/>
        </w:rPr>
        <w:t>2022 r. poz. 2240),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2B37E3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zapewnienia</w:t>
      </w:r>
      <w:r w:rsidR="00421840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realizowanym zadaniu publicznym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96014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przynajmniej minimalnych warunków</w:t>
      </w:r>
      <w:r w:rsidR="0057706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dostępności </w:t>
      </w:r>
      <w:r w:rsidR="00421840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dla osób</w:t>
      </w:r>
      <w:r w:rsidR="0057706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ze szczególnymi potrzebami </w:t>
      </w:r>
      <w:r w:rsidR="00F51FBB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każdym z zakresów</w:t>
      </w:r>
      <w:r w:rsidR="0057706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57706F" w:rsidRPr="00551F58" w:rsidRDefault="0049503E" w:rsidP="00D35BF0">
      <w:pPr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a)</w:t>
      </w:r>
      <w:r w:rsidR="00F51FBB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7706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architektonicznym, </w:t>
      </w:r>
    </w:p>
    <w:p w:rsidR="0057706F" w:rsidRPr="00551F58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b)</w:t>
      </w:r>
      <w:r w:rsidR="0057706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cyfrowym, </w:t>
      </w:r>
    </w:p>
    <w:p w:rsidR="0057706F" w:rsidRPr="00551F58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c) </w:t>
      </w:r>
      <w:r w:rsidR="00421840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informacyjno-komunikacyjnym.</w:t>
      </w:r>
    </w:p>
    <w:p w:rsidR="00BA7D09" w:rsidRPr="00551F58" w:rsidRDefault="00421840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Szczegółowe minimalne</w:t>
      </w:r>
      <w:r w:rsidR="0057706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9B780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arunki służące zapewnieniu dostępności osobom </w:t>
      </w:r>
      <w:r w:rsidR="00F5176D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ze szczególnymi potrzebami zostały wskazane </w:t>
      </w:r>
      <w:r w:rsidR="001C573A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D8750F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3DA4">
        <w:rPr>
          <w:rFonts w:ascii="Times New Roman" w:hAnsi="Times New Roman"/>
          <w:color w:val="000000" w:themeColor="text1"/>
          <w:sz w:val="24"/>
          <w:szCs w:val="24"/>
        </w:rPr>
        <w:t>nr</w:t>
      </w:r>
      <w:r w:rsidR="00D8750F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3DA4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D34CF" w:rsidRPr="00551F5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E0C85" w:rsidRPr="00551F5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8750F" w:rsidRPr="00551F58">
        <w:rPr>
          <w:rFonts w:ascii="Times New Roman" w:hAnsi="Times New Roman"/>
          <w:color w:val="000000" w:themeColor="text1"/>
          <w:sz w:val="24"/>
          <w:szCs w:val="24"/>
        </w:rPr>
        <w:t>/2023/WD/DEKiD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055B2" w:rsidRPr="00551F58" w:rsidRDefault="002F63F8" w:rsidP="000055B2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zapewnić wkład finansowy </w:t>
      </w:r>
      <w:r w:rsidR="009B780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(środki finansowe inne niż dotacja)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w wysokości minimu</w:t>
      </w:r>
      <w:r w:rsidR="000055B2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 10% planowanej kwoty dotacji, </w:t>
      </w:r>
      <w:r w:rsidR="000055B2" w:rsidRPr="00551F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które mogą </w:t>
      </w:r>
      <w:r w:rsidR="000055B2" w:rsidRPr="00551F5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  <w:t xml:space="preserve">pochodzić z: </w:t>
      </w:r>
    </w:p>
    <w:p w:rsidR="000055B2" w:rsidRPr="00551F58" w:rsidRDefault="000055B2" w:rsidP="000055B2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993" w:hanging="284"/>
        <w:contextualSpacing w:val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środków finansowych własnych,</w:t>
      </w:r>
    </w:p>
    <w:p w:rsidR="000055B2" w:rsidRPr="00551F58" w:rsidRDefault="000055B2" w:rsidP="000055B2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993" w:hanging="284"/>
        <w:contextualSpacing w:val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środków finansowych z innych źródeł publicznych,</w:t>
      </w:r>
    </w:p>
    <w:p w:rsidR="000055B2" w:rsidRPr="00551F58" w:rsidRDefault="000055B2" w:rsidP="000055B2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993" w:hanging="284"/>
        <w:contextualSpacing w:val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pozostałych środków finansowych,</w:t>
      </w:r>
    </w:p>
    <w:p w:rsidR="000055B2" w:rsidRPr="00551F58" w:rsidRDefault="000055B2" w:rsidP="000055B2">
      <w:pPr>
        <w:pStyle w:val="Akapitzlist"/>
        <w:numPr>
          <w:ilvl w:val="0"/>
          <w:numId w:val="29"/>
        </w:numPr>
        <w:suppressAutoHyphens/>
        <w:autoSpaceDN w:val="0"/>
        <w:spacing w:after="0"/>
        <w:ind w:left="993" w:hanging="284"/>
        <w:contextualSpacing w:val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świadczeń pieniężnych od odbiorców zadania;</w:t>
      </w:r>
    </w:p>
    <w:p w:rsidR="00BA7D09" w:rsidRPr="00551F58" w:rsidRDefault="002F63F8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zapewnić wkład własny niefinansowy </w:t>
      </w:r>
      <w:r w:rsidR="002F034D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(osobowy i/lub rzeczowy) </w:t>
      </w:r>
      <w:r w:rsidR="00BA7D09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wysokości minimum 10% planowanej kwoty dotacji; </w:t>
      </w:r>
    </w:p>
    <w:p w:rsidR="00CE0EC5" w:rsidRPr="00551F58" w:rsidRDefault="00CE0EC5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D8750F" w:rsidRPr="00551F58" w:rsidRDefault="00BA7D09" w:rsidP="00D35BF0">
      <w:pPr>
        <w:pStyle w:val="Akapitzlist"/>
        <w:numPr>
          <w:ilvl w:val="0"/>
          <w:numId w:val="5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musi być realizowane z uwzględnieniem aktualnych wyt</w:t>
      </w:r>
      <w:r w:rsidR="00CE0EC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ycznych</w:t>
      </w:r>
      <w:r w:rsidR="00F5176D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rządowych i sanitarnych;</w:t>
      </w:r>
    </w:p>
    <w:p w:rsidR="00057155" w:rsidRPr="00551F58" w:rsidRDefault="002F63F8" w:rsidP="00D35BF0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prowadzić działania informacyjno-promocyjne związane </w:t>
      </w:r>
      <w:r w:rsidR="00AB04D2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057155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upowszechnieniem wiedzy o realizowanym zadaniu publicznym dofinansowanym ze środków publicznych oraz jego promowaniem w trakcie realizacji uwzględniające</w:t>
      </w:r>
      <w:r w:rsidR="00057155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m.in.</w:t>
      </w:r>
    </w:p>
    <w:p w:rsidR="00057155" w:rsidRPr="00551F58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551F58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551F58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pocztowych;</w:t>
      </w:r>
    </w:p>
    <w:p w:rsidR="00D8750F" w:rsidRPr="00551F58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49503E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asady dotyczące </w:t>
      </w:r>
      <w:r w:rsidR="000F51A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promocji zostały wskazane </w:t>
      </w:r>
      <w:r w:rsidR="001C573A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0F51A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0F51A8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3DA4">
        <w:rPr>
          <w:rFonts w:ascii="Times New Roman" w:hAnsi="Times New Roman"/>
          <w:color w:val="000000" w:themeColor="text1"/>
          <w:sz w:val="24"/>
          <w:szCs w:val="24"/>
        </w:rPr>
        <w:t>nr</w:t>
      </w:r>
      <w:r w:rsidR="000F51A8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3DA4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D34CF" w:rsidRPr="00551F5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E0C85" w:rsidRPr="00551F5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F51A8" w:rsidRPr="00551F58">
        <w:rPr>
          <w:rFonts w:ascii="Times New Roman" w:hAnsi="Times New Roman"/>
          <w:color w:val="000000" w:themeColor="text1"/>
          <w:sz w:val="24"/>
          <w:szCs w:val="24"/>
        </w:rPr>
        <w:t>/2023/WD/DEKiD</w:t>
      </w:r>
      <w:r w:rsidR="000F51A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F51A8" w:rsidRPr="00551F58" w:rsidRDefault="002F63F8" w:rsidP="00D35BF0">
      <w:pPr>
        <w:pStyle w:val="Akapitzlist"/>
        <w:numPr>
          <w:ilvl w:val="0"/>
          <w:numId w:val="5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F5176D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551F58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umieszczania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551F5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</w:t>
      </w:r>
      <w:r w:rsidR="00D8750F" w:rsidRPr="00551F5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lastRenderedPageBreak/>
        <w:t xml:space="preserve">Rzeczypospolitej Polskiej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(Dz. U. poz. 689, z późn.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551F58" w:rsidRDefault="009E0C85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zadanie publiczne zostało sfinansowane lub dofinansowane </w:t>
      </w:r>
      <w:r w:rsidR="00D35BF0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budżetu państwa w wysokości powyżej 50.000,00 zł, realiz</w:t>
      </w:r>
      <w:r w:rsidR="00D35BF0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D8750F" w:rsidRPr="00551F5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551F5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5FC2" w:rsidRPr="00551F58">
        <w:rPr>
          <w:rFonts w:ascii="Times New Roman" w:hAnsi="Times New Roman"/>
          <w:color w:val="000000" w:themeColor="text1"/>
          <w:sz w:val="24"/>
          <w:szCs w:val="24"/>
        </w:rPr>
        <w:t>(Dz.</w:t>
      </w:r>
      <w:r w:rsidR="003C0794">
        <w:rPr>
          <w:rFonts w:ascii="Times New Roman" w:hAnsi="Times New Roman"/>
          <w:color w:val="000000" w:themeColor="text1"/>
          <w:sz w:val="24"/>
          <w:szCs w:val="24"/>
        </w:rPr>
        <w:t xml:space="preserve"> U. </w:t>
      </w:r>
      <w:r w:rsidR="00D85FC2" w:rsidRPr="00551F58">
        <w:rPr>
          <w:rFonts w:ascii="Times New Roman" w:hAnsi="Times New Roman"/>
          <w:color w:val="000000" w:themeColor="text1"/>
          <w:sz w:val="24"/>
          <w:szCs w:val="24"/>
        </w:rPr>
        <w:t>2022 r. poz. 1634, z późn. zm.)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D35BF0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tj. do podjęcia działań informacyjnych dotyczących udzielonego finansowania lub dofinansowania z b</w:t>
      </w:r>
      <w:r w:rsidR="00D85FC2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§ 2 pkt 2 i 3 rozporządzenia Rady Ministrów z dnia 7 maja 2021 r.</w:t>
      </w:r>
      <w:r w:rsidR="00D8750F" w:rsidRPr="00551F58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D8750F" w:rsidRPr="00551F58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="00D8750F" w:rsidRPr="00551F5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finansowane i dofinansowane </w:t>
      </w:r>
      <w:r w:rsidR="00D35BF0" w:rsidRPr="00551F5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br/>
      </w:r>
      <w:r w:rsidR="00D8750F" w:rsidRPr="00551F58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z budżetu państwa lub z państwowych funduszy celowych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551F58">
        <w:rPr>
          <w:rFonts w:ascii="Times New Roman" w:hAnsi="Times New Roman"/>
          <w:color w:val="000000" w:themeColor="text1"/>
          <w:sz w:val="24"/>
          <w:szCs w:val="24"/>
        </w:rPr>
        <w:t>(Dz. U.</w:t>
      </w:r>
      <w:r w:rsidR="003C07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5FC2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poz. 953, </w:t>
      </w:r>
      <w:r w:rsidR="00D35BF0" w:rsidRPr="00551F58">
        <w:rPr>
          <w:rFonts w:ascii="Times New Roman" w:hAnsi="Times New Roman"/>
          <w:color w:val="000000" w:themeColor="text1"/>
          <w:sz w:val="24"/>
          <w:szCs w:val="24"/>
        </w:rPr>
        <w:br/>
      </w:r>
      <w:r w:rsidR="00D85FC2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z późn. zm.) </w:t>
      </w:r>
      <w:r w:rsidR="00D8750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BA7D09" w:rsidRPr="00551F58" w:rsidRDefault="00D8750F" w:rsidP="00D35BF0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="00CD3DA4">
        <w:rPr>
          <w:rFonts w:ascii="Times New Roman" w:hAnsi="Times New Roman"/>
          <w:color w:val="000000" w:themeColor="text1"/>
          <w:sz w:val="24"/>
          <w:szCs w:val="24"/>
        </w:rPr>
        <w:t xml:space="preserve"> nr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3DA4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FD34CF" w:rsidRPr="00551F5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E0C85" w:rsidRPr="00551F5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>/2023/WD/DEKiD</w:t>
      </w:r>
      <w:r w:rsidR="005B41E8" w:rsidRPr="00551F5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551F58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A57055" w:rsidRPr="00551F58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551F5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551F5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551F5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551F58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1F5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551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BA1316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2</w:t>
      </w:r>
      <w:r w:rsidR="00856061">
        <w:rPr>
          <w:rFonts w:ascii="Times New Roman" w:eastAsia="Times New Roman" w:hAnsi="Times New Roman" w:cs="Times New Roman"/>
          <w:b/>
          <w:sz w:val="24"/>
          <w:lang w:eastAsia="pl-PL"/>
        </w:rPr>
        <w:t>1</w:t>
      </w:r>
      <w:r w:rsidR="00BA1316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czerwca</w:t>
      </w:r>
      <w:r w:rsidRPr="00BA1316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2023 r</w:t>
      </w:r>
      <w:r w:rsidRPr="00BA1316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="00FF07AB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do godz. </w:t>
      </w:r>
      <w:r w:rsidR="00520977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23</w:t>
      </w:r>
      <w:r w:rsidR="00FF07AB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="00520977" w:rsidRPr="00BA1316">
        <w:rPr>
          <w:rFonts w:ascii="Times New Roman" w:eastAsia="Times New Roman" w:hAnsi="Times New Roman" w:cs="Times New Roman"/>
          <w:b/>
          <w:sz w:val="24"/>
          <w:lang w:eastAsia="pl-PL"/>
        </w:rPr>
        <w:t>59</w:t>
      </w:r>
      <w:r w:rsidR="00FF07AB" w:rsidRPr="00BA1316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07C90" w:rsidRPr="00BA1316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F07C90" w:rsidRPr="00551F58">
        <w:rPr>
          <w:rFonts w:ascii="Times New Roman" w:hAnsi="Times New Roman" w:cs="Times New Roman"/>
          <w:color w:val="000000" w:themeColor="text1"/>
          <w:sz w:val="24"/>
          <w:szCs w:val="24"/>
        </w:rPr>
        <w:t>serwisu internetowego Witkac.pl poprzez elektroniczny fo</w:t>
      </w:r>
      <w:r w:rsidR="00F07C90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rmularz dostępny w tym serwisie. </w:t>
      </w:r>
    </w:p>
    <w:p w:rsidR="00F07C90" w:rsidRPr="00551F58" w:rsidRDefault="00F07C90" w:rsidP="00D35BF0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serwisie Witkac.pl należy </w:t>
      </w:r>
      <w:r w:rsidR="00CE2DA4" w:rsidRPr="00551F58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r w:rsidRPr="00551F58">
        <w:rPr>
          <w:rFonts w:ascii="Times New Roman" w:hAnsi="Times New Roman"/>
          <w:b/>
          <w:color w:val="000000" w:themeColor="text1"/>
          <w:sz w:val="24"/>
          <w:szCs w:val="24"/>
        </w:rPr>
        <w:t>https:</w:t>
      </w:r>
      <w:r w:rsidR="00057155" w:rsidRPr="00551F58">
        <w:rPr>
          <w:rFonts w:ascii="Times New Roman" w:hAnsi="Times New Roman"/>
          <w:b/>
          <w:color w:val="000000" w:themeColor="text1"/>
          <w:sz w:val="24"/>
          <w:szCs w:val="24"/>
        </w:rPr>
        <w:t>//witkac.pl/#/contest/view?id=2</w:t>
      </w:r>
      <w:r w:rsidR="00FD34CF" w:rsidRPr="00551F5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9E0C85" w:rsidRPr="00551F58">
        <w:rPr>
          <w:rFonts w:ascii="Times New Roman" w:hAnsi="Times New Roman"/>
          <w:b/>
          <w:color w:val="000000" w:themeColor="text1"/>
          <w:sz w:val="24"/>
          <w:szCs w:val="24"/>
        </w:rPr>
        <w:t>422</w:t>
      </w:r>
      <w:r w:rsidR="002229FD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:rsidR="00A57055" w:rsidRPr="00551F58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A57055" w:rsidRPr="00551F58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</w:t>
      </w:r>
      <w:r w:rsidR="00CD3DA4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aminu Otwartego Konkursu Ofert nr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 ew. </w:t>
      </w:r>
      <w:r w:rsidR="00FD34CF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</w:t>
      </w:r>
      <w:r w:rsidR="009E0C85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/2023/WD/DEKiD;</w:t>
      </w:r>
    </w:p>
    <w:p w:rsidR="002229FD" w:rsidRPr="00551F58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formularza oferty należy załączyć kopię aktualnego wyciągu 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br/>
        <w:t>z właściwego rejestru lub ewidencji/pobrany samodzielnie wydruk komputerowy aktualnych informacji o podmiocie wpisanym do Krajowego Rejestru Sądowego</w:t>
      </w:r>
      <w:r w:rsidR="00820420" w:rsidRPr="00551F5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oświadczenie o VAT stanowiące załącznik nr </w:t>
      </w:r>
      <w:r w:rsidR="00B90FFA" w:rsidRPr="00551F5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, oświadczenie </w:t>
      </w:r>
      <w:r w:rsidR="00AB04D2" w:rsidRPr="00551F58">
        <w:rPr>
          <w:rFonts w:ascii="Times New Roman" w:hAnsi="Times New Roman"/>
          <w:color w:val="000000" w:themeColor="text1"/>
          <w:sz w:val="24"/>
          <w:szCs w:val="24"/>
        </w:rPr>
        <w:br/>
      </w:r>
      <w:r w:rsidR="00820420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o prowadzonej działalności statutowej zgodnej z rodzajem zadania publicznego </w:t>
      </w:r>
      <w:r w:rsidR="000950CF" w:rsidRPr="00551F58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="00820420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="00820420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8F3A4B" w:rsidRPr="00551F5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20420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;  załącznikami mogą być tylko pliki w formacie pdf lub jpg; </w:t>
      </w:r>
    </w:p>
    <w:p w:rsidR="008D1BDE" w:rsidRPr="00551F58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551F58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p</w:t>
      </w:r>
      <w:r w:rsidR="001E2A3F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kt. </w:t>
      </w:r>
      <w:r w:rsidR="008C6974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551F58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serwis Witkac.pl </w:t>
      </w:r>
      <w:r w:rsidR="002F63F8" w:rsidRPr="00551F58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551F58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551F58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551F58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551F5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 serwis Witkac.pl</w:t>
      </w:r>
      <w:r w:rsidR="00AB04D2" w:rsidRPr="00551F5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nie </w:t>
      </w:r>
      <w:r w:rsidR="001313AB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dysponują pieczątkami imiennymi podpis musi być czytelny, złożony pełnym imieniem </w:t>
      </w:r>
      <w:r w:rsidR="008C6974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313AB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nazwiskiem z zaznaczeniem pełnionej funkcji</w:t>
      </w:r>
      <w:r w:rsidR="00AB04D2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551F58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serwis Witkac.pl </w:t>
      </w:r>
      <w:r w:rsidR="00CE2DA4" w:rsidRPr="00551F58">
        <w:rPr>
          <w:rFonts w:ascii="Times New Roman" w:hAnsi="Times New Roman"/>
          <w:color w:val="000000" w:themeColor="text1"/>
          <w:sz w:val="24"/>
          <w:szCs w:val="24"/>
        </w:rPr>
        <w:br/>
        <w:t xml:space="preserve">(na tym etapie nie jest wymagane złożenie oryginalnej oferty w wersji papierowej </w:t>
      </w:r>
      <w:r w:rsidR="002B37E3" w:rsidRPr="00551F58">
        <w:rPr>
          <w:rFonts w:ascii="Times New Roman" w:hAnsi="Times New Roman"/>
          <w:color w:val="000000" w:themeColor="text1"/>
          <w:sz w:val="24"/>
          <w:szCs w:val="24"/>
        </w:rPr>
        <w:br/>
      </w:r>
      <w:r w:rsidR="00CE2DA4" w:rsidRPr="00551F58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E2DA4" w:rsidRPr="00551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551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551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551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551F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551F58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551F5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551F58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</w:t>
      </w:r>
      <w:r w:rsidR="003C079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maksymalnie dwie oferty</w:t>
      </w:r>
      <w:r w:rsidR="008C6974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BA7D09" w:rsidRPr="00551F58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551F58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551F58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551F58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551F58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551F58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551F5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551F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CD3DA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</w:t>
      </w:r>
      <w:r w:rsidR="00F77EE3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ew. </w:t>
      </w:r>
      <w:r w:rsidR="00FD34CF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9E0C85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F77EE3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/2023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stanowi integralną część ogłoszenia;</w:t>
      </w:r>
    </w:p>
    <w:p w:rsidR="00BA7D09" w:rsidRPr="00BA1316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</w:t>
      </w:r>
      <w:r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formalnej ofert - do dnia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0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="00520977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C07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="00F77EE3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="00A85DCA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BA1316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</w:t>
      </w:r>
      <w:r w:rsidR="00A85DCA"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C6974"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3F8"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ferentów, których oferty zawierają uchybienia formalne </w:t>
      </w:r>
      <w:r w:rsidR="00A85DCA"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błędy formalne </w:t>
      </w:r>
      <w:r w:rsidR="00A85DCA"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opublikowan</w:t>
      </w:r>
      <w:r w:rsidR="00A85DCA"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1316">
        <w:rPr>
          <w:rFonts w:ascii="Times New Roman" w:eastAsia="Calibri" w:hAnsi="Times New Roman" w:cs="Times New Roman"/>
          <w:sz w:val="24"/>
          <w:szCs w:val="24"/>
          <w:lang w:eastAsia="pl-PL"/>
        </w:rPr>
        <w:t>w Biuletynie Informacji Publicznej MON, link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A13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Pr="00BA1316">
          <w:rPr>
            <w:rFonts w:ascii="Times New Roman" w:eastAsia="Calibri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BA1316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; </w:t>
      </w:r>
    </w:p>
    <w:p w:rsidR="00A85DCA" w:rsidRPr="00BA1316" w:rsidRDefault="00AB04D2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A131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BA13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9E0C85" w:rsidRPr="00BA1316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A85DCA" w:rsidRPr="00BA1316">
        <w:rPr>
          <w:rFonts w:ascii="Times New Roman" w:eastAsia="Times New Roman" w:hAnsi="Times New Roman"/>
          <w:bCs/>
          <w:sz w:val="24"/>
          <w:szCs w:val="24"/>
          <w:lang w:eastAsia="pl-PL"/>
        </w:rPr>
        <w:t> dni od dnia opublikowania wykazu w Biuletyn</w:t>
      </w:r>
      <w:r w:rsidR="008C6974" w:rsidRPr="00BA1316">
        <w:rPr>
          <w:rFonts w:ascii="Times New Roman" w:eastAsia="Times New Roman" w:hAnsi="Times New Roman"/>
          <w:bCs/>
          <w:sz w:val="24"/>
          <w:szCs w:val="24"/>
          <w:lang w:eastAsia="pl-PL"/>
        </w:rPr>
        <w:t>ie</w:t>
      </w:r>
      <w:r w:rsidR="00A85DCA" w:rsidRPr="00BA13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BA1316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="00A85DCA" w:rsidRPr="00BA1316">
        <w:rPr>
          <w:rFonts w:ascii="Times New Roman" w:eastAsia="Times New Roman" w:hAnsi="Times New Roman"/>
          <w:bCs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poprawienia/uzupełnienia;</w:t>
      </w:r>
    </w:p>
    <w:p w:rsidR="00BA7D09" w:rsidRPr="00BA1316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A1316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BA7D09" w:rsidRPr="00BA1316">
        <w:rPr>
          <w:rFonts w:ascii="Times New Roman" w:eastAsiaTheme="minorEastAsia" w:hAnsi="Times New Roman" w:cs="Times New Roman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BA1316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1316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AB04D2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A1316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F77EE3"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2023</w:t>
      </w:r>
      <w:r w:rsidRPr="00BA1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BA7D09" w:rsidRPr="00551F5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BA1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0" w:history="1">
        <w:r w:rsidRPr="00BA131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551F58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551F58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złożenie oferty nie jest równoznaczne z zapewnieniem przyznania dotacji lub przyznaniem dotacji w oczekiwanej wysokości;</w:t>
      </w:r>
    </w:p>
    <w:p w:rsidR="00BA7D09" w:rsidRPr="00551F58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551F5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551F58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551F58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1" w:history="1">
        <w:r w:rsidRPr="00551F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551F5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551F5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520977" w:rsidRPr="00551F58" w:rsidRDefault="00520977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551F58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551F58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551F58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551F58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55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551F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551F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2" w:history="1">
        <w:r w:rsidRPr="00551F5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551F58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551F58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551F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C30CD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551F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551F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551F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551F58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551F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551F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551F58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551F58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551F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551F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551F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551F5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551F58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551F58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551F58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551F58" w:rsidRDefault="00BA7D09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551F58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CD3DA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r</w:t>
      </w:r>
      <w:r w:rsidR="00F77EE3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ew. </w:t>
      </w:r>
      <w:r w:rsidR="00FD34CF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9E0C85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F77EE3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/2023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BA7D09" w:rsidRPr="00551F58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551F58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551F58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ormularz zgłoszenia organizacji w pracy komisji.</w:t>
      </w:r>
    </w:p>
    <w:p w:rsidR="00BA7D09" w:rsidRPr="00551F58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551F58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8F3A4B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07FEE" w:rsidRPr="00551F58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wypełniania elektronicznych formularzy poprzez serwis Witkac.pl</w:t>
      </w:r>
      <w:r w:rsidR="009D2BE8" w:rsidRPr="00551F5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Pr="00551F58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551F58" w:rsidRPr="00551F58" w:rsidTr="00770401">
        <w:trPr>
          <w:jc w:val="right"/>
        </w:trPr>
        <w:tc>
          <w:tcPr>
            <w:tcW w:w="5096" w:type="dxa"/>
          </w:tcPr>
          <w:tbl>
            <w:tblPr>
              <w:tblStyle w:val="Tabela-Siatka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80"/>
            </w:tblGrid>
            <w:tr w:rsidR="00E913B1" w:rsidTr="00E913B1">
              <w:trPr>
                <w:jc w:val="right"/>
              </w:trPr>
              <w:tc>
                <w:tcPr>
                  <w:tcW w:w="4880" w:type="dxa"/>
                  <w:hideMark/>
                </w:tcPr>
                <w:p w:rsidR="00E913B1" w:rsidRDefault="00E913B1" w:rsidP="00E913B1"/>
              </w:tc>
            </w:tr>
            <w:tr w:rsidR="00E913B1" w:rsidTr="00E913B1">
              <w:trPr>
                <w:jc w:val="right"/>
              </w:trPr>
              <w:tc>
                <w:tcPr>
                  <w:tcW w:w="4880" w:type="dxa"/>
                  <w:hideMark/>
                </w:tcPr>
                <w:tbl>
                  <w:tblPr>
                    <w:tblStyle w:val="Tabela-Siatka"/>
                    <w:tblW w:w="0" w:type="auto"/>
                    <w:jc w:val="righ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64"/>
                  </w:tblGrid>
                  <w:tr w:rsidR="00E913B1" w:rsidRPr="00B47A01" w:rsidTr="00A730EE">
                    <w:trPr>
                      <w:jc w:val="right"/>
                    </w:trPr>
                    <w:tc>
                      <w:tcPr>
                        <w:tcW w:w="5096" w:type="dxa"/>
                        <w:hideMark/>
                      </w:tcPr>
                      <w:p w:rsidR="00E913B1" w:rsidRPr="00E913B1" w:rsidRDefault="00E913B1" w:rsidP="00E913B1">
                        <w:pPr>
                          <w:spacing w:before="80" w:after="80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E913B1">
                          <w:rPr>
                            <w:rFonts w:ascii="Times New Roman" w:hAnsi="Times New Roman" w:cs="Times New Roman"/>
                            <w:szCs w:val="24"/>
                          </w:rPr>
                          <w:t>Dyrektor</w:t>
                        </w:r>
                      </w:p>
                    </w:tc>
                  </w:tr>
                  <w:tr w:rsidR="00E913B1" w:rsidRPr="00B47A01" w:rsidTr="00A730EE">
                    <w:trPr>
                      <w:jc w:val="right"/>
                    </w:trPr>
                    <w:tc>
                      <w:tcPr>
                        <w:tcW w:w="5096" w:type="dxa"/>
                        <w:hideMark/>
                      </w:tcPr>
                      <w:p w:rsidR="00E913B1" w:rsidRPr="00E913B1" w:rsidRDefault="00E913B1" w:rsidP="00E913B1">
                        <w:pPr>
                          <w:spacing w:before="80" w:after="80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E913B1">
                          <w:rPr>
                            <w:rFonts w:ascii="Times New Roman" w:hAnsi="Times New Roman" w:cs="Times New Roman"/>
                            <w:szCs w:val="24"/>
                          </w:rPr>
                          <w:t>Departamentu Edukacji, Kultury i Dziedzictwa</w:t>
                        </w:r>
                      </w:p>
                    </w:tc>
                  </w:tr>
                  <w:tr w:rsidR="00E913B1" w:rsidRPr="00B47A01" w:rsidTr="00A730EE">
                    <w:trPr>
                      <w:jc w:val="right"/>
                    </w:trPr>
                    <w:tc>
                      <w:tcPr>
                        <w:tcW w:w="5096" w:type="dxa"/>
                      </w:tcPr>
                      <w:p w:rsidR="00E913B1" w:rsidRPr="00E913B1" w:rsidRDefault="00E913B1" w:rsidP="00E913B1">
                        <w:pPr>
                          <w:spacing w:before="80" w:after="8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913B1">
                          <w:rPr>
                            <w:rFonts w:ascii="Times New Roman" w:hAnsi="Times New Roman" w:cs="Times New Roman"/>
                            <w:szCs w:val="24"/>
                          </w:rPr>
                          <w:t>/-/ dr hab. Paweł HUT</w:t>
                        </w:r>
                      </w:p>
                      <w:p w:rsidR="00E913B1" w:rsidRPr="00E913B1" w:rsidRDefault="00E913B1" w:rsidP="00E913B1">
                        <w:pPr>
                          <w:spacing w:before="80" w:after="80"/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</w:p>
                    </w:tc>
                  </w:tr>
                </w:tbl>
                <w:p w:rsidR="00E913B1" w:rsidRDefault="00E913B1" w:rsidP="00E913B1"/>
              </w:tc>
            </w:tr>
            <w:tr w:rsidR="00E913B1" w:rsidTr="00E913B1">
              <w:trPr>
                <w:jc w:val="right"/>
              </w:trPr>
              <w:tc>
                <w:tcPr>
                  <w:tcW w:w="4880" w:type="dxa"/>
                </w:tcPr>
                <w:p w:rsidR="00E913B1" w:rsidRDefault="00E913B1" w:rsidP="00E913B1"/>
              </w:tc>
            </w:tr>
          </w:tbl>
          <w:p w:rsidR="00EC4896" w:rsidRPr="00551F58" w:rsidRDefault="00EC4896" w:rsidP="009E0C85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1F58" w:rsidRPr="00551F58" w:rsidTr="00770401">
        <w:trPr>
          <w:jc w:val="right"/>
        </w:trPr>
        <w:tc>
          <w:tcPr>
            <w:tcW w:w="5096" w:type="dxa"/>
          </w:tcPr>
          <w:p w:rsidR="00EC4896" w:rsidRPr="00551F58" w:rsidRDefault="00EC4896" w:rsidP="00827351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4896" w:rsidRPr="00551F58" w:rsidTr="00827351">
        <w:trPr>
          <w:jc w:val="right"/>
        </w:trPr>
        <w:tc>
          <w:tcPr>
            <w:tcW w:w="5096" w:type="dxa"/>
          </w:tcPr>
          <w:p w:rsidR="00EC4896" w:rsidRPr="00551F58" w:rsidRDefault="00EC4896" w:rsidP="00827351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F03F4" w:rsidRPr="00551F58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sectPr w:rsidR="008F03F4" w:rsidRPr="00551F58" w:rsidSect="00EF328B">
      <w:footerReference w:type="default" r:id="rId13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30" w:rsidRDefault="006B6930" w:rsidP="00BA7D09">
      <w:pPr>
        <w:spacing w:after="0" w:line="240" w:lineRule="auto"/>
      </w:pPr>
      <w:r>
        <w:separator/>
      </w:r>
    </w:p>
  </w:endnote>
  <w:endnote w:type="continuationSeparator" w:id="0">
    <w:p w:rsidR="006B6930" w:rsidRDefault="006B6930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E913B1">
      <w:rPr>
        <w:rFonts w:ascii="Times New Roman" w:hAnsi="Times New Roman" w:cs="Times New Roman"/>
        <w:noProof/>
        <w:sz w:val="16"/>
        <w:szCs w:val="16"/>
      </w:rPr>
      <w:t>1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6B6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30" w:rsidRDefault="006B6930" w:rsidP="00BA7D09">
      <w:pPr>
        <w:spacing w:after="0" w:line="240" w:lineRule="auto"/>
      </w:pPr>
      <w:r>
        <w:separator/>
      </w:r>
    </w:p>
  </w:footnote>
  <w:footnote w:type="continuationSeparator" w:id="0">
    <w:p w:rsidR="006B6930" w:rsidRDefault="006B6930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171B"/>
    <w:multiLevelType w:val="hybridMultilevel"/>
    <w:tmpl w:val="6A025E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070436"/>
    <w:multiLevelType w:val="hybridMultilevel"/>
    <w:tmpl w:val="98E2BC4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3EF3241C"/>
    <w:multiLevelType w:val="hybridMultilevel"/>
    <w:tmpl w:val="2F9CC18C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F4683E"/>
    <w:multiLevelType w:val="multilevel"/>
    <w:tmpl w:val="277410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2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97E4D"/>
    <w:multiLevelType w:val="hybridMultilevel"/>
    <w:tmpl w:val="5220F9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23"/>
  </w:num>
  <w:num w:numId="5">
    <w:abstractNumId w:val="25"/>
  </w:num>
  <w:num w:numId="6">
    <w:abstractNumId w:val="8"/>
  </w:num>
  <w:num w:numId="7">
    <w:abstractNumId w:val="7"/>
  </w:num>
  <w:num w:numId="8">
    <w:abstractNumId w:val="4"/>
  </w:num>
  <w:num w:numId="9">
    <w:abstractNumId w:val="21"/>
  </w:num>
  <w:num w:numId="10">
    <w:abstractNumId w:val="12"/>
  </w:num>
  <w:num w:numId="11">
    <w:abstractNumId w:val="9"/>
  </w:num>
  <w:num w:numId="12">
    <w:abstractNumId w:val="16"/>
  </w:num>
  <w:num w:numId="13">
    <w:abstractNumId w:val="24"/>
  </w:num>
  <w:num w:numId="14">
    <w:abstractNumId w:val="5"/>
  </w:num>
  <w:num w:numId="15">
    <w:abstractNumId w:val="30"/>
  </w:num>
  <w:num w:numId="16">
    <w:abstractNumId w:val="19"/>
  </w:num>
  <w:num w:numId="17">
    <w:abstractNumId w:val="6"/>
  </w:num>
  <w:num w:numId="18">
    <w:abstractNumId w:val="18"/>
  </w:num>
  <w:num w:numId="19">
    <w:abstractNumId w:val="10"/>
  </w:num>
  <w:num w:numId="20">
    <w:abstractNumId w:val="20"/>
  </w:num>
  <w:num w:numId="21">
    <w:abstractNumId w:val="28"/>
  </w:num>
  <w:num w:numId="22">
    <w:abstractNumId w:val="11"/>
  </w:num>
  <w:num w:numId="23">
    <w:abstractNumId w:val="22"/>
  </w:num>
  <w:num w:numId="24">
    <w:abstractNumId w:val="0"/>
  </w:num>
  <w:num w:numId="25">
    <w:abstractNumId w:val="29"/>
  </w:num>
  <w:num w:numId="26">
    <w:abstractNumId w:val="26"/>
  </w:num>
  <w:num w:numId="27">
    <w:abstractNumId w:val="13"/>
  </w:num>
  <w:num w:numId="28">
    <w:abstractNumId w:val="14"/>
  </w:num>
  <w:num w:numId="29">
    <w:abstractNumId w:val="2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55B2"/>
    <w:rsid w:val="00006F55"/>
    <w:rsid w:val="000151B3"/>
    <w:rsid w:val="0001793C"/>
    <w:rsid w:val="0002392D"/>
    <w:rsid w:val="0003336F"/>
    <w:rsid w:val="00033FA7"/>
    <w:rsid w:val="00034342"/>
    <w:rsid w:val="00041874"/>
    <w:rsid w:val="00052510"/>
    <w:rsid w:val="00057155"/>
    <w:rsid w:val="0006558A"/>
    <w:rsid w:val="000950CF"/>
    <w:rsid w:val="00096FC5"/>
    <w:rsid w:val="000A7289"/>
    <w:rsid w:val="000E1760"/>
    <w:rsid w:val="000E1DCA"/>
    <w:rsid w:val="000F51A8"/>
    <w:rsid w:val="00127E59"/>
    <w:rsid w:val="001313AB"/>
    <w:rsid w:val="0014073D"/>
    <w:rsid w:val="001626A0"/>
    <w:rsid w:val="001655CA"/>
    <w:rsid w:val="00196014"/>
    <w:rsid w:val="001C573A"/>
    <w:rsid w:val="001D4733"/>
    <w:rsid w:val="001E2A3F"/>
    <w:rsid w:val="00213A3F"/>
    <w:rsid w:val="00215357"/>
    <w:rsid w:val="00216E78"/>
    <w:rsid w:val="00217A78"/>
    <w:rsid w:val="002229FD"/>
    <w:rsid w:val="002433FE"/>
    <w:rsid w:val="0026151A"/>
    <w:rsid w:val="00270A8F"/>
    <w:rsid w:val="00275137"/>
    <w:rsid w:val="002B22B7"/>
    <w:rsid w:val="002B2AD5"/>
    <w:rsid w:val="002B37E3"/>
    <w:rsid w:val="002B4DCB"/>
    <w:rsid w:val="002B5D13"/>
    <w:rsid w:val="002B60D3"/>
    <w:rsid w:val="002D437A"/>
    <w:rsid w:val="002F034D"/>
    <w:rsid w:val="002F29DE"/>
    <w:rsid w:val="002F63F8"/>
    <w:rsid w:val="002F792B"/>
    <w:rsid w:val="00327028"/>
    <w:rsid w:val="00345908"/>
    <w:rsid w:val="00362314"/>
    <w:rsid w:val="003730B6"/>
    <w:rsid w:val="003A3BDC"/>
    <w:rsid w:val="003A3CBC"/>
    <w:rsid w:val="003A7950"/>
    <w:rsid w:val="003C0794"/>
    <w:rsid w:val="003C56F4"/>
    <w:rsid w:val="00415017"/>
    <w:rsid w:val="00416686"/>
    <w:rsid w:val="004168D1"/>
    <w:rsid w:val="00421840"/>
    <w:rsid w:val="00425413"/>
    <w:rsid w:val="0043355B"/>
    <w:rsid w:val="00435F0A"/>
    <w:rsid w:val="0044131F"/>
    <w:rsid w:val="0046708E"/>
    <w:rsid w:val="004919C7"/>
    <w:rsid w:val="0049503E"/>
    <w:rsid w:val="004B3AF1"/>
    <w:rsid w:val="004E181D"/>
    <w:rsid w:val="004F06C3"/>
    <w:rsid w:val="00520977"/>
    <w:rsid w:val="0052648E"/>
    <w:rsid w:val="00551F58"/>
    <w:rsid w:val="0056747A"/>
    <w:rsid w:val="0057182C"/>
    <w:rsid w:val="0057706F"/>
    <w:rsid w:val="005B0BA8"/>
    <w:rsid w:val="005B1F4C"/>
    <w:rsid w:val="005B41E8"/>
    <w:rsid w:val="005C75FF"/>
    <w:rsid w:val="00605AE6"/>
    <w:rsid w:val="00606CAE"/>
    <w:rsid w:val="006110C3"/>
    <w:rsid w:val="00616922"/>
    <w:rsid w:val="00620CE5"/>
    <w:rsid w:val="0063470A"/>
    <w:rsid w:val="00640935"/>
    <w:rsid w:val="00642E35"/>
    <w:rsid w:val="00657213"/>
    <w:rsid w:val="006600B8"/>
    <w:rsid w:val="00663A16"/>
    <w:rsid w:val="00680A74"/>
    <w:rsid w:val="006A2C69"/>
    <w:rsid w:val="006B21BE"/>
    <w:rsid w:val="006B3E47"/>
    <w:rsid w:val="006B6930"/>
    <w:rsid w:val="006D6FC9"/>
    <w:rsid w:val="006E76AE"/>
    <w:rsid w:val="007250C9"/>
    <w:rsid w:val="00765428"/>
    <w:rsid w:val="00770401"/>
    <w:rsid w:val="00791664"/>
    <w:rsid w:val="007B25BD"/>
    <w:rsid w:val="007F54AA"/>
    <w:rsid w:val="00820420"/>
    <w:rsid w:val="00823124"/>
    <w:rsid w:val="00827798"/>
    <w:rsid w:val="00830707"/>
    <w:rsid w:val="008332F5"/>
    <w:rsid w:val="00840288"/>
    <w:rsid w:val="00840353"/>
    <w:rsid w:val="00856061"/>
    <w:rsid w:val="00894AEA"/>
    <w:rsid w:val="008C6974"/>
    <w:rsid w:val="008D1BDE"/>
    <w:rsid w:val="008D560A"/>
    <w:rsid w:val="008E25CC"/>
    <w:rsid w:val="008E7796"/>
    <w:rsid w:val="008E7E21"/>
    <w:rsid w:val="008F03F4"/>
    <w:rsid w:val="008F3A4B"/>
    <w:rsid w:val="00906A43"/>
    <w:rsid w:val="00920251"/>
    <w:rsid w:val="009540EF"/>
    <w:rsid w:val="0098603E"/>
    <w:rsid w:val="009A4372"/>
    <w:rsid w:val="009B7808"/>
    <w:rsid w:val="009C349B"/>
    <w:rsid w:val="009D2BE8"/>
    <w:rsid w:val="009D3F6C"/>
    <w:rsid w:val="009D5C84"/>
    <w:rsid w:val="009E0285"/>
    <w:rsid w:val="009E0C85"/>
    <w:rsid w:val="009F7D84"/>
    <w:rsid w:val="00A30027"/>
    <w:rsid w:val="00A376E6"/>
    <w:rsid w:val="00A431A2"/>
    <w:rsid w:val="00A45608"/>
    <w:rsid w:val="00A52290"/>
    <w:rsid w:val="00A57055"/>
    <w:rsid w:val="00A67F47"/>
    <w:rsid w:val="00A82773"/>
    <w:rsid w:val="00A85A20"/>
    <w:rsid w:val="00A85DCA"/>
    <w:rsid w:val="00A96E99"/>
    <w:rsid w:val="00AB04D2"/>
    <w:rsid w:val="00AB0F61"/>
    <w:rsid w:val="00AB2164"/>
    <w:rsid w:val="00AB5B55"/>
    <w:rsid w:val="00AE4E78"/>
    <w:rsid w:val="00AF32BF"/>
    <w:rsid w:val="00B07FEE"/>
    <w:rsid w:val="00B10CF1"/>
    <w:rsid w:val="00B37A37"/>
    <w:rsid w:val="00B41543"/>
    <w:rsid w:val="00B643F7"/>
    <w:rsid w:val="00B65DFE"/>
    <w:rsid w:val="00B73790"/>
    <w:rsid w:val="00B73A37"/>
    <w:rsid w:val="00B90FFA"/>
    <w:rsid w:val="00B9135E"/>
    <w:rsid w:val="00B96955"/>
    <w:rsid w:val="00BA1316"/>
    <w:rsid w:val="00BA7D09"/>
    <w:rsid w:val="00BB1D71"/>
    <w:rsid w:val="00BB2DC8"/>
    <w:rsid w:val="00BC1347"/>
    <w:rsid w:val="00BD15F3"/>
    <w:rsid w:val="00BD4839"/>
    <w:rsid w:val="00BE1925"/>
    <w:rsid w:val="00C0531B"/>
    <w:rsid w:val="00C0718F"/>
    <w:rsid w:val="00C20578"/>
    <w:rsid w:val="00C30CD5"/>
    <w:rsid w:val="00C30DB4"/>
    <w:rsid w:val="00C3472F"/>
    <w:rsid w:val="00C414A8"/>
    <w:rsid w:val="00C44A5C"/>
    <w:rsid w:val="00C5504B"/>
    <w:rsid w:val="00C7416C"/>
    <w:rsid w:val="00C777AA"/>
    <w:rsid w:val="00C84724"/>
    <w:rsid w:val="00C97EB6"/>
    <w:rsid w:val="00CD3DA4"/>
    <w:rsid w:val="00CD782B"/>
    <w:rsid w:val="00CE0EC5"/>
    <w:rsid w:val="00CE2DA4"/>
    <w:rsid w:val="00CE4480"/>
    <w:rsid w:val="00CF0F48"/>
    <w:rsid w:val="00CF234B"/>
    <w:rsid w:val="00CF5AFD"/>
    <w:rsid w:val="00D04F03"/>
    <w:rsid w:val="00D134C2"/>
    <w:rsid w:val="00D233F7"/>
    <w:rsid w:val="00D34935"/>
    <w:rsid w:val="00D34F02"/>
    <w:rsid w:val="00D35BF0"/>
    <w:rsid w:val="00D53D95"/>
    <w:rsid w:val="00D75374"/>
    <w:rsid w:val="00D85FC2"/>
    <w:rsid w:val="00D8750F"/>
    <w:rsid w:val="00DB4CE0"/>
    <w:rsid w:val="00DC5A65"/>
    <w:rsid w:val="00DC62AF"/>
    <w:rsid w:val="00DC6B11"/>
    <w:rsid w:val="00DD00EA"/>
    <w:rsid w:val="00DE0AC1"/>
    <w:rsid w:val="00DE49C2"/>
    <w:rsid w:val="00DE64D2"/>
    <w:rsid w:val="00DE66B2"/>
    <w:rsid w:val="00DE6979"/>
    <w:rsid w:val="00E11114"/>
    <w:rsid w:val="00E21E8D"/>
    <w:rsid w:val="00E2268A"/>
    <w:rsid w:val="00E31B9B"/>
    <w:rsid w:val="00E37C03"/>
    <w:rsid w:val="00E451BB"/>
    <w:rsid w:val="00E72022"/>
    <w:rsid w:val="00E87B26"/>
    <w:rsid w:val="00E913B1"/>
    <w:rsid w:val="00EC283F"/>
    <w:rsid w:val="00EC4896"/>
    <w:rsid w:val="00EE709C"/>
    <w:rsid w:val="00EF4B7E"/>
    <w:rsid w:val="00EF70FF"/>
    <w:rsid w:val="00F006B0"/>
    <w:rsid w:val="00F01FA1"/>
    <w:rsid w:val="00F02EA6"/>
    <w:rsid w:val="00F03DDF"/>
    <w:rsid w:val="00F057AB"/>
    <w:rsid w:val="00F06C98"/>
    <w:rsid w:val="00F07C90"/>
    <w:rsid w:val="00F14F4D"/>
    <w:rsid w:val="00F427F5"/>
    <w:rsid w:val="00F5176D"/>
    <w:rsid w:val="00F51FBB"/>
    <w:rsid w:val="00F72FFE"/>
    <w:rsid w:val="00F7439D"/>
    <w:rsid w:val="00F75F65"/>
    <w:rsid w:val="00F77EE3"/>
    <w:rsid w:val="00F80518"/>
    <w:rsid w:val="00F81222"/>
    <w:rsid w:val="00F8585F"/>
    <w:rsid w:val="00F87A18"/>
    <w:rsid w:val="00FA092C"/>
    <w:rsid w:val="00FB229F"/>
    <w:rsid w:val="00FB3E86"/>
    <w:rsid w:val="00FC0408"/>
    <w:rsid w:val="00FC78E7"/>
    <w:rsid w:val="00FD34CF"/>
    <w:rsid w:val="00FE236C"/>
    <w:rsid w:val="00FE45C9"/>
    <w:rsid w:val="00FF07A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98889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B7F1-2B3D-468C-B973-FF02D641E46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D360B58-AA0E-441D-A11C-BA1F8A3E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2675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2023-05-12T09:31:00Z</cp:lastPrinted>
  <dcterms:created xsi:type="dcterms:W3CDTF">2023-05-25T09:39:00Z</dcterms:created>
  <dcterms:modified xsi:type="dcterms:W3CDTF">2023-05-25T09:39:00Z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4820d46b-ee77-421a-9ed0-740f26130eee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