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7B" w:rsidRDefault="0039207B" w:rsidP="0039207B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8"/>
        <w:gridCol w:w="4061"/>
        <w:gridCol w:w="4493"/>
      </w:tblGrid>
      <w:tr w:rsidR="00F36802" w:rsidTr="00F36802">
        <w:tc>
          <w:tcPr>
            <w:tcW w:w="421" w:type="dxa"/>
          </w:tcPr>
          <w:p w:rsidR="00F36802" w:rsidRPr="00F36802" w:rsidRDefault="00F36802" w:rsidP="0039207B">
            <w:pPr>
              <w:rPr>
                <w:rFonts w:ascii="Lato" w:hAnsi="Lato"/>
                <w:b/>
                <w:sz w:val="22"/>
                <w:szCs w:val="22"/>
              </w:rPr>
            </w:pPr>
            <w:r w:rsidRPr="00F36802">
              <w:rPr>
                <w:rFonts w:ascii="Lato" w:hAnsi="Lato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4110" w:type="dxa"/>
          </w:tcPr>
          <w:p w:rsidR="00F36802" w:rsidRPr="00F36802" w:rsidRDefault="00F36802" w:rsidP="0039207B">
            <w:pPr>
              <w:rPr>
                <w:rFonts w:ascii="Lato" w:hAnsi="Lato"/>
                <w:b/>
                <w:sz w:val="22"/>
                <w:szCs w:val="22"/>
              </w:rPr>
            </w:pPr>
            <w:r w:rsidRPr="00F36802">
              <w:rPr>
                <w:rFonts w:ascii="Lato" w:hAnsi="Lato"/>
                <w:b/>
                <w:sz w:val="22"/>
                <w:szCs w:val="22"/>
              </w:rPr>
              <w:t>Pytanie</w:t>
            </w:r>
          </w:p>
        </w:tc>
        <w:tc>
          <w:tcPr>
            <w:tcW w:w="4531" w:type="dxa"/>
          </w:tcPr>
          <w:p w:rsidR="00F36802" w:rsidRPr="00F36802" w:rsidRDefault="00F36802" w:rsidP="0039207B">
            <w:pPr>
              <w:rPr>
                <w:rFonts w:ascii="Lato" w:hAnsi="Lato"/>
                <w:b/>
                <w:sz w:val="22"/>
                <w:szCs w:val="22"/>
              </w:rPr>
            </w:pPr>
            <w:r w:rsidRPr="00F36802">
              <w:rPr>
                <w:rFonts w:ascii="Lato" w:hAnsi="Lato"/>
                <w:b/>
                <w:sz w:val="22"/>
                <w:szCs w:val="22"/>
              </w:rPr>
              <w:t xml:space="preserve">Odpowiedź </w:t>
            </w:r>
          </w:p>
        </w:tc>
      </w:tr>
      <w:tr w:rsidR="00F36802" w:rsidTr="00F36802">
        <w:trPr>
          <w:trHeight w:val="3296"/>
        </w:trPr>
        <w:tc>
          <w:tcPr>
            <w:tcW w:w="421" w:type="dxa"/>
          </w:tcPr>
          <w:p w:rsidR="00F36802" w:rsidRPr="00F36802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F36802">
              <w:rPr>
                <w:rFonts w:ascii="Lato" w:hAnsi="Lato"/>
                <w:sz w:val="22"/>
                <w:szCs w:val="22"/>
              </w:rPr>
              <w:t>1.</w:t>
            </w:r>
          </w:p>
        </w:tc>
        <w:tc>
          <w:tcPr>
            <w:tcW w:w="4110" w:type="dxa"/>
          </w:tcPr>
          <w:p w:rsidR="00F36802" w:rsidRPr="00EC6046" w:rsidRDefault="00F36802" w:rsidP="0039207B">
            <w:pPr>
              <w:rPr>
                <w:rFonts w:ascii="Lato" w:hAnsi="Lato"/>
                <w:sz w:val="18"/>
                <w:szCs w:val="18"/>
              </w:rPr>
            </w:pPr>
            <w:r w:rsidRPr="00EC6046">
              <w:rPr>
                <w:rFonts w:ascii="Lato" w:hAnsi="Lato"/>
                <w:sz w:val="18"/>
                <w:szCs w:val="18"/>
              </w:rPr>
              <w:t xml:space="preserve">Czy Partner w postaci NGO w ramach konkursu mógłby wspierać inne NGO? Identyfikujemy takie potrzeby i tereny (teren inny niż dolny </w:t>
            </w:r>
            <w:proofErr w:type="spellStart"/>
            <w:r w:rsidRPr="00EC6046">
              <w:rPr>
                <w:rFonts w:ascii="Lato" w:hAnsi="Lato"/>
                <w:sz w:val="18"/>
                <w:szCs w:val="18"/>
              </w:rPr>
              <w:t>śląsk</w:t>
            </w:r>
            <w:proofErr w:type="spellEnd"/>
            <w:r w:rsidRPr="00EC6046">
              <w:rPr>
                <w:rFonts w:ascii="Lato" w:hAnsi="Lato"/>
                <w:sz w:val="18"/>
                <w:szCs w:val="18"/>
              </w:rPr>
              <w:t>), gdzie taka pomoc byłaby potrzebna (np. w Centrach Integracji dla osób z Ukrainy).</w:t>
            </w:r>
          </w:p>
        </w:tc>
        <w:tc>
          <w:tcPr>
            <w:tcW w:w="4531" w:type="dxa"/>
          </w:tcPr>
          <w:p w:rsidR="00F36802" w:rsidRPr="00EC6046" w:rsidRDefault="00F36802" w:rsidP="0039207B">
            <w:pPr>
              <w:rPr>
                <w:rFonts w:ascii="Lato" w:hAnsi="Lato"/>
                <w:sz w:val="18"/>
                <w:szCs w:val="18"/>
              </w:rPr>
            </w:pPr>
            <w:r w:rsidRPr="00EC6046">
              <w:rPr>
                <w:rFonts w:ascii="Lato" w:hAnsi="Lato"/>
                <w:sz w:val="18"/>
                <w:szCs w:val="18"/>
              </w:rPr>
              <w:t>Proszę o wyjaśnienie, co należy rozumieć poprzez</w:t>
            </w:r>
            <w:r w:rsidR="005D5581" w:rsidRPr="00EC6046">
              <w:rPr>
                <w:rFonts w:ascii="Lato" w:hAnsi="Lato"/>
                <w:sz w:val="18"/>
                <w:szCs w:val="18"/>
              </w:rPr>
              <w:t xml:space="preserve"> określenie</w:t>
            </w:r>
            <w:r w:rsidRPr="00EC6046">
              <w:rPr>
                <w:rFonts w:ascii="Lato" w:hAnsi="Lato"/>
                <w:sz w:val="18"/>
                <w:szCs w:val="18"/>
              </w:rPr>
              <w:t xml:space="preserve"> „wsparcie” innych </w:t>
            </w:r>
            <w:proofErr w:type="spellStart"/>
            <w:r w:rsidRPr="00EC6046">
              <w:rPr>
                <w:rFonts w:ascii="Lato" w:hAnsi="Lato"/>
                <w:sz w:val="18"/>
                <w:szCs w:val="18"/>
              </w:rPr>
              <w:t>NGO’s</w:t>
            </w:r>
            <w:proofErr w:type="spellEnd"/>
            <w:r w:rsidRPr="00EC6046">
              <w:rPr>
                <w:rFonts w:ascii="Lato" w:hAnsi="Lato"/>
                <w:sz w:val="18"/>
                <w:szCs w:val="18"/>
              </w:rPr>
              <w:t>. Bezpośrednie przekazywanie środków (</w:t>
            </w:r>
            <w:proofErr w:type="spellStart"/>
            <w:r w:rsidRPr="00EC6046">
              <w:rPr>
                <w:rFonts w:ascii="Lato" w:hAnsi="Lato"/>
                <w:sz w:val="18"/>
                <w:szCs w:val="18"/>
              </w:rPr>
              <w:t>regranting</w:t>
            </w:r>
            <w:proofErr w:type="spellEnd"/>
            <w:r w:rsidRPr="00EC6046">
              <w:rPr>
                <w:rFonts w:ascii="Lato" w:hAnsi="Lato"/>
                <w:sz w:val="18"/>
                <w:szCs w:val="18"/>
              </w:rPr>
              <w:t>) innym organizacjom pozarządowym, w przypadku, gdy nie są one partnerami i nie odpowiadają za realizację działań w projekcie</w:t>
            </w:r>
            <w:r w:rsidR="00E1099B" w:rsidRPr="00EC6046">
              <w:rPr>
                <w:rFonts w:ascii="Lato" w:hAnsi="Lato"/>
                <w:sz w:val="18"/>
                <w:szCs w:val="18"/>
              </w:rPr>
              <w:t>, nie jest możliwe w ramach naboru nr FBWP.03.01-IZ.00-002/26</w:t>
            </w:r>
            <w:r w:rsidRPr="00EC6046">
              <w:rPr>
                <w:rFonts w:ascii="Lato" w:hAnsi="Lato"/>
                <w:sz w:val="18"/>
                <w:szCs w:val="18"/>
              </w:rPr>
              <w:t>. Ewentualne wsparcie może być traktowane jako kwalifikowane, jeśli odbywa się na zasadach podwykonawstwa lub partnerstwa. W innych przypadkach zostanie uznane za niekwalifikowane</w:t>
            </w:r>
          </w:p>
        </w:tc>
      </w:tr>
      <w:tr w:rsidR="00F36802" w:rsidTr="00F36802">
        <w:trPr>
          <w:trHeight w:val="3952"/>
        </w:trPr>
        <w:tc>
          <w:tcPr>
            <w:tcW w:w="421" w:type="dxa"/>
          </w:tcPr>
          <w:p w:rsidR="00F36802" w:rsidRPr="00F36802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F36802">
              <w:rPr>
                <w:rFonts w:ascii="Lato" w:hAnsi="Lato"/>
                <w:sz w:val="22"/>
                <w:szCs w:val="22"/>
              </w:rPr>
              <w:t>2.</w:t>
            </w:r>
          </w:p>
        </w:tc>
        <w:tc>
          <w:tcPr>
            <w:tcW w:w="4110" w:type="dxa"/>
          </w:tcPr>
          <w:p w:rsidR="00F36802" w:rsidRPr="00EC6046" w:rsidRDefault="00F36802" w:rsidP="0039207B">
            <w:pPr>
              <w:rPr>
                <w:rFonts w:ascii="Lato" w:hAnsi="Lato"/>
                <w:sz w:val="18"/>
                <w:szCs w:val="18"/>
              </w:rPr>
            </w:pPr>
            <w:r w:rsidRPr="00EC6046">
              <w:rPr>
                <w:rFonts w:ascii="Lato" w:hAnsi="Lato"/>
                <w:sz w:val="18"/>
                <w:szCs w:val="18"/>
              </w:rPr>
              <w:t>Chcielibyśmy, aby udzielana pomoc w ramach projektu była również nakierowana na same ofiary handlu ludźmi i w związku z tym pojawia się pytanie, o możliwość pojawienia się wydatków dotyczących utrzymania mieszkania interwencyjnego dla ofiar w zakresie jego wyposażenia, tj. dostaw żywności, pościeli, ubrań dla potrzebujących, podstawowe środki medyczne w apteczce domowej. Moglibyśmy to zaprojektować np. w takich dedykowanych "paczkach/kompletach".</w:t>
            </w:r>
          </w:p>
        </w:tc>
        <w:tc>
          <w:tcPr>
            <w:tcW w:w="4531" w:type="dxa"/>
          </w:tcPr>
          <w:p w:rsidR="00F36802" w:rsidRPr="00EC6046" w:rsidRDefault="00F36802" w:rsidP="0039207B">
            <w:pPr>
              <w:rPr>
                <w:rFonts w:ascii="Lato" w:hAnsi="Lato"/>
                <w:sz w:val="18"/>
                <w:szCs w:val="18"/>
              </w:rPr>
            </w:pPr>
            <w:r w:rsidRPr="00EC6046">
              <w:rPr>
                <w:rFonts w:ascii="Lato" w:hAnsi="Lato"/>
                <w:sz w:val="18"/>
                <w:szCs w:val="18"/>
              </w:rPr>
              <w:t xml:space="preserve">Wskazane działania nakierowane na bezpośrednią pomoc ofiarom handlu ludźmi są kwalifikowaną formą wsparcia w ramach niniejszego naboru. Zaleca się, aby charakter takiej pomocy był incydentalny i doraźny. W przypadku przekazywania pomocy niematerialnej należy każdorazowo udokumentować otrzymanie wsparcia poprzez pisemne </w:t>
            </w:r>
            <w:r w:rsidR="005D5581" w:rsidRPr="00EC6046">
              <w:rPr>
                <w:rFonts w:ascii="Lato" w:hAnsi="Lato"/>
                <w:sz w:val="18"/>
                <w:szCs w:val="18"/>
              </w:rPr>
              <w:t>potwierdzenie otrzymania pomocy przez beneficjenta ostatecznego wsparcia z zachowaniem prawidłowego stosowania przepisów dotyczących danych osobowych.</w:t>
            </w:r>
          </w:p>
        </w:tc>
      </w:tr>
      <w:tr w:rsidR="00F36802" w:rsidTr="00F36802">
        <w:trPr>
          <w:trHeight w:val="1240"/>
        </w:trPr>
        <w:tc>
          <w:tcPr>
            <w:tcW w:w="421" w:type="dxa"/>
          </w:tcPr>
          <w:p w:rsidR="00F36802" w:rsidRPr="00F36802" w:rsidRDefault="00F36802" w:rsidP="0039207B">
            <w:pPr>
              <w:rPr>
                <w:rFonts w:ascii="Lato" w:hAnsi="Lato"/>
                <w:sz w:val="22"/>
                <w:szCs w:val="22"/>
              </w:rPr>
            </w:pPr>
            <w:r w:rsidRPr="00F36802">
              <w:rPr>
                <w:rFonts w:ascii="Lato" w:hAnsi="Lato"/>
                <w:sz w:val="22"/>
                <w:szCs w:val="22"/>
              </w:rPr>
              <w:t>3.</w:t>
            </w:r>
          </w:p>
        </w:tc>
        <w:tc>
          <w:tcPr>
            <w:tcW w:w="4110" w:type="dxa"/>
          </w:tcPr>
          <w:p w:rsidR="00F36802" w:rsidRPr="00EC6046" w:rsidRDefault="00F36802" w:rsidP="0039207B">
            <w:pPr>
              <w:rPr>
                <w:rFonts w:ascii="Lato" w:hAnsi="Lato"/>
                <w:sz w:val="18"/>
                <w:szCs w:val="18"/>
              </w:rPr>
            </w:pPr>
            <w:r w:rsidRPr="00EC6046">
              <w:rPr>
                <w:rFonts w:ascii="Lato" w:hAnsi="Lato"/>
                <w:sz w:val="18"/>
                <w:szCs w:val="18"/>
              </w:rPr>
              <w:t>Pojawiło się nam też pytanie o pakiety pomocy zdrowotnej dla ofiar, a dokładniej chodzi nam o koszty obdukcji ofiar.</w:t>
            </w:r>
          </w:p>
        </w:tc>
        <w:tc>
          <w:tcPr>
            <w:tcW w:w="4531" w:type="dxa"/>
          </w:tcPr>
          <w:p w:rsidR="00F36802" w:rsidRPr="00EC6046" w:rsidRDefault="00F36802" w:rsidP="006E021A">
            <w:pPr>
              <w:rPr>
                <w:rFonts w:ascii="Lato" w:hAnsi="Lato"/>
                <w:sz w:val="18"/>
                <w:szCs w:val="18"/>
              </w:rPr>
            </w:pPr>
            <w:r w:rsidRPr="00EC6046">
              <w:rPr>
                <w:rFonts w:ascii="Lato" w:hAnsi="Lato"/>
                <w:sz w:val="18"/>
                <w:szCs w:val="18"/>
              </w:rPr>
              <w:t xml:space="preserve">Koszty obdukcji ofiary będą </w:t>
            </w:r>
            <w:r w:rsidR="006E021A" w:rsidRPr="00EC6046">
              <w:rPr>
                <w:rFonts w:ascii="Lato" w:hAnsi="Lato"/>
                <w:sz w:val="18"/>
                <w:szCs w:val="18"/>
              </w:rPr>
              <w:t>uznane za kwalifikowane w</w:t>
            </w:r>
            <w:r w:rsidRPr="00EC6046">
              <w:rPr>
                <w:rFonts w:ascii="Lato" w:hAnsi="Lato"/>
                <w:sz w:val="18"/>
                <w:szCs w:val="18"/>
              </w:rPr>
              <w:t xml:space="preserve"> projekcie. </w:t>
            </w:r>
            <w:r w:rsidR="000F61ED" w:rsidRPr="00EC6046">
              <w:rPr>
                <w:rFonts w:ascii="Lato" w:hAnsi="Lato"/>
                <w:sz w:val="18"/>
                <w:szCs w:val="18"/>
              </w:rPr>
              <w:t xml:space="preserve">Jednocześnie należy podkreślić, że </w:t>
            </w:r>
            <w:r w:rsidRPr="00EC6046">
              <w:rPr>
                <w:rFonts w:ascii="Lato" w:hAnsi="Lato"/>
                <w:sz w:val="18"/>
                <w:szCs w:val="18"/>
              </w:rPr>
              <w:t>komercyjne pakiety pomocy zdrowotnej</w:t>
            </w:r>
            <w:r w:rsidR="005D5581" w:rsidRPr="00EC6046">
              <w:rPr>
                <w:rFonts w:ascii="Lato" w:hAnsi="Lato"/>
                <w:sz w:val="18"/>
                <w:szCs w:val="18"/>
              </w:rPr>
              <w:t xml:space="preserve"> nie są wydatkiem kwalifikowanym w ramach naboru. </w:t>
            </w:r>
          </w:p>
        </w:tc>
      </w:tr>
      <w:tr w:rsidR="00F36802" w:rsidTr="00F36802">
        <w:tc>
          <w:tcPr>
            <w:tcW w:w="421" w:type="dxa"/>
          </w:tcPr>
          <w:p w:rsidR="00F36802" w:rsidRDefault="00EC6046" w:rsidP="0039207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 </w:t>
            </w:r>
          </w:p>
        </w:tc>
        <w:tc>
          <w:tcPr>
            <w:tcW w:w="4110" w:type="dxa"/>
          </w:tcPr>
          <w:p w:rsidR="00EC6046" w:rsidRPr="00B95350" w:rsidRDefault="00EC6046" w:rsidP="00EC6046">
            <w:pPr>
              <w:rPr>
                <w:rFonts w:ascii="Lato" w:hAnsi="Lato"/>
                <w:sz w:val="18"/>
                <w:szCs w:val="18"/>
              </w:rPr>
            </w:pPr>
            <w:r w:rsidRPr="00B95350">
              <w:rPr>
                <w:rFonts w:ascii="Lato" w:hAnsi="Lato"/>
                <w:sz w:val="18"/>
                <w:szCs w:val="18"/>
              </w:rPr>
              <w:t xml:space="preserve">Regulamin naboru przewiduje, że "Co do zasady na zakup sprzętu, środków transportu lub budowę obiektów istotnych z punktu widzenia bezpieczeństwa może być przeznaczone maksymalnie 35% wartości projektu. Do powyższego progu procentowego na sprzęt nie wchodzą usługi takie jak: oprogramowanie, licencje, koszty konserwacji/utrzymania i gwarancje." </w:t>
            </w:r>
          </w:p>
          <w:p w:rsidR="00EC6046" w:rsidRPr="00B95350" w:rsidRDefault="00EC6046" w:rsidP="00EC6046">
            <w:pPr>
              <w:rPr>
                <w:rFonts w:ascii="Lato" w:hAnsi="Lato"/>
                <w:sz w:val="18"/>
                <w:szCs w:val="18"/>
              </w:rPr>
            </w:pPr>
            <w:r w:rsidRPr="00B95350">
              <w:rPr>
                <w:rFonts w:ascii="Lato" w:hAnsi="Lato"/>
                <w:sz w:val="18"/>
                <w:szCs w:val="18"/>
              </w:rPr>
              <w:t xml:space="preserve">Natomiast, w przykładowych działaniach, tak wprost, jest mowa o tym, że można przeznaczyć część środków na "doposażenie istniejących struktur w wyposażenie służące ofiarom przestępstw takie jak urządzenia multimedialne, edukacyjne i sportowo-rekreacyjne" </w:t>
            </w:r>
          </w:p>
          <w:p w:rsidR="00F36802" w:rsidRPr="00B95350" w:rsidRDefault="00EC6046" w:rsidP="00B95350">
            <w:pPr>
              <w:rPr>
                <w:rFonts w:ascii="Lato" w:hAnsi="Lato"/>
                <w:sz w:val="18"/>
                <w:szCs w:val="18"/>
              </w:rPr>
            </w:pPr>
            <w:r w:rsidRPr="00B95350">
              <w:rPr>
                <w:rFonts w:ascii="Lato" w:hAnsi="Lato"/>
                <w:sz w:val="18"/>
                <w:szCs w:val="18"/>
              </w:rPr>
              <w:t>Czy oznacza to, że w ramach innych działań, przykładowo związanych z wczesną identyfikacją ofiar handlu ludźmi, nie możemy zakupić nowoczesnych laptopów lub innych urządzeń wspomagających dla policjantów (przykładowo translatorów)? Czy jest jaki</w:t>
            </w:r>
            <w:r w:rsidR="00B95350">
              <w:rPr>
                <w:rFonts w:ascii="Lato" w:hAnsi="Lato"/>
                <w:sz w:val="18"/>
                <w:szCs w:val="18"/>
              </w:rPr>
              <w:t>ś katalog sprzętów, które można</w:t>
            </w:r>
            <w:r w:rsidRPr="00B95350">
              <w:rPr>
                <w:rFonts w:ascii="Lato" w:hAnsi="Lato"/>
                <w:sz w:val="18"/>
                <w:szCs w:val="18"/>
              </w:rPr>
              <w:t xml:space="preserve"> nabyć? </w:t>
            </w:r>
            <w:bookmarkStart w:id="0" w:name="_GoBack"/>
            <w:bookmarkEnd w:id="0"/>
          </w:p>
        </w:tc>
        <w:tc>
          <w:tcPr>
            <w:tcW w:w="4531" w:type="dxa"/>
          </w:tcPr>
          <w:p w:rsidR="00EC6046" w:rsidRPr="00B95350" w:rsidRDefault="00EC6046" w:rsidP="00EC6046">
            <w:pPr>
              <w:rPr>
                <w:rFonts w:ascii="Lato" w:hAnsi="Lato"/>
                <w:sz w:val="18"/>
                <w:szCs w:val="18"/>
              </w:rPr>
            </w:pPr>
            <w:r w:rsidRPr="00B95350">
              <w:rPr>
                <w:rFonts w:ascii="Lato" w:hAnsi="Lato"/>
                <w:sz w:val="18"/>
                <w:szCs w:val="18"/>
              </w:rPr>
              <w:t>Zapis zawarty w regulaminie na</w:t>
            </w:r>
            <w:r w:rsidR="00B95350">
              <w:rPr>
                <w:rFonts w:ascii="Lato" w:hAnsi="Lato"/>
                <w:sz w:val="18"/>
                <w:szCs w:val="18"/>
              </w:rPr>
              <w:t xml:space="preserve">boru nr FBWP.03.01-IZ.00-002/26: </w:t>
            </w:r>
            <w:r w:rsidRPr="00B95350">
              <w:rPr>
                <w:rFonts w:ascii="Lato" w:hAnsi="Lato"/>
                <w:i/>
                <w:sz w:val="18"/>
                <w:szCs w:val="18"/>
              </w:rPr>
              <w:t>Co do zasady na zakup sprzętu, środków transportu lub budowę obiektów istotnych z punktu widzenia bezpieczeństwa może być przeznaczone maksymalnie 35% wartości projektu. Do powyższego progu procentowego na sprzęt nie wchodzą usługi takie jak: oprogramowanie, licencje, koszty kons</w:t>
            </w:r>
            <w:r w:rsidR="00B95350">
              <w:rPr>
                <w:rFonts w:ascii="Lato" w:hAnsi="Lato"/>
                <w:i/>
                <w:sz w:val="18"/>
                <w:szCs w:val="18"/>
              </w:rPr>
              <w:t>erwacji/utrzymania i gwarancje</w:t>
            </w:r>
            <w:r w:rsidRPr="00B95350">
              <w:rPr>
                <w:rFonts w:ascii="Lato" w:hAnsi="Lato"/>
                <w:sz w:val="18"/>
                <w:szCs w:val="18"/>
              </w:rPr>
              <w:t xml:space="preserve"> - oznacza, że w ramach projektu, beneficjent ma możliwość zaplanowania 35% wartości całkowitej projektu na zakupy w kategorii sprzęt, oprogramowanie i wyposażenie. W ramach Funduszu do tej kategorii zaliczamy taki sprzęt, który w jednostce beneficjenta podlega ewidencji księgowej. Sprzęt o małej wartości (&gt;10 </w:t>
            </w:r>
            <w:proofErr w:type="spellStart"/>
            <w:r w:rsidRPr="00B95350">
              <w:rPr>
                <w:rFonts w:ascii="Lato" w:hAnsi="Lato"/>
                <w:sz w:val="18"/>
                <w:szCs w:val="18"/>
              </w:rPr>
              <w:t>tys</w:t>
            </w:r>
            <w:proofErr w:type="spellEnd"/>
            <w:r w:rsidRPr="00B95350">
              <w:rPr>
                <w:rFonts w:ascii="Lato" w:hAnsi="Lato"/>
                <w:sz w:val="18"/>
                <w:szCs w:val="18"/>
              </w:rPr>
              <w:t xml:space="preserve"> netto), niespełniający tego warunku, należy przypisać do kategorii Inne koszty bezpośrednie. Do limitu 35% wydatków na sprzęt nie należy zaliczać takich pozycji w budżecie jak zakup licencji, oprogramowania, które nie są stale sprzężone z innym urządzeniem. Według KE samo oprogramowanie i licencje nie są sprzętem, zatem przy planowaniu budżetu nie wliczają się do limitu 35%, jeśli nie </w:t>
            </w:r>
            <w:r w:rsidRPr="00B95350">
              <w:rPr>
                <w:rFonts w:ascii="Lato" w:hAnsi="Lato"/>
                <w:sz w:val="18"/>
                <w:szCs w:val="18"/>
              </w:rPr>
              <w:lastRenderedPageBreak/>
              <w:t xml:space="preserve">stanowią integralnej części środka trwałego. Na przykład licencja na system operacyjny, która jest przypisana do konkretnego urządzenia (np. komputera, systemu) i może być używana tylko na tym urządzeniu, nie jest ujmowana jako odrębny składnik aktywów, lecz wchodzi w skład obiektu środka trwałego, zwiększając jego wartość początkową – zatem również powinna być wliczana do limitu 35%. </w:t>
            </w:r>
          </w:p>
          <w:p w:rsidR="00EC6046" w:rsidRPr="00B95350" w:rsidRDefault="00EC6046" w:rsidP="00EC6046">
            <w:pPr>
              <w:rPr>
                <w:rFonts w:ascii="Lato" w:hAnsi="Lato"/>
                <w:sz w:val="18"/>
                <w:szCs w:val="18"/>
              </w:rPr>
            </w:pPr>
          </w:p>
          <w:p w:rsidR="00EC6046" w:rsidRPr="00B95350" w:rsidRDefault="00EC6046" w:rsidP="00EC6046">
            <w:pPr>
              <w:rPr>
                <w:rFonts w:ascii="Lato" w:hAnsi="Lato"/>
                <w:sz w:val="18"/>
                <w:szCs w:val="18"/>
              </w:rPr>
            </w:pPr>
            <w:r w:rsidRPr="00B95350">
              <w:rPr>
                <w:rFonts w:ascii="Lato" w:hAnsi="Lato"/>
                <w:sz w:val="18"/>
                <w:szCs w:val="18"/>
              </w:rPr>
              <w:t xml:space="preserve">Oznacza to, że zakup oprogramowanie/licencje/ pokrycie kosztów konserwacji/utrzymania/gwarancji, które nie stanowią części środka trwałego, można zakwalifikować w budżecie projektu do kategorii inne koszty bezpośrednie. Ich zakup jest kwalifikowany w kosztach bezpośrednich, a jednocześnie nie obciąża limitu 35% na zakup sprzętu w projekcie. </w:t>
            </w:r>
          </w:p>
          <w:p w:rsidR="00EC6046" w:rsidRPr="00B95350" w:rsidRDefault="00EC6046" w:rsidP="00EC6046">
            <w:pPr>
              <w:rPr>
                <w:rFonts w:ascii="Lato" w:hAnsi="Lato"/>
                <w:sz w:val="18"/>
                <w:szCs w:val="18"/>
              </w:rPr>
            </w:pPr>
          </w:p>
          <w:p w:rsidR="00F36802" w:rsidRPr="00B95350" w:rsidRDefault="00EC6046" w:rsidP="00B95350">
            <w:pPr>
              <w:rPr>
                <w:rFonts w:ascii="Lato" w:hAnsi="Lato"/>
                <w:sz w:val="18"/>
                <w:szCs w:val="18"/>
              </w:rPr>
            </w:pPr>
            <w:r w:rsidRPr="00B95350">
              <w:rPr>
                <w:rFonts w:ascii="Lato" w:hAnsi="Lato"/>
                <w:sz w:val="18"/>
                <w:szCs w:val="18"/>
              </w:rPr>
              <w:t xml:space="preserve">Przykładowe działania wskazane w regulaminie naboru stanowią podpowiedź dla potencjalnych wnioskodawców oraz mają za zadanie wskazać kierunek działań możliwych do zrealizowania w ramach naboru. Wykaz przykładowych działań wymienionych w regulaminie nie stanowi zamkniętego spisu działań możliwych do dofinansowania i nie wyklucza możliwości zgłoszenia innych propozycji. Niezmiennie jednak, wszystkie planowane działania oraz wydatki w budżecie muszą zostać odpowiednio uzasadnione oraz muszą przyczyniać się do realizacji Celu szczegółowego 3 – Zapobieganie i zwalczanie przestępczości. </w:t>
            </w:r>
          </w:p>
        </w:tc>
      </w:tr>
    </w:tbl>
    <w:p w:rsidR="00F36802" w:rsidRDefault="00F36802" w:rsidP="0039207B">
      <w:pPr>
        <w:rPr>
          <w:rFonts w:ascii="Verdana" w:hAnsi="Verdana"/>
          <w:sz w:val="20"/>
          <w:szCs w:val="20"/>
        </w:rPr>
      </w:pPr>
    </w:p>
    <w:p w:rsidR="00F36802" w:rsidRDefault="00F36802" w:rsidP="0039207B">
      <w:pPr>
        <w:rPr>
          <w:rFonts w:ascii="Verdana" w:hAnsi="Verdana"/>
          <w:sz w:val="20"/>
          <w:szCs w:val="20"/>
        </w:rPr>
      </w:pPr>
    </w:p>
    <w:p w:rsidR="00F36802" w:rsidRDefault="00F36802" w:rsidP="0039207B">
      <w:pPr>
        <w:rPr>
          <w:rFonts w:ascii="Verdana" w:hAnsi="Verdana"/>
          <w:sz w:val="20"/>
          <w:szCs w:val="20"/>
        </w:rPr>
      </w:pPr>
    </w:p>
    <w:p w:rsidR="00F36802" w:rsidRDefault="00F36802" w:rsidP="0039207B">
      <w:pPr>
        <w:rPr>
          <w:rFonts w:ascii="Verdana" w:hAnsi="Verdana"/>
          <w:sz w:val="20"/>
          <w:szCs w:val="20"/>
        </w:rPr>
      </w:pPr>
    </w:p>
    <w:p w:rsidR="009A2089" w:rsidRDefault="009A2089"/>
    <w:sectPr w:rsidR="009A20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07B" w:rsidRDefault="0039207B" w:rsidP="0039207B">
      <w:r>
        <w:separator/>
      </w:r>
    </w:p>
  </w:endnote>
  <w:endnote w:type="continuationSeparator" w:id="0">
    <w:p w:rsidR="0039207B" w:rsidRDefault="0039207B" w:rsidP="0039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07B" w:rsidRDefault="0039207B" w:rsidP="0039207B">
      <w:r>
        <w:separator/>
      </w:r>
    </w:p>
  </w:footnote>
  <w:footnote w:type="continuationSeparator" w:id="0">
    <w:p w:rsidR="0039207B" w:rsidRDefault="0039207B" w:rsidP="0039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07B" w:rsidRPr="0039207B" w:rsidRDefault="0039207B" w:rsidP="0039207B">
    <w:pPr>
      <w:pStyle w:val="Nagwek"/>
      <w:jc w:val="center"/>
      <w:rPr>
        <w:rFonts w:ascii="Lato" w:hAnsi="Lato"/>
        <w:sz w:val="28"/>
        <w:szCs w:val="28"/>
      </w:rPr>
    </w:pPr>
    <w:r w:rsidRPr="0039207B">
      <w:rPr>
        <w:rFonts w:ascii="Lato" w:hAnsi="Lato"/>
        <w:sz w:val="28"/>
        <w:szCs w:val="28"/>
      </w:rPr>
      <w:t xml:space="preserve">Nabór otwarty nr </w:t>
    </w:r>
    <w:r w:rsidRPr="0039207B">
      <w:rPr>
        <w:rFonts w:ascii="Lato" w:hAnsi="Lato" w:cs="Calibri"/>
        <w:sz w:val="28"/>
        <w:szCs w:val="28"/>
        <w:u w:val="single"/>
      </w:rPr>
      <w:t>FBWP.03.01-IZ.00-00</w:t>
    </w:r>
    <w:r w:rsidRPr="0039207B">
      <w:rPr>
        <w:rFonts w:ascii="Lato" w:hAnsi="Lato" w:cs="Calibri"/>
        <w:color w:val="000000" w:themeColor="text1"/>
        <w:sz w:val="28"/>
        <w:szCs w:val="28"/>
        <w:u w:val="single"/>
      </w:rPr>
      <w:t>2</w:t>
    </w:r>
    <w:r w:rsidRPr="0039207B">
      <w:rPr>
        <w:rFonts w:ascii="Lato" w:hAnsi="Lato" w:cs="Calibri"/>
        <w:sz w:val="28"/>
        <w:szCs w:val="28"/>
        <w:u w:val="single"/>
      </w:rPr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1B"/>
    <w:rsid w:val="0007421B"/>
    <w:rsid w:val="000F61ED"/>
    <w:rsid w:val="0039207B"/>
    <w:rsid w:val="005D5581"/>
    <w:rsid w:val="006D6881"/>
    <w:rsid w:val="006E021A"/>
    <w:rsid w:val="009A2089"/>
    <w:rsid w:val="00B95350"/>
    <w:rsid w:val="00BE0D19"/>
    <w:rsid w:val="00BF00EE"/>
    <w:rsid w:val="00E1099B"/>
    <w:rsid w:val="00EC6046"/>
    <w:rsid w:val="00F36802"/>
    <w:rsid w:val="00F6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3D63"/>
  <w15:chartTrackingRefBased/>
  <w15:docId w15:val="{50255C7C-E1B5-46B3-92B3-9F4C9AB4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07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20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07B"/>
  </w:style>
  <w:style w:type="paragraph" w:styleId="Stopka">
    <w:name w:val="footer"/>
    <w:basedOn w:val="Normalny"/>
    <w:link w:val="StopkaZnak"/>
    <w:uiPriority w:val="99"/>
    <w:unhideWhenUsed/>
    <w:rsid w:val="003920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07B"/>
  </w:style>
  <w:style w:type="table" w:styleId="Tabela-Siatka">
    <w:name w:val="Table Grid"/>
    <w:basedOn w:val="Standardowy"/>
    <w:uiPriority w:val="39"/>
    <w:rsid w:val="00F3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Heleniak Julia</dc:creator>
  <cp:keywords/>
  <dc:description/>
  <cp:lastModifiedBy>Heleniak Julia</cp:lastModifiedBy>
  <cp:revision>7</cp:revision>
  <dcterms:created xsi:type="dcterms:W3CDTF">2026-04-02T10:30:00Z</dcterms:created>
  <dcterms:modified xsi:type="dcterms:W3CDTF">2026-05-11T11:08:00Z</dcterms:modified>
</cp:coreProperties>
</file>