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42E11" w:rsidRDefault="00066BD6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bookmarkStart w:id="1" w:name="Bookmark1"/>
      <w:r>
        <w:fldChar w:fldCharType="end"/>
      </w:r>
      <w:bookmarkEnd w:id="1"/>
      <w:r>
        <w:rPr>
          <w:sz w:val="24"/>
          <w:szCs w:val="24"/>
        </w:rPr>
        <w:t xml:space="preserve">Łódź, </w:t>
      </w:r>
      <w:bookmarkStart w:id="2" w:name="ezdDataPodpisu"/>
      <w:r>
        <w:rPr>
          <w:sz w:val="24"/>
          <w:szCs w:val="24"/>
        </w:rPr>
        <w:t>29 stycznia 2024</w:t>
      </w:r>
      <w:bookmarkEnd w:id="2"/>
      <w:r>
        <w:rPr>
          <w:sz w:val="24"/>
          <w:szCs w:val="24"/>
        </w:rPr>
        <w:t xml:space="preserve"> r.</w:t>
      </w:r>
    </w:p>
    <w:p w:rsidR="00442E11" w:rsidRDefault="00066BD6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ezdSprawaZnak"/>
      <w:r>
        <w:rPr>
          <w:sz w:val="24"/>
          <w:szCs w:val="24"/>
        </w:rPr>
        <w:t>ZD-I.9612.9.2023</w:t>
      </w:r>
      <w:bookmarkEnd w:id="3"/>
    </w:p>
    <w:p w:rsidR="00442E11" w:rsidRDefault="00066BD6">
      <w:pPr>
        <w:tabs>
          <w:tab w:val="center" w:pos="1418"/>
        </w:tabs>
        <w:rPr>
          <w:sz w:val="24"/>
          <w:szCs w:val="24"/>
        </w:rPr>
      </w:pPr>
    </w:p>
    <w:p w:rsidR="00442E11" w:rsidRDefault="00066BD6">
      <w:pPr>
        <w:snapToGrid w:val="0"/>
        <w:rPr>
          <w:sz w:val="24"/>
          <w:szCs w:val="24"/>
        </w:rPr>
      </w:pPr>
    </w:p>
    <w:p w:rsidR="00442E11" w:rsidRDefault="00066BD6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Pan </w:t>
      </w:r>
    </w:p>
    <w:p w:rsidR="00442E11" w:rsidRDefault="00066BD6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Oskar Gliwiński</w:t>
      </w:r>
    </w:p>
    <w:p w:rsidR="00442E11" w:rsidRDefault="00066BD6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Prezes Zarządu</w:t>
      </w:r>
    </w:p>
    <w:p w:rsidR="00442E11" w:rsidRDefault="00066BD6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ZAMÓW LEKARZA SPÓŁKA Z</w:t>
      </w:r>
      <w:r>
        <w:rPr>
          <w:rFonts w:ascii="Times New Roman" w:hAnsi="Times New Roman" w:cs="Times New Roman"/>
          <w:b/>
          <w:szCs w:val="24"/>
        </w:rPr>
        <w:t> </w:t>
      </w:r>
      <w:r>
        <w:rPr>
          <w:rFonts w:ascii="Times New Roman" w:hAnsi="Times New Roman" w:cs="Times New Roman"/>
          <w:b/>
          <w:szCs w:val="24"/>
        </w:rPr>
        <w:t xml:space="preserve">OGRANICZONĄ ODPOWIEDZIALNOŚCIĄ </w:t>
      </w:r>
    </w:p>
    <w:p w:rsidR="00442E11" w:rsidRDefault="00066BD6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442E11" w:rsidRDefault="00066BD6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442E11" w:rsidRDefault="00066BD6">
      <w:pPr>
        <w:snapToGrid w:val="0"/>
        <w:spacing w:line="360" w:lineRule="auto"/>
        <w:jc w:val="center"/>
        <w:rPr>
          <w:szCs w:val="24"/>
        </w:rPr>
      </w:pPr>
      <w:r>
        <w:rPr>
          <w:b/>
          <w:bCs/>
          <w:color w:val="000000"/>
          <w:sz w:val="24"/>
          <w:szCs w:val="24"/>
        </w:rPr>
        <w:t>ZALECENIA POKONTROLNE</w:t>
      </w:r>
    </w:p>
    <w:p w:rsidR="00442E11" w:rsidRDefault="00066BD6">
      <w:pPr>
        <w:spacing w:line="360" w:lineRule="auto"/>
        <w:jc w:val="center"/>
        <w:rPr>
          <w:szCs w:val="24"/>
        </w:rPr>
      </w:pPr>
    </w:p>
    <w:p w:rsidR="00442E11" w:rsidRDefault="00066BD6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Na podstawie art. 111 ust. 1 ustawy z dnia 15 kwietnia 2011 r. o działalności leczniczej </w:t>
      </w:r>
      <w:r>
        <w:rPr>
          <w:color w:val="000000"/>
          <w:sz w:val="24"/>
          <w:szCs w:val="24"/>
        </w:rPr>
        <w:t>(Dz. U. z 2023 poz. 991 ze zm.), zespół kontrolerów powołany przez Dyrektora Wydziału Zdrowia Łódzkiego Urzędu Wojewódzkiego w Łodzi, działającego z upoważnienia Wojewody Łódzkiego, przeprowadził w dniach od 21 listopada 2023 r. do 15 grudnia 2023 r. kontr</w:t>
      </w:r>
      <w:r>
        <w:rPr>
          <w:color w:val="000000"/>
          <w:sz w:val="24"/>
          <w:szCs w:val="24"/>
        </w:rPr>
        <w:t xml:space="preserve">olę działalności podmiotu leczniczego pn.: </w:t>
      </w:r>
      <w:r>
        <w:rPr>
          <w:b/>
          <w:bCs/>
          <w:color w:val="2B2C3A"/>
          <w:sz w:val="24"/>
          <w:szCs w:val="24"/>
        </w:rPr>
        <w:t xml:space="preserve">ZAMÓW LEKARZA SPÓŁKA Z OGRANICZONĄ ODPOWIEDZIALNOŚCIĄ </w:t>
      </w:r>
      <w:r>
        <w:rPr>
          <w:color w:val="000000"/>
          <w:sz w:val="24"/>
          <w:szCs w:val="24"/>
        </w:rPr>
        <w:t>prowadzący zakład leczniczy pn. ZAMÓW LEKARZA ŁÓDŹ  z siedzibą w Łodzi, ul. Prezydenta Gabriela Narutowicza 40 lok. 1.</w:t>
      </w:r>
    </w:p>
    <w:p w:rsidR="00442E11" w:rsidRDefault="00066BD6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Przedmiotem kontroli była zgodność wyko</w:t>
      </w:r>
      <w:r>
        <w:rPr>
          <w:color w:val="000000"/>
          <w:sz w:val="24"/>
          <w:szCs w:val="24"/>
        </w:rPr>
        <w:t xml:space="preserve">nywanej działalności podmiotu leczniczego z wybranymi przepisami ustawy z dnia 15 kwietnia 2011 r. o działalności leczniczej. </w:t>
      </w:r>
    </w:p>
    <w:p w:rsidR="00442E11" w:rsidRDefault="00066BD6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Okres objęty kontrolą od 1 sierpnia 2023 r. do 14 listopada 2023 r.</w:t>
      </w:r>
    </w:p>
    <w:p w:rsidR="00442E11" w:rsidRDefault="00066BD6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Wyniki kontroli zostały przedstawione w protokole kontroli, </w:t>
      </w:r>
      <w:r>
        <w:rPr>
          <w:color w:val="000000"/>
          <w:sz w:val="24"/>
          <w:szCs w:val="24"/>
        </w:rPr>
        <w:t>podpisanym 20.12.2023 r. przez zespół kontrolerów oraz 29.12.2023 r. przez Pana Mateusza Dałka – członka zarządu, a tym samym osobę uprawnioną do reprezentowania podmiotu podczas prowadzonej kontroli, zgodnie z zapisem w Krajowym Rejestrze Sądowym.</w:t>
      </w:r>
    </w:p>
    <w:p w:rsidR="00442E11" w:rsidRDefault="00066BD6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W term</w:t>
      </w:r>
      <w:r>
        <w:rPr>
          <w:color w:val="000000"/>
          <w:sz w:val="24"/>
          <w:szCs w:val="24"/>
        </w:rPr>
        <w:t xml:space="preserve">inie przewidzianym w art. 112 ust. 6 powołanej ustawy o działalności leczniczej Pan Mateusz Dałek nie wniósł zastrzeżeń, co do sposobu przeprowadzenia czynności kontrolnych oraz ustaleń zawartych w protokole kontroli. </w:t>
      </w:r>
    </w:p>
    <w:p w:rsidR="00442E11" w:rsidRDefault="00066BD6">
      <w:pPr>
        <w:tabs>
          <w:tab w:val="left" w:pos="792"/>
          <w:tab w:val="left" w:pos="912"/>
        </w:tabs>
        <w:spacing w:line="360" w:lineRule="auto"/>
        <w:ind w:firstLine="737"/>
        <w:jc w:val="both"/>
        <w:rPr>
          <w:szCs w:val="24"/>
        </w:rPr>
      </w:pPr>
      <w:r>
        <w:rPr>
          <w:color w:val="000000"/>
          <w:sz w:val="24"/>
          <w:szCs w:val="24"/>
        </w:rPr>
        <w:t>Na podstawie ustaleń zawartych w Prot</w:t>
      </w:r>
      <w:r>
        <w:rPr>
          <w:color w:val="000000"/>
          <w:sz w:val="24"/>
          <w:szCs w:val="24"/>
        </w:rPr>
        <w:t xml:space="preserve">okole kontroli stwierdzono, że działalność podmiotu leczniczego w zakresie przedmiotu kontroli jest </w:t>
      </w:r>
      <w:r>
        <w:rPr>
          <w:b/>
          <w:bCs/>
          <w:color w:val="000000"/>
          <w:sz w:val="24"/>
          <w:szCs w:val="24"/>
        </w:rPr>
        <w:t xml:space="preserve">legalna i celowa oraz nierzetelna </w:t>
      </w:r>
      <w:r>
        <w:rPr>
          <w:color w:val="000000"/>
          <w:sz w:val="24"/>
          <w:szCs w:val="24"/>
        </w:rPr>
        <w:t>z uwagi na stwierdzone:</w:t>
      </w:r>
    </w:p>
    <w:p w:rsidR="00442E11" w:rsidRDefault="00066BD6">
      <w:pPr>
        <w:spacing w:before="171" w:after="171" w:line="360" w:lineRule="auto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lastRenderedPageBreak/>
        <w:t>nieprawidłowości:</w:t>
      </w:r>
    </w:p>
    <w:p w:rsidR="00442E11" w:rsidRDefault="00066BD6">
      <w:pPr>
        <w:numPr>
          <w:ilvl w:val="0"/>
          <w:numId w:val="3"/>
        </w:numPr>
        <w:spacing w:before="171" w:after="171" w:line="360" w:lineRule="auto"/>
        <w:jc w:val="both"/>
      </w:pP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dane dotyczące struktury organizacyjnej zakładu leczniczego widniejące w księdze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 xml:space="preserve"> rejestrowej w kontrolowanym okresie nie były w pełni zgodne ze stanem faktycznym ustalonym w toku czynności kontrolnych,</w:t>
      </w:r>
    </w:p>
    <w:p w:rsidR="00442E11" w:rsidRDefault="00066BD6">
      <w:pPr>
        <w:numPr>
          <w:ilvl w:val="0"/>
          <w:numId w:val="3"/>
        </w:numPr>
        <w:spacing w:line="360" w:lineRule="auto"/>
        <w:jc w:val="both"/>
      </w:pPr>
      <w:r>
        <w:rPr>
          <w:rFonts w:eastAsia="Calibri"/>
          <w:bCs/>
          <w:color w:val="00000A"/>
          <w:kern w:val="0"/>
          <w:sz w:val="24"/>
          <w:szCs w:val="24"/>
          <w:lang w:eastAsia="en-US"/>
        </w:rPr>
        <w:t xml:space="preserve">prowadzenie działalności leczniczej w zakresie pielęgniarstwa rodzinnego bez uzyskania wpisu do rejestru podmiotów wykonujących </w:t>
      </w:r>
      <w:r>
        <w:rPr>
          <w:rFonts w:eastAsia="Calibri"/>
          <w:bCs/>
          <w:color w:val="00000A"/>
          <w:kern w:val="0"/>
          <w:sz w:val="24"/>
          <w:szCs w:val="24"/>
          <w:lang w:eastAsia="en-US"/>
        </w:rPr>
        <w:t>działalność leczniczą,</w:t>
      </w:r>
    </w:p>
    <w:p w:rsidR="00442E11" w:rsidRDefault="00066BD6">
      <w:pPr>
        <w:numPr>
          <w:ilvl w:val="0"/>
          <w:numId w:val="3"/>
        </w:numPr>
        <w:spacing w:line="360" w:lineRule="auto"/>
        <w:jc w:val="both"/>
      </w:pPr>
      <w:r>
        <w:rPr>
          <w:rFonts w:eastAsia="Tahoma"/>
          <w:color w:val="00000A"/>
          <w:kern w:val="0"/>
          <w:sz w:val="24"/>
          <w:szCs w:val="24"/>
          <w:shd w:val="clear" w:color="auto" w:fill="FFFFFF"/>
          <w:lang w:eastAsia="ar-SA" w:bidi="pl-PL"/>
        </w:rPr>
        <w:t>podmiot leczniczy</w:t>
      </w:r>
      <w:r>
        <w:rPr>
          <w:rFonts w:eastAsia="Calibri"/>
          <w:i/>
          <w:iCs/>
          <w:color w:val="00000A"/>
          <w:kern w:val="0"/>
          <w:sz w:val="24"/>
          <w:szCs w:val="24"/>
          <w:shd w:val="clear" w:color="auto" w:fill="FFFFFF"/>
          <w:lang w:eastAsia="ar-SA" w:bidi="pl-PL"/>
        </w:rPr>
        <w:t xml:space="preserve"> 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ar-SA" w:bidi="pl-PL"/>
        </w:rPr>
        <w:t xml:space="preserve">w przypadku 2 lekarzy nie dysponował dokumentami potwierdzającymi </w:t>
      </w:r>
      <w:r>
        <w:rPr>
          <w:rFonts w:eastAsia="Tahoma"/>
          <w:color w:val="00000A"/>
          <w:kern w:val="0"/>
          <w:sz w:val="24"/>
          <w:szCs w:val="24"/>
          <w:shd w:val="clear" w:color="auto" w:fill="FFFFFF"/>
          <w:lang w:eastAsia="ar-SA" w:bidi="pl-PL"/>
        </w:rPr>
        <w:t>brak istnienia przeciwwskazań zdrowotnych do pracy na zajmowanym stanowisku w okresie objętym kontrolą,</w:t>
      </w:r>
    </w:p>
    <w:p w:rsidR="00442E11" w:rsidRDefault="00066BD6">
      <w:pPr>
        <w:spacing w:line="360" w:lineRule="auto"/>
        <w:jc w:val="both"/>
      </w:pPr>
    </w:p>
    <w:p w:rsidR="00442E11" w:rsidRDefault="00066BD6">
      <w:pPr>
        <w:spacing w:before="114" w:after="114" w:line="360" w:lineRule="auto"/>
        <w:jc w:val="both"/>
      </w:pPr>
      <w:r>
        <w:rPr>
          <w:b/>
          <w:sz w:val="24"/>
          <w:szCs w:val="24"/>
          <w:shd w:val="clear" w:color="auto" w:fill="FFFFFF"/>
        </w:rPr>
        <w:t xml:space="preserve"> uchybienia:</w:t>
      </w:r>
    </w:p>
    <w:p w:rsidR="00442E11" w:rsidRDefault="00066BD6">
      <w:pPr>
        <w:numPr>
          <w:ilvl w:val="0"/>
          <w:numId w:val="4"/>
        </w:numPr>
        <w:spacing w:line="360" w:lineRule="auto"/>
        <w:ind w:left="666" w:firstLine="0"/>
        <w:jc w:val="both"/>
      </w:pPr>
      <w:r>
        <w:rPr>
          <w:rFonts w:eastAsia="Tahoma"/>
          <w:color w:val="000000"/>
          <w:kern w:val="0"/>
          <w:sz w:val="24"/>
          <w:szCs w:val="24"/>
          <w:shd w:val="clear" w:color="auto" w:fill="FFFFFF"/>
          <w:lang w:eastAsia="en-US" w:bidi="pl-PL"/>
        </w:rPr>
        <w:t>struktura organizacyjna zakładu</w:t>
      </w:r>
      <w:r>
        <w:rPr>
          <w:rFonts w:eastAsia="Tahoma"/>
          <w:color w:val="000000"/>
          <w:kern w:val="0"/>
          <w:sz w:val="24"/>
          <w:szCs w:val="24"/>
          <w:shd w:val="clear" w:color="auto" w:fill="FFFFFF"/>
          <w:lang w:eastAsia="en-US" w:bidi="pl-PL"/>
        </w:rPr>
        <w:t xml:space="preserve"> leczniczego opisana w Regulaminie organizacyjnym </w:t>
      </w:r>
      <w:r>
        <w:rPr>
          <w:rFonts w:eastAsia="Tahoma"/>
          <w:color w:val="00000A"/>
          <w:kern w:val="0"/>
          <w:sz w:val="24"/>
          <w:szCs w:val="24"/>
          <w:shd w:val="clear" w:color="auto" w:fill="FFFFFF"/>
          <w:lang w:eastAsia="ar-SA" w:bidi="pl-PL"/>
        </w:rPr>
        <w:t>w okresie objętym kontrolą</w:t>
      </w:r>
      <w:r>
        <w:rPr>
          <w:rFonts w:eastAsia="Tahoma"/>
          <w:color w:val="000000"/>
          <w:kern w:val="0"/>
          <w:sz w:val="24"/>
          <w:szCs w:val="24"/>
          <w:shd w:val="clear" w:color="auto" w:fill="FFFFFF"/>
          <w:lang w:eastAsia="en-US" w:bidi="pl-PL"/>
        </w:rPr>
        <w:t xml:space="preserve">  </w:t>
      </w:r>
      <w:r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en-US"/>
        </w:rPr>
        <w:t xml:space="preserve">niezgodna ze stanem faktycznym 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ustalonym w toku czynności kontrolnych.</w:t>
      </w:r>
    </w:p>
    <w:p w:rsidR="00442E11" w:rsidRDefault="00066BD6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Cs w:val="24"/>
        </w:rPr>
      </w:pPr>
    </w:p>
    <w:p w:rsidR="00442E11" w:rsidRDefault="00066BD6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Stwierdzone naruszenia mają charakter formalny i nie powodują następstw dla kontrolowanej działalności. </w:t>
      </w:r>
    </w:p>
    <w:p w:rsidR="00442E11" w:rsidRDefault="00066BD6">
      <w:pPr>
        <w:spacing w:line="360" w:lineRule="auto"/>
        <w:jc w:val="both"/>
        <w:rPr>
          <w:szCs w:val="24"/>
        </w:rPr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ab/>
        <w:t>W trakcie trwania kontroli, podmiot leczniczy podjął działania, skutkujące dokonaniem zmian w rejestrze podmiotów wykonujących działalność leczniczą, w zakresie danych dotyczących struktury organizacyjnej zakładu leczniczego, polegających na wpisaniu w ww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. rejestrze rozpoczęcia działalności komórki organizacyjnej udzielającej świadczeń leczniczych </w:t>
      </w:r>
      <w:r>
        <w:rPr>
          <w:rFonts w:eastAsia="Calibri"/>
          <w:bCs/>
          <w:color w:val="00000A"/>
          <w:kern w:val="0"/>
          <w:sz w:val="24"/>
          <w:szCs w:val="24"/>
          <w:lang w:eastAsia="en-US"/>
        </w:rPr>
        <w:t xml:space="preserve">w zakresie pielęgniarstwa rodzinnego dostosowując tym samym dane księgi rejestrowej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zgodnie ze stanem faktycznym (nr zaświadczenia Z-250153-20231204).</w:t>
      </w:r>
    </w:p>
    <w:p w:rsidR="00442E11" w:rsidRDefault="00066BD6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W związku</w:t>
      </w:r>
      <w:r>
        <w:rPr>
          <w:color w:val="000000"/>
          <w:sz w:val="24"/>
          <w:szCs w:val="24"/>
        </w:rPr>
        <w:t xml:space="preserve"> z przedstawionymi ustaleniami kontroli, zgodność wykonywanej działalności podmiotu leczniczego z wybranymi przepisami ustawy z dnia 15 kwietnia 2011 r. o działalności leczniczej oceniono </w:t>
      </w:r>
      <w:r>
        <w:rPr>
          <w:b/>
          <w:color w:val="000000"/>
          <w:sz w:val="24"/>
          <w:szCs w:val="24"/>
        </w:rPr>
        <w:t>pozytywnie z nieprawidłowościami.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ab/>
      </w:r>
    </w:p>
    <w:p w:rsidR="00FF405B" w:rsidRDefault="00066BD6">
      <w:pPr>
        <w:spacing w:before="171" w:after="171" w:line="360" w:lineRule="auto"/>
        <w:jc w:val="both"/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</w:pPr>
    </w:p>
    <w:p w:rsidR="00FF405B" w:rsidRDefault="00066BD6">
      <w:pPr>
        <w:spacing w:before="171" w:after="171" w:line="360" w:lineRule="auto"/>
        <w:jc w:val="both"/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</w:pPr>
    </w:p>
    <w:p w:rsidR="00FF405B" w:rsidRDefault="00066BD6">
      <w:pPr>
        <w:spacing w:before="171" w:after="171" w:line="360" w:lineRule="auto"/>
        <w:jc w:val="both"/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</w:pPr>
    </w:p>
    <w:p w:rsidR="00442E11" w:rsidRDefault="00066BD6">
      <w:pPr>
        <w:spacing w:before="171" w:after="171" w:line="360" w:lineRule="auto"/>
        <w:jc w:val="both"/>
        <w:rPr>
          <w:szCs w:val="24"/>
        </w:rPr>
      </w:pPr>
      <w:r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  <w:t>Mając na względzie stwierdzone</w:t>
      </w:r>
      <w:r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  <w:t xml:space="preserve"> nieprawidłowości oraz uchybienie, na podstawie art. 112 ust. 7 pkt 2 wyżej wspomnianej ustawy zalecam:</w:t>
      </w:r>
    </w:p>
    <w:p w:rsidR="00442E11" w:rsidRDefault="00066BD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lastRenderedPageBreak/>
        <w:t>terminowe zgłaszanie organowi prowadzącemu rejestr wszelkich zmian danych objętych rejestrem (zgodnie z art. 107 ust. 1 ustawy o działalności leczniczej</w:t>
      </w:r>
      <w:r>
        <w:rPr>
          <w:color w:val="000000"/>
          <w:sz w:val="24"/>
          <w:szCs w:val="24"/>
        </w:rPr>
        <w:t xml:space="preserve">). </w:t>
      </w:r>
    </w:p>
    <w:p w:rsidR="00442E11" w:rsidRDefault="00066BD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opracowanie nowego regulaminu organizacyjnego dla podmiotu leczniczego pn. pn.: </w:t>
      </w:r>
      <w:r>
        <w:rPr>
          <w:b/>
          <w:bCs/>
          <w:color w:val="2B2C3A"/>
          <w:sz w:val="24"/>
          <w:szCs w:val="24"/>
        </w:rPr>
        <w:t>ZAMÓW LEKARZA SPÓŁKA Z OGRANICZONĄ ODPOWIEDZIALNOŚCIĄ</w:t>
      </w:r>
      <w:r>
        <w:rPr>
          <w:color w:val="000000"/>
          <w:sz w:val="24"/>
          <w:szCs w:val="24"/>
        </w:rPr>
        <w:t xml:space="preserve"> zgodnie z art. 24 ust. 1 pkt 3 ww. ustawy oraz ze stanem faktycznym.</w:t>
      </w:r>
    </w:p>
    <w:p w:rsidR="00442E11" w:rsidRDefault="00066BD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weryfikację </w:t>
      </w:r>
      <w:r>
        <w:rPr>
          <w:color w:val="000000"/>
          <w:sz w:val="24"/>
          <w:szCs w:val="24"/>
        </w:rPr>
        <w:t xml:space="preserve">dokumentacji personelu medycznego pod kątem zaświadczeń 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ar-SA" w:bidi="pl-PL"/>
        </w:rPr>
        <w:t xml:space="preserve">potwierdzających </w:t>
      </w:r>
      <w:r>
        <w:rPr>
          <w:rFonts w:eastAsia="Tahoma"/>
          <w:color w:val="00000A"/>
          <w:kern w:val="0"/>
          <w:sz w:val="24"/>
          <w:szCs w:val="24"/>
          <w:shd w:val="clear" w:color="auto" w:fill="FFFFFF"/>
          <w:lang w:eastAsia="ar-SA" w:bidi="pl-PL"/>
        </w:rPr>
        <w:t>brak istnienia przeciwwskazań zdrowotnych do pracy na zajmowanym stanowisku bez względu na formę zatrudnienia</w:t>
      </w:r>
      <w:r>
        <w:rPr>
          <w:color w:val="000000"/>
          <w:sz w:val="24"/>
          <w:szCs w:val="24"/>
        </w:rPr>
        <w:t xml:space="preserve"> (zgodnie z art. 17 ust. 1 pkt 3 ustawy o działalności leczniczej). </w:t>
      </w:r>
    </w:p>
    <w:p w:rsidR="00442E11" w:rsidRDefault="00066BD6">
      <w:pPr>
        <w:spacing w:line="360" w:lineRule="auto"/>
        <w:jc w:val="both"/>
        <w:rPr>
          <w:b/>
        </w:rPr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ab/>
        <w:t>Stos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ownie do art. 112 ust. 7 pkt. 2 ustawy o działalności leczniczej, oczekuję przedstawienia pisemnej informacji o sposobie wykonania powyższych zaleceń</w:t>
      </w:r>
      <w:r>
        <w:rPr>
          <w:rFonts w:eastAsia="Calibri"/>
          <w:color w:val="C00000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b/>
          <w:color w:val="000000"/>
          <w:kern w:val="0"/>
          <w:sz w:val="24"/>
          <w:szCs w:val="24"/>
          <w:lang w:eastAsia="en-US"/>
        </w:rPr>
        <w:t>w terminie 30 dni od</w:t>
      </w:r>
      <w:r>
        <w:rPr>
          <w:rFonts w:eastAsia="Calibri"/>
          <w:b/>
          <w:color w:val="C00000"/>
          <w:kern w:val="0"/>
          <w:sz w:val="24"/>
          <w:szCs w:val="24"/>
          <w:lang w:eastAsia="en-US"/>
        </w:rPr>
        <w:t> </w:t>
      </w:r>
      <w:r>
        <w:rPr>
          <w:rFonts w:eastAsia="Calibri"/>
          <w:b/>
          <w:color w:val="000000"/>
          <w:kern w:val="0"/>
          <w:sz w:val="24"/>
          <w:szCs w:val="24"/>
          <w:lang w:eastAsia="en-US"/>
        </w:rPr>
        <w:t>ich otrzymania.</w:t>
      </w:r>
    </w:p>
    <w:p w:rsidR="00442E11" w:rsidRDefault="00066BD6">
      <w:pPr>
        <w:spacing w:line="360" w:lineRule="auto"/>
        <w:jc w:val="both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ab/>
        <w:t>Jednocześnie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 informuję, że powyższe zalecenia należy realizować od momentu  otrzymania niniejszego pisma na bieżąco. </w:t>
      </w:r>
    </w:p>
    <w:p w:rsidR="00442E11" w:rsidRDefault="00066BD6">
      <w:pPr>
        <w:spacing w:line="360" w:lineRule="auto"/>
        <w:ind w:left="-15" w:firstLine="720"/>
        <w:jc w:val="both"/>
        <w:rPr>
          <w:color w:val="000000"/>
          <w:sz w:val="24"/>
          <w:szCs w:val="24"/>
        </w:rPr>
      </w:pPr>
    </w:p>
    <w:p w:rsidR="00442E11" w:rsidRDefault="00066BD6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  <w:r>
        <w:rPr>
          <w:i/>
          <w:color w:val="000000"/>
          <w:sz w:val="24"/>
          <w:szCs w:val="24"/>
        </w:rPr>
        <w:t>Z poważaniem</w:t>
      </w:r>
    </w:p>
    <w:p w:rsidR="00442E11" w:rsidRDefault="00066BD6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442E11" w:rsidRDefault="00066BD6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4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Kamil Wojtysiak</w:t>
      </w:r>
      <w:bookmarkEnd w:id="4"/>
    </w:p>
    <w:p w:rsidR="00442E11" w:rsidRDefault="00066BD6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bookmarkStart w:id="5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Zastępca Dyrektora Wydziału</w:t>
      </w:r>
      <w:bookmarkEnd w:id="5"/>
      <w:r>
        <w:rPr>
          <w:b/>
          <w:bCs/>
          <w:iCs/>
          <w:color w:val="000000"/>
          <w:sz w:val="24"/>
          <w:szCs w:val="24"/>
          <w:lang w:eastAsia="pl-PL"/>
        </w:rPr>
        <w:t xml:space="preserve"> Zdrowia</w:t>
      </w:r>
    </w:p>
    <w:p w:rsidR="00442E11" w:rsidRDefault="00066BD6">
      <w:pPr>
        <w:tabs>
          <w:tab w:val="center" w:pos="6345"/>
        </w:tabs>
        <w:snapToGrid w:val="0"/>
        <w:ind w:left="4965"/>
        <w:jc w:val="center"/>
      </w:pPr>
      <w:bookmarkStart w:id="6" w:name="ezdPracownikWydzialAtrybut3"/>
      <w:r>
        <w:t>(podpisano elektronicznie)</w:t>
      </w:r>
      <w:bookmarkEnd w:id="6"/>
    </w:p>
    <w:sectPr w:rsidR="00442E1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BD6" w:rsidRDefault="00066BD6">
      <w:r>
        <w:separator/>
      </w:r>
    </w:p>
  </w:endnote>
  <w:endnote w:type="continuationSeparator" w:id="0">
    <w:p w:rsidR="00066BD6" w:rsidRDefault="0006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11" w:rsidRDefault="00066BD6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11" w:rsidRDefault="00066BD6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442E11" w:rsidRDefault="00066BD6">
    <w:pPr>
      <w:pStyle w:val="Stopka1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442E11" w:rsidRDefault="00066BD6">
    <w:pPr>
      <w:pStyle w:val="Stopka1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442E11" w:rsidRDefault="00066BD6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</w:t>
    </w:r>
    <w:r>
      <w:rPr>
        <w:sz w:val="14"/>
      </w:rPr>
      <w:t xml:space="preserve">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BD6" w:rsidRDefault="00066BD6">
      <w:r>
        <w:separator/>
      </w:r>
    </w:p>
  </w:footnote>
  <w:footnote w:type="continuationSeparator" w:id="0">
    <w:p w:rsidR="00066BD6" w:rsidRDefault="00066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11" w:rsidRDefault="00066BD6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11" w:rsidRDefault="00066BD6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A44"/>
    <w:multiLevelType w:val="multilevel"/>
    <w:tmpl w:val="05FAA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5D2302"/>
    <w:multiLevelType w:val="multilevel"/>
    <w:tmpl w:val="9BBE64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0513E67"/>
    <w:multiLevelType w:val="multilevel"/>
    <w:tmpl w:val="6F5469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695775C"/>
    <w:multiLevelType w:val="multilevel"/>
    <w:tmpl w:val="C55854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A937D01"/>
    <w:multiLevelType w:val="multilevel"/>
    <w:tmpl w:val="BA1C5C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88"/>
    <w:rsid w:val="00066BD6"/>
    <w:rsid w:val="0096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5900A-452C-44CE-B303-6A30C978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WWCharLFO23LVL1">
    <w:name w:val="WW_CharLFO23LVL1"/>
    <w:qFormat/>
    <w:rPr>
      <w:rFonts w:ascii="OpenSymbol" w:eastAsia="OpenSymbol" w:hAnsi="OpenSymbol" w:cs="OpenSymbol"/>
    </w:rPr>
  </w:style>
  <w:style w:type="character" w:customStyle="1" w:styleId="WWCharLFO23LVL2">
    <w:name w:val="WW_CharLFO23LVL2"/>
    <w:qFormat/>
    <w:rPr>
      <w:rFonts w:ascii="OpenSymbol" w:eastAsia="OpenSymbol" w:hAnsi="OpenSymbol" w:cs="OpenSymbol"/>
    </w:rPr>
  </w:style>
  <w:style w:type="character" w:customStyle="1" w:styleId="WWCharLFO23LVL3">
    <w:name w:val="WW_CharLFO23LVL3"/>
    <w:qFormat/>
    <w:rPr>
      <w:rFonts w:ascii="OpenSymbol" w:eastAsia="OpenSymbol" w:hAnsi="OpenSymbol" w:cs="OpenSymbol"/>
    </w:rPr>
  </w:style>
  <w:style w:type="character" w:customStyle="1" w:styleId="WWCharLFO23LVL4">
    <w:name w:val="WW_CharLFO23LVL4"/>
    <w:qFormat/>
    <w:rPr>
      <w:rFonts w:ascii="OpenSymbol" w:eastAsia="OpenSymbol" w:hAnsi="OpenSymbol" w:cs="OpenSymbol"/>
    </w:rPr>
  </w:style>
  <w:style w:type="character" w:customStyle="1" w:styleId="WWCharLFO23LVL5">
    <w:name w:val="WW_CharLFO23LVL5"/>
    <w:qFormat/>
    <w:rPr>
      <w:rFonts w:ascii="OpenSymbol" w:eastAsia="OpenSymbol" w:hAnsi="OpenSymbol" w:cs="OpenSymbol"/>
    </w:rPr>
  </w:style>
  <w:style w:type="character" w:customStyle="1" w:styleId="WWCharLFO23LVL6">
    <w:name w:val="WW_CharLFO23LVL6"/>
    <w:qFormat/>
    <w:rPr>
      <w:rFonts w:ascii="OpenSymbol" w:eastAsia="OpenSymbol" w:hAnsi="OpenSymbol" w:cs="OpenSymbol"/>
    </w:rPr>
  </w:style>
  <w:style w:type="character" w:customStyle="1" w:styleId="WWCharLFO23LVL7">
    <w:name w:val="WW_CharLFO23LVL7"/>
    <w:qFormat/>
    <w:rPr>
      <w:rFonts w:ascii="OpenSymbol" w:eastAsia="OpenSymbol" w:hAnsi="OpenSymbol" w:cs="OpenSymbol"/>
    </w:rPr>
  </w:style>
  <w:style w:type="character" w:customStyle="1" w:styleId="WWCharLFO23LVL8">
    <w:name w:val="WW_CharLFO23LVL8"/>
    <w:qFormat/>
    <w:rPr>
      <w:rFonts w:ascii="OpenSymbol" w:eastAsia="OpenSymbol" w:hAnsi="OpenSymbol" w:cs="OpenSymbol"/>
    </w:rPr>
  </w:style>
  <w:style w:type="character" w:customStyle="1" w:styleId="WWCharLFO23LVL9">
    <w:name w:val="WW_CharLFO23LVL9"/>
    <w:qFormat/>
    <w:rPr>
      <w:rFonts w:ascii="OpenSymbol" w:eastAsia="OpenSymbol" w:hAnsi="OpenSymbol" w:cs="OpenSymbol"/>
    </w:rPr>
  </w:style>
  <w:style w:type="character" w:customStyle="1" w:styleId="WWCharLFO24LVL1">
    <w:name w:val="WW_CharLFO24LVL1"/>
    <w:qFormat/>
    <w:rPr>
      <w:rFonts w:ascii="OpenSymbol" w:eastAsia="OpenSymbol" w:hAnsi="OpenSymbol" w:cs="OpenSymbol"/>
    </w:rPr>
  </w:style>
  <w:style w:type="character" w:customStyle="1" w:styleId="WWCharLFO24LVL2">
    <w:name w:val="WW_CharLFO24LVL2"/>
    <w:qFormat/>
    <w:rPr>
      <w:rFonts w:ascii="OpenSymbol" w:eastAsia="OpenSymbol" w:hAnsi="OpenSymbol" w:cs="OpenSymbol"/>
    </w:rPr>
  </w:style>
  <w:style w:type="character" w:customStyle="1" w:styleId="WWCharLFO24LVL3">
    <w:name w:val="WW_CharLFO24LVL3"/>
    <w:qFormat/>
    <w:rPr>
      <w:rFonts w:ascii="OpenSymbol" w:eastAsia="OpenSymbol" w:hAnsi="OpenSymbol" w:cs="OpenSymbol"/>
    </w:rPr>
  </w:style>
  <w:style w:type="character" w:customStyle="1" w:styleId="WWCharLFO24LVL4">
    <w:name w:val="WW_CharLFO24LVL4"/>
    <w:qFormat/>
    <w:rPr>
      <w:rFonts w:ascii="OpenSymbol" w:eastAsia="OpenSymbol" w:hAnsi="OpenSymbol" w:cs="OpenSymbol"/>
    </w:rPr>
  </w:style>
  <w:style w:type="character" w:customStyle="1" w:styleId="WWCharLFO24LVL5">
    <w:name w:val="WW_CharLFO24LVL5"/>
    <w:qFormat/>
    <w:rPr>
      <w:rFonts w:ascii="OpenSymbol" w:eastAsia="OpenSymbol" w:hAnsi="OpenSymbol" w:cs="OpenSymbol"/>
    </w:rPr>
  </w:style>
  <w:style w:type="character" w:customStyle="1" w:styleId="WWCharLFO24LVL6">
    <w:name w:val="WW_CharLFO24LVL6"/>
    <w:qFormat/>
    <w:rPr>
      <w:rFonts w:ascii="OpenSymbol" w:eastAsia="OpenSymbol" w:hAnsi="OpenSymbol" w:cs="OpenSymbol"/>
    </w:rPr>
  </w:style>
  <w:style w:type="character" w:customStyle="1" w:styleId="WWCharLFO24LVL7">
    <w:name w:val="WW_CharLFO24LVL7"/>
    <w:qFormat/>
    <w:rPr>
      <w:rFonts w:ascii="OpenSymbol" w:eastAsia="OpenSymbol" w:hAnsi="OpenSymbol" w:cs="OpenSymbol"/>
    </w:rPr>
  </w:style>
  <w:style w:type="character" w:customStyle="1" w:styleId="WWCharLFO24LVL8">
    <w:name w:val="WW_CharLFO24LVL8"/>
    <w:qFormat/>
    <w:rPr>
      <w:rFonts w:ascii="OpenSymbol" w:eastAsia="OpenSymbol" w:hAnsi="OpenSymbol" w:cs="OpenSymbol"/>
    </w:rPr>
  </w:style>
  <w:style w:type="character" w:customStyle="1" w:styleId="WWCharLFO24LVL9">
    <w:name w:val="WW_CharLFO24LVL9"/>
    <w:qFormat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pacing w:after="160"/>
      <w:ind w:left="720"/>
      <w:textAlignment w:val="baseline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lodzki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1899-12-31T23:00:00Z</cp:lastPrinted>
  <dcterms:created xsi:type="dcterms:W3CDTF">2024-03-28T12:40:00Z</dcterms:created>
  <dcterms:modified xsi:type="dcterms:W3CDTF">2024-03-28T12:40:00Z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