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5A34" w14:textId="281F2285" w:rsidR="00571CD6" w:rsidRPr="002B35D9" w:rsidRDefault="00346A9C" w:rsidP="00100861">
      <w:pPr>
        <w:jc w:val="both"/>
        <w:rPr>
          <w:sz w:val="22"/>
          <w:szCs w:val="22"/>
        </w:rPr>
      </w:pPr>
      <w:r w:rsidRPr="002B35D9">
        <w:rPr>
          <w:sz w:val="22"/>
          <w:szCs w:val="22"/>
        </w:rPr>
        <w:t>Załącznik</w:t>
      </w:r>
      <w:r w:rsidR="00DA65B7">
        <w:rPr>
          <w:sz w:val="22"/>
          <w:szCs w:val="22"/>
        </w:rPr>
        <w:t xml:space="preserve"> </w:t>
      </w:r>
      <w:r w:rsidRPr="002B35D9">
        <w:rPr>
          <w:sz w:val="22"/>
          <w:szCs w:val="22"/>
        </w:rPr>
        <w:t>B.6.</w:t>
      </w:r>
    </w:p>
    <w:p w14:paraId="43075B73" w14:textId="77777777" w:rsidR="00F92886" w:rsidRPr="00DA65B7" w:rsidRDefault="00F92886" w:rsidP="00100861">
      <w:pPr>
        <w:jc w:val="both"/>
        <w:rPr>
          <w:sz w:val="22"/>
          <w:szCs w:val="22"/>
        </w:rPr>
      </w:pPr>
    </w:p>
    <w:p w14:paraId="0C4C2D76" w14:textId="5307E02D" w:rsidR="00AC597A" w:rsidRPr="002B35D9" w:rsidRDefault="00EE4BBD" w:rsidP="00100861">
      <w:pPr>
        <w:spacing w:after="240"/>
        <w:jc w:val="both"/>
        <w:rPr>
          <w:b/>
          <w:sz w:val="28"/>
          <w:szCs w:val="28"/>
        </w:rPr>
      </w:pPr>
      <w:r w:rsidRPr="002B35D9">
        <w:rPr>
          <w:b/>
          <w:sz w:val="28"/>
          <w:szCs w:val="28"/>
        </w:rPr>
        <w:t>LECZENIE</w:t>
      </w:r>
      <w:r w:rsidR="00DA65B7">
        <w:rPr>
          <w:b/>
          <w:sz w:val="28"/>
          <w:szCs w:val="28"/>
        </w:rPr>
        <w:t xml:space="preserve"> </w:t>
      </w:r>
      <w:r w:rsidRPr="002B35D9">
        <w:rPr>
          <w:b/>
          <w:sz w:val="28"/>
          <w:szCs w:val="28"/>
        </w:rPr>
        <w:t>NIEDROBNOKOM</w:t>
      </w:r>
      <w:r w:rsidR="00955CE8">
        <w:rPr>
          <w:b/>
          <w:sz w:val="28"/>
          <w:szCs w:val="28"/>
        </w:rPr>
        <w:t>ÓRKOWEGO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RAKA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PŁUCA</w:t>
      </w:r>
      <w:r w:rsidR="00DA65B7">
        <w:rPr>
          <w:b/>
          <w:sz w:val="28"/>
          <w:szCs w:val="28"/>
        </w:rPr>
        <w:t xml:space="preserve"> </w:t>
      </w:r>
      <w:r w:rsidR="00955CE8">
        <w:rPr>
          <w:b/>
          <w:sz w:val="28"/>
          <w:szCs w:val="28"/>
        </w:rPr>
        <w:t>(ICD-10</w:t>
      </w:r>
      <w:r w:rsidR="00DA65B7">
        <w:rPr>
          <w:b/>
          <w:sz w:val="28"/>
          <w:szCs w:val="28"/>
        </w:rPr>
        <w:t xml:space="preserve"> </w:t>
      </w:r>
      <w:r w:rsidR="00F92886" w:rsidRPr="002B35D9">
        <w:rPr>
          <w:b/>
          <w:sz w:val="28"/>
          <w:szCs w:val="28"/>
        </w:rPr>
        <w:t>C</w:t>
      </w:r>
      <w:r w:rsidR="00DA65B7">
        <w:rPr>
          <w:b/>
          <w:sz w:val="28"/>
          <w:szCs w:val="28"/>
        </w:rPr>
        <w:t xml:space="preserve"> </w:t>
      </w:r>
      <w:r w:rsidRPr="002B35D9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5"/>
        <w:gridCol w:w="3404"/>
        <w:gridCol w:w="4619"/>
      </w:tblGrid>
      <w:tr w:rsidR="00E3113B" w:rsidRPr="00DA65B7" w14:paraId="70FCC206" w14:textId="77777777" w:rsidTr="00996CE7">
        <w:trPr>
          <w:trHeight w:val="567"/>
        </w:trPr>
        <w:tc>
          <w:tcPr>
            <w:tcW w:w="5000" w:type="pct"/>
            <w:gridSpan w:val="3"/>
            <w:vAlign w:val="center"/>
          </w:tcPr>
          <w:p w14:paraId="6178C3CF" w14:textId="55223480" w:rsidR="001D7CB9" w:rsidRPr="00DA65B7" w:rsidRDefault="001D7CB9" w:rsidP="005E3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ZAKRES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ŚWIADCZENIA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E3113B" w:rsidRPr="00DA65B7" w14:paraId="433661AF" w14:textId="77777777" w:rsidTr="005E36DB">
        <w:trPr>
          <w:trHeight w:val="567"/>
        </w:trPr>
        <w:tc>
          <w:tcPr>
            <w:tcW w:w="2393" w:type="pct"/>
            <w:vAlign w:val="center"/>
          </w:tcPr>
          <w:p w14:paraId="2BAC5A9D" w14:textId="77777777" w:rsidR="001D7CB9" w:rsidRPr="00DA65B7" w:rsidRDefault="001D7CB9" w:rsidP="005E3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06" w:type="pct"/>
            <w:vAlign w:val="center"/>
          </w:tcPr>
          <w:p w14:paraId="0E1D0B62" w14:textId="275A798D" w:rsidR="001D7CB9" w:rsidRPr="00DA65B7" w:rsidRDefault="001D7CB9" w:rsidP="005E3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SCHEMAT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DAWKOWANIA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LEKÓW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501" w:type="pct"/>
            <w:vAlign w:val="center"/>
          </w:tcPr>
          <w:p w14:paraId="0B4A79FC" w14:textId="3846BE3F" w:rsidR="001D7CB9" w:rsidRPr="00DA65B7" w:rsidRDefault="001D7CB9" w:rsidP="005E3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BADANIA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DIAGNOSTYCZNE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WYKONYWANE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RAMACH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1D7CB9" w:rsidRPr="00DA65B7" w14:paraId="1C0840FC" w14:textId="77777777" w:rsidTr="005E36DB">
        <w:trPr>
          <w:trHeight w:val="20"/>
        </w:trPr>
        <w:tc>
          <w:tcPr>
            <w:tcW w:w="2393" w:type="pct"/>
          </w:tcPr>
          <w:p w14:paraId="184E45B4" w14:textId="3794EE4B" w:rsidR="00E24212" w:rsidRPr="00DA65B7" w:rsidRDefault="001D7CB9" w:rsidP="00DA65B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Kryteria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kwalifik</w:t>
            </w:r>
            <w:r w:rsidR="005C357B" w:rsidRPr="00DA65B7">
              <w:rPr>
                <w:b/>
                <w:bCs/>
                <w:sz w:val="20"/>
                <w:szCs w:val="20"/>
              </w:rPr>
              <w:t>owania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chorych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na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niedrobnokomórkowego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raka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płuca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do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pierwszej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linii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(chorzy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wcześniej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DA65B7">
              <w:rPr>
                <w:b/>
                <w:bCs/>
                <w:sz w:val="20"/>
                <w:szCs w:val="20"/>
              </w:rPr>
              <w:t>poddawani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DA65B7">
              <w:rPr>
                <w:b/>
                <w:bCs/>
                <w:sz w:val="20"/>
                <w:szCs w:val="20"/>
              </w:rPr>
              <w:t>systemowemu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103F7" w:rsidRPr="00DA65B7">
              <w:rPr>
                <w:b/>
                <w:bCs/>
                <w:sz w:val="20"/>
                <w:szCs w:val="20"/>
              </w:rPr>
              <w:t>leczeniu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powodu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35188" w:rsidRPr="00DA65B7">
              <w:rPr>
                <w:b/>
                <w:bCs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nowotworu)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zastosowaniem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erlotynibu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gefitynibu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afatynibu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(mutacja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genie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EGFR)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albo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drugiej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linii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(chorzy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niepowodzeniem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wcześniejszej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chemioterapii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wielolekowej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udziałem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pochodnych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platyny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mon</w:t>
            </w:r>
            <w:r w:rsidR="00DF4C2D" w:rsidRPr="00DA65B7">
              <w:rPr>
                <w:b/>
                <w:bCs/>
                <w:sz w:val="20"/>
                <w:szCs w:val="20"/>
              </w:rPr>
              <w:t>o</w:t>
            </w:r>
            <w:r w:rsidR="00404CED" w:rsidRPr="00DA65B7">
              <w:rPr>
                <w:b/>
                <w:bCs/>
                <w:sz w:val="20"/>
                <w:szCs w:val="20"/>
              </w:rPr>
              <w:t>terapii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404CED" w:rsidRPr="00DA65B7">
              <w:rPr>
                <w:b/>
                <w:bCs/>
                <w:sz w:val="20"/>
                <w:szCs w:val="20"/>
              </w:rPr>
              <w:t>stosowanej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042072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35188" w:rsidRPr="00DA65B7">
              <w:rPr>
                <w:b/>
                <w:bCs/>
                <w:sz w:val="20"/>
                <w:szCs w:val="20"/>
              </w:rPr>
              <w:t>powodu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35188" w:rsidRPr="00DA65B7">
              <w:rPr>
                <w:b/>
                <w:bCs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35188" w:rsidRPr="00DA65B7">
              <w:rPr>
                <w:b/>
                <w:bCs/>
                <w:sz w:val="20"/>
                <w:szCs w:val="20"/>
              </w:rPr>
              <w:t>nowotworu)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DA65B7">
              <w:rPr>
                <w:b/>
                <w:bCs/>
                <w:sz w:val="20"/>
                <w:szCs w:val="20"/>
              </w:rPr>
              <w:t>zastosowaniem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erlotynib</w:t>
            </w:r>
            <w:r w:rsidR="005F6B9C" w:rsidRPr="00DA65B7">
              <w:rPr>
                <w:b/>
                <w:bCs/>
                <w:sz w:val="20"/>
                <w:szCs w:val="20"/>
              </w:rPr>
              <w:t>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DA65B7">
              <w:rPr>
                <w:b/>
                <w:bCs/>
                <w:sz w:val="20"/>
                <w:szCs w:val="20"/>
              </w:rPr>
              <w:t>gefitynib</w:t>
            </w:r>
            <w:r w:rsidR="005F6B9C" w:rsidRPr="00DA65B7">
              <w:rPr>
                <w:b/>
                <w:bCs/>
                <w:sz w:val="20"/>
                <w:szCs w:val="20"/>
              </w:rPr>
              <w:t>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(mutacja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genie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EGFR)</w:t>
            </w:r>
          </w:p>
          <w:p w14:paraId="0DD4B6AD" w14:textId="35E674B1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84433C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histologiczne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cytologiczne</w:t>
            </w:r>
            <w:r w:rsidR="00C35188" w:rsidRPr="00DA65B7">
              <w:rPr>
                <w:sz w:val="20"/>
                <w:szCs w:val="20"/>
              </w:rPr>
              <w:t>:</w:t>
            </w:r>
          </w:p>
          <w:p w14:paraId="3470CBBD" w14:textId="1E7D939B" w:rsidR="00C35188" w:rsidRPr="00DA65B7" w:rsidRDefault="0084433C" w:rsidP="00DA65B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gruczołowego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wielkokomórkowego</w:t>
            </w:r>
            <w:r w:rsidR="006C67C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6C67CC" w:rsidRPr="00DA65B7">
              <w:rPr>
                <w:sz w:val="20"/>
                <w:szCs w:val="20"/>
              </w:rPr>
              <w:t>lub</w:t>
            </w:r>
          </w:p>
          <w:p w14:paraId="6644D0AC" w14:textId="6CB6546C" w:rsidR="006C67CC" w:rsidRPr="00DA65B7" w:rsidRDefault="0084433C" w:rsidP="00DA65B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przewagą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gruczołowego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wielkokomórkowego</w:t>
            </w:r>
            <w:r w:rsidR="006C67C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6C67CC" w:rsidRPr="00DA65B7">
              <w:rPr>
                <w:sz w:val="20"/>
                <w:szCs w:val="20"/>
              </w:rPr>
              <w:t>lub</w:t>
            </w:r>
          </w:p>
          <w:p w14:paraId="79064D78" w14:textId="0ED6FDE6" w:rsidR="00C35188" w:rsidRPr="00DA65B7" w:rsidRDefault="0084433C" w:rsidP="00DA65B7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ustalonego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podtypu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(ang.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otherwise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specified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NOS);</w:t>
            </w:r>
          </w:p>
          <w:p w14:paraId="01D6DF85" w14:textId="7C031437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84433C" w:rsidRPr="00DA65B7">
              <w:rPr>
                <w:sz w:val="20"/>
                <w:szCs w:val="20"/>
              </w:rPr>
              <w:t>becnoś</w:t>
            </w:r>
            <w:r w:rsidR="00C35188" w:rsidRPr="00DA65B7">
              <w:rPr>
                <w:sz w:val="20"/>
                <w:szCs w:val="20"/>
              </w:rPr>
              <w:t>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mutacji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aktywującej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kodującym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receptor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naskórkowego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czynnika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wzrostu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(a</w:t>
            </w:r>
            <w:r w:rsidR="00DB00A5" w:rsidRPr="00DA65B7">
              <w:rPr>
                <w:sz w:val="20"/>
                <w:szCs w:val="20"/>
              </w:rPr>
              <w:t>n</w:t>
            </w:r>
            <w:r w:rsidR="0084433C" w:rsidRPr="00DA65B7">
              <w:rPr>
                <w:sz w:val="20"/>
                <w:szCs w:val="20"/>
              </w:rPr>
              <w:t>g.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epidermal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growth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factor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receptor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EGFR)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potwierdzona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E94F06" w:rsidRPr="00DA65B7">
              <w:rPr>
                <w:sz w:val="20"/>
                <w:szCs w:val="20"/>
              </w:rPr>
              <w:t>testu;</w:t>
            </w:r>
          </w:p>
          <w:p w14:paraId="2B49AC96" w14:textId="0AC6DA28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84433C" w:rsidRPr="00DA65B7">
              <w:rPr>
                <w:sz w:val="20"/>
                <w:szCs w:val="20"/>
              </w:rPr>
              <w:t>aawansowanie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miejscowe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III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wyjątkiem</w:t>
            </w:r>
            <w:r w:rsidR="00DA65B7">
              <w:rPr>
                <w:sz w:val="20"/>
                <w:szCs w:val="20"/>
              </w:rPr>
              <w:t xml:space="preserve"> </w:t>
            </w:r>
            <w:r w:rsidR="00C103F7" w:rsidRPr="00DA65B7">
              <w:rPr>
                <w:sz w:val="20"/>
                <w:szCs w:val="20"/>
              </w:rPr>
              <w:t>sytuacji</w:t>
            </w:r>
            <w:r w:rsidR="0084433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radiochemioterapii,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radioterapii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chirurgicznego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uogólnienie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IV);</w:t>
            </w:r>
          </w:p>
          <w:p w14:paraId="446EC3F8" w14:textId="6F898E1E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606D61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(ang.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r</w:t>
            </w:r>
            <w:r w:rsidR="0084433C" w:rsidRPr="00DA65B7">
              <w:rPr>
                <w:sz w:val="20"/>
                <w:szCs w:val="20"/>
              </w:rPr>
              <w:t>esponse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e</w:t>
            </w:r>
            <w:r w:rsidR="0084433C" w:rsidRPr="00DA65B7">
              <w:rPr>
                <w:sz w:val="20"/>
                <w:szCs w:val="20"/>
              </w:rPr>
              <w:t>valuation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c</w:t>
            </w:r>
            <w:r w:rsidR="0084433C" w:rsidRPr="00DA65B7">
              <w:rPr>
                <w:sz w:val="20"/>
                <w:szCs w:val="20"/>
              </w:rPr>
              <w:t>riteria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i</w:t>
            </w:r>
            <w:r w:rsidR="0084433C" w:rsidRPr="00DA65B7">
              <w:rPr>
                <w:sz w:val="20"/>
                <w:szCs w:val="20"/>
              </w:rPr>
              <w:t>n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s</w:t>
            </w:r>
            <w:r w:rsidR="0084433C" w:rsidRPr="00DA65B7">
              <w:rPr>
                <w:sz w:val="20"/>
                <w:szCs w:val="20"/>
              </w:rPr>
              <w:t>olid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t</w:t>
            </w:r>
            <w:r w:rsidR="0084433C" w:rsidRPr="00DA65B7">
              <w:rPr>
                <w:sz w:val="20"/>
                <w:szCs w:val="20"/>
              </w:rPr>
              <w:t>umours)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niemierzalnych</w:t>
            </w:r>
            <w:r w:rsidR="0084433C" w:rsidRPr="00DA65B7">
              <w:rPr>
                <w:sz w:val="20"/>
                <w:szCs w:val="20"/>
              </w:rPr>
              <w:t>;</w:t>
            </w:r>
          </w:p>
          <w:p w14:paraId="6860EAE4" w14:textId="6AB9B690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C35188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C3F1B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C35188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programu;</w:t>
            </w:r>
          </w:p>
          <w:p w14:paraId="692018F3" w14:textId="0E714B83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84433C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18</w:t>
            </w:r>
            <w:r w:rsidR="00DF37C5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życia;</w:t>
            </w:r>
          </w:p>
          <w:p w14:paraId="0F6A003E" w14:textId="1639E0B6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007E2B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0-2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WHO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ECOG;</w:t>
            </w:r>
          </w:p>
          <w:p w14:paraId="7097F574" w14:textId="1C30742B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C35188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współwystępujących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(szczególnie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niekontrolowane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nadciśnienie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tętnicze,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niestabilna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choroba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wieńcowa,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zawał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mięśnia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sercowego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roku,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komorowe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zaburzenia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rytmu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wymagające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leczenia);</w:t>
            </w:r>
          </w:p>
          <w:p w14:paraId="10B0666B" w14:textId="395BD1B9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84433C" w:rsidRPr="00DA65B7">
              <w:rPr>
                <w:sz w:val="20"/>
                <w:szCs w:val="20"/>
              </w:rPr>
              <w:t>zynnoś</w:t>
            </w:r>
            <w:r w:rsidR="00CE153E" w:rsidRPr="00DA65B7">
              <w:rPr>
                <w:sz w:val="20"/>
                <w:szCs w:val="20"/>
              </w:rPr>
              <w:t>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układu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umożliwiając</w:t>
            </w:r>
            <w:r w:rsidR="00CE153E" w:rsidRPr="00DA65B7">
              <w:rPr>
                <w:sz w:val="20"/>
                <w:szCs w:val="20"/>
              </w:rPr>
              <w:t>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aktualną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Leczniczego;</w:t>
            </w:r>
          </w:p>
          <w:p w14:paraId="5A55D356" w14:textId="01B0B993" w:rsidR="00C3518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84433C" w:rsidRPr="00DA65B7">
              <w:rPr>
                <w:sz w:val="20"/>
                <w:szCs w:val="20"/>
              </w:rPr>
              <w:t>zynnoś</w:t>
            </w:r>
            <w:r w:rsidR="00CE153E" w:rsidRPr="00DA65B7">
              <w:rPr>
                <w:sz w:val="20"/>
                <w:szCs w:val="20"/>
              </w:rPr>
              <w:t>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normy);</w:t>
            </w:r>
          </w:p>
          <w:p w14:paraId="29997A7D" w14:textId="21092D1E" w:rsidR="0084433C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84433C" w:rsidRPr="00DA65B7">
              <w:rPr>
                <w:sz w:val="20"/>
                <w:szCs w:val="20"/>
              </w:rPr>
              <w:t>zynności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leczenie</w:t>
            </w:r>
            <w:r w:rsidR="0084433C" w:rsidRPr="00DA65B7">
              <w:rPr>
                <w:sz w:val="20"/>
                <w:szCs w:val="20"/>
              </w:rPr>
              <w:t>:</w:t>
            </w:r>
          </w:p>
          <w:p w14:paraId="7FFCC4A1" w14:textId="7FDB880D" w:rsidR="0084433C" w:rsidRPr="00DA65B7" w:rsidRDefault="0084433C" w:rsidP="00DA65B7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1F104FAC" w14:textId="55743952" w:rsidR="00CE153E" w:rsidRPr="00DA65B7" w:rsidRDefault="0084433C" w:rsidP="00DA65B7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4FCD44A3" w14:textId="365AB34D" w:rsidR="00CE153E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CE153E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erlotynibu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CE153E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AF1DA6" w:rsidRPr="00DA65B7">
              <w:rPr>
                <w:sz w:val="20"/>
                <w:szCs w:val="20"/>
              </w:rPr>
              <w:t>gefitynibu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210B0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210B0D" w:rsidRPr="00DA65B7">
              <w:rPr>
                <w:sz w:val="20"/>
                <w:szCs w:val="20"/>
              </w:rPr>
              <w:t>afatynibu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określonych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Leczniczego;</w:t>
            </w:r>
          </w:p>
          <w:p w14:paraId="10CF022D" w14:textId="0E3853DC" w:rsidR="00CE153E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84433C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5E795C" w:rsidRPr="00DA65B7">
              <w:rPr>
                <w:sz w:val="20"/>
                <w:szCs w:val="20"/>
              </w:rPr>
              <w:t>jednoczesnego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ukierunkowanych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molekularnie;</w:t>
            </w:r>
          </w:p>
          <w:p w14:paraId="70932D78" w14:textId="146056F5" w:rsidR="009F03B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84433C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wcześniejszego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farmakologicznego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stadium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uogólnienia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przerzutów)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miejscowego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zaawansowania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dotyczy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jedynie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10B0D" w:rsidRPr="00DA65B7">
              <w:rPr>
                <w:sz w:val="20"/>
                <w:szCs w:val="20"/>
              </w:rPr>
              <w:t>afatynibu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210B0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erlotynibu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gefitynibu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linii</w:t>
            </w:r>
            <w:r w:rsidR="00DA65B7">
              <w:rPr>
                <w:sz w:val="20"/>
                <w:szCs w:val="20"/>
              </w:rPr>
              <w:t xml:space="preserve"> </w:t>
            </w:r>
            <w:r w:rsidR="00606D61" w:rsidRPr="00DA65B7">
              <w:rPr>
                <w:sz w:val="20"/>
                <w:szCs w:val="20"/>
              </w:rPr>
              <w:t>leczenia</w:t>
            </w:r>
            <w:r w:rsidR="0084433C" w:rsidRPr="00DA65B7">
              <w:rPr>
                <w:sz w:val="20"/>
                <w:szCs w:val="20"/>
              </w:rPr>
              <w:t>;</w:t>
            </w:r>
          </w:p>
          <w:p w14:paraId="59444C7A" w14:textId="4217C9F3" w:rsidR="00CE153E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9F03B8" w:rsidRPr="00DA65B7">
              <w:rPr>
                <w:sz w:val="20"/>
                <w:szCs w:val="20"/>
              </w:rPr>
              <w:t>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zmniejszenie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związanych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E24212" w:rsidRPr="00DA65B7">
              <w:rPr>
                <w:sz w:val="20"/>
                <w:szCs w:val="20"/>
              </w:rPr>
              <w:t>(wyjątek: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utrata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włosów)</w:t>
            </w:r>
            <w:r w:rsidR="00DA65B7">
              <w:rPr>
                <w:sz w:val="20"/>
                <w:szCs w:val="20"/>
              </w:rPr>
              <w:t xml:space="preserve"> </w:t>
            </w:r>
            <w:r w:rsidR="00E24212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dotyczy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erlotynibu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210B0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gefity</w:t>
            </w:r>
            <w:r w:rsidR="00C730DC" w:rsidRPr="00DA65B7">
              <w:rPr>
                <w:sz w:val="20"/>
                <w:szCs w:val="20"/>
              </w:rPr>
              <w:t>nibu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drugiej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linii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leczenia;</w:t>
            </w:r>
          </w:p>
          <w:p w14:paraId="2C36D623" w14:textId="2572D2E9" w:rsidR="00C02C28" w:rsidRPr="00DA65B7" w:rsidRDefault="00404AFA" w:rsidP="00DA65B7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84433C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złośliwych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paliatywnym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(niezależnie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uzyskanej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odpowiedzi)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nieuzyskanie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całkowitej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radykalnym</w:t>
            </w:r>
            <w:r w:rsidR="00DA65B7">
              <w:rPr>
                <w:sz w:val="20"/>
                <w:szCs w:val="20"/>
              </w:rPr>
              <w:t>.</w:t>
            </w:r>
          </w:p>
          <w:p w14:paraId="4EC1D32E" w14:textId="6C637D8A" w:rsidR="006C67CC" w:rsidRDefault="0084433C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Kryteria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</w:t>
            </w:r>
            <w:r w:rsidR="00A94562" w:rsidRPr="00DA65B7">
              <w:rPr>
                <w:sz w:val="20"/>
                <w:szCs w:val="20"/>
              </w:rPr>
              <w:t>owania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spełnione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łącznie.</w:t>
            </w:r>
          </w:p>
          <w:p w14:paraId="20595466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3EFE3B49" w14:textId="1B20F596" w:rsidR="00C02C28" w:rsidRPr="00DA65B7" w:rsidRDefault="00C02C28" w:rsidP="00DA65B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Kryteria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kwalifikowania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chorych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na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niedrobnokomórkowego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raka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płuca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drugiej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linii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(chorzy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niepowodzeniem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wcześniejszego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afatynibem,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erlotynibem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gefitynibem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DA65B7">
              <w:rPr>
                <w:b/>
                <w:bCs/>
                <w:sz w:val="20"/>
                <w:szCs w:val="20"/>
              </w:rPr>
              <w:t>stosowanego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powodu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nowotworu)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45EB8" w:rsidRPr="00DA65B7">
              <w:rPr>
                <w:b/>
                <w:bCs/>
                <w:sz w:val="20"/>
                <w:szCs w:val="20"/>
              </w:rPr>
              <w:t>-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B4F9B" w:rsidRPr="00DA65B7">
              <w:rPr>
                <w:b/>
                <w:sz w:val="20"/>
                <w:szCs w:val="20"/>
              </w:rPr>
              <w:t>ozymertynib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(mutacja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T790M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genie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E3391F" w:rsidRPr="00DA65B7">
              <w:rPr>
                <w:b/>
                <w:bCs/>
                <w:sz w:val="20"/>
                <w:szCs w:val="20"/>
              </w:rPr>
              <w:t>EGFR)</w:t>
            </w:r>
          </w:p>
          <w:p w14:paraId="3A354340" w14:textId="30A6F038" w:rsidR="0038781F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6B4F9B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hist</w:t>
            </w:r>
            <w:r w:rsidR="00C02C28" w:rsidRPr="00DA65B7">
              <w:rPr>
                <w:sz w:val="20"/>
                <w:szCs w:val="20"/>
              </w:rPr>
              <w:t>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cytologiczne</w:t>
            </w:r>
            <w:r w:rsidR="001A23DB" w:rsidRPr="00DA65B7">
              <w:rPr>
                <w:sz w:val="20"/>
                <w:szCs w:val="20"/>
              </w:rPr>
              <w:t>:</w:t>
            </w:r>
          </w:p>
          <w:p w14:paraId="2861BF06" w14:textId="40CDBA83" w:rsidR="00C02C28" w:rsidRPr="00DA65B7" w:rsidRDefault="00C02C28" w:rsidP="00DA65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gruczołowego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1A23D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1A23DB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wielkokomórkowego</w:t>
            </w:r>
            <w:r w:rsidR="006C67C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6C67CC" w:rsidRPr="00DA65B7">
              <w:rPr>
                <w:sz w:val="20"/>
                <w:szCs w:val="20"/>
              </w:rPr>
              <w:t>lub</w:t>
            </w:r>
          </w:p>
          <w:p w14:paraId="48EA1BAD" w14:textId="3374800C" w:rsidR="00C02C28" w:rsidRPr="00DA65B7" w:rsidRDefault="006B4F9B" w:rsidP="00DA65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przewagą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gruczołowego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wielkokomórkowego</w:t>
            </w:r>
            <w:r w:rsidR="006C67C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6C67CC" w:rsidRPr="00DA65B7">
              <w:rPr>
                <w:sz w:val="20"/>
                <w:szCs w:val="20"/>
              </w:rPr>
              <w:t>lub</w:t>
            </w:r>
          </w:p>
          <w:p w14:paraId="58349529" w14:textId="05F9AAD7" w:rsidR="00B05A85" w:rsidRPr="00DA65B7" w:rsidRDefault="006B4F9B" w:rsidP="00DA65B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NOS;</w:t>
            </w:r>
          </w:p>
          <w:p w14:paraId="744B3383" w14:textId="4EC6713F" w:rsidR="00B05A85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B05A85" w:rsidRPr="00DA65B7">
              <w:rPr>
                <w:sz w:val="20"/>
                <w:szCs w:val="20"/>
              </w:rPr>
              <w:t>rogresja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zastosowaniu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afatynib</w:t>
            </w:r>
            <w:r w:rsidR="00B05A85" w:rsidRPr="00DA65B7">
              <w:rPr>
                <w:sz w:val="20"/>
                <w:szCs w:val="20"/>
              </w:rPr>
              <w:t>u,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erlotynib</w:t>
            </w:r>
            <w:r w:rsidR="00B05A85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gefitynib</w:t>
            </w:r>
            <w:r w:rsidR="00B05A85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linii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miejscowo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zaawansowan</w:t>
            </w:r>
            <w:r w:rsidR="0038781F" w:rsidRPr="00DA65B7">
              <w:rPr>
                <w:sz w:val="20"/>
                <w:szCs w:val="20"/>
              </w:rPr>
              <w:t>ego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(bez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możliwości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zastosowania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lokoregionalnego)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uogólnion</w:t>
            </w:r>
            <w:r w:rsidR="0038781F" w:rsidRPr="00DA65B7">
              <w:rPr>
                <w:sz w:val="20"/>
                <w:szCs w:val="20"/>
              </w:rPr>
              <w:t>ego</w:t>
            </w:r>
            <w:r w:rsidR="00DA65B7">
              <w:rPr>
                <w:sz w:val="20"/>
                <w:szCs w:val="20"/>
              </w:rPr>
              <w:t xml:space="preserve"> </w:t>
            </w:r>
            <w:r w:rsidR="0038781F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38781F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38781F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mutacj</w:t>
            </w:r>
            <w:r w:rsidR="00B05A85" w:rsidRPr="00DA65B7">
              <w:rPr>
                <w:sz w:val="20"/>
                <w:szCs w:val="20"/>
              </w:rPr>
              <w:t>ą</w:t>
            </w:r>
            <w:r w:rsidR="00DA65B7">
              <w:rPr>
                <w:sz w:val="20"/>
                <w:szCs w:val="20"/>
              </w:rPr>
              <w:t xml:space="preserve"> </w:t>
            </w:r>
            <w:r w:rsidR="00C02C28" w:rsidRPr="00DA65B7">
              <w:rPr>
                <w:sz w:val="20"/>
                <w:szCs w:val="20"/>
              </w:rPr>
              <w:t>aktywując</w:t>
            </w:r>
            <w:r w:rsidR="00B05A85" w:rsidRPr="00DA65B7">
              <w:rPr>
                <w:sz w:val="20"/>
                <w:szCs w:val="20"/>
              </w:rPr>
              <w:t>ą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05A85" w:rsidRPr="00DA65B7">
              <w:rPr>
                <w:sz w:val="20"/>
                <w:szCs w:val="20"/>
              </w:rPr>
              <w:t>EGFR;</w:t>
            </w:r>
          </w:p>
          <w:p w14:paraId="04041ED5" w14:textId="4924BFE5" w:rsidR="00601F0B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6B4F9B" w:rsidRPr="00DA65B7">
              <w:rPr>
                <w:sz w:val="20"/>
                <w:szCs w:val="20"/>
              </w:rPr>
              <w:t>becnoś</w:t>
            </w:r>
            <w:r w:rsidR="00601F0B" w:rsidRPr="00DA65B7">
              <w:rPr>
                <w:sz w:val="20"/>
                <w:szCs w:val="20"/>
              </w:rPr>
              <w:t>ć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mutacji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T790M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potwierdzona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7423D3" w:rsidRPr="00DA65B7">
              <w:rPr>
                <w:sz w:val="20"/>
                <w:szCs w:val="20"/>
              </w:rPr>
              <w:t>testu;</w:t>
            </w:r>
          </w:p>
          <w:p w14:paraId="2D1F76C5" w14:textId="59EC9E8F" w:rsidR="00A308A1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066200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niemierzalnych;</w:t>
            </w:r>
          </w:p>
          <w:p w14:paraId="2B1C2F8C" w14:textId="4F0FA14D" w:rsidR="006B4F9B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066200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programu;</w:t>
            </w:r>
          </w:p>
          <w:p w14:paraId="7358C860" w14:textId="130BA7B3" w:rsidR="00601F0B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6B4F9B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18</w:t>
            </w:r>
            <w:r w:rsidR="00DF37C5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życia;</w:t>
            </w:r>
          </w:p>
          <w:p w14:paraId="300C05C2" w14:textId="0E1A0AD3" w:rsidR="00601F0B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6B4F9B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0-</w:t>
            </w:r>
            <w:r w:rsidR="00007E2B" w:rsidRPr="00DA65B7">
              <w:rPr>
                <w:sz w:val="20"/>
                <w:szCs w:val="20"/>
              </w:rPr>
              <w:t>2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wg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WHO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ECOG;</w:t>
            </w:r>
          </w:p>
          <w:p w14:paraId="5845B91E" w14:textId="7CB64382" w:rsidR="00835EE2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6B4F9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wspó</w:t>
            </w:r>
            <w:r w:rsidR="00601F0B" w:rsidRPr="00DA65B7">
              <w:rPr>
                <w:sz w:val="20"/>
                <w:szCs w:val="20"/>
              </w:rPr>
              <w:t>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601F0B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(śródmiąższowa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choroba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płuc,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wrodzony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zespół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wydłużonego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odstępu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QTc,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wydłużenie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odstępu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QTc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połączeniu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którymkolwiek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następujących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zaburzeń: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torsade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de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pointes,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polimorficzny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częstoskurcz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komorowy,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objawy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ciężkich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zaburzeń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rytmu</w:t>
            </w:r>
            <w:r w:rsidR="00DA65B7">
              <w:rPr>
                <w:sz w:val="20"/>
                <w:szCs w:val="20"/>
              </w:rPr>
              <w:t xml:space="preserve"> </w:t>
            </w:r>
            <w:r w:rsidR="006B4F9B" w:rsidRPr="00DA65B7">
              <w:rPr>
                <w:sz w:val="20"/>
                <w:szCs w:val="20"/>
              </w:rPr>
              <w:t>serca);</w:t>
            </w:r>
          </w:p>
          <w:p w14:paraId="05DBA558" w14:textId="6405D17C" w:rsidR="00CE567C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CE567C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układu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835EE2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aktualną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CE567C" w:rsidRPr="00DA65B7">
              <w:rPr>
                <w:sz w:val="20"/>
                <w:szCs w:val="20"/>
              </w:rPr>
              <w:t>Leczniczego;</w:t>
            </w:r>
          </w:p>
          <w:p w14:paraId="5662D498" w14:textId="22116813" w:rsidR="005E44D7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5E44D7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normy);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2882AAD4" w14:textId="05C2E76E" w:rsidR="005E44D7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5E44D7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5E44D7" w:rsidRPr="00DA65B7">
              <w:rPr>
                <w:sz w:val="20"/>
                <w:szCs w:val="20"/>
              </w:rPr>
              <w:t>leczenie:</w:t>
            </w:r>
          </w:p>
          <w:p w14:paraId="37E0582A" w14:textId="76D78E09" w:rsidR="005E44D7" w:rsidRPr="00DA65B7" w:rsidRDefault="005E44D7" w:rsidP="00DA65B7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34A3123C" w14:textId="31B6EA98" w:rsidR="005E44D7" w:rsidRPr="00DA65B7" w:rsidRDefault="005E44D7" w:rsidP="00DA65B7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6EFF4C81" w14:textId="5BCAAB37" w:rsidR="00066200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066200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ozymertynibu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określonych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066200" w:rsidRPr="00DA65B7">
              <w:rPr>
                <w:sz w:val="20"/>
                <w:szCs w:val="20"/>
              </w:rPr>
              <w:t>Leczniczego;</w:t>
            </w:r>
          </w:p>
          <w:p w14:paraId="5326E05B" w14:textId="60AA6D01" w:rsidR="00A308A1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A308A1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5E795C" w:rsidRPr="00DA65B7">
              <w:rPr>
                <w:sz w:val="20"/>
                <w:szCs w:val="20"/>
              </w:rPr>
              <w:t>jednoczesnego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ukierunkowanych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308A1" w:rsidRPr="00DA65B7">
              <w:rPr>
                <w:sz w:val="20"/>
                <w:szCs w:val="20"/>
              </w:rPr>
              <w:t>molekularnie;</w:t>
            </w:r>
          </w:p>
          <w:p w14:paraId="1579E7B1" w14:textId="71BD7A0F" w:rsidR="009F03B8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9F03B8" w:rsidRPr="00DA65B7">
              <w:rPr>
                <w:sz w:val="20"/>
                <w:szCs w:val="20"/>
              </w:rPr>
              <w:t>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zmniejszenie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związanych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9F03B8"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4A254E" w:rsidRPr="00DA65B7">
              <w:rPr>
                <w:sz w:val="20"/>
                <w:szCs w:val="20"/>
              </w:rPr>
              <w:t>(wyjątek:</w:t>
            </w:r>
            <w:r w:rsidR="00DA65B7">
              <w:rPr>
                <w:sz w:val="20"/>
                <w:szCs w:val="20"/>
              </w:rPr>
              <w:t xml:space="preserve"> </w:t>
            </w:r>
            <w:r w:rsidR="00996B4B" w:rsidRPr="00DA65B7">
              <w:rPr>
                <w:sz w:val="20"/>
                <w:szCs w:val="20"/>
              </w:rPr>
              <w:t>utrata</w:t>
            </w:r>
            <w:r w:rsidR="00DA65B7">
              <w:rPr>
                <w:sz w:val="20"/>
                <w:szCs w:val="20"/>
              </w:rPr>
              <w:t xml:space="preserve"> </w:t>
            </w:r>
            <w:r w:rsidR="00996B4B" w:rsidRPr="00DA65B7">
              <w:rPr>
                <w:sz w:val="20"/>
                <w:szCs w:val="20"/>
              </w:rPr>
              <w:t>włosów)</w:t>
            </w:r>
            <w:r w:rsidR="009F03B8" w:rsidRPr="00DA65B7">
              <w:rPr>
                <w:sz w:val="20"/>
                <w:szCs w:val="20"/>
              </w:rPr>
              <w:t>;</w:t>
            </w:r>
          </w:p>
          <w:p w14:paraId="00BA229C" w14:textId="7269222B" w:rsidR="00066200" w:rsidRPr="00DA65B7" w:rsidRDefault="00404AFA" w:rsidP="00DA65B7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65B7">
              <w:rPr>
                <w:color w:val="000000" w:themeColor="text1"/>
                <w:sz w:val="20"/>
                <w:szCs w:val="20"/>
              </w:rPr>
              <w:t>W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ykluczenie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współwystępowania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innych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nowotworów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złośliwych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leczonych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założeniem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paliatywnym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(niezależnie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od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uzyskanej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odpowiedzi)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oraz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nieuzyskanie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całkowitej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odpowiedzi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przypadku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nowotworów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6200" w:rsidRPr="00DA65B7">
              <w:rPr>
                <w:color w:val="000000" w:themeColor="text1"/>
                <w:sz w:val="20"/>
                <w:szCs w:val="20"/>
              </w:rPr>
              <w:t>le</w:t>
            </w:r>
            <w:r w:rsidRPr="00DA65B7">
              <w:rPr>
                <w:color w:val="000000" w:themeColor="text1"/>
                <w:sz w:val="20"/>
                <w:szCs w:val="20"/>
              </w:rPr>
              <w:t>czonych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założeniem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radykalnym</w:t>
            </w:r>
          </w:p>
          <w:p w14:paraId="7FCE5BB6" w14:textId="2E309CD2" w:rsidR="00711AAB" w:rsidRDefault="006B4F9B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DA65B7">
              <w:rPr>
                <w:color w:val="000000" w:themeColor="text1"/>
                <w:sz w:val="20"/>
                <w:szCs w:val="20"/>
              </w:rPr>
              <w:t>Kryteria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kwalifik</w:t>
            </w:r>
            <w:r w:rsidR="00A94562" w:rsidRPr="00DA65B7">
              <w:rPr>
                <w:color w:val="000000" w:themeColor="text1"/>
                <w:sz w:val="20"/>
                <w:szCs w:val="20"/>
              </w:rPr>
              <w:t>owania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muszą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być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spełnione</w:t>
            </w:r>
            <w:r w:rsidR="00DA6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color w:val="000000" w:themeColor="text1"/>
                <w:sz w:val="20"/>
                <w:szCs w:val="20"/>
              </w:rPr>
              <w:t>łącznie.</w:t>
            </w:r>
          </w:p>
          <w:p w14:paraId="43EF35C0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EB6126" w14:textId="0514A8EE" w:rsidR="00AB1564" w:rsidRPr="00DA65B7" w:rsidRDefault="00711AAB" w:rsidP="00DA65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kwalifikowania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chorych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niedrobnokomórkowego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raka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rearanżacją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genie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ALK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przy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wykorzystaniu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substancji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czynnej</w:t>
            </w:r>
            <w:r w:rsidR="00AB1564" w:rsidRPr="00DA65B7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02FAAC8D" w14:textId="5AF5C553" w:rsidR="00A40EC4" w:rsidRPr="00DA65B7" w:rsidRDefault="00A40EC4" w:rsidP="00DA65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65B7">
              <w:rPr>
                <w:b/>
                <w:color w:val="000000" w:themeColor="text1"/>
                <w:sz w:val="20"/>
                <w:szCs w:val="20"/>
              </w:rPr>
              <w:t>kryzotynib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genów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ALK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ROS1)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chorzy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drugiej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trzeciej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linii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(chorzy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niepowodzeniem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wcześniejszej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chemioterapii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wielolekowej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udziałem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pochodnych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platyny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monoterapii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stosowanej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nowotworu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chemioterapii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jednolekowej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stosowanej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powodu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zaawansowanego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nowotworu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),</w:t>
            </w:r>
          </w:p>
          <w:p w14:paraId="430A1E52" w14:textId="78FE52BA" w:rsidR="001A03CD" w:rsidRPr="00DA65B7" w:rsidRDefault="00AB1564" w:rsidP="00DA65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alektynib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gen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ów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ALK)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albo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cerytynib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rearanżacja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genów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ALK)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pierwszej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linii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chorzy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wcześniej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poddawani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systemowemu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powodu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nowotworu)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leczeniu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pacjentów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zaawansowanym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ALK-dodatnim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niedrobnokomórkowym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rakiem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płuca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po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niepowodzeniu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color w:val="000000" w:themeColor="text1"/>
                <w:sz w:val="20"/>
                <w:szCs w:val="20"/>
              </w:rPr>
              <w:t>terapii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innym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inhibitorem</w:t>
            </w:r>
            <w:r w:rsidR="00DA65B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42FA" w:rsidRPr="00DA65B7">
              <w:rPr>
                <w:b/>
                <w:bCs/>
                <w:color w:val="000000" w:themeColor="text1"/>
                <w:sz w:val="20"/>
                <w:szCs w:val="20"/>
              </w:rPr>
              <w:t>ALK.</w:t>
            </w:r>
          </w:p>
          <w:p w14:paraId="0F072F7B" w14:textId="3E7DB5E5" w:rsidR="001A03CD" w:rsidRPr="00DA65B7" w:rsidRDefault="001A03CD" w:rsidP="00DA65B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65B7">
              <w:rPr>
                <w:b/>
                <w:color w:val="000000" w:themeColor="text1"/>
                <w:sz w:val="20"/>
                <w:szCs w:val="20"/>
              </w:rPr>
              <w:t>brygatynib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(rearanżacja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genów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ALK)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leczeniu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pacjentów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zaawansowanym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ALK-dodatnim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niedrobnokomórkowym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rakiem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płuca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niepowodzeniu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terapii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innym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inhibitorem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ALK.</w:t>
            </w:r>
          </w:p>
          <w:p w14:paraId="35D3CA6E" w14:textId="4AFF6025" w:rsidR="00711AAB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711AAB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histologiczne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cytologiczne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gruczolakoraka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przewagą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utkania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gruczolakoraka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(</w:t>
            </w:r>
            <w:r w:rsidR="00ED34B1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alektynibu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ED34B1" w:rsidRPr="00DA65B7">
              <w:rPr>
                <w:sz w:val="20"/>
                <w:szCs w:val="20"/>
              </w:rPr>
              <w:t>dodatkowo</w:t>
            </w:r>
            <w:r w:rsidR="00DA65B7">
              <w:rPr>
                <w:sz w:val="20"/>
                <w:szCs w:val="20"/>
              </w:rPr>
              <w:t xml:space="preserve"> </w:t>
            </w:r>
            <w:r w:rsidR="00ED34B1" w:rsidRPr="00DA65B7">
              <w:rPr>
                <w:sz w:val="20"/>
                <w:szCs w:val="20"/>
              </w:rPr>
              <w:t>dopuszcza</w:t>
            </w:r>
            <w:r w:rsidR="00DA65B7">
              <w:rPr>
                <w:sz w:val="20"/>
                <w:szCs w:val="20"/>
              </w:rPr>
              <w:t xml:space="preserve"> </w:t>
            </w:r>
            <w:r w:rsidR="00ED34B1"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="00ED34B1" w:rsidRPr="00DA65B7">
              <w:rPr>
                <w:sz w:val="20"/>
                <w:szCs w:val="20"/>
              </w:rPr>
              <w:t>rozpo</w:t>
            </w:r>
            <w:r w:rsidR="00AA1D3A" w:rsidRPr="00DA65B7">
              <w:rPr>
                <w:sz w:val="20"/>
                <w:szCs w:val="20"/>
              </w:rPr>
              <w:t>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wielkokomórk</w:t>
            </w:r>
            <w:r w:rsidR="00A02F9D" w:rsidRPr="00DA65B7">
              <w:rPr>
                <w:sz w:val="20"/>
                <w:szCs w:val="20"/>
              </w:rPr>
              <w:t>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A02F9D" w:rsidRPr="00DA65B7">
              <w:rPr>
                <w:sz w:val="20"/>
                <w:szCs w:val="20"/>
              </w:rPr>
              <w:t>nie</w:t>
            </w:r>
            <w:r w:rsidRPr="00DA65B7">
              <w:rPr>
                <w:sz w:val="20"/>
                <w:szCs w:val="20"/>
              </w:rPr>
              <w:t>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="00AA1D3A" w:rsidRPr="00DA65B7">
              <w:rPr>
                <w:sz w:val="20"/>
                <w:szCs w:val="20"/>
              </w:rPr>
              <w:t>ustal</w:t>
            </w:r>
            <w:r w:rsidRPr="00DA65B7">
              <w:rPr>
                <w:sz w:val="20"/>
                <w:szCs w:val="20"/>
              </w:rPr>
              <w:t>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typu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histologicznego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NOS</w:t>
            </w:r>
            <w:r w:rsidR="00A02F9D" w:rsidRPr="00DA65B7">
              <w:rPr>
                <w:sz w:val="20"/>
                <w:szCs w:val="20"/>
              </w:rPr>
              <w:t>)</w:t>
            </w:r>
            <w:r w:rsidRPr="00DA65B7">
              <w:rPr>
                <w:sz w:val="20"/>
                <w:szCs w:val="20"/>
              </w:rPr>
              <w:t>;</w:t>
            </w:r>
          </w:p>
          <w:p w14:paraId="1909A9CB" w14:textId="07340D86" w:rsidR="004A74F2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C7849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rearanżacji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iCs/>
                <w:sz w:val="20"/>
                <w:szCs w:val="20"/>
              </w:rPr>
              <w:t>ALK</w:t>
            </w:r>
            <w:r w:rsidR="00DA65B7">
              <w:rPr>
                <w:iCs/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podstawie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im</w:t>
            </w:r>
            <w:r w:rsidR="00C730DC" w:rsidRPr="00DA65B7">
              <w:rPr>
                <w:sz w:val="20"/>
                <w:szCs w:val="20"/>
              </w:rPr>
              <w:t>munohistochemicznego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(IHC)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fluoroscencyjnej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hybrydyzacji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in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situ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(ang.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fluorescencje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in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situ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hybridisation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FISH)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sekwencjonowania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nowej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generacji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(ang.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new-generation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sequencing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NGS)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wyk</w:t>
            </w:r>
            <w:r w:rsidR="00AC2991" w:rsidRPr="00DA65B7">
              <w:rPr>
                <w:sz w:val="20"/>
                <w:szCs w:val="20"/>
              </w:rPr>
              <w:t>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AC2991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rearanżacji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iCs/>
                <w:sz w:val="20"/>
                <w:szCs w:val="20"/>
              </w:rPr>
              <w:t>ROS-1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podstawie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metodą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fluoroscencyjnej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hybrydyzacji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in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situ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(FISH)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sekwencjonowania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nowej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generacji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(ang.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new-generation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sequencing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NGS)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wyk</w:t>
            </w:r>
            <w:r w:rsidR="00D712EB" w:rsidRPr="00DA65B7">
              <w:rPr>
                <w:sz w:val="20"/>
                <w:szCs w:val="20"/>
              </w:rPr>
              <w:t>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712EB" w:rsidRPr="00DA65B7">
              <w:rPr>
                <w:sz w:val="20"/>
                <w:szCs w:val="20"/>
              </w:rPr>
              <w:t>testu;</w:t>
            </w:r>
          </w:p>
          <w:p w14:paraId="22C37D55" w14:textId="0FBE28E7" w:rsidR="004A74F2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4A74F2" w:rsidRPr="00DA65B7">
              <w:rPr>
                <w:sz w:val="20"/>
                <w:szCs w:val="20"/>
              </w:rPr>
              <w:t>aawansowanie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miejscowe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III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wyjątkiem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przypadków,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zastosowanie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radiochemioterapii,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radioterapii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chirurgicznego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uogólnienie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IV)</w:t>
            </w:r>
            <w:r w:rsidR="00DA65B7">
              <w:rPr>
                <w:sz w:val="20"/>
                <w:szCs w:val="20"/>
              </w:rPr>
              <w:t xml:space="preserve"> </w:t>
            </w:r>
            <w:r w:rsidR="00621004" w:rsidRPr="00DA65B7">
              <w:rPr>
                <w:sz w:val="20"/>
                <w:szCs w:val="20"/>
              </w:rPr>
              <w:t>l</w:t>
            </w:r>
            <w:r w:rsidR="004A74F2" w:rsidRPr="00DA65B7">
              <w:rPr>
                <w:sz w:val="20"/>
                <w:szCs w:val="20"/>
              </w:rPr>
              <w:t>ub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progresja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zastosowaniu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lub/i</w:t>
            </w:r>
            <w:r w:rsidR="00DA65B7">
              <w:rPr>
                <w:sz w:val="20"/>
                <w:szCs w:val="20"/>
              </w:rPr>
              <w:t xml:space="preserve"> </w:t>
            </w:r>
            <w:r w:rsidR="00BC6455" w:rsidRPr="00DA65B7">
              <w:rPr>
                <w:sz w:val="20"/>
                <w:szCs w:val="20"/>
              </w:rPr>
              <w:t>jednego</w:t>
            </w:r>
            <w:r w:rsidR="00DA65B7">
              <w:rPr>
                <w:sz w:val="20"/>
                <w:szCs w:val="20"/>
              </w:rPr>
              <w:t xml:space="preserve"> </w:t>
            </w:r>
            <w:r w:rsidR="00BC6455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C6455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BC6455" w:rsidRPr="00DA65B7">
              <w:rPr>
                <w:sz w:val="20"/>
                <w:szCs w:val="20"/>
              </w:rPr>
              <w:t>anty-ALK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choryc</w:t>
            </w:r>
            <w:r w:rsidR="00C730DC" w:rsidRPr="00DA65B7">
              <w:rPr>
                <w:sz w:val="20"/>
                <w:szCs w:val="20"/>
              </w:rPr>
              <w:t>h</w:t>
            </w:r>
            <w:r w:rsidR="00DA65B7">
              <w:rPr>
                <w:sz w:val="20"/>
                <w:szCs w:val="20"/>
              </w:rPr>
              <w:t xml:space="preserve"> </w:t>
            </w:r>
            <w:r w:rsidR="00BC6455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stadium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miejscowego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zaawansowania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4A74F2" w:rsidRPr="00DA65B7">
              <w:rPr>
                <w:sz w:val="20"/>
                <w:szCs w:val="20"/>
              </w:rPr>
              <w:t>uogólnienia;</w:t>
            </w:r>
          </w:p>
          <w:p w14:paraId="40ABDC47" w14:textId="647D4934" w:rsidR="00BC6455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711AAB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niemierzalnych;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1C2E64B0" w14:textId="49D6FD03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711AAB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AC55AE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AC55AE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AC55AE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AC55AE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miesią</w:t>
            </w:r>
            <w:r w:rsidR="00F4270A" w:rsidRPr="00DA65B7">
              <w:rPr>
                <w:sz w:val="20"/>
                <w:szCs w:val="20"/>
              </w:rPr>
              <w:t>ca</w:t>
            </w:r>
            <w:r w:rsidR="00DA65B7">
              <w:rPr>
                <w:sz w:val="20"/>
                <w:szCs w:val="20"/>
              </w:rPr>
              <w:t xml:space="preserve"> </w:t>
            </w:r>
            <w:r w:rsidR="00F4270A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F4270A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F4270A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F4270A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F4270A" w:rsidRPr="00DA65B7">
              <w:rPr>
                <w:sz w:val="20"/>
                <w:szCs w:val="20"/>
              </w:rPr>
              <w:t>(w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alektynibu</w:t>
            </w:r>
            <w:r w:rsidR="00B82C9A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B82C9A" w:rsidRPr="00DA65B7">
              <w:rPr>
                <w:sz w:val="20"/>
                <w:szCs w:val="20"/>
              </w:rPr>
              <w:t>cerytynibu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B82C9A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B82C9A" w:rsidRPr="00DA65B7">
              <w:rPr>
                <w:sz w:val="20"/>
                <w:szCs w:val="20"/>
              </w:rPr>
              <w:t>brygatynibu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objawowych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31F4C" w:rsidRPr="00DA65B7">
              <w:rPr>
                <w:sz w:val="20"/>
                <w:szCs w:val="20"/>
              </w:rPr>
              <w:t>programu</w:t>
            </w:r>
            <w:r w:rsidR="00F4270A" w:rsidRPr="00DA65B7">
              <w:rPr>
                <w:sz w:val="20"/>
                <w:szCs w:val="20"/>
              </w:rPr>
              <w:t>)</w:t>
            </w:r>
            <w:r w:rsidR="00731F4C" w:rsidRPr="00DA65B7">
              <w:rPr>
                <w:sz w:val="20"/>
                <w:szCs w:val="20"/>
              </w:rPr>
              <w:t>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3AD9860F" w14:textId="267D31AB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711AAB" w:rsidRPr="00DA65B7">
              <w:rPr>
                <w:sz w:val="20"/>
                <w:szCs w:val="20"/>
              </w:rPr>
              <w:t>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zmniejszenie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związanych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wcz</w:t>
            </w:r>
            <w:r w:rsidR="002C628C" w:rsidRPr="00DA65B7">
              <w:rPr>
                <w:sz w:val="20"/>
                <w:szCs w:val="20"/>
              </w:rPr>
              <w:t>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2C628C"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2C628C" w:rsidRPr="00DA65B7">
              <w:rPr>
                <w:sz w:val="20"/>
                <w:szCs w:val="20"/>
              </w:rPr>
              <w:t>(wyjątek: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utrata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włosów);</w:t>
            </w:r>
          </w:p>
          <w:p w14:paraId="45F8CA49" w14:textId="6E6B136C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11AAB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18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życia;</w:t>
            </w:r>
          </w:p>
          <w:p w14:paraId="74752E61" w14:textId="3CEC5100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711AAB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0-2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wg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Zubroda-WHO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ECOG;</w:t>
            </w:r>
          </w:p>
          <w:p w14:paraId="4E81339A" w14:textId="0DBF66AA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11AA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(niekontrolowane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nadciśnienie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tętnicze,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niestabilna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choroba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wieńcowa,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zawał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mięśnia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sercowego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roku,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komorowe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zaburzenia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rytmu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wymagające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leczenia);</w:t>
            </w:r>
          </w:p>
          <w:p w14:paraId="4DA5783B" w14:textId="0677658B" w:rsidR="00711AAB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11AA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układu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ak</w:t>
            </w:r>
            <w:r w:rsidR="002B35D9" w:rsidRPr="00DA65B7">
              <w:rPr>
                <w:sz w:val="20"/>
                <w:szCs w:val="20"/>
              </w:rPr>
              <w:t>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2B35D9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2B35D9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Leczniczego;</w:t>
            </w:r>
          </w:p>
          <w:p w14:paraId="60024EBE" w14:textId="7091E0EF" w:rsidR="00711AAB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11AA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normy);</w:t>
            </w:r>
          </w:p>
          <w:p w14:paraId="5393AAA9" w14:textId="42294E64" w:rsidR="00711AAB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11AA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leczenie:</w:t>
            </w:r>
          </w:p>
          <w:p w14:paraId="6306F4DA" w14:textId="091050AD" w:rsidR="00711AAB" w:rsidRPr="00DA65B7" w:rsidRDefault="00711AAB" w:rsidP="00DA65B7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1CEC38C6" w14:textId="3F25534B" w:rsidR="00F43ACD" w:rsidRPr="00DA65B7" w:rsidRDefault="00711AAB" w:rsidP="00DA65B7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2D4AB4C9" w14:textId="4F2A7666" w:rsidR="00F43ACD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711AAB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kryzot</w:t>
            </w:r>
            <w:r w:rsidR="00BC7849" w:rsidRPr="00DA65B7">
              <w:rPr>
                <w:sz w:val="20"/>
                <w:szCs w:val="20"/>
              </w:rPr>
              <w:t>y</w:t>
            </w:r>
            <w:r w:rsidR="00711AAB" w:rsidRPr="00DA65B7">
              <w:rPr>
                <w:sz w:val="20"/>
                <w:szCs w:val="20"/>
              </w:rPr>
              <w:t>nibu</w:t>
            </w:r>
            <w:r w:rsidR="00DA65B7">
              <w:rPr>
                <w:sz w:val="20"/>
                <w:szCs w:val="20"/>
              </w:rPr>
              <w:t xml:space="preserve"> </w:t>
            </w:r>
            <w:r w:rsidR="0054319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54319B" w:rsidRPr="00DA65B7">
              <w:rPr>
                <w:sz w:val="20"/>
                <w:szCs w:val="20"/>
              </w:rPr>
              <w:t>alektynibu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cerytynibu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brygatynibu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określonych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Leczniczego;</w:t>
            </w:r>
          </w:p>
          <w:p w14:paraId="260646FB" w14:textId="118E957C" w:rsidR="00711AAB" w:rsidRPr="00DA65B7" w:rsidRDefault="00404AFA" w:rsidP="00DA65B7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11AA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jednoczesnego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lek</w:t>
            </w:r>
            <w:r w:rsidRPr="00DA65B7">
              <w:rPr>
                <w:sz w:val="20"/>
                <w:szCs w:val="20"/>
              </w:rPr>
              <w:t>ów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ukierunkowanych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molekularnie</w:t>
            </w:r>
            <w:r w:rsidR="00DA65B7">
              <w:rPr>
                <w:sz w:val="20"/>
                <w:szCs w:val="20"/>
              </w:rPr>
              <w:t>.</w:t>
            </w:r>
          </w:p>
          <w:p w14:paraId="59DDDB5B" w14:textId="7A7847AF" w:rsidR="006C67CC" w:rsidRDefault="00711AAB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Kryteria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kwalifikacji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spełnione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łącznie.</w:t>
            </w:r>
          </w:p>
          <w:p w14:paraId="56B3EFDC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232170B1" w14:textId="0F4B6014" w:rsidR="006C30BD" w:rsidRPr="00DA65B7" w:rsidRDefault="004B00B4" w:rsidP="00DA65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Kryteria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kwalifikowania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chorych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niedrobnokomórkowego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raka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płuca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pierwszej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996B4B" w:rsidRPr="00DA65B7">
              <w:rPr>
                <w:b/>
                <w:bCs/>
                <w:sz w:val="20"/>
                <w:szCs w:val="20"/>
              </w:rPr>
              <w:t>linii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(chorzy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wcześniej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poddawani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systemowemu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po</w:t>
            </w:r>
            <w:r w:rsidR="00C730DC" w:rsidRPr="00DA65B7">
              <w:rPr>
                <w:b/>
                <w:bCs/>
                <w:sz w:val="20"/>
                <w:szCs w:val="20"/>
              </w:rPr>
              <w:t>wodu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730DC" w:rsidRPr="00DA65B7">
              <w:rPr>
                <w:b/>
                <w:bCs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730DC" w:rsidRPr="00DA65B7">
              <w:rPr>
                <w:b/>
                <w:bCs/>
                <w:sz w:val="20"/>
                <w:szCs w:val="20"/>
              </w:rPr>
              <w:t>nowotworu)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C45EB8" w:rsidRPr="00DA65B7">
              <w:rPr>
                <w:b/>
                <w:bCs/>
                <w:sz w:val="20"/>
                <w:szCs w:val="20"/>
              </w:rPr>
              <w:t>-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pembrolizumab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(ekspresja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PDL1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≥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50%)</w:t>
            </w:r>
          </w:p>
          <w:p w14:paraId="54ECFA8F" w14:textId="0F5FFCA7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007E2B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histologiczne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cytologiczne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(rak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płaskonabłonkowy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niepłaskonabłonkowy)</w:t>
            </w:r>
            <w:r w:rsidR="00007E2B" w:rsidRPr="00DA65B7">
              <w:rPr>
                <w:sz w:val="20"/>
                <w:szCs w:val="20"/>
              </w:rPr>
              <w:t>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22552BFF" w14:textId="5E808596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007E2B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ekspresji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PDL1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50%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większym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odsetku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komórek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nowotworowych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potwierdzona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metody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wskazanej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Leczniczego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przy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użyciu</w:t>
            </w:r>
            <w:r w:rsidR="00DA65B7">
              <w:rPr>
                <w:sz w:val="20"/>
                <w:szCs w:val="20"/>
              </w:rPr>
              <w:t xml:space="preserve"> </w:t>
            </w:r>
            <w:r w:rsidR="007D19AB" w:rsidRPr="00DA65B7">
              <w:rPr>
                <w:sz w:val="20"/>
                <w:szCs w:val="20"/>
              </w:rPr>
              <w:t>koncentratu</w:t>
            </w:r>
            <w:r w:rsidR="00DA65B7">
              <w:rPr>
                <w:sz w:val="20"/>
                <w:szCs w:val="20"/>
              </w:rPr>
              <w:t xml:space="preserve"> </w:t>
            </w:r>
            <w:r w:rsidR="007D19AB" w:rsidRPr="00DA65B7">
              <w:rPr>
                <w:sz w:val="20"/>
                <w:szCs w:val="20"/>
              </w:rPr>
              <w:t>przeciwciała</w:t>
            </w:r>
            <w:r w:rsidR="00DA65B7">
              <w:rPr>
                <w:sz w:val="20"/>
                <w:szCs w:val="20"/>
              </w:rPr>
              <w:t xml:space="preserve"> </w:t>
            </w:r>
            <w:r w:rsidR="007D19AB" w:rsidRPr="00DA65B7">
              <w:rPr>
                <w:sz w:val="20"/>
                <w:szCs w:val="20"/>
              </w:rPr>
              <w:t>DAKO</w:t>
            </w:r>
            <w:r w:rsidR="00DA65B7">
              <w:rPr>
                <w:sz w:val="20"/>
                <w:szCs w:val="20"/>
              </w:rPr>
              <w:t xml:space="preserve"> </w:t>
            </w:r>
            <w:r w:rsidR="007D19AB" w:rsidRPr="00DA65B7">
              <w:rPr>
                <w:sz w:val="20"/>
                <w:szCs w:val="20"/>
              </w:rPr>
              <w:t>22C3</w:t>
            </w:r>
            <w:r w:rsidR="00DA65B7">
              <w:rPr>
                <w:sz w:val="20"/>
                <w:szCs w:val="20"/>
              </w:rPr>
              <w:t xml:space="preserve"> </w:t>
            </w:r>
            <w:r w:rsidR="00B57377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B57377" w:rsidRPr="00DA65B7">
              <w:rPr>
                <w:sz w:val="20"/>
                <w:szCs w:val="20"/>
              </w:rPr>
              <w:t>przeciwciała</w:t>
            </w:r>
            <w:r w:rsidR="00DA65B7">
              <w:rPr>
                <w:sz w:val="20"/>
                <w:szCs w:val="20"/>
              </w:rPr>
              <w:t xml:space="preserve"> </w:t>
            </w:r>
            <w:r w:rsidR="00B57377" w:rsidRPr="00DA65B7">
              <w:rPr>
                <w:sz w:val="20"/>
                <w:szCs w:val="20"/>
              </w:rPr>
              <w:t>Ventana</w:t>
            </w:r>
            <w:r w:rsidR="00DA65B7">
              <w:rPr>
                <w:sz w:val="20"/>
                <w:szCs w:val="20"/>
              </w:rPr>
              <w:t xml:space="preserve"> </w:t>
            </w:r>
            <w:r w:rsidR="00B57377" w:rsidRPr="00DA65B7">
              <w:rPr>
                <w:sz w:val="20"/>
                <w:szCs w:val="20"/>
              </w:rPr>
              <w:t>SP263;</w:t>
            </w:r>
          </w:p>
          <w:p w14:paraId="3885ACA1" w14:textId="686A7981" w:rsidR="00B83695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B83695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mutacji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rearanżacji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gen</w:t>
            </w:r>
            <w:r w:rsidR="005D6D19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ALK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gruczołowego</w:t>
            </w:r>
            <w:r w:rsidR="00985465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985465" w:rsidRPr="00DA65B7">
              <w:rPr>
                <w:sz w:val="20"/>
                <w:szCs w:val="20"/>
              </w:rPr>
              <w:t>wielkokomórkowego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niedrobno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5D6D19" w:rsidRPr="00DA65B7">
              <w:rPr>
                <w:sz w:val="20"/>
                <w:szCs w:val="20"/>
              </w:rPr>
              <w:t>NOS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546A" w:rsidRPr="00DA65B7">
              <w:rPr>
                <w:sz w:val="20"/>
                <w:szCs w:val="20"/>
              </w:rPr>
              <w:t>testu;</w:t>
            </w:r>
          </w:p>
          <w:p w14:paraId="7B3C71E7" w14:textId="1B6D07FF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711AAB" w:rsidRPr="00DA65B7">
              <w:rPr>
                <w:sz w:val="20"/>
                <w:szCs w:val="20"/>
              </w:rPr>
              <w:t>aawansowanie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kliniczne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711AAB" w:rsidRPr="00DA65B7">
              <w:rPr>
                <w:sz w:val="20"/>
                <w:szCs w:val="20"/>
              </w:rPr>
              <w:t>IV</w:t>
            </w:r>
            <w:r w:rsidR="00E20976" w:rsidRPr="00DA65B7">
              <w:rPr>
                <w:sz w:val="20"/>
                <w:szCs w:val="20"/>
              </w:rPr>
              <w:t>;</w:t>
            </w:r>
          </w:p>
          <w:p w14:paraId="58EAADD1" w14:textId="23AB364C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007E2B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niemierzalnych;</w:t>
            </w:r>
          </w:p>
          <w:p w14:paraId="3E1B115A" w14:textId="2460640F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007E2B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programu;</w:t>
            </w:r>
          </w:p>
          <w:p w14:paraId="2F758F26" w14:textId="3868BE58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07E2B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18.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życia;</w:t>
            </w:r>
          </w:p>
          <w:p w14:paraId="4C017C65" w14:textId="6F59BE8B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007E2B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0-</w:t>
            </w:r>
            <w:r w:rsidR="00996B4B" w:rsidRPr="00DA65B7">
              <w:rPr>
                <w:sz w:val="20"/>
                <w:szCs w:val="20"/>
              </w:rPr>
              <w:t>1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wg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Zubroda-WHO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ECOG;</w:t>
            </w:r>
          </w:p>
          <w:p w14:paraId="700E157E" w14:textId="751E1F69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07E2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możliwości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za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pomocą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właściwego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leczenia</w:t>
            </w:r>
            <w:r w:rsidR="00007E2B" w:rsidRPr="00DA65B7">
              <w:rPr>
                <w:sz w:val="20"/>
                <w:szCs w:val="20"/>
              </w:rPr>
              <w:t>;</w:t>
            </w:r>
          </w:p>
          <w:p w14:paraId="675B64B4" w14:textId="01E7FA91" w:rsidR="00B83695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B83695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aktywnych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autoimmunologicznych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wyłączen</w:t>
            </w:r>
            <w:r w:rsidR="006A791B" w:rsidRPr="00DA65B7">
              <w:rPr>
                <w:sz w:val="20"/>
                <w:szCs w:val="20"/>
              </w:rPr>
              <w:t>iem</w:t>
            </w:r>
            <w:r w:rsidR="00DA65B7">
              <w:rPr>
                <w:sz w:val="20"/>
                <w:szCs w:val="20"/>
              </w:rPr>
              <w:t xml:space="preserve"> </w:t>
            </w:r>
            <w:r w:rsidR="006A791B" w:rsidRPr="00DA65B7">
              <w:rPr>
                <w:sz w:val="20"/>
                <w:szCs w:val="20"/>
              </w:rPr>
              <w:t>cukrzycy</w:t>
            </w:r>
            <w:r w:rsidR="00DA65B7">
              <w:rPr>
                <w:sz w:val="20"/>
                <w:szCs w:val="20"/>
              </w:rPr>
              <w:t xml:space="preserve"> </w:t>
            </w:r>
            <w:r w:rsidR="006A791B" w:rsidRPr="00DA65B7">
              <w:rPr>
                <w:sz w:val="20"/>
                <w:szCs w:val="20"/>
              </w:rPr>
              <w:t>typu</w:t>
            </w:r>
            <w:r w:rsidR="00DA65B7">
              <w:rPr>
                <w:sz w:val="20"/>
                <w:szCs w:val="20"/>
              </w:rPr>
              <w:t xml:space="preserve"> </w:t>
            </w:r>
            <w:r w:rsidR="006A791B" w:rsidRPr="00DA65B7">
              <w:rPr>
                <w:sz w:val="20"/>
                <w:szCs w:val="20"/>
              </w:rPr>
              <w:t>1</w:t>
            </w:r>
            <w:r w:rsidR="00B83695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niedoczynności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tarczycy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suplementacji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hormonalnej,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łuszczycy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bielactwa;</w:t>
            </w:r>
          </w:p>
          <w:p w14:paraId="383336D1" w14:textId="3AA84C5A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007E2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układu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aktualną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Leczniczego;</w:t>
            </w:r>
          </w:p>
          <w:p w14:paraId="1FCAB935" w14:textId="0CC86933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007E2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normy);</w:t>
            </w:r>
          </w:p>
          <w:p w14:paraId="3F2FF275" w14:textId="3B9416F6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007E2B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leczenie:</w:t>
            </w:r>
          </w:p>
          <w:p w14:paraId="2D7541EE" w14:textId="339526E5" w:rsidR="00007E2B" w:rsidRPr="00DA65B7" w:rsidRDefault="00007E2B" w:rsidP="00DA65B7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066F0F9F" w14:textId="01983251" w:rsidR="00007E2B" w:rsidRPr="00DA65B7" w:rsidRDefault="00007E2B" w:rsidP="00DA65B7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6DB6F72A" w14:textId="146FFB0D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007E2B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B83695" w:rsidRPr="00DA65B7">
              <w:rPr>
                <w:sz w:val="20"/>
                <w:szCs w:val="20"/>
              </w:rPr>
              <w:t>pembrolizumabu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określonych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Leczniczego</w:t>
            </w:r>
            <w:r w:rsidR="00B83695" w:rsidRPr="00DA65B7">
              <w:rPr>
                <w:sz w:val="20"/>
                <w:szCs w:val="20"/>
              </w:rPr>
              <w:t>;</w:t>
            </w:r>
          </w:p>
          <w:p w14:paraId="1F34ED23" w14:textId="4C52060B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07E2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jednoczesnego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ukierunkowanych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molekularnie;</w:t>
            </w:r>
          </w:p>
          <w:p w14:paraId="4C7A1A53" w14:textId="66ACF992" w:rsidR="00007E2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07E2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złośliwych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paliatywnym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(niezależnie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uzyskanej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odpowiedzi)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nieuzyskanie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całkowitej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007E2B" w:rsidRPr="00DA65B7">
              <w:rPr>
                <w:sz w:val="20"/>
                <w:szCs w:val="20"/>
              </w:rPr>
              <w:t>le</w:t>
            </w:r>
            <w:r w:rsidRPr="00DA65B7">
              <w:rPr>
                <w:sz w:val="20"/>
                <w:szCs w:val="20"/>
              </w:rPr>
              <w:t>czonych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radykalnym</w:t>
            </w:r>
            <w:r w:rsidR="00DA65B7">
              <w:rPr>
                <w:sz w:val="20"/>
                <w:szCs w:val="20"/>
              </w:rPr>
              <w:t>.</w:t>
            </w:r>
          </w:p>
          <w:p w14:paraId="0350CE5A" w14:textId="77D985EB" w:rsidR="004B00B4" w:rsidRDefault="00007E2B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Kryteria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</w:t>
            </w:r>
            <w:r w:rsidR="00A94562" w:rsidRPr="00DA65B7">
              <w:rPr>
                <w:sz w:val="20"/>
                <w:szCs w:val="20"/>
              </w:rPr>
              <w:t>owania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spełnione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łącznie.</w:t>
            </w:r>
          </w:p>
          <w:p w14:paraId="00CFE768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4CE80485" w14:textId="0129B3D4" w:rsidR="00354575" w:rsidRPr="00DA65B7" w:rsidRDefault="00354575" w:rsidP="00DA65B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Kryteria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kwalifikowania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chorych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niedrobnokomórkowego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raka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płuca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drugiej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linii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(chorzy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niepowodzeniem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wcześniejszej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chemioterapii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wielolekowej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udziałem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pochodnych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platyny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monoterapii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stosowanej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powodu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zaawansowanego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nowotworu)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zastosowaniem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niwolumabu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raku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płaskonabłonkowym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237D71"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237D71" w:rsidRPr="00DA65B7">
              <w:rPr>
                <w:b/>
                <w:bCs/>
                <w:sz w:val="20"/>
                <w:szCs w:val="20"/>
              </w:rPr>
              <w:t>niepłaskonabłonkowym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(niezależnie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od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stopnia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ekspresji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PDL1)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AF6012" w:rsidRPr="00DA65B7">
              <w:rPr>
                <w:b/>
                <w:bCs/>
                <w:sz w:val="20"/>
                <w:szCs w:val="20"/>
              </w:rPr>
              <w:t>oraz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atezolizumabu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w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raku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płaskonabłonkowym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lub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niepłaskonabłonkowym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DA65B7">
              <w:rPr>
                <w:b/>
                <w:bCs/>
                <w:sz w:val="20"/>
                <w:szCs w:val="20"/>
              </w:rPr>
              <w:t>(niezależnie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DA65B7">
              <w:rPr>
                <w:b/>
                <w:bCs/>
                <w:sz w:val="20"/>
                <w:szCs w:val="20"/>
              </w:rPr>
              <w:t>od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DA65B7">
              <w:rPr>
                <w:b/>
                <w:bCs/>
                <w:sz w:val="20"/>
                <w:szCs w:val="20"/>
              </w:rPr>
              <w:t>stopnia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DA65B7">
              <w:rPr>
                <w:b/>
                <w:bCs/>
                <w:sz w:val="20"/>
                <w:szCs w:val="20"/>
              </w:rPr>
              <w:t>ekspresji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="006C67CC" w:rsidRPr="00DA65B7">
              <w:rPr>
                <w:b/>
                <w:bCs/>
                <w:sz w:val="20"/>
                <w:szCs w:val="20"/>
              </w:rPr>
              <w:t>PDL1)</w:t>
            </w:r>
          </w:p>
          <w:p w14:paraId="7C02303D" w14:textId="28DA320B" w:rsidR="00E00AA1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D96260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902E9F" w:rsidRPr="00DA65B7">
              <w:rPr>
                <w:sz w:val="20"/>
                <w:szCs w:val="20"/>
              </w:rPr>
              <w:t>histologiczne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902E9F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02E9F" w:rsidRPr="00DA65B7">
              <w:rPr>
                <w:sz w:val="20"/>
                <w:szCs w:val="20"/>
              </w:rPr>
              <w:t>cytologiczne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E94570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E94570" w:rsidRPr="00DA65B7">
              <w:rPr>
                <w:sz w:val="20"/>
                <w:szCs w:val="20"/>
              </w:rPr>
              <w:t>typie</w:t>
            </w:r>
            <w:r w:rsidR="00DA65B7">
              <w:rPr>
                <w:sz w:val="20"/>
                <w:szCs w:val="20"/>
              </w:rPr>
              <w:t xml:space="preserve"> </w:t>
            </w:r>
            <w:r w:rsidR="00E94570" w:rsidRPr="00DA65B7">
              <w:rPr>
                <w:sz w:val="20"/>
                <w:szCs w:val="20"/>
              </w:rPr>
              <w:t>płaskonabłonkowym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F43ACD" w:rsidRPr="00DA65B7">
              <w:rPr>
                <w:sz w:val="20"/>
                <w:szCs w:val="20"/>
              </w:rPr>
              <w:t>niepłaskonabłonkowym</w:t>
            </w:r>
            <w:r w:rsidR="007D5F39" w:rsidRPr="00DA65B7">
              <w:rPr>
                <w:sz w:val="20"/>
                <w:szCs w:val="20"/>
              </w:rPr>
              <w:t>;</w:t>
            </w:r>
          </w:p>
          <w:p w14:paraId="7B0190C3" w14:textId="0E2123C0" w:rsidR="009941FB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9941FB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mutacji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rearanżacji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genu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ALK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gruczołowego</w:t>
            </w:r>
            <w:r w:rsidR="00985465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985465" w:rsidRPr="00DA65B7">
              <w:rPr>
                <w:sz w:val="20"/>
                <w:szCs w:val="20"/>
              </w:rPr>
              <w:t>wielkokomórkowego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niedr</w:t>
            </w:r>
            <w:r w:rsidR="003179CA" w:rsidRPr="00DA65B7">
              <w:rPr>
                <w:sz w:val="20"/>
                <w:szCs w:val="20"/>
              </w:rPr>
              <w:t>obno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NOS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zwalidowanego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testu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wykonywanego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laboratorium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posiadającym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aktualny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certyfikat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europejskiego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dla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danego</w:t>
            </w:r>
            <w:r w:rsidR="00DA65B7">
              <w:rPr>
                <w:sz w:val="20"/>
                <w:szCs w:val="20"/>
              </w:rPr>
              <w:t xml:space="preserve"> </w:t>
            </w:r>
            <w:r w:rsidR="003179CA" w:rsidRPr="00DA65B7">
              <w:rPr>
                <w:sz w:val="20"/>
                <w:szCs w:val="20"/>
              </w:rPr>
              <w:t>testu;</w:t>
            </w:r>
          </w:p>
          <w:p w14:paraId="061B8BBE" w14:textId="147F3D8B" w:rsidR="00D96260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96260" w:rsidRPr="00DA65B7">
              <w:rPr>
                <w:sz w:val="20"/>
                <w:szCs w:val="20"/>
              </w:rPr>
              <w:t>aawansowanie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miejscowe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III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wyjątkiem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przypadków,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zastosowanie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radiochemioterapii,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radioterapii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chirurgicznego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uogólnienie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IV);</w:t>
            </w:r>
          </w:p>
          <w:p w14:paraId="69CCB816" w14:textId="25BC91F8" w:rsidR="00D96260" w:rsidRPr="00DA65B7" w:rsidRDefault="00404AFA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D96260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niemierzalnych;</w:t>
            </w:r>
          </w:p>
          <w:p w14:paraId="6DBF0971" w14:textId="1531E8A9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D96260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programu;</w:t>
            </w:r>
          </w:p>
          <w:p w14:paraId="54DA3201" w14:textId="7267D43C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96260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18.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życia;</w:t>
            </w:r>
          </w:p>
          <w:p w14:paraId="51BD373D" w14:textId="7BB44DDB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D96260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0-</w:t>
            </w:r>
            <w:r w:rsidR="00996B4B" w:rsidRPr="00DA65B7">
              <w:rPr>
                <w:sz w:val="20"/>
                <w:szCs w:val="20"/>
              </w:rPr>
              <w:t>1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wg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Zubroda-WHO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ECOG;</w:t>
            </w:r>
          </w:p>
          <w:p w14:paraId="62FD080F" w14:textId="78E82C86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96260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możliwości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pomocą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właściwego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leczenia;</w:t>
            </w:r>
          </w:p>
          <w:p w14:paraId="202B0CAE" w14:textId="19E1E0ED" w:rsidR="00902E9F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D96260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aktywnych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autoimmunologicznych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2D5F2F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2D5F2F" w:rsidRPr="00DA65B7">
              <w:rPr>
                <w:sz w:val="20"/>
                <w:szCs w:val="20"/>
              </w:rPr>
              <w:t>wyłączeniem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2D5F2F" w:rsidRPr="00DA65B7">
              <w:rPr>
                <w:sz w:val="20"/>
                <w:szCs w:val="20"/>
              </w:rPr>
              <w:t>cukrzycy</w:t>
            </w:r>
            <w:r w:rsidR="00DA65B7">
              <w:rPr>
                <w:sz w:val="20"/>
                <w:szCs w:val="20"/>
              </w:rPr>
              <w:t xml:space="preserve"> </w:t>
            </w:r>
            <w:r w:rsidR="002D5F2F" w:rsidRPr="00DA65B7">
              <w:rPr>
                <w:sz w:val="20"/>
                <w:szCs w:val="20"/>
              </w:rPr>
              <w:t>typu</w:t>
            </w:r>
            <w:r w:rsidR="00DA65B7">
              <w:rPr>
                <w:sz w:val="20"/>
                <w:szCs w:val="20"/>
              </w:rPr>
              <w:t xml:space="preserve"> </w:t>
            </w:r>
            <w:r w:rsidR="002D5F2F" w:rsidRPr="00DA65B7">
              <w:rPr>
                <w:sz w:val="20"/>
                <w:szCs w:val="20"/>
              </w:rPr>
              <w:t>1,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niedoczynności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tarczycy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wyłącznej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suplementacji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hormonalnej,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łuszczycy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bielactwa;</w:t>
            </w:r>
          </w:p>
          <w:p w14:paraId="2E9231E6" w14:textId="0E1BED3F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D96260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układu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aktualną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Leczniczego;</w:t>
            </w:r>
          </w:p>
          <w:p w14:paraId="3991115B" w14:textId="67E131C0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D96260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normy);</w:t>
            </w:r>
          </w:p>
          <w:p w14:paraId="0D53B0DF" w14:textId="755B02DB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D96260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leczenie:</w:t>
            </w:r>
          </w:p>
          <w:p w14:paraId="5EB50233" w14:textId="0D5D4A6F" w:rsidR="00D96260" w:rsidRPr="00DA65B7" w:rsidRDefault="00D96260" w:rsidP="00DA65B7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6122384A" w14:textId="16ECDDC5" w:rsidR="00D96260" w:rsidRPr="00DA65B7" w:rsidRDefault="00D96260" w:rsidP="00DA65B7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78D65FF2" w14:textId="0A801C6C" w:rsidR="00D96260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D96260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niwolumabu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E00AA1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E00AA1" w:rsidRPr="00DA65B7">
              <w:rPr>
                <w:sz w:val="20"/>
                <w:szCs w:val="20"/>
              </w:rPr>
              <w:t>atezolizumabu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EB70CA" w:rsidRPr="00DA65B7">
              <w:rPr>
                <w:sz w:val="20"/>
                <w:szCs w:val="20"/>
              </w:rPr>
              <w:t>o</w:t>
            </w:r>
            <w:r w:rsidR="00D96260" w:rsidRPr="00DA65B7">
              <w:rPr>
                <w:sz w:val="20"/>
                <w:szCs w:val="20"/>
              </w:rPr>
              <w:t>kreślonych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Charakterystyce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Leczniczego;</w:t>
            </w:r>
          </w:p>
          <w:p w14:paraId="532BCAC9" w14:textId="2ECB7B26" w:rsidR="00A94562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96260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jednoczesnego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ukierunkowanych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D96260" w:rsidRPr="00DA65B7">
              <w:rPr>
                <w:sz w:val="20"/>
                <w:szCs w:val="20"/>
              </w:rPr>
              <w:t>molekularnie;</w:t>
            </w:r>
          </w:p>
          <w:p w14:paraId="520F753C" w14:textId="0303AF58" w:rsidR="00A94562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A94562" w:rsidRPr="00DA65B7">
              <w:rPr>
                <w:sz w:val="20"/>
                <w:szCs w:val="20"/>
              </w:rPr>
              <w:t>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zmniejszenie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związanych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C925E3" w:rsidRPr="00DA65B7">
              <w:rPr>
                <w:sz w:val="20"/>
                <w:szCs w:val="20"/>
              </w:rPr>
              <w:t>(wyjątek:</w:t>
            </w:r>
            <w:r w:rsidR="00DA65B7">
              <w:rPr>
                <w:sz w:val="20"/>
                <w:szCs w:val="20"/>
              </w:rPr>
              <w:t xml:space="preserve"> </w:t>
            </w:r>
            <w:r w:rsidR="00996B4B" w:rsidRPr="00DA65B7">
              <w:rPr>
                <w:sz w:val="20"/>
                <w:szCs w:val="20"/>
              </w:rPr>
              <w:t>utrata</w:t>
            </w:r>
            <w:r w:rsidR="00DA65B7">
              <w:rPr>
                <w:sz w:val="20"/>
                <w:szCs w:val="20"/>
              </w:rPr>
              <w:t xml:space="preserve"> </w:t>
            </w:r>
            <w:r w:rsidR="00996B4B" w:rsidRPr="00DA65B7">
              <w:rPr>
                <w:sz w:val="20"/>
                <w:szCs w:val="20"/>
              </w:rPr>
              <w:t>włosów)</w:t>
            </w:r>
            <w:r w:rsidR="00A94562" w:rsidRPr="00DA65B7">
              <w:rPr>
                <w:sz w:val="20"/>
                <w:szCs w:val="20"/>
              </w:rPr>
              <w:t>;</w:t>
            </w:r>
          </w:p>
          <w:p w14:paraId="36114E12" w14:textId="73B45260" w:rsidR="00A94562" w:rsidRPr="00DA65B7" w:rsidRDefault="00370C19" w:rsidP="00DA65B7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A94562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złośliwych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paliatywnym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(niezależnie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uzyskanej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odpowiedzi)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nieuzyskanie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całkowitej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A94562" w:rsidRPr="00DA65B7">
              <w:rPr>
                <w:sz w:val="20"/>
                <w:szCs w:val="20"/>
              </w:rPr>
              <w:t>le</w:t>
            </w:r>
            <w:r w:rsidRPr="00DA65B7">
              <w:rPr>
                <w:sz w:val="20"/>
                <w:szCs w:val="20"/>
              </w:rPr>
              <w:t>czonych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radykalnym</w:t>
            </w:r>
            <w:r w:rsidR="00DA65B7">
              <w:rPr>
                <w:sz w:val="20"/>
                <w:szCs w:val="20"/>
              </w:rPr>
              <w:t>.</w:t>
            </w:r>
          </w:p>
          <w:p w14:paraId="50ECE91F" w14:textId="3FE8040B" w:rsidR="00B83695" w:rsidRDefault="00A94562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Kryteria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kwalifikowania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spełnione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łącznie.</w:t>
            </w:r>
          </w:p>
          <w:p w14:paraId="3A2108EF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2BB82946" w14:textId="6069794E" w:rsidR="00B12EE1" w:rsidRPr="00DA65B7" w:rsidRDefault="0075072A" w:rsidP="00DA65B7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Kryteria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kwalifikowania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chorych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na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niedrobnokomórkowego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raka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płuca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do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leczenia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drugiej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linii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(chorzy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z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niepowodzeniem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wcześniejszej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chemioterapii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wielolekowej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z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udziałem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pochodnych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platyny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lub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monoterapii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stosowanej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z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po</w:t>
            </w:r>
            <w:r w:rsidR="0008215F" w:rsidRPr="00DA65B7">
              <w:rPr>
                <w:b/>
                <w:sz w:val="20"/>
                <w:szCs w:val="20"/>
              </w:rPr>
              <w:t>wodu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8215F" w:rsidRPr="00DA65B7">
              <w:rPr>
                <w:b/>
                <w:sz w:val="20"/>
                <w:szCs w:val="20"/>
              </w:rPr>
              <w:t>zaawansowanego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8215F" w:rsidRPr="00DA65B7">
              <w:rPr>
                <w:b/>
                <w:sz w:val="20"/>
                <w:szCs w:val="20"/>
              </w:rPr>
              <w:t>nowotworu)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8215F" w:rsidRPr="00DA65B7">
              <w:rPr>
                <w:b/>
                <w:sz w:val="20"/>
                <w:szCs w:val="20"/>
              </w:rPr>
              <w:t>z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8215F" w:rsidRPr="00DA65B7">
              <w:rPr>
                <w:b/>
                <w:sz w:val="20"/>
                <w:szCs w:val="20"/>
              </w:rPr>
              <w:t>zastosowaniem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nintedanib</w:t>
            </w:r>
            <w:r w:rsidR="0008215F" w:rsidRPr="00DA65B7">
              <w:rPr>
                <w:b/>
                <w:sz w:val="20"/>
                <w:szCs w:val="20"/>
              </w:rPr>
              <w:t>u</w:t>
            </w:r>
          </w:p>
          <w:p w14:paraId="53142231" w14:textId="1030FEFE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R</w:t>
            </w:r>
            <w:r w:rsidR="0075072A" w:rsidRPr="00DA65B7">
              <w:rPr>
                <w:sz w:val="20"/>
                <w:szCs w:val="20"/>
              </w:rPr>
              <w:t>ozpoznanie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histologiczne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cytologiczne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gruczołowego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przewagą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gruczolakoraka;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4670A1BE" w14:textId="579264EF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75072A" w:rsidRPr="00DA65B7">
              <w:rPr>
                <w:sz w:val="20"/>
                <w:szCs w:val="20"/>
              </w:rPr>
              <w:t>aawansowanie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miejscowe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III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wyjątkiem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przypadków,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zastosowanie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radiochemioterapii,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radioterapii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chirurgicznego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uogólnienie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IV);</w:t>
            </w:r>
          </w:p>
          <w:p w14:paraId="69F9DE19" w14:textId="16822C5A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75072A" w:rsidRPr="00DA65B7">
              <w:rPr>
                <w:sz w:val="20"/>
                <w:szCs w:val="20"/>
              </w:rPr>
              <w:t>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możliwych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zmierzenia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celu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przeprowadzenia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obiektywnej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systemu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1.1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niemierzalnych;</w:t>
            </w:r>
          </w:p>
          <w:p w14:paraId="31CA4A63" w14:textId="773A1C61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75072A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cech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przerzutów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ośrodkowym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układzie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nerwowym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miejscowym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chirurgiczne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radioterapia)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istotnych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neurologicznych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potrzeby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zwiększania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glikokortykosteroidów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ostatniego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włączeniem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programu;</w:t>
            </w:r>
          </w:p>
          <w:p w14:paraId="3894819F" w14:textId="1A81129D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5072A" w:rsidRPr="00DA65B7">
              <w:rPr>
                <w:sz w:val="20"/>
                <w:szCs w:val="20"/>
              </w:rPr>
              <w:t>iek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18.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życia;</w:t>
            </w:r>
          </w:p>
          <w:p w14:paraId="343D7971" w14:textId="362CD95A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</w:t>
            </w:r>
            <w:r w:rsidR="0075072A" w:rsidRPr="00DA65B7">
              <w:rPr>
                <w:sz w:val="20"/>
                <w:szCs w:val="20"/>
              </w:rPr>
              <w:t>prawność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0-2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wg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Zubroda-WHO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ECOG;</w:t>
            </w:r>
          </w:p>
          <w:p w14:paraId="3568C53C" w14:textId="1262A4AC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5072A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chorób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klinicznie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możliwości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kontroli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pomocą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właściwego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leczenia;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(ze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szczególnym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uwzględnieniem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nadciśnienia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tętniczego);</w:t>
            </w:r>
          </w:p>
          <w:p w14:paraId="0F6358D4" w14:textId="00C5F7D2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5072A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przeszłości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choroby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zakrzepowo-zatorowej;</w:t>
            </w:r>
          </w:p>
          <w:p w14:paraId="7153822C" w14:textId="16836B62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5072A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ukła</w:t>
            </w:r>
            <w:r w:rsidR="002361B0" w:rsidRPr="00DA65B7">
              <w:rPr>
                <w:sz w:val="20"/>
                <w:szCs w:val="20"/>
              </w:rPr>
              <w:t>du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krwiotwórczego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aktualną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Leczniczego;</w:t>
            </w:r>
          </w:p>
          <w:p w14:paraId="2BB5C4ED" w14:textId="22FFB556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5072A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nerek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normy);</w:t>
            </w:r>
          </w:p>
          <w:p w14:paraId="77508426" w14:textId="08D398E2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C</w:t>
            </w:r>
            <w:r w:rsidR="0075072A" w:rsidRPr="00DA65B7">
              <w:rPr>
                <w:sz w:val="20"/>
                <w:szCs w:val="20"/>
              </w:rPr>
              <w:t>zynność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wątroby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umożliwiająca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leczenie:</w:t>
            </w:r>
          </w:p>
          <w:p w14:paraId="66EA8DA7" w14:textId="65FB1C7F" w:rsidR="0075072A" w:rsidRPr="00DA65B7" w:rsidRDefault="0075072A" w:rsidP="00DA65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/>
              <w:ind w:left="1062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normy,</w:t>
            </w:r>
          </w:p>
          <w:p w14:paraId="4F493694" w14:textId="5D5FD75F" w:rsidR="0075072A" w:rsidRPr="00DA65B7" w:rsidRDefault="0075072A" w:rsidP="00DA65B7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/>
              <w:ind w:left="1062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nieprzekraczająca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46BFAFB8" w14:textId="19903BF6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N</w:t>
            </w:r>
            <w:r w:rsidR="0075072A" w:rsidRPr="00DA65B7">
              <w:rPr>
                <w:sz w:val="20"/>
                <w:szCs w:val="20"/>
              </w:rPr>
              <w:t>ieobecność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przeciwwskazań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nintedanibu;</w:t>
            </w:r>
          </w:p>
          <w:p w14:paraId="42C50B86" w14:textId="130536CF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5072A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wcześniejszego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docetakselu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antyangiogennych;</w:t>
            </w:r>
          </w:p>
          <w:p w14:paraId="1C57D9D1" w14:textId="50C9C43D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75072A" w:rsidRPr="00DA65B7">
              <w:rPr>
                <w:sz w:val="20"/>
                <w:szCs w:val="20"/>
              </w:rPr>
              <w:t>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zmniejszenie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związanych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wcześniejszym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(wyjątek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utrata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włosów);</w:t>
            </w:r>
          </w:p>
          <w:p w14:paraId="714BDB00" w14:textId="4C1B8FAB" w:rsidR="0075072A" w:rsidRPr="00DA65B7" w:rsidRDefault="00370C19" w:rsidP="00DA65B7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75072A" w:rsidRPr="00DA65B7">
              <w:rPr>
                <w:sz w:val="20"/>
                <w:szCs w:val="20"/>
              </w:rPr>
              <w:t>ykluczenie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współwystępowania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złośliwych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paliatywnym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(niezależnie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uzyskanej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odpowiedzi)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nieuzyskanie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całkowitej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nowotworów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75072A" w:rsidRPr="00DA65B7">
              <w:rPr>
                <w:sz w:val="20"/>
                <w:szCs w:val="20"/>
              </w:rPr>
              <w:t>le</w:t>
            </w:r>
            <w:r w:rsidRPr="00DA65B7">
              <w:rPr>
                <w:sz w:val="20"/>
                <w:szCs w:val="20"/>
              </w:rPr>
              <w:t>czonych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założeniem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radykalnym</w:t>
            </w:r>
            <w:r w:rsidR="00DA65B7">
              <w:rPr>
                <w:sz w:val="20"/>
                <w:szCs w:val="20"/>
              </w:rPr>
              <w:t>.</w:t>
            </w:r>
          </w:p>
          <w:p w14:paraId="061D720F" w14:textId="3D01F0B0" w:rsidR="0075072A" w:rsidRDefault="0075072A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Kryteria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kwalifikowania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spełnione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łącznie.</w:t>
            </w:r>
          </w:p>
          <w:p w14:paraId="0EBE8570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409638FA" w14:textId="438C6F6A" w:rsidR="00AA6108" w:rsidRPr="00DA65B7" w:rsidRDefault="008B709D" w:rsidP="00DA65B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Określenie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czasu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leczenia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programie</w:t>
            </w:r>
          </w:p>
          <w:p w14:paraId="5E149C85" w14:textId="680730BB" w:rsidR="0054669A" w:rsidRPr="00DA65B7" w:rsidRDefault="00E640A9" w:rsidP="00DA65B7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Inhibitory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tyrozynowej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kinazy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EGFR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(erlot</w:t>
            </w:r>
            <w:r w:rsidR="00071F53" w:rsidRPr="00DA65B7">
              <w:rPr>
                <w:b/>
                <w:sz w:val="20"/>
                <w:szCs w:val="20"/>
              </w:rPr>
              <w:t>ynib,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71F53" w:rsidRPr="00DA65B7">
              <w:rPr>
                <w:b/>
                <w:sz w:val="20"/>
                <w:szCs w:val="20"/>
              </w:rPr>
              <w:t>gefitynib,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3179CA" w:rsidRPr="00DA65B7">
              <w:rPr>
                <w:b/>
                <w:sz w:val="20"/>
                <w:szCs w:val="20"/>
              </w:rPr>
              <w:t>afatynib,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71F53" w:rsidRPr="00DA65B7">
              <w:rPr>
                <w:b/>
                <w:sz w:val="20"/>
                <w:szCs w:val="20"/>
              </w:rPr>
              <w:t>ozymertynib)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71F53" w:rsidRPr="00DA65B7">
              <w:rPr>
                <w:b/>
                <w:sz w:val="20"/>
                <w:szCs w:val="20"/>
              </w:rPr>
              <w:t>lub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A765E" w:rsidRPr="00DA65B7">
              <w:rPr>
                <w:b/>
                <w:sz w:val="20"/>
                <w:szCs w:val="20"/>
              </w:rPr>
              <w:t>ALK/</w:t>
            </w:r>
            <w:r w:rsidR="00E00AA1" w:rsidRPr="00DA65B7">
              <w:rPr>
                <w:b/>
                <w:sz w:val="20"/>
                <w:szCs w:val="20"/>
              </w:rPr>
              <w:t>ROS1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(kryzotynib</w:t>
            </w:r>
            <w:r w:rsidR="007A55E8" w:rsidRPr="00DA65B7">
              <w:rPr>
                <w:b/>
                <w:sz w:val="20"/>
                <w:szCs w:val="20"/>
              </w:rPr>
              <w:t>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7A55E8" w:rsidRPr="00DA65B7">
              <w:rPr>
                <w:b/>
                <w:sz w:val="20"/>
                <w:szCs w:val="20"/>
              </w:rPr>
              <w:t>alektynib</w:t>
            </w:r>
            <w:r w:rsidR="00D63DE0" w:rsidRPr="00DA65B7">
              <w:rPr>
                <w:b/>
                <w:sz w:val="20"/>
                <w:szCs w:val="20"/>
              </w:rPr>
              <w:t>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D63DE0" w:rsidRPr="00DA65B7">
              <w:rPr>
                <w:b/>
                <w:sz w:val="20"/>
                <w:szCs w:val="20"/>
              </w:rPr>
              <w:t>cerytynib</w:t>
            </w:r>
            <w:r w:rsidR="00043541" w:rsidRPr="00DA65B7">
              <w:rPr>
                <w:b/>
                <w:sz w:val="20"/>
                <w:szCs w:val="20"/>
              </w:rPr>
              <w:t>,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043541" w:rsidRPr="00DA65B7">
              <w:rPr>
                <w:b/>
                <w:sz w:val="20"/>
                <w:szCs w:val="20"/>
              </w:rPr>
              <w:t>brygatynib</w:t>
            </w:r>
            <w:r w:rsidRPr="00DA65B7">
              <w:rPr>
                <w:b/>
                <w:sz w:val="20"/>
                <w:szCs w:val="20"/>
              </w:rPr>
              <w:t>)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E24449" w:rsidRPr="00DA65B7">
              <w:rPr>
                <w:b/>
                <w:sz w:val="20"/>
                <w:szCs w:val="20"/>
              </w:rPr>
              <w:t>lub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54669A" w:rsidRPr="00DA65B7">
              <w:rPr>
                <w:b/>
                <w:sz w:val="20"/>
                <w:szCs w:val="20"/>
              </w:rPr>
              <w:t>inhibitor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54669A" w:rsidRPr="00DA65B7">
              <w:rPr>
                <w:b/>
                <w:sz w:val="20"/>
                <w:szCs w:val="20"/>
              </w:rPr>
              <w:t>angiogenezy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54669A" w:rsidRPr="00DA65B7">
              <w:rPr>
                <w:b/>
                <w:sz w:val="20"/>
                <w:szCs w:val="20"/>
              </w:rPr>
              <w:t>(nintedanib)</w:t>
            </w:r>
          </w:p>
          <w:p w14:paraId="57C58204" w14:textId="572B58B9" w:rsidR="008B709D" w:rsidRPr="00DA65B7" w:rsidRDefault="008B709D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792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czasu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podjęcia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lekarza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prowadzącego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decyzji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wyłączeniu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świadczeniobiorcy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E640A9" w:rsidRPr="00DA65B7">
              <w:rPr>
                <w:sz w:val="20"/>
                <w:szCs w:val="20"/>
              </w:rPr>
              <w:t>z</w:t>
            </w:r>
            <w:r w:rsidRPr="00DA65B7">
              <w:rPr>
                <w:sz w:val="20"/>
                <w:szCs w:val="20"/>
              </w:rPr>
              <w:t>: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4F19BC47" w14:textId="16FC6B6A" w:rsidR="00996CE7" w:rsidRPr="00DA65B7" w:rsidRDefault="008B709D" w:rsidP="00DA65B7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zasadami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</w:t>
            </w:r>
            <w:r w:rsidR="003B6538" w:rsidRPr="00DA65B7">
              <w:rPr>
                <w:sz w:val="20"/>
                <w:szCs w:val="20"/>
              </w:rPr>
              <w:t>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3B6538" w:rsidRPr="00DA65B7">
              <w:rPr>
                <w:sz w:val="20"/>
                <w:szCs w:val="20"/>
              </w:rPr>
              <w:t>określonymi</w:t>
            </w:r>
            <w:r w:rsidR="00DA65B7">
              <w:rPr>
                <w:sz w:val="20"/>
                <w:szCs w:val="20"/>
              </w:rPr>
              <w:t xml:space="preserve"> </w:t>
            </w:r>
            <w:r w:rsidR="003B6538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640A9" w:rsidRPr="00DA65B7">
              <w:rPr>
                <w:sz w:val="20"/>
                <w:szCs w:val="20"/>
              </w:rPr>
              <w:t>punktach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="003B6538" w:rsidRPr="00DA65B7">
              <w:rPr>
                <w:sz w:val="20"/>
                <w:szCs w:val="20"/>
              </w:rPr>
              <w:t>.1</w:t>
            </w:r>
            <w:r w:rsidR="00E640A9" w:rsidRPr="00DA65B7">
              <w:rPr>
                <w:sz w:val="20"/>
                <w:szCs w:val="20"/>
              </w:rPr>
              <w:t>.1.</w:t>
            </w:r>
            <w:r w:rsidR="003B6538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Pr="00DA65B7">
              <w:rPr>
                <w:sz w:val="20"/>
                <w:szCs w:val="20"/>
              </w:rPr>
              <w:t>.</w:t>
            </w:r>
            <w:r w:rsidR="00E640A9" w:rsidRPr="00DA65B7">
              <w:rPr>
                <w:sz w:val="20"/>
                <w:szCs w:val="20"/>
              </w:rPr>
              <w:t>1.</w:t>
            </w:r>
            <w:r w:rsidRPr="00DA65B7">
              <w:rPr>
                <w:sz w:val="20"/>
                <w:szCs w:val="20"/>
              </w:rPr>
              <w:t>2</w:t>
            </w:r>
            <w:r w:rsidR="00E640A9" w:rsidRPr="00DA65B7">
              <w:rPr>
                <w:sz w:val="20"/>
                <w:szCs w:val="20"/>
              </w:rPr>
              <w:t>.</w:t>
            </w:r>
            <w:r w:rsidR="003B6538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="00E640A9" w:rsidRPr="00DA65B7">
              <w:rPr>
                <w:sz w:val="20"/>
                <w:szCs w:val="20"/>
              </w:rPr>
              <w:t>.1.</w:t>
            </w:r>
            <w:r w:rsidR="003B6538" w:rsidRPr="00DA65B7">
              <w:rPr>
                <w:sz w:val="20"/>
                <w:szCs w:val="20"/>
              </w:rPr>
              <w:t>3</w:t>
            </w:r>
            <w:r w:rsidR="00763935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2958CE0E" w14:textId="77777777" w:rsidR="008B709D" w:rsidRPr="00DA65B7" w:rsidRDefault="008B709D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oraz</w:t>
            </w:r>
          </w:p>
          <w:p w14:paraId="4EE5B5E5" w14:textId="2569E897" w:rsidR="006570B2" w:rsidRPr="00DA65B7" w:rsidRDefault="008B709D" w:rsidP="00DA65B7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kryteriami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wyłączenia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640A9" w:rsidRPr="00DA65B7">
              <w:rPr>
                <w:sz w:val="20"/>
                <w:szCs w:val="20"/>
              </w:rPr>
              <w:t>punkcie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8</w:t>
            </w:r>
            <w:r w:rsidRPr="00DA65B7">
              <w:rPr>
                <w:sz w:val="20"/>
                <w:szCs w:val="20"/>
              </w:rPr>
              <w:t>.</w:t>
            </w:r>
          </w:p>
          <w:p w14:paraId="5D7FDE9E" w14:textId="2BCBA2E9" w:rsidR="008B709D" w:rsidRPr="00DA65B7" w:rsidRDefault="00E640A9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anty-EGFR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(w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ramach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drugiej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linii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anty-ROS1</w:t>
            </w:r>
            <w:r w:rsidR="00DA65B7">
              <w:rPr>
                <w:sz w:val="20"/>
                <w:szCs w:val="20"/>
              </w:rPr>
              <w:t xml:space="preserve"> </w:t>
            </w:r>
            <w:r w:rsidR="00071F53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anty-ALK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(w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ramach</w:t>
            </w:r>
            <w:r w:rsidR="00DA65B7">
              <w:rPr>
                <w:sz w:val="20"/>
                <w:szCs w:val="20"/>
              </w:rPr>
              <w:t xml:space="preserve"> </w:t>
            </w:r>
            <w:r w:rsidR="00E00AA1" w:rsidRPr="00DA65B7">
              <w:rPr>
                <w:sz w:val="20"/>
                <w:szCs w:val="20"/>
              </w:rPr>
              <w:t>pierwszej,</w:t>
            </w:r>
            <w:r w:rsidR="00DA65B7">
              <w:rPr>
                <w:sz w:val="20"/>
                <w:szCs w:val="20"/>
              </w:rPr>
              <w:t xml:space="preserve"> </w:t>
            </w:r>
            <w:r w:rsidR="00E00AA1" w:rsidRPr="00DA65B7">
              <w:rPr>
                <w:sz w:val="20"/>
                <w:szCs w:val="20"/>
              </w:rPr>
              <w:t>drugiej</w:t>
            </w:r>
            <w:r w:rsidR="00DA65B7">
              <w:rPr>
                <w:sz w:val="20"/>
                <w:szCs w:val="20"/>
              </w:rPr>
              <w:t xml:space="preserve"> </w:t>
            </w:r>
            <w:r w:rsidR="00E00AA1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trzeciej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linii</w:t>
            </w:r>
            <w:r w:rsidR="00DA65B7">
              <w:rPr>
                <w:sz w:val="20"/>
                <w:szCs w:val="20"/>
              </w:rPr>
              <w:t xml:space="preserve"> </w:t>
            </w:r>
            <w:r w:rsidR="009B33C7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E2444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E24449" w:rsidRPr="00DA65B7">
              <w:rPr>
                <w:sz w:val="20"/>
                <w:szCs w:val="20"/>
              </w:rPr>
              <w:t>inhibitorów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E24449" w:rsidRPr="00DA65B7">
              <w:rPr>
                <w:sz w:val="20"/>
                <w:szCs w:val="20"/>
              </w:rPr>
              <w:t>angiogenezy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prowadzone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stwierdzenia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choroby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wystąpienia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poważnych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niepożądanych;</w:t>
            </w:r>
          </w:p>
          <w:p w14:paraId="0D8C37BB" w14:textId="4B733B48" w:rsidR="008B709D" w:rsidRPr="00DA65B7" w:rsidRDefault="008B709D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czasie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konieczne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badań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(dodatkowe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wykonuje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zależności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sytuacji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klinicznej):</w:t>
            </w:r>
          </w:p>
          <w:p w14:paraId="5742BCBA" w14:textId="7F612A5A" w:rsidR="008B709D" w:rsidRPr="00DA65B7" w:rsidRDefault="008B709D" w:rsidP="00DA65B7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wcześniej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leku;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364F0376" w14:textId="7E6B228D" w:rsidR="008B709D" w:rsidRPr="00DA65B7" w:rsidRDefault="008B709D" w:rsidP="00DA65B7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czasie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3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miesiące</w:t>
            </w:r>
            <w:r w:rsidR="00DA65B7">
              <w:rPr>
                <w:sz w:val="20"/>
                <w:szCs w:val="20"/>
              </w:rPr>
              <w:t xml:space="preserve"> </w:t>
            </w:r>
            <w:r w:rsidR="00E640A9" w:rsidRPr="00DA65B7">
              <w:rPr>
                <w:sz w:val="20"/>
                <w:szCs w:val="20"/>
              </w:rPr>
              <w:t>(w</w:t>
            </w:r>
            <w:r w:rsidR="004C3F12" w:rsidRPr="00DA65B7">
              <w:rPr>
                <w:sz w:val="20"/>
                <w:szCs w:val="20"/>
              </w:rPr>
              <w:t>ażność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4C3F12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F34B10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4C3F12" w:rsidRPr="00DA65B7">
              <w:rPr>
                <w:sz w:val="20"/>
                <w:szCs w:val="20"/>
              </w:rPr>
              <w:t>14</w:t>
            </w:r>
            <w:r w:rsidR="00DA65B7">
              <w:rPr>
                <w:sz w:val="20"/>
                <w:szCs w:val="20"/>
              </w:rPr>
              <w:t xml:space="preserve"> </w:t>
            </w:r>
            <w:r w:rsidR="004C3F12" w:rsidRPr="00DA65B7">
              <w:rPr>
                <w:sz w:val="20"/>
                <w:szCs w:val="20"/>
              </w:rPr>
              <w:t>dni</w:t>
            </w:r>
            <w:r w:rsidR="00E640A9" w:rsidRPr="00DA65B7">
              <w:rPr>
                <w:sz w:val="20"/>
                <w:szCs w:val="20"/>
              </w:rPr>
              <w:t>)</w:t>
            </w:r>
            <w:r w:rsidR="00DA65B7">
              <w:rPr>
                <w:sz w:val="20"/>
                <w:szCs w:val="20"/>
              </w:rPr>
              <w:t xml:space="preserve"> </w:t>
            </w:r>
            <w:r w:rsidR="00577D76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577D76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577D76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577D76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577D76" w:rsidRPr="00DA65B7">
              <w:rPr>
                <w:sz w:val="20"/>
                <w:szCs w:val="20"/>
              </w:rPr>
              <w:t>nintedanibu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są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2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cykle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skojarzonego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oznacza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to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konieczność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wykonania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6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tyg.,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natomiast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monoterapii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nintedanibem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1A4AC1" w:rsidRPr="00DA65B7">
              <w:rPr>
                <w:sz w:val="20"/>
                <w:szCs w:val="20"/>
              </w:rPr>
              <w:t>8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tyg.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(ważność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14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dni);</w:t>
            </w:r>
          </w:p>
          <w:p w14:paraId="1044A22F" w14:textId="7C2EA73D" w:rsidR="008B709D" w:rsidRPr="00DA65B7" w:rsidRDefault="008B709D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obejmują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ocenę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915C5C" w:rsidRPr="00DA65B7">
              <w:rPr>
                <w:sz w:val="20"/>
                <w:szCs w:val="20"/>
              </w:rPr>
              <w:t>1.1.</w:t>
            </w:r>
            <w:r w:rsidRPr="00DA65B7">
              <w:rPr>
                <w:sz w:val="20"/>
                <w:szCs w:val="20"/>
              </w:rPr>
              <w:t>:</w:t>
            </w:r>
          </w:p>
          <w:p w14:paraId="340E9029" w14:textId="03DA3637" w:rsidR="00E640A9" w:rsidRPr="00DA65B7" w:rsidRDefault="00915C5C" w:rsidP="00DA65B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zmiany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badanie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tomografii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komputerowej</w:t>
            </w:r>
            <w:r w:rsidR="00DA65B7">
              <w:rPr>
                <w:sz w:val="20"/>
                <w:szCs w:val="20"/>
              </w:rPr>
              <w:t xml:space="preserve"> </w:t>
            </w:r>
            <w:r w:rsidR="00E640A9" w:rsidRPr="00DA65B7">
              <w:rPr>
                <w:sz w:val="20"/>
                <w:szCs w:val="20"/>
              </w:rPr>
              <w:t>(TK)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klatki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piersiowej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objęciem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nadbrzusza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(jeżeli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guz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istnieje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stanu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resekcji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miąższu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rozpoznania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nowotworu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ustalenia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ogniska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pierwotnego,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konieczne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wykazanie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przerzutowych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mierzalnych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niemierzalnych);</w:t>
            </w:r>
          </w:p>
          <w:p w14:paraId="2DBD3961" w14:textId="34B78A5A" w:rsidR="0024095E" w:rsidRDefault="00915C5C" w:rsidP="00DA65B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przerzutowych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TK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="0007699C" w:rsidRPr="00DA65B7">
              <w:rPr>
                <w:sz w:val="20"/>
                <w:szCs w:val="20"/>
              </w:rPr>
              <w:t>(np.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ultrasonografia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USG,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magnetyczny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rezonans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MR,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scyntygrafia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inne),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czym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obejmować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ocenę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stwierdzonych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rozpoczęciem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>.</w:t>
            </w:r>
          </w:p>
          <w:p w14:paraId="5E58DFFB" w14:textId="77777777" w:rsidR="00DA65B7" w:rsidRPr="00DA65B7" w:rsidRDefault="00DA65B7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</w:p>
          <w:p w14:paraId="287847A5" w14:textId="77777777" w:rsidR="004405D9" w:rsidRPr="00DA65B7" w:rsidRDefault="004405D9" w:rsidP="00DA65B7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vanish/>
                <w:color w:val="000000" w:themeColor="text1"/>
                <w:sz w:val="20"/>
                <w:szCs w:val="20"/>
              </w:rPr>
            </w:pPr>
          </w:p>
          <w:p w14:paraId="29615B7C" w14:textId="593DE981" w:rsidR="009D203F" w:rsidRPr="00DA65B7" w:rsidRDefault="00CC2BF0" w:rsidP="00DA65B7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65B7">
              <w:rPr>
                <w:b/>
                <w:color w:val="000000" w:themeColor="text1"/>
                <w:sz w:val="20"/>
                <w:szCs w:val="20"/>
              </w:rPr>
              <w:t>Inhibitory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PD1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(pembrolizumab,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A65B7">
              <w:rPr>
                <w:b/>
                <w:color w:val="000000" w:themeColor="text1"/>
                <w:sz w:val="20"/>
                <w:szCs w:val="20"/>
              </w:rPr>
              <w:t>niwolumab)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DA65B7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DA65B7">
              <w:rPr>
                <w:b/>
                <w:color w:val="000000" w:themeColor="text1"/>
                <w:sz w:val="20"/>
                <w:szCs w:val="20"/>
              </w:rPr>
              <w:t>PDL1</w:t>
            </w:r>
            <w:r w:rsidR="00DA65B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848" w:rsidRPr="00DA65B7">
              <w:rPr>
                <w:b/>
                <w:color w:val="000000" w:themeColor="text1"/>
                <w:sz w:val="20"/>
                <w:szCs w:val="20"/>
              </w:rPr>
              <w:t>(atezolizumab)</w:t>
            </w:r>
          </w:p>
          <w:p w14:paraId="16FF7605" w14:textId="5538F80F" w:rsidR="00CC2BF0" w:rsidRPr="00DA65B7" w:rsidRDefault="00CC2BF0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792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czasu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podjęcia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lekarza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prowadzącego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decyzji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wyłączeniu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świadczeniobiorcy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z: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615F6CB7" w14:textId="3E4974D3" w:rsidR="00996CE7" w:rsidRPr="00DA65B7" w:rsidRDefault="00CC2BF0" w:rsidP="00DA65B7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zasadami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terapii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określonymi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punktach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Pr="00DA65B7">
              <w:rPr>
                <w:sz w:val="20"/>
                <w:szCs w:val="20"/>
              </w:rPr>
              <w:t>.2.1.,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Pr="00DA65B7">
              <w:rPr>
                <w:sz w:val="20"/>
                <w:szCs w:val="20"/>
              </w:rPr>
              <w:t>.2.2.,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7</w:t>
            </w:r>
            <w:r w:rsidRPr="00DA65B7">
              <w:rPr>
                <w:sz w:val="20"/>
                <w:szCs w:val="20"/>
              </w:rPr>
              <w:t>.2.3.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24DA8C96" w14:textId="77777777" w:rsidR="0024095E" w:rsidRPr="00DA65B7" w:rsidRDefault="00CC2BF0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oraz</w:t>
            </w:r>
          </w:p>
          <w:p w14:paraId="6F5023BE" w14:textId="5A706EE8" w:rsidR="0054669A" w:rsidRPr="00DA65B7" w:rsidRDefault="00CC2BF0" w:rsidP="00DA65B7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kryteriami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wyłączenia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punkcie</w:t>
            </w:r>
            <w:r w:rsidR="00DA65B7">
              <w:rPr>
                <w:sz w:val="20"/>
                <w:szCs w:val="20"/>
              </w:rPr>
              <w:t xml:space="preserve"> </w:t>
            </w:r>
            <w:r w:rsidR="0054669A" w:rsidRPr="00DA65B7">
              <w:rPr>
                <w:sz w:val="20"/>
                <w:szCs w:val="20"/>
              </w:rPr>
              <w:t>8</w:t>
            </w:r>
            <w:r w:rsidRPr="00DA65B7">
              <w:rPr>
                <w:sz w:val="20"/>
                <w:szCs w:val="20"/>
              </w:rPr>
              <w:t>.</w:t>
            </w:r>
          </w:p>
          <w:p w14:paraId="70781446" w14:textId="3DD61DF5" w:rsidR="00CC2BF0" w:rsidRPr="00DA65B7" w:rsidRDefault="00CC2BF0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Stosowanie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D2C73" w:rsidRPr="00DA65B7">
              <w:rPr>
                <w:sz w:val="20"/>
                <w:szCs w:val="20"/>
              </w:rPr>
              <w:t>pembrolizumabu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(I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linia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leczenia),</w:t>
            </w:r>
            <w:r w:rsidR="00DA65B7">
              <w:rPr>
                <w:sz w:val="20"/>
                <w:szCs w:val="20"/>
              </w:rPr>
              <w:t xml:space="preserve"> </w:t>
            </w:r>
            <w:r w:rsidR="007D2C73" w:rsidRPr="00DA65B7">
              <w:rPr>
                <w:sz w:val="20"/>
                <w:szCs w:val="20"/>
              </w:rPr>
              <w:t>niwolumabu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C14FDC" w:rsidRPr="00DA65B7">
              <w:rPr>
                <w:sz w:val="20"/>
                <w:szCs w:val="20"/>
              </w:rPr>
              <w:t>(II</w:t>
            </w:r>
            <w:r w:rsidR="00DA65B7">
              <w:rPr>
                <w:sz w:val="20"/>
                <w:szCs w:val="20"/>
              </w:rPr>
              <w:t xml:space="preserve"> </w:t>
            </w:r>
            <w:r w:rsidR="00C14FDC" w:rsidRPr="00DA65B7">
              <w:rPr>
                <w:sz w:val="20"/>
                <w:szCs w:val="20"/>
              </w:rPr>
              <w:t>linia</w:t>
            </w:r>
            <w:r w:rsidR="00DA65B7">
              <w:rPr>
                <w:sz w:val="20"/>
                <w:szCs w:val="20"/>
              </w:rPr>
              <w:t xml:space="preserve"> </w:t>
            </w:r>
            <w:r w:rsidR="00C14FDC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atezolizumabu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(II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linia</w:t>
            </w:r>
            <w:r w:rsidR="00DA65B7">
              <w:rPr>
                <w:sz w:val="20"/>
                <w:szCs w:val="20"/>
              </w:rPr>
              <w:t xml:space="preserve"> </w:t>
            </w:r>
            <w:r w:rsidR="00A530F4" w:rsidRPr="00DA65B7">
              <w:rPr>
                <w:sz w:val="20"/>
                <w:szCs w:val="20"/>
              </w:rPr>
              <w:t>leczenia)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prowadzone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stwierdzenia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choroby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wystąpienia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poważnych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działań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niepożądanych.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w/w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okresowe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przerwanie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przypadkach</w:t>
            </w:r>
            <w:r w:rsidR="00DA65B7">
              <w:rPr>
                <w:sz w:val="20"/>
                <w:szCs w:val="20"/>
              </w:rPr>
              <w:t xml:space="preserve"> </w:t>
            </w:r>
            <w:r w:rsidR="00ED1318" w:rsidRPr="00DA65B7">
              <w:rPr>
                <w:sz w:val="20"/>
                <w:szCs w:val="20"/>
              </w:rPr>
              <w:t>wystąpienia:</w:t>
            </w:r>
          </w:p>
          <w:p w14:paraId="49AEC321" w14:textId="70A5E9A5" w:rsidR="00ED1318" w:rsidRPr="00DA65B7" w:rsidRDefault="00ED1318" w:rsidP="00DA65B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zapalenia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większym;</w:t>
            </w:r>
          </w:p>
          <w:p w14:paraId="5080B303" w14:textId="0347E2DD" w:rsidR="00ED1318" w:rsidRPr="00DA65B7" w:rsidRDefault="00ED1318" w:rsidP="00DA65B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biegunki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zapalenia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jelita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grubego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większym;</w:t>
            </w:r>
          </w:p>
          <w:p w14:paraId="746054C0" w14:textId="7ABAB1A5" w:rsidR="00ED1318" w:rsidRPr="00DA65B7" w:rsidRDefault="00ED1318" w:rsidP="00DA65B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transaminaz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większej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3-krotna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mniejszej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5-krotna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wartość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bilirubiny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całkowitej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większej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mniejszej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3-krotna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wartość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normy;</w:t>
            </w:r>
          </w:p>
          <w:p w14:paraId="2EA041B6" w14:textId="5F64F50D" w:rsidR="00ED1318" w:rsidRPr="00DA65B7" w:rsidRDefault="00ED1318" w:rsidP="00DA65B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kreatyniny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większego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mniejszego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6-krotna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wartość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górnej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granicy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normy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zwiększenia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powyżej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1,5-krotności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wartości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stwierdzonej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leczeniem;</w:t>
            </w:r>
          </w:p>
          <w:p w14:paraId="5505B59D" w14:textId="15762B09" w:rsidR="00ED1318" w:rsidRPr="00DA65B7" w:rsidRDefault="00ED1318" w:rsidP="00DA65B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niepożądanych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dzi</w:t>
            </w:r>
            <w:r w:rsidR="00370C19" w:rsidRPr="00DA65B7">
              <w:rPr>
                <w:sz w:val="20"/>
                <w:szCs w:val="20"/>
              </w:rPr>
              <w:t>ałań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3.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większym;</w:t>
            </w:r>
          </w:p>
          <w:p w14:paraId="57152159" w14:textId="74E1936C" w:rsidR="00CC2BF0" w:rsidRPr="00DA65B7" w:rsidRDefault="00944A71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czasie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konieczne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wykonywanie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badań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(dodatkowe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wykonuje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zależności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sytuacji</w:t>
            </w:r>
            <w:r w:rsidR="00DA65B7">
              <w:rPr>
                <w:sz w:val="20"/>
                <w:szCs w:val="20"/>
              </w:rPr>
              <w:t xml:space="preserve"> </w:t>
            </w:r>
            <w:r w:rsidR="00CC2BF0" w:rsidRPr="00DA65B7">
              <w:rPr>
                <w:sz w:val="20"/>
                <w:szCs w:val="20"/>
              </w:rPr>
              <w:t>klinicznej):</w:t>
            </w:r>
          </w:p>
          <w:p w14:paraId="60AD40F3" w14:textId="1D810C55" w:rsidR="00CC2BF0" w:rsidRPr="00DA65B7" w:rsidRDefault="00CC2BF0" w:rsidP="00DA65B7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leczeniem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wcześniej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zastosowaniem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dawki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leku;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71A1A083" w14:textId="646829DD" w:rsidR="00CC2BF0" w:rsidRPr="00DA65B7" w:rsidRDefault="00CC2BF0" w:rsidP="00DA65B7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czasie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3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miesiące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(ważność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14</w:t>
            </w:r>
            <w:r w:rsidR="00DA65B7">
              <w:rPr>
                <w:sz w:val="20"/>
                <w:szCs w:val="20"/>
              </w:rPr>
              <w:t xml:space="preserve"> </w:t>
            </w:r>
            <w:r w:rsidR="00370C19" w:rsidRPr="00DA65B7">
              <w:rPr>
                <w:sz w:val="20"/>
                <w:szCs w:val="20"/>
              </w:rPr>
              <w:t>dni);</w:t>
            </w:r>
          </w:p>
          <w:p w14:paraId="6097B38E" w14:textId="771A938E" w:rsidR="00CC2BF0" w:rsidRPr="00DA65B7" w:rsidRDefault="00CC2BF0" w:rsidP="00DA65B7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obejmują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ocenę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1.1.:</w:t>
            </w:r>
          </w:p>
          <w:p w14:paraId="36D03311" w14:textId="53C387E5" w:rsidR="00CC2BF0" w:rsidRPr="00DA65B7" w:rsidRDefault="00CC2BF0" w:rsidP="00DA65B7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zmiany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tomografii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komputerowej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(TK)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klatki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piersiowej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objęciem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nadbrzusza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(jeżeli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guz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istnieje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stanu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resekcji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miąższu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rozpoznania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nowotworu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ustalenia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ogniska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pierwotnego,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konieczne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wykazanie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przerzutowych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mierzalnych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policzalnych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niemierzalnych);</w:t>
            </w:r>
          </w:p>
          <w:p w14:paraId="6C43DCE7" w14:textId="3D9D4258" w:rsidR="006C67CC" w:rsidRDefault="00CC2BF0" w:rsidP="00DA65B7">
            <w:pPr>
              <w:pStyle w:val="Akapitzlist"/>
              <w:numPr>
                <w:ilvl w:val="4"/>
                <w:numId w:val="43"/>
              </w:numPr>
              <w:autoSpaceDE w:val="0"/>
              <w:autoSpaceDN w:val="0"/>
              <w:adjustRightInd w:val="0"/>
              <w:spacing w:after="60"/>
              <w:ind w:left="162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przerzutowych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TK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(np.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ultrasonografia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USG,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magnetyczny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rezonans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MR,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scyntygrafia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inne),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czym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obejmować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ocenę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stwierdzon</w:t>
            </w:r>
            <w:r w:rsidR="00A77E8F" w:rsidRPr="00DA65B7">
              <w:rPr>
                <w:sz w:val="20"/>
                <w:szCs w:val="20"/>
              </w:rPr>
              <w:t>ych</w:t>
            </w:r>
            <w:r w:rsidR="00DA65B7">
              <w:rPr>
                <w:sz w:val="20"/>
                <w:szCs w:val="20"/>
              </w:rPr>
              <w:t xml:space="preserve"> </w:t>
            </w:r>
            <w:r w:rsidR="00A77E8F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A77E8F" w:rsidRPr="00DA65B7">
              <w:rPr>
                <w:sz w:val="20"/>
                <w:szCs w:val="20"/>
              </w:rPr>
              <w:t>rozpoczęciem</w:t>
            </w:r>
            <w:r w:rsidR="00DA65B7">
              <w:rPr>
                <w:sz w:val="20"/>
                <w:szCs w:val="20"/>
              </w:rPr>
              <w:t xml:space="preserve"> </w:t>
            </w:r>
            <w:r w:rsidR="00A77E8F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>.</w:t>
            </w:r>
          </w:p>
          <w:p w14:paraId="0AC1BE5D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ind w:left="1272"/>
              <w:jc w:val="both"/>
              <w:rPr>
                <w:sz w:val="20"/>
                <w:szCs w:val="20"/>
              </w:rPr>
            </w:pPr>
          </w:p>
          <w:p w14:paraId="49FEAA99" w14:textId="14323158" w:rsidR="0054669A" w:rsidRPr="00DA65B7" w:rsidRDefault="000F5D97" w:rsidP="00DA65B7">
            <w:pPr>
              <w:pStyle w:val="Akapitzlist"/>
              <w:numPr>
                <w:ilvl w:val="0"/>
                <w:numId w:val="13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Kryteria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wyłączenia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z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programu</w:t>
            </w:r>
          </w:p>
          <w:p w14:paraId="49E380F5" w14:textId="3C119E06" w:rsidR="008B709D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F5D97" w:rsidRPr="00DA65B7">
              <w:rPr>
                <w:sz w:val="20"/>
                <w:szCs w:val="20"/>
              </w:rPr>
              <w:t>ystąpienie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progresj</w:t>
            </w:r>
            <w:r w:rsidR="000F5D97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choroby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potwierdzonej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badaniu</w:t>
            </w:r>
            <w:r w:rsidR="00DA65B7">
              <w:rPr>
                <w:sz w:val="20"/>
                <w:szCs w:val="20"/>
              </w:rPr>
              <w:t xml:space="preserve"> </w:t>
            </w:r>
            <w:r w:rsidR="00767F56" w:rsidRPr="00DA65B7">
              <w:rPr>
                <w:sz w:val="20"/>
                <w:szCs w:val="20"/>
              </w:rPr>
              <w:t>przedmiotowym</w:t>
            </w:r>
            <w:r w:rsidR="00DA65B7">
              <w:rPr>
                <w:sz w:val="20"/>
                <w:szCs w:val="20"/>
              </w:rPr>
              <w:t xml:space="preserve"> </w:t>
            </w:r>
            <w:r w:rsidR="00767F56" w:rsidRPr="00DA65B7">
              <w:rPr>
                <w:sz w:val="20"/>
                <w:szCs w:val="20"/>
              </w:rPr>
              <w:t>lub/i</w:t>
            </w:r>
            <w:r w:rsidR="00DA65B7">
              <w:rPr>
                <w:sz w:val="20"/>
                <w:szCs w:val="20"/>
              </w:rPr>
              <w:t xml:space="preserve"> </w:t>
            </w:r>
            <w:r w:rsidR="00767F56" w:rsidRPr="00DA65B7">
              <w:rPr>
                <w:sz w:val="20"/>
                <w:szCs w:val="20"/>
              </w:rPr>
              <w:t>obrazowym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ocenion</w:t>
            </w:r>
            <w:r w:rsidR="000F5D97" w:rsidRPr="00DA65B7">
              <w:rPr>
                <w:sz w:val="20"/>
                <w:szCs w:val="20"/>
              </w:rPr>
              <w:t>ej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skali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84433C" w:rsidRPr="00DA65B7">
              <w:rPr>
                <w:sz w:val="20"/>
                <w:szCs w:val="20"/>
              </w:rPr>
              <w:t>1.1</w:t>
            </w:r>
            <w:r w:rsidR="000F5D97" w:rsidRPr="00DA65B7">
              <w:rPr>
                <w:sz w:val="20"/>
                <w:szCs w:val="20"/>
              </w:rPr>
              <w:t>.</w:t>
            </w:r>
            <w:r w:rsidR="008B709D" w:rsidRPr="00DA65B7">
              <w:rPr>
                <w:sz w:val="20"/>
                <w:szCs w:val="20"/>
              </w:rPr>
              <w:t>:</w:t>
            </w:r>
          </w:p>
          <w:p w14:paraId="37D70B86" w14:textId="53A0D077" w:rsidR="008B709D" w:rsidRPr="00DA65B7" w:rsidRDefault="008B709D" w:rsidP="00DA65B7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/>
              <w:ind w:left="1062" w:hanging="283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powiększenie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istnie</w:t>
            </w:r>
            <w:r w:rsidR="00050638" w:rsidRPr="00DA65B7">
              <w:rPr>
                <w:sz w:val="20"/>
                <w:szCs w:val="20"/>
              </w:rPr>
              <w:t>jących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przynajmniej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20%</w:t>
            </w:r>
            <w:r w:rsidR="006A7462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lub</w:t>
            </w:r>
          </w:p>
          <w:p w14:paraId="4FE1E952" w14:textId="7CBC53BF" w:rsidR="00855D79" w:rsidRPr="00DA65B7" w:rsidRDefault="008B709D" w:rsidP="00DA65B7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/>
              <w:ind w:left="1062" w:hanging="283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pojawienie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przynajmniej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jednej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zmiany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wyjątkiem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progresją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obrębie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OUN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leczonych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kryzotynibem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4A567B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4A567B" w:rsidRPr="00DA65B7">
              <w:rPr>
                <w:sz w:val="20"/>
                <w:szCs w:val="20"/>
              </w:rPr>
              <w:t>alektynibem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cerytynibem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brygatynibem</w:t>
            </w:r>
            <w:r w:rsidR="00481D53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dopuszcza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kontynuowanie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skojarzeniu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radioterapią</w:t>
            </w:r>
            <w:r w:rsidR="00DA65B7">
              <w:rPr>
                <w:sz w:val="20"/>
                <w:szCs w:val="20"/>
              </w:rPr>
              <w:t xml:space="preserve"> </w:t>
            </w:r>
            <w:r w:rsidR="00C730DC" w:rsidRPr="00DA65B7">
              <w:rPr>
                <w:sz w:val="20"/>
                <w:szCs w:val="20"/>
              </w:rPr>
              <w:t>OUN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(wówczas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okresie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3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dni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przed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radioterapii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OUN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konieczność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przerwania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9941FB" w:rsidRPr="00DA65B7">
              <w:rPr>
                <w:sz w:val="20"/>
                <w:szCs w:val="20"/>
              </w:rPr>
              <w:t>kryzotynibem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4A567B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4A567B" w:rsidRPr="00DA65B7">
              <w:rPr>
                <w:sz w:val="20"/>
                <w:szCs w:val="20"/>
              </w:rPr>
              <w:t>alektynibem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D63DE0" w:rsidRPr="00DA65B7">
              <w:rPr>
                <w:sz w:val="20"/>
                <w:szCs w:val="20"/>
              </w:rPr>
              <w:t>cerytynibem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1A03CD" w:rsidRPr="00DA65B7">
              <w:rPr>
                <w:sz w:val="20"/>
                <w:szCs w:val="20"/>
              </w:rPr>
              <w:t>brygatynibem</w:t>
            </w:r>
            <w:r w:rsidR="00481D53" w:rsidRPr="00DA65B7">
              <w:rPr>
                <w:sz w:val="20"/>
                <w:szCs w:val="20"/>
              </w:rPr>
              <w:t>)</w:t>
            </w:r>
            <w:r w:rsidR="00A77E8F" w:rsidRPr="00DA65B7">
              <w:rPr>
                <w:sz w:val="20"/>
                <w:szCs w:val="20"/>
              </w:rPr>
              <w:t>;</w:t>
            </w:r>
          </w:p>
          <w:p w14:paraId="28C0E03B" w14:textId="1FDE9B24" w:rsidR="008B709D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767F56" w:rsidRPr="00DA65B7">
              <w:rPr>
                <w:sz w:val="20"/>
                <w:szCs w:val="20"/>
              </w:rPr>
              <w:t>ogorszenie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67F56" w:rsidRPr="00DA65B7">
              <w:rPr>
                <w:sz w:val="20"/>
                <w:szCs w:val="20"/>
              </w:rPr>
              <w:t>(istotne</w:t>
            </w:r>
            <w:r w:rsidR="00DA65B7">
              <w:rPr>
                <w:sz w:val="20"/>
                <w:szCs w:val="20"/>
              </w:rPr>
              <w:t xml:space="preserve"> </w:t>
            </w:r>
            <w:r w:rsidR="00767F56" w:rsidRPr="00DA65B7">
              <w:rPr>
                <w:sz w:val="20"/>
                <w:szCs w:val="20"/>
              </w:rPr>
              <w:t>klinicznie)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stanu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chorego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związku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nowotworem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bez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progresji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potwierdzonej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badaniu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przedmiotowym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obrazowym;</w:t>
            </w:r>
          </w:p>
          <w:p w14:paraId="0A67116D" w14:textId="2FFAAADA" w:rsidR="00C122EE" w:rsidRPr="00DA65B7" w:rsidRDefault="00A77E8F" w:rsidP="00DA65B7">
            <w:pPr>
              <w:pStyle w:val="Zwykytekst"/>
              <w:numPr>
                <w:ilvl w:val="1"/>
                <w:numId w:val="3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65B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przynajmniej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niepożądanego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będącego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  <w:r w:rsidR="00481D53" w:rsidRPr="00DA65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ang.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ommon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erminology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riteria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dverse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DA65B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vents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B8" w:rsidRPr="00DA65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r w:rsidR="00DA65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  <w:r w:rsidR="00481D53" w:rsidRPr="00DA65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2EE" w:rsidRPr="00DA65B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F143BD8" w14:textId="03B00B89" w:rsidR="00C122EE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C122EE" w:rsidRPr="00DA65B7">
              <w:rPr>
                <w:sz w:val="20"/>
                <w:szCs w:val="20"/>
              </w:rPr>
              <w:t>ystąpienie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nawracającej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nieakceptowalnej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toksyczności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stopniu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3.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4.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CTC-AE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wersji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4.03</w:t>
            </w:r>
            <w:r w:rsidR="00481D53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(wznowienie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możliwe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po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ustąpieniu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objawów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toksyczności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zmniejszeniu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nasilenia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1.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2.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klasyfikacji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CTC-AE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wersji</w:t>
            </w:r>
            <w:r w:rsidR="00DA65B7">
              <w:rPr>
                <w:sz w:val="20"/>
                <w:szCs w:val="20"/>
              </w:rPr>
              <w:t xml:space="preserve"> </w:t>
            </w:r>
            <w:r w:rsidR="00C122EE" w:rsidRPr="00DA65B7">
              <w:rPr>
                <w:sz w:val="20"/>
                <w:szCs w:val="20"/>
              </w:rPr>
              <w:t>4.03</w:t>
            </w:r>
            <w:r w:rsidR="00481D53" w:rsidRPr="00DA65B7">
              <w:rPr>
                <w:sz w:val="20"/>
                <w:szCs w:val="20"/>
              </w:rPr>
              <w:t>.</w:t>
            </w:r>
            <w:r w:rsidR="00C122EE" w:rsidRPr="00DA65B7">
              <w:rPr>
                <w:sz w:val="20"/>
                <w:szCs w:val="20"/>
              </w:rPr>
              <w:t>);</w:t>
            </w:r>
          </w:p>
          <w:p w14:paraId="36489E9E" w14:textId="7DCC1B18" w:rsidR="008B709D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0F5D97" w:rsidRPr="00DA65B7">
              <w:rPr>
                <w:sz w:val="20"/>
                <w:szCs w:val="20"/>
              </w:rPr>
              <w:t>ystąpienie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nadwrażliwoś</w:t>
            </w:r>
            <w:r w:rsidR="008E0CAB" w:rsidRPr="00DA65B7">
              <w:rPr>
                <w:sz w:val="20"/>
                <w:szCs w:val="20"/>
              </w:rPr>
              <w:t>ci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lek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substancję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pomocniczą;</w:t>
            </w:r>
          </w:p>
          <w:p w14:paraId="1AF9E260" w14:textId="61A957B3" w:rsidR="00481D53" w:rsidRPr="00DA65B7" w:rsidRDefault="00F50CD6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481D53" w:rsidRPr="00DA65B7">
              <w:rPr>
                <w:sz w:val="20"/>
                <w:szCs w:val="20"/>
              </w:rPr>
              <w:t>ystąpienie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autoimmunologicznego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zapalenia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narządowego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nasileniu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stopniach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wyższych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wymienione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punkcie</w:t>
            </w:r>
            <w:r w:rsidR="00DA65B7">
              <w:rPr>
                <w:sz w:val="20"/>
                <w:szCs w:val="20"/>
              </w:rPr>
              <w:t xml:space="preserve"> </w:t>
            </w:r>
            <w:r w:rsidR="00BF3039" w:rsidRPr="00DA65B7">
              <w:rPr>
                <w:sz w:val="20"/>
                <w:szCs w:val="20"/>
              </w:rPr>
              <w:t>7</w:t>
            </w:r>
            <w:r w:rsidR="00481D53" w:rsidRPr="00DA65B7">
              <w:rPr>
                <w:sz w:val="20"/>
                <w:szCs w:val="20"/>
              </w:rPr>
              <w:t>.2.1.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inhibitorów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PD1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050638" w:rsidRPr="00DA65B7">
              <w:rPr>
                <w:sz w:val="20"/>
                <w:szCs w:val="20"/>
              </w:rPr>
              <w:t>PDL1;</w:t>
            </w:r>
          </w:p>
          <w:p w14:paraId="7F6E4195" w14:textId="1F9A6902" w:rsidR="008B709D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8B709D" w:rsidRPr="00DA65B7">
              <w:rPr>
                <w:sz w:val="20"/>
                <w:szCs w:val="20"/>
              </w:rPr>
              <w:t>bniżenie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sprawności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stopnia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3-4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WHO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ECOG;</w:t>
            </w:r>
          </w:p>
          <w:p w14:paraId="43D6E09F" w14:textId="7D52E337" w:rsidR="00071A37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071A37" w:rsidRPr="00DA65B7">
              <w:rPr>
                <w:sz w:val="20"/>
                <w:szCs w:val="20"/>
              </w:rPr>
              <w:t>rzerwa</w:t>
            </w:r>
            <w:r w:rsidR="000F5D97"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inhibitorów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ALK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ROS1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dłuższe</w:t>
            </w:r>
            <w:r w:rsidR="00DA65B7">
              <w:rPr>
                <w:sz w:val="20"/>
                <w:szCs w:val="20"/>
              </w:rPr>
              <w:t xml:space="preserve"> </w:t>
            </w:r>
            <w:r w:rsidR="00071A37" w:rsidRPr="00DA65B7">
              <w:rPr>
                <w:sz w:val="20"/>
                <w:szCs w:val="20"/>
              </w:rPr>
              <w:t>niż</w:t>
            </w:r>
            <w:r w:rsidR="00DA65B7">
              <w:rPr>
                <w:sz w:val="20"/>
                <w:szCs w:val="20"/>
              </w:rPr>
              <w:t xml:space="preserve"> </w:t>
            </w:r>
            <w:r w:rsidR="000F5D97" w:rsidRPr="00DA65B7">
              <w:rPr>
                <w:sz w:val="20"/>
                <w:szCs w:val="20"/>
              </w:rPr>
              <w:t>3</w:t>
            </w:r>
            <w:r w:rsidR="00DA65B7">
              <w:rPr>
                <w:sz w:val="20"/>
                <w:szCs w:val="20"/>
              </w:rPr>
              <w:t xml:space="preserve"> </w:t>
            </w:r>
            <w:r w:rsidR="00071A37" w:rsidRPr="00DA65B7">
              <w:rPr>
                <w:sz w:val="20"/>
                <w:szCs w:val="20"/>
              </w:rPr>
              <w:t>tygodnie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wskutek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wystąpienia</w:t>
            </w:r>
            <w:r w:rsidR="00DA65B7">
              <w:rPr>
                <w:sz w:val="20"/>
                <w:szCs w:val="20"/>
              </w:rPr>
              <w:t xml:space="preserve"> </w:t>
            </w:r>
            <w:r w:rsidR="00071A37" w:rsidRPr="00DA65B7">
              <w:rPr>
                <w:sz w:val="20"/>
                <w:szCs w:val="20"/>
              </w:rPr>
              <w:t>niepożądany</w:t>
            </w:r>
            <w:r w:rsidR="00481D53" w:rsidRPr="00DA65B7">
              <w:rPr>
                <w:sz w:val="20"/>
                <w:szCs w:val="20"/>
              </w:rPr>
              <w:t>ch</w:t>
            </w:r>
            <w:r w:rsidR="00DA65B7">
              <w:rPr>
                <w:sz w:val="20"/>
                <w:szCs w:val="20"/>
              </w:rPr>
              <w:t xml:space="preserve"> </w:t>
            </w:r>
            <w:r w:rsidR="00071A37" w:rsidRPr="00DA65B7">
              <w:rPr>
                <w:sz w:val="20"/>
                <w:szCs w:val="20"/>
              </w:rPr>
              <w:t>działa</w:t>
            </w:r>
            <w:r w:rsidR="00481D53" w:rsidRPr="00DA65B7">
              <w:rPr>
                <w:sz w:val="20"/>
                <w:szCs w:val="20"/>
              </w:rPr>
              <w:t>ń</w:t>
            </w:r>
            <w:r w:rsidR="00DA65B7">
              <w:rPr>
                <w:sz w:val="20"/>
                <w:szCs w:val="20"/>
              </w:rPr>
              <w:t xml:space="preserve"> </w:t>
            </w:r>
            <w:r w:rsidR="00071A37" w:rsidRPr="00DA65B7">
              <w:rPr>
                <w:sz w:val="20"/>
                <w:szCs w:val="20"/>
              </w:rPr>
              <w:t>leczenia</w:t>
            </w:r>
            <w:r w:rsidR="00ED5F5B" w:rsidRPr="00DA65B7">
              <w:rPr>
                <w:sz w:val="20"/>
                <w:szCs w:val="20"/>
              </w:rPr>
              <w:t>;</w:t>
            </w:r>
          </w:p>
          <w:p w14:paraId="25741864" w14:textId="2F9C2CA1" w:rsidR="000E7B7F" w:rsidRPr="00DA65B7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8B709D" w:rsidRPr="00DA65B7">
              <w:rPr>
                <w:sz w:val="20"/>
                <w:szCs w:val="20"/>
              </w:rPr>
              <w:t>ogorszenie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jakości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życia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istotnym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znaczeniu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według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lekarza;</w:t>
            </w:r>
          </w:p>
          <w:p w14:paraId="71D88BFE" w14:textId="5A63EF42" w:rsidR="003E44D4" w:rsidRDefault="00A77E8F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ind w:left="776" w:hanging="419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8B709D" w:rsidRPr="00DA65B7">
              <w:rPr>
                <w:sz w:val="20"/>
                <w:szCs w:val="20"/>
              </w:rPr>
              <w:t>ycofanie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zgody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udział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8B709D" w:rsidRPr="00DA65B7">
              <w:rPr>
                <w:sz w:val="20"/>
                <w:szCs w:val="20"/>
              </w:rPr>
              <w:t>programie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(rezygnacja</w:t>
            </w:r>
            <w:r w:rsidR="00DA65B7">
              <w:rPr>
                <w:sz w:val="20"/>
                <w:szCs w:val="20"/>
              </w:rPr>
              <w:t xml:space="preserve"> </w:t>
            </w:r>
            <w:r w:rsidR="00481D53" w:rsidRPr="00DA65B7">
              <w:rPr>
                <w:sz w:val="20"/>
                <w:szCs w:val="20"/>
              </w:rPr>
              <w:t>chorego)</w:t>
            </w:r>
            <w:r w:rsidR="00DA65B7">
              <w:rPr>
                <w:sz w:val="20"/>
                <w:szCs w:val="20"/>
              </w:rPr>
              <w:t>.</w:t>
            </w:r>
          </w:p>
          <w:p w14:paraId="7B83AC88" w14:textId="77777777" w:rsidR="00DA65B7" w:rsidRPr="00DA65B7" w:rsidRDefault="00DA65B7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776"/>
              <w:contextualSpacing w:val="0"/>
              <w:jc w:val="both"/>
              <w:rPr>
                <w:sz w:val="20"/>
                <w:szCs w:val="20"/>
              </w:rPr>
            </w:pPr>
          </w:p>
          <w:p w14:paraId="04ECECE3" w14:textId="4ACA55D2" w:rsidR="00A67080" w:rsidRPr="00DA65B7" w:rsidRDefault="003E44D4" w:rsidP="00DA65B7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Kontynuacja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leczenia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pacjentów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po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zakończeniu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finansowania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ramach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chemioterapii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niestandardowej</w:t>
            </w:r>
          </w:p>
          <w:p w14:paraId="1048646F" w14:textId="63876E56" w:rsidR="00A67080" w:rsidRPr="00DA65B7" w:rsidRDefault="003E44D4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kwietnia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2018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roku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kwalifikowani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mogą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pacjenci,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było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finansowane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ramach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niestandardowej.</w:t>
            </w:r>
          </w:p>
          <w:p w14:paraId="4441B0FE" w14:textId="40768862" w:rsidR="00A67080" w:rsidRPr="00DA65B7" w:rsidRDefault="003E44D4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Kwalifikacja,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pkt.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9</w:t>
            </w:r>
            <w:r w:rsidR="00871DF4" w:rsidRPr="00DA65B7">
              <w:rPr>
                <w:sz w:val="20"/>
                <w:szCs w:val="20"/>
              </w:rPr>
              <w:t>.</w:t>
            </w:r>
            <w:r w:rsidRPr="00DA65B7">
              <w:rPr>
                <w:sz w:val="20"/>
                <w:szCs w:val="20"/>
              </w:rPr>
              <w:t>1,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dotyczy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samą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substancją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czynną,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była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finansowana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ramach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chemioterapii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niestandardowej.</w:t>
            </w:r>
          </w:p>
          <w:p w14:paraId="272FE2BB" w14:textId="4E7E11ED" w:rsidR="00A67080" w:rsidRPr="00DA65B7" w:rsidRDefault="005E095C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Pacjenci,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pkt.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9</w:t>
            </w:r>
            <w:r w:rsidR="00871DF4" w:rsidRPr="00DA65B7">
              <w:rPr>
                <w:sz w:val="20"/>
                <w:szCs w:val="20"/>
              </w:rPr>
              <w:t>.</w:t>
            </w:r>
            <w:r w:rsidR="003E44D4" w:rsidRPr="00DA65B7">
              <w:rPr>
                <w:sz w:val="20"/>
                <w:szCs w:val="20"/>
              </w:rPr>
              <w:t>1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muszą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spełniać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chwili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kwalifikacji,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innych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wymaganych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włączenia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programu.</w:t>
            </w:r>
          </w:p>
          <w:p w14:paraId="24074CD4" w14:textId="082CD529" w:rsidR="00855D79" w:rsidRPr="00DA65B7" w:rsidRDefault="003E44D4" w:rsidP="00DA65B7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Pacjenci,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pkt.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9</w:t>
            </w:r>
            <w:r w:rsidR="00871DF4" w:rsidRPr="00DA65B7">
              <w:rPr>
                <w:sz w:val="20"/>
                <w:szCs w:val="20"/>
              </w:rPr>
              <w:t>.</w:t>
            </w:r>
            <w:r w:rsidRPr="00DA65B7">
              <w:rPr>
                <w:sz w:val="20"/>
                <w:szCs w:val="20"/>
              </w:rPr>
              <w:t>1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kontynuują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ramach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momentu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podjęcia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decyzji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przez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lekarza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prowadzącego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zakończeniu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danym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lekiem.</w:t>
            </w:r>
          </w:p>
          <w:p w14:paraId="7319ED55" w14:textId="1B18DDF2" w:rsidR="00DA65B7" w:rsidRPr="00DA65B7" w:rsidRDefault="00DA65B7" w:rsidP="00DA65B7">
            <w:pPr>
              <w:pStyle w:val="Akapitzlist"/>
              <w:autoSpaceDE w:val="0"/>
              <w:autoSpaceDN w:val="0"/>
              <w:adjustRightInd w:val="0"/>
              <w:spacing w:after="60"/>
              <w:ind w:left="717"/>
              <w:contextualSpacing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</w:tcPr>
          <w:p w14:paraId="44B2C812" w14:textId="630DF291" w:rsidR="00404AFA" w:rsidRPr="00DA65B7" w:rsidRDefault="00404AFA" w:rsidP="005E36D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Dawkowanie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leków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programie</w:t>
            </w:r>
          </w:p>
          <w:p w14:paraId="19B22D7D" w14:textId="29B7E622" w:rsidR="00B2385C" w:rsidRPr="00DA65B7" w:rsidRDefault="009F47D2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Dawkowanie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leków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programie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modyfikowanie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zgodne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Leczniczego.</w:t>
            </w:r>
            <w:r w:rsidR="00DA6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1" w:type="pct"/>
          </w:tcPr>
          <w:p w14:paraId="6387CACE" w14:textId="68D0A2E2" w:rsidR="006570B2" w:rsidRPr="00DA65B7" w:rsidRDefault="001D7CB9" w:rsidP="005E36D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/>
              <w:ind w:left="357" w:hanging="357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bCs/>
                <w:sz w:val="20"/>
                <w:szCs w:val="20"/>
              </w:rPr>
              <w:t>Badania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przy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kwalifik</w:t>
            </w:r>
            <w:r w:rsidR="00927291" w:rsidRPr="00DA65B7">
              <w:rPr>
                <w:b/>
                <w:bCs/>
                <w:sz w:val="20"/>
                <w:szCs w:val="20"/>
              </w:rPr>
              <w:t>owaniu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do</w:t>
            </w:r>
            <w:r w:rsidR="00DA65B7">
              <w:rPr>
                <w:b/>
                <w:bCs/>
                <w:sz w:val="20"/>
                <w:szCs w:val="20"/>
              </w:rPr>
              <w:t xml:space="preserve"> </w:t>
            </w:r>
            <w:r w:rsidRPr="00DA65B7">
              <w:rPr>
                <w:b/>
                <w:bCs/>
                <w:sz w:val="20"/>
                <w:szCs w:val="20"/>
              </w:rPr>
              <w:t>leczenia</w:t>
            </w:r>
          </w:p>
          <w:p w14:paraId="6B7C3C17" w14:textId="6EEA3BA9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H</w:t>
            </w:r>
            <w:r w:rsidR="00EE4BBD" w:rsidRPr="00DA65B7">
              <w:rPr>
                <w:sz w:val="20"/>
                <w:szCs w:val="20"/>
              </w:rPr>
              <w:t>istologiczne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9A23D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A23DC" w:rsidRPr="00DA65B7">
              <w:rPr>
                <w:sz w:val="20"/>
                <w:szCs w:val="20"/>
              </w:rPr>
              <w:t>cytologiczne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potwierdzenie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określonego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typu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niedrobnokomórkowego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raka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płuca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kryteriami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kwalifikowania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chorych</w:t>
            </w:r>
            <w:r w:rsidR="00EE4BBD" w:rsidRPr="00DA65B7">
              <w:rPr>
                <w:sz w:val="20"/>
                <w:szCs w:val="20"/>
              </w:rPr>
              <w:t>;</w:t>
            </w:r>
          </w:p>
          <w:p w14:paraId="181A36D8" w14:textId="5E47958A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9A23DC" w:rsidRPr="00DA65B7">
              <w:rPr>
                <w:sz w:val="20"/>
                <w:szCs w:val="20"/>
              </w:rPr>
              <w:t>otwierdzenie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obecności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odpowiednich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czynników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molekularnych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(stan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genów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EGFR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ALK</w:t>
            </w:r>
            <w:r w:rsidR="00DA65B7">
              <w:rPr>
                <w:sz w:val="20"/>
                <w:szCs w:val="20"/>
              </w:rPr>
              <w:t xml:space="preserve"> </w:t>
            </w:r>
            <w:r w:rsidR="00BC7849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B122C2" w:rsidRPr="00DA65B7">
              <w:rPr>
                <w:sz w:val="20"/>
                <w:szCs w:val="20"/>
              </w:rPr>
              <w:t>ROS1</w:t>
            </w:r>
            <w:r w:rsidR="00ED279A" w:rsidRPr="00DA65B7">
              <w:rPr>
                <w:sz w:val="20"/>
                <w:szCs w:val="20"/>
              </w:rPr>
              <w:t>)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immunohistochemicznych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ED279A" w:rsidRPr="00DA65B7">
              <w:rPr>
                <w:sz w:val="20"/>
                <w:szCs w:val="20"/>
              </w:rPr>
              <w:t>(</w:t>
            </w:r>
            <w:r w:rsidR="009F47D2" w:rsidRPr="00DA65B7">
              <w:rPr>
                <w:sz w:val="20"/>
                <w:szCs w:val="20"/>
              </w:rPr>
              <w:t>stopień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ekspresji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PDL1)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kryteriami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kwalifikowania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chorych</w:t>
            </w:r>
            <w:r w:rsidR="00DA65B7">
              <w:rPr>
                <w:sz w:val="20"/>
                <w:szCs w:val="20"/>
              </w:rPr>
              <w:t xml:space="preserve"> </w:t>
            </w:r>
            <w:r w:rsidR="005925D4" w:rsidRPr="00DA65B7">
              <w:rPr>
                <w:sz w:val="20"/>
                <w:szCs w:val="20"/>
              </w:rPr>
              <w:t>(</w:t>
            </w:r>
            <w:r w:rsidR="000D34D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pierwszej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kolejności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należy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wykonać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badanie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kierunku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mutacji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genie</w:t>
            </w:r>
            <w:r w:rsidR="00DA65B7">
              <w:rPr>
                <w:sz w:val="20"/>
                <w:szCs w:val="20"/>
              </w:rPr>
              <w:t xml:space="preserve"> </w:t>
            </w:r>
            <w:r w:rsidR="000D34D2" w:rsidRPr="00DA65B7">
              <w:rPr>
                <w:sz w:val="20"/>
                <w:szCs w:val="20"/>
              </w:rPr>
              <w:t>EGFR</w:t>
            </w:r>
            <w:r w:rsidR="00260CD4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uzasadniają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wytyczne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postępowania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60CD4" w:rsidRPr="00DA65B7">
              <w:rPr>
                <w:sz w:val="20"/>
                <w:szCs w:val="20"/>
              </w:rPr>
              <w:t>diagnostycznego</w:t>
            </w:r>
            <w:r w:rsidR="000D34D2" w:rsidRPr="00DA65B7">
              <w:rPr>
                <w:sz w:val="20"/>
                <w:szCs w:val="20"/>
              </w:rPr>
              <w:t>)</w:t>
            </w:r>
            <w:r w:rsidR="00B61DDB" w:rsidRPr="00DA65B7">
              <w:rPr>
                <w:sz w:val="20"/>
                <w:szCs w:val="20"/>
              </w:rPr>
              <w:t>;</w:t>
            </w:r>
          </w:p>
          <w:p w14:paraId="40B6B2F1" w14:textId="520EA4EC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M</w:t>
            </w:r>
            <w:r w:rsidR="00EE4BBD" w:rsidRPr="00DA65B7">
              <w:rPr>
                <w:sz w:val="20"/>
                <w:szCs w:val="20"/>
              </w:rPr>
              <w:t>orfologia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krwi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rozmazem;</w:t>
            </w:r>
          </w:p>
          <w:p w14:paraId="3BFBA36A" w14:textId="77EEF2C2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EE4BBD" w:rsidRPr="00DA65B7">
              <w:rPr>
                <w:sz w:val="20"/>
                <w:szCs w:val="20"/>
              </w:rPr>
              <w:t>znaczenia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kreatyniny;</w:t>
            </w:r>
          </w:p>
          <w:p w14:paraId="3FB8E782" w14:textId="0D8E2A65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EE4BBD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bilirubiny;</w:t>
            </w:r>
          </w:p>
          <w:p w14:paraId="33964370" w14:textId="3FDEABB6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EE4BBD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aminotransferazy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alaninowej;</w:t>
            </w:r>
          </w:p>
          <w:p w14:paraId="26A5F808" w14:textId="0D30F0C2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EE4BBD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aminotransferazy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asparaginianowej;</w:t>
            </w:r>
          </w:p>
          <w:p w14:paraId="4829044D" w14:textId="6FDDDDB9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EE4BBD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zasadowej;</w:t>
            </w:r>
          </w:p>
          <w:p w14:paraId="6896DD0E" w14:textId="37FCE896" w:rsidR="009F47D2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9F47D2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T3,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T4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TSH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inhibitorów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PD1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PDL1;</w:t>
            </w:r>
          </w:p>
          <w:p w14:paraId="7EAB4F2E" w14:textId="58E58BBB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T</w:t>
            </w:r>
            <w:r w:rsidR="00EE4BBD" w:rsidRPr="00DA65B7">
              <w:rPr>
                <w:sz w:val="20"/>
                <w:szCs w:val="20"/>
              </w:rPr>
              <w:t>est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ciążowy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u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kobiet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wieku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rozrodczym;</w:t>
            </w:r>
          </w:p>
          <w:p w14:paraId="0D098389" w14:textId="01DA1069" w:rsidR="009F47D2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E</w:t>
            </w:r>
            <w:r w:rsidR="009F47D2" w:rsidRPr="00DA65B7">
              <w:rPr>
                <w:sz w:val="20"/>
                <w:szCs w:val="20"/>
              </w:rPr>
              <w:t>lektrokardiografia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(EKG);</w:t>
            </w:r>
          </w:p>
          <w:p w14:paraId="4107E0EE" w14:textId="0040FB3E" w:rsidR="00EE4BBD" w:rsidRPr="00DA65B7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</w:t>
            </w:r>
            <w:r w:rsidR="00EE4BBD" w:rsidRPr="00DA65B7">
              <w:rPr>
                <w:sz w:val="20"/>
                <w:szCs w:val="20"/>
              </w:rPr>
              <w:t>adanie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TK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klatki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piersiowej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objęciem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nadbrzusza;</w:t>
            </w:r>
          </w:p>
          <w:p w14:paraId="664CF335" w14:textId="54BF5F18" w:rsidR="001B0059" w:rsidRDefault="00955CE8" w:rsidP="00DA65B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I</w:t>
            </w:r>
            <w:r w:rsidR="009F47D2" w:rsidRPr="00DA65B7">
              <w:rPr>
                <w:sz w:val="20"/>
                <w:szCs w:val="20"/>
              </w:rPr>
              <w:t>nne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za</w:t>
            </w:r>
            <w:r w:rsidRPr="00DA65B7">
              <w:rPr>
                <w:sz w:val="20"/>
                <w:szCs w:val="20"/>
              </w:rPr>
              <w:t>leżności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sytuacji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klinicznej</w:t>
            </w:r>
            <w:r w:rsidR="00DA65B7">
              <w:rPr>
                <w:sz w:val="20"/>
                <w:szCs w:val="20"/>
              </w:rPr>
              <w:t>.</w:t>
            </w:r>
          </w:p>
          <w:p w14:paraId="56885A21" w14:textId="77777777" w:rsidR="00DA65B7" w:rsidRPr="00DA65B7" w:rsidRDefault="00DA65B7" w:rsidP="00DA65B7">
            <w:pPr>
              <w:pStyle w:val="Akapitzlist"/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</w:p>
          <w:p w14:paraId="7BEFF692" w14:textId="25C1E08D" w:rsidR="00B6275C" w:rsidRPr="00DA65B7" w:rsidRDefault="009F47D2" w:rsidP="00DA65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Badania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celu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m</w:t>
            </w:r>
            <w:r w:rsidR="00EE4BBD" w:rsidRPr="00DA65B7">
              <w:rPr>
                <w:b/>
                <w:sz w:val="20"/>
                <w:szCs w:val="20"/>
              </w:rPr>
              <w:t>onitorowani</w:t>
            </w:r>
            <w:r w:rsidRPr="00DA65B7">
              <w:rPr>
                <w:b/>
                <w:sz w:val="20"/>
                <w:szCs w:val="20"/>
              </w:rPr>
              <w:t>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EE4BBD" w:rsidRPr="00DA65B7">
              <w:rPr>
                <w:b/>
                <w:sz w:val="20"/>
                <w:szCs w:val="20"/>
              </w:rPr>
              <w:t>bezpieczeństwa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EE4BBD" w:rsidRPr="00DA65B7">
              <w:rPr>
                <w:b/>
                <w:sz w:val="20"/>
                <w:szCs w:val="20"/>
              </w:rPr>
              <w:t>leczenia</w:t>
            </w:r>
          </w:p>
          <w:p w14:paraId="3FD33174" w14:textId="74B20348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M</w:t>
            </w:r>
            <w:r w:rsidR="00B6275C" w:rsidRPr="00DA65B7">
              <w:rPr>
                <w:sz w:val="20"/>
                <w:szCs w:val="20"/>
              </w:rPr>
              <w:t>orfologia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krwi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rozmazem;</w:t>
            </w:r>
          </w:p>
          <w:p w14:paraId="241D1711" w14:textId="0BC90195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6275C" w:rsidRPr="00DA65B7">
              <w:rPr>
                <w:sz w:val="20"/>
                <w:szCs w:val="20"/>
              </w:rPr>
              <w:t>znaczenia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kreatyniny;</w:t>
            </w:r>
          </w:p>
          <w:p w14:paraId="0B0ABE8C" w14:textId="2671372A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6275C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stężenia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bilirubiny;</w:t>
            </w:r>
          </w:p>
          <w:p w14:paraId="363CAC65" w14:textId="0C9DCEB9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6275C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aminotransferazy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alaninowej;</w:t>
            </w:r>
          </w:p>
          <w:p w14:paraId="50AE669F" w14:textId="490A8BDC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6275C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aminotransferazy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asparaginianowej;</w:t>
            </w:r>
          </w:p>
          <w:p w14:paraId="4DA3C9FD" w14:textId="3F80790B" w:rsidR="00B6275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B6275C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fosfatazy</w:t>
            </w:r>
            <w:r w:rsidR="00DA65B7">
              <w:rPr>
                <w:sz w:val="20"/>
                <w:szCs w:val="20"/>
              </w:rPr>
              <w:t xml:space="preserve"> </w:t>
            </w:r>
            <w:r w:rsidR="00B6275C" w:rsidRPr="00DA65B7">
              <w:rPr>
                <w:sz w:val="20"/>
                <w:szCs w:val="20"/>
              </w:rPr>
              <w:t>zasadowej;</w:t>
            </w:r>
          </w:p>
          <w:p w14:paraId="1F88BBCA" w14:textId="2211A82E" w:rsidR="009F47D2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9F47D2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T3,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T4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TSH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stosowania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inhibitorów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PD1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9F47D2" w:rsidRPr="00DA65B7">
              <w:rPr>
                <w:sz w:val="20"/>
                <w:szCs w:val="20"/>
              </w:rPr>
              <w:t>PDL1;</w:t>
            </w:r>
          </w:p>
          <w:p w14:paraId="5B98F5CB" w14:textId="77777777" w:rsidR="001B0059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EKG;</w:t>
            </w:r>
          </w:p>
          <w:p w14:paraId="161A5C8B" w14:textId="68E4A3C4" w:rsidR="00F17C9C" w:rsidRPr="00DA65B7" w:rsidRDefault="00955CE8" w:rsidP="00DA65B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</w:t>
            </w:r>
            <w:r w:rsidR="00F17C9C" w:rsidRPr="00DA65B7">
              <w:rPr>
                <w:sz w:val="20"/>
                <w:szCs w:val="20"/>
              </w:rPr>
              <w:t>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kinazy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fosfokreatynowej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F17C9C" w:rsidRPr="00DA65B7">
              <w:rPr>
                <w:sz w:val="20"/>
                <w:szCs w:val="20"/>
              </w:rPr>
              <w:t>alektynibu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4C3A69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4C3A69" w:rsidRPr="00DA65B7">
              <w:rPr>
                <w:sz w:val="20"/>
                <w:szCs w:val="20"/>
              </w:rPr>
              <w:t>brygatynibu</w:t>
            </w:r>
            <w:r w:rsidR="00DA65B7">
              <w:rPr>
                <w:sz w:val="20"/>
                <w:szCs w:val="20"/>
              </w:rPr>
              <w:t>.</w:t>
            </w:r>
          </w:p>
          <w:p w14:paraId="59887638" w14:textId="0B1FBA49" w:rsidR="000C6A47" w:rsidRPr="00DA65B7" w:rsidRDefault="000D34D2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Wymienione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odstępach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4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wyjąt</w:t>
            </w:r>
            <w:r w:rsidR="0087026F" w:rsidRPr="00DA65B7">
              <w:rPr>
                <w:sz w:val="20"/>
                <w:szCs w:val="20"/>
              </w:rPr>
              <w:t>k</w:t>
            </w:r>
            <w:r w:rsidR="00B0055C" w:rsidRPr="00DA65B7">
              <w:rPr>
                <w:sz w:val="20"/>
                <w:szCs w:val="20"/>
              </w:rPr>
              <w:t>iem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badań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czynnościowych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tarczycy</w:t>
            </w:r>
            <w:r w:rsidR="00B0055C" w:rsidRPr="00DA65B7">
              <w:rPr>
                <w:sz w:val="20"/>
                <w:szCs w:val="20"/>
              </w:rPr>
              <w:t>,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które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="00B0055C"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32A5F62E" w14:textId="40571F59" w:rsidR="000C6A47" w:rsidRPr="00DA65B7" w:rsidRDefault="000D34D2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pembrolizumabu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wymienione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odstępach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6-12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tygodniowych</w:t>
            </w:r>
            <w:r w:rsidR="006A791B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3459FFCD" w14:textId="17A918B3" w:rsidR="000C6A47" w:rsidRPr="00DA65B7" w:rsidRDefault="002A25A9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atezolizumabu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wymienione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odstępach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3-6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tygodniowych.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0C5CF446" w14:textId="5739CA94" w:rsidR="001B0059" w:rsidRPr="00DA65B7" w:rsidRDefault="000C6A4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niwolumabu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wymienione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odstępach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4-8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tygodniowych</w:t>
            </w:r>
          </w:p>
          <w:p w14:paraId="6513E89C" w14:textId="2346C81B" w:rsidR="002E629D" w:rsidRPr="00DA65B7" w:rsidRDefault="002E629D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cykle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skojarzonego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oznacza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konieczność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6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tyg.,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natomiast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monoterapii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(ważność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14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dni).</w:t>
            </w:r>
          </w:p>
          <w:p w14:paraId="47CF97F1" w14:textId="147CBB24" w:rsidR="002E629D" w:rsidRPr="00DA65B7" w:rsidRDefault="002E629D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monitorowaniu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bezpieczeństwa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skojarzonego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docetakselem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należy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uwzględnić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parametry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laboratoryjne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Leczniczego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docetaksel.</w:t>
            </w:r>
          </w:p>
          <w:p w14:paraId="0204C847" w14:textId="39B11AFE" w:rsidR="00F17C9C" w:rsidRDefault="00F17C9C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alektynibu</w:t>
            </w:r>
            <w:r w:rsidR="00DA65B7">
              <w:rPr>
                <w:sz w:val="20"/>
                <w:szCs w:val="20"/>
              </w:rPr>
              <w:t xml:space="preserve"> </w:t>
            </w:r>
            <w:r w:rsidR="000C6A47" w:rsidRPr="00DA65B7">
              <w:rPr>
                <w:sz w:val="20"/>
                <w:szCs w:val="20"/>
              </w:rPr>
              <w:t>albo</w:t>
            </w:r>
            <w:r w:rsidR="00DA65B7">
              <w:rPr>
                <w:sz w:val="20"/>
                <w:szCs w:val="20"/>
              </w:rPr>
              <w:t xml:space="preserve"> </w:t>
            </w:r>
            <w:r w:rsidR="000C6A47" w:rsidRPr="00DA65B7">
              <w:rPr>
                <w:sz w:val="20"/>
                <w:szCs w:val="20"/>
              </w:rPr>
              <w:t>brygatynibu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oznaczenie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aktywności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kinazy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fosfokreatynowej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tygodnie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ciągu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pierwszego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miesiąca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następnie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razie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wskazań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klinicznych.</w:t>
            </w:r>
          </w:p>
          <w:p w14:paraId="04EE009E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406BBA27" w14:textId="611D9DE5" w:rsidR="00655372" w:rsidRPr="00DA65B7" w:rsidRDefault="00655372" w:rsidP="00DA65B7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Badania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w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celu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monitorowania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="0061452E" w:rsidRPr="00DA65B7">
              <w:rPr>
                <w:b/>
                <w:sz w:val="20"/>
                <w:szCs w:val="20"/>
              </w:rPr>
              <w:t>skuteczności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leczenia</w:t>
            </w:r>
          </w:p>
          <w:p w14:paraId="7FD1432B" w14:textId="52F38EF5" w:rsidR="00EE4BBD" w:rsidRPr="00DA65B7" w:rsidRDefault="00955CE8" w:rsidP="00DA65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</w:t>
            </w:r>
            <w:r w:rsidR="00EE4BBD" w:rsidRPr="00DA65B7">
              <w:rPr>
                <w:sz w:val="20"/>
                <w:szCs w:val="20"/>
              </w:rPr>
              <w:t>adanie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TK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klatki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piersiowej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objęciem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nadbrzusza;</w:t>
            </w:r>
          </w:p>
          <w:p w14:paraId="1A0AD7D0" w14:textId="759E641D" w:rsidR="00345CF3" w:rsidRPr="00DA65B7" w:rsidRDefault="00955CE8" w:rsidP="00DA65B7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I</w:t>
            </w:r>
            <w:r w:rsidR="00EE4BBD" w:rsidRPr="00DA65B7">
              <w:rPr>
                <w:sz w:val="20"/>
                <w:szCs w:val="20"/>
              </w:rPr>
              <w:t>nne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EE4BBD" w:rsidRPr="00DA65B7">
              <w:rPr>
                <w:sz w:val="20"/>
                <w:szCs w:val="20"/>
              </w:rPr>
              <w:t>obrazowe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konieczne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oceny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zmian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w</w:t>
            </w:r>
            <w:r w:rsidR="00655372" w:rsidRPr="00DA65B7">
              <w:rPr>
                <w:sz w:val="20"/>
                <w:szCs w:val="20"/>
              </w:rPr>
              <w:t>edłu</w:t>
            </w:r>
            <w:r w:rsidR="009B2762" w:rsidRPr="00DA65B7">
              <w:rPr>
                <w:sz w:val="20"/>
                <w:szCs w:val="20"/>
              </w:rPr>
              <w:t>g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kryteriów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RECIST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1.1.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zależności</w:t>
            </w:r>
            <w:r w:rsidR="00DA65B7">
              <w:rPr>
                <w:sz w:val="20"/>
                <w:szCs w:val="20"/>
              </w:rPr>
              <w:t xml:space="preserve"> </w:t>
            </w:r>
            <w:r w:rsidR="009B2762" w:rsidRPr="00DA65B7">
              <w:rPr>
                <w:sz w:val="20"/>
                <w:szCs w:val="20"/>
              </w:rPr>
              <w:t>od</w:t>
            </w:r>
            <w:r w:rsidR="00DA65B7">
              <w:rPr>
                <w:sz w:val="20"/>
                <w:szCs w:val="20"/>
              </w:rPr>
              <w:t xml:space="preserve"> </w:t>
            </w:r>
            <w:r w:rsidR="00403A32" w:rsidRPr="00DA65B7">
              <w:rPr>
                <w:sz w:val="20"/>
                <w:szCs w:val="20"/>
              </w:rPr>
              <w:t>sytuacji</w:t>
            </w:r>
            <w:r w:rsidR="00DA65B7">
              <w:rPr>
                <w:sz w:val="20"/>
                <w:szCs w:val="20"/>
              </w:rPr>
              <w:t xml:space="preserve"> </w:t>
            </w:r>
            <w:r w:rsidR="00403A32" w:rsidRPr="00DA65B7">
              <w:rPr>
                <w:sz w:val="20"/>
                <w:szCs w:val="20"/>
              </w:rPr>
              <w:t>klinicznej</w:t>
            </w:r>
            <w:r w:rsidR="00DA65B7">
              <w:rPr>
                <w:sz w:val="20"/>
                <w:szCs w:val="20"/>
              </w:rPr>
              <w:t>.</w:t>
            </w:r>
          </w:p>
          <w:p w14:paraId="2D05FE89" w14:textId="0CFED5E4" w:rsidR="002A6AB4" w:rsidRPr="00DA65B7" w:rsidRDefault="009B2762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Określenie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odpowiedzi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wykorzystaniem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metody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identycznej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wykorzystanej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podczas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kwalifik</w:t>
            </w:r>
            <w:r w:rsidR="00655372" w:rsidRPr="00DA65B7">
              <w:rPr>
                <w:sz w:val="20"/>
                <w:szCs w:val="20"/>
              </w:rPr>
              <w:t>owania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5A029B8B" w14:textId="4258A286" w:rsidR="002E629D" w:rsidRPr="00DA65B7" w:rsidRDefault="00EE4BBD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3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miesiące</w:t>
            </w:r>
            <w:r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</w:p>
          <w:p w14:paraId="3116122B" w14:textId="71155E63" w:rsidR="00397CFB" w:rsidRPr="00DA65B7" w:rsidRDefault="00397CFB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wykonywane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2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cykle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skojarzonego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oznacza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konieczność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wykonania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6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tyg.,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natomiast</w:t>
            </w:r>
            <w:r w:rsidR="00DA65B7">
              <w:rPr>
                <w:sz w:val="20"/>
                <w:szCs w:val="20"/>
              </w:rPr>
              <w:t xml:space="preserve"> </w:t>
            </w:r>
            <w:r w:rsidR="002361B0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trakcie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monoterapii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8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tyg.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(ważność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badania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14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dni).</w:t>
            </w:r>
          </w:p>
          <w:p w14:paraId="36C3B9F6" w14:textId="01855FC4" w:rsidR="00397CFB" w:rsidRPr="00DA65B7" w:rsidRDefault="00397CFB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monitorowaniu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bezpieczeństwa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skojarzonego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docetakselem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nintedanibem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należy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uwzględnić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inne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parametry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laboratoryjne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Charakterystyką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Produktu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Leczniczego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docetaksel.</w:t>
            </w:r>
          </w:p>
          <w:p w14:paraId="0DC1F101" w14:textId="5B97BB35" w:rsidR="00621004" w:rsidRDefault="003E44D4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Monitorowanie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skuteczności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bezpieczeństwa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pacjentów,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sekcji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Świadczeniobiorcy</w:t>
            </w:r>
            <w:r w:rsidR="00DA65B7">
              <w:rPr>
                <w:sz w:val="20"/>
                <w:szCs w:val="20"/>
              </w:rPr>
              <w:t xml:space="preserve"> </w:t>
            </w:r>
            <w:r w:rsidR="00902AE1" w:rsidRPr="00DA65B7">
              <w:rPr>
                <w:sz w:val="20"/>
                <w:szCs w:val="20"/>
              </w:rPr>
              <w:t>9</w:t>
            </w:r>
            <w:r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pkt.</w:t>
            </w:r>
            <w:r w:rsidR="00DA65B7">
              <w:rPr>
                <w:sz w:val="20"/>
                <w:szCs w:val="20"/>
              </w:rPr>
              <w:t xml:space="preserve"> </w:t>
            </w:r>
            <w:r w:rsidR="00902AE1" w:rsidRPr="00DA65B7">
              <w:rPr>
                <w:sz w:val="20"/>
                <w:szCs w:val="20"/>
              </w:rPr>
              <w:t>9.</w:t>
            </w:r>
            <w:r w:rsidRPr="00DA65B7">
              <w:rPr>
                <w:sz w:val="20"/>
                <w:szCs w:val="20"/>
              </w:rPr>
              <w:t>1.,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powinno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być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prowadzone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jednakowo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jak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pozostałych</w:t>
            </w:r>
            <w:r w:rsidR="00DA65B7">
              <w:rPr>
                <w:sz w:val="20"/>
                <w:szCs w:val="20"/>
              </w:rPr>
              <w:t xml:space="preserve"> </w:t>
            </w:r>
            <w:r w:rsidRPr="00DA65B7">
              <w:rPr>
                <w:sz w:val="20"/>
                <w:szCs w:val="20"/>
              </w:rPr>
              <w:t>pacjentów</w:t>
            </w:r>
            <w:r w:rsidR="002A6AB4" w:rsidRPr="00DA65B7">
              <w:rPr>
                <w:sz w:val="20"/>
                <w:szCs w:val="20"/>
              </w:rPr>
              <w:t>.</w:t>
            </w:r>
          </w:p>
          <w:p w14:paraId="0F3D8912" w14:textId="77777777" w:rsidR="00DA65B7" w:rsidRPr="00DA65B7" w:rsidRDefault="00DA65B7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1A434D9D" w14:textId="7F4F5597" w:rsidR="00914853" w:rsidRPr="00DA65B7" w:rsidRDefault="0072633C" w:rsidP="00DA65B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b/>
                <w:sz w:val="20"/>
                <w:szCs w:val="20"/>
              </w:rPr>
              <w:t>Monitorowanie</w:t>
            </w:r>
            <w:r w:rsidR="00DA65B7">
              <w:rPr>
                <w:b/>
                <w:sz w:val="20"/>
                <w:szCs w:val="20"/>
              </w:rPr>
              <w:t xml:space="preserve"> </w:t>
            </w:r>
            <w:r w:rsidRPr="00DA65B7">
              <w:rPr>
                <w:b/>
                <w:sz w:val="20"/>
                <w:szCs w:val="20"/>
              </w:rPr>
              <w:t>programu</w:t>
            </w:r>
          </w:p>
          <w:p w14:paraId="23055096" w14:textId="1366201F" w:rsidR="009247B1" w:rsidRPr="00DA65B7" w:rsidRDefault="00955CE8" w:rsidP="00DA65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G</w:t>
            </w:r>
            <w:r w:rsidR="0072633C" w:rsidRPr="00DA65B7">
              <w:rPr>
                <w:sz w:val="20"/>
                <w:szCs w:val="20"/>
              </w:rPr>
              <w:t>romadzenie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dokumentacji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medycznej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dotyczących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monitorowania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leczenia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każdorazowe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ich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przedstawianie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żądanie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kontrolerów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Narodowego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Funduszu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Zdrowia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(NFZ)</w:t>
            </w:r>
            <w:r w:rsidR="0072633C" w:rsidRPr="00DA65B7">
              <w:rPr>
                <w:sz w:val="20"/>
                <w:szCs w:val="20"/>
              </w:rPr>
              <w:t>;</w:t>
            </w:r>
          </w:p>
          <w:p w14:paraId="1DF14816" w14:textId="2D71C427" w:rsidR="009247B1" w:rsidRPr="00DA65B7" w:rsidRDefault="00955CE8" w:rsidP="00DA65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U</w:t>
            </w:r>
            <w:r w:rsidR="0072633C" w:rsidRPr="00DA65B7">
              <w:rPr>
                <w:sz w:val="20"/>
                <w:szCs w:val="20"/>
              </w:rPr>
              <w:t>zupełnienie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zawartych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rejestrze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(</w:t>
            </w:r>
            <w:r w:rsidR="00655372" w:rsidRPr="00DA65B7">
              <w:rPr>
                <w:sz w:val="20"/>
                <w:szCs w:val="20"/>
              </w:rPr>
              <w:t>system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monitorowania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programów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terapeutycznych</w:t>
            </w:r>
            <w:r w:rsidR="00DA65B7">
              <w:rPr>
                <w:sz w:val="20"/>
                <w:szCs w:val="20"/>
              </w:rPr>
              <w:t xml:space="preserve"> </w:t>
            </w:r>
            <w:r w:rsidR="00C45EB8" w:rsidRPr="00DA65B7">
              <w:rPr>
                <w:sz w:val="20"/>
                <w:szCs w:val="20"/>
              </w:rPr>
              <w:t>-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SMPT)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dostępnym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za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pomocą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aplikacji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internetowej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udostępnionej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przez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O</w:t>
            </w:r>
            <w:r w:rsidR="00655372" w:rsidRPr="00DA65B7">
              <w:rPr>
                <w:sz w:val="20"/>
                <w:szCs w:val="20"/>
              </w:rPr>
              <w:t>ddział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</w:t>
            </w:r>
            <w:r w:rsidR="00655372" w:rsidRPr="00DA65B7">
              <w:rPr>
                <w:sz w:val="20"/>
                <w:szCs w:val="20"/>
              </w:rPr>
              <w:t>ojewódzki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NFZ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częstotliwością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zgodną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opisem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programu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oraz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na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zakończenie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leczenia;</w:t>
            </w:r>
          </w:p>
          <w:p w14:paraId="4C67334E" w14:textId="3283819B" w:rsidR="0072633C" w:rsidRPr="00DA65B7" w:rsidRDefault="00955CE8" w:rsidP="00DA65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P</w:t>
            </w:r>
            <w:r w:rsidR="0072633C" w:rsidRPr="00DA65B7">
              <w:rPr>
                <w:sz w:val="20"/>
                <w:szCs w:val="20"/>
              </w:rPr>
              <w:t>rzekazywanie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informacji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sprawozdawczo-rozliczeniowych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NFZ</w:t>
            </w:r>
            <w:r w:rsidR="00DA65B7">
              <w:rPr>
                <w:sz w:val="20"/>
                <w:szCs w:val="20"/>
              </w:rPr>
              <w:t xml:space="preserve"> </w:t>
            </w:r>
            <w:r w:rsidR="00655372" w:rsidRPr="00DA65B7">
              <w:rPr>
                <w:sz w:val="20"/>
                <w:szCs w:val="20"/>
              </w:rPr>
              <w:t>(</w:t>
            </w:r>
            <w:r w:rsidR="0072633C" w:rsidRPr="00DA65B7">
              <w:rPr>
                <w:sz w:val="20"/>
                <w:szCs w:val="20"/>
              </w:rPr>
              <w:t>informacje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przekazuje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się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do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NFZ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formie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papierowej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lub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formie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elektronicznej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zgodnie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wymaganiami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opublikowanymi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przez</w:t>
            </w:r>
            <w:r w:rsidR="00DA65B7">
              <w:rPr>
                <w:sz w:val="20"/>
                <w:szCs w:val="20"/>
              </w:rPr>
              <w:t xml:space="preserve"> </w:t>
            </w:r>
            <w:r w:rsidR="0072633C" w:rsidRPr="00DA65B7">
              <w:rPr>
                <w:sz w:val="20"/>
                <w:szCs w:val="20"/>
              </w:rPr>
              <w:t>N</w:t>
            </w:r>
            <w:r w:rsidR="00655372" w:rsidRPr="00DA65B7">
              <w:rPr>
                <w:sz w:val="20"/>
                <w:szCs w:val="20"/>
              </w:rPr>
              <w:t>FZ)</w:t>
            </w:r>
            <w:r w:rsidR="0087026F" w:rsidRPr="00DA65B7">
              <w:rPr>
                <w:sz w:val="20"/>
                <w:szCs w:val="20"/>
              </w:rPr>
              <w:t>;</w:t>
            </w:r>
          </w:p>
          <w:p w14:paraId="2E2823D5" w14:textId="6ABD92E4" w:rsidR="003E44D4" w:rsidRPr="00DA65B7" w:rsidRDefault="00955CE8" w:rsidP="00DA65B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sz w:val="20"/>
                <w:szCs w:val="20"/>
              </w:rPr>
            </w:pPr>
            <w:r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przypadku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pacjentów,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o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których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mowa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sekcji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Świadczeniobiorcy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9</w:t>
            </w:r>
            <w:r w:rsidR="003E44D4" w:rsidRPr="00DA65B7">
              <w:rPr>
                <w:sz w:val="20"/>
                <w:szCs w:val="20"/>
              </w:rPr>
              <w:t>.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pkt.</w:t>
            </w:r>
            <w:r w:rsidR="00DA65B7">
              <w:rPr>
                <w:sz w:val="20"/>
                <w:szCs w:val="20"/>
              </w:rPr>
              <w:t xml:space="preserve"> </w:t>
            </w:r>
            <w:r w:rsidR="00194C0C" w:rsidRPr="00DA65B7">
              <w:rPr>
                <w:sz w:val="20"/>
                <w:szCs w:val="20"/>
              </w:rPr>
              <w:t>9</w:t>
            </w:r>
            <w:r w:rsidR="00C74988" w:rsidRPr="00DA65B7">
              <w:rPr>
                <w:sz w:val="20"/>
                <w:szCs w:val="20"/>
              </w:rPr>
              <w:t>.</w:t>
            </w:r>
            <w:r w:rsidR="003E44D4" w:rsidRPr="00DA65B7">
              <w:rPr>
                <w:sz w:val="20"/>
                <w:szCs w:val="20"/>
              </w:rPr>
              <w:t>1,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nie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jest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wymagane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uzupełnianie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danych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i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informacji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w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elektronicznym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systemie</w:t>
            </w:r>
            <w:r w:rsidR="00DA65B7">
              <w:rPr>
                <w:sz w:val="20"/>
                <w:szCs w:val="20"/>
              </w:rPr>
              <w:t xml:space="preserve"> </w:t>
            </w:r>
            <w:r w:rsidR="003E44D4" w:rsidRPr="00DA65B7">
              <w:rPr>
                <w:sz w:val="20"/>
                <w:szCs w:val="20"/>
              </w:rPr>
              <w:t>m</w:t>
            </w:r>
            <w:r w:rsidR="009A5213" w:rsidRPr="00DA65B7">
              <w:rPr>
                <w:sz w:val="20"/>
                <w:szCs w:val="20"/>
              </w:rPr>
              <w:t>onitorowania</w:t>
            </w:r>
            <w:r w:rsidR="00DA65B7">
              <w:rPr>
                <w:sz w:val="20"/>
                <w:szCs w:val="20"/>
              </w:rPr>
              <w:t xml:space="preserve"> </w:t>
            </w:r>
            <w:r w:rsidR="009A5213" w:rsidRPr="00DA65B7">
              <w:rPr>
                <w:sz w:val="20"/>
                <w:szCs w:val="20"/>
              </w:rPr>
              <w:t>programów</w:t>
            </w:r>
            <w:r w:rsidR="00DA65B7">
              <w:rPr>
                <w:sz w:val="20"/>
                <w:szCs w:val="20"/>
              </w:rPr>
              <w:t xml:space="preserve"> </w:t>
            </w:r>
            <w:r w:rsidR="009A5213" w:rsidRPr="00DA65B7">
              <w:rPr>
                <w:sz w:val="20"/>
                <w:szCs w:val="20"/>
              </w:rPr>
              <w:t>lekowych</w:t>
            </w:r>
            <w:r w:rsidR="00DA65B7">
              <w:rPr>
                <w:sz w:val="20"/>
                <w:szCs w:val="20"/>
              </w:rPr>
              <w:t>.</w:t>
            </w:r>
          </w:p>
          <w:p w14:paraId="54F37CD1" w14:textId="77777777" w:rsidR="0072633C" w:rsidRPr="00DA65B7" w:rsidRDefault="0072633C" w:rsidP="00DA65B7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</w:tc>
      </w:tr>
    </w:tbl>
    <w:p w14:paraId="03B1BBF9" w14:textId="77777777" w:rsidR="00743C43" w:rsidRPr="00996CE7" w:rsidRDefault="00743C43" w:rsidP="00985465">
      <w:pPr>
        <w:spacing w:line="276" w:lineRule="auto"/>
        <w:rPr>
          <w:sz w:val="10"/>
          <w:szCs w:val="20"/>
        </w:rPr>
      </w:pPr>
    </w:p>
    <w:sectPr w:rsidR="00743C43" w:rsidRPr="00996CE7" w:rsidSect="000F741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AE9D3" w14:textId="77777777" w:rsidR="001176F0" w:rsidRDefault="001176F0" w:rsidP="00EA21BD">
      <w:r>
        <w:separator/>
      </w:r>
    </w:p>
  </w:endnote>
  <w:endnote w:type="continuationSeparator" w:id="0">
    <w:p w14:paraId="52C75D7F" w14:textId="77777777" w:rsidR="001176F0" w:rsidRDefault="001176F0" w:rsidP="00E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CF9FC" w14:textId="77777777"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9A0D0" w14:textId="77777777" w:rsidR="001176F0" w:rsidRDefault="001176F0" w:rsidP="00EA21BD">
      <w:r>
        <w:separator/>
      </w:r>
    </w:p>
  </w:footnote>
  <w:footnote w:type="continuationSeparator" w:id="0">
    <w:p w14:paraId="7751B531" w14:textId="77777777" w:rsidR="001176F0" w:rsidRDefault="001176F0" w:rsidP="00E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699F"/>
    <w:multiLevelType w:val="multilevel"/>
    <w:tmpl w:val="BE1CC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1D20081"/>
    <w:multiLevelType w:val="multilevel"/>
    <w:tmpl w:val="F2A66670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2162C58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A43A0"/>
    <w:multiLevelType w:val="hybridMultilevel"/>
    <w:tmpl w:val="0180DED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07C53038"/>
    <w:multiLevelType w:val="multilevel"/>
    <w:tmpl w:val="1E1448C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9A124DE"/>
    <w:multiLevelType w:val="multilevel"/>
    <w:tmpl w:val="A87AD18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AF50CB8"/>
    <w:multiLevelType w:val="hybridMultilevel"/>
    <w:tmpl w:val="0A244B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2F06CD"/>
    <w:multiLevelType w:val="hybridMultilevel"/>
    <w:tmpl w:val="1E8E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0CC0433B"/>
    <w:multiLevelType w:val="multilevel"/>
    <w:tmpl w:val="EA4CFAE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F1079C7"/>
    <w:multiLevelType w:val="multilevel"/>
    <w:tmpl w:val="92508088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032740B"/>
    <w:multiLevelType w:val="multilevel"/>
    <w:tmpl w:val="1214F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CF4DE0"/>
    <w:multiLevelType w:val="hybridMultilevel"/>
    <w:tmpl w:val="82AEEF10"/>
    <w:lvl w:ilvl="0" w:tplc="F82C6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06541F"/>
    <w:multiLevelType w:val="multilevel"/>
    <w:tmpl w:val="A91C16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354EF9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7D6081"/>
    <w:multiLevelType w:val="multilevel"/>
    <w:tmpl w:val="11F4FEC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5100765"/>
    <w:multiLevelType w:val="multilevel"/>
    <w:tmpl w:val="D4B0E3E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27A80806"/>
    <w:multiLevelType w:val="multilevel"/>
    <w:tmpl w:val="ECC4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7568AC"/>
    <w:multiLevelType w:val="hybridMultilevel"/>
    <w:tmpl w:val="C0645D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C1AFD"/>
    <w:multiLevelType w:val="multilevel"/>
    <w:tmpl w:val="F54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F517F9"/>
    <w:multiLevelType w:val="multilevel"/>
    <w:tmpl w:val="9ECA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4529C6"/>
    <w:multiLevelType w:val="multilevel"/>
    <w:tmpl w:val="4CBE67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347E06E5"/>
    <w:multiLevelType w:val="hybridMultilevel"/>
    <w:tmpl w:val="557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12EF3"/>
    <w:multiLevelType w:val="multilevel"/>
    <w:tmpl w:val="3AD6AAA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3696504F"/>
    <w:multiLevelType w:val="hybridMultilevel"/>
    <w:tmpl w:val="5172F884"/>
    <w:lvl w:ilvl="0" w:tplc="613A5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787221"/>
    <w:multiLevelType w:val="multilevel"/>
    <w:tmpl w:val="B0C4C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A7561BA"/>
    <w:multiLevelType w:val="multilevel"/>
    <w:tmpl w:val="87B22E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D97DD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45C550B6"/>
    <w:multiLevelType w:val="multilevel"/>
    <w:tmpl w:val="676ACC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4C8A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9F3663"/>
    <w:multiLevelType w:val="hybridMultilevel"/>
    <w:tmpl w:val="3BB63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0" w15:restartNumberingAfterBreak="0">
    <w:nsid w:val="50604AFD"/>
    <w:multiLevelType w:val="multilevel"/>
    <w:tmpl w:val="B3068A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31" w15:restartNumberingAfterBreak="0">
    <w:nsid w:val="5227712D"/>
    <w:multiLevelType w:val="hybridMultilevel"/>
    <w:tmpl w:val="B38A614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AE5C62"/>
    <w:multiLevelType w:val="multilevel"/>
    <w:tmpl w:val="3C529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4217F1"/>
    <w:multiLevelType w:val="multilevel"/>
    <w:tmpl w:val="8B7A380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56570F30"/>
    <w:multiLevelType w:val="hybridMultilevel"/>
    <w:tmpl w:val="7CECF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5" w15:restartNumberingAfterBreak="0">
    <w:nsid w:val="5D3223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5EBF028C"/>
    <w:multiLevelType w:val="multilevel"/>
    <w:tmpl w:val="8A64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817298"/>
    <w:multiLevelType w:val="multilevel"/>
    <w:tmpl w:val="2482D1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DB62E81"/>
    <w:multiLevelType w:val="hybridMultilevel"/>
    <w:tmpl w:val="63809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DB368E"/>
    <w:multiLevelType w:val="multilevel"/>
    <w:tmpl w:val="5F4C452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51D2270"/>
    <w:multiLevelType w:val="multilevel"/>
    <w:tmpl w:val="C9CE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22D79"/>
    <w:multiLevelType w:val="multilevel"/>
    <w:tmpl w:val="CEA04E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640E79"/>
    <w:multiLevelType w:val="multilevel"/>
    <w:tmpl w:val="80A6FBB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BB069AE"/>
    <w:multiLevelType w:val="multilevel"/>
    <w:tmpl w:val="4E56D00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20"/>
  </w:num>
  <w:num w:numId="4">
    <w:abstractNumId w:val="27"/>
  </w:num>
  <w:num w:numId="5">
    <w:abstractNumId w:val="40"/>
  </w:num>
  <w:num w:numId="6">
    <w:abstractNumId w:val="29"/>
  </w:num>
  <w:num w:numId="7">
    <w:abstractNumId w:val="1"/>
  </w:num>
  <w:num w:numId="8">
    <w:abstractNumId w:val="18"/>
  </w:num>
  <w:num w:numId="9">
    <w:abstractNumId w:val="8"/>
  </w:num>
  <w:num w:numId="10">
    <w:abstractNumId w:val="10"/>
  </w:num>
  <w:num w:numId="11">
    <w:abstractNumId w:val="39"/>
  </w:num>
  <w:num w:numId="12">
    <w:abstractNumId w:val="14"/>
  </w:num>
  <w:num w:numId="13">
    <w:abstractNumId w:val="41"/>
  </w:num>
  <w:num w:numId="14">
    <w:abstractNumId w:val="36"/>
  </w:num>
  <w:num w:numId="15">
    <w:abstractNumId w:val="5"/>
  </w:num>
  <w:num w:numId="16">
    <w:abstractNumId w:val="42"/>
  </w:num>
  <w:num w:numId="17">
    <w:abstractNumId w:val="43"/>
  </w:num>
  <w:num w:numId="18">
    <w:abstractNumId w:val="9"/>
  </w:num>
  <w:num w:numId="19">
    <w:abstractNumId w:val="33"/>
  </w:num>
  <w:num w:numId="20">
    <w:abstractNumId w:val="15"/>
  </w:num>
  <w:num w:numId="21">
    <w:abstractNumId w:val="3"/>
  </w:num>
  <w:num w:numId="22">
    <w:abstractNumId w:val="25"/>
  </w:num>
  <w:num w:numId="23">
    <w:abstractNumId w:val="4"/>
  </w:num>
  <w:num w:numId="24">
    <w:abstractNumId w:val="23"/>
  </w:num>
  <w:num w:numId="25">
    <w:abstractNumId w:val="13"/>
  </w:num>
  <w:num w:numId="26">
    <w:abstractNumId w:val="2"/>
  </w:num>
  <w:num w:numId="27">
    <w:abstractNumId w:val="26"/>
  </w:num>
  <w:num w:numId="28">
    <w:abstractNumId w:val="35"/>
  </w:num>
  <w:num w:numId="29">
    <w:abstractNumId w:val="28"/>
  </w:num>
  <w:num w:numId="30">
    <w:abstractNumId w:val="7"/>
  </w:num>
  <w:num w:numId="31">
    <w:abstractNumId w:val="21"/>
  </w:num>
  <w:num w:numId="32">
    <w:abstractNumId w:val="11"/>
  </w:num>
  <w:num w:numId="33">
    <w:abstractNumId w:val="31"/>
  </w:num>
  <w:num w:numId="34">
    <w:abstractNumId w:val="24"/>
  </w:num>
  <w:num w:numId="35">
    <w:abstractNumId w:val="0"/>
  </w:num>
  <w:num w:numId="36">
    <w:abstractNumId w:val="34"/>
  </w:num>
  <w:num w:numId="37">
    <w:abstractNumId w:val="12"/>
  </w:num>
  <w:num w:numId="38">
    <w:abstractNumId w:val="17"/>
  </w:num>
  <w:num w:numId="39">
    <w:abstractNumId w:val="30"/>
  </w:num>
  <w:num w:numId="40">
    <w:abstractNumId w:val="16"/>
  </w:num>
  <w:num w:numId="41">
    <w:abstractNumId w:val="6"/>
  </w:num>
  <w:num w:numId="42">
    <w:abstractNumId w:val="38"/>
  </w:num>
  <w:num w:numId="43">
    <w:abstractNumId w:val="37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7E2B"/>
    <w:rsid w:val="00010CB6"/>
    <w:rsid w:val="00015D29"/>
    <w:rsid w:val="00016CEB"/>
    <w:rsid w:val="000265D5"/>
    <w:rsid w:val="00042072"/>
    <w:rsid w:val="00043484"/>
    <w:rsid w:val="00043541"/>
    <w:rsid w:val="00043594"/>
    <w:rsid w:val="00050638"/>
    <w:rsid w:val="000642FA"/>
    <w:rsid w:val="00066200"/>
    <w:rsid w:val="000707EC"/>
    <w:rsid w:val="00071A37"/>
    <w:rsid w:val="00071F53"/>
    <w:rsid w:val="0007699C"/>
    <w:rsid w:val="00077406"/>
    <w:rsid w:val="00080162"/>
    <w:rsid w:val="0008215F"/>
    <w:rsid w:val="000849AC"/>
    <w:rsid w:val="00090F70"/>
    <w:rsid w:val="000A11CE"/>
    <w:rsid w:val="000A2D58"/>
    <w:rsid w:val="000A765E"/>
    <w:rsid w:val="000B16FD"/>
    <w:rsid w:val="000B3751"/>
    <w:rsid w:val="000C3F1B"/>
    <w:rsid w:val="000C6A47"/>
    <w:rsid w:val="000D34D2"/>
    <w:rsid w:val="000E0FCC"/>
    <w:rsid w:val="000E7B7F"/>
    <w:rsid w:val="000F17A4"/>
    <w:rsid w:val="000F3501"/>
    <w:rsid w:val="000F5D97"/>
    <w:rsid w:val="000F741E"/>
    <w:rsid w:val="00100861"/>
    <w:rsid w:val="00107C99"/>
    <w:rsid w:val="00112A7E"/>
    <w:rsid w:val="001147F7"/>
    <w:rsid w:val="001176F0"/>
    <w:rsid w:val="0014035D"/>
    <w:rsid w:val="00144C47"/>
    <w:rsid w:val="00147848"/>
    <w:rsid w:val="00150CF7"/>
    <w:rsid w:val="00152B52"/>
    <w:rsid w:val="00154275"/>
    <w:rsid w:val="00157AFB"/>
    <w:rsid w:val="00166DAF"/>
    <w:rsid w:val="00194C0C"/>
    <w:rsid w:val="001A03CD"/>
    <w:rsid w:val="001A23DB"/>
    <w:rsid w:val="001A2845"/>
    <w:rsid w:val="001A2B07"/>
    <w:rsid w:val="001A4A98"/>
    <w:rsid w:val="001A4AC1"/>
    <w:rsid w:val="001B0059"/>
    <w:rsid w:val="001B2684"/>
    <w:rsid w:val="001C77B1"/>
    <w:rsid w:val="001D35C7"/>
    <w:rsid w:val="001D7CB9"/>
    <w:rsid w:val="001F1C8E"/>
    <w:rsid w:val="001F3616"/>
    <w:rsid w:val="002030AC"/>
    <w:rsid w:val="002108CF"/>
    <w:rsid w:val="00210B0D"/>
    <w:rsid w:val="0021688B"/>
    <w:rsid w:val="00221D34"/>
    <w:rsid w:val="00222A27"/>
    <w:rsid w:val="00230BFA"/>
    <w:rsid w:val="002351A0"/>
    <w:rsid w:val="002361B0"/>
    <w:rsid w:val="00237D71"/>
    <w:rsid w:val="0024095E"/>
    <w:rsid w:val="00241A84"/>
    <w:rsid w:val="00245A80"/>
    <w:rsid w:val="00246D45"/>
    <w:rsid w:val="00252ABE"/>
    <w:rsid w:val="00256AFD"/>
    <w:rsid w:val="00260CD4"/>
    <w:rsid w:val="002617E0"/>
    <w:rsid w:val="00272D59"/>
    <w:rsid w:val="00273EF5"/>
    <w:rsid w:val="00277FC8"/>
    <w:rsid w:val="00281E6F"/>
    <w:rsid w:val="002976D8"/>
    <w:rsid w:val="002A0CD0"/>
    <w:rsid w:val="002A25A9"/>
    <w:rsid w:val="002A4315"/>
    <w:rsid w:val="002A6AB4"/>
    <w:rsid w:val="002B35D9"/>
    <w:rsid w:val="002B7491"/>
    <w:rsid w:val="002C4AEC"/>
    <w:rsid w:val="002C628C"/>
    <w:rsid w:val="002D5F2F"/>
    <w:rsid w:val="002D6884"/>
    <w:rsid w:val="002E1303"/>
    <w:rsid w:val="002E22B3"/>
    <w:rsid w:val="002E629D"/>
    <w:rsid w:val="002F724F"/>
    <w:rsid w:val="00312E32"/>
    <w:rsid w:val="00313FB3"/>
    <w:rsid w:val="0031512E"/>
    <w:rsid w:val="00315F31"/>
    <w:rsid w:val="003179CA"/>
    <w:rsid w:val="0032679D"/>
    <w:rsid w:val="00333259"/>
    <w:rsid w:val="00333C7E"/>
    <w:rsid w:val="00336157"/>
    <w:rsid w:val="00345A6D"/>
    <w:rsid w:val="00345CF3"/>
    <w:rsid w:val="00346A9C"/>
    <w:rsid w:val="00347798"/>
    <w:rsid w:val="00354575"/>
    <w:rsid w:val="00354CC3"/>
    <w:rsid w:val="0035693B"/>
    <w:rsid w:val="00356D6B"/>
    <w:rsid w:val="00361E28"/>
    <w:rsid w:val="00362C81"/>
    <w:rsid w:val="00363EFE"/>
    <w:rsid w:val="00370C19"/>
    <w:rsid w:val="00372F8F"/>
    <w:rsid w:val="00380FAD"/>
    <w:rsid w:val="00386341"/>
    <w:rsid w:val="0038781F"/>
    <w:rsid w:val="00391666"/>
    <w:rsid w:val="00397CFB"/>
    <w:rsid w:val="003A0A12"/>
    <w:rsid w:val="003A51F8"/>
    <w:rsid w:val="003B6538"/>
    <w:rsid w:val="003C1CD4"/>
    <w:rsid w:val="003C6D48"/>
    <w:rsid w:val="003C75B9"/>
    <w:rsid w:val="003D0BC1"/>
    <w:rsid w:val="003E07BC"/>
    <w:rsid w:val="003E44D4"/>
    <w:rsid w:val="003E5936"/>
    <w:rsid w:val="003F13BE"/>
    <w:rsid w:val="003F2CAE"/>
    <w:rsid w:val="003F4A58"/>
    <w:rsid w:val="00403A32"/>
    <w:rsid w:val="00404AFA"/>
    <w:rsid w:val="00404CED"/>
    <w:rsid w:val="00406F49"/>
    <w:rsid w:val="004129F1"/>
    <w:rsid w:val="00414067"/>
    <w:rsid w:val="0042444E"/>
    <w:rsid w:val="004311BB"/>
    <w:rsid w:val="004318F8"/>
    <w:rsid w:val="00433AD9"/>
    <w:rsid w:val="004405D9"/>
    <w:rsid w:val="0044490C"/>
    <w:rsid w:val="00452C80"/>
    <w:rsid w:val="00457A1B"/>
    <w:rsid w:val="00467232"/>
    <w:rsid w:val="0047290D"/>
    <w:rsid w:val="00472B65"/>
    <w:rsid w:val="00476945"/>
    <w:rsid w:val="00481D53"/>
    <w:rsid w:val="00497A25"/>
    <w:rsid w:val="004A254E"/>
    <w:rsid w:val="004A567B"/>
    <w:rsid w:val="004A74F2"/>
    <w:rsid w:val="004B00B4"/>
    <w:rsid w:val="004C3A69"/>
    <w:rsid w:val="004C3F12"/>
    <w:rsid w:val="004D21DD"/>
    <w:rsid w:val="004D5713"/>
    <w:rsid w:val="004E0CC6"/>
    <w:rsid w:val="004F2EBC"/>
    <w:rsid w:val="004F5D44"/>
    <w:rsid w:val="0050050A"/>
    <w:rsid w:val="0050767F"/>
    <w:rsid w:val="0051352D"/>
    <w:rsid w:val="00513F30"/>
    <w:rsid w:val="00515665"/>
    <w:rsid w:val="00517719"/>
    <w:rsid w:val="005413F9"/>
    <w:rsid w:val="0054319B"/>
    <w:rsid w:val="0054669A"/>
    <w:rsid w:val="00553C0F"/>
    <w:rsid w:val="00554CAF"/>
    <w:rsid w:val="005557DB"/>
    <w:rsid w:val="00571CD6"/>
    <w:rsid w:val="005775A9"/>
    <w:rsid w:val="00577D76"/>
    <w:rsid w:val="00577F6A"/>
    <w:rsid w:val="00591EA4"/>
    <w:rsid w:val="005925D4"/>
    <w:rsid w:val="00593677"/>
    <w:rsid w:val="005A385F"/>
    <w:rsid w:val="005A3E8F"/>
    <w:rsid w:val="005C357B"/>
    <w:rsid w:val="005C4287"/>
    <w:rsid w:val="005C4EE1"/>
    <w:rsid w:val="005D5E58"/>
    <w:rsid w:val="005D6D19"/>
    <w:rsid w:val="005D702F"/>
    <w:rsid w:val="005E095C"/>
    <w:rsid w:val="005E36DB"/>
    <w:rsid w:val="005E44D7"/>
    <w:rsid w:val="005E795C"/>
    <w:rsid w:val="005F6B9C"/>
    <w:rsid w:val="00601F0B"/>
    <w:rsid w:val="00606D61"/>
    <w:rsid w:val="006110D3"/>
    <w:rsid w:val="0061452E"/>
    <w:rsid w:val="00621004"/>
    <w:rsid w:val="00624A80"/>
    <w:rsid w:val="00637E38"/>
    <w:rsid w:val="00640D1A"/>
    <w:rsid w:val="00646AFA"/>
    <w:rsid w:val="0065179C"/>
    <w:rsid w:val="00655372"/>
    <w:rsid w:val="0065616D"/>
    <w:rsid w:val="006570B2"/>
    <w:rsid w:val="0066564B"/>
    <w:rsid w:val="00667158"/>
    <w:rsid w:val="0066743D"/>
    <w:rsid w:val="00674072"/>
    <w:rsid w:val="00674810"/>
    <w:rsid w:val="00681617"/>
    <w:rsid w:val="00681BA0"/>
    <w:rsid w:val="00681E75"/>
    <w:rsid w:val="00683977"/>
    <w:rsid w:val="006A58A8"/>
    <w:rsid w:val="006A7462"/>
    <w:rsid w:val="006A791B"/>
    <w:rsid w:val="006B289F"/>
    <w:rsid w:val="006B4F9B"/>
    <w:rsid w:val="006C2C1D"/>
    <w:rsid w:val="006C30BD"/>
    <w:rsid w:val="006C5623"/>
    <w:rsid w:val="006C67CC"/>
    <w:rsid w:val="006E6A22"/>
    <w:rsid w:val="006E7B8C"/>
    <w:rsid w:val="006F03DC"/>
    <w:rsid w:val="006F67B9"/>
    <w:rsid w:val="0070093F"/>
    <w:rsid w:val="00702288"/>
    <w:rsid w:val="007045A2"/>
    <w:rsid w:val="007049DF"/>
    <w:rsid w:val="00705B10"/>
    <w:rsid w:val="007103A1"/>
    <w:rsid w:val="00711AAB"/>
    <w:rsid w:val="0072633C"/>
    <w:rsid w:val="00726D3E"/>
    <w:rsid w:val="00731F4C"/>
    <w:rsid w:val="007369A7"/>
    <w:rsid w:val="007423D3"/>
    <w:rsid w:val="00743C43"/>
    <w:rsid w:val="0075072A"/>
    <w:rsid w:val="00751540"/>
    <w:rsid w:val="0076102E"/>
    <w:rsid w:val="00761279"/>
    <w:rsid w:val="00763935"/>
    <w:rsid w:val="00767F56"/>
    <w:rsid w:val="00775AEE"/>
    <w:rsid w:val="007765FA"/>
    <w:rsid w:val="00782B70"/>
    <w:rsid w:val="0079112B"/>
    <w:rsid w:val="00791620"/>
    <w:rsid w:val="00792086"/>
    <w:rsid w:val="00793BCF"/>
    <w:rsid w:val="00795BEC"/>
    <w:rsid w:val="007A1F54"/>
    <w:rsid w:val="007A55E8"/>
    <w:rsid w:val="007B34F4"/>
    <w:rsid w:val="007D188D"/>
    <w:rsid w:val="007D19AB"/>
    <w:rsid w:val="007D2C73"/>
    <w:rsid w:val="007D5F39"/>
    <w:rsid w:val="007E2E5B"/>
    <w:rsid w:val="007F7FD2"/>
    <w:rsid w:val="00805A39"/>
    <w:rsid w:val="00807D02"/>
    <w:rsid w:val="008135DC"/>
    <w:rsid w:val="008327DC"/>
    <w:rsid w:val="00835582"/>
    <w:rsid w:val="00835EE2"/>
    <w:rsid w:val="0084433C"/>
    <w:rsid w:val="00851130"/>
    <w:rsid w:val="00855D79"/>
    <w:rsid w:val="00860F43"/>
    <w:rsid w:val="00866C54"/>
    <w:rsid w:val="0087026F"/>
    <w:rsid w:val="008709D2"/>
    <w:rsid w:val="00871DF4"/>
    <w:rsid w:val="00884D27"/>
    <w:rsid w:val="008857ED"/>
    <w:rsid w:val="0089160B"/>
    <w:rsid w:val="008A4FFC"/>
    <w:rsid w:val="008A63EB"/>
    <w:rsid w:val="008B4894"/>
    <w:rsid w:val="008B709D"/>
    <w:rsid w:val="008B7773"/>
    <w:rsid w:val="008C5F87"/>
    <w:rsid w:val="008D1777"/>
    <w:rsid w:val="008D68E8"/>
    <w:rsid w:val="008E0CAB"/>
    <w:rsid w:val="008E2992"/>
    <w:rsid w:val="008E3304"/>
    <w:rsid w:val="008E5BF7"/>
    <w:rsid w:val="008F2A25"/>
    <w:rsid w:val="00902AE1"/>
    <w:rsid w:val="00902E9F"/>
    <w:rsid w:val="00904576"/>
    <w:rsid w:val="00906CCF"/>
    <w:rsid w:val="00914853"/>
    <w:rsid w:val="00915C5C"/>
    <w:rsid w:val="00917A45"/>
    <w:rsid w:val="00923485"/>
    <w:rsid w:val="009247B1"/>
    <w:rsid w:val="0092725B"/>
    <w:rsid w:val="00927291"/>
    <w:rsid w:val="009310E5"/>
    <w:rsid w:val="00931AB5"/>
    <w:rsid w:val="00937694"/>
    <w:rsid w:val="009429D3"/>
    <w:rsid w:val="00944A71"/>
    <w:rsid w:val="009530A8"/>
    <w:rsid w:val="00955CE8"/>
    <w:rsid w:val="009625E7"/>
    <w:rsid w:val="0097520D"/>
    <w:rsid w:val="00985465"/>
    <w:rsid w:val="0098691F"/>
    <w:rsid w:val="009916C1"/>
    <w:rsid w:val="00992A4E"/>
    <w:rsid w:val="009941FB"/>
    <w:rsid w:val="0099464B"/>
    <w:rsid w:val="00996B4B"/>
    <w:rsid w:val="00996CE7"/>
    <w:rsid w:val="009978CA"/>
    <w:rsid w:val="009A1249"/>
    <w:rsid w:val="009A1530"/>
    <w:rsid w:val="009A23DC"/>
    <w:rsid w:val="009A2B66"/>
    <w:rsid w:val="009A3532"/>
    <w:rsid w:val="009A5213"/>
    <w:rsid w:val="009A5BED"/>
    <w:rsid w:val="009B2762"/>
    <w:rsid w:val="009B32ED"/>
    <w:rsid w:val="009B33C7"/>
    <w:rsid w:val="009B47E0"/>
    <w:rsid w:val="009C46D6"/>
    <w:rsid w:val="009C71F0"/>
    <w:rsid w:val="009D203F"/>
    <w:rsid w:val="009D423F"/>
    <w:rsid w:val="009E4030"/>
    <w:rsid w:val="009E40FF"/>
    <w:rsid w:val="009F03B8"/>
    <w:rsid w:val="009F47D2"/>
    <w:rsid w:val="00A02493"/>
    <w:rsid w:val="00A02F9D"/>
    <w:rsid w:val="00A0457D"/>
    <w:rsid w:val="00A07CC8"/>
    <w:rsid w:val="00A1111A"/>
    <w:rsid w:val="00A12133"/>
    <w:rsid w:val="00A14079"/>
    <w:rsid w:val="00A22F16"/>
    <w:rsid w:val="00A23F3F"/>
    <w:rsid w:val="00A24959"/>
    <w:rsid w:val="00A308A1"/>
    <w:rsid w:val="00A3770D"/>
    <w:rsid w:val="00A40EC4"/>
    <w:rsid w:val="00A50F5C"/>
    <w:rsid w:val="00A52043"/>
    <w:rsid w:val="00A5297B"/>
    <w:rsid w:val="00A530F4"/>
    <w:rsid w:val="00A619B4"/>
    <w:rsid w:val="00A632FA"/>
    <w:rsid w:val="00A67080"/>
    <w:rsid w:val="00A717B6"/>
    <w:rsid w:val="00A765AE"/>
    <w:rsid w:val="00A77E8F"/>
    <w:rsid w:val="00A854F0"/>
    <w:rsid w:val="00A93808"/>
    <w:rsid w:val="00A93C16"/>
    <w:rsid w:val="00A94562"/>
    <w:rsid w:val="00A9656B"/>
    <w:rsid w:val="00AA1D3A"/>
    <w:rsid w:val="00AA4F9F"/>
    <w:rsid w:val="00AA6108"/>
    <w:rsid w:val="00AA6979"/>
    <w:rsid w:val="00AB1564"/>
    <w:rsid w:val="00AB5418"/>
    <w:rsid w:val="00AB7A9D"/>
    <w:rsid w:val="00AC2991"/>
    <w:rsid w:val="00AC55AE"/>
    <w:rsid w:val="00AC597A"/>
    <w:rsid w:val="00AC5DDB"/>
    <w:rsid w:val="00AD272A"/>
    <w:rsid w:val="00AD320C"/>
    <w:rsid w:val="00AE6205"/>
    <w:rsid w:val="00AE69E8"/>
    <w:rsid w:val="00AF1DA6"/>
    <w:rsid w:val="00AF227A"/>
    <w:rsid w:val="00AF4B11"/>
    <w:rsid w:val="00AF6012"/>
    <w:rsid w:val="00B0055C"/>
    <w:rsid w:val="00B02C31"/>
    <w:rsid w:val="00B05A85"/>
    <w:rsid w:val="00B0610F"/>
    <w:rsid w:val="00B106EB"/>
    <w:rsid w:val="00B122C2"/>
    <w:rsid w:val="00B12EE1"/>
    <w:rsid w:val="00B13D6A"/>
    <w:rsid w:val="00B2385C"/>
    <w:rsid w:val="00B25FCC"/>
    <w:rsid w:val="00B34542"/>
    <w:rsid w:val="00B55454"/>
    <w:rsid w:val="00B57377"/>
    <w:rsid w:val="00B61DDB"/>
    <w:rsid w:val="00B6275C"/>
    <w:rsid w:val="00B632CB"/>
    <w:rsid w:val="00B6522F"/>
    <w:rsid w:val="00B67301"/>
    <w:rsid w:val="00B74756"/>
    <w:rsid w:val="00B75F06"/>
    <w:rsid w:val="00B76ADD"/>
    <w:rsid w:val="00B82C9A"/>
    <w:rsid w:val="00B83695"/>
    <w:rsid w:val="00B93824"/>
    <w:rsid w:val="00BA06FB"/>
    <w:rsid w:val="00BA442B"/>
    <w:rsid w:val="00BA736C"/>
    <w:rsid w:val="00BB1DC0"/>
    <w:rsid w:val="00BB6199"/>
    <w:rsid w:val="00BC6455"/>
    <w:rsid w:val="00BC7849"/>
    <w:rsid w:val="00BE6D1A"/>
    <w:rsid w:val="00BF1411"/>
    <w:rsid w:val="00BF26E7"/>
    <w:rsid w:val="00BF2A66"/>
    <w:rsid w:val="00BF2F7A"/>
    <w:rsid w:val="00BF3039"/>
    <w:rsid w:val="00C02A9B"/>
    <w:rsid w:val="00C02C28"/>
    <w:rsid w:val="00C103F7"/>
    <w:rsid w:val="00C122EE"/>
    <w:rsid w:val="00C12728"/>
    <w:rsid w:val="00C14F14"/>
    <w:rsid w:val="00C14FDC"/>
    <w:rsid w:val="00C150ED"/>
    <w:rsid w:val="00C25F84"/>
    <w:rsid w:val="00C2602F"/>
    <w:rsid w:val="00C33C31"/>
    <w:rsid w:val="00C35188"/>
    <w:rsid w:val="00C35716"/>
    <w:rsid w:val="00C43BD5"/>
    <w:rsid w:val="00C442DD"/>
    <w:rsid w:val="00C45EB8"/>
    <w:rsid w:val="00C4732D"/>
    <w:rsid w:val="00C546F8"/>
    <w:rsid w:val="00C556F6"/>
    <w:rsid w:val="00C70D3A"/>
    <w:rsid w:val="00C72D10"/>
    <w:rsid w:val="00C730DC"/>
    <w:rsid w:val="00C74988"/>
    <w:rsid w:val="00C76B69"/>
    <w:rsid w:val="00C925E3"/>
    <w:rsid w:val="00C93102"/>
    <w:rsid w:val="00C9599F"/>
    <w:rsid w:val="00CA491B"/>
    <w:rsid w:val="00CA5958"/>
    <w:rsid w:val="00CC2BF0"/>
    <w:rsid w:val="00CE153E"/>
    <w:rsid w:val="00CE2530"/>
    <w:rsid w:val="00CE3F24"/>
    <w:rsid w:val="00CE567C"/>
    <w:rsid w:val="00CF4389"/>
    <w:rsid w:val="00D04BE1"/>
    <w:rsid w:val="00D07FAC"/>
    <w:rsid w:val="00D23C49"/>
    <w:rsid w:val="00D24D72"/>
    <w:rsid w:val="00D36A2F"/>
    <w:rsid w:val="00D63DE0"/>
    <w:rsid w:val="00D671CE"/>
    <w:rsid w:val="00D712EB"/>
    <w:rsid w:val="00D9546A"/>
    <w:rsid w:val="00D96260"/>
    <w:rsid w:val="00D96E7D"/>
    <w:rsid w:val="00DA6460"/>
    <w:rsid w:val="00DA65B7"/>
    <w:rsid w:val="00DB00A5"/>
    <w:rsid w:val="00DB55E9"/>
    <w:rsid w:val="00DC09A2"/>
    <w:rsid w:val="00DF37C5"/>
    <w:rsid w:val="00DF4C2D"/>
    <w:rsid w:val="00E00AA1"/>
    <w:rsid w:val="00E03622"/>
    <w:rsid w:val="00E0389F"/>
    <w:rsid w:val="00E130EA"/>
    <w:rsid w:val="00E20976"/>
    <w:rsid w:val="00E24212"/>
    <w:rsid w:val="00E24449"/>
    <w:rsid w:val="00E259B1"/>
    <w:rsid w:val="00E3113B"/>
    <w:rsid w:val="00E31DC9"/>
    <w:rsid w:val="00E3391F"/>
    <w:rsid w:val="00E4665B"/>
    <w:rsid w:val="00E640A9"/>
    <w:rsid w:val="00E84597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0E95"/>
    <w:rsid w:val="00EC17EF"/>
    <w:rsid w:val="00EC5854"/>
    <w:rsid w:val="00ED1318"/>
    <w:rsid w:val="00ED279A"/>
    <w:rsid w:val="00ED314F"/>
    <w:rsid w:val="00ED3211"/>
    <w:rsid w:val="00ED34B1"/>
    <w:rsid w:val="00ED5F5B"/>
    <w:rsid w:val="00ED6FB8"/>
    <w:rsid w:val="00EE4332"/>
    <w:rsid w:val="00EE4569"/>
    <w:rsid w:val="00EE4BBD"/>
    <w:rsid w:val="00EF3608"/>
    <w:rsid w:val="00EF57C3"/>
    <w:rsid w:val="00F02EF3"/>
    <w:rsid w:val="00F0439D"/>
    <w:rsid w:val="00F17C9C"/>
    <w:rsid w:val="00F2594C"/>
    <w:rsid w:val="00F2642B"/>
    <w:rsid w:val="00F26B4E"/>
    <w:rsid w:val="00F30FB8"/>
    <w:rsid w:val="00F34B10"/>
    <w:rsid w:val="00F4270A"/>
    <w:rsid w:val="00F43ACD"/>
    <w:rsid w:val="00F50CD6"/>
    <w:rsid w:val="00F56B1A"/>
    <w:rsid w:val="00F575C9"/>
    <w:rsid w:val="00F6391B"/>
    <w:rsid w:val="00F72D67"/>
    <w:rsid w:val="00F76362"/>
    <w:rsid w:val="00F92886"/>
    <w:rsid w:val="00F942D1"/>
    <w:rsid w:val="00FA1DDF"/>
    <w:rsid w:val="00FB0FC1"/>
    <w:rsid w:val="00FB2120"/>
    <w:rsid w:val="00FB2F05"/>
    <w:rsid w:val="00FB690A"/>
    <w:rsid w:val="00FD55FF"/>
    <w:rsid w:val="00FD7F70"/>
    <w:rsid w:val="00FE3C5F"/>
    <w:rsid w:val="00FE6E95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4FFAF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8465-CD7B-487C-BADE-15B96CD2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3899</Words>
  <Characters>27407</Characters>
  <DocSecurity>0</DocSecurity>
  <Lines>228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2014-05-14T10:54:00Z</cp:lastPrinted>
  <dcterms:created xsi:type="dcterms:W3CDTF">2020-08-19T16:21:00Z</dcterms:created>
  <dcterms:modified xsi:type="dcterms:W3CDTF">2020-08-19T16:23:00Z</dcterms:modified>
</cp:coreProperties>
</file>