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E1D" w:rsidRPr="00527B88" w:rsidRDefault="00DE5E1D" w:rsidP="00EE4B68">
      <w:pPr>
        <w:spacing w:line="360" w:lineRule="auto"/>
        <w:ind w:left="1416" w:right="-569" w:firstLine="708"/>
        <w:jc w:val="right"/>
        <w:rPr>
          <w:rFonts w:ascii="Calibri" w:hAnsi="Calibri"/>
        </w:rPr>
      </w:pPr>
      <w:r w:rsidRPr="00527B88">
        <w:rPr>
          <w:rFonts w:ascii="Calibri" w:hAnsi="Calibri"/>
        </w:rPr>
        <w:t>War</w:t>
      </w:r>
      <w:r>
        <w:rPr>
          <w:rFonts w:ascii="Calibri" w:hAnsi="Calibri"/>
        </w:rPr>
        <w:t xml:space="preserve">szawa,  </w:t>
      </w:r>
      <w:r w:rsidR="004C3504">
        <w:rPr>
          <w:rFonts w:ascii="Calibri" w:hAnsi="Calibri"/>
        </w:rPr>
        <w:t xml:space="preserve">23 </w:t>
      </w:r>
      <w:r>
        <w:rPr>
          <w:rFonts w:ascii="Calibri" w:hAnsi="Calibri"/>
        </w:rPr>
        <w:t>października 2019</w:t>
      </w:r>
      <w:r w:rsidRPr="00527B88">
        <w:rPr>
          <w:rFonts w:ascii="Calibri" w:hAnsi="Calibri"/>
        </w:rPr>
        <w:t xml:space="preserve"> r.</w:t>
      </w:r>
    </w:p>
    <w:p w:rsidR="00DE5E1D" w:rsidRDefault="004C3504" w:rsidP="00EE4B68">
      <w:pPr>
        <w:pStyle w:val="Nagwek2"/>
        <w:tabs>
          <w:tab w:val="left" w:pos="-180"/>
        </w:tabs>
        <w:ind w:right="-569"/>
        <w:jc w:val="right"/>
        <w:rPr>
          <w:b/>
          <w:sz w:val="22"/>
          <w:szCs w:val="22"/>
          <w:u w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4445</wp:posOffset>
                </wp:positionH>
                <wp:positionV relativeFrom="margin">
                  <wp:posOffset>13335</wp:posOffset>
                </wp:positionV>
                <wp:extent cx="2857500" cy="1304925"/>
                <wp:effectExtent l="0" t="0" r="0" b="9525"/>
                <wp:wrapNone/>
                <wp:docPr id="1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5E1D" w:rsidRPr="005C626A" w:rsidRDefault="00DE5E1D" w:rsidP="0038547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:rsidR="00DE5E1D" w:rsidRDefault="00DE5E1D" w:rsidP="0038547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</w:pPr>
                          </w:p>
                          <w:p w:rsidR="00DE5E1D" w:rsidRDefault="004C3504" w:rsidP="0038547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14350" cy="542925"/>
                                  <wp:effectExtent l="0" t="0" r="0" b="9525"/>
                                  <wp:docPr id="2" name="Obraz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4350" cy="542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E5E1D" w:rsidRPr="00A72E6F" w:rsidRDefault="00DE5E1D" w:rsidP="0038547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</w:pPr>
                            <w:r w:rsidRPr="00A72E6F"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>WOJEWODA MAZOWIECKI</w:t>
                            </w:r>
                          </w:p>
                          <w:p w:rsidR="00DE5E1D" w:rsidRDefault="00DE5E1D" w:rsidP="0038547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 w:rsidRPr="00A72E6F"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ab/>
                            </w:r>
                            <w:r w:rsidRPr="00A72E6F"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ab/>
                            </w:r>
                            <w:r w:rsidRPr="00A72E6F"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ab/>
                            </w:r>
                            <w:r w:rsidRPr="00A72E6F"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ab/>
                            </w:r>
                            <w:r w:rsidRPr="00A72E6F"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ab/>
                            </w:r>
                            <w:r w:rsidRPr="00A72E6F"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</w:rPr>
                              <w:tab/>
                            </w:r>
                          </w:p>
                          <w:p w:rsidR="00DE5E1D" w:rsidRDefault="00DE5E1D" w:rsidP="0038547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DE5E1D" w:rsidRDefault="00DE5E1D" w:rsidP="0038547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DE5E1D" w:rsidRDefault="00DE5E1D" w:rsidP="0038547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DE5E1D" w:rsidRPr="008978E9" w:rsidRDefault="00DE5E1D" w:rsidP="0038547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DE5E1D" w:rsidRPr="007D0B8E" w:rsidRDefault="00DE5E1D" w:rsidP="0038547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DE5E1D" w:rsidRPr="007D0B8E" w:rsidRDefault="00DE5E1D" w:rsidP="0038547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left:0;text-align:left;margin-left:.35pt;margin-top:1.05pt;width:225pt;height:102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" filled="f" fillcolor="#bbe0e3" stroked="f">
                <v:textbox inset="0,0,0,0">
                  <w:txbxContent>
                    <w:p w:rsidR="00DE5E1D" w:rsidRPr="005C626A" w:rsidRDefault="00DE5E1D" w:rsidP="00385473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bCs/>
                          <w:color w:val="000000"/>
                        </w:rPr>
                      </w:pPr>
                    </w:p>
                    <w:p w:rsidR="00DE5E1D" w:rsidRDefault="00DE5E1D" w:rsidP="00385473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libri" w:hAnsi="Calibri"/>
                          <w:b/>
                          <w:color w:val="000000"/>
                        </w:rPr>
                      </w:pPr>
                    </w:p>
                    <w:p w:rsidR="00DE5E1D" w:rsidRDefault="004C3504" w:rsidP="00385473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libri" w:hAnsi="Calibri"/>
                          <w:b/>
                          <w:color w:val="00000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14350" cy="542925"/>
                            <wp:effectExtent l="0" t="0" r="0" b="9525"/>
                            <wp:docPr id="2" name="Obraz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4350" cy="542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E5E1D" w:rsidRPr="00A72E6F" w:rsidRDefault="00DE5E1D" w:rsidP="00385473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libri" w:hAnsi="Calibri"/>
                          <w:b/>
                          <w:color w:val="000000"/>
                        </w:rPr>
                      </w:pPr>
                      <w:r w:rsidRPr="00A72E6F">
                        <w:rPr>
                          <w:rFonts w:ascii="Calibri" w:hAnsi="Calibri"/>
                          <w:b/>
                          <w:color w:val="000000"/>
                        </w:rPr>
                        <w:t>WOJEWODA MAZOWIECKI</w:t>
                      </w:r>
                    </w:p>
                    <w:p w:rsidR="00DE5E1D" w:rsidRDefault="00DE5E1D" w:rsidP="00385473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  <w:r w:rsidRPr="00A72E6F">
                        <w:rPr>
                          <w:rFonts w:ascii="Calibri" w:hAnsi="Calibri"/>
                          <w:b/>
                          <w:color w:val="000000"/>
                        </w:rPr>
                        <w:tab/>
                      </w:r>
                      <w:r w:rsidRPr="00A72E6F">
                        <w:rPr>
                          <w:rFonts w:ascii="Calibri" w:hAnsi="Calibri"/>
                          <w:b/>
                          <w:color w:val="000000"/>
                        </w:rPr>
                        <w:tab/>
                      </w:r>
                      <w:r w:rsidRPr="00A72E6F">
                        <w:rPr>
                          <w:rFonts w:ascii="Calibri" w:hAnsi="Calibri"/>
                          <w:b/>
                          <w:color w:val="000000"/>
                        </w:rPr>
                        <w:tab/>
                      </w:r>
                      <w:r w:rsidRPr="00A72E6F">
                        <w:rPr>
                          <w:rFonts w:ascii="Calibri" w:hAnsi="Calibri"/>
                          <w:b/>
                          <w:color w:val="000000"/>
                        </w:rPr>
                        <w:tab/>
                      </w:r>
                      <w:r w:rsidRPr="00A72E6F">
                        <w:rPr>
                          <w:rFonts w:ascii="Calibri" w:hAnsi="Calibri"/>
                          <w:b/>
                          <w:color w:val="000000"/>
                        </w:rPr>
                        <w:tab/>
                      </w:r>
                      <w:r w:rsidRPr="00A72E6F">
                        <w:rPr>
                          <w:rFonts w:ascii="Calibri" w:hAnsi="Calibri"/>
                          <w:b/>
                          <w:color w:val="000000"/>
                        </w:rPr>
                        <w:tab/>
                      </w:r>
                      <w:r>
                        <w:rPr>
                          <w:b/>
                          <w:color w:val="000000"/>
                        </w:rPr>
                        <w:tab/>
                      </w:r>
                    </w:p>
                    <w:p w:rsidR="00DE5E1D" w:rsidRDefault="00DE5E1D" w:rsidP="00385473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DE5E1D" w:rsidRDefault="00DE5E1D" w:rsidP="00385473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DE5E1D" w:rsidRDefault="00DE5E1D" w:rsidP="00385473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DE5E1D" w:rsidRPr="008978E9" w:rsidRDefault="00DE5E1D" w:rsidP="00385473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DE5E1D" w:rsidRPr="007D0B8E" w:rsidRDefault="00DE5E1D" w:rsidP="00385473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DE5E1D" w:rsidRPr="007D0B8E" w:rsidRDefault="00DE5E1D" w:rsidP="00385473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:rsidR="00DE5E1D" w:rsidRPr="00EE4B68" w:rsidRDefault="00DE5E1D" w:rsidP="00EE4B68"/>
    <w:p w:rsidR="00DE5E1D" w:rsidRDefault="00DE5E1D" w:rsidP="00CF610A">
      <w:pPr>
        <w:pStyle w:val="Nagwek2"/>
        <w:tabs>
          <w:tab w:val="left" w:pos="-180"/>
        </w:tabs>
        <w:ind w:right="-569"/>
        <w:rPr>
          <w:b/>
          <w:sz w:val="22"/>
          <w:szCs w:val="22"/>
          <w:u w:val="none"/>
        </w:rPr>
      </w:pPr>
    </w:p>
    <w:p w:rsidR="00DE5E1D" w:rsidRDefault="00DE5E1D" w:rsidP="00385473">
      <w:pPr>
        <w:pStyle w:val="Nagwek2"/>
        <w:tabs>
          <w:tab w:val="left" w:pos="-180"/>
          <w:tab w:val="left" w:pos="9000"/>
        </w:tabs>
        <w:ind w:right="72"/>
        <w:rPr>
          <w:b/>
          <w:sz w:val="22"/>
          <w:szCs w:val="22"/>
          <w:u w:val="none"/>
        </w:rPr>
      </w:pPr>
    </w:p>
    <w:p w:rsidR="00DE5E1D" w:rsidRDefault="00DE5E1D" w:rsidP="00385473">
      <w:pPr>
        <w:pStyle w:val="Nagwek2"/>
        <w:tabs>
          <w:tab w:val="left" w:pos="-180"/>
          <w:tab w:val="left" w:pos="9000"/>
        </w:tabs>
        <w:ind w:right="72"/>
        <w:rPr>
          <w:b/>
          <w:sz w:val="22"/>
          <w:szCs w:val="22"/>
          <w:u w:val="none"/>
        </w:rPr>
      </w:pPr>
    </w:p>
    <w:p w:rsidR="00DE5E1D" w:rsidRDefault="00DE5E1D" w:rsidP="00385473">
      <w:pPr>
        <w:pStyle w:val="Nagwek2"/>
        <w:tabs>
          <w:tab w:val="left" w:pos="-180"/>
          <w:tab w:val="left" w:pos="9000"/>
        </w:tabs>
        <w:ind w:right="72"/>
        <w:rPr>
          <w:b/>
          <w:sz w:val="22"/>
          <w:szCs w:val="22"/>
          <w:u w:val="none"/>
        </w:rPr>
      </w:pPr>
    </w:p>
    <w:p w:rsidR="00DE5E1D" w:rsidRDefault="00DE5E1D" w:rsidP="00385473">
      <w:pPr>
        <w:pStyle w:val="Nagwek2"/>
        <w:tabs>
          <w:tab w:val="left" w:pos="-180"/>
          <w:tab w:val="left" w:pos="9000"/>
        </w:tabs>
        <w:ind w:right="72"/>
        <w:rPr>
          <w:b/>
          <w:sz w:val="22"/>
          <w:szCs w:val="22"/>
          <w:u w:val="none"/>
        </w:rPr>
      </w:pPr>
    </w:p>
    <w:p w:rsidR="00DE5E1D" w:rsidRPr="00527B88" w:rsidRDefault="00DE5E1D" w:rsidP="00EE4B68">
      <w:pPr>
        <w:spacing w:line="360" w:lineRule="auto"/>
        <w:ind w:firstLine="708"/>
        <w:rPr>
          <w:rFonts w:ascii="Calibri" w:hAnsi="Calibri"/>
        </w:rPr>
      </w:pPr>
      <w:r>
        <w:rPr>
          <w:rFonts w:ascii="Calibri" w:hAnsi="Calibri"/>
        </w:rPr>
        <w:t xml:space="preserve">     </w:t>
      </w:r>
      <w:bookmarkStart w:id="0" w:name="_GoBack"/>
      <w:r>
        <w:rPr>
          <w:rFonts w:ascii="Calibri" w:hAnsi="Calibri"/>
        </w:rPr>
        <w:t>WNP-I.4131.184.2019.MS</w:t>
      </w:r>
      <w:bookmarkEnd w:id="0"/>
    </w:p>
    <w:p w:rsidR="00DE5E1D" w:rsidRDefault="00DE5E1D" w:rsidP="00CF610A">
      <w:pPr>
        <w:autoSpaceDE w:val="0"/>
        <w:autoSpaceDN w:val="0"/>
        <w:adjustRightInd w:val="0"/>
        <w:ind w:left="4248" w:firstLine="708"/>
        <w:rPr>
          <w:rFonts w:ascii="Calibri" w:hAnsi="Calibri"/>
          <w:b/>
          <w:i/>
        </w:rPr>
      </w:pPr>
    </w:p>
    <w:p w:rsidR="00DE5E1D" w:rsidRDefault="00DE5E1D" w:rsidP="00EC5D24">
      <w:pPr>
        <w:autoSpaceDE w:val="0"/>
        <w:autoSpaceDN w:val="0"/>
        <w:adjustRightInd w:val="0"/>
        <w:ind w:left="-426" w:firstLine="852"/>
        <w:rPr>
          <w:rFonts w:ascii="Calibri" w:hAnsi="Calibri"/>
          <w:b/>
          <w:i/>
        </w:rPr>
      </w:pPr>
    </w:p>
    <w:p w:rsidR="00DE5E1D" w:rsidRDefault="00DE5E1D" w:rsidP="00EE4B68">
      <w:pPr>
        <w:autoSpaceDE w:val="0"/>
        <w:autoSpaceDN w:val="0"/>
        <w:adjustRightInd w:val="0"/>
        <w:ind w:left="4248" w:firstLine="708"/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>Rada Gminy Lesznowola</w:t>
      </w:r>
    </w:p>
    <w:p w:rsidR="00DE5E1D" w:rsidRDefault="00DE5E1D" w:rsidP="00EE4B68">
      <w:pPr>
        <w:autoSpaceDE w:val="0"/>
        <w:autoSpaceDN w:val="0"/>
        <w:adjustRightInd w:val="0"/>
        <w:ind w:left="4248" w:firstLine="708"/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>ul. Gminna 60</w:t>
      </w:r>
    </w:p>
    <w:p w:rsidR="00DE5E1D" w:rsidRDefault="00DE5E1D" w:rsidP="00EE4B68">
      <w:pPr>
        <w:autoSpaceDE w:val="0"/>
        <w:autoSpaceDN w:val="0"/>
        <w:adjustRightInd w:val="0"/>
        <w:ind w:left="4248" w:firstLine="708"/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>05-506 Lesznowola</w:t>
      </w:r>
    </w:p>
    <w:p w:rsidR="00DE5E1D" w:rsidRDefault="00DE5E1D" w:rsidP="00CF610A">
      <w:pPr>
        <w:autoSpaceDE w:val="0"/>
        <w:autoSpaceDN w:val="0"/>
        <w:adjustRightInd w:val="0"/>
        <w:ind w:left="4248" w:firstLine="708"/>
        <w:rPr>
          <w:rFonts w:ascii="Calibri" w:hAnsi="Calibri"/>
          <w:b/>
          <w:i/>
        </w:rPr>
      </w:pPr>
    </w:p>
    <w:p w:rsidR="00DE5E1D" w:rsidRDefault="00DE5E1D" w:rsidP="00CF610A">
      <w:pPr>
        <w:pStyle w:val="Nagwek1"/>
        <w:ind w:right="-468"/>
        <w:jc w:val="center"/>
        <w:rPr>
          <w:rFonts w:ascii="Calibri" w:hAnsi="Calibri" w:cs="Calibri"/>
          <w:b/>
          <w:color w:val="auto"/>
          <w:sz w:val="24"/>
        </w:rPr>
      </w:pPr>
      <w:r w:rsidRPr="00CF610A">
        <w:rPr>
          <w:rFonts w:ascii="Calibri" w:hAnsi="Calibri" w:cs="Calibri"/>
          <w:b/>
          <w:color w:val="auto"/>
          <w:sz w:val="24"/>
        </w:rPr>
        <w:t>Rozstrzygnięcie nadzorcze</w:t>
      </w:r>
    </w:p>
    <w:p w:rsidR="00DE5E1D" w:rsidRPr="00CF610A" w:rsidRDefault="00DE5E1D" w:rsidP="00CF610A"/>
    <w:p w:rsidR="00DE5E1D" w:rsidRPr="002B42F1" w:rsidRDefault="00DE5E1D" w:rsidP="00FD67B8">
      <w:pPr>
        <w:pStyle w:val="Tekstpodstawowy"/>
        <w:ind w:left="-357" w:right="-471" w:firstLine="709"/>
        <w:rPr>
          <w:rFonts w:ascii="Calibri" w:hAnsi="Calibri" w:cs="Calibri"/>
          <w:sz w:val="24"/>
        </w:rPr>
      </w:pPr>
      <w:r w:rsidRPr="002B42F1">
        <w:rPr>
          <w:rFonts w:ascii="Calibri" w:hAnsi="Calibri" w:cs="Calibri"/>
          <w:sz w:val="24"/>
        </w:rPr>
        <w:t>Działając na podstawie art. 91 ust. 1</w:t>
      </w:r>
      <w:r>
        <w:rPr>
          <w:rFonts w:ascii="Calibri" w:hAnsi="Calibri" w:cs="Calibri"/>
          <w:sz w:val="24"/>
        </w:rPr>
        <w:t>,</w:t>
      </w:r>
      <w:r w:rsidRPr="002B42F1">
        <w:rPr>
          <w:rFonts w:ascii="Calibri" w:hAnsi="Calibri" w:cs="Calibri"/>
          <w:sz w:val="24"/>
        </w:rPr>
        <w:t xml:space="preserve"> w związku z art. 86 ustawy z dni</w:t>
      </w:r>
      <w:r>
        <w:rPr>
          <w:rFonts w:ascii="Calibri" w:hAnsi="Calibri" w:cs="Calibri"/>
          <w:sz w:val="24"/>
        </w:rPr>
        <w:t xml:space="preserve">a 8 marca 1990 r.                         </w:t>
      </w:r>
      <w:r w:rsidRPr="002B42F1">
        <w:rPr>
          <w:rFonts w:ascii="Calibri" w:hAnsi="Calibri" w:cs="Calibri"/>
          <w:sz w:val="24"/>
        </w:rPr>
        <w:t xml:space="preserve">o samorządzie </w:t>
      </w:r>
      <w:r>
        <w:rPr>
          <w:rFonts w:ascii="Calibri" w:hAnsi="Calibri" w:cs="Calibri"/>
          <w:sz w:val="24"/>
        </w:rPr>
        <w:t>gminnym (Dz. U. z 2019 r. poz. 506, z późn. zm.</w:t>
      </w:r>
      <w:r w:rsidRPr="002B42F1">
        <w:rPr>
          <w:rFonts w:ascii="Calibri" w:hAnsi="Calibri" w:cs="Calibri"/>
          <w:sz w:val="24"/>
        </w:rPr>
        <w:t>)</w:t>
      </w:r>
    </w:p>
    <w:p w:rsidR="00DE5E1D" w:rsidRPr="002B42F1" w:rsidRDefault="00DE5E1D" w:rsidP="00FD67B8">
      <w:pPr>
        <w:spacing w:line="360" w:lineRule="auto"/>
        <w:ind w:right="-468"/>
        <w:jc w:val="center"/>
        <w:rPr>
          <w:rFonts w:ascii="Calibri" w:hAnsi="Calibri" w:cs="Calibri"/>
          <w:b/>
          <w:bCs/>
        </w:rPr>
      </w:pPr>
    </w:p>
    <w:p w:rsidR="00DE5E1D" w:rsidRPr="002B42F1" w:rsidRDefault="00DE5E1D" w:rsidP="00CF610A">
      <w:pPr>
        <w:spacing w:line="360" w:lineRule="auto"/>
        <w:ind w:right="-468"/>
        <w:jc w:val="center"/>
        <w:rPr>
          <w:rFonts w:ascii="Calibri" w:hAnsi="Calibri" w:cs="Calibri"/>
          <w:b/>
          <w:bCs/>
        </w:rPr>
      </w:pPr>
      <w:r w:rsidRPr="002B42F1">
        <w:rPr>
          <w:rFonts w:ascii="Calibri" w:hAnsi="Calibri" w:cs="Calibri"/>
          <w:b/>
          <w:bCs/>
        </w:rPr>
        <w:t>stwierdzam nieważność</w:t>
      </w:r>
    </w:p>
    <w:p w:rsidR="00DE5E1D" w:rsidRPr="00C66092" w:rsidRDefault="00DE5E1D" w:rsidP="00FD67B8">
      <w:pPr>
        <w:pStyle w:val="Tekstpodstawowy"/>
        <w:ind w:left="-357" w:right="-471"/>
        <w:rPr>
          <w:rFonts w:ascii="Calibri" w:hAnsi="Calibri"/>
          <w:bCs/>
          <w:i/>
          <w:sz w:val="24"/>
        </w:rPr>
      </w:pPr>
      <w:r>
        <w:rPr>
          <w:rFonts w:ascii="Calibri" w:hAnsi="Calibri"/>
          <w:bCs/>
          <w:sz w:val="24"/>
        </w:rPr>
        <w:t xml:space="preserve">uchwały Nr 150/XIV/2019 Rady Gminy Lesznowola z dnia 17 września 2019 r. w sprawie </w:t>
      </w:r>
      <w:r>
        <w:rPr>
          <w:rFonts w:ascii="Calibri" w:hAnsi="Calibri"/>
          <w:bCs/>
          <w:i/>
          <w:sz w:val="24"/>
        </w:rPr>
        <w:t>miesięcznych diet dla Radnych</w:t>
      </w:r>
      <w:r>
        <w:rPr>
          <w:rFonts w:ascii="Calibri" w:hAnsi="Calibri"/>
          <w:bCs/>
          <w:sz w:val="24"/>
        </w:rPr>
        <w:t>, w zakresie § 2 ust. 2, § 3 oraz § 4</w:t>
      </w:r>
      <w:r>
        <w:rPr>
          <w:rFonts w:ascii="Calibri" w:hAnsi="Calibri"/>
          <w:bCs/>
          <w:i/>
          <w:sz w:val="24"/>
        </w:rPr>
        <w:t>.</w:t>
      </w:r>
    </w:p>
    <w:p w:rsidR="00DE5E1D" w:rsidRPr="00F83F6A" w:rsidRDefault="00DE5E1D" w:rsidP="00EE4B68">
      <w:pPr>
        <w:pStyle w:val="Tekstpodstawowy"/>
        <w:spacing w:line="240" w:lineRule="auto"/>
        <w:ind w:left="-360" w:right="-471"/>
        <w:rPr>
          <w:rFonts w:ascii="Calibri" w:hAnsi="Calibri"/>
          <w:i/>
        </w:rPr>
      </w:pPr>
    </w:p>
    <w:p w:rsidR="00DE5E1D" w:rsidRDefault="00DE5E1D" w:rsidP="00D143D8">
      <w:pPr>
        <w:pStyle w:val="Tekstpodstawowy"/>
        <w:ind w:right="-468"/>
        <w:jc w:val="center"/>
        <w:rPr>
          <w:rFonts w:ascii="Calibri" w:hAnsi="Calibri" w:cs="Calibri"/>
          <w:b/>
          <w:sz w:val="24"/>
          <w:u w:val="single"/>
        </w:rPr>
      </w:pPr>
      <w:r>
        <w:rPr>
          <w:rFonts w:ascii="Calibri" w:hAnsi="Calibri" w:cs="Calibri"/>
          <w:b/>
          <w:sz w:val="24"/>
          <w:u w:val="single"/>
        </w:rPr>
        <w:t>Uzasadnienie</w:t>
      </w:r>
    </w:p>
    <w:p w:rsidR="00DE5E1D" w:rsidRPr="00B6770A" w:rsidRDefault="00DE5E1D" w:rsidP="002B6C7B">
      <w:pPr>
        <w:pStyle w:val="Tekstpodstawowy"/>
        <w:ind w:left="-357" w:right="-471" w:firstLine="783"/>
        <w:rPr>
          <w:rFonts w:ascii="Calibri" w:hAnsi="Calibri" w:cs="Calibri"/>
          <w:bCs/>
          <w:i/>
          <w:sz w:val="24"/>
        </w:rPr>
      </w:pPr>
      <w:r>
        <w:rPr>
          <w:rFonts w:ascii="Calibri" w:hAnsi="Calibri" w:cs="Calibri"/>
          <w:sz w:val="24"/>
        </w:rPr>
        <w:t xml:space="preserve">Na sesji w dniu 17 września 2019 r. Rada Gminy Lesznowola podjęła uchwałę w sprawie </w:t>
      </w:r>
      <w:r w:rsidRPr="00EE4B68">
        <w:rPr>
          <w:rFonts w:ascii="Calibri" w:hAnsi="Calibri" w:cs="Calibri"/>
          <w:i/>
          <w:sz w:val="24"/>
        </w:rPr>
        <w:t>miesięcznych diet dla Radnych</w:t>
      </w:r>
      <w:r>
        <w:rPr>
          <w:rFonts w:ascii="Calibri" w:hAnsi="Calibri" w:cs="Calibri"/>
          <w:sz w:val="24"/>
        </w:rPr>
        <w:t xml:space="preserve">. </w:t>
      </w:r>
      <w:r w:rsidRPr="002B42F1">
        <w:rPr>
          <w:rFonts w:ascii="Calibri" w:hAnsi="Calibri" w:cs="Calibri"/>
          <w:sz w:val="24"/>
        </w:rPr>
        <w:t>Podstawę prawną przedmiotowej uchwały stanowi</w:t>
      </w:r>
      <w:r>
        <w:rPr>
          <w:rFonts w:ascii="Calibri" w:hAnsi="Calibri" w:cs="Calibri"/>
          <w:sz w:val="24"/>
        </w:rPr>
        <w:t>ą m. in.</w:t>
      </w:r>
      <w:r w:rsidRPr="002B42F1">
        <w:rPr>
          <w:rFonts w:ascii="Calibri" w:hAnsi="Calibri" w:cs="Calibri"/>
          <w:sz w:val="24"/>
        </w:rPr>
        <w:t xml:space="preserve"> art. 25 </w:t>
      </w:r>
      <w:r>
        <w:rPr>
          <w:rFonts w:ascii="Calibri" w:hAnsi="Calibri" w:cs="Calibri"/>
          <w:sz w:val="24"/>
        </w:rPr>
        <w:t xml:space="preserve">        </w:t>
      </w:r>
      <w:r w:rsidRPr="002B42F1">
        <w:rPr>
          <w:rFonts w:ascii="Calibri" w:hAnsi="Calibri" w:cs="Calibri"/>
          <w:sz w:val="24"/>
        </w:rPr>
        <w:t xml:space="preserve">ust. 4, 6 i 8 ustawy o samorządzie gminnym oraz § 3 pkt 2 Rozporządzenia Rady Ministrów z dnia 26 lipca 2000 r. w sprawie maksymalnej wysokości diet przysługujących radnemu gminy (Dz. U. Nr 61, </w:t>
      </w:r>
      <w:r>
        <w:rPr>
          <w:rFonts w:ascii="Calibri" w:hAnsi="Calibri" w:cs="Calibri"/>
          <w:sz w:val="24"/>
        </w:rPr>
        <w:t xml:space="preserve">   </w:t>
      </w:r>
      <w:r w:rsidRPr="002B42F1">
        <w:rPr>
          <w:rFonts w:ascii="Calibri" w:hAnsi="Calibri" w:cs="Calibri"/>
          <w:sz w:val="24"/>
        </w:rPr>
        <w:t>poz. 710). Zgodnie z art. 25 ust. 4 ustawy o samorządzie gminnym, na zasadach ustalonych przez radę gminy, radnemu przysługują diety oraz zwrot kosztów podróży służbowych. Według ust. 6 tegoż przepisu wysokość diet przysługujących radnemu nie może przekroczyć w ciągu miesiąca łącznie półtorakrotności kwoty bazowej określonej w ustawie budżetowej dla osób zajmujących kierownicze stanowiska państwowe na podstawie przepisów ustawy z dnia 23 grudnia 1999 r. o kształtowaniu wynagrodzeń w państwowej sferze budżetowej oraz o zmianie niektórych ustaw (</w:t>
      </w:r>
      <w:r>
        <w:rPr>
          <w:rFonts w:ascii="Calibri" w:hAnsi="Calibri" w:cs="Calibri"/>
          <w:sz w:val="24"/>
        </w:rPr>
        <w:t>Dz. U. z 2018 r.         poz. 2288</w:t>
      </w:r>
      <w:r w:rsidRPr="002B42F1">
        <w:rPr>
          <w:rFonts w:ascii="Calibri" w:hAnsi="Calibri" w:cs="Calibri"/>
          <w:sz w:val="24"/>
        </w:rPr>
        <w:t xml:space="preserve">). Rada Ministrów określa, w drodze rozporządzenia, maksymalną wysokość diet przysługujących radnemu w ciągu miesiąca, uwzględniając liczbę mieszkańców gminy, przy czym kwota wymieniona w ust. 6 oznacza maksymalną wysokość diet w gminach o największej liczbie </w:t>
      </w:r>
      <w:r w:rsidRPr="002B42F1">
        <w:rPr>
          <w:rFonts w:ascii="Calibri" w:hAnsi="Calibri" w:cs="Calibri"/>
          <w:sz w:val="24"/>
        </w:rPr>
        <w:lastRenderedPageBreak/>
        <w:t xml:space="preserve">mieszkańców (art. 25 ust. 7 ustawy o samorządzie gminnym). Przy ustalaniu wysokości diet radnych rada gminy jest zobligowana wziąć pod uwagę  funkcje pełnione przez radnego (art. 25 ust. 8 ustawy  o samorządzie gminnym). </w:t>
      </w:r>
    </w:p>
    <w:p w:rsidR="00DE5E1D" w:rsidRPr="002B42F1" w:rsidRDefault="00DE5E1D" w:rsidP="00CF5534">
      <w:pPr>
        <w:autoSpaceDE w:val="0"/>
        <w:autoSpaceDN w:val="0"/>
        <w:adjustRightInd w:val="0"/>
        <w:spacing w:line="360" w:lineRule="auto"/>
        <w:ind w:left="-357" w:right="-471" w:firstLine="709"/>
        <w:jc w:val="both"/>
        <w:rPr>
          <w:rFonts w:ascii="Calibri" w:hAnsi="Calibri" w:cs="Calibri"/>
        </w:rPr>
      </w:pPr>
      <w:r w:rsidRPr="002B42F1">
        <w:rPr>
          <w:rFonts w:ascii="Calibri" w:hAnsi="Calibri" w:cs="Calibri"/>
        </w:rPr>
        <w:t>Na mocy ww. rozporządzenia radnemu przysługują w ciągu miesiąca diety, których wysokość uzależniona jest od liczby mieszkańców danej gminy, tj.:</w:t>
      </w:r>
    </w:p>
    <w:p w:rsidR="00DE5E1D" w:rsidRPr="002B42F1" w:rsidRDefault="00DE5E1D" w:rsidP="00CF5534">
      <w:pPr>
        <w:autoSpaceDE w:val="0"/>
        <w:autoSpaceDN w:val="0"/>
        <w:adjustRightInd w:val="0"/>
        <w:spacing w:line="360" w:lineRule="auto"/>
        <w:ind w:left="-357" w:right="-471" w:hanging="3"/>
        <w:jc w:val="both"/>
        <w:rPr>
          <w:rFonts w:ascii="Calibri" w:hAnsi="Calibri" w:cs="Calibri"/>
        </w:rPr>
      </w:pPr>
      <w:r w:rsidRPr="002B42F1">
        <w:rPr>
          <w:rFonts w:ascii="Calibri" w:hAnsi="Calibri" w:cs="Calibri"/>
        </w:rPr>
        <w:t>- 100% maksymalnej wysokości diety w gminach powyżej 100 tyś. mieszkańców,</w:t>
      </w:r>
    </w:p>
    <w:p w:rsidR="00DE5E1D" w:rsidRPr="002B42F1" w:rsidRDefault="00DE5E1D" w:rsidP="00CF5534">
      <w:pPr>
        <w:autoSpaceDE w:val="0"/>
        <w:autoSpaceDN w:val="0"/>
        <w:adjustRightInd w:val="0"/>
        <w:spacing w:line="360" w:lineRule="auto"/>
        <w:ind w:left="-360" w:right="-471"/>
        <w:jc w:val="both"/>
        <w:rPr>
          <w:rFonts w:ascii="Calibri" w:hAnsi="Calibri" w:cs="Calibri"/>
        </w:rPr>
      </w:pPr>
      <w:r w:rsidRPr="002B42F1">
        <w:rPr>
          <w:rFonts w:ascii="Calibri" w:hAnsi="Calibri" w:cs="Calibri"/>
        </w:rPr>
        <w:t>- 75% maksymalnej wysokości diety w gminach od 15 tyś. do 100 tyś. mieszkańców,</w:t>
      </w:r>
    </w:p>
    <w:p w:rsidR="00DE5E1D" w:rsidRPr="002B42F1" w:rsidRDefault="00DE5E1D" w:rsidP="00CF5534">
      <w:pPr>
        <w:autoSpaceDE w:val="0"/>
        <w:autoSpaceDN w:val="0"/>
        <w:adjustRightInd w:val="0"/>
        <w:spacing w:line="360" w:lineRule="auto"/>
        <w:ind w:left="-360" w:right="-471"/>
        <w:jc w:val="both"/>
        <w:rPr>
          <w:rFonts w:ascii="Calibri" w:hAnsi="Calibri" w:cs="Calibri"/>
        </w:rPr>
      </w:pPr>
      <w:r w:rsidRPr="002B42F1">
        <w:rPr>
          <w:rFonts w:ascii="Calibri" w:hAnsi="Calibri" w:cs="Calibri"/>
        </w:rPr>
        <w:t>- 50% maksymalnej wysokości diety w gminach poniżej 15 tyś. mieszkańców.</w:t>
      </w:r>
    </w:p>
    <w:p w:rsidR="00DE5E1D" w:rsidRPr="002B42F1" w:rsidRDefault="00DE5E1D" w:rsidP="00CF5534">
      <w:pPr>
        <w:autoSpaceDE w:val="0"/>
        <w:autoSpaceDN w:val="0"/>
        <w:adjustRightInd w:val="0"/>
        <w:spacing w:line="360" w:lineRule="auto"/>
        <w:ind w:left="-360" w:right="-471" w:firstLine="720"/>
        <w:jc w:val="both"/>
        <w:rPr>
          <w:rFonts w:ascii="Calibri" w:hAnsi="Calibri" w:cs="Calibri"/>
        </w:rPr>
      </w:pPr>
      <w:r w:rsidRPr="002B42F1">
        <w:rPr>
          <w:rFonts w:ascii="Calibri" w:hAnsi="Calibri" w:cs="Calibri"/>
        </w:rPr>
        <w:t>Zarówno z przepisów ustawy o samorządzie gminnym, jak i z rozporządzenia wykonawczego wynika, iż przy ustalaniu wysokości diet radnych gminy, rada ma obowiązek w</w:t>
      </w:r>
      <w:r>
        <w:rPr>
          <w:rFonts w:ascii="Calibri" w:hAnsi="Calibri" w:cs="Calibri"/>
        </w:rPr>
        <w:t>ziąć</w:t>
      </w:r>
      <w:r w:rsidRPr="002B42F1">
        <w:rPr>
          <w:rFonts w:ascii="Calibri" w:hAnsi="Calibri" w:cs="Calibri"/>
        </w:rPr>
        <w:t xml:space="preserve"> pod uwagę, zarówno liczby mieszkańców danej gminy, a także funkcji pełnionych p</w:t>
      </w:r>
      <w:r>
        <w:rPr>
          <w:rFonts w:ascii="Calibri" w:hAnsi="Calibri" w:cs="Calibri"/>
        </w:rPr>
        <w:t xml:space="preserve">rzez radnego, które związane są </w:t>
      </w:r>
      <w:r w:rsidRPr="002B42F1">
        <w:rPr>
          <w:rFonts w:ascii="Calibri" w:hAnsi="Calibri" w:cs="Calibri"/>
        </w:rPr>
        <w:t>z nakładem jego pracy, przy sprawowanej funkcji. Ponadto wysokość diet określo</w:t>
      </w:r>
      <w:r>
        <w:rPr>
          <w:rFonts w:ascii="Calibri" w:hAnsi="Calibri" w:cs="Calibri"/>
        </w:rPr>
        <w:t xml:space="preserve">nych                                       </w:t>
      </w:r>
      <w:r w:rsidRPr="002B42F1">
        <w:rPr>
          <w:rFonts w:ascii="Calibri" w:hAnsi="Calibri" w:cs="Calibri"/>
        </w:rPr>
        <w:t xml:space="preserve">w rozporządzeniu nie może przekroczyć limitów procentowych wskazanych w § 3 rozporządzenia. </w:t>
      </w:r>
    </w:p>
    <w:p w:rsidR="00DE5E1D" w:rsidRPr="00CF5534" w:rsidRDefault="00DE5E1D" w:rsidP="00CF5534">
      <w:pPr>
        <w:pStyle w:val="Tekstpodstawowy"/>
        <w:ind w:left="-426" w:right="-468" w:firstLine="852"/>
        <w:rPr>
          <w:rFonts w:ascii="Calibri" w:hAnsi="Calibri" w:cs="Calibri"/>
          <w:sz w:val="24"/>
        </w:rPr>
      </w:pPr>
      <w:r w:rsidRPr="00CF5534">
        <w:rPr>
          <w:rFonts w:ascii="Calibri" w:hAnsi="Calibri" w:cs="Calibri"/>
          <w:sz w:val="24"/>
        </w:rPr>
        <w:t>Zgodnie z orzecznictwem sądów administracyjnych, dieta stanowi rekompensatę  za utracone przez radnego zarobki, a zatem nie jest świadczeniem pracowniczym.</w:t>
      </w:r>
    </w:p>
    <w:p w:rsidR="00DE5E1D" w:rsidRDefault="00DE5E1D" w:rsidP="00181140">
      <w:pPr>
        <w:pStyle w:val="Tekstpodstawowy"/>
        <w:ind w:left="-426" w:right="-468" w:firstLine="852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W § 2 ust. 1 przedmiotowej uchwały Rada ustaliła, iż Przewodniczącemu Rady Gminy, Wiceprzewodniczącym Rady Gminy, Przewodniczącemu Komisji Rady Gminy i Zastępcy Przewodniczącego Komisji Rady Gminy przysługuje miesięczna dieta w wysokości 75% maksymalnej diety stanowiącej półtorakrotność kwoty bazowej określonej w ustawie budżetowej dla osób zajmujących kierownicze stanowiska państwowe. </w:t>
      </w:r>
    </w:p>
    <w:p w:rsidR="00DE5E1D" w:rsidRDefault="00DE5E1D" w:rsidP="00181140">
      <w:pPr>
        <w:pStyle w:val="Tekstpodstawowy"/>
        <w:ind w:left="-426" w:right="-468" w:firstLine="852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W § 2 ust. 2 Rada postanowiła, iż Radnemu za udział w posiedzeniach Komisji i Sesjach Rady Gminy przysługuje dieta miesięczna w wysokości 1800 zł. W § 3 wskazano, iż radnemu przysługuje tylko jedna dieta określona postanowieniami § 2 niniejszej uchwały. Ponadto w § 4 przyjęto, że w przypadku nieobecności radnego w ciągu jednego miesiąca, dokonuje się potrącenia w wysokości 10% diety określonej w § 2 za każdą nieobecność. </w:t>
      </w:r>
    </w:p>
    <w:p w:rsidR="00DE5E1D" w:rsidRPr="002B42F1" w:rsidRDefault="00DE5E1D" w:rsidP="003E101D">
      <w:pPr>
        <w:autoSpaceDE w:val="0"/>
        <w:autoSpaceDN w:val="0"/>
        <w:adjustRightInd w:val="0"/>
        <w:spacing w:line="360" w:lineRule="auto"/>
        <w:ind w:left="-360" w:right="-471" w:firstLine="720"/>
        <w:jc w:val="both"/>
        <w:rPr>
          <w:rFonts w:ascii="Calibri" w:hAnsi="Calibri" w:cs="Calibri"/>
        </w:rPr>
      </w:pPr>
      <w:r w:rsidRPr="002B42F1">
        <w:rPr>
          <w:rFonts w:ascii="Calibri" w:hAnsi="Calibri" w:cs="Calibri"/>
        </w:rPr>
        <w:t>Pomimo, iż w treści uchwały wskazano przypadki potrąceń w stosunku do miesięcznej wypłaty diety, to jednak nie zmienia to faktu, iż nadal wypłata dokonywana jest w formie ryczałtu</w:t>
      </w:r>
      <w:r>
        <w:rPr>
          <w:rFonts w:ascii="Calibri" w:hAnsi="Calibri" w:cs="Calibri"/>
        </w:rPr>
        <w:t>.</w:t>
      </w:r>
      <w:r w:rsidRPr="002B42F1">
        <w:rPr>
          <w:rFonts w:ascii="Calibri" w:hAnsi="Calibri" w:cs="Calibri"/>
        </w:rPr>
        <w:t xml:space="preserve"> Świadczy </w:t>
      </w:r>
      <w:r>
        <w:rPr>
          <w:rFonts w:ascii="Calibri" w:hAnsi="Calibri" w:cs="Calibri"/>
        </w:rPr>
        <w:t xml:space="preserve">       </w:t>
      </w:r>
      <w:r w:rsidRPr="002B42F1">
        <w:rPr>
          <w:rFonts w:ascii="Calibri" w:hAnsi="Calibri" w:cs="Calibri"/>
        </w:rPr>
        <w:t>o tym bowiem ustalenie wysokości diety bez względu na ilość zwołany</w:t>
      </w:r>
      <w:r>
        <w:rPr>
          <w:rFonts w:ascii="Calibri" w:hAnsi="Calibri" w:cs="Calibri"/>
        </w:rPr>
        <w:t>ch Sesji oraz posiedzeń Komisji.</w:t>
      </w:r>
      <w:r w:rsidRPr="002B42F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Konstrukcja przyjęta przez Radę Gminy Lesznowola w niniejszej uchwale prowadzi bowiem do sytuacji, w której bez względu na to, czy radny wykonuje czynności związane ze sprawowaniem mandatu, czy też nie, pobiera dietę. </w:t>
      </w:r>
      <w:r w:rsidRPr="002B42F1">
        <w:rPr>
          <w:rFonts w:ascii="Calibri" w:hAnsi="Calibri" w:cs="Calibri"/>
        </w:rPr>
        <w:t xml:space="preserve">Należy podkreślić, iż zgodnie z przyjętym orzecznictwem sądów administracyjnych ustalona w stałej kwocie dieta w formie ryczałtu miesięcznego traci charakter </w:t>
      </w:r>
      <w:r w:rsidRPr="002B42F1">
        <w:rPr>
          <w:rFonts w:ascii="Calibri" w:hAnsi="Calibri" w:cs="Calibri"/>
        </w:rPr>
        <w:lastRenderedPageBreak/>
        <w:t xml:space="preserve">rekompensaty utraconego wynagrodzenia, niezależnego od kosztów związanych z pełnieniem funkcji (wyrok NSA z dnia 26 czerwca 2014 r. sygn. akt II OSK 406/14). </w:t>
      </w:r>
    </w:p>
    <w:p w:rsidR="00DE5E1D" w:rsidRPr="002B42F1" w:rsidRDefault="00DE5E1D" w:rsidP="00E03A0E">
      <w:pPr>
        <w:spacing w:line="360" w:lineRule="auto"/>
        <w:ind w:left="-360" w:right="-471" w:firstLine="720"/>
        <w:jc w:val="both"/>
        <w:rPr>
          <w:rFonts w:ascii="Calibri" w:hAnsi="Calibri" w:cs="Calibri"/>
          <w:color w:val="000000"/>
          <w:shd w:val="clear" w:color="auto" w:fill="FFFFFF"/>
        </w:rPr>
      </w:pPr>
      <w:r w:rsidRPr="002B42F1">
        <w:rPr>
          <w:rFonts w:ascii="Calibri" w:hAnsi="Calibri" w:cs="Calibri"/>
          <w:color w:val="000000"/>
          <w:shd w:val="clear" w:color="auto" w:fill="FFFFFF"/>
        </w:rPr>
        <w:t>Warto również zaznaczyć, że podkreślany wielokrotnie charakter pracy radnego w organach jednostek samorządu terytorialnego, wiąże się zawsze z ponoszeniem przez zainteresowanych kosztów związanych z pełnieniem mandatu radnego, m.in. kosztów związanych z potrąceniem wynagrodzenia za pracę w czasie uczestnictwa w pracach organu rady np. sesji oraz komisji.</w:t>
      </w:r>
    </w:p>
    <w:p w:rsidR="00DE5E1D" w:rsidRDefault="00DE5E1D" w:rsidP="001A6E7F">
      <w:pPr>
        <w:spacing w:line="360" w:lineRule="auto"/>
        <w:ind w:left="-360" w:right="-471" w:firstLine="720"/>
        <w:jc w:val="both"/>
        <w:rPr>
          <w:rFonts w:ascii="Calibri" w:hAnsi="Calibri" w:cs="Calibri"/>
          <w:color w:val="000000"/>
          <w:shd w:val="clear" w:color="auto" w:fill="FFFFFF"/>
        </w:rPr>
      </w:pPr>
      <w:r w:rsidRPr="002B42F1">
        <w:rPr>
          <w:rFonts w:ascii="Calibri" w:hAnsi="Calibri" w:cs="Calibri"/>
          <w:color w:val="000000"/>
          <w:shd w:val="clear" w:color="auto" w:fill="FFFFFF"/>
        </w:rPr>
        <w:t xml:space="preserve">W związku z tym należy stwierdzić, że Rada wykonała wprawdzie ustawowy obowiązek przyznania diety radnym Rady </w:t>
      </w:r>
      <w:r>
        <w:rPr>
          <w:rFonts w:ascii="Calibri" w:hAnsi="Calibri" w:cs="Calibri"/>
          <w:color w:val="000000"/>
          <w:shd w:val="clear" w:color="auto" w:fill="FFFFFF"/>
        </w:rPr>
        <w:t>Gminy Lesznowola</w:t>
      </w:r>
      <w:r w:rsidRPr="002B42F1">
        <w:rPr>
          <w:rFonts w:ascii="Calibri" w:hAnsi="Calibri" w:cs="Calibri"/>
          <w:color w:val="000000"/>
          <w:shd w:val="clear" w:color="auto" w:fill="FFFFFF"/>
        </w:rPr>
        <w:t xml:space="preserve"> wynikający z art. 25 ust. 4 ustawy o samorządzie gminnym, jednakże ustale</w:t>
      </w:r>
      <w:r>
        <w:rPr>
          <w:rFonts w:ascii="Calibri" w:hAnsi="Calibri" w:cs="Calibri"/>
          <w:color w:val="000000"/>
          <w:shd w:val="clear" w:color="auto" w:fill="FFFFFF"/>
        </w:rPr>
        <w:t>nie wysokości diety dla radnych</w:t>
      </w:r>
      <w:r w:rsidRPr="002B42F1">
        <w:rPr>
          <w:rFonts w:ascii="Calibri" w:hAnsi="Calibri" w:cs="Calibri"/>
          <w:color w:val="000000"/>
          <w:shd w:val="clear" w:color="auto" w:fill="FFFFFF"/>
        </w:rPr>
        <w:t>, jako stałego miesięcznego wynagrodzenia niezależnego od udziału w pracach organów gminy, powoduje, że określony ryczałt miesięczny traci charakter rekompensacyjny. W ocenie organu nadzoru dieta winna zostać określona w uchwale poprzez ustalenie konkretnej kwoty za udział w każdym odbytym posiedzeniu sesji czy też komisji, przy czym dieta nie może przekroczyć limitu określo</w:t>
      </w:r>
      <w:r>
        <w:rPr>
          <w:rFonts w:ascii="Calibri" w:hAnsi="Calibri" w:cs="Calibri"/>
          <w:color w:val="000000"/>
          <w:shd w:val="clear" w:color="auto" w:fill="FFFFFF"/>
        </w:rPr>
        <w:t>nego w ustawie i rozporządzeniu.</w:t>
      </w:r>
      <w:r w:rsidRPr="002B42F1">
        <w:rPr>
          <w:rFonts w:ascii="Calibri" w:hAnsi="Calibri" w:cs="Calibri"/>
          <w:color w:val="000000"/>
          <w:shd w:val="clear" w:color="auto" w:fill="FFFFFF"/>
        </w:rPr>
        <w:t xml:space="preserve"> </w:t>
      </w:r>
    </w:p>
    <w:p w:rsidR="00DE5E1D" w:rsidRDefault="00DE5E1D" w:rsidP="001A6E7F">
      <w:pPr>
        <w:spacing w:line="360" w:lineRule="auto"/>
        <w:ind w:left="-360" w:right="-471" w:firstLine="720"/>
        <w:jc w:val="both"/>
        <w:rPr>
          <w:rFonts w:ascii="Calibri" w:hAnsi="Calibri"/>
          <w:bCs/>
          <w:i/>
        </w:rPr>
      </w:pPr>
      <w:r w:rsidRPr="001A6E7F">
        <w:rPr>
          <w:rFonts w:ascii="Calibri" w:hAnsi="Calibri" w:cs="Calibri"/>
        </w:rPr>
        <w:t xml:space="preserve">Konkludując niniejszy wywód należy uznać, iż zarzuty podniesione przez organ nadzoru </w:t>
      </w:r>
      <w:r>
        <w:rPr>
          <w:rFonts w:ascii="Calibri" w:hAnsi="Calibri" w:cs="Calibri"/>
        </w:rPr>
        <w:t xml:space="preserve">                 </w:t>
      </w:r>
      <w:r w:rsidRPr="001A6E7F">
        <w:rPr>
          <w:rFonts w:ascii="Calibri" w:hAnsi="Calibri" w:cs="Calibri"/>
        </w:rPr>
        <w:t>w</w:t>
      </w:r>
      <w:r>
        <w:rPr>
          <w:rFonts w:ascii="Calibri" w:hAnsi="Calibri" w:cs="Calibri"/>
        </w:rPr>
        <w:t xml:space="preserve"> stosunku do kwestionowanego aktu,</w:t>
      </w:r>
      <w:r w:rsidRPr="001A6E7F">
        <w:rPr>
          <w:rFonts w:ascii="Calibri" w:hAnsi="Calibri" w:cs="Calibri"/>
        </w:rPr>
        <w:t xml:space="preserve"> bezsprzecznie stanowią podstawę do stwierdzenia nieważności uchwały</w:t>
      </w:r>
      <w:r>
        <w:rPr>
          <w:rFonts w:ascii="Calibri" w:hAnsi="Calibri" w:cs="Calibri"/>
        </w:rPr>
        <w:t xml:space="preserve"> </w:t>
      </w:r>
      <w:r w:rsidRPr="001A6E7F">
        <w:rPr>
          <w:rFonts w:ascii="Calibri" w:hAnsi="Calibri" w:cs="Calibri"/>
        </w:rPr>
        <w:t xml:space="preserve">Nr 150/XIV/2019 Rady Gminy Lesznowola </w:t>
      </w:r>
      <w:r w:rsidRPr="001A6E7F">
        <w:rPr>
          <w:rFonts w:ascii="Calibri" w:hAnsi="Calibri"/>
          <w:bCs/>
        </w:rPr>
        <w:t xml:space="preserve">z dnia 17 września 2019 r. w sprawie </w:t>
      </w:r>
      <w:r w:rsidRPr="001A6E7F">
        <w:rPr>
          <w:rFonts w:ascii="Calibri" w:hAnsi="Calibri"/>
          <w:bCs/>
          <w:i/>
        </w:rPr>
        <w:t>miesięcznych diet dla Radnych</w:t>
      </w:r>
      <w:r w:rsidRPr="001A6E7F">
        <w:rPr>
          <w:rFonts w:ascii="Calibri" w:hAnsi="Calibri"/>
          <w:bCs/>
        </w:rPr>
        <w:t>, w zakresie § 2 ust. 2, § 3 oraz § 4</w:t>
      </w:r>
      <w:r w:rsidRPr="001A6E7F">
        <w:rPr>
          <w:rFonts w:ascii="Calibri" w:hAnsi="Calibri"/>
          <w:bCs/>
          <w:i/>
        </w:rPr>
        <w:t>.</w:t>
      </w:r>
    </w:p>
    <w:p w:rsidR="00DE5E1D" w:rsidRDefault="00DE5E1D" w:rsidP="001A6E7F">
      <w:pPr>
        <w:spacing w:line="360" w:lineRule="auto"/>
        <w:ind w:left="-360" w:right="-471" w:firstLine="720"/>
        <w:jc w:val="both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</w:rPr>
        <w:t>Organ  nadzoru zwraca również uwagę na błędne przywołanie w podstawie prawnej niniejszego aktu art. 37b ustawy o samorządzie gminnym, odnoszącego się do organu wykonawczego jednostki pomocniczej gminy.</w:t>
      </w:r>
    </w:p>
    <w:p w:rsidR="00DE5E1D" w:rsidRPr="001A6E7F" w:rsidRDefault="00DE5E1D" w:rsidP="001A6E7F">
      <w:pPr>
        <w:spacing w:line="360" w:lineRule="auto"/>
        <w:ind w:left="-360" w:right="-471" w:firstLine="720"/>
        <w:jc w:val="both"/>
        <w:rPr>
          <w:rFonts w:ascii="Calibri" w:hAnsi="Calibri" w:cs="Calibri"/>
          <w:color w:val="000000"/>
          <w:shd w:val="clear" w:color="auto" w:fill="FFFFFF"/>
        </w:rPr>
      </w:pPr>
      <w:r w:rsidRPr="001A6E7F">
        <w:rPr>
          <w:rFonts w:ascii="Calibri" w:hAnsi="Calibri" w:cs="Calibri"/>
        </w:rPr>
        <w:t>Na niniejsze rozstrzygnięcie nadzorcze Gminie przysługuje skarga do Wojewódzkiego Sądu Administracyjnego w Warszawie w terminie 30 dni od daty doręczenia, wnoszona za pośrednictwem organu, który skarżone orzeczenie wydał.</w:t>
      </w:r>
    </w:p>
    <w:p w:rsidR="00DE5E1D" w:rsidRPr="001A6E7F" w:rsidRDefault="00DE5E1D" w:rsidP="007F3F59">
      <w:pPr>
        <w:autoSpaceDE w:val="0"/>
        <w:autoSpaceDN w:val="0"/>
        <w:adjustRightInd w:val="0"/>
        <w:spacing w:line="360" w:lineRule="auto"/>
        <w:ind w:left="-360" w:right="-468" w:firstLine="709"/>
        <w:jc w:val="both"/>
        <w:rPr>
          <w:rFonts w:ascii="Calibri" w:hAnsi="Calibri" w:cs="Calibri"/>
        </w:rPr>
      </w:pPr>
      <w:r w:rsidRPr="001A6E7F">
        <w:rPr>
          <w:rFonts w:ascii="Calibri" w:hAnsi="Calibri" w:cs="Calibri"/>
        </w:rPr>
        <w:t>Informuję, że rozstrzygnięcie nadzorcze wstrzymuje wykonanie uchwały z mocy prawa,                   w części objętej rozstrzygnięciem</w:t>
      </w:r>
      <w:r w:rsidRPr="001A6E7F">
        <w:rPr>
          <w:rFonts w:ascii="Calibri" w:hAnsi="Calibri" w:cs="Calibri"/>
          <w:bCs/>
        </w:rPr>
        <w:t>,</w:t>
      </w:r>
      <w:r w:rsidRPr="001A6E7F">
        <w:rPr>
          <w:rFonts w:ascii="Calibri" w:hAnsi="Calibri" w:cs="Calibri"/>
          <w:b/>
          <w:bCs/>
        </w:rPr>
        <w:t xml:space="preserve"> </w:t>
      </w:r>
      <w:r w:rsidRPr="001A6E7F">
        <w:rPr>
          <w:rFonts w:ascii="Calibri" w:hAnsi="Calibri" w:cs="Calibri"/>
          <w:bCs/>
        </w:rPr>
        <w:t>z dniem jego doręczenia.</w:t>
      </w:r>
    </w:p>
    <w:p w:rsidR="00DE5E1D" w:rsidRPr="001A6E7F" w:rsidRDefault="00DE5E1D" w:rsidP="00CF3C52">
      <w:pPr>
        <w:autoSpaceDE w:val="0"/>
        <w:autoSpaceDN w:val="0"/>
        <w:adjustRightInd w:val="0"/>
        <w:spacing w:line="360" w:lineRule="auto"/>
        <w:ind w:left="-360" w:right="-468" w:firstLine="709"/>
        <w:jc w:val="both"/>
        <w:rPr>
          <w:rFonts w:ascii="Calibri" w:hAnsi="Calibri" w:cs="Calibri"/>
        </w:rPr>
      </w:pPr>
    </w:p>
    <w:p w:rsidR="00DE5E1D" w:rsidRPr="001A6E7F" w:rsidRDefault="00DE5E1D" w:rsidP="00C46090">
      <w:pPr>
        <w:autoSpaceDE w:val="0"/>
        <w:autoSpaceDN w:val="0"/>
        <w:adjustRightInd w:val="0"/>
        <w:ind w:right="-471"/>
        <w:jc w:val="both"/>
        <w:rPr>
          <w:rFonts w:ascii="Calibri" w:hAnsi="Calibri" w:cs="Calibri"/>
        </w:rPr>
      </w:pPr>
    </w:p>
    <w:p w:rsidR="00DE5E1D" w:rsidRPr="00560136" w:rsidRDefault="00DE5E1D" w:rsidP="00385473">
      <w:pPr>
        <w:spacing w:line="276" w:lineRule="auto"/>
        <w:jc w:val="both"/>
        <w:rPr>
          <w:rFonts w:ascii="Calibri" w:hAnsi="Calibri" w:cs="Calibri"/>
        </w:rPr>
      </w:pPr>
    </w:p>
    <w:sectPr w:rsidR="00DE5E1D" w:rsidRPr="00560136" w:rsidSect="00B24711">
      <w:footerReference w:type="default" r:id="rId9"/>
      <w:footerReference w:type="first" r:id="rId10"/>
      <w:pgSz w:w="11906" w:h="16838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7CF" w:rsidRDefault="004937CF" w:rsidP="00574852">
      <w:r>
        <w:separator/>
      </w:r>
    </w:p>
  </w:endnote>
  <w:endnote w:type="continuationSeparator" w:id="0">
    <w:p w:rsidR="004937CF" w:rsidRDefault="004937CF" w:rsidP="00574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E1D" w:rsidRDefault="004937CF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4C3504">
      <w:rPr>
        <w:noProof/>
      </w:rPr>
      <w:t>3</w:t>
    </w:r>
    <w:r>
      <w:rPr>
        <w:noProof/>
      </w:rPr>
      <w:fldChar w:fldCharType="end"/>
    </w:r>
  </w:p>
  <w:p w:rsidR="00DE5E1D" w:rsidRDefault="00DE5E1D" w:rsidP="00057E63">
    <w:pPr>
      <w:pStyle w:val="Stopka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E1D" w:rsidRDefault="00DE5E1D">
    <w:pPr>
      <w:pStyle w:val="Stopka"/>
      <w:jc w:val="right"/>
    </w:pPr>
  </w:p>
  <w:p w:rsidR="00DE5E1D" w:rsidRDefault="00DE5E1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7CF" w:rsidRDefault="004937CF" w:rsidP="00574852">
      <w:r>
        <w:separator/>
      </w:r>
    </w:p>
  </w:footnote>
  <w:footnote w:type="continuationSeparator" w:id="0">
    <w:p w:rsidR="004937CF" w:rsidRDefault="004937CF" w:rsidP="005748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21F8D"/>
    <w:multiLevelType w:val="hybridMultilevel"/>
    <w:tmpl w:val="C7907C1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3990D98"/>
    <w:multiLevelType w:val="hybridMultilevel"/>
    <w:tmpl w:val="80F493A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B0C"/>
    <w:rsid w:val="000074EF"/>
    <w:rsid w:val="00007B24"/>
    <w:rsid w:val="00021F26"/>
    <w:rsid w:val="0003137B"/>
    <w:rsid w:val="000316D1"/>
    <w:rsid w:val="00032C85"/>
    <w:rsid w:val="00044C64"/>
    <w:rsid w:val="00054024"/>
    <w:rsid w:val="00055B7A"/>
    <w:rsid w:val="00057E63"/>
    <w:rsid w:val="00060AC5"/>
    <w:rsid w:val="00097B0C"/>
    <w:rsid w:val="000A49B9"/>
    <w:rsid w:val="000D3672"/>
    <w:rsid w:val="000F4656"/>
    <w:rsid w:val="00123B40"/>
    <w:rsid w:val="00133F18"/>
    <w:rsid w:val="001373A8"/>
    <w:rsid w:val="00141585"/>
    <w:rsid w:val="00164BDF"/>
    <w:rsid w:val="00181140"/>
    <w:rsid w:val="001958D0"/>
    <w:rsid w:val="001A6E7F"/>
    <w:rsid w:val="001C5F8A"/>
    <w:rsid w:val="001F5785"/>
    <w:rsid w:val="001F57A4"/>
    <w:rsid w:val="00252499"/>
    <w:rsid w:val="00253056"/>
    <w:rsid w:val="00271185"/>
    <w:rsid w:val="002834E1"/>
    <w:rsid w:val="002B42F1"/>
    <w:rsid w:val="002B593C"/>
    <w:rsid w:val="002B6C7B"/>
    <w:rsid w:val="002B6ECD"/>
    <w:rsid w:val="002F489C"/>
    <w:rsid w:val="002F4FDD"/>
    <w:rsid w:val="00316CA9"/>
    <w:rsid w:val="00325CA0"/>
    <w:rsid w:val="0035266D"/>
    <w:rsid w:val="003665AF"/>
    <w:rsid w:val="00385473"/>
    <w:rsid w:val="003923AF"/>
    <w:rsid w:val="003A68A4"/>
    <w:rsid w:val="003C394A"/>
    <w:rsid w:val="003C55A2"/>
    <w:rsid w:val="003D1D96"/>
    <w:rsid w:val="003E101D"/>
    <w:rsid w:val="0043566C"/>
    <w:rsid w:val="0043701F"/>
    <w:rsid w:val="00437FFC"/>
    <w:rsid w:val="004712CD"/>
    <w:rsid w:val="0047561E"/>
    <w:rsid w:val="00482C7E"/>
    <w:rsid w:val="004937CF"/>
    <w:rsid w:val="004C3504"/>
    <w:rsid w:val="00516833"/>
    <w:rsid w:val="0052562A"/>
    <w:rsid w:val="00525BB8"/>
    <w:rsid w:val="00527B88"/>
    <w:rsid w:val="00541192"/>
    <w:rsid w:val="005417E3"/>
    <w:rsid w:val="00542C54"/>
    <w:rsid w:val="00554F54"/>
    <w:rsid w:val="00560136"/>
    <w:rsid w:val="00574852"/>
    <w:rsid w:val="00574B93"/>
    <w:rsid w:val="005B1F0D"/>
    <w:rsid w:val="005B5E49"/>
    <w:rsid w:val="005C1743"/>
    <w:rsid w:val="005C281B"/>
    <w:rsid w:val="005C626A"/>
    <w:rsid w:val="005D1BC7"/>
    <w:rsid w:val="005E3DC2"/>
    <w:rsid w:val="00603502"/>
    <w:rsid w:val="00702174"/>
    <w:rsid w:val="00724BF3"/>
    <w:rsid w:val="00736960"/>
    <w:rsid w:val="00740C18"/>
    <w:rsid w:val="00744925"/>
    <w:rsid w:val="007A5088"/>
    <w:rsid w:val="007B549D"/>
    <w:rsid w:val="007C2FAC"/>
    <w:rsid w:val="007D0B8E"/>
    <w:rsid w:val="007F1A37"/>
    <w:rsid w:val="007F3F59"/>
    <w:rsid w:val="00804D18"/>
    <w:rsid w:val="0081241B"/>
    <w:rsid w:val="00813AAE"/>
    <w:rsid w:val="00835F34"/>
    <w:rsid w:val="00893D5F"/>
    <w:rsid w:val="008978E9"/>
    <w:rsid w:val="008A2FD6"/>
    <w:rsid w:val="008D11C3"/>
    <w:rsid w:val="008E63AF"/>
    <w:rsid w:val="008E6966"/>
    <w:rsid w:val="00907266"/>
    <w:rsid w:val="0095264B"/>
    <w:rsid w:val="00963C8F"/>
    <w:rsid w:val="00964F92"/>
    <w:rsid w:val="00973BC4"/>
    <w:rsid w:val="009765CA"/>
    <w:rsid w:val="00992A4B"/>
    <w:rsid w:val="009C5DD2"/>
    <w:rsid w:val="009C7869"/>
    <w:rsid w:val="00A65F46"/>
    <w:rsid w:val="00A72E6F"/>
    <w:rsid w:val="00A740DF"/>
    <w:rsid w:val="00A8062E"/>
    <w:rsid w:val="00A815F1"/>
    <w:rsid w:val="00A85EE1"/>
    <w:rsid w:val="00AB1FD8"/>
    <w:rsid w:val="00AB287E"/>
    <w:rsid w:val="00AB2FEB"/>
    <w:rsid w:val="00AE1241"/>
    <w:rsid w:val="00AF48BB"/>
    <w:rsid w:val="00B0543D"/>
    <w:rsid w:val="00B15F24"/>
    <w:rsid w:val="00B16ECB"/>
    <w:rsid w:val="00B24711"/>
    <w:rsid w:val="00B30E1A"/>
    <w:rsid w:val="00B55C18"/>
    <w:rsid w:val="00B6770A"/>
    <w:rsid w:val="00B76441"/>
    <w:rsid w:val="00B765F9"/>
    <w:rsid w:val="00B83E03"/>
    <w:rsid w:val="00B84365"/>
    <w:rsid w:val="00B9304B"/>
    <w:rsid w:val="00BC6092"/>
    <w:rsid w:val="00C21103"/>
    <w:rsid w:val="00C46090"/>
    <w:rsid w:val="00C578B7"/>
    <w:rsid w:val="00C66092"/>
    <w:rsid w:val="00C902EA"/>
    <w:rsid w:val="00CB25B5"/>
    <w:rsid w:val="00CF3C52"/>
    <w:rsid w:val="00CF5534"/>
    <w:rsid w:val="00CF610A"/>
    <w:rsid w:val="00D000E5"/>
    <w:rsid w:val="00D03A80"/>
    <w:rsid w:val="00D06768"/>
    <w:rsid w:val="00D06D15"/>
    <w:rsid w:val="00D143D8"/>
    <w:rsid w:val="00D215F1"/>
    <w:rsid w:val="00D52642"/>
    <w:rsid w:val="00DB7499"/>
    <w:rsid w:val="00DD5772"/>
    <w:rsid w:val="00DE5E1D"/>
    <w:rsid w:val="00E039A0"/>
    <w:rsid w:val="00E03A0E"/>
    <w:rsid w:val="00E042D8"/>
    <w:rsid w:val="00E06D48"/>
    <w:rsid w:val="00E30E0F"/>
    <w:rsid w:val="00E414C8"/>
    <w:rsid w:val="00EC5D24"/>
    <w:rsid w:val="00EE4B68"/>
    <w:rsid w:val="00F02365"/>
    <w:rsid w:val="00F22205"/>
    <w:rsid w:val="00F4783D"/>
    <w:rsid w:val="00F50AAA"/>
    <w:rsid w:val="00F83F6A"/>
    <w:rsid w:val="00F94415"/>
    <w:rsid w:val="00F95CF2"/>
    <w:rsid w:val="00FB1CC9"/>
    <w:rsid w:val="00FC680B"/>
    <w:rsid w:val="00FD29B2"/>
    <w:rsid w:val="00FD67B8"/>
    <w:rsid w:val="00FE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5473"/>
    <w:rPr>
      <w:rFonts w:ascii="Times New Roman" w:eastAsia="MS Mincho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F610A"/>
    <w:pPr>
      <w:keepNext/>
      <w:keepLines/>
      <w:spacing w:before="240"/>
      <w:outlineLvl w:val="0"/>
    </w:pPr>
    <w:rPr>
      <w:rFonts w:ascii="Cambria" w:eastAsia="Times New Roman" w:hAnsi="Cambria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85473"/>
    <w:pPr>
      <w:keepNext/>
      <w:outlineLvl w:val="1"/>
    </w:pPr>
    <w:rPr>
      <w:rFonts w:eastAsia="Arial Unicode MS"/>
      <w:sz w:val="28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F610A"/>
    <w:rPr>
      <w:rFonts w:ascii="Cambria" w:hAnsi="Cambria" w:cs="Times New Roman"/>
      <w:color w:val="365F91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385473"/>
    <w:rPr>
      <w:rFonts w:ascii="Times New Roman" w:eastAsia="Arial Unicode MS" w:hAnsi="Times New Roman" w:cs="Times New Roman"/>
      <w:sz w:val="20"/>
      <w:szCs w:val="20"/>
      <w:u w:val="single"/>
      <w:lang w:eastAsia="pl-PL"/>
    </w:rPr>
  </w:style>
  <w:style w:type="character" w:customStyle="1" w:styleId="Teksttreci4">
    <w:name w:val="Tekst treści (4)_"/>
    <w:link w:val="Teksttreci40"/>
    <w:uiPriority w:val="99"/>
    <w:locked/>
    <w:rsid w:val="00385473"/>
    <w:rPr>
      <w:rFonts w:ascii="Calibri" w:eastAsia="Times New Roman" w:hAnsi="Calibri"/>
      <w:b/>
      <w:sz w:val="28"/>
      <w:shd w:val="clear" w:color="auto" w:fill="FFFFFF"/>
    </w:rPr>
  </w:style>
  <w:style w:type="paragraph" w:customStyle="1" w:styleId="Teksttreci40">
    <w:name w:val="Tekst treści (4)"/>
    <w:basedOn w:val="Normalny"/>
    <w:link w:val="Teksttreci4"/>
    <w:uiPriority w:val="99"/>
    <w:rsid w:val="00385473"/>
    <w:pPr>
      <w:widowControl w:val="0"/>
      <w:shd w:val="clear" w:color="auto" w:fill="FFFFFF"/>
      <w:spacing w:line="338" w:lineRule="exact"/>
    </w:pPr>
    <w:rPr>
      <w:rFonts w:ascii="Calibri" w:eastAsia="Calibri" w:hAnsi="Calibri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3854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85473"/>
    <w:rPr>
      <w:rFonts w:ascii="Times New Roman" w:eastAsia="MS Mincho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385473"/>
    <w:pPr>
      <w:spacing w:before="100" w:beforeAutospacing="1" w:after="100" w:afterAutospacing="1"/>
    </w:pPr>
    <w:rPr>
      <w:rFonts w:eastAsia="Times New Roman"/>
    </w:rPr>
  </w:style>
  <w:style w:type="character" w:customStyle="1" w:styleId="object2">
    <w:name w:val="object2"/>
    <w:uiPriority w:val="99"/>
    <w:rsid w:val="00385473"/>
    <w:rPr>
      <w:color w:val="00008B"/>
      <w:u w:val="none"/>
      <w:effect w:val="none"/>
    </w:rPr>
  </w:style>
  <w:style w:type="paragraph" w:styleId="Tekstdymka">
    <w:name w:val="Balloon Text"/>
    <w:basedOn w:val="Normalny"/>
    <w:link w:val="TekstdymkaZnak"/>
    <w:uiPriority w:val="99"/>
    <w:semiHidden/>
    <w:rsid w:val="003854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85473"/>
    <w:rPr>
      <w:rFonts w:ascii="Tahoma" w:eastAsia="MS Mincho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385473"/>
    <w:pPr>
      <w:suppressAutoHyphens/>
      <w:spacing w:line="360" w:lineRule="auto"/>
      <w:jc w:val="both"/>
    </w:pPr>
    <w:rPr>
      <w:rFonts w:eastAsia="Times New Roman"/>
      <w:sz w:val="28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385473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highlight">
    <w:name w:val="highlight"/>
    <w:basedOn w:val="Domylnaczcionkaakapitu"/>
    <w:uiPriority w:val="99"/>
    <w:rsid w:val="00385473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5748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74852"/>
    <w:rPr>
      <w:rFonts w:ascii="Times New Roman" w:eastAsia="MS Mincho" w:hAnsi="Times New Roman" w:cs="Times New Roman"/>
      <w:sz w:val="24"/>
      <w:szCs w:val="24"/>
      <w:lang w:eastAsia="pl-PL"/>
    </w:rPr>
  </w:style>
  <w:style w:type="paragraph" w:customStyle="1" w:styleId="naglowekcenter">
    <w:name w:val="naglowek_center"/>
    <w:basedOn w:val="Normalny"/>
    <w:uiPriority w:val="99"/>
    <w:rsid w:val="0043566C"/>
    <w:pPr>
      <w:spacing w:before="100" w:beforeAutospacing="1" w:after="100" w:afterAutospacing="1"/>
    </w:pPr>
    <w:rPr>
      <w:rFonts w:eastAsia="Times New Roman"/>
    </w:rPr>
  </w:style>
  <w:style w:type="character" w:customStyle="1" w:styleId="fn-ref">
    <w:name w:val="fn-ref"/>
    <w:basedOn w:val="Domylnaczcionkaakapitu"/>
    <w:uiPriority w:val="99"/>
    <w:rsid w:val="00B55C18"/>
    <w:rPr>
      <w:rFonts w:cs="Times New Roman"/>
    </w:rPr>
  </w:style>
  <w:style w:type="character" w:styleId="Hipercze">
    <w:name w:val="Hyperlink"/>
    <w:basedOn w:val="Domylnaczcionkaakapitu"/>
    <w:uiPriority w:val="99"/>
    <w:semiHidden/>
    <w:rsid w:val="00B55C18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7B549D"/>
    <w:pPr>
      <w:spacing w:after="160" w:line="252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5473"/>
    <w:rPr>
      <w:rFonts w:ascii="Times New Roman" w:eastAsia="MS Mincho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F610A"/>
    <w:pPr>
      <w:keepNext/>
      <w:keepLines/>
      <w:spacing w:before="240"/>
      <w:outlineLvl w:val="0"/>
    </w:pPr>
    <w:rPr>
      <w:rFonts w:ascii="Cambria" w:eastAsia="Times New Roman" w:hAnsi="Cambria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85473"/>
    <w:pPr>
      <w:keepNext/>
      <w:outlineLvl w:val="1"/>
    </w:pPr>
    <w:rPr>
      <w:rFonts w:eastAsia="Arial Unicode MS"/>
      <w:sz w:val="28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F610A"/>
    <w:rPr>
      <w:rFonts w:ascii="Cambria" w:hAnsi="Cambria" w:cs="Times New Roman"/>
      <w:color w:val="365F91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385473"/>
    <w:rPr>
      <w:rFonts w:ascii="Times New Roman" w:eastAsia="Arial Unicode MS" w:hAnsi="Times New Roman" w:cs="Times New Roman"/>
      <w:sz w:val="20"/>
      <w:szCs w:val="20"/>
      <w:u w:val="single"/>
      <w:lang w:eastAsia="pl-PL"/>
    </w:rPr>
  </w:style>
  <w:style w:type="character" w:customStyle="1" w:styleId="Teksttreci4">
    <w:name w:val="Tekst treści (4)_"/>
    <w:link w:val="Teksttreci40"/>
    <w:uiPriority w:val="99"/>
    <w:locked/>
    <w:rsid w:val="00385473"/>
    <w:rPr>
      <w:rFonts w:ascii="Calibri" w:eastAsia="Times New Roman" w:hAnsi="Calibri"/>
      <w:b/>
      <w:sz w:val="28"/>
      <w:shd w:val="clear" w:color="auto" w:fill="FFFFFF"/>
    </w:rPr>
  </w:style>
  <w:style w:type="paragraph" w:customStyle="1" w:styleId="Teksttreci40">
    <w:name w:val="Tekst treści (4)"/>
    <w:basedOn w:val="Normalny"/>
    <w:link w:val="Teksttreci4"/>
    <w:uiPriority w:val="99"/>
    <w:rsid w:val="00385473"/>
    <w:pPr>
      <w:widowControl w:val="0"/>
      <w:shd w:val="clear" w:color="auto" w:fill="FFFFFF"/>
      <w:spacing w:line="338" w:lineRule="exact"/>
    </w:pPr>
    <w:rPr>
      <w:rFonts w:ascii="Calibri" w:eastAsia="Calibri" w:hAnsi="Calibri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3854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85473"/>
    <w:rPr>
      <w:rFonts w:ascii="Times New Roman" w:eastAsia="MS Mincho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385473"/>
    <w:pPr>
      <w:spacing w:before="100" w:beforeAutospacing="1" w:after="100" w:afterAutospacing="1"/>
    </w:pPr>
    <w:rPr>
      <w:rFonts w:eastAsia="Times New Roman"/>
    </w:rPr>
  </w:style>
  <w:style w:type="character" w:customStyle="1" w:styleId="object2">
    <w:name w:val="object2"/>
    <w:uiPriority w:val="99"/>
    <w:rsid w:val="00385473"/>
    <w:rPr>
      <w:color w:val="00008B"/>
      <w:u w:val="none"/>
      <w:effect w:val="none"/>
    </w:rPr>
  </w:style>
  <w:style w:type="paragraph" w:styleId="Tekstdymka">
    <w:name w:val="Balloon Text"/>
    <w:basedOn w:val="Normalny"/>
    <w:link w:val="TekstdymkaZnak"/>
    <w:uiPriority w:val="99"/>
    <w:semiHidden/>
    <w:rsid w:val="003854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85473"/>
    <w:rPr>
      <w:rFonts w:ascii="Tahoma" w:eastAsia="MS Mincho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385473"/>
    <w:pPr>
      <w:suppressAutoHyphens/>
      <w:spacing w:line="360" w:lineRule="auto"/>
      <w:jc w:val="both"/>
    </w:pPr>
    <w:rPr>
      <w:rFonts w:eastAsia="Times New Roman"/>
      <w:sz w:val="28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385473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highlight">
    <w:name w:val="highlight"/>
    <w:basedOn w:val="Domylnaczcionkaakapitu"/>
    <w:uiPriority w:val="99"/>
    <w:rsid w:val="00385473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5748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74852"/>
    <w:rPr>
      <w:rFonts w:ascii="Times New Roman" w:eastAsia="MS Mincho" w:hAnsi="Times New Roman" w:cs="Times New Roman"/>
      <w:sz w:val="24"/>
      <w:szCs w:val="24"/>
      <w:lang w:eastAsia="pl-PL"/>
    </w:rPr>
  </w:style>
  <w:style w:type="paragraph" w:customStyle="1" w:styleId="naglowekcenter">
    <w:name w:val="naglowek_center"/>
    <w:basedOn w:val="Normalny"/>
    <w:uiPriority w:val="99"/>
    <w:rsid w:val="0043566C"/>
    <w:pPr>
      <w:spacing w:before="100" w:beforeAutospacing="1" w:after="100" w:afterAutospacing="1"/>
    </w:pPr>
    <w:rPr>
      <w:rFonts w:eastAsia="Times New Roman"/>
    </w:rPr>
  </w:style>
  <w:style w:type="character" w:customStyle="1" w:styleId="fn-ref">
    <w:name w:val="fn-ref"/>
    <w:basedOn w:val="Domylnaczcionkaakapitu"/>
    <w:uiPriority w:val="99"/>
    <w:rsid w:val="00B55C18"/>
    <w:rPr>
      <w:rFonts w:cs="Times New Roman"/>
    </w:rPr>
  </w:style>
  <w:style w:type="character" w:styleId="Hipercze">
    <w:name w:val="Hyperlink"/>
    <w:basedOn w:val="Domylnaczcionkaakapitu"/>
    <w:uiPriority w:val="99"/>
    <w:semiHidden/>
    <w:rsid w:val="00B55C18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7B549D"/>
    <w:pPr>
      <w:spacing w:after="160" w:line="252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526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6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2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5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52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52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526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526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526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52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938</Words>
  <Characters>5633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Koleński</dc:creator>
  <cp:lastModifiedBy>Beata Darnowska</cp:lastModifiedBy>
  <cp:revision>2</cp:revision>
  <cp:lastPrinted>2019-10-23T08:11:00Z</cp:lastPrinted>
  <dcterms:created xsi:type="dcterms:W3CDTF">2019-10-25T11:05:00Z</dcterms:created>
  <dcterms:modified xsi:type="dcterms:W3CDTF">2019-10-25T11:05:00Z</dcterms:modified>
</cp:coreProperties>
</file>