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FC73CC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2E6DF1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518298D4" w14:textId="273B781E" w:rsidR="00BE2288" w:rsidRPr="002E6DF1" w:rsidRDefault="00BE2288" w:rsidP="001525D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Działanie FENX.01.05.Ochrona przyrody i rozwój zielonej infrastruktury</w:t>
      </w:r>
      <w:r w:rsidR="008A1286">
        <w:rPr>
          <w:rFonts w:ascii="Open Sans" w:hAnsi="Open Sans" w:cs="Open Sans"/>
          <w:color w:val="000000"/>
        </w:rPr>
        <w:br/>
      </w:r>
      <w:r w:rsidRPr="002E6DF1">
        <w:rPr>
          <w:rFonts w:ascii="Open Sans" w:hAnsi="Open Sans" w:cs="Open Sans"/>
          <w:color w:val="000000"/>
        </w:rPr>
        <w:t>Typ FENX.01.05.</w:t>
      </w:r>
      <w:r w:rsidR="001525D5">
        <w:rPr>
          <w:rFonts w:ascii="Open Sans" w:hAnsi="Open Sans" w:cs="Open Sans"/>
          <w:color w:val="000000"/>
        </w:rPr>
        <w:t>4</w:t>
      </w:r>
      <w:r w:rsidR="00C85BCC" w:rsidRPr="002E6DF1">
        <w:rPr>
          <w:rFonts w:ascii="Open Sans" w:hAnsi="Open Sans" w:cs="Open Sans"/>
          <w:color w:val="000000"/>
        </w:rPr>
        <w:t xml:space="preserve"> </w:t>
      </w:r>
      <w:bookmarkStart w:id="0" w:name="_Hlk156303054"/>
      <w:r w:rsidR="001525D5" w:rsidRPr="001525D5">
        <w:rPr>
          <w:rFonts w:ascii="Open Sans" w:hAnsi="Open Sans" w:cs="Open Sans"/>
          <w:color w:val="000000"/>
        </w:rPr>
        <w:t>Rozwój zdolności i usprawnianie zarządzania obszarami chronionymi</w:t>
      </w:r>
      <w:r w:rsidR="001525D5">
        <w:rPr>
          <w:rFonts w:ascii="Open Sans" w:hAnsi="Open Sans" w:cs="Open Sans"/>
          <w:color w:val="000000"/>
        </w:rPr>
        <w:t xml:space="preserve">. </w:t>
      </w:r>
      <w:r w:rsidR="001525D5" w:rsidRPr="001525D5">
        <w:rPr>
          <w:rFonts w:ascii="Open Sans" w:hAnsi="Open Sans" w:cs="Open Sans"/>
          <w:color w:val="000000"/>
        </w:rPr>
        <w:t>Teledetekcja oraz rozwój infrastruktury geoinformacyjnej oraz cyfryzacja zasobów</w:t>
      </w:r>
      <w:r w:rsidR="001525D5">
        <w:rPr>
          <w:rFonts w:ascii="Open Sans" w:hAnsi="Open Sans" w:cs="Open Sans"/>
          <w:color w:val="000000"/>
        </w:rPr>
        <w:t>.</w:t>
      </w:r>
      <w:bookmarkEnd w:id="0"/>
    </w:p>
    <w:p w14:paraId="4A1597E1" w14:textId="4E083FAF" w:rsidR="00D775D0" w:rsidRPr="002E6DF1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E27CD8">
        <w:rPr>
          <w:rFonts w:ascii="Open Sans" w:hAnsi="Open Sans" w:cs="Open Sans"/>
          <w:b/>
          <w:sz w:val="22"/>
          <w:szCs w:val="22"/>
        </w:rPr>
        <w:t>5</w:t>
      </w:r>
      <w:r w:rsidR="00E27CD8" w:rsidRPr="001525D5">
        <w:rPr>
          <w:rFonts w:ascii="Open Sans" w:hAnsi="Open Sans" w:cs="Open Sans"/>
          <w:b/>
          <w:sz w:val="22"/>
          <w:szCs w:val="22"/>
        </w:rPr>
        <w:t>0 </w:t>
      </w:r>
      <w:r w:rsidR="001525D5" w:rsidRPr="001525D5">
        <w:rPr>
          <w:rFonts w:ascii="Open Sans" w:hAnsi="Open Sans" w:cs="Open Sans"/>
          <w:b/>
          <w:sz w:val="22"/>
          <w:szCs w:val="22"/>
        </w:rPr>
        <w:t>000 000,00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1CEBE25" w14:textId="3E9BEDAE" w:rsidR="00BE2288" w:rsidRPr="008A1286" w:rsidRDefault="00B969CF" w:rsidP="008A1286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FENX.01.05-IW.01-</w:t>
      </w:r>
      <w:r w:rsidR="00E83400" w:rsidRPr="002E6DF1">
        <w:rPr>
          <w:rFonts w:ascii="Open Sans" w:hAnsi="Open Sans" w:cs="Open Sans"/>
          <w:b/>
          <w:bCs/>
          <w:u w:val="single"/>
        </w:rPr>
        <w:t>00</w:t>
      </w:r>
      <w:r w:rsidR="00520B8F">
        <w:rPr>
          <w:rFonts w:ascii="Open Sans" w:hAnsi="Open Sans" w:cs="Open Sans"/>
          <w:b/>
          <w:bCs/>
          <w:u w:val="single"/>
        </w:rPr>
        <w:t>2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1525D5">
        <w:rPr>
          <w:rFonts w:ascii="Open Sans" w:hAnsi="Open Sans" w:cs="Open Sans"/>
          <w:b/>
          <w:bCs/>
          <w:u w:val="single"/>
        </w:rPr>
        <w:t>4</w:t>
      </w:r>
      <w:r w:rsidR="008A1286">
        <w:rPr>
          <w:rFonts w:ascii="Open Sans" w:hAnsi="Open Sans" w:cs="Open Sans"/>
          <w:b/>
          <w:bCs/>
          <w:u w:val="single"/>
        </w:rPr>
        <w:br/>
      </w:r>
      <w:r w:rsidRPr="002E6DF1">
        <w:rPr>
          <w:rFonts w:ascii="Open Sans" w:hAnsi="Open Sans" w:cs="Open Sans"/>
          <w:bCs/>
        </w:rPr>
        <w:t>Rok: 202</w:t>
      </w:r>
      <w:r w:rsidR="001525D5">
        <w:rPr>
          <w:rFonts w:ascii="Open Sans" w:hAnsi="Open Sans" w:cs="Open Sans"/>
          <w:bCs/>
        </w:rPr>
        <w:t>4</w:t>
      </w:r>
    </w:p>
    <w:p w14:paraId="36ECB7AF" w14:textId="3B834A01" w:rsidR="000C7AB7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 xml:space="preserve">regulaminu przez IP: </w:t>
      </w:r>
      <w:r w:rsidR="0078327C">
        <w:rPr>
          <w:rFonts w:ascii="Open Sans" w:hAnsi="Open Sans" w:cs="Open Sans"/>
          <w:sz w:val="22"/>
          <w:szCs w:val="22"/>
        </w:rPr>
        <w:t>09.02.2024 r.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1" w:name="_Toc150330459" w:displacedByCustomXml="next"/>
    <w:sdt>
      <w:sdt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77BE2190" w14:textId="77777777" w:rsidR="00573C23" w:rsidRDefault="001C1945" w:rsidP="00573C23">
          <w:pPr>
            <w:spacing w:before="240" w:after="600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1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541A8527" w14:textId="0566222D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_Toc150332060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78327C">
              <w:rPr>
                <w:noProof/>
                <w:webHidden/>
              </w:rPr>
              <w:t>3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72FC1E" w14:textId="2790484A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_Toc150332061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78327C">
              <w:rPr>
                <w:noProof/>
                <w:webHidden/>
              </w:rPr>
              <w:t>4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E3EC14D" w14:textId="46A17BF3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_Toc150332062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78327C">
              <w:rPr>
                <w:noProof/>
                <w:webHidden/>
              </w:rPr>
              <w:t>5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8A5582" w14:textId="3F5C1FE3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_Toc150332063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 w:rsidR="0078327C">
              <w:rPr>
                <w:noProof/>
                <w:webHidden/>
              </w:rPr>
              <w:t>7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DFF07FD" w14:textId="53645DD8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573C23">
              <w:rPr>
                <w:noProof/>
                <w:webHidden/>
              </w:rPr>
              <w:tab/>
            </w:r>
            <w:r w:rsidR="00511566">
              <w:rPr>
                <w:noProof/>
                <w:webHidden/>
              </w:rPr>
              <w:t>8</w:t>
            </w:r>
          </w:hyperlink>
        </w:p>
        <w:p w14:paraId="0A8E7118" w14:textId="266BA3F3" w:rsidR="00511566" w:rsidRPr="00511566" w:rsidRDefault="008A1286" w:rsidP="00511566">
          <w:pPr>
            <w:pStyle w:val="Spistreci2"/>
            <w:rPr>
              <w:noProof/>
            </w:rPr>
          </w:pPr>
          <w:hyperlink w:anchor="_Toc15033206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573C23">
              <w:rPr>
                <w:noProof/>
                <w:webHidden/>
              </w:rPr>
              <w:tab/>
            </w:r>
            <w:r w:rsidR="00511566">
              <w:rPr>
                <w:noProof/>
                <w:webHidden/>
              </w:rPr>
              <w:t>9</w:t>
            </w:r>
          </w:hyperlink>
        </w:p>
        <w:p w14:paraId="7EA72A76" w14:textId="09CC6C61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11</w:t>
          </w:r>
        </w:p>
        <w:p w14:paraId="6E14E53A" w14:textId="2E070F1D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7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12</w:t>
          </w:r>
        </w:p>
        <w:p w14:paraId="32AAE5B8" w14:textId="06C92F0C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8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13</w:t>
          </w:r>
        </w:p>
        <w:p w14:paraId="613BA33A" w14:textId="039AA5EB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9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14</w:t>
          </w:r>
        </w:p>
        <w:p w14:paraId="47F1CAAD" w14:textId="3229758B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17</w:t>
          </w:r>
        </w:p>
        <w:p w14:paraId="21F92A30" w14:textId="3B1E35B2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19</w:t>
          </w:r>
        </w:p>
        <w:p w14:paraId="6ED43705" w14:textId="194F7081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19</w:t>
          </w:r>
        </w:p>
        <w:p w14:paraId="5E4FB4E0" w14:textId="4CB96ABE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21</w:t>
          </w:r>
        </w:p>
        <w:p w14:paraId="32DACB2B" w14:textId="519D7AAE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21</w:t>
          </w:r>
        </w:p>
        <w:p w14:paraId="0EB109A4" w14:textId="2064CFC3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24</w:t>
          </w:r>
        </w:p>
        <w:p w14:paraId="38CB83F6" w14:textId="00F3257B" w:rsidR="00573C23" w:rsidRDefault="008A1286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573C23">
              <w:rPr>
                <w:noProof/>
                <w:webHidden/>
              </w:rPr>
              <w:tab/>
            </w:r>
          </w:hyperlink>
          <w:r w:rsidR="00511566">
            <w:rPr>
              <w:noProof/>
            </w:rPr>
            <w:t>25</w:t>
          </w:r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" w:name="_Toc15033206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2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AB80EA1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6DE43D61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 na Infrastrukturę, Klimat, Środowisko </w:t>
      </w:r>
      <w:r w:rsidR="0078327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7CD8" w:rsidRPr="002E6DF1">
        <w:rPr>
          <w:rFonts w:ascii="Open Sans" w:eastAsia="Calibri" w:hAnsi="Open Sans" w:cs="Open Sans"/>
          <w:sz w:val="22"/>
          <w:szCs w:val="22"/>
          <w:lang w:eastAsia="en-US"/>
        </w:rPr>
        <w:t>C (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>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</w:t>
      </w:r>
      <w:r w:rsidR="0078327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6 października 2022 r., wraz z późn.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30.6.2021, s. 159, z późn.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3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3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4" w:name="_Toc150332061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4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2E6DF1">
        <w:rPr>
          <w:rFonts w:ascii="Open Sans" w:hAnsi="Open Sans" w:cs="Open Sans"/>
          <w:sz w:val="22"/>
          <w:szCs w:val="22"/>
        </w:rPr>
        <w:t>FEnIKS</w:t>
      </w:r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62DDEB62" w14:textId="506EA517" w:rsidR="00E550AF" w:rsidRPr="002E6DF1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5" w:name="_Toc184791332"/>
      <w:bookmarkStart w:id="6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7" w:name="_Toc150332062"/>
      <w:bookmarkEnd w:id="5"/>
      <w:bookmarkEnd w:id="6"/>
      <w:r w:rsidRPr="002E6DF1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7"/>
    </w:p>
    <w:p w14:paraId="3EEDA2C7" w14:textId="4D48F537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Narodowy Fundusz Ochrony Środowiska i Gospodarki Wodnej (ul. Konstruktorska 3A,02-673 Warszawa), pełniący rolę IW dla wyżej wskazanego działania, ogłasza </w:t>
      </w:r>
      <w:r w:rsidRPr="002E6DF1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celu głównego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</w:t>
      </w:r>
      <w:r w:rsidR="002909FA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2E6DF1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2E6DF1">
        <w:rPr>
          <w:rFonts w:ascii="Open Sans" w:hAnsi="Open Sans" w:cs="Open Sans"/>
          <w:sz w:val="22"/>
          <w:szCs w:val="22"/>
        </w:rPr>
        <w:t>1.5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2E6DF1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429F5CE3" w:rsidR="005C509F" w:rsidRPr="002E6DF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1525D5">
        <w:rPr>
          <w:rFonts w:ascii="Open Sans" w:hAnsi="Open Sans" w:cs="Open Sans"/>
          <w:b/>
          <w:bCs/>
          <w:sz w:val="22"/>
          <w:szCs w:val="22"/>
          <w:u w:val="single"/>
        </w:rPr>
        <w:t>16.02.2024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10:00) do 2</w:t>
      </w:r>
      <w:r w:rsidR="001525D5">
        <w:rPr>
          <w:rFonts w:ascii="Open Sans" w:hAnsi="Open Sans" w:cs="Open Sans"/>
          <w:b/>
          <w:bCs/>
          <w:sz w:val="22"/>
          <w:szCs w:val="22"/>
          <w:u w:val="single"/>
        </w:rPr>
        <w:t>6.04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1D12607D" w:rsidR="00BE0EA3" w:rsidRPr="002E6DF1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E27CD8">
        <w:rPr>
          <w:rFonts w:ascii="Open Sans" w:hAnsi="Open Sans" w:cs="Open Sans"/>
          <w:b/>
          <w:bCs/>
          <w:sz w:val="22"/>
          <w:szCs w:val="22"/>
        </w:rPr>
        <w:t>5</w:t>
      </w:r>
      <w:r w:rsidR="001525D5">
        <w:rPr>
          <w:rFonts w:ascii="Open Sans" w:hAnsi="Open Sans" w:cs="Open Sans"/>
          <w:b/>
          <w:bCs/>
          <w:sz w:val="22"/>
          <w:szCs w:val="22"/>
        </w:rPr>
        <w:t>0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78327C">
        <w:rPr>
          <w:rFonts w:ascii="Open Sans" w:hAnsi="Open Sans" w:cs="Open Sans"/>
          <w:b/>
          <w:bCs/>
          <w:sz w:val="22"/>
          <w:szCs w:val="22"/>
        </w:rPr>
        <w:t>pięćdziesiąt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2E6DF1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Kwota środków przeznaczonych na dofinansowanie projektów w ramach naboru może ulec zwiększeniu w trakcie trwania naboru, w trakcie oceny projektów, </w:t>
      </w:r>
      <w:r w:rsidRPr="002E6DF1">
        <w:rPr>
          <w:rFonts w:ascii="Open Sans" w:hAnsi="Open Sans" w:cs="Open Sans"/>
          <w:sz w:val="22"/>
          <w:szCs w:val="22"/>
        </w:rPr>
        <w:lastRenderedPageBreak/>
        <w:t>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8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8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9" w:name="_Toc150332063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0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9"/>
    </w:p>
    <w:p w14:paraId="2AF22154" w14:textId="3978D60D" w:rsidR="00AE6A16" w:rsidRPr="00CC3E1E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11" w:name="_Hlk156475787"/>
      <w:bookmarkEnd w:id="10"/>
      <w:r w:rsidRPr="002E6DF1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2E6DF1">
        <w:rPr>
          <w:rFonts w:ascii="Open Sans" w:hAnsi="Open Sans" w:cs="Open Sans"/>
          <w:sz w:val="22"/>
          <w:szCs w:val="22"/>
        </w:rPr>
        <w:t>rzyznane projektom</w:t>
      </w:r>
      <w:r w:rsidR="00AE6A16" w:rsidRPr="00AE6A16">
        <w:rPr>
          <w:rFonts w:ascii="Open Sans" w:hAnsi="Open Sans" w:cs="Open Sans"/>
          <w:sz w:val="22"/>
          <w:szCs w:val="22"/>
        </w:rPr>
        <w:t xml:space="preserve"> służąc</w:t>
      </w:r>
      <w:r w:rsidR="00AE6A16">
        <w:rPr>
          <w:rFonts w:ascii="Open Sans" w:hAnsi="Open Sans" w:cs="Open Sans"/>
          <w:sz w:val="22"/>
          <w:szCs w:val="22"/>
        </w:rPr>
        <w:t>ym</w:t>
      </w:r>
      <w:r w:rsidR="00AE6A16" w:rsidRPr="00AE6A16">
        <w:rPr>
          <w:rFonts w:ascii="Open Sans" w:hAnsi="Open Sans" w:cs="Open Sans"/>
          <w:sz w:val="22"/>
          <w:szCs w:val="22"/>
        </w:rPr>
        <w:t xml:space="preserve"> poprawie zdolności parków narodowych oraz podmiotów zarządzających obszarami N2000 do zarządzania tymi obszarami</w:t>
      </w:r>
      <w:r w:rsidR="00AE6A16">
        <w:rPr>
          <w:rFonts w:ascii="Open Sans" w:hAnsi="Open Sans" w:cs="Open Sans"/>
          <w:sz w:val="22"/>
          <w:szCs w:val="22"/>
        </w:rPr>
        <w:t>.</w:t>
      </w:r>
    </w:p>
    <w:p w14:paraId="1F3BA3EC" w14:textId="6E85B9F2" w:rsidR="00AE6A16" w:rsidRPr="00AE6A16" w:rsidRDefault="00AC4283" w:rsidP="00AE6A16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51539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B51539">
        <w:rPr>
          <w:rFonts w:ascii="Open Sans" w:hAnsi="Open Sans" w:cs="Open Sans"/>
          <w:sz w:val="22"/>
          <w:szCs w:val="22"/>
        </w:rPr>
        <w:t xml:space="preserve"> sfinansowan</w:t>
      </w:r>
      <w:r w:rsidRPr="00B51539">
        <w:rPr>
          <w:rFonts w:ascii="Open Sans" w:hAnsi="Open Sans" w:cs="Open Sans"/>
          <w:sz w:val="22"/>
          <w:szCs w:val="22"/>
        </w:rPr>
        <w:t>e</w:t>
      </w:r>
      <w:r w:rsidR="008D00C7" w:rsidRPr="00B51539">
        <w:rPr>
          <w:rFonts w:ascii="Open Sans" w:hAnsi="Open Sans" w:cs="Open Sans"/>
          <w:sz w:val="22"/>
          <w:szCs w:val="22"/>
        </w:rPr>
        <w:t xml:space="preserve"> działania z zakresu</w:t>
      </w:r>
      <w:r w:rsidRPr="00B51539">
        <w:rPr>
          <w:rFonts w:ascii="Open Sans" w:hAnsi="Open Sans" w:cs="Open Sans"/>
          <w:sz w:val="22"/>
          <w:szCs w:val="22"/>
        </w:rPr>
        <w:t>:</w:t>
      </w:r>
      <w:r w:rsidR="00E568F4" w:rsidRPr="00B51539">
        <w:rPr>
          <w:rFonts w:ascii="Open Sans" w:hAnsi="Open Sans" w:cs="Open Sans"/>
          <w:sz w:val="22"/>
          <w:szCs w:val="22"/>
        </w:rPr>
        <w:t xml:space="preserve"> </w:t>
      </w:r>
    </w:p>
    <w:p w14:paraId="446DA2C5" w14:textId="2CD727F8" w:rsidR="008D00C7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E6A16">
        <w:rPr>
          <w:rFonts w:ascii="Open Sans" w:hAnsi="Open Sans" w:cs="Open Sans"/>
          <w:sz w:val="22"/>
          <w:szCs w:val="22"/>
        </w:rPr>
        <w:t>rozwoju infrastruktury geoinformacyjnej, cyfryzacji zasobów oraz ich przetwarzania i interpretacji</w:t>
      </w:r>
      <w:r w:rsidR="00166719" w:rsidRPr="002E6DF1">
        <w:rPr>
          <w:rFonts w:ascii="Open Sans" w:hAnsi="Open Sans" w:cs="Open Sans"/>
          <w:sz w:val="22"/>
          <w:szCs w:val="22"/>
        </w:rPr>
        <w:t>;</w:t>
      </w:r>
      <w:r w:rsidR="008D00C7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0EB1768F" w14:textId="7C530A11" w:rsidR="00AE6A16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E6A16">
        <w:rPr>
          <w:rFonts w:ascii="Open Sans" w:hAnsi="Open Sans" w:cs="Open Sans"/>
          <w:sz w:val="22"/>
          <w:szCs w:val="22"/>
        </w:rPr>
        <w:t>wykorzystania technik teledetekcyjnych</w:t>
      </w:r>
      <w:r>
        <w:rPr>
          <w:rFonts w:ascii="Open Sans" w:hAnsi="Open Sans" w:cs="Open Sans"/>
          <w:sz w:val="22"/>
          <w:szCs w:val="22"/>
        </w:rPr>
        <w:t xml:space="preserve">, </w:t>
      </w:r>
      <w:r w:rsidRPr="00AE6A16">
        <w:rPr>
          <w:rFonts w:ascii="Open Sans" w:hAnsi="Open Sans" w:cs="Open Sans"/>
          <w:sz w:val="22"/>
          <w:szCs w:val="22"/>
        </w:rPr>
        <w:t>monitoringowych i inwentaryzacyjnych</w:t>
      </w:r>
      <w:r>
        <w:rPr>
          <w:rFonts w:ascii="Open Sans" w:hAnsi="Open Sans" w:cs="Open Sans"/>
          <w:sz w:val="22"/>
          <w:szCs w:val="22"/>
        </w:rPr>
        <w:t>;</w:t>
      </w:r>
    </w:p>
    <w:p w14:paraId="2476A457" w14:textId="2B53AA22" w:rsidR="00AE6A16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E6A16">
        <w:rPr>
          <w:rFonts w:ascii="Open Sans" w:hAnsi="Open Sans" w:cs="Open Sans"/>
          <w:sz w:val="22"/>
          <w:szCs w:val="22"/>
        </w:rPr>
        <w:t>doposażenia w sprzęt komputerowy, zakup</w:t>
      </w:r>
      <w:r w:rsidR="00882272">
        <w:rPr>
          <w:rFonts w:ascii="Open Sans" w:hAnsi="Open Sans" w:cs="Open Sans"/>
          <w:sz w:val="22"/>
          <w:szCs w:val="22"/>
        </w:rPr>
        <w:t>u</w:t>
      </w:r>
      <w:r w:rsidRPr="00AE6A16">
        <w:rPr>
          <w:rFonts w:ascii="Open Sans" w:hAnsi="Open Sans" w:cs="Open Sans"/>
          <w:sz w:val="22"/>
          <w:szCs w:val="22"/>
        </w:rPr>
        <w:t xml:space="preserve"> bezzałogowych statków, specjalistycznego oprogramowania</w:t>
      </w:r>
      <w:r>
        <w:rPr>
          <w:rFonts w:ascii="Open Sans" w:hAnsi="Open Sans" w:cs="Open Sans"/>
          <w:sz w:val="22"/>
          <w:szCs w:val="22"/>
        </w:rPr>
        <w:t>;</w:t>
      </w:r>
    </w:p>
    <w:p w14:paraId="6E678A46" w14:textId="3BA990AF" w:rsidR="00AE6A16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E6A16">
        <w:rPr>
          <w:rFonts w:ascii="Open Sans" w:hAnsi="Open Sans" w:cs="Open Sans"/>
          <w:sz w:val="22"/>
          <w:szCs w:val="22"/>
        </w:rPr>
        <w:t>pozyskania danych przestrzennych</w:t>
      </w:r>
      <w:r>
        <w:rPr>
          <w:rFonts w:ascii="Open Sans" w:hAnsi="Open Sans" w:cs="Open Sans"/>
          <w:sz w:val="22"/>
          <w:szCs w:val="22"/>
        </w:rPr>
        <w:t>;</w:t>
      </w:r>
    </w:p>
    <w:p w14:paraId="51EF3B23" w14:textId="4DEE54D5" w:rsidR="00AE6A16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szkoleń;</w:t>
      </w:r>
    </w:p>
    <w:p w14:paraId="39D26ADD" w14:textId="6C86F992" w:rsidR="00AE6A16" w:rsidRPr="002E6DF1" w:rsidRDefault="00AE6A1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kosztów pośrednich; </w:t>
      </w:r>
    </w:p>
    <w:bookmarkEnd w:id="11"/>
    <w:p w14:paraId="1DB01D5F" w14:textId="6ADA6537" w:rsidR="00961973" w:rsidRPr="00136BB5" w:rsidRDefault="00961973" w:rsidP="00136BB5">
      <w:pPr>
        <w:pStyle w:val="Akapitzlist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961973">
        <w:rPr>
          <w:rFonts w:ascii="Open Sans" w:hAnsi="Open Sans" w:cs="Open Sans"/>
          <w:color w:val="000000"/>
          <w:sz w:val="22"/>
          <w:szCs w:val="22"/>
        </w:rPr>
        <w:t xml:space="preserve">W przypadku projektów wykorzystujących techniki teledetekcyjne  wsparcie mogą uzyskać projekty, których jednym z celów jest dokonanie oceny stanu zasobów przyrodniczych. Działania przypisane do tego celu zaplanowane w projekcie powinny służyć realizacji szerokiego zakresu badań jakościowych i ilościowych stanu środowiska przyrodniczego w oparciu o technologie teledetekcyjne, przy zastosowaniu odpowiednich narzędzi analitycznych, </w:t>
      </w:r>
      <w:r w:rsidRPr="00136BB5">
        <w:rPr>
          <w:rFonts w:ascii="Open Sans" w:hAnsi="Open Sans" w:cs="Open Sans"/>
          <w:color w:val="000000"/>
          <w:sz w:val="22"/>
          <w:szCs w:val="22"/>
        </w:rPr>
        <w:t>w powiązaniu z funkcjonalnością systemów informacji przestrzennej (GIS). Projekty powinny stanowić wsparcie realizowanych działań ochronnych, monitoringu przyrodniczego oraz podstawę identyfikacji pojawiających się zagrożeń.</w:t>
      </w:r>
    </w:p>
    <w:p w14:paraId="753C5704" w14:textId="09730C6B" w:rsidR="004E577D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58C2D7B6" w14:textId="49B6E765" w:rsidR="003E2C75" w:rsidRPr="00E57F44" w:rsidRDefault="0068120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E57F44">
        <w:rPr>
          <w:rFonts w:ascii="Open Sans" w:hAnsi="Open Sans" w:cs="Open Sans"/>
          <w:color w:val="000000"/>
          <w:sz w:val="22"/>
          <w:szCs w:val="22"/>
          <w:lang w:val="x-none" w:eastAsia="x-none"/>
        </w:rPr>
        <w:t>Generalna Dyrekcja Ochrony Środowiska</w:t>
      </w:r>
      <w:r w:rsidR="003E2C75" w:rsidRPr="00E57F44">
        <w:rPr>
          <w:rFonts w:ascii="Open Sans" w:hAnsi="Open Sans" w:cs="Open Sans"/>
          <w:color w:val="000000"/>
          <w:sz w:val="22"/>
          <w:szCs w:val="22"/>
          <w:lang w:eastAsia="x-none"/>
        </w:rPr>
        <w:t>;</w:t>
      </w:r>
    </w:p>
    <w:p w14:paraId="70252B4B" w14:textId="7DFBE42C" w:rsidR="003E2C75" w:rsidRDefault="0068120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>regionalne dyrekcje ochrony środowiska</w:t>
      </w:r>
      <w:r w:rsidR="003E2C75">
        <w:rPr>
          <w:rFonts w:ascii="Open Sans" w:hAnsi="Open Sans" w:cs="Open Sans"/>
          <w:color w:val="000000"/>
          <w:sz w:val="22"/>
          <w:szCs w:val="22"/>
          <w:lang w:eastAsia="x-none"/>
        </w:rPr>
        <w:t>;</w:t>
      </w:r>
    </w:p>
    <w:p w14:paraId="59589BF4" w14:textId="5766648F" w:rsidR="003E2C75" w:rsidRDefault="0068120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Państwowe Gospodarstwo Leśne Lasy Państwowe</w:t>
      </w:r>
      <w:r w:rsidR="003E2C75">
        <w:rPr>
          <w:rFonts w:ascii="Open Sans" w:hAnsi="Open Sans" w:cs="Open Sans"/>
          <w:color w:val="000000"/>
          <w:sz w:val="22"/>
          <w:szCs w:val="22"/>
          <w:lang w:eastAsia="x-none"/>
        </w:rPr>
        <w:t>;</w:t>
      </w:r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</w:p>
    <w:p w14:paraId="55DEB6D8" w14:textId="64B9D401" w:rsidR="003E2C75" w:rsidRDefault="0068120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parki narodowe</w:t>
      </w:r>
      <w:r w:rsidR="003E2C75">
        <w:rPr>
          <w:rFonts w:ascii="Open Sans" w:hAnsi="Open Sans" w:cs="Open Sans"/>
          <w:color w:val="000000"/>
          <w:sz w:val="22"/>
          <w:szCs w:val="22"/>
          <w:lang w:eastAsia="x-none"/>
        </w:rPr>
        <w:t>;</w:t>
      </w:r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</w:p>
    <w:p w14:paraId="6891607D" w14:textId="529D5504" w:rsidR="003E2C75" w:rsidRPr="003E2C75" w:rsidRDefault="0068120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bookmarkStart w:id="12" w:name="_Hlk158030349"/>
      <w:r w:rsidRPr="003E2C75">
        <w:rPr>
          <w:rFonts w:ascii="Open Sans" w:hAnsi="Open Sans" w:cs="Open Sans"/>
          <w:color w:val="000000"/>
          <w:sz w:val="22"/>
          <w:szCs w:val="22"/>
          <w:lang w:val="x-none" w:eastAsia="x-none"/>
        </w:rPr>
        <w:t>Biuro Urządzania Lasu i Geodezji Leśnej</w:t>
      </w:r>
      <w:bookmarkEnd w:id="12"/>
      <w:r w:rsidR="003E2C75">
        <w:rPr>
          <w:rFonts w:ascii="Open Sans" w:hAnsi="Open Sans" w:cs="Open Sans"/>
          <w:color w:val="000000"/>
          <w:sz w:val="22"/>
          <w:szCs w:val="22"/>
          <w:lang w:eastAsia="x-none"/>
        </w:rPr>
        <w:t>;</w:t>
      </w:r>
    </w:p>
    <w:p w14:paraId="6545018E" w14:textId="5566ECA5" w:rsidR="004E577D" w:rsidRPr="003E2C75" w:rsidRDefault="00F25ADC" w:rsidP="00E57F44">
      <w:pPr>
        <w:pStyle w:val="Akapitzlist"/>
        <w:numPr>
          <w:ilvl w:val="1"/>
          <w:numId w:val="55"/>
        </w:numPr>
        <w:spacing w:before="120" w:after="120" w:line="360" w:lineRule="auto"/>
        <w:ind w:left="709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3E2C75">
        <w:rPr>
          <w:rFonts w:ascii="Open Sans" w:hAnsi="Open Sans" w:cs="Open Sans"/>
          <w:color w:val="000000"/>
          <w:sz w:val="22"/>
          <w:szCs w:val="22"/>
          <w:lang w:eastAsia="x-none"/>
        </w:rPr>
        <w:t>partnerstwa</w:t>
      </w:r>
      <w:r w:rsidR="00210E79" w:rsidRPr="003E2C75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CEF5075" w:rsidR="00791505" w:rsidRPr="002E6DF1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2E6DF1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2E6DF1">
        <w:rPr>
          <w:rFonts w:ascii="Open Sans" w:hAnsi="Open Sans" w:cs="Open Sans"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2E6DF1">
        <w:rPr>
          <w:rFonts w:ascii="Open Sans" w:hAnsi="Open Sans" w:cs="Open Sans"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>w załączniku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E0668" w:rsidRPr="002E6DF1">
        <w:rPr>
          <w:rFonts w:ascii="Open Sans" w:hAnsi="Open Sans" w:cs="Open Sans"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3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2E6DF1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0332064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68F55C30" w14:textId="1D8C2829" w:rsidR="004C4744" w:rsidRPr="00514905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5" w:name="_Hlk130462569"/>
      <w:r w:rsidRPr="00514905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514905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514905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514905" w:rsidRPr="00514905">
        <w:rPr>
          <w:rFonts w:ascii="Open Sans" w:hAnsi="Open Sans" w:cs="Open Sans"/>
          <w:b/>
          <w:iCs/>
          <w:sz w:val="22"/>
          <w:szCs w:val="22"/>
        </w:rPr>
        <w:t>1</w:t>
      </w:r>
      <w:r w:rsidR="005968C1" w:rsidRPr="00514905">
        <w:rPr>
          <w:rFonts w:ascii="Open Sans" w:hAnsi="Open Sans" w:cs="Open Sans"/>
          <w:b/>
          <w:iCs/>
          <w:sz w:val="22"/>
          <w:szCs w:val="22"/>
        </w:rPr>
        <w:t> </w:t>
      </w:r>
      <w:r w:rsidR="007B3BBB">
        <w:rPr>
          <w:rFonts w:ascii="Open Sans" w:hAnsi="Open Sans" w:cs="Open Sans"/>
          <w:b/>
          <w:iCs/>
          <w:sz w:val="22"/>
          <w:szCs w:val="22"/>
        </w:rPr>
        <w:t>0</w:t>
      </w:r>
      <w:r w:rsidR="007B3BBB" w:rsidRPr="00514905">
        <w:rPr>
          <w:rFonts w:ascii="Open Sans" w:hAnsi="Open Sans" w:cs="Open Sans"/>
          <w:b/>
          <w:iCs/>
          <w:sz w:val="22"/>
          <w:szCs w:val="22"/>
        </w:rPr>
        <w:t>00 </w:t>
      </w:r>
      <w:r w:rsidR="005631DF" w:rsidRPr="00514905">
        <w:rPr>
          <w:rFonts w:ascii="Open Sans" w:hAnsi="Open Sans" w:cs="Open Sans"/>
          <w:b/>
          <w:iCs/>
          <w:sz w:val="22"/>
          <w:szCs w:val="22"/>
        </w:rPr>
        <w:t>000,00</w:t>
      </w:r>
      <w:r w:rsidR="0064538C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514905">
        <w:rPr>
          <w:rFonts w:ascii="Open Sans" w:hAnsi="Open Sans" w:cs="Open Sans"/>
          <w:b/>
          <w:iCs/>
          <w:sz w:val="22"/>
          <w:szCs w:val="22"/>
        </w:rPr>
        <w:t>PLN</w:t>
      </w:r>
      <w:bookmarkEnd w:id="15"/>
      <w:r w:rsidR="00CB4E64" w:rsidRPr="00514905">
        <w:rPr>
          <w:rFonts w:ascii="Open Sans" w:hAnsi="Open Sans" w:cs="Open Sans"/>
          <w:b/>
          <w:iCs/>
          <w:sz w:val="22"/>
          <w:szCs w:val="22"/>
        </w:rPr>
        <w:t>.</w:t>
      </w:r>
    </w:p>
    <w:p w14:paraId="4184E8B9" w14:textId="14200CB9" w:rsidR="005560AF" w:rsidRPr="008916AC" w:rsidRDefault="005560AF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916AC"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bookmarkStart w:id="16" w:name="_Hlk148342682"/>
      <w:r w:rsidR="005968C1" w:rsidRPr="008916AC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bookmarkEnd w:id="16"/>
      <w:r w:rsidR="00514905" w:rsidRPr="008916AC">
        <w:rPr>
          <w:rFonts w:ascii="Open Sans" w:hAnsi="Open Sans" w:cs="Open Sans"/>
          <w:bCs/>
          <w:iCs/>
          <w:sz w:val="22"/>
          <w:szCs w:val="22"/>
        </w:rPr>
        <w:t xml:space="preserve">dofinansowania </w:t>
      </w:r>
      <w:r w:rsidR="005968C1" w:rsidRPr="008916AC">
        <w:rPr>
          <w:rFonts w:ascii="Open Sans" w:hAnsi="Open Sans" w:cs="Open Sans"/>
          <w:bCs/>
          <w:iCs/>
          <w:sz w:val="22"/>
          <w:szCs w:val="22"/>
        </w:rPr>
        <w:t>p</w:t>
      </w:r>
      <w:r w:rsidRPr="008916AC">
        <w:rPr>
          <w:rFonts w:ascii="Open Sans" w:hAnsi="Open Sans" w:cs="Open Sans"/>
          <w:bCs/>
          <w:iCs/>
          <w:sz w:val="22"/>
          <w:szCs w:val="22"/>
        </w:rPr>
        <w:t xml:space="preserve">rojektu w ramach naboru wynosi </w:t>
      </w:r>
      <w:r w:rsidR="00702FA5">
        <w:rPr>
          <w:rFonts w:ascii="Open Sans" w:hAnsi="Open Sans" w:cs="Open Sans"/>
          <w:b/>
          <w:iCs/>
          <w:sz w:val="22"/>
          <w:szCs w:val="22"/>
        </w:rPr>
        <w:t>20</w:t>
      </w:r>
      <w:r w:rsidR="00702FA5" w:rsidRPr="008916AC">
        <w:rPr>
          <w:rFonts w:ascii="Open Sans" w:hAnsi="Open Sans" w:cs="Open Sans"/>
          <w:b/>
          <w:iCs/>
          <w:sz w:val="22"/>
          <w:szCs w:val="22"/>
        </w:rPr>
        <w:t> </w:t>
      </w:r>
      <w:r w:rsidR="008916AC" w:rsidRPr="008916AC">
        <w:rPr>
          <w:rFonts w:ascii="Open Sans" w:hAnsi="Open Sans" w:cs="Open Sans"/>
          <w:b/>
          <w:iCs/>
          <w:sz w:val="22"/>
          <w:szCs w:val="22"/>
        </w:rPr>
        <w:t>000 000,</w:t>
      </w:r>
      <w:r w:rsidR="00594F5D">
        <w:rPr>
          <w:rFonts w:ascii="Open Sans" w:hAnsi="Open Sans" w:cs="Open Sans"/>
          <w:b/>
          <w:iCs/>
          <w:sz w:val="22"/>
          <w:szCs w:val="22"/>
        </w:rPr>
        <w:t>00</w:t>
      </w:r>
      <w:r w:rsidR="008916AC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8916AC">
        <w:rPr>
          <w:rFonts w:ascii="Open Sans" w:hAnsi="Open Sans" w:cs="Open Sans"/>
          <w:b/>
          <w:iCs/>
          <w:sz w:val="22"/>
          <w:szCs w:val="22"/>
        </w:rPr>
        <w:t>PLN.</w:t>
      </w:r>
    </w:p>
    <w:p w14:paraId="31694EF9" w14:textId="3A3CBF1E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załącznik nr </w:t>
      </w:r>
      <w:r w:rsidR="001D7D18" w:rsidRPr="002E6DF1">
        <w:rPr>
          <w:rFonts w:ascii="Open Sans" w:hAnsi="Open Sans" w:cs="Open Sans"/>
          <w:sz w:val="22"/>
          <w:szCs w:val="22"/>
        </w:rPr>
        <w:t>6</w:t>
      </w:r>
      <w:r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5769DACD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9E507F" w:rsidRPr="00507C85">
        <w:rPr>
          <w:rFonts w:ascii="Open Sans" w:hAnsi="Open Sans" w:cs="Open Sans"/>
          <w:b/>
          <w:bCs/>
          <w:sz w:val="22"/>
          <w:szCs w:val="22"/>
        </w:rPr>
        <w:t>maksymalnie</w:t>
      </w:r>
      <w:r w:rsidR="009E507F" w:rsidRPr="00F674B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>%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64538C" w:rsidRDefault="00514905" w:rsidP="00745B52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64538C">
        <w:rPr>
          <w:rFonts w:ascii="Open Sans" w:hAnsi="Open Sans" w:cs="Open Sans"/>
          <w:sz w:val="22"/>
          <w:szCs w:val="22"/>
        </w:rPr>
        <w:t xml:space="preserve">Podatek od towarów i usług może stanowić koszt kwalifikowalny projektu. Zasady jego kwalifikowania opisano w wytycznych dotyczących kwalifikowalności </w:t>
      </w:r>
      <w:r w:rsidRPr="0064538C">
        <w:rPr>
          <w:rFonts w:ascii="Open Sans" w:hAnsi="Open Sans" w:cs="Open Sans"/>
          <w:sz w:val="22"/>
          <w:szCs w:val="22"/>
        </w:rPr>
        <w:lastRenderedPageBreak/>
        <w:t>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7" w:name="_Hlk150329620"/>
      <w:r w:rsidRPr="0064538C">
        <w:rPr>
          <w:rFonts w:ascii="Open Sans" w:hAnsi="Open Sans" w:cs="Open Sans"/>
          <w:sz w:val="22"/>
          <w:szCs w:val="22"/>
        </w:rPr>
        <w:t>we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7"/>
      <w:r w:rsidRPr="0064538C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64538C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1362445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6813A776" w:rsidR="00514905" w:rsidRPr="002E6DF1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14905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122897">
        <w:rPr>
          <w:rFonts w:ascii="Open Sans" w:hAnsi="Open Sans" w:cs="Open Sans"/>
          <w:sz w:val="22"/>
          <w:szCs w:val="22"/>
        </w:rPr>
        <w:t>, w tym</w:t>
      </w:r>
      <w:r w:rsidR="0078327C">
        <w:rPr>
          <w:rFonts w:ascii="Open Sans" w:hAnsi="Open Sans" w:cs="Open Sans"/>
          <w:sz w:val="22"/>
          <w:szCs w:val="22"/>
        </w:rPr>
        <w:t xml:space="preserve"> </w:t>
      </w:r>
      <w:r w:rsidRPr="00514905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0332065"/>
      <w:r w:rsidRPr="002E6DF1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2E6DF1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2E6DF1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2E6DF1">
        <w:rPr>
          <w:rFonts w:ascii="Open Sans" w:hAnsi="Open Sans" w:cs="Open Sans"/>
          <w:color w:val="auto"/>
          <w:sz w:val="22"/>
          <w:szCs w:val="22"/>
        </w:rPr>
        <w:t>ku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8"/>
    </w:p>
    <w:p w14:paraId="19AA3C4E" w14:textId="387B7990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2E6DF1">
        <w:rPr>
          <w:rFonts w:ascii="Open Sans" w:hAnsi="Open Sans" w:cs="Open Sans"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1309D242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</w:t>
      </w:r>
      <w:r w:rsidR="006936BF">
        <w:rPr>
          <w:rFonts w:ascii="Open Sans" w:hAnsi="Open Sans" w:cs="Open Sans"/>
          <w:sz w:val="22"/>
          <w:szCs w:val="22"/>
        </w:rPr>
        <w:t>wraz z</w:t>
      </w:r>
      <w:r w:rsidR="006936BF"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zakres</w:t>
      </w:r>
      <w:r w:rsidR="006936BF">
        <w:rPr>
          <w:rFonts w:ascii="Open Sans" w:hAnsi="Open Sans" w:cs="Open Sans"/>
          <w:sz w:val="22"/>
          <w:szCs w:val="22"/>
        </w:rPr>
        <w:t>em</w:t>
      </w:r>
      <w:r w:rsidR="000D6DEC" w:rsidRPr="002E6DF1">
        <w:rPr>
          <w:rFonts w:ascii="Open Sans" w:hAnsi="Open Sans" w:cs="Open Sans"/>
          <w:sz w:val="22"/>
          <w:szCs w:val="22"/>
        </w:rPr>
        <w:t xml:space="preserve">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9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9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3100A856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</w:t>
      </w:r>
      <w:r w:rsidR="00E27CD8" w:rsidRPr="002E6DF1">
        <w:rPr>
          <w:rFonts w:ascii="Open Sans" w:hAnsi="Open Sans" w:cs="Open Sans"/>
          <w:sz w:val="22"/>
          <w:szCs w:val="22"/>
        </w:rPr>
        <w:t>niewskazania</w:t>
      </w:r>
      <w:r w:rsidR="0030584A" w:rsidRPr="002E6DF1">
        <w:rPr>
          <w:rFonts w:ascii="Open Sans" w:hAnsi="Open Sans" w:cs="Open Sans"/>
          <w:sz w:val="22"/>
          <w:szCs w:val="22"/>
        </w:rPr>
        <w:t xml:space="preserve">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7872C6C9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:</w:t>
      </w:r>
      <w:r w:rsidR="001E47EA">
        <w:rPr>
          <w:rFonts w:ascii="Open Sans" w:hAnsi="Open Sans" w:cs="Open Sans"/>
          <w:sz w:val="22"/>
          <w:szCs w:val="22"/>
        </w:rPr>
        <w:t xml:space="preserve"> </w:t>
      </w:r>
      <w:r w:rsidR="001E47EA" w:rsidRPr="001E47EA">
        <w:rPr>
          <w:rFonts w:ascii="Open Sans" w:hAnsi="Open Sans" w:cs="Open Sans"/>
          <w:sz w:val="22"/>
          <w:szCs w:val="22"/>
        </w:rPr>
        <w:t>teledetekcja-fenx@nfosigw.gov.pl</w:t>
      </w:r>
      <w:r w:rsidR="00B8596F" w:rsidRPr="002E6DF1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0332066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20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lastRenderedPageBreak/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0332067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1"/>
    </w:p>
    <w:p w14:paraId="4E65CB52" w14:textId="664106D0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Ocena spełnienia kryteriów wyboru projekt</w:t>
      </w:r>
      <w:r w:rsidR="006936BF">
        <w:rPr>
          <w:rFonts w:ascii="Open Sans" w:eastAsiaTheme="minorHAnsi" w:hAnsi="Open Sans" w:cs="Open Sans"/>
          <w:sz w:val="22"/>
          <w:szCs w:val="22"/>
          <w:lang w:eastAsia="en-US"/>
        </w:rPr>
        <w:t>ów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48504B" w:rsidRPr="002E6DF1">
        <w:rPr>
          <w:rFonts w:ascii="Open Sans" w:eastAsiaTheme="minorHAnsi" w:hAnsi="Open Sans" w:cs="Open Sans"/>
          <w:sz w:val="22"/>
          <w:szCs w:val="22"/>
          <w:lang w:eastAsia="en-US"/>
        </w:rPr>
        <w:t>3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1E6B9B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Projektu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593661AA" w14:textId="77777777" w:rsidR="00557C41" w:rsidRDefault="005A608A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2E6DF1">
        <w:rPr>
          <w:rFonts w:ascii="Open Sans" w:hAnsi="Open Sans" w:cs="Open Sans"/>
          <w:sz w:val="22"/>
          <w:szCs w:val="22"/>
        </w:rPr>
        <w:t>icznymi dla działania FENX.01.05,</w:t>
      </w:r>
      <w:r w:rsidRPr="002E6DF1">
        <w:rPr>
          <w:rFonts w:ascii="Open Sans" w:hAnsi="Open Sans" w:cs="Open Sans"/>
          <w:sz w:val="22"/>
          <w:szCs w:val="22"/>
        </w:rPr>
        <w:t xml:space="preserve"> typu projektu:</w:t>
      </w:r>
      <w:r w:rsidR="00557C41" w:rsidRPr="00557C41">
        <w:rPr>
          <w:rFonts w:ascii="Open Sans" w:hAnsi="Open Sans" w:cs="Open Sans"/>
          <w:color w:val="000000"/>
        </w:rPr>
        <w:t xml:space="preserve"> </w:t>
      </w:r>
      <w:r w:rsidR="00557C41" w:rsidRPr="00557C41">
        <w:rPr>
          <w:rFonts w:ascii="Open Sans" w:hAnsi="Open Sans" w:cs="Open Sans"/>
          <w:sz w:val="22"/>
          <w:szCs w:val="22"/>
        </w:rPr>
        <w:t>Rozwój zdolności i usprawnianie zarządzania obszarami chronionymi. Teledetekcja oraz rozwój infrastruktury geoinformacyjnej oraz cyfryzacja zasobów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5FB65F9" w14:textId="11A099BB" w:rsidR="005A608A" w:rsidRPr="002E6DF1" w:rsidRDefault="005A608A" w:rsidP="00557C41">
      <w:pPr>
        <w:pStyle w:val="Akapitzlist"/>
        <w:spacing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Zarówno kryteria horyzontalne jak 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7224EAF5" w:rsidR="007A1F22" w:rsidRPr="002E6DF1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0332068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2E6DF1">
        <w:rPr>
          <w:rFonts w:ascii="Open Sans" w:hAnsi="Open Sans" w:cs="Open Sans"/>
          <w:color w:val="auto"/>
          <w:sz w:val="22"/>
          <w:szCs w:val="22"/>
        </w:rPr>
        <w:t>oceny</w:t>
      </w:r>
      <w:bookmarkEnd w:id="22"/>
    </w:p>
    <w:p w14:paraId="3B0E94CC" w14:textId="67AF5079" w:rsidR="004D1969" w:rsidRPr="006D38AD" w:rsidRDefault="00050E82" w:rsidP="0037504E">
      <w:pPr>
        <w:numPr>
          <w:ilvl w:val="0"/>
          <w:numId w:val="50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99695C">
        <w:rPr>
          <w:rFonts w:ascii="Open Sans" w:hAnsi="Open Sans" w:cs="Open Sans"/>
          <w:sz w:val="22"/>
          <w:szCs w:val="22"/>
        </w:rPr>
        <w:t xml:space="preserve">załącznik nr </w:t>
      </w:r>
      <w:r w:rsidR="00AE4F49" w:rsidRPr="0099695C">
        <w:rPr>
          <w:rFonts w:ascii="Open Sans" w:hAnsi="Open Sans" w:cs="Open Sans"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5F12778E" w:rsidR="004D1969" w:rsidRPr="006D38AD" w:rsidRDefault="004D1969" w:rsidP="006D38AD">
      <w:pPr>
        <w:numPr>
          <w:ilvl w:val="1"/>
          <w:numId w:val="51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67E381B5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426E5316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4358DA56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0C6479B5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280A1E44" w:rsidR="004D1969" w:rsidRPr="006D38AD" w:rsidRDefault="00E12A06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12A06">
        <w:rPr>
          <w:rFonts w:ascii="Open Sans" w:hAnsi="Open Sans" w:cs="Open Sans"/>
          <w:color w:val="000000"/>
          <w:sz w:val="22"/>
          <w:szCs w:val="22"/>
        </w:rPr>
        <w:t>Kompletność dokumentacji aplikacyjnej i spójność informacji zawartych we wniosku, załącznikach do wniosku (ocena w zakresie kompletności dokumentacji aplikacyjnej)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42A2FC64" w14:textId="165B5A54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DDEB4CC" w:rsidR="004D1969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FE57CC">
        <w:rPr>
          <w:rFonts w:ascii="Open Sans" w:hAnsi="Open Sans" w:cs="Open Sans"/>
          <w:color w:val="000000"/>
          <w:sz w:val="22"/>
          <w:szCs w:val="22"/>
        </w:rPr>
        <w:t>.</w:t>
      </w:r>
    </w:p>
    <w:p w14:paraId="7133144A" w14:textId="2333CD57" w:rsidR="000C7B20" w:rsidRPr="00CD6364" w:rsidRDefault="00FE57CC" w:rsidP="00CD6364">
      <w:pPr>
        <w:pStyle w:val="Akapitzlist"/>
        <w:numPr>
          <w:ilvl w:val="1"/>
          <w:numId w:val="51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Kryteria specyficzne:</w:t>
      </w:r>
    </w:p>
    <w:p w14:paraId="4FB8A6C0" w14:textId="1FA6D9D0" w:rsidR="000C7B20" w:rsidRDefault="00CD6364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a</w:t>
      </w:r>
      <w:r w:rsidR="000C7B20">
        <w:rPr>
          <w:rFonts w:ascii="Open Sans" w:hAnsi="Open Sans" w:cs="Open Sans"/>
          <w:color w:val="000000"/>
          <w:sz w:val="22"/>
          <w:szCs w:val="22"/>
        </w:rPr>
        <w:t xml:space="preserve">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="000C7B20" w:rsidRPr="000C7B20">
        <w:rPr>
          <w:rFonts w:ascii="Open Sans" w:hAnsi="Open Sans" w:cs="Open Sans"/>
          <w:color w:val="000000"/>
          <w:sz w:val="22"/>
          <w:szCs w:val="22"/>
        </w:rPr>
        <w:t>Poprawność przygotowania Planu realizacji projektu</w:t>
      </w:r>
      <w:r w:rsidR="000C7B20">
        <w:rPr>
          <w:rFonts w:ascii="Open Sans" w:hAnsi="Open Sans" w:cs="Open Sans"/>
          <w:color w:val="000000"/>
          <w:sz w:val="22"/>
          <w:szCs w:val="22"/>
        </w:rPr>
        <w:t>,</w:t>
      </w:r>
    </w:p>
    <w:p w14:paraId="13DAC3E6" w14:textId="5994CDEF" w:rsidR="000C7B20" w:rsidRPr="00CD6364" w:rsidRDefault="00CD6364" w:rsidP="00CD6364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b</w:t>
      </w:r>
      <w:r w:rsidR="000C7B20">
        <w:rPr>
          <w:rFonts w:ascii="Open Sans" w:hAnsi="Open Sans" w:cs="Open Sans"/>
          <w:color w:val="000000"/>
          <w:sz w:val="22"/>
          <w:szCs w:val="22"/>
        </w:rPr>
        <w:t xml:space="preserve">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="000C7B20" w:rsidRPr="000C7B20">
        <w:rPr>
          <w:rFonts w:ascii="Open Sans" w:hAnsi="Open Sans" w:cs="Open Sans"/>
          <w:color w:val="000000"/>
          <w:sz w:val="22"/>
          <w:szCs w:val="22"/>
        </w:rPr>
        <w:t>Doświadczenie i potencjał wnioskodawcy</w:t>
      </w:r>
      <w:r>
        <w:rPr>
          <w:rFonts w:ascii="Open Sans" w:hAnsi="Open Sans" w:cs="Open Sans"/>
          <w:color w:val="000000"/>
          <w:sz w:val="22"/>
          <w:szCs w:val="22"/>
        </w:rPr>
        <w:t>.</w:t>
      </w:r>
    </w:p>
    <w:p w14:paraId="3990A4D2" w14:textId="624D3860" w:rsidR="00836249" w:rsidRPr="002E6DF1" w:rsidRDefault="00F374D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lastRenderedPageBreak/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033206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3"/>
    </w:p>
    <w:p w14:paraId="62336076" w14:textId="446EB720" w:rsidR="00266DAF" w:rsidRDefault="00724A03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>na podstawie list sprawdzających stanowiących Załącznik nr 5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Kryteria horyzontalne obligatoryjne:</w:t>
      </w:r>
    </w:p>
    <w:p w14:paraId="20663182" w14:textId="256F179F" w:rsidR="00F5730A" w:rsidRPr="00E12A06" w:rsidRDefault="00F5730A" w:rsidP="00E12A06">
      <w:pPr>
        <w:pStyle w:val="Akapitzlist"/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E12A06" w:rsidRPr="00E12A06">
        <w:rPr>
          <w:rFonts w:ascii="Open Sans" w:hAnsi="Open Sans" w:cs="Open Sans"/>
          <w:sz w:val="22"/>
          <w:szCs w:val="22"/>
        </w:rPr>
        <w:t>Kompletność dokumentacji</w:t>
      </w:r>
      <w:r w:rsidR="00E12A06">
        <w:rPr>
          <w:rFonts w:ascii="Open Sans" w:hAnsi="Open Sans" w:cs="Open Sans"/>
          <w:sz w:val="22"/>
          <w:szCs w:val="22"/>
        </w:rPr>
        <w:t xml:space="preserve"> </w:t>
      </w:r>
      <w:r w:rsidR="00E12A06" w:rsidRPr="00E12A06">
        <w:rPr>
          <w:rFonts w:ascii="Open Sans" w:hAnsi="Open Sans" w:cs="Open Sans"/>
          <w:sz w:val="22"/>
          <w:szCs w:val="22"/>
        </w:rPr>
        <w:t>aplikacyjnej i spójność informacji</w:t>
      </w:r>
      <w:r w:rsidR="00E12A06">
        <w:rPr>
          <w:rFonts w:ascii="Open Sans" w:hAnsi="Open Sans" w:cs="Open Sans"/>
          <w:sz w:val="22"/>
          <w:szCs w:val="22"/>
        </w:rPr>
        <w:t xml:space="preserve"> </w:t>
      </w:r>
      <w:r w:rsidR="00E12A06" w:rsidRPr="00E12A06">
        <w:rPr>
          <w:rFonts w:ascii="Open Sans" w:hAnsi="Open Sans" w:cs="Open Sans"/>
          <w:sz w:val="22"/>
          <w:szCs w:val="22"/>
        </w:rPr>
        <w:t>zawartych we wniosku,</w:t>
      </w:r>
      <w:r w:rsidR="00E12A06">
        <w:rPr>
          <w:rFonts w:ascii="Open Sans" w:hAnsi="Open Sans" w:cs="Open Sans"/>
          <w:sz w:val="22"/>
          <w:szCs w:val="22"/>
        </w:rPr>
        <w:t xml:space="preserve"> </w:t>
      </w:r>
      <w:r w:rsidR="00E12A06" w:rsidRPr="00E12A06">
        <w:rPr>
          <w:rFonts w:ascii="Open Sans" w:hAnsi="Open Sans" w:cs="Open Sans"/>
          <w:sz w:val="22"/>
          <w:szCs w:val="22"/>
        </w:rPr>
        <w:t>załącznikach do wniosku</w:t>
      </w:r>
      <w:r w:rsidR="00E12A06">
        <w:rPr>
          <w:rFonts w:ascii="Open Sans" w:hAnsi="Open Sans" w:cs="Open Sans"/>
          <w:sz w:val="22"/>
          <w:szCs w:val="22"/>
        </w:rPr>
        <w:t xml:space="preserve"> (ocena w zakresie spójności informacji zawartych we wniosku).</w:t>
      </w:r>
    </w:p>
    <w:p w14:paraId="41AB485C" w14:textId="68B910DD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b) </w:t>
      </w:r>
      <w:r w:rsidR="00F341D5">
        <w:rPr>
          <w:rFonts w:ascii="Open Sans" w:hAnsi="Open Sans" w:cs="Open Sans"/>
          <w:sz w:val="22"/>
          <w:szCs w:val="22"/>
        </w:rPr>
        <w:tab/>
      </w:r>
      <w:r w:rsidR="00F12AF1" w:rsidRPr="00F12AF1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F12AF1">
        <w:rPr>
          <w:rFonts w:ascii="Open Sans" w:hAnsi="Open Sans" w:cs="Open Sans"/>
          <w:sz w:val="22"/>
          <w:szCs w:val="22"/>
        </w:rPr>
        <w:t>,</w:t>
      </w:r>
    </w:p>
    <w:p w14:paraId="3BAE5A8E" w14:textId="037D2573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F12AF1">
        <w:rPr>
          <w:rFonts w:ascii="Open Sans" w:hAnsi="Open Sans" w:cs="Open Sans"/>
          <w:sz w:val="22"/>
          <w:szCs w:val="22"/>
        </w:rPr>
        <w:t>Trwałość projektu</w:t>
      </w:r>
      <w:r>
        <w:rPr>
          <w:rFonts w:ascii="Open Sans" w:hAnsi="Open Sans" w:cs="Open Sans"/>
          <w:sz w:val="22"/>
          <w:szCs w:val="22"/>
        </w:rPr>
        <w:t>,</w:t>
      </w:r>
    </w:p>
    <w:p w14:paraId="0FF14D84" w14:textId="5BA8D10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F12AF1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>
        <w:rPr>
          <w:rFonts w:ascii="Open Sans" w:hAnsi="Open Sans" w:cs="Open Sans"/>
          <w:sz w:val="22"/>
          <w:szCs w:val="22"/>
        </w:rPr>
        <w:t>,</w:t>
      </w:r>
    </w:p>
    <w:p w14:paraId="553B7970" w14:textId="0674820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Stabilność finansowa projektu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FBD4B13" w14:textId="316B15D7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f)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Poprawność analizy finansowej i ekonomicznej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2BC36C4" w14:textId="2B5F722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0645E86" w14:textId="20811C11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h)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Klauzula delokalizacyjna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8448E1C" w14:textId="09578B28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30B5B0AC" w14:textId="6E26D4F5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Zasada zrównoważonego rozwoju, w tym zasada „nie czyń poważnej szkody”</w:t>
      </w:r>
      <w:r>
        <w:rPr>
          <w:rFonts w:ascii="Open Sans" w:hAnsi="Open Sans" w:cs="Open Sans"/>
          <w:sz w:val="22"/>
          <w:szCs w:val="22"/>
        </w:rPr>
        <w:t>,</w:t>
      </w:r>
    </w:p>
    <w:p w14:paraId="3DE55930" w14:textId="32BCB2C6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Odporność infrastruktury na zmiany klimatu</w:t>
      </w:r>
      <w:r>
        <w:rPr>
          <w:rFonts w:ascii="Open Sans" w:hAnsi="Open Sans" w:cs="Open Sans"/>
          <w:sz w:val="22"/>
          <w:szCs w:val="22"/>
        </w:rPr>
        <w:t>,</w:t>
      </w:r>
    </w:p>
    <w:p w14:paraId="51829FBF" w14:textId="7F0757DE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l)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>
        <w:rPr>
          <w:rFonts w:ascii="Open Sans" w:hAnsi="Open Sans" w:cs="Open Sans"/>
          <w:sz w:val="22"/>
          <w:szCs w:val="22"/>
        </w:rPr>
        <w:t>,</w:t>
      </w:r>
    </w:p>
    <w:p w14:paraId="4D633490" w14:textId="6B9D3F33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ł)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niedyskryminacji</w:t>
      </w:r>
      <w:r>
        <w:rPr>
          <w:rFonts w:ascii="Open Sans" w:hAnsi="Open Sans" w:cs="Open Sans"/>
          <w:sz w:val="22"/>
          <w:szCs w:val="22"/>
        </w:rPr>
        <w:t>,</w:t>
      </w:r>
    </w:p>
    <w:p w14:paraId="292DA19D" w14:textId="2705F6BB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>
        <w:rPr>
          <w:rFonts w:ascii="Open Sans" w:hAnsi="Open Sans" w:cs="Open Sans"/>
          <w:sz w:val="22"/>
          <w:szCs w:val="22"/>
        </w:rPr>
        <w:t>,</w:t>
      </w:r>
    </w:p>
    <w:p w14:paraId="414920E4" w14:textId="3E079499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>
        <w:rPr>
          <w:rFonts w:ascii="Open Sans" w:hAnsi="Open Sans" w:cs="Open Sans"/>
          <w:sz w:val="22"/>
          <w:szCs w:val="22"/>
        </w:rPr>
        <w:t>,</w:t>
      </w:r>
    </w:p>
    <w:p w14:paraId="1BC461A5" w14:textId="2B99B41A" w:rsidR="00395CF5" w:rsidRDefault="00F5730A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2) </w:t>
      </w:r>
      <w:r w:rsidR="00395CF5">
        <w:rPr>
          <w:rFonts w:ascii="Open Sans" w:hAnsi="Open Sans" w:cs="Open Sans"/>
          <w:sz w:val="22"/>
          <w:szCs w:val="22"/>
        </w:rPr>
        <w:t>Kryteria specyficzne obligatoryjne:</w:t>
      </w:r>
    </w:p>
    <w:p w14:paraId="4919B86C" w14:textId="4C3BE9E5" w:rsidR="00395CF5" w:rsidRDefault="00395CF5" w:rsidP="00395CF5">
      <w:pPr>
        <w:pStyle w:val="Akapitzlist"/>
        <w:numPr>
          <w:ilvl w:val="0"/>
          <w:numId w:val="54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95CF5">
        <w:rPr>
          <w:rFonts w:ascii="Open Sans" w:hAnsi="Open Sans" w:cs="Open Sans"/>
          <w:sz w:val="22"/>
          <w:szCs w:val="22"/>
        </w:rPr>
        <w:t>Ocena przyjętych rozwiązań po kątem realizacji celów projektu</w:t>
      </w:r>
      <w:r>
        <w:rPr>
          <w:rFonts w:ascii="Open Sans" w:hAnsi="Open Sans" w:cs="Open Sans"/>
          <w:sz w:val="22"/>
          <w:szCs w:val="22"/>
        </w:rPr>
        <w:t>,</w:t>
      </w:r>
    </w:p>
    <w:p w14:paraId="6A4DE14E" w14:textId="7EABDA17" w:rsidR="00395CF5" w:rsidRPr="00395CF5" w:rsidRDefault="00395CF5" w:rsidP="00395CF5">
      <w:pPr>
        <w:pStyle w:val="Akapitzlist"/>
        <w:numPr>
          <w:ilvl w:val="0"/>
          <w:numId w:val="54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Ocena ryzyka.</w:t>
      </w:r>
    </w:p>
    <w:p w14:paraId="4120D915" w14:textId="2A5FCAC0" w:rsidR="00F5730A" w:rsidRDefault="00395CF5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3) </w:t>
      </w:r>
      <w:r w:rsidR="00F5730A" w:rsidRPr="006D38AD">
        <w:rPr>
          <w:rFonts w:ascii="Open Sans" w:hAnsi="Open Sans" w:cs="Open Sans"/>
          <w:sz w:val="22"/>
          <w:szCs w:val="22"/>
        </w:rPr>
        <w:t>Kryteria horyzontalne rankingujące</w:t>
      </w:r>
      <w:r w:rsidR="00F5730A">
        <w:rPr>
          <w:rFonts w:ascii="Open Sans" w:hAnsi="Open Sans" w:cs="Open Sans"/>
          <w:sz w:val="22"/>
          <w:szCs w:val="22"/>
        </w:rPr>
        <w:t>:</w:t>
      </w:r>
    </w:p>
    <w:p w14:paraId="5C9851B8" w14:textId="4BAF15E9" w:rsidR="005D68A8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E345FBF" w14:textId="4862B9E2" w:rsidR="00F5730A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Zastosowanie elementów edukacyjnych w projekcie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4BC33659" w14:textId="29F3BC30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>
        <w:rPr>
          <w:rFonts w:ascii="Open Sans" w:hAnsi="Open Sans" w:cs="Open Sans"/>
          <w:sz w:val="22"/>
          <w:szCs w:val="22"/>
        </w:rPr>
        <w:t>,</w:t>
      </w:r>
    </w:p>
    <w:p w14:paraId="2C2A0965" w14:textId="1F1F47D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>
        <w:rPr>
          <w:rFonts w:ascii="Open Sans" w:hAnsi="Open Sans" w:cs="Open Sans"/>
          <w:sz w:val="22"/>
          <w:szCs w:val="22"/>
        </w:rPr>
        <w:t>,</w:t>
      </w:r>
    </w:p>
    <w:p w14:paraId="2FAF0EE6" w14:textId="2C346C8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2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pkt 5 CPR</w:t>
      </w:r>
      <w:r>
        <w:rPr>
          <w:rFonts w:ascii="Open Sans" w:hAnsi="Open Sans" w:cs="Open Sans"/>
          <w:sz w:val="22"/>
          <w:szCs w:val="22"/>
        </w:rPr>
        <w:t>,</w:t>
      </w:r>
    </w:p>
    <w:p w14:paraId="31437B76" w14:textId="5FD59451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f)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miasta średnie tracące funkcje społeczno-gospodarcze/obszary zagrożone trwałą marginalizacją</w:t>
      </w:r>
      <w:r>
        <w:rPr>
          <w:rFonts w:ascii="Open Sans" w:hAnsi="Open Sans" w:cs="Open Sans"/>
          <w:sz w:val="22"/>
          <w:szCs w:val="22"/>
        </w:rPr>
        <w:t>,</w:t>
      </w:r>
    </w:p>
    <w:p w14:paraId="465F5F77" w14:textId="06D863E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g)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Polska Wschodnia/Śląsk</w:t>
      </w:r>
      <w:r>
        <w:rPr>
          <w:rFonts w:ascii="Open Sans" w:hAnsi="Open Sans" w:cs="Open Sans"/>
          <w:sz w:val="22"/>
          <w:szCs w:val="22"/>
        </w:rPr>
        <w:t>,</w:t>
      </w:r>
    </w:p>
    <w:p w14:paraId="4E266AB3" w14:textId="183221F6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h)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wynikający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</w:t>
      </w:r>
      <w:r>
        <w:rPr>
          <w:rFonts w:ascii="Open Sans" w:hAnsi="Open Sans" w:cs="Open Sans"/>
          <w:sz w:val="22"/>
          <w:szCs w:val="22"/>
        </w:rPr>
        <w:t>,</w:t>
      </w:r>
    </w:p>
    <w:p w14:paraId="1AA27C4A" w14:textId="4DAF4C76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i)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>
        <w:rPr>
          <w:rFonts w:ascii="Open Sans" w:hAnsi="Open Sans" w:cs="Open Sans"/>
          <w:sz w:val="22"/>
          <w:szCs w:val="22"/>
        </w:rPr>
        <w:t>,</w:t>
      </w:r>
    </w:p>
    <w:p w14:paraId="5B1F3493" w14:textId="0FE8CCF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wpisuje się w realizację wartości Nowego Europejskiego Bauhausu</w:t>
      </w:r>
      <w:r>
        <w:rPr>
          <w:rFonts w:ascii="Open Sans" w:hAnsi="Open Sans" w:cs="Open Sans"/>
          <w:sz w:val="22"/>
          <w:szCs w:val="22"/>
        </w:rPr>
        <w:t>,</w:t>
      </w:r>
    </w:p>
    <w:p w14:paraId="00057DC9" w14:textId="286E87F6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Partnerstwo międzysektorowe</w:t>
      </w:r>
      <w:r w:rsidR="00395CF5">
        <w:rPr>
          <w:rFonts w:ascii="Open Sans" w:hAnsi="Open Sans" w:cs="Open Sans"/>
          <w:sz w:val="22"/>
          <w:szCs w:val="22"/>
        </w:rPr>
        <w:t>.</w:t>
      </w:r>
    </w:p>
    <w:p w14:paraId="7D69427C" w14:textId="58C0181C" w:rsidR="00F5730A" w:rsidRDefault="00395CF5" w:rsidP="006D38AD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4</w:t>
      </w:r>
      <w:r w:rsidR="00F5730A">
        <w:rPr>
          <w:rFonts w:ascii="Open Sans" w:hAnsi="Open Sans" w:cs="Open Sans"/>
          <w:sz w:val="22"/>
          <w:szCs w:val="22"/>
        </w:rPr>
        <w:t>) Kryteria specyficzne rankingujące:</w:t>
      </w:r>
    </w:p>
    <w:p w14:paraId="1DBEDA03" w14:textId="5A1C7F0E" w:rsidR="005D68A8" w:rsidRDefault="00F5730A" w:rsidP="00395CF5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Identyfikacja stanu istniejącego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43DF6C2" w14:textId="42EEFA8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Ciągłość i spójność podejmowanych działań</w:t>
      </w:r>
      <w:r>
        <w:rPr>
          <w:rFonts w:ascii="Open Sans" w:hAnsi="Open Sans" w:cs="Open Sans"/>
          <w:sz w:val="22"/>
          <w:szCs w:val="22"/>
        </w:rPr>
        <w:t>,</w:t>
      </w:r>
    </w:p>
    <w:p w14:paraId="59A14495" w14:textId="33E30CCB" w:rsidR="005D68A8" w:rsidRPr="006D38AD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Ocena wysokości kosztów w stosunku do zakresu rzeczowego</w:t>
      </w:r>
      <w:r w:rsidR="00395CF5">
        <w:rPr>
          <w:rFonts w:ascii="Open Sans" w:hAnsi="Open Sans" w:cs="Open Sans"/>
          <w:sz w:val="22"/>
          <w:szCs w:val="22"/>
        </w:rPr>
        <w:t>.</w:t>
      </w:r>
    </w:p>
    <w:p w14:paraId="759D24DB" w14:textId="564D9722" w:rsidR="00E05E94" w:rsidRPr="002E6DF1" w:rsidRDefault="00E05E94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rankingujących.</w:t>
      </w:r>
    </w:p>
    <w:p w14:paraId="589F12A7" w14:textId="0F011F86" w:rsidR="005B377F" w:rsidRPr="003C0B80" w:rsidRDefault="005B377F" w:rsidP="003C0B80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4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4"/>
    <w:p w14:paraId="6176E9D7" w14:textId="28048D9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79ABD91A" w:rsidR="0096335A" w:rsidRPr="002E6DF1" w:rsidRDefault="0096335A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lastRenderedPageBreak/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0332070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2E6DF1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2E6DF1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2E6DF1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2E6DF1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5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77F1B842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uzyskał określony minimalny próg punktacji</w:t>
      </w:r>
      <w:r w:rsidR="00A21F00">
        <w:rPr>
          <w:rFonts w:ascii="Open Sans" w:hAnsi="Open Sans" w:cs="Open Sans"/>
          <w:sz w:val="22"/>
          <w:szCs w:val="22"/>
        </w:rPr>
        <w:t xml:space="preserve"> - </w:t>
      </w:r>
      <w:r w:rsidR="008B70F6">
        <w:rPr>
          <w:rFonts w:ascii="Open Sans" w:hAnsi="Open Sans" w:cs="Open Sans"/>
          <w:sz w:val="22"/>
          <w:szCs w:val="22"/>
        </w:rPr>
        <w:t xml:space="preserve">12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504EA8">
        <w:rPr>
          <w:rFonts w:ascii="Open Sans" w:hAnsi="Open Sans" w:cs="Open Sans"/>
          <w:sz w:val="22"/>
          <w:szCs w:val="22"/>
        </w:rPr>
        <w:t>ów</w:t>
      </w:r>
      <w:r w:rsidR="00822133" w:rsidRPr="00A21F00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F36C5B3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kolejnością ich zastosowania. W </w:t>
      </w:r>
      <w:r w:rsidR="00E27CD8" w:rsidRPr="006D38AD">
        <w:rPr>
          <w:rFonts w:ascii="Open Sans" w:hAnsi="Open Sans" w:cs="Open Sans"/>
          <w:color w:val="000000"/>
          <w:sz w:val="22"/>
          <w:szCs w:val="22"/>
        </w:rPr>
        <w:t>przypadku,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kiedy projekty uzyskały jednakową liczbę punktów w ramach oceny pierwszym w kolejności kryterium rozstrzygającym, pod uwagę brane są kolejno następne kryteria rozstrzygające – co odbywa się </w:t>
      </w:r>
      <w:r w:rsidRPr="006D38AD">
        <w:rPr>
          <w:rFonts w:ascii="Open Sans" w:hAnsi="Open Sans" w:cs="Open Sans"/>
          <w:color w:val="000000"/>
          <w:sz w:val="22"/>
          <w:szCs w:val="22"/>
        </w:rPr>
        <w:lastRenderedPageBreak/>
        <w:t>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7A471910" w14:textId="45174708" w:rsidR="00395CF5" w:rsidRPr="00395CF5" w:rsidRDefault="009414C4" w:rsidP="006D38AD">
      <w:pPr>
        <w:spacing w:line="276" w:lineRule="auto"/>
        <w:ind w:left="426"/>
        <w:rPr>
          <w:rFonts w:ascii="Open Sans" w:hAnsi="Open Sans" w:cs="Open Sans"/>
          <w:i/>
          <w:iCs/>
          <w:sz w:val="22"/>
          <w:szCs w:val="22"/>
        </w:rPr>
      </w:pPr>
      <w:r w:rsidRPr="00395CF5">
        <w:rPr>
          <w:rFonts w:ascii="Open Sans" w:hAnsi="Open Sans" w:cs="Open Sans"/>
          <w:i/>
          <w:iCs/>
          <w:color w:val="000000"/>
          <w:sz w:val="22"/>
          <w:szCs w:val="22"/>
        </w:rPr>
        <w:t xml:space="preserve">1) </w:t>
      </w:r>
      <w:r w:rsidR="00395CF5" w:rsidRPr="00395CF5">
        <w:rPr>
          <w:rFonts w:ascii="Open Sans" w:hAnsi="Open Sans" w:cs="Open Sans"/>
          <w:i/>
          <w:iCs/>
          <w:sz w:val="22"/>
          <w:szCs w:val="22"/>
        </w:rPr>
        <w:t xml:space="preserve">Ciągłość i spójność podejmowanych działań, </w:t>
      </w:r>
    </w:p>
    <w:p w14:paraId="780A887E" w14:textId="56213723" w:rsidR="00395CF5" w:rsidRPr="00395CF5" w:rsidRDefault="00395CF5" w:rsidP="006D38AD">
      <w:pPr>
        <w:spacing w:line="276" w:lineRule="auto"/>
        <w:ind w:left="426"/>
        <w:rPr>
          <w:rFonts w:ascii="Open Sans" w:hAnsi="Open Sans" w:cs="Open Sans"/>
          <w:i/>
          <w:iCs/>
          <w:sz w:val="22"/>
          <w:szCs w:val="22"/>
        </w:rPr>
      </w:pPr>
      <w:r w:rsidRPr="00395CF5">
        <w:rPr>
          <w:rFonts w:ascii="Open Sans" w:hAnsi="Open Sans" w:cs="Open Sans"/>
          <w:i/>
          <w:iCs/>
          <w:color w:val="000000"/>
          <w:sz w:val="22"/>
          <w:szCs w:val="22"/>
        </w:rPr>
        <w:t xml:space="preserve">2) Identyfikacja stanu istniejącego. </w:t>
      </w:r>
    </w:p>
    <w:p w14:paraId="53AFEC24" w14:textId="1DBBACB3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8327C">
        <w:rPr>
          <w:rFonts w:ascii="Open Sans" w:hAnsi="Open Sans" w:cs="Open Sans"/>
          <w:sz w:val="22"/>
          <w:szCs w:val="22"/>
        </w:rPr>
        <w:t xml:space="preserve"> </w:t>
      </w:r>
      <w:r w:rsidR="007779C2" w:rsidRPr="002E6DF1">
        <w:rPr>
          <w:rFonts w:ascii="Open Sans" w:hAnsi="Open Sans" w:cs="Open Sans"/>
          <w:sz w:val="22"/>
          <w:szCs w:val="22"/>
        </w:rPr>
        <w:t>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Toc150332071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6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21402C25" w14:textId="71D08BCE" w:rsidR="00A21F00" w:rsidRPr="00395CF5" w:rsidRDefault="00A21F00" w:rsidP="00395CF5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7" w:name="_Toc150332072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7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4DE1EE53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20468F" w:rsidRPr="0020468F">
        <w:rPr>
          <w:rFonts w:ascii="Open Sans" w:hAnsi="Open Sans" w:cs="Open Sans"/>
          <w:sz w:val="22"/>
          <w:szCs w:val="22"/>
        </w:rPr>
        <w:t xml:space="preserve"> o wyniku oceny projektu</w:t>
      </w:r>
      <w:r w:rsidRPr="002E6DF1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t.j.).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Hlk134702382"/>
      <w:bookmarkStart w:id="29" w:name="_Toc150332073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8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9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za pośrednictwem CST2021 oraz ePUAP,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34B121C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0E1D1E8C" w14:textId="457AEA5A" w:rsidR="0064538C" w:rsidRPr="00557C41" w:rsidRDefault="0064538C" w:rsidP="0064538C">
      <w:pPr>
        <w:numPr>
          <w:ilvl w:val="0"/>
          <w:numId w:val="10"/>
        </w:numPr>
        <w:spacing w:before="120" w:after="120"/>
        <w:rPr>
          <w:rFonts w:ascii="Open Sans" w:hAnsi="Open Sans" w:cs="Open Sans"/>
          <w:sz w:val="22"/>
          <w:szCs w:val="22"/>
        </w:rPr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Pytania dotyczące przygotowania wniosków o dofinansowanie w ramach naboru (przed złożeniem wniosku o dofinansowanie) </w:t>
      </w:r>
      <w:r w:rsidR="0094463D" w:rsidRPr="009446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procedury wyboru projektów oraz treści uwag KOP zgłoszonych na etapie 1 i etapie 2 oceny można przesyłać na adres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>
        <w:t> </w:t>
      </w:r>
      <w:hyperlink r:id="rId15" w:history="1">
        <w:r w:rsidR="001653AF" w:rsidRPr="00026569">
          <w:rPr>
            <w:rStyle w:val="Hipercze"/>
            <w:rFonts w:ascii="Open Sans" w:hAnsi="Open Sans" w:cs="Open Sans"/>
            <w:sz w:val="22"/>
            <w:szCs w:val="22"/>
          </w:rPr>
          <w:t>teledetekcja-fenx@nfosigw.gov.pl</w:t>
        </w:r>
      </w:hyperlink>
      <w:r w:rsidR="00557C41" w:rsidRPr="00557C41">
        <w:rPr>
          <w:rFonts w:ascii="Open Sans" w:hAnsi="Open Sans" w:cs="Open Sans"/>
          <w:sz w:val="22"/>
          <w:szCs w:val="22"/>
        </w:rPr>
        <w:t xml:space="preserve"> </w:t>
      </w:r>
      <w:r w:rsidRPr="00557C41">
        <w:rPr>
          <w:rFonts w:ascii="Open Sans" w:hAnsi="Open Sans" w:cs="Open Sans"/>
          <w:sz w:val="22"/>
          <w:szCs w:val="22"/>
        </w:rPr>
        <w:t>.</w:t>
      </w:r>
    </w:p>
    <w:p w14:paraId="1981CD1F" w14:textId="5397D721" w:rsidR="0094463D" w:rsidRPr="0064538C" w:rsidRDefault="0064538C" w:rsidP="001E47EA">
      <w:pPr>
        <w:pStyle w:val="NormalnyWeb"/>
        <w:spacing w:before="120" w:beforeAutospacing="0" w:after="120" w:afterAutospacing="0"/>
        <w:ind w:left="284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  <w:r w:rsidR="0094463D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="0094463D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</w:r>
      <w:r w:rsidR="0094463D" w:rsidRPr="0094463D">
        <w:rPr>
          <w:rFonts w:ascii="Open Sans" w:eastAsiaTheme="majorEastAsia" w:hAnsi="Open Sans" w:cs="Open Sans"/>
          <w:bCs/>
          <w:sz w:val="22"/>
          <w:szCs w:val="22"/>
          <w:lang w:eastAsia="en-US"/>
        </w:rPr>
        <w:t>Zgłoszenie pytań na etapie oceny wniosku nie wstrzymuje biegu terminu na dokonanie poprawy/uzupełnienia wniosku.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50332074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0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7B88E7FB" w:rsidR="007A5BEA" w:rsidRPr="00557C41" w:rsidRDefault="007A5BEA" w:rsidP="00557C41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0332075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1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32028AD9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wniesienia </w:t>
      </w:r>
      <w:r w:rsidR="00E27CD8" w:rsidRPr="002E6DF1">
        <w:rPr>
          <w:rFonts w:ascii="Open Sans" w:eastAsia="Calibri" w:hAnsi="Open Sans" w:cs="Open Sans"/>
          <w:sz w:val="22"/>
          <w:szCs w:val="22"/>
          <w:lang w:eastAsia="en-US"/>
        </w:rPr>
        <w:t>protestu,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którym mowa w art. 63 ustawy wdrożeniowej.</w:t>
      </w:r>
    </w:p>
    <w:p w14:paraId="059D28AD" w14:textId="24E5805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§ 1 ust. 1 pkt. 3.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2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informacji potwierdzającej anulowanie/wycofanie wniosku z naboru,</w:t>
      </w:r>
    </w:p>
    <w:p w14:paraId="3EED8A32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2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2E6DF1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33" w:name="_Toc150332076"/>
      <w:r w:rsidRPr="002E6DF1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3"/>
    </w:p>
    <w:p w14:paraId="007F5758" w14:textId="2D07DCA0" w:rsidR="00610175" w:rsidRPr="002E6DF1" w:rsidRDefault="00610175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26825850" w14:textId="77777777" w:rsidR="00395CF5" w:rsidRDefault="00610175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143BFD0B" w14:textId="5742534B" w:rsidR="00557C41" w:rsidRPr="00395CF5" w:rsidRDefault="00CE30AF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395CF5">
        <w:rPr>
          <w:rFonts w:ascii="Open Sans" w:hAnsi="Open Sans" w:cs="Open Sans"/>
          <w:sz w:val="22"/>
          <w:szCs w:val="22"/>
        </w:rPr>
        <w:t>Kryteria wyboru projekt</w:t>
      </w:r>
      <w:r w:rsidR="00D84DF9" w:rsidRPr="00395CF5">
        <w:rPr>
          <w:rFonts w:ascii="Open Sans" w:hAnsi="Open Sans" w:cs="Open Sans"/>
          <w:sz w:val="22"/>
          <w:szCs w:val="22"/>
        </w:rPr>
        <w:t>u</w:t>
      </w:r>
      <w:r w:rsidR="001504E4" w:rsidRPr="00395CF5">
        <w:rPr>
          <w:rFonts w:ascii="Open Sans" w:hAnsi="Open Sans" w:cs="Open Sans"/>
          <w:sz w:val="22"/>
          <w:szCs w:val="22"/>
        </w:rPr>
        <w:t xml:space="preserve"> dla działania 1.5.</w:t>
      </w:r>
      <w:r w:rsidR="00557C41" w:rsidRPr="00395CF5">
        <w:rPr>
          <w:rFonts w:ascii="Open Sans" w:hAnsi="Open Sans" w:cs="Open Sans"/>
          <w:sz w:val="22"/>
          <w:szCs w:val="22"/>
        </w:rPr>
        <w:t>4</w:t>
      </w:r>
      <w:r w:rsidR="0027613D" w:rsidRPr="00395CF5">
        <w:rPr>
          <w:rFonts w:ascii="Open Sans" w:hAnsi="Open Sans" w:cs="Open Sans"/>
          <w:sz w:val="22"/>
          <w:szCs w:val="22"/>
        </w:rPr>
        <w:t xml:space="preserve"> </w:t>
      </w:r>
      <w:r w:rsidR="00557C41" w:rsidRPr="00395CF5">
        <w:rPr>
          <w:rFonts w:ascii="Open Sans" w:hAnsi="Open Sans" w:cs="Open Sans"/>
          <w:color w:val="000000"/>
          <w:sz w:val="22"/>
          <w:szCs w:val="22"/>
        </w:rPr>
        <w:t>Rozwój zdolności i usprawnianie zarządzania obszarami chronionymi. Teledetekcja oraz rozwój infrastruktury geoinformacyjnej oraz cyfryzacja zasobów.</w:t>
      </w:r>
    </w:p>
    <w:p w14:paraId="43C0FF68" w14:textId="5C6746F7" w:rsidR="00744A78" w:rsidRPr="00557C41" w:rsidRDefault="00610175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57C4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557C4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557C41">
        <w:rPr>
          <w:rFonts w:ascii="Open Sans" w:hAnsi="Open Sans" w:cs="Open Sans"/>
          <w:sz w:val="22"/>
          <w:szCs w:val="22"/>
          <w:lang w:eastAsia="en-US"/>
        </w:rPr>
        <w:t>I etapu oceny</w:t>
      </w:r>
      <w:r w:rsidR="00254948" w:rsidRPr="00557C41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7485F9A4" w14:textId="3B48471F" w:rsidR="003422B9" w:rsidRPr="002E6DF1" w:rsidRDefault="00744A78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 xml:space="preserve">oceny </w:t>
      </w:r>
    </w:p>
    <w:p w14:paraId="33BC6673" w14:textId="2E030140" w:rsidR="00B4342B" w:rsidRPr="002E6DF1" w:rsidRDefault="00B4342B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</w:t>
      </w:r>
      <w:r w:rsidR="00D65239" w:rsidRPr="002E6DF1">
        <w:rPr>
          <w:rFonts w:ascii="Open Sans" w:hAnsi="Open Sans" w:cs="Open Sans"/>
          <w:sz w:val="22"/>
          <w:szCs w:val="22"/>
        </w:rPr>
        <w:t>atalog wydatków kwalifikowa</w:t>
      </w:r>
      <w:r w:rsidR="00E8490C" w:rsidRPr="002E6DF1">
        <w:rPr>
          <w:rFonts w:ascii="Open Sans" w:hAnsi="Open Sans" w:cs="Open Sans"/>
          <w:sz w:val="22"/>
          <w:szCs w:val="22"/>
        </w:rPr>
        <w:t>l</w:t>
      </w:r>
      <w:r w:rsidR="00D65239" w:rsidRPr="002E6DF1">
        <w:rPr>
          <w:rFonts w:ascii="Open Sans" w:hAnsi="Open Sans" w:cs="Open Sans"/>
          <w:sz w:val="22"/>
          <w:szCs w:val="22"/>
        </w:rPr>
        <w:t>nych</w:t>
      </w:r>
    </w:p>
    <w:p w14:paraId="5C284693" w14:textId="77777777" w:rsidR="00395CF5" w:rsidRPr="002E6DF1" w:rsidRDefault="00395CF5" w:rsidP="00395CF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0855980F" w14:textId="77777777" w:rsidR="00395CF5" w:rsidRPr="002E6DF1" w:rsidRDefault="00395CF5" w:rsidP="00395CF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wskaźników</w:t>
      </w:r>
    </w:p>
    <w:p w14:paraId="09A7A03B" w14:textId="058D1F72" w:rsidR="00744A78" w:rsidRDefault="00744A78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4B52BF24" w14:textId="4546294D" w:rsidR="00395CF5" w:rsidRPr="002E6DF1" w:rsidRDefault="00395CF5" w:rsidP="00557C4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Regulamin Komisji Oceny Projektów wraz z załącznikami 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F561E" w14:textId="77777777" w:rsidR="00D26D1D" w:rsidRDefault="00D26D1D">
      <w:r>
        <w:separator/>
      </w:r>
    </w:p>
  </w:endnote>
  <w:endnote w:type="continuationSeparator" w:id="0">
    <w:p w14:paraId="31A6AA9C" w14:textId="77777777" w:rsidR="00D26D1D" w:rsidRDefault="00D26D1D">
      <w:r>
        <w:continuationSeparator/>
      </w:r>
    </w:p>
  </w:endnote>
  <w:endnote w:type="continuationNotice" w:id="1">
    <w:p w14:paraId="3479C851" w14:textId="77777777" w:rsidR="00D26D1D" w:rsidRDefault="00D26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56B26B31" w:rsidR="00745B52" w:rsidRPr="00837472" w:rsidRDefault="00745B52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7502AB">
      <w:rPr>
        <w:rFonts w:ascii="Open Sans" w:hAnsi="Open Sans" w:cs="Open Sans"/>
        <w:b/>
        <w:bCs/>
        <w:noProof/>
        <w:sz w:val="18"/>
        <w:szCs w:val="18"/>
      </w:rPr>
      <w:t>9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7502AB">
      <w:rPr>
        <w:rFonts w:ascii="Open Sans" w:hAnsi="Open Sans" w:cs="Open Sans"/>
        <w:b/>
        <w:bCs/>
        <w:noProof/>
        <w:sz w:val="18"/>
        <w:szCs w:val="18"/>
      </w:rPr>
      <w:t>22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4D35" w14:textId="77777777" w:rsidR="00D26D1D" w:rsidRDefault="00D26D1D">
      <w:r>
        <w:separator/>
      </w:r>
    </w:p>
  </w:footnote>
  <w:footnote w:type="continuationSeparator" w:id="0">
    <w:p w14:paraId="0110760C" w14:textId="77777777" w:rsidR="00D26D1D" w:rsidRDefault="00D26D1D">
      <w:r>
        <w:continuationSeparator/>
      </w:r>
    </w:p>
  </w:footnote>
  <w:footnote w:type="continuationNotice" w:id="1">
    <w:p w14:paraId="1A4D8F56" w14:textId="77777777" w:rsidR="00D26D1D" w:rsidRDefault="00D26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45B52" w:rsidRDefault="00745B52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4814407"/>
    <w:multiLevelType w:val="multilevel"/>
    <w:tmpl w:val="F40E859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</w:lvl>
    <w:lvl w:ilvl="2">
      <w:start w:val="1"/>
      <w:numFmt w:val="decimal"/>
      <w:lvlText w:val="%3)"/>
      <w:lvlJc w:val="left"/>
      <w:pPr>
        <w:ind w:left="2004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0E48F7"/>
    <w:multiLevelType w:val="hybridMultilevel"/>
    <w:tmpl w:val="C5E45F8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67580558">
    <w:abstractNumId w:val="38"/>
  </w:num>
  <w:num w:numId="2" w16cid:durableId="1395665876">
    <w:abstractNumId w:val="25"/>
  </w:num>
  <w:num w:numId="3" w16cid:durableId="151455605">
    <w:abstractNumId w:val="16"/>
  </w:num>
  <w:num w:numId="4" w16cid:durableId="141579203">
    <w:abstractNumId w:val="41"/>
  </w:num>
  <w:num w:numId="5" w16cid:durableId="1171679206">
    <w:abstractNumId w:val="50"/>
  </w:num>
  <w:num w:numId="6" w16cid:durableId="1531408173">
    <w:abstractNumId w:val="52"/>
  </w:num>
  <w:num w:numId="7" w16cid:durableId="1614820896">
    <w:abstractNumId w:val="44"/>
  </w:num>
  <w:num w:numId="8" w16cid:durableId="845943267">
    <w:abstractNumId w:val="48"/>
  </w:num>
  <w:num w:numId="9" w16cid:durableId="799759857">
    <w:abstractNumId w:val="53"/>
  </w:num>
  <w:num w:numId="10" w16cid:durableId="834497132">
    <w:abstractNumId w:val="12"/>
  </w:num>
  <w:num w:numId="11" w16cid:durableId="336659971">
    <w:abstractNumId w:val="37"/>
  </w:num>
  <w:num w:numId="12" w16cid:durableId="1781799149">
    <w:abstractNumId w:val="13"/>
  </w:num>
  <w:num w:numId="13" w16cid:durableId="1524706765">
    <w:abstractNumId w:val="23"/>
  </w:num>
  <w:num w:numId="14" w16cid:durableId="319314437">
    <w:abstractNumId w:val="39"/>
  </w:num>
  <w:num w:numId="15" w16cid:durableId="962617011">
    <w:abstractNumId w:val="19"/>
  </w:num>
  <w:num w:numId="16" w16cid:durableId="981957694">
    <w:abstractNumId w:val="33"/>
  </w:num>
  <w:num w:numId="17" w16cid:durableId="1489593174">
    <w:abstractNumId w:val="3"/>
  </w:num>
  <w:num w:numId="18" w16cid:durableId="1295721083">
    <w:abstractNumId w:val="17"/>
  </w:num>
  <w:num w:numId="19" w16cid:durableId="986129130">
    <w:abstractNumId w:val="35"/>
  </w:num>
  <w:num w:numId="20" w16cid:durableId="844635605">
    <w:abstractNumId w:val="47"/>
  </w:num>
  <w:num w:numId="21" w16cid:durableId="2138529710">
    <w:abstractNumId w:val="1"/>
  </w:num>
  <w:num w:numId="22" w16cid:durableId="1518960249">
    <w:abstractNumId w:val="7"/>
  </w:num>
  <w:num w:numId="23" w16cid:durableId="1351956998">
    <w:abstractNumId w:val="26"/>
  </w:num>
  <w:num w:numId="24" w16cid:durableId="1377702310">
    <w:abstractNumId w:val="40"/>
  </w:num>
  <w:num w:numId="25" w16cid:durableId="856889393">
    <w:abstractNumId w:val="10"/>
  </w:num>
  <w:num w:numId="26" w16cid:durableId="1740443558">
    <w:abstractNumId w:val="22"/>
  </w:num>
  <w:num w:numId="27" w16cid:durableId="285625607">
    <w:abstractNumId w:val="34"/>
  </w:num>
  <w:num w:numId="28" w16cid:durableId="1021275774">
    <w:abstractNumId w:val="29"/>
  </w:num>
  <w:num w:numId="29" w16cid:durableId="1236234203">
    <w:abstractNumId w:val="5"/>
  </w:num>
  <w:num w:numId="30" w16cid:durableId="483206939">
    <w:abstractNumId w:val="2"/>
  </w:num>
  <w:num w:numId="31" w16cid:durableId="1663780293">
    <w:abstractNumId w:val="51"/>
  </w:num>
  <w:num w:numId="32" w16cid:durableId="1196112087">
    <w:abstractNumId w:val="27"/>
  </w:num>
  <w:num w:numId="33" w16cid:durableId="717121276">
    <w:abstractNumId w:val="46"/>
  </w:num>
  <w:num w:numId="34" w16cid:durableId="681902630">
    <w:abstractNumId w:val="20"/>
  </w:num>
  <w:num w:numId="35" w16cid:durableId="1718702466">
    <w:abstractNumId w:val="0"/>
  </w:num>
  <w:num w:numId="36" w16cid:durableId="1708994349">
    <w:abstractNumId w:val="18"/>
  </w:num>
  <w:num w:numId="37" w16cid:durableId="688486252">
    <w:abstractNumId w:val="43"/>
  </w:num>
  <w:num w:numId="38" w16cid:durableId="793213606">
    <w:abstractNumId w:val="24"/>
  </w:num>
  <w:num w:numId="39" w16cid:durableId="492376570">
    <w:abstractNumId w:val="9"/>
  </w:num>
  <w:num w:numId="40" w16cid:durableId="274601395">
    <w:abstractNumId w:val="28"/>
  </w:num>
  <w:num w:numId="41" w16cid:durableId="611976968">
    <w:abstractNumId w:val="30"/>
  </w:num>
  <w:num w:numId="42" w16cid:durableId="1189029601">
    <w:abstractNumId w:val="36"/>
  </w:num>
  <w:num w:numId="43" w16cid:durableId="1021006248">
    <w:abstractNumId w:val="31"/>
  </w:num>
  <w:num w:numId="44" w16cid:durableId="2007514808">
    <w:abstractNumId w:val="32"/>
  </w:num>
  <w:num w:numId="45" w16cid:durableId="464352635">
    <w:abstractNumId w:val="8"/>
  </w:num>
  <w:num w:numId="46" w16cid:durableId="420033709">
    <w:abstractNumId w:val="11"/>
  </w:num>
  <w:num w:numId="47" w16cid:durableId="1866290381">
    <w:abstractNumId w:val="21"/>
  </w:num>
  <w:num w:numId="48" w16cid:durableId="108621437">
    <w:abstractNumId w:val="15"/>
  </w:num>
  <w:num w:numId="49" w16cid:durableId="1667592349">
    <w:abstractNumId w:val="6"/>
  </w:num>
  <w:num w:numId="50" w16cid:durableId="136150700">
    <w:abstractNumId w:val="14"/>
  </w:num>
  <w:num w:numId="51" w16cid:durableId="1678801756">
    <w:abstractNumId w:val="42"/>
  </w:num>
  <w:num w:numId="52" w16cid:durableId="1238440197">
    <w:abstractNumId w:val="45"/>
  </w:num>
  <w:num w:numId="53" w16cid:durableId="912469396">
    <w:abstractNumId w:val="4"/>
  </w:num>
  <w:num w:numId="54" w16cid:durableId="1523284499">
    <w:abstractNumId w:val="54"/>
  </w:num>
  <w:num w:numId="55" w16cid:durableId="1414814084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0D64"/>
    <w:rsid w:val="00011B4B"/>
    <w:rsid w:val="00012666"/>
    <w:rsid w:val="00012E06"/>
    <w:rsid w:val="00013D3D"/>
    <w:rsid w:val="00015E53"/>
    <w:rsid w:val="00015F18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341F"/>
    <w:rsid w:val="0004365A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D20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897"/>
    <w:rsid w:val="00122C67"/>
    <w:rsid w:val="00122CE5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6BB5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25D5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3AF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99E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66E3"/>
    <w:rsid w:val="001D70B0"/>
    <w:rsid w:val="001D757F"/>
    <w:rsid w:val="001D7BAF"/>
    <w:rsid w:val="001D7D18"/>
    <w:rsid w:val="001D7E01"/>
    <w:rsid w:val="001D7E1D"/>
    <w:rsid w:val="001E0577"/>
    <w:rsid w:val="001E147A"/>
    <w:rsid w:val="001E2160"/>
    <w:rsid w:val="001E3A91"/>
    <w:rsid w:val="001E3DE3"/>
    <w:rsid w:val="001E47EA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68F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423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67F9F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CF5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2C75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6F4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6FA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4EA8"/>
    <w:rsid w:val="005053BD"/>
    <w:rsid w:val="0050653D"/>
    <w:rsid w:val="005066CD"/>
    <w:rsid w:val="00507C85"/>
    <w:rsid w:val="00510D38"/>
    <w:rsid w:val="00511566"/>
    <w:rsid w:val="00511AD8"/>
    <w:rsid w:val="00511DFA"/>
    <w:rsid w:val="005120E1"/>
    <w:rsid w:val="00513252"/>
    <w:rsid w:val="005135FE"/>
    <w:rsid w:val="00514905"/>
    <w:rsid w:val="005159EC"/>
    <w:rsid w:val="005166AB"/>
    <w:rsid w:val="00520B8F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57C4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C80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4F5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375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4992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47D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1679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46C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36B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9B0"/>
    <w:rsid w:val="006F5C86"/>
    <w:rsid w:val="006F5EF0"/>
    <w:rsid w:val="006F603A"/>
    <w:rsid w:val="006F7B1A"/>
    <w:rsid w:val="007013C3"/>
    <w:rsid w:val="007021AF"/>
    <w:rsid w:val="0070223B"/>
    <w:rsid w:val="00702B11"/>
    <w:rsid w:val="00702FA5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B52"/>
    <w:rsid w:val="00745E04"/>
    <w:rsid w:val="00746743"/>
    <w:rsid w:val="0074691F"/>
    <w:rsid w:val="007478A0"/>
    <w:rsid w:val="00747E29"/>
    <w:rsid w:val="007502AB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27C"/>
    <w:rsid w:val="00783327"/>
    <w:rsid w:val="00783C9D"/>
    <w:rsid w:val="007860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5A3"/>
    <w:rsid w:val="0080571C"/>
    <w:rsid w:val="00805D7F"/>
    <w:rsid w:val="00810355"/>
    <w:rsid w:val="008110D6"/>
    <w:rsid w:val="00811A6F"/>
    <w:rsid w:val="00811DF7"/>
    <w:rsid w:val="0081274D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3E1B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272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6A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286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0F6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63D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1973"/>
    <w:rsid w:val="0096209C"/>
    <w:rsid w:val="009625B6"/>
    <w:rsid w:val="00962755"/>
    <w:rsid w:val="0096335A"/>
    <w:rsid w:val="009637E6"/>
    <w:rsid w:val="00964A7C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57F5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07F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1F81"/>
    <w:rsid w:val="00A42810"/>
    <w:rsid w:val="00A42D14"/>
    <w:rsid w:val="00A449DB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6A16"/>
    <w:rsid w:val="00AE711F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AF74DB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99A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2F1"/>
    <w:rsid w:val="00B576DF"/>
    <w:rsid w:val="00B579B8"/>
    <w:rsid w:val="00B6110A"/>
    <w:rsid w:val="00B61294"/>
    <w:rsid w:val="00B61A4D"/>
    <w:rsid w:val="00B61F3B"/>
    <w:rsid w:val="00B62F74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AD3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2AE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2B5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5A8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E1E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364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6D1D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A5A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2A06"/>
    <w:rsid w:val="00E134D3"/>
    <w:rsid w:val="00E14500"/>
    <w:rsid w:val="00E14D6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CD8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44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674B3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979DF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ledetekcj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1C77-73C2-4567-84BC-EBD38B0F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7529</Words>
  <Characters>45179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FENX.01.05-IW.01-002_24</dc:title>
  <dc:subject>Regulamin konkursu - wzór dokumentu</dc:subject>
  <dc:creator>Perret Nina</dc:creator>
  <cp:lastModifiedBy>Wójcik-Napiórkowska Beata</cp:lastModifiedBy>
  <cp:revision>4</cp:revision>
  <cp:lastPrinted>2023-08-14T13:43:00Z</cp:lastPrinted>
  <dcterms:created xsi:type="dcterms:W3CDTF">2024-02-09T14:28:00Z</dcterms:created>
  <dcterms:modified xsi:type="dcterms:W3CDTF">2024-02-15T08:31:00Z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