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D004C2" w:rsidP="00807DC9">
      <w:pPr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-107232</wp:posOffset>
                </wp:positionH>
                <wp:positionV relativeFrom="paragraph">
                  <wp:posOffset>0</wp:posOffset>
                </wp:positionV>
                <wp:extent cx="1898650" cy="685800"/>
                <wp:effectExtent l="0" t="0" r="635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EB" w:rsidRDefault="00D004C2" w:rsidP="005231EB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927708256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31EB" w:rsidRPr="0063379A" w:rsidRDefault="00D004C2" w:rsidP="005231E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63379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-8.45pt;margin-top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49.5pt;z-index:251660288" stroked="f">
                <v:textbox>
                  <w:txbxContent>
                    <w:p w:rsidR="005231EB" w:rsidP="005231EB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31EB" w:rsidRPr="0063379A" w:rsidP="005231E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63379A">
                        <w:rPr>
                          <w:rFonts w:ascii="Calibri" w:hAnsi="Calibri" w:cs="Calibri"/>
                          <w:b/>
                          <w:bCs/>
                        </w:rPr>
                        <w:t>WOJEWODA MAZOWIECKI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07 grudnia 2021 r.</w:t>
      </w:r>
      <w:bookmarkEnd w:id="0"/>
    </w:p>
    <w:p w:rsidR="00EE3A10" w:rsidRDefault="00D004C2" w:rsidP="00EE3A10"/>
    <w:p w:rsidR="00EE3A10" w:rsidRDefault="00D004C2" w:rsidP="00EE3A10"/>
    <w:p w:rsidR="00EE3A10" w:rsidRDefault="00D004C2" w:rsidP="00EE3A10"/>
    <w:p w:rsidR="00EE3A10" w:rsidRDefault="00D004C2" w:rsidP="00EE3A10"/>
    <w:p w:rsidR="00EE3A10" w:rsidRPr="007E6A4B" w:rsidRDefault="00D004C2" w:rsidP="007E6A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bookmarkStart w:id="1" w:name="_GoBack"/>
      <w:r w:rsidRPr="007E6A4B">
        <w:rPr>
          <w:rFonts w:asciiTheme="minorHAnsi" w:hAnsiTheme="minorHAnsi" w:cstheme="minorHAnsi"/>
        </w:rPr>
        <w:t>WNP-I.4131.2</w:t>
      </w:r>
      <w:r>
        <w:rPr>
          <w:rFonts w:asciiTheme="minorHAnsi" w:hAnsiTheme="minorHAnsi" w:cstheme="minorHAnsi"/>
        </w:rPr>
        <w:t>96</w:t>
      </w:r>
      <w:r w:rsidRPr="007E6A4B">
        <w:rPr>
          <w:rFonts w:asciiTheme="minorHAnsi" w:hAnsiTheme="minorHAnsi" w:cstheme="minorHAnsi"/>
        </w:rPr>
        <w:t>.2021</w:t>
      </w:r>
      <w:bookmarkEnd w:id="1"/>
    </w:p>
    <w:p w:rsidR="007D757B" w:rsidRPr="00B065B0" w:rsidRDefault="00D004C2" w:rsidP="005231EB">
      <w:pPr>
        <w:spacing w:before="360" w:line="276" w:lineRule="auto"/>
        <w:ind w:left="5103"/>
        <w:rPr>
          <w:rFonts w:ascii="Calibri" w:hAnsi="Calibri" w:cs="Calibri"/>
          <w:b/>
          <w:sz w:val="28"/>
          <w:szCs w:val="28"/>
        </w:rPr>
      </w:pPr>
      <w:r w:rsidRPr="00B065B0"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5B0">
        <w:rPr>
          <w:rFonts w:ascii="Calibri" w:hAnsi="Calibri" w:cs="Calibri"/>
          <w:b/>
          <w:sz w:val="28"/>
          <w:szCs w:val="28"/>
        </w:rPr>
        <w:t>Rada Miasta Ząbki</w:t>
      </w:r>
    </w:p>
    <w:p w:rsidR="000A1FED" w:rsidRPr="00B065B0" w:rsidRDefault="00D004C2" w:rsidP="00280EDA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  <w:b/>
          <w:sz w:val="28"/>
          <w:szCs w:val="28"/>
        </w:rPr>
      </w:pPr>
      <w:r w:rsidRPr="00B065B0">
        <w:rPr>
          <w:rFonts w:ascii="Calibri" w:hAnsi="Calibri" w:cs="Calibri"/>
          <w:b/>
          <w:sz w:val="28"/>
          <w:szCs w:val="28"/>
        </w:rPr>
        <w:t>ul. Wojska Polskiego 10</w:t>
      </w:r>
    </w:p>
    <w:p w:rsidR="00280EDA" w:rsidRPr="00B065B0" w:rsidRDefault="00D004C2" w:rsidP="004639B3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  <w:b/>
          <w:sz w:val="28"/>
          <w:szCs w:val="28"/>
        </w:rPr>
      </w:pPr>
      <w:r w:rsidRPr="00B065B0">
        <w:rPr>
          <w:rFonts w:ascii="Calibri" w:hAnsi="Calibri" w:cs="Calibri"/>
          <w:b/>
          <w:sz w:val="28"/>
          <w:szCs w:val="28"/>
        </w:rPr>
        <w:t>05-091 Ząbki</w:t>
      </w:r>
    </w:p>
    <w:p w:rsidR="00280EDA" w:rsidRDefault="00D004C2" w:rsidP="005231EB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</w:rPr>
      </w:pPr>
    </w:p>
    <w:p w:rsidR="006F2222" w:rsidRPr="00504F2F" w:rsidRDefault="00D004C2" w:rsidP="005231EB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</w:rPr>
      </w:pPr>
    </w:p>
    <w:p w:rsidR="00280EDA" w:rsidRPr="00B065B0" w:rsidRDefault="00D004C2" w:rsidP="00280ED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065B0">
        <w:rPr>
          <w:rFonts w:asciiTheme="minorHAnsi" w:hAnsiTheme="minorHAnsi" w:cstheme="minorHAnsi"/>
          <w:b/>
        </w:rPr>
        <w:t>Rozstrzygnięcie nadzorcze</w:t>
      </w:r>
    </w:p>
    <w:p w:rsidR="00280EDA" w:rsidRDefault="00D004C2" w:rsidP="00280EDA">
      <w:pPr>
        <w:spacing w:line="360" w:lineRule="auto"/>
        <w:jc w:val="both"/>
        <w:rPr>
          <w:rFonts w:asciiTheme="minorHAnsi" w:hAnsiTheme="minorHAnsi" w:cstheme="minorHAnsi"/>
        </w:rPr>
      </w:pPr>
      <w:r w:rsidRPr="00280EDA">
        <w:rPr>
          <w:rFonts w:asciiTheme="minorHAnsi" w:hAnsiTheme="minorHAnsi" w:cstheme="minorHAnsi"/>
        </w:rPr>
        <w:t xml:space="preserve">Działając na podstawie art. 91 ust. 1, w związku z art. 86 ustawy z dnia 8 marca 1990 r. </w:t>
      </w:r>
      <w:r w:rsidRPr="00280EDA">
        <w:rPr>
          <w:rFonts w:asciiTheme="minorHAnsi" w:hAnsiTheme="minorHAnsi" w:cstheme="minorHAnsi"/>
        </w:rPr>
        <w:br/>
        <w:t>o samorządzie gminnym (Dz. U. z 202</w:t>
      </w:r>
      <w:r>
        <w:rPr>
          <w:rFonts w:asciiTheme="minorHAnsi" w:hAnsiTheme="minorHAnsi" w:cstheme="minorHAnsi"/>
        </w:rPr>
        <w:t>1</w:t>
      </w:r>
      <w:r w:rsidRPr="00280EDA">
        <w:rPr>
          <w:rFonts w:asciiTheme="minorHAnsi" w:hAnsiTheme="minorHAnsi" w:cstheme="minorHAnsi"/>
        </w:rPr>
        <w:t xml:space="preserve"> r. poz. </w:t>
      </w:r>
      <w:r>
        <w:rPr>
          <w:rFonts w:asciiTheme="minorHAnsi" w:hAnsiTheme="minorHAnsi" w:cstheme="minorHAnsi"/>
        </w:rPr>
        <w:t>1372</w:t>
      </w:r>
      <w:r w:rsidRPr="00280EDA">
        <w:rPr>
          <w:rFonts w:asciiTheme="minorHAnsi" w:hAnsiTheme="minorHAnsi" w:cstheme="minorHAnsi"/>
        </w:rPr>
        <w:t>, z późn. zm.)</w:t>
      </w:r>
    </w:p>
    <w:p w:rsidR="007E6A4B" w:rsidRDefault="00D004C2" w:rsidP="00280EDA">
      <w:pPr>
        <w:spacing w:line="360" w:lineRule="auto"/>
        <w:jc w:val="both"/>
        <w:rPr>
          <w:rFonts w:asciiTheme="minorHAnsi" w:hAnsiTheme="minorHAnsi" w:cstheme="minorHAnsi"/>
        </w:rPr>
      </w:pPr>
    </w:p>
    <w:p w:rsidR="00280EDA" w:rsidRPr="00B065B0" w:rsidRDefault="00D004C2" w:rsidP="00280ED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065B0">
        <w:rPr>
          <w:rFonts w:asciiTheme="minorHAnsi" w:hAnsiTheme="minorHAnsi" w:cstheme="minorHAnsi"/>
          <w:b/>
        </w:rPr>
        <w:t>stwierdzam nieważność</w:t>
      </w:r>
    </w:p>
    <w:p w:rsidR="00280EDA" w:rsidRDefault="00D004C2" w:rsidP="00280EDA">
      <w:pPr>
        <w:spacing w:line="360" w:lineRule="auto"/>
        <w:jc w:val="both"/>
        <w:rPr>
          <w:rFonts w:asciiTheme="minorHAnsi" w:hAnsiTheme="minorHAnsi" w:cstheme="minorHAnsi"/>
        </w:rPr>
      </w:pPr>
      <w:r w:rsidRPr="00280EDA">
        <w:rPr>
          <w:rFonts w:asciiTheme="minorHAnsi" w:hAnsiTheme="minorHAnsi" w:cstheme="minorHAnsi"/>
        </w:rPr>
        <w:t>uchwały</w:t>
      </w:r>
      <w:r>
        <w:t xml:space="preserve"> </w:t>
      </w:r>
      <w:r w:rsidRPr="00280EDA">
        <w:rPr>
          <w:rFonts w:asciiTheme="minorHAnsi" w:hAnsiTheme="minorHAnsi" w:cstheme="minorHAnsi"/>
        </w:rPr>
        <w:t>Nr XLIX/4</w:t>
      </w:r>
      <w:r>
        <w:rPr>
          <w:rFonts w:asciiTheme="minorHAnsi" w:hAnsiTheme="minorHAnsi" w:cstheme="minorHAnsi"/>
        </w:rPr>
        <w:t>67</w:t>
      </w:r>
      <w:r w:rsidRPr="00280EDA">
        <w:rPr>
          <w:rFonts w:asciiTheme="minorHAnsi" w:hAnsiTheme="minorHAnsi" w:cstheme="minorHAnsi"/>
        </w:rPr>
        <w:t>/2021 Rady Miasta Ząbki z dnia 27 października 2021 r. w spr</w:t>
      </w:r>
      <w:r w:rsidRPr="00280EDA">
        <w:rPr>
          <w:rFonts w:asciiTheme="minorHAnsi" w:hAnsiTheme="minorHAnsi" w:cstheme="minorHAnsi"/>
        </w:rPr>
        <w:t>awie regulaminu korzystania ze Stadionu Miejskiego w Ząbkach</w:t>
      </w:r>
      <w:r>
        <w:rPr>
          <w:rFonts w:asciiTheme="minorHAnsi" w:hAnsiTheme="minorHAnsi" w:cstheme="minorHAnsi"/>
        </w:rPr>
        <w:t xml:space="preserve"> </w:t>
      </w:r>
      <w:r w:rsidRPr="00280EDA">
        <w:rPr>
          <w:rFonts w:asciiTheme="minorHAnsi" w:hAnsiTheme="minorHAnsi" w:cstheme="minorHAnsi"/>
        </w:rPr>
        <w:t>w zakresie ustaleń</w:t>
      </w:r>
      <w:r w:rsidRPr="00280EDA">
        <w:rPr>
          <w:rFonts w:asciiTheme="minorHAnsi" w:hAnsiTheme="minorHAnsi" w:cstheme="minorHAnsi"/>
        </w:rPr>
        <w:br/>
        <w:t xml:space="preserve">§ </w:t>
      </w:r>
      <w:r>
        <w:rPr>
          <w:rFonts w:asciiTheme="minorHAnsi" w:hAnsiTheme="minorHAnsi" w:cstheme="minorHAnsi"/>
        </w:rPr>
        <w:t xml:space="preserve">9, </w:t>
      </w:r>
      <w:r w:rsidRPr="00280EDA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10, </w:t>
      </w:r>
      <w:r w:rsidRPr="00280EDA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15 pkt 1 i pkt 8</w:t>
      </w:r>
      <w:r>
        <w:rPr>
          <w:rFonts w:asciiTheme="minorHAnsi" w:hAnsiTheme="minorHAnsi" w:cstheme="minorHAnsi"/>
        </w:rPr>
        <w:t xml:space="preserve"> Regulaminu korzystania ze Stadionu Miejskiego w Ząbkach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stanowiącego załącznik do uchwały</w:t>
      </w:r>
      <w:r w:rsidRPr="00280EDA">
        <w:rPr>
          <w:rFonts w:asciiTheme="minorHAnsi" w:hAnsiTheme="minorHAnsi" w:cstheme="minorHAnsi"/>
        </w:rPr>
        <w:t>.</w:t>
      </w:r>
    </w:p>
    <w:p w:rsidR="006F2222" w:rsidRPr="00280EDA" w:rsidRDefault="00D004C2" w:rsidP="00280EDA">
      <w:pPr>
        <w:spacing w:line="360" w:lineRule="auto"/>
        <w:jc w:val="both"/>
        <w:rPr>
          <w:rFonts w:asciiTheme="minorHAnsi" w:hAnsiTheme="minorHAnsi" w:cstheme="minorHAnsi"/>
        </w:rPr>
      </w:pPr>
    </w:p>
    <w:p w:rsidR="00280EDA" w:rsidRPr="00B065B0" w:rsidRDefault="00D004C2" w:rsidP="00280ED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065B0">
        <w:rPr>
          <w:rFonts w:asciiTheme="minorHAnsi" w:hAnsiTheme="minorHAnsi" w:cstheme="minorHAnsi"/>
          <w:b/>
        </w:rPr>
        <w:t>Uzasadnienie</w:t>
      </w:r>
    </w:p>
    <w:p w:rsidR="00280EDA" w:rsidRPr="00280EDA" w:rsidRDefault="00D004C2" w:rsidP="00280EDA">
      <w:pPr>
        <w:spacing w:line="360" w:lineRule="auto"/>
        <w:ind w:firstLine="709"/>
        <w:jc w:val="both"/>
        <w:rPr>
          <w:rFonts w:asciiTheme="minorHAnsi" w:hAnsiTheme="minorHAnsi" w:cstheme="minorHAnsi"/>
          <w:i/>
        </w:rPr>
      </w:pPr>
      <w:r w:rsidRPr="00280EDA">
        <w:rPr>
          <w:rFonts w:asciiTheme="minorHAnsi" w:hAnsiTheme="minorHAnsi" w:cstheme="minorHAnsi"/>
        </w:rPr>
        <w:t xml:space="preserve">Rada Miasta Ząbki podjęła uchwałę </w:t>
      </w:r>
      <w:r w:rsidRPr="00280EDA">
        <w:rPr>
          <w:rFonts w:asciiTheme="minorHAnsi" w:hAnsiTheme="minorHAnsi" w:cstheme="minorHAnsi"/>
        </w:rPr>
        <w:t xml:space="preserve">Nr </w:t>
      </w:r>
      <w:r w:rsidRPr="00280EDA">
        <w:rPr>
          <w:rFonts w:asciiTheme="minorHAnsi" w:hAnsiTheme="minorHAnsi" w:cstheme="minorHAnsi"/>
        </w:rPr>
        <w:t>XLIX/4</w:t>
      </w:r>
      <w:r>
        <w:rPr>
          <w:rFonts w:asciiTheme="minorHAnsi" w:hAnsiTheme="minorHAnsi" w:cstheme="minorHAnsi"/>
        </w:rPr>
        <w:t>67</w:t>
      </w:r>
      <w:r w:rsidRPr="00280EDA">
        <w:rPr>
          <w:rFonts w:asciiTheme="minorHAnsi" w:hAnsiTheme="minorHAnsi" w:cstheme="minorHAnsi"/>
        </w:rPr>
        <w:t>/2021</w:t>
      </w:r>
      <w:r w:rsidRPr="00280EDA">
        <w:rPr>
          <w:rFonts w:asciiTheme="minorHAnsi" w:hAnsiTheme="minorHAnsi" w:cstheme="minorHAnsi"/>
          <w:i/>
        </w:rPr>
        <w:t xml:space="preserve"> </w:t>
      </w:r>
      <w:r w:rsidRPr="00280EDA">
        <w:rPr>
          <w:rFonts w:asciiTheme="minorHAnsi" w:hAnsiTheme="minorHAnsi" w:cstheme="minorHAnsi"/>
        </w:rPr>
        <w:t>w sprawie regulaminu korzystania ze Stadionu Miejskiego w Ząbkach</w:t>
      </w:r>
      <w:r w:rsidRPr="00280EDA">
        <w:rPr>
          <w:rFonts w:asciiTheme="minorHAnsi" w:hAnsiTheme="minorHAnsi" w:cstheme="minorHAnsi"/>
          <w:i/>
        </w:rPr>
        <w:t>.</w:t>
      </w:r>
    </w:p>
    <w:p w:rsidR="00280EDA" w:rsidRDefault="00D004C2" w:rsidP="00280ED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280EDA">
        <w:rPr>
          <w:rFonts w:asciiTheme="minorHAnsi" w:hAnsiTheme="minorHAnsi" w:cstheme="minorHAnsi"/>
        </w:rPr>
        <w:t>W uchwale wskazano, że podstaw</w:t>
      </w:r>
      <w:r>
        <w:rPr>
          <w:rFonts w:asciiTheme="minorHAnsi" w:hAnsiTheme="minorHAnsi" w:cstheme="minorHAnsi"/>
        </w:rPr>
        <w:t>ę</w:t>
      </w:r>
      <w:r w:rsidRPr="00280EDA">
        <w:rPr>
          <w:rFonts w:asciiTheme="minorHAnsi" w:hAnsiTheme="minorHAnsi" w:cstheme="minorHAnsi"/>
        </w:rPr>
        <w:t xml:space="preserve"> prawną do jej podjęcia stanowią przepisy </w:t>
      </w:r>
      <w:r>
        <w:rPr>
          <w:rFonts w:asciiTheme="minorHAnsi" w:hAnsiTheme="minorHAnsi" w:cstheme="minorHAnsi"/>
        </w:rPr>
        <w:br/>
      </w:r>
      <w:r w:rsidRPr="00280EDA"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40</w:t>
      </w:r>
      <w:r w:rsidRPr="00280EDA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 xml:space="preserve">2 pkt 4  </w:t>
      </w:r>
      <w:r w:rsidRPr="00280ED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art. 41</w:t>
      </w:r>
      <w:r w:rsidRPr="00280EDA">
        <w:rPr>
          <w:rFonts w:asciiTheme="minorHAnsi" w:hAnsiTheme="minorHAnsi" w:cstheme="minorHAnsi"/>
        </w:rPr>
        <w:t xml:space="preserve"> ust. </w:t>
      </w:r>
      <w:r>
        <w:rPr>
          <w:rFonts w:asciiTheme="minorHAnsi" w:hAnsiTheme="minorHAnsi" w:cstheme="minorHAnsi"/>
        </w:rPr>
        <w:t>1</w:t>
      </w:r>
      <w:r w:rsidRPr="00280EDA">
        <w:rPr>
          <w:rFonts w:asciiTheme="minorHAnsi" w:hAnsiTheme="minorHAnsi" w:cstheme="minorHAnsi"/>
        </w:rPr>
        <w:t xml:space="preserve"> ustawy o samorządzie gminnym.</w:t>
      </w:r>
    </w:p>
    <w:p w:rsidR="008211E5" w:rsidRDefault="00D004C2" w:rsidP="00280ED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280EDA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 xml:space="preserve">9 i </w:t>
      </w:r>
      <w:r w:rsidRPr="00280EDA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10 załącznika do inkry</w:t>
      </w:r>
      <w:r>
        <w:rPr>
          <w:rFonts w:asciiTheme="minorHAnsi" w:hAnsiTheme="minorHAnsi" w:cstheme="minorHAnsi"/>
        </w:rPr>
        <w:t>minowanej uchwały zawarto następujące przepisy:</w:t>
      </w:r>
    </w:p>
    <w:p w:rsidR="005931CF" w:rsidRPr="00377D38" w:rsidRDefault="00D004C2" w:rsidP="008F55B4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„</w:t>
      </w:r>
      <w:r w:rsidRPr="00377D38">
        <w:rPr>
          <w:rFonts w:asciiTheme="minorHAnsi" w:hAnsiTheme="minorHAnsi" w:cstheme="minorHAnsi"/>
          <w:i/>
        </w:rPr>
        <w:t>§ 9. Za bezpieczeństwo i porządek podczas imprezy odbywającej się w obiekcie odpowiada jej organizator.</w:t>
      </w:r>
    </w:p>
    <w:p w:rsidR="004639B3" w:rsidRDefault="00D004C2" w:rsidP="008F55B4">
      <w:pPr>
        <w:spacing w:line="360" w:lineRule="auto"/>
        <w:jc w:val="both"/>
        <w:rPr>
          <w:rFonts w:asciiTheme="minorHAnsi" w:hAnsiTheme="minorHAnsi" w:cstheme="minorHAnsi"/>
        </w:rPr>
      </w:pPr>
      <w:r w:rsidRPr="00377D38">
        <w:rPr>
          <w:rFonts w:asciiTheme="minorHAnsi" w:hAnsiTheme="minorHAnsi" w:cstheme="minorHAnsi"/>
          <w:i/>
        </w:rPr>
        <w:t xml:space="preserve">§ 10. </w:t>
      </w:r>
      <w:r w:rsidRPr="00377D38">
        <w:rPr>
          <w:rFonts w:asciiTheme="minorHAnsi" w:hAnsiTheme="minorHAnsi" w:cstheme="minorHAnsi"/>
          <w:i/>
        </w:rPr>
        <w:t>Z obiektu mogą korzystać grupy zorganizowane zgodnie z harmonogramem i w obecności trenera, naucz</w:t>
      </w:r>
      <w:r w:rsidRPr="00377D38">
        <w:rPr>
          <w:rFonts w:asciiTheme="minorHAnsi" w:hAnsiTheme="minorHAnsi" w:cstheme="minorHAnsi"/>
          <w:i/>
        </w:rPr>
        <w:t>yciela lub instruktora, który jest odpowiedzialny za właściwe zachowanie się ćwiczących oraz za ich bezpieczeństwo</w:t>
      </w:r>
      <w:r>
        <w:rPr>
          <w:rFonts w:asciiTheme="minorHAnsi" w:hAnsiTheme="minorHAnsi" w:cstheme="minorHAnsi"/>
        </w:rPr>
        <w:t>.”</w:t>
      </w:r>
      <w:r w:rsidRPr="008F55B4">
        <w:rPr>
          <w:rFonts w:asciiTheme="minorHAnsi" w:hAnsiTheme="minorHAnsi" w:cstheme="minorHAnsi"/>
        </w:rPr>
        <w:t>.</w:t>
      </w:r>
    </w:p>
    <w:p w:rsidR="00377D38" w:rsidRPr="004639B3" w:rsidRDefault="00D004C2" w:rsidP="004639B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4639B3">
        <w:rPr>
          <w:rFonts w:asciiTheme="minorHAnsi" w:hAnsiTheme="minorHAnsi" w:cstheme="minorHAnsi"/>
        </w:rPr>
        <w:t xml:space="preserve">Organ nadzoru zobowiązany jest do badania zgodności uchwały ze stanem prawnym obowiązującym w dacie podjęcia przez radę gminy uchwały i w przypadku stwierdzenia </w:t>
      </w:r>
      <w:r w:rsidRPr="004639B3">
        <w:rPr>
          <w:rFonts w:asciiTheme="minorHAnsi" w:hAnsiTheme="minorHAnsi" w:cstheme="minorHAnsi"/>
        </w:rPr>
        <w:lastRenderedPageBreak/>
        <w:t>naruszenia prawa, do podjęcia interwencji, stosownej do posiadanych kompetencji w tym zakresie</w:t>
      </w:r>
      <w:r>
        <w:rPr>
          <w:rFonts w:asciiTheme="minorHAnsi" w:hAnsiTheme="minorHAnsi" w:cstheme="minorHAnsi"/>
        </w:rPr>
        <w:t>.</w:t>
      </w:r>
    </w:p>
    <w:p w:rsidR="005931CF" w:rsidRDefault="00D004C2" w:rsidP="00280ED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Należy zaznaczyć, że ustalone w kwestionowanych przepisach zasady odpowiedzialności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mają charakter odpowiedzialności cywilnej.</w:t>
      </w:r>
    </w:p>
    <w:p w:rsidR="004B5D29" w:rsidRDefault="00D004C2" w:rsidP="00280ED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 art. 427 ustawy z dnia 23 kwietnia 1964 r. Kodeks cywilny (Dz. U. z 2020, poz. 1740, z późn. zm.), k</w:t>
      </w:r>
      <w:r w:rsidRPr="004B5D29">
        <w:rPr>
          <w:rFonts w:asciiTheme="minorHAnsi" w:hAnsiTheme="minorHAnsi" w:cstheme="minorHAnsi"/>
        </w:rPr>
        <w:t xml:space="preserve">to z mocy ustawy </w:t>
      </w:r>
      <w:r w:rsidRPr="004B5D29">
        <w:rPr>
          <w:rFonts w:asciiTheme="minorHAnsi" w:hAnsiTheme="minorHAnsi" w:cstheme="minorHAnsi"/>
        </w:rPr>
        <w:t>lub umowy jest zobowiązany do nadzoru nad osobą, której z powodu wieku albo stanu psychicznego lub cielesnego winy poczytać nie można, ten obowiązany jest do naprawienia szkody wyrządzonej przez tę osobę, chyba że uczynił zadość obowiązkowi nadzoru albo że</w:t>
      </w:r>
      <w:r w:rsidRPr="004B5D29">
        <w:rPr>
          <w:rFonts w:asciiTheme="minorHAnsi" w:hAnsiTheme="minorHAnsi" w:cstheme="minorHAnsi"/>
        </w:rPr>
        <w:t xml:space="preserve"> szkoda byłaby powstała także przy starannym wykonywaniu nadzoru. Przepis ten stosuje się również do osób wykonywających bez obowiązku ustawowego ani umownego stałą pieczę nad osobą, której z powodu wieku albo stanu psychicznego lub cielesnego winy poczyta</w:t>
      </w:r>
      <w:r w:rsidRPr="004B5D29">
        <w:rPr>
          <w:rFonts w:asciiTheme="minorHAnsi" w:hAnsiTheme="minorHAnsi" w:cstheme="minorHAnsi"/>
        </w:rPr>
        <w:t>ć nie można</w:t>
      </w:r>
      <w:r>
        <w:rPr>
          <w:rFonts w:asciiTheme="minorHAnsi" w:hAnsiTheme="minorHAnsi" w:cstheme="minorHAnsi"/>
        </w:rPr>
        <w:t>.</w:t>
      </w:r>
    </w:p>
    <w:p w:rsidR="004B5D29" w:rsidRDefault="00D004C2" w:rsidP="00280ED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podstawie art. 429 tejże ustawy, k</w:t>
      </w:r>
      <w:r w:rsidRPr="004B5D29">
        <w:rPr>
          <w:rFonts w:asciiTheme="minorHAnsi" w:hAnsiTheme="minorHAnsi" w:cstheme="minorHAnsi"/>
        </w:rPr>
        <w:t>to powierza wykonanie czynności drugiemu,</w:t>
      </w:r>
      <w:r>
        <w:rPr>
          <w:rFonts w:asciiTheme="minorHAnsi" w:hAnsiTheme="minorHAnsi" w:cstheme="minorHAnsi"/>
        </w:rPr>
        <w:br/>
      </w:r>
      <w:r w:rsidRPr="004B5D29">
        <w:rPr>
          <w:rFonts w:asciiTheme="minorHAnsi" w:hAnsiTheme="minorHAnsi" w:cstheme="minorHAnsi"/>
        </w:rPr>
        <w:t>ten jest odpowiedzialny za szkodę wyrządzoną przez sprawcę przy wykonywaniu powierzonej mu czynności, chyba że nie ponosi winy w wyborze albo że wykonanie czynności</w:t>
      </w:r>
      <w:r w:rsidRPr="004B5D29">
        <w:rPr>
          <w:rFonts w:asciiTheme="minorHAnsi" w:hAnsiTheme="minorHAnsi" w:cstheme="minorHAnsi"/>
        </w:rPr>
        <w:t xml:space="preserve"> powierzył osobie, przedsiębiorstwu lub zakładowi, które w zakresie swej działalności zawodowej trudnią się wykonywaniem takich czynności</w:t>
      </w:r>
      <w:r>
        <w:rPr>
          <w:rFonts w:asciiTheme="minorHAnsi" w:hAnsiTheme="minorHAnsi" w:cstheme="minorHAnsi"/>
        </w:rPr>
        <w:t>.</w:t>
      </w:r>
    </w:p>
    <w:p w:rsidR="00F52D53" w:rsidRDefault="00D004C2" w:rsidP="00280ED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 wynika z powyższego, źródłem zobowiązania do nadzoru nad określoną osobą może być umowa lub akt rangi ustawowej. </w:t>
      </w:r>
      <w:r>
        <w:rPr>
          <w:rFonts w:asciiTheme="minorHAnsi" w:hAnsiTheme="minorHAnsi" w:cstheme="minorHAnsi"/>
        </w:rPr>
        <w:t xml:space="preserve">Natomiast, w przypadku powierzenia wykonania czynności drugiej osobie, źródłem powstania odpowiedzialności odszkodowawczej lub jej wyłączenia jest wskazany powyżej przepis rangi ustawowej. </w:t>
      </w:r>
    </w:p>
    <w:p w:rsidR="00F52D53" w:rsidRDefault="00D004C2" w:rsidP="00280ED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Wprowadzając do aktu prawa miejscowego przepisy dotyczące odpowied</w:t>
      </w:r>
      <w:r>
        <w:rPr>
          <w:rFonts w:asciiTheme="minorHAnsi" w:hAnsiTheme="minorHAnsi" w:cstheme="minorHAnsi"/>
        </w:rPr>
        <w:t>zialności cywilnej, Rada Miejska w sposób istotny naruszyła przytoczone powyżej przepisy prawa rangi ustawowej.</w:t>
      </w:r>
    </w:p>
    <w:p w:rsidR="008E0CBB" w:rsidRDefault="00D004C2" w:rsidP="00280EDA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280EDA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 xml:space="preserve"> 15 pkt 1 i pkt 8</w:t>
      </w:r>
      <w:r>
        <w:rPr>
          <w:rFonts w:asciiTheme="minorHAnsi" w:hAnsiTheme="minorHAnsi" w:cstheme="minorHAnsi"/>
        </w:rPr>
        <w:t xml:space="preserve"> Regulaminu </w:t>
      </w:r>
      <w:r>
        <w:rPr>
          <w:rFonts w:asciiTheme="minorHAnsi" w:hAnsiTheme="minorHAnsi" w:cstheme="minorHAnsi"/>
        </w:rPr>
        <w:t xml:space="preserve">wprowadzono </w:t>
      </w:r>
      <w:r>
        <w:rPr>
          <w:rFonts w:asciiTheme="minorHAnsi" w:hAnsiTheme="minorHAnsi" w:cstheme="minorHAnsi"/>
        </w:rPr>
        <w:t xml:space="preserve">odpowiednio </w:t>
      </w:r>
      <w:r>
        <w:rPr>
          <w:rFonts w:asciiTheme="minorHAnsi" w:hAnsiTheme="minorHAnsi" w:cstheme="minorHAnsi"/>
        </w:rPr>
        <w:t>następujące przepisy:</w:t>
      </w:r>
    </w:p>
    <w:p w:rsidR="002E6844" w:rsidRPr="002E6844" w:rsidRDefault="00D004C2" w:rsidP="00FB6573">
      <w:pPr>
        <w:pStyle w:val="Default"/>
        <w:spacing w:line="360" w:lineRule="auto"/>
        <w:rPr>
          <w:rFonts w:ascii="Calibri" w:hAnsi="Calibri" w:cs="Calibri"/>
          <w:i/>
        </w:rPr>
      </w:pPr>
      <w:r>
        <w:rPr>
          <w:rFonts w:asciiTheme="minorHAnsi" w:hAnsiTheme="minorHAnsi" w:cstheme="minorHAnsi"/>
        </w:rPr>
        <w:t>„</w:t>
      </w:r>
      <w:r w:rsidRPr="002E6844">
        <w:rPr>
          <w:rFonts w:asciiTheme="minorHAnsi" w:hAnsiTheme="minorHAnsi" w:cstheme="minorHAnsi"/>
          <w:i/>
        </w:rPr>
        <w:t xml:space="preserve">§ 15. </w:t>
      </w:r>
      <w:r w:rsidRPr="002E6844">
        <w:rPr>
          <w:rFonts w:ascii="Calibri" w:hAnsi="Calibri" w:cs="Calibri"/>
          <w:i/>
        </w:rPr>
        <w:t>Na terenie obiektu zabrania się:</w:t>
      </w:r>
      <w:r w:rsidRPr="002E6844">
        <w:rPr>
          <w:rFonts w:ascii="Calibri" w:hAnsi="Calibri" w:cs="Calibri"/>
          <w:i/>
        </w:rPr>
        <w:t xml:space="preserve"> </w:t>
      </w:r>
    </w:p>
    <w:p w:rsidR="002E6844" w:rsidRPr="002E6844" w:rsidRDefault="00D004C2" w:rsidP="00FB6573">
      <w:pPr>
        <w:pStyle w:val="Default"/>
        <w:numPr>
          <w:ilvl w:val="0"/>
          <w:numId w:val="1"/>
        </w:numPr>
        <w:spacing w:line="360" w:lineRule="auto"/>
        <w:rPr>
          <w:rFonts w:ascii="Calibri" w:hAnsi="Calibri" w:cs="Calibri"/>
          <w:i/>
        </w:rPr>
      </w:pPr>
      <w:r w:rsidRPr="002E6844">
        <w:rPr>
          <w:rFonts w:ascii="Calibri" w:hAnsi="Calibri" w:cs="Calibri"/>
          <w:i/>
        </w:rPr>
        <w:t xml:space="preserve">korzystania ze środków odurzających;  </w:t>
      </w:r>
    </w:p>
    <w:p w:rsidR="004526C3" w:rsidRDefault="00D004C2" w:rsidP="00FB6573">
      <w:pPr>
        <w:pStyle w:val="Defaul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E6844">
        <w:rPr>
          <w:rFonts w:ascii="Calibri" w:hAnsi="Calibri" w:cs="Calibri"/>
          <w:i/>
        </w:rPr>
        <w:t>wprowadzania zwierząt podczas treningów lub zawodów sportowych</w:t>
      </w:r>
      <w:r w:rsidRPr="002E6844">
        <w:rPr>
          <w:rFonts w:ascii="Calibri" w:hAnsi="Calibri" w:cs="Calibri"/>
          <w:i/>
        </w:rPr>
        <w:t>.</w:t>
      </w:r>
      <w:r>
        <w:rPr>
          <w:rFonts w:ascii="Calibri" w:hAnsi="Calibri" w:cs="Calibri"/>
        </w:rPr>
        <w:t>”</w:t>
      </w:r>
      <w:r w:rsidRPr="00FD3EAE">
        <w:rPr>
          <w:rFonts w:ascii="Calibri" w:hAnsi="Calibri" w:cs="Calibri"/>
        </w:rPr>
        <w:t xml:space="preserve">. </w:t>
      </w:r>
    </w:p>
    <w:p w:rsidR="008B2FF3" w:rsidRPr="008B2FF3" w:rsidRDefault="00D004C2" w:rsidP="008B2FF3">
      <w:pPr>
        <w:pStyle w:val="Default"/>
        <w:rPr>
          <w:rFonts w:ascii="Calibri" w:hAnsi="Calibri" w:cs="Calibri"/>
        </w:rPr>
      </w:pPr>
    </w:p>
    <w:p w:rsidR="008B2FF3" w:rsidRDefault="00D004C2" w:rsidP="004526C3">
      <w:pPr>
        <w:pStyle w:val="Teksttreci21"/>
        <w:shd w:val="clear" w:color="auto" w:fill="auto"/>
        <w:spacing w:before="0" w:after="0" w:line="360" w:lineRule="auto"/>
        <w:ind w:firstLine="740"/>
        <w:rPr>
          <w:rStyle w:val="Teksttreci2"/>
          <w:rFonts w:asciiTheme="minorHAnsi" w:hAnsiTheme="minorHAnsi" w:cstheme="minorHAnsi"/>
          <w:color w:val="000000"/>
        </w:rPr>
      </w:pPr>
      <w:r w:rsidRPr="008B2FF3">
        <w:rPr>
          <w:rStyle w:val="Teksttreci2"/>
          <w:rFonts w:asciiTheme="minorHAnsi" w:hAnsiTheme="minorHAnsi" w:cstheme="minorHAnsi"/>
          <w:color w:val="000000"/>
        </w:rPr>
        <w:t>Kwestia używania środków odurzających normowana jest w art. 33 ustawy z dnia</w:t>
      </w:r>
      <w:r>
        <w:rPr>
          <w:rStyle w:val="Teksttreci2"/>
          <w:rFonts w:asciiTheme="minorHAnsi" w:hAnsiTheme="minorHAnsi" w:cstheme="minorHAnsi"/>
          <w:color w:val="000000"/>
        </w:rPr>
        <w:br/>
      </w:r>
      <w:r w:rsidRPr="008B2FF3">
        <w:rPr>
          <w:rStyle w:val="Teksttreci2"/>
          <w:rFonts w:asciiTheme="minorHAnsi" w:hAnsiTheme="minorHAnsi" w:cstheme="minorHAnsi"/>
          <w:color w:val="000000"/>
        </w:rPr>
        <w:t>29 lipca 2005 r. o przeciwdziałaniu narkomanii (Dz. U. z 2020 r. poz. 20</w:t>
      </w:r>
      <w:r w:rsidRPr="008B2FF3">
        <w:rPr>
          <w:rStyle w:val="Teksttreci2"/>
          <w:rFonts w:asciiTheme="minorHAnsi" w:hAnsiTheme="minorHAnsi" w:cstheme="minorHAnsi"/>
          <w:color w:val="000000"/>
        </w:rPr>
        <w:t>50). Zgodnie z tym przepisem środki odurzające grup I-N i II-N oraz substancje psychotropowe grup II-P, III-P i IV-</w:t>
      </w:r>
      <w:r w:rsidRPr="008B2FF3">
        <w:rPr>
          <w:rStyle w:val="Teksttreci2"/>
          <w:rFonts w:asciiTheme="minorHAnsi" w:hAnsiTheme="minorHAnsi" w:cstheme="minorHAnsi"/>
          <w:color w:val="000000"/>
        </w:rPr>
        <w:lastRenderedPageBreak/>
        <w:t xml:space="preserve">P mogą być używane wyłącznie w celach medycznych, przemysłowych lub prowadzenia badań. </w:t>
      </w:r>
    </w:p>
    <w:p w:rsidR="004526C3" w:rsidRPr="008B2FF3" w:rsidRDefault="00D004C2" w:rsidP="004526C3">
      <w:pPr>
        <w:pStyle w:val="Teksttreci21"/>
        <w:shd w:val="clear" w:color="auto" w:fill="auto"/>
        <w:spacing w:before="0" w:after="0" w:line="360" w:lineRule="auto"/>
        <w:ind w:firstLine="740"/>
        <w:rPr>
          <w:rStyle w:val="Teksttreci2"/>
          <w:rFonts w:asciiTheme="minorHAnsi" w:hAnsiTheme="minorHAnsi" w:cstheme="minorHAnsi"/>
          <w:color w:val="000000"/>
        </w:rPr>
      </w:pPr>
      <w:r w:rsidRPr="008B2FF3">
        <w:rPr>
          <w:rStyle w:val="Teksttreci2"/>
          <w:rFonts w:asciiTheme="minorHAnsi" w:hAnsiTheme="minorHAnsi" w:cstheme="minorHAnsi"/>
          <w:color w:val="000000"/>
        </w:rPr>
        <w:t>Substancje psychotropowe grupy I-P mogą być używane w</w:t>
      </w:r>
      <w:r w:rsidRPr="008B2FF3">
        <w:rPr>
          <w:rStyle w:val="Teksttreci2"/>
          <w:rFonts w:asciiTheme="minorHAnsi" w:hAnsiTheme="minorHAnsi" w:cstheme="minorHAnsi"/>
          <w:color w:val="000000"/>
        </w:rPr>
        <w:t>yłącznie w celu prowadzenia badań, a środki odurzające grupy IV-N wyłącznie w celu prowadzenia badań oraz w lecznictwie zwierząt -</w:t>
      </w:r>
      <w:r w:rsidRPr="008B2FF3">
        <w:rPr>
          <w:rStyle w:val="Teksttreci2"/>
          <w:rFonts w:asciiTheme="minorHAnsi" w:hAnsiTheme="minorHAnsi" w:cstheme="minorHAnsi"/>
          <w:color w:val="000000"/>
        </w:rPr>
        <w:t xml:space="preserve"> </w:t>
      </w:r>
      <w:r w:rsidRPr="008B2FF3">
        <w:rPr>
          <w:rStyle w:val="Teksttreci2"/>
          <w:rFonts w:asciiTheme="minorHAnsi" w:hAnsiTheme="minorHAnsi" w:cstheme="minorHAnsi"/>
          <w:color w:val="000000"/>
        </w:rPr>
        <w:t>w zakresie wskazanym w przepisach wydanych na podstawie art. 44f.</w:t>
      </w:r>
    </w:p>
    <w:p w:rsidR="004526C3" w:rsidRPr="008B2FF3" w:rsidRDefault="00D004C2" w:rsidP="004526C3">
      <w:pPr>
        <w:pStyle w:val="Teksttreci21"/>
        <w:shd w:val="clear" w:color="auto" w:fill="auto"/>
        <w:spacing w:before="0" w:after="0" w:line="360" w:lineRule="auto"/>
        <w:ind w:firstLine="740"/>
        <w:rPr>
          <w:rFonts w:asciiTheme="minorHAnsi" w:hAnsiTheme="minorHAnsi" w:cstheme="minorHAnsi"/>
        </w:rPr>
      </w:pPr>
      <w:r w:rsidRPr="008B2FF3">
        <w:rPr>
          <w:rFonts w:asciiTheme="minorHAnsi" w:hAnsiTheme="minorHAnsi" w:cstheme="minorHAnsi"/>
        </w:rPr>
        <w:t>Zgodnie z art. 33a tej ustawy, ziele konopi innych niż włók</w:t>
      </w:r>
      <w:r w:rsidRPr="008B2FF3">
        <w:rPr>
          <w:rFonts w:asciiTheme="minorHAnsi" w:hAnsiTheme="minorHAnsi" w:cstheme="minorHAnsi"/>
        </w:rPr>
        <w:t>niste oraz wyciągi, nalewki farmaceutyczne, a także wszystkie inne wyciągi z konopi innych niż włókniste oraz żywica konopi innych niż włókniste, o których mowa w przepisach wydanych na podstawie art. 44f, mogą stanowić surowiec farmaceutyczny, o którym mo</w:t>
      </w:r>
      <w:r w:rsidRPr="008B2FF3">
        <w:rPr>
          <w:rFonts w:asciiTheme="minorHAnsi" w:hAnsiTheme="minorHAnsi" w:cstheme="minorHAnsi"/>
        </w:rPr>
        <w:t>wa w art. 2 pkt 40 ustawy z dnia</w:t>
      </w:r>
      <w:r>
        <w:rPr>
          <w:rFonts w:asciiTheme="minorHAnsi" w:hAnsiTheme="minorHAnsi" w:cstheme="minorHAnsi"/>
        </w:rPr>
        <w:br/>
      </w:r>
      <w:r w:rsidRPr="008B2FF3">
        <w:rPr>
          <w:rFonts w:asciiTheme="minorHAnsi" w:hAnsiTheme="minorHAnsi" w:cstheme="minorHAnsi"/>
        </w:rPr>
        <w:t>6 września 2001r. - Prawo farmaceutyczne (Dz. U. z 2021 r. poz. 1977), przeznaczony</w:t>
      </w:r>
      <w:r>
        <w:rPr>
          <w:rFonts w:asciiTheme="minorHAnsi" w:hAnsiTheme="minorHAnsi" w:cstheme="minorHAnsi"/>
        </w:rPr>
        <w:br/>
      </w:r>
      <w:r w:rsidRPr="008B2FF3">
        <w:rPr>
          <w:rFonts w:asciiTheme="minorHAnsi" w:hAnsiTheme="minorHAnsi" w:cstheme="minorHAnsi"/>
        </w:rPr>
        <w:t xml:space="preserve">do sporządzania leków recepturowych, o których mowa w art. 3 ust. 4 pkt 1 ustawy - Prawo farmaceutyczne, po uzyskaniu pozwolenia na </w:t>
      </w:r>
      <w:r w:rsidRPr="008B2FF3">
        <w:rPr>
          <w:rFonts w:asciiTheme="minorHAnsi" w:hAnsiTheme="minorHAnsi" w:cstheme="minorHAnsi"/>
        </w:rPr>
        <w:t>dopuszczenie do obrotu wydanego przez Prezesa Urzędu Rejestracji Produktów Leczniczych, Wyrobów Medycznych i Produktów Biobójczych, zwanego dalej "Prezesem Urzędu".</w:t>
      </w:r>
    </w:p>
    <w:p w:rsidR="004526C3" w:rsidRPr="008B2FF3" w:rsidRDefault="00D004C2" w:rsidP="004526C3">
      <w:pPr>
        <w:pStyle w:val="Teksttreci21"/>
        <w:shd w:val="clear" w:color="auto" w:fill="auto"/>
        <w:spacing w:before="0" w:after="0" w:line="360" w:lineRule="auto"/>
        <w:ind w:firstLine="709"/>
        <w:rPr>
          <w:rFonts w:asciiTheme="minorHAnsi" w:hAnsiTheme="minorHAnsi" w:cstheme="minorHAnsi"/>
        </w:rPr>
      </w:pPr>
      <w:r w:rsidRPr="008B2FF3">
        <w:rPr>
          <w:rFonts w:asciiTheme="minorHAnsi" w:hAnsiTheme="minorHAnsi" w:cstheme="minorHAnsi"/>
        </w:rPr>
        <w:t>Wydanie albo odmowa wydania pozwolenia, o którym mowa powyżej, zmiana danych stanowiących p</w:t>
      </w:r>
      <w:r w:rsidRPr="008B2FF3">
        <w:rPr>
          <w:rFonts w:asciiTheme="minorHAnsi" w:hAnsiTheme="minorHAnsi" w:cstheme="minorHAnsi"/>
        </w:rPr>
        <w:t xml:space="preserve">odstawę wydania tego pozwolenia albo zmiana w dokumentacji będącej podstawą jego wydania, przedłużenie terminu jego ważności, odmowa przedłużenia terminu jego ważności, skrócenie terminu jego ważności oraz jego cofnięcie następuje w drodze decyzji Prezesa </w:t>
      </w:r>
      <w:r w:rsidRPr="008B2FF3">
        <w:rPr>
          <w:rFonts w:asciiTheme="minorHAnsi" w:hAnsiTheme="minorHAnsi" w:cstheme="minorHAnsi"/>
        </w:rPr>
        <w:t>Urzędu.</w:t>
      </w:r>
    </w:p>
    <w:p w:rsidR="004526C3" w:rsidRPr="00BD2620" w:rsidRDefault="00D004C2" w:rsidP="004526C3">
      <w:pPr>
        <w:pStyle w:val="Teksttreci21"/>
        <w:shd w:val="clear" w:color="auto" w:fill="auto"/>
        <w:spacing w:before="0" w:after="0" w:line="360" w:lineRule="auto"/>
        <w:ind w:firstLine="740"/>
        <w:rPr>
          <w:rStyle w:val="Teksttreci2"/>
          <w:rFonts w:asciiTheme="minorHAnsi" w:hAnsiTheme="minorHAnsi" w:cstheme="minorHAnsi"/>
          <w:color w:val="000000"/>
        </w:rPr>
      </w:pPr>
      <w:r w:rsidRPr="008B2FF3">
        <w:rPr>
          <w:rStyle w:val="Teksttreci2"/>
          <w:rFonts w:asciiTheme="minorHAnsi" w:hAnsiTheme="minorHAnsi" w:cstheme="minorHAnsi"/>
          <w:color w:val="000000"/>
        </w:rPr>
        <w:t>W związku z tym, brak delegacji do regulowania kwestii używania środków odurzających i wprowadzania takiego zakazu w uchwale.</w:t>
      </w:r>
    </w:p>
    <w:p w:rsidR="00EE3A10" w:rsidRDefault="00D004C2" w:rsidP="00BD2620">
      <w:pPr>
        <w:pStyle w:val="Teksttreci21"/>
        <w:shd w:val="clear" w:color="auto" w:fill="auto"/>
        <w:spacing w:before="0" w:after="0" w:line="360" w:lineRule="auto"/>
        <w:ind w:firstLine="743"/>
        <w:rPr>
          <w:rFonts w:asciiTheme="minorHAnsi" w:hAnsiTheme="minorHAnsi" w:cstheme="minorHAnsi"/>
        </w:rPr>
      </w:pPr>
      <w:r w:rsidRPr="00BD2620">
        <w:rPr>
          <w:rFonts w:asciiTheme="minorHAnsi" w:hAnsiTheme="minorHAnsi" w:cstheme="minorHAnsi"/>
        </w:rPr>
        <w:t>Odnosząc się do zakazu wprowadzania zwierząt na określony teren, wskazuję że jest</w:t>
      </w:r>
      <w:r w:rsidRPr="00BD2620">
        <w:rPr>
          <w:rFonts w:asciiTheme="minorHAnsi" w:hAnsiTheme="minorHAnsi" w:cstheme="minorHAnsi"/>
        </w:rPr>
        <w:br/>
        <w:t>on pozbawiony podstaw prawnych.</w:t>
      </w:r>
    </w:p>
    <w:p w:rsidR="00EE3A10" w:rsidRDefault="00D004C2" w:rsidP="007E6A4B">
      <w:pPr>
        <w:pStyle w:val="Teksttreci21"/>
        <w:shd w:val="clear" w:color="auto" w:fill="auto"/>
        <w:spacing w:before="0" w:after="0" w:line="360" w:lineRule="auto"/>
        <w:ind w:firstLine="7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Przede w</w:t>
      </w:r>
      <w:r>
        <w:rPr>
          <w:rFonts w:asciiTheme="minorHAnsi" w:hAnsiTheme="minorHAnsi" w:cstheme="minorHAnsi"/>
        </w:rPr>
        <w:t>szystkim, wskazać należy że zgodnie z art. 4 ust. 2 pkt 6 ustawy z dnia</w:t>
      </w:r>
      <w:r>
        <w:rPr>
          <w:rFonts w:asciiTheme="minorHAnsi" w:hAnsiTheme="minorHAnsi" w:cstheme="minorHAnsi"/>
        </w:rPr>
        <w:br/>
        <w:t xml:space="preserve">13 września 1996 r. o utrzymaniu czystości i porządku w gminach (Dz. U. z 2021 r. poz. 888, </w:t>
      </w:r>
      <w:r>
        <w:rPr>
          <w:rFonts w:asciiTheme="minorHAnsi" w:hAnsiTheme="minorHAnsi" w:cstheme="minorHAnsi"/>
        </w:rPr>
        <w:br/>
        <w:t xml:space="preserve">z późn. zm.) </w:t>
      </w:r>
      <w:r>
        <w:rPr>
          <w:rFonts w:asciiTheme="minorHAnsi" w:hAnsiTheme="minorHAnsi" w:cstheme="minorHAnsi"/>
        </w:rPr>
        <w:t>rada gminy zobowiązana jest do określenia</w:t>
      </w:r>
      <w:r>
        <w:rPr>
          <w:rFonts w:asciiTheme="minorHAnsi" w:hAnsiTheme="minorHAnsi" w:cstheme="minorHAnsi"/>
        </w:rPr>
        <w:t xml:space="preserve"> </w:t>
      </w:r>
      <w:r w:rsidRPr="00EE3A10">
        <w:rPr>
          <w:rFonts w:asciiTheme="minorHAnsi" w:hAnsiTheme="minorHAnsi" w:cstheme="minorHAnsi"/>
        </w:rPr>
        <w:t>obowiązków osób utrzymujących zwierz</w:t>
      </w:r>
      <w:r w:rsidRPr="00EE3A10">
        <w:rPr>
          <w:rFonts w:asciiTheme="minorHAnsi" w:hAnsiTheme="minorHAnsi" w:cstheme="minorHAnsi"/>
        </w:rPr>
        <w:t>ęta domowe, mających na celu ochronę przed zagrożeniem lub uciążliwością dla ludzi oraz przed zanieczyszczeniem terenów przeznaczonych do wspólnego użytku</w:t>
      </w:r>
      <w:r>
        <w:rPr>
          <w:rFonts w:asciiTheme="minorHAnsi" w:hAnsiTheme="minorHAnsi" w:cstheme="minorHAnsi"/>
        </w:rPr>
        <w:t>.</w:t>
      </w:r>
    </w:p>
    <w:p w:rsidR="007E6A4B" w:rsidRDefault="00D004C2" w:rsidP="007E6A4B">
      <w:pPr>
        <w:pStyle w:val="Teksttreci21"/>
        <w:shd w:val="clear" w:color="auto" w:fill="auto"/>
        <w:spacing w:before="0" w:after="0" w:line="360" w:lineRule="auto"/>
        <w:ind w:firstLine="7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Wskazana powyżej materia dotyczy regulaminu utrzymania czystości i porządku</w:t>
      </w:r>
      <w:r>
        <w:rPr>
          <w:rFonts w:asciiTheme="minorHAnsi" w:hAnsiTheme="minorHAnsi" w:cstheme="minorHAnsi"/>
        </w:rPr>
        <w:br/>
        <w:t xml:space="preserve">w gminach. </w:t>
      </w:r>
    </w:p>
    <w:p w:rsidR="00EE3A10" w:rsidRDefault="00D004C2" w:rsidP="00BD2620">
      <w:pPr>
        <w:pStyle w:val="Teksttreci21"/>
        <w:shd w:val="clear" w:color="auto" w:fill="auto"/>
        <w:spacing w:before="0" w:after="0" w:line="360" w:lineRule="auto"/>
        <w:ind w:firstLine="7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Regulacje w </w:t>
      </w:r>
      <w:r>
        <w:rPr>
          <w:rFonts w:asciiTheme="minorHAnsi" w:hAnsiTheme="minorHAnsi" w:cstheme="minorHAnsi"/>
        </w:rPr>
        <w:t>przedmiocie obowiązków osób utrzymujących zwierzęta domowe,</w:t>
      </w:r>
      <w:r>
        <w:rPr>
          <w:rFonts w:asciiTheme="minorHAnsi" w:hAnsiTheme="minorHAnsi" w:cstheme="minorHAnsi"/>
        </w:rPr>
        <w:br/>
        <w:t>nie powinny być przedmiotem</w:t>
      </w:r>
      <w:r>
        <w:rPr>
          <w:rFonts w:asciiTheme="minorHAnsi" w:hAnsiTheme="minorHAnsi" w:cstheme="minorHAnsi"/>
        </w:rPr>
        <w:t xml:space="preserve"> zasad</w:t>
      </w:r>
      <w:r>
        <w:rPr>
          <w:rFonts w:asciiTheme="minorHAnsi" w:hAnsiTheme="minorHAnsi" w:cstheme="minorHAnsi"/>
        </w:rPr>
        <w:t xml:space="preserve"> korzystania z infrastruktury gminnej.</w:t>
      </w:r>
    </w:p>
    <w:p w:rsidR="007E6A4B" w:rsidRDefault="00D004C2" w:rsidP="00BD2620">
      <w:pPr>
        <w:pStyle w:val="Teksttreci21"/>
        <w:shd w:val="clear" w:color="auto" w:fill="auto"/>
        <w:spacing w:before="0" w:after="0" w:line="360" w:lineRule="auto"/>
        <w:ind w:firstLine="7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Niezależnie od powyższego,</w:t>
      </w:r>
      <w:r>
        <w:rPr>
          <w:rFonts w:asciiTheme="minorHAnsi" w:hAnsiTheme="minorHAnsi" w:cstheme="minorHAnsi"/>
        </w:rPr>
        <w:t xml:space="preserve"> zakaz</w:t>
      </w:r>
      <w:r>
        <w:rPr>
          <w:rFonts w:asciiTheme="minorHAnsi" w:hAnsiTheme="minorHAnsi" w:cstheme="minorHAnsi"/>
        </w:rPr>
        <w:t xml:space="preserve"> jest sformułowany w sposób zbyt daleko idący.</w:t>
      </w:r>
    </w:p>
    <w:p w:rsidR="00BD2620" w:rsidRPr="00BD2620" w:rsidRDefault="00D004C2" w:rsidP="00BD2620">
      <w:pPr>
        <w:pStyle w:val="Teksttreci21"/>
        <w:shd w:val="clear" w:color="auto" w:fill="auto"/>
        <w:spacing w:before="0" w:after="0" w:line="360" w:lineRule="auto"/>
        <w:ind w:firstLine="743"/>
        <w:rPr>
          <w:rFonts w:asciiTheme="minorHAnsi" w:hAnsiTheme="minorHAnsi" w:cstheme="minorHAnsi"/>
        </w:rPr>
      </w:pPr>
      <w:r w:rsidRPr="00BD2620">
        <w:rPr>
          <w:rFonts w:asciiTheme="minorHAnsi" w:hAnsiTheme="minorHAnsi" w:cstheme="minorHAnsi"/>
        </w:rPr>
        <w:lastRenderedPageBreak/>
        <w:t xml:space="preserve"> Zgodnie ze stanowiskiem wyrażonym w orzeczni</w:t>
      </w:r>
      <w:r w:rsidRPr="00BD2620">
        <w:rPr>
          <w:rFonts w:asciiTheme="minorHAnsi" w:hAnsiTheme="minorHAnsi" w:cstheme="minorHAnsi"/>
        </w:rPr>
        <w:t xml:space="preserve">ctwie </w:t>
      </w:r>
      <w:r w:rsidRPr="00BD2620">
        <w:rPr>
          <w:rFonts w:asciiTheme="minorHAnsi" w:hAnsiTheme="minorHAnsi" w:cstheme="minorHAnsi"/>
        </w:rPr>
        <w:t>sądowym</w:t>
      </w:r>
      <w:r w:rsidRPr="00BD2620">
        <w:rPr>
          <w:rFonts w:asciiTheme="minorHAnsi" w:hAnsiTheme="minorHAnsi" w:cstheme="minorHAnsi"/>
        </w:rPr>
        <w:t xml:space="preserve">: </w:t>
      </w:r>
    </w:p>
    <w:p w:rsidR="00BD2620" w:rsidRPr="00BD2620" w:rsidRDefault="00D004C2" w:rsidP="00BD2620">
      <w:pPr>
        <w:pStyle w:val="Teksttreci21"/>
        <w:shd w:val="clear" w:color="auto" w:fill="auto"/>
        <w:spacing w:before="0" w:after="0" w:line="360" w:lineRule="auto"/>
        <w:ind w:firstLine="743"/>
        <w:rPr>
          <w:rFonts w:asciiTheme="minorHAnsi" w:hAnsiTheme="minorHAnsi" w:cstheme="minorHAnsi"/>
        </w:rPr>
      </w:pPr>
      <w:r w:rsidRPr="00BD2620">
        <w:rPr>
          <w:rFonts w:asciiTheme="minorHAnsi" w:hAnsiTheme="minorHAnsi" w:cstheme="minorHAnsi"/>
        </w:rPr>
        <w:t>„</w:t>
      </w:r>
      <w:r w:rsidRPr="00BD2620">
        <w:rPr>
          <w:rFonts w:asciiTheme="minorHAnsi" w:hAnsiTheme="minorHAnsi" w:cstheme="minorHAnsi"/>
          <w:i/>
        </w:rPr>
        <w:t>W ocenie Sądu przyjęcie całkowitego zakazu wprowadzania zwierząt domowych</w:t>
      </w:r>
      <w:r>
        <w:rPr>
          <w:rFonts w:asciiTheme="minorHAnsi" w:hAnsiTheme="minorHAnsi" w:cstheme="minorHAnsi"/>
          <w:i/>
        </w:rPr>
        <w:br/>
      </w:r>
      <w:r w:rsidRPr="00BD2620">
        <w:rPr>
          <w:rFonts w:asciiTheme="minorHAnsi" w:hAnsiTheme="minorHAnsi" w:cstheme="minorHAnsi"/>
          <w:i/>
        </w:rPr>
        <w:t>do "obiektów użyteczności publicznej" oraz "na tereny placów gier i zabaw, piaskownic</w:t>
      </w:r>
      <w:r>
        <w:rPr>
          <w:rFonts w:asciiTheme="minorHAnsi" w:hAnsiTheme="minorHAnsi" w:cstheme="minorHAnsi"/>
          <w:i/>
        </w:rPr>
        <w:br/>
      </w:r>
      <w:r w:rsidRPr="00BD2620">
        <w:rPr>
          <w:rFonts w:asciiTheme="minorHAnsi" w:hAnsiTheme="minorHAnsi" w:cstheme="minorHAnsi"/>
          <w:i/>
        </w:rPr>
        <w:t xml:space="preserve">dla dzieci, kąpielisk i miejsc wykorzystywanych do kąpieli oraz na tereny </w:t>
      </w:r>
      <w:r w:rsidRPr="00BD2620">
        <w:rPr>
          <w:rFonts w:asciiTheme="minorHAnsi" w:hAnsiTheme="minorHAnsi" w:cstheme="minorHAnsi"/>
          <w:i/>
        </w:rPr>
        <w:t>objęte zakazem</w:t>
      </w:r>
      <w:r>
        <w:rPr>
          <w:rFonts w:asciiTheme="minorHAnsi" w:hAnsiTheme="minorHAnsi" w:cstheme="minorHAnsi"/>
          <w:i/>
        </w:rPr>
        <w:br/>
      </w:r>
      <w:r w:rsidRPr="00BD2620">
        <w:rPr>
          <w:rFonts w:asciiTheme="minorHAnsi" w:hAnsiTheme="minorHAnsi" w:cstheme="minorHAnsi"/>
          <w:i/>
        </w:rPr>
        <w:t>na podstawie odrębnych uchwał Rady Miejskiej w Wołowie" stanowi naruszenie kompetencji przyznanej w powołanym przepisie ustawy. Rozumienie zacytowanego przepisu ustawowego powinno być bowiem takie, że na jego podstawie rada może nakładać kon</w:t>
      </w:r>
      <w:r w:rsidRPr="00BD2620">
        <w:rPr>
          <w:rFonts w:asciiTheme="minorHAnsi" w:hAnsiTheme="minorHAnsi" w:cstheme="minorHAnsi"/>
          <w:i/>
        </w:rPr>
        <w:t>kretne obowiązki (nakazy/zakazy) na właścicieli zwierząt domowych, jednak obowiązki te muszą zmierzać</w:t>
      </w:r>
      <w:r>
        <w:rPr>
          <w:rFonts w:asciiTheme="minorHAnsi" w:hAnsiTheme="minorHAnsi" w:cstheme="minorHAnsi"/>
          <w:i/>
        </w:rPr>
        <w:br/>
      </w:r>
      <w:r w:rsidRPr="00BD2620">
        <w:rPr>
          <w:rFonts w:asciiTheme="minorHAnsi" w:hAnsiTheme="minorHAnsi" w:cstheme="minorHAnsi"/>
          <w:i/>
        </w:rPr>
        <w:t>do zapewniania ochrony przed zagrożeniem lub uciążliwością dla ludzi oraz przed zanieczyszczeniem terenów przeznaczonych do wspólnego użytku. W ocenie Sąd</w:t>
      </w:r>
      <w:r w:rsidRPr="00BD2620">
        <w:rPr>
          <w:rFonts w:asciiTheme="minorHAnsi" w:hAnsiTheme="minorHAnsi" w:cstheme="minorHAnsi"/>
          <w:i/>
        </w:rPr>
        <w:t>u, wprowadzenie w regulaminie utrzymania czystości i porządku na terenie gminy zakazu wprowadzania zwierząt na dane tereny jest środkiem nadmiernie ograniczającym swobodę poruszania się i przebywania w określonym miejscu, która przysługuje wszystkim obywat</w:t>
      </w:r>
      <w:r w:rsidRPr="00BD2620">
        <w:rPr>
          <w:rFonts w:asciiTheme="minorHAnsi" w:hAnsiTheme="minorHAnsi" w:cstheme="minorHAnsi"/>
          <w:i/>
        </w:rPr>
        <w:t>elom, w tym właścicielom zwierząt domowych. Cel ustawy, a pośrednio również regulaminu, jakim jest dążenie do utrzymania czystości i porządku w gminie nie pozwala na wprowadzenie tak daleko idących zakazów, jak przyjęte przez Radę Miejską w Wołowie</w:t>
      </w:r>
      <w:r w:rsidRPr="00BD2620">
        <w:rPr>
          <w:rFonts w:asciiTheme="minorHAnsi" w:hAnsiTheme="minorHAnsi" w:cstheme="minorHAnsi"/>
        </w:rPr>
        <w:t>”. (Wyro</w:t>
      </w:r>
      <w:r w:rsidRPr="00BD2620">
        <w:rPr>
          <w:rFonts w:asciiTheme="minorHAnsi" w:hAnsiTheme="minorHAnsi" w:cstheme="minorHAnsi"/>
        </w:rPr>
        <w:t>k Naczelnego Sądu Administracyjnego z dnia 26 lutego 2015 r. II OSK 2439/14).</w:t>
      </w:r>
    </w:p>
    <w:p w:rsidR="00BD2620" w:rsidRDefault="00D004C2" w:rsidP="00E149DC">
      <w:pPr>
        <w:pStyle w:val="Teksttreci21"/>
        <w:shd w:val="clear" w:color="auto" w:fill="auto"/>
        <w:spacing w:before="0" w:after="0" w:line="360" w:lineRule="auto"/>
        <w:ind w:firstLine="743"/>
        <w:rPr>
          <w:rFonts w:asciiTheme="minorHAnsi" w:hAnsiTheme="minorHAnsi" w:cstheme="minorHAnsi"/>
        </w:rPr>
      </w:pPr>
      <w:r w:rsidRPr="00BD2620">
        <w:rPr>
          <w:rFonts w:asciiTheme="minorHAnsi" w:hAnsiTheme="minorHAnsi" w:cstheme="minorHAnsi"/>
        </w:rPr>
        <w:t>„</w:t>
      </w:r>
      <w:r w:rsidRPr="00BD2620">
        <w:rPr>
          <w:rFonts w:asciiTheme="minorHAnsi" w:hAnsiTheme="minorHAnsi" w:cstheme="minorHAnsi"/>
          <w:i/>
        </w:rPr>
        <w:t xml:space="preserve">W kompetencjach rady gminy wynikających z art. 4 ust. 2 pkt 6 ustawy o utrzymaniu czystości i porządku w gminach nie mieści się wprowadzenie całkowitego zakazu prowadzenia </w:t>
      </w:r>
      <w:r w:rsidRPr="00BD2620">
        <w:rPr>
          <w:rFonts w:asciiTheme="minorHAnsi" w:hAnsiTheme="minorHAnsi" w:cstheme="minorHAnsi"/>
          <w:i/>
        </w:rPr>
        <w:t>wszelkich zwierząt domowych na określone tereny i do określonych miejsc, lecz do ustalenia sposobu postępowania ze zwierzętami domowymi w taki sposób, by ich pobyt na tych terenach nie był uciążliwy i nie zagrażał przebywającym tam osobom. Ustanowienie tak</w:t>
      </w:r>
      <w:r w:rsidRPr="00BD2620">
        <w:rPr>
          <w:rFonts w:asciiTheme="minorHAnsi" w:hAnsiTheme="minorHAnsi" w:cstheme="minorHAnsi"/>
          <w:i/>
        </w:rPr>
        <w:t xml:space="preserve"> daleko idącego zakazu nadmiernie ogranicza swobodę poruszania i przebywania w określonym miejscu właścicieli zwierząt domowych i wykracza poza materię określoną w ustawie</w:t>
      </w:r>
      <w:r w:rsidRPr="00BD2620">
        <w:rPr>
          <w:rFonts w:asciiTheme="minorHAnsi" w:hAnsiTheme="minorHAnsi" w:cstheme="minorHAnsi"/>
        </w:rPr>
        <w:t>.”. (Wyrok Naczelnego Sądu Administracyjnego z dnia 29 lipca 2020 r. II OSK 921/20).</w:t>
      </w:r>
    </w:p>
    <w:p w:rsidR="001C0E05" w:rsidRPr="00E149DC" w:rsidRDefault="00D004C2" w:rsidP="001C0E05">
      <w:pPr>
        <w:pStyle w:val="Teksttreci21"/>
        <w:shd w:val="clear" w:color="auto" w:fill="auto"/>
        <w:spacing w:before="0" w:after="0" w:line="360" w:lineRule="auto"/>
        <w:ind w:firstLine="7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Generalnego zakazu wprowadzania zwierząt na określone tereny brak również</w:t>
      </w:r>
      <w:r>
        <w:rPr>
          <w:rFonts w:asciiTheme="minorHAnsi" w:hAnsiTheme="minorHAnsi" w:cstheme="minorHAnsi"/>
        </w:rPr>
        <w:br/>
        <w:t>w ustawie z dnia 21 sierpnia 1997 r. o ochronie zwierząt (Dz. U. z 2020 r. poz. 638).</w:t>
      </w:r>
    </w:p>
    <w:p w:rsidR="00BD2620" w:rsidRPr="00BD2620" w:rsidRDefault="00D004C2" w:rsidP="00BD262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BD2620">
        <w:rPr>
          <w:rFonts w:asciiTheme="minorHAnsi" w:hAnsiTheme="minorHAnsi" w:cstheme="minorHAnsi"/>
        </w:rPr>
        <w:t xml:space="preserve">Okoliczność, że kwestionowana uchwała stanowi akt prawa miejscowego, </w:t>
      </w:r>
      <w:r w:rsidRPr="00BD2620">
        <w:rPr>
          <w:rFonts w:asciiTheme="minorHAnsi" w:hAnsiTheme="minorHAnsi" w:cstheme="minorHAnsi"/>
        </w:rPr>
        <w:br/>
        <w:t>i w konsekwencji normatywn</w:t>
      </w:r>
      <w:r w:rsidRPr="00BD2620">
        <w:rPr>
          <w:rFonts w:asciiTheme="minorHAnsi" w:hAnsiTheme="minorHAnsi" w:cstheme="minorHAnsi"/>
        </w:rPr>
        <w:t>y akt wykonawczy, oznacza że Rada Gminy uchwalając przedmiotową uchwałę i określając szczegółowe jej postanowienia nie może wykraczać poza granice upoważnienia określone w przepisach prawa powszechnie obowiązującego i jest obowiązana do kompleksowego wypeł</w:t>
      </w:r>
      <w:r w:rsidRPr="00BD2620">
        <w:rPr>
          <w:rFonts w:asciiTheme="minorHAnsi" w:hAnsiTheme="minorHAnsi" w:cstheme="minorHAnsi"/>
        </w:rPr>
        <w:t>niania delegacji. Z treści art. 94 Konstytucji RP wynika,</w:t>
      </w:r>
      <w:r w:rsidRPr="00BD2620">
        <w:rPr>
          <w:rFonts w:asciiTheme="minorHAnsi" w:hAnsiTheme="minorHAnsi" w:cstheme="minorHAnsi"/>
        </w:rPr>
        <w:br/>
      </w:r>
      <w:r w:rsidRPr="00BD2620">
        <w:rPr>
          <w:rFonts w:asciiTheme="minorHAnsi" w:hAnsiTheme="minorHAnsi" w:cstheme="minorHAnsi"/>
        </w:rPr>
        <w:lastRenderedPageBreak/>
        <w:t>że każdy akt prawa miejscowego ma charakter wykonawczy w stosunku do ustaw, a jako taki winien być oparty na ustawie upoważniającej i nie przekraczać zakresu upoważnienia.</w:t>
      </w:r>
    </w:p>
    <w:p w:rsidR="00BD2620" w:rsidRPr="00BD2620" w:rsidRDefault="00D004C2" w:rsidP="00BD2620">
      <w:pPr>
        <w:pStyle w:val="Teksttreci21"/>
        <w:shd w:val="clear" w:color="auto" w:fill="auto"/>
        <w:spacing w:before="0" w:after="0" w:line="360" w:lineRule="auto"/>
        <w:ind w:firstLine="740"/>
        <w:rPr>
          <w:rFonts w:asciiTheme="minorHAnsi" w:hAnsiTheme="minorHAnsi" w:cstheme="minorHAnsi"/>
        </w:rPr>
      </w:pPr>
      <w:r w:rsidRPr="00BD2620">
        <w:rPr>
          <w:rStyle w:val="Teksttreci2"/>
          <w:rFonts w:asciiTheme="minorHAnsi" w:hAnsiTheme="minorHAnsi" w:cstheme="minorHAnsi"/>
          <w:color w:val="000000"/>
        </w:rPr>
        <w:t>W nawiązaniu do powyższego</w:t>
      </w:r>
      <w:r w:rsidRPr="00BD2620">
        <w:rPr>
          <w:rStyle w:val="Teksttreci2"/>
          <w:rFonts w:asciiTheme="minorHAnsi" w:hAnsiTheme="minorHAnsi" w:cstheme="minorHAnsi"/>
          <w:color w:val="000000"/>
        </w:rPr>
        <w:t xml:space="preserve"> należy stwierdzić, że w świetle art. 94 Konstytucji RP organy samorządu terytorialnego wydają akty prawa miejscowego obowiązujące na obszarze działania tych organów, na podstawie i w granicach upoważnień zawartych w ustawie. Oznacza</w:t>
      </w:r>
      <w:r>
        <w:rPr>
          <w:rStyle w:val="Teksttreci2"/>
          <w:rFonts w:asciiTheme="minorHAnsi" w:hAnsiTheme="minorHAnsi" w:cstheme="minorHAnsi"/>
          <w:color w:val="000000"/>
        </w:rPr>
        <w:t xml:space="preserve"> </w:t>
      </w:r>
      <w:r w:rsidRPr="00BD2620">
        <w:rPr>
          <w:rStyle w:val="Teksttreci2"/>
          <w:rFonts w:asciiTheme="minorHAnsi" w:hAnsiTheme="minorHAnsi" w:cstheme="minorHAnsi"/>
          <w:color w:val="000000"/>
        </w:rPr>
        <w:t>to, że do wydania aktu</w:t>
      </w:r>
      <w:r w:rsidRPr="00BD2620">
        <w:rPr>
          <w:rStyle w:val="Teksttreci2"/>
          <w:rFonts w:asciiTheme="minorHAnsi" w:hAnsiTheme="minorHAnsi" w:cstheme="minorHAnsi"/>
          <w:color w:val="000000"/>
        </w:rPr>
        <w:t xml:space="preserve"> prawa miejscowego wymagane jest zawarte w ustawie odrębne upoważnienie konkretnego organu do uregulowania w określonej formie danego zakresu spraw. Jednocześnie konstytucyjna zasada praworządności wyrażona w art.</w:t>
      </w:r>
      <w:r>
        <w:rPr>
          <w:rStyle w:val="Teksttreci2"/>
          <w:rFonts w:asciiTheme="minorHAnsi" w:hAnsiTheme="minorHAnsi" w:cstheme="minorHAnsi"/>
          <w:color w:val="000000"/>
        </w:rPr>
        <w:br/>
      </w:r>
      <w:r w:rsidRPr="00BD2620">
        <w:rPr>
          <w:rStyle w:val="Teksttreci2"/>
          <w:rFonts w:asciiTheme="minorHAnsi" w:hAnsiTheme="minorHAnsi" w:cstheme="minorHAnsi"/>
          <w:color w:val="000000"/>
        </w:rPr>
        <w:t>7 Konstytucji RP wymaga, żeby materia regu</w:t>
      </w:r>
      <w:r w:rsidRPr="00BD2620">
        <w:rPr>
          <w:rStyle w:val="Teksttreci2"/>
          <w:rFonts w:asciiTheme="minorHAnsi" w:hAnsiTheme="minorHAnsi" w:cstheme="minorHAnsi"/>
          <w:color w:val="000000"/>
        </w:rPr>
        <w:t>lowana wydanym aktem normatywnym wynikała</w:t>
      </w:r>
      <w:r>
        <w:rPr>
          <w:rStyle w:val="Teksttreci2"/>
          <w:rFonts w:asciiTheme="minorHAnsi" w:hAnsiTheme="minorHAnsi" w:cstheme="minorHAnsi"/>
          <w:color w:val="000000"/>
        </w:rPr>
        <w:br/>
      </w:r>
      <w:r w:rsidRPr="00BD2620">
        <w:rPr>
          <w:rStyle w:val="Teksttreci2"/>
          <w:rFonts w:asciiTheme="minorHAnsi" w:hAnsiTheme="minorHAnsi" w:cstheme="minorHAnsi"/>
          <w:color w:val="000000"/>
        </w:rPr>
        <w:t>z upoważnienia ustawowego</w:t>
      </w:r>
      <w:r>
        <w:rPr>
          <w:rStyle w:val="Teksttreci2"/>
          <w:rFonts w:asciiTheme="minorHAnsi" w:hAnsiTheme="minorHAnsi" w:cstheme="minorHAnsi"/>
          <w:color w:val="000000"/>
        </w:rPr>
        <w:t xml:space="preserve"> </w:t>
      </w:r>
      <w:r w:rsidRPr="00BD2620">
        <w:rPr>
          <w:rStyle w:val="Teksttreci2"/>
          <w:rFonts w:asciiTheme="minorHAnsi" w:hAnsiTheme="minorHAnsi" w:cstheme="minorHAnsi"/>
          <w:color w:val="000000"/>
        </w:rPr>
        <w:t>i mieściła się w granicach prawa. Wynika to również wprost</w:t>
      </w:r>
      <w:r>
        <w:rPr>
          <w:rStyle w:val="Teksttreci2"/>
          <w:rFonts w:asciiTheme="minorHAnsi" w:hAnsiTheme="minorHAnsi" w:cstheme="minorHAnsi"/>
          <w:color w:val="000000"/>
        </w:rPr>
        <w:br/>
      </w:r>
      <w:r w:rsidRPr="00BD2620">
        <w:rPr>
          <w:rStyle w:val="Teksttreci2"/>
          <w:rFonts w:asciiTheme="minorHAnsi" w:hAnsiTheme="minorHAnsi" w:cstheme="minorHAnsi"/>
          <w:color w:val="000000"/>
        </w:rPr>
        <w:t>z przepisów ustawy o samorządzie gminnym, a zwłaszcza z art. 40 tej ustawy, zgodnie z którym gminie przysługuje prawo stanowienia</w:t>
      </w:r>
      <w:r w:rsidRPr="00BD2620">
        <w:rPr>
          <w:rStyle w:val="Teksttreci2"/>
          <w:rFonts w:asciiTheme="minorHAnsi" w:hAnsiTheme="minorHAnsi" w:cstheme="minorHAnsi"/>
          <w:color w:val="000000"/>
        </w:rPr>
        <w:t xml:space="preserve"> aktów prawa miejscowego obowiązujących</w:t>
      </w:r>
      <w:r>
        <w:rPr>
          <w:rStyle w:val="Teksttreci2"/>
          <w:rFonts w:asciiTheme="minorHAnsi" w:hAnsiTheme="minorHAnsi" w:cstheme="minorHAnsi"/>
          <w:color w:val="000000"/>
        </w:rPr>
        <w:br/>
      </w:r>
      <w:r w:rsidRPr="00BD2620">
        <w:rPr>
          <w:rStyle w:val="Teksttreci2"/>
          <w:rFonts w:asciiTheme="minorHAnsi" w:hAnsiTheme="minorHAnsi" w:cstheme="minorHAnsi"/>
          <w:color w:val="000000"/>
        </w:rPr>
        <w:t>na obszarze gminy na podstawie upoważnień ustawowych. Należy zatem wyraźnie podkreślić, iż wszelkie uchwały podejmowane przez radę gminy muszą nie tylko mieć umocowanie</w:t>
      </w:r>
      <w:r>
        <w:rPr>
          <w:rStyle w:val="Teksttreci2"/>
          <w:rFonts w:asciiTheme="minorHAnsi" w:hAnsiTheme="minorHAnsi" w:cstheme="minorHAnsi"/>
          <w:color w:val="000000"/>
        </w:rPr>
        <w:br/>
      </w:r>
      <w:r w:rsidRPr="00BD2620">
        <w:rPr>
          <w:rStyle w:val="Teksttreci2"/>
          <w:rFonts w:asciiTheme="minorHAnsi" w:hAnsiTheme="minorHAnsi" w:cstheme="minorHAnsi"/>
          <w:color w:val="000000"/>
        </w:rPr>
        <w:t>w obowiązujących przepisach prawa, ale też zapi</w:t>
      </w:r>
      <w:r w:rsidRPr="00BD2620">
        <w:rPr>
          <w:rStyle w:val="Teksttreci2"/>
          <w:rFonts w:asciiTheme="minorHAnsi" w:hAnsiTheme="minorHAnsi" w:cstheme="minorHAnsi"/>
          <w:color w:val="000000"/>
        </w:rPr>
        <w:t>sy zawarte w uchwałach nie mogą przepisów tych naruszać. Ustawodawca, formułując określoną delegację do wydania aktu wykonawczego, przekazuje upoważnienie do uregulowania wyłącznie kwestii wynikających</w:t>
      </w:r>
      <w:r>
        <w:rPr>
          <w:rStyle w:val="Teksttreci2"/>
          <w:rFonts w:asciiTheme="minorHAnsi" w:hAnsiTheme="minorHAnsi" w:cstheme="minorHAnsi"/>
          <w:color w:val="000000"/>
        </w:rPr>
        <w:br/>
      </w:r>
      <w:r w:rsidRPr="00BD2620">
        <w:rPr>
          <w:rStyle w:val="Teksttreci2"/>
          <w:rFonts w:asciiTheme="minorHAnsi" w:hAnsiTheme="minorHAnsi" w:cstheme="minorHAnsi"/>
          <w:color w:val="000000"/>
        </w:rPr>
        <w:t xml:space="preserve">z upoważnienia. Zatem niedopuszczalna jest realizacja </w:t>
      </w:r>
      <w:r w:rsidRPr="00BD2620">
        <w:rPr>
          <w:rStyle w:val="Teksttreci2"/>
          <w:rFonts w:asciiTheme="minorHAnsi" w:hAnsiTheme="minorHAnsi" w:cstheme="minorHAnsi"/>
          <w:color w:val="000000"/>
        </w:rPr>
        <w:t xml:space="preserve">upoważnienia ustawowego regulująca kwestie nie przekazane do uregulowania w upoważnieniu. </w:t>
      </w:r>
    </w:p>
    <w:p w:rsidR="00BD2620" w:rsidRPr="00BD2620" w:rsidRDefault="00D004C2" w:rsidP="00BD2620">
      <w:pPr>
        <w:pStyle w:val="Teksttreci21"/>
        <w:shd w:val="clear" w:color="auto" w:fill="auto"/>
        <w:spacing w:before="0" w:after="0" w:line="360" w:lineRule="auto"/>
        <w:ind w:firstLine="740"/>
        <w:rPr>
          <w:rFonts w:asciiTheme="minorHAnsi" w:hAnsiTheme="minorHAnsi" w:cstheme="minorHAnsi"/>
        </w:rPr>
      </w:pPr>
      <w:r w:rsidRPr="00BD2620">
        <w:rPr>
          <w:rStyle w:val="Teksttreci7"/>
          <w:rFonts w:asciiTheme="minorHAnsi" w:hAnsiTheme="minorHAnsi" w:cstheme="minorHAnsi"/>
          <w:i w:val="0"/>
          <w:iCs w:val="0"/>
          <w:color w:val="000000"/>
        </w:rPr>
        <w:t>Materialnoprawna podstawa do działania rady gminy w zakresie stanowienia aktów prawa miejscowego musi bowiem wynikać wprost z zapisów ustawy (delegacji ustawowej)</w:t>
      </w:r>
      <w:r>
        <w:rPr>
          <w:rStyle w:val="Teksttreci7"/>
          <w:rFonts w:asciiTheme="minorHAnsi" w:hAnsiTheme="minorHAnsi" w:cstheme="minorHAnsi"/>
          <w:i w:val="0"/>
          <w:iCs w:val="0"/>
          <w:color w:val="000000"/>
        </w:rPr>
        <w:br/>
      </w:r>
      <w:r w:rsidRPr="00BD2620">
        <w:rPr>
          <w:rStyle w:val="Teksttreci7"/>
          <w:rFonts w:asciiTheme="minorHAnsi" w:hAnsiTheme="minorHAnsi" w:cstheme="minorHAnsi"/>
          <w:i w:val="0"/>
          <w:iCs w:val="0"/>
          <w:color w:val="000000"/>
        </w:rPr>
        <w:t xml:space="preserve">i </w:t>
      </w:r>
      <w:r w:rsidRPr="00BD2620">
        <w:rPr>
          <w:rStyle w:val="Teksttreci7"/>
          <w:rFonts w:asciiTheme="minorHAnsi" w:hAnsiTheme="minorHAnsi" w:cstheme="minorHAnsi"/>
          <w:i w:val="0"/>
          <w:iCs w:val="0"/>
          <w:color w:val="000000"/>
        </w:rPr>
        <w:t>nie może być oparta na ogólnych przepisach zawartych w ustawach. Zgodnie z zasadą legalności (art. 7 Konstytucji RP), organy władzy publicznej działają na podstawie i w granicach prawa. Rada gminy obowiązana jest zatem przestrzegać zakresu upoważniania ust</w:t>
      </w:r>
      <w:r w:rsidRPr="00BD2620">
        <w:rPr>
          <w:rStyle w:val="Teksttreci7"/>
          <w:rFonts w:asciiTheme="minorHAnsi" w:hAnsiTheme="minorHAnsi" w:cstheme="minorHAnsi"/>
          <w:i w:val="0"/>
          <w:iCs w:val="0"/>
          <w:color w:val="000000"/>
        </w:rPr>
        <w:t xml:space="preserve">awowego udzielonego jej przez ustawę w zakresie tworzenia aktów prawa miejscowego, a w ramach udzielonej jej delegacji w tych działaniach </w:t>
      </w:r>
      <w:r w:rsidRPr="00BD2620">
        <w:rPr>
          <w:rStyle w:val="Teksttreci70"/>
          <w:rFonts w:asciiTheme="minorHAnsi" w:hAnsiTheme="minorHAnsi" w:cstheme="minorHAnsi"/>
          <w:i w:val="0"/>
          <w:iCs w:val="0"/>
          <w:color w:val="000000"/>
        </w:rPr>
        <w:t>nie może wykraczać w materie uregulowaną ustawą</w:t>
      </w:r>
      <w:r w:rsidRPr="00BD2620">
        <w:rPr>
          <w:rStyle w:val="Teksttreci7"/>
          <w:rFonts w:asciiTheme="minorHAnsi" w:hAnsiTheme="minorHAnsi" w:cstheme="minorHAnsi"/>
          <w:i w:val="0"/>
          <w:iCs w:val="0"/>
          <w:color w:val="000000"/>
        </w:rPr>
        <w:t>. (...)".</w:t>
      </w:r>
      <w:r w:rsidRPr="00BD2620">
        <w:rPr>
          <w:rStyle w:val="Teksttreci7Bezkursywy"/>
          <w:rFonts w:asciiTheme="minorHAnsi" w:hAnsiTheme="minorHAnsi" w:cstheme="minorHAnsi"/>
          <w:i/>
          <w:iCs/>
          <w:color w:val="000000"/>
        </w:rPr>
        <w:t xml:space="preserve"> (por. uzasadnienie do Wyroku WSA w Olsztynie z dnia 12 stycznia 2016 r. II SA/OI 1269/15).</w:t>
      </w:r>
    </w:p>
    <w:p w:rsidR="00BD2620" w:rsidRPr="00BD2620" w:rsidRDefault="00D004C2" w:rsidP="00BD2620">
      <w:pPr>
        <w:pStyle w:val="Normalny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BD2620">
        <w:rPr>
          <w:rFonts w:asciiTheme="minorHAnsi" w:hAnsiTheme="minorHAnsi" w:cstheme="minorHAnsi"/>
        </w:rPr>
        <w:t xml:space="preserve">Mając na uwadze powyższe, stwierdzenie nieważności przedmiotowej </w:t>
      </w:r>
      <w:r w:rsidRPr="00BD2620">
        <w:rPr>
          <w:rFonts w:asciiTheme="minorHAnsi" w:hAnsiTheme="minorHAnsi" w:cstheme="minorHAnsi"/>
          <w:bCs/>
        </w:rPr>
        <w:t xml:space="preserve">uchwały </w:t>
      </w:r>
      <w:r w:rsidRPr="00BD2620">
        <w:rPr>
          <w:rFonts w:asciiTheme="minorHAnsi" w:hAnsiTheme="minorHAnsi" w:cstheme="minorHAnsi"/>
        </w:rPr>
        <w:t xml:space="preserve">Rady </w:t>
      </w:r>
      <w:r>
        <w:rPr>
          <w:rFonts w:asciiTheme="minorHAnsi" w:hAnsiTheme="minorHAnsi" w:cstheme="minorHAnsi"/>
        </w:rPr>
        <w:t>Miasta Ząbki</w:t>
      </w:r>
      <w:r w:rsidRPr="00BD2620">
        <w:rPr>
          <w:rFonts w:asciiTheme="minorHAnsi" w:hAnsiTheme="minorHAnsi" w:cstheme="minorHAnsi"/>
        </w:rPr>
        <w:t>, we wskazanej w petitum części, jest w pełni uzasadnione.</w:t>
      </w:r>
    </w:p>
    <w:p w:rsidR="00BD2620" w:rsidRPr="00BD2620" w:rsidRDefault="00D004C2" w:rsidP="00BD2620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D2620">
        <w:rPr>
          <w:rFonts w:asciiTheme="minorHAnsi" w:hAnsiTheme="minorHAnsi" w:cstheme="minorHAnsi"/>
        </w:rPr>
        <w:lastRenderedPageBreak/>
        <w:t>Na niniejsze ro</w:t>
      </w:r>
      <w:r w:rsidRPr="00BD2620">
        <w:rPr>
          <w:rFonts w:asciiTheme="minorHAnsi" w:hAnsiTheme="minorHAnsi" w:cstheme="minorHAnsi"/>
        </w:rPr>
        <w:t xml:space="preserve">zstrzygnięcie nadzorcze Gminie przysługuje skarga do Wojewódzkiego Sądu Administracyjnego w Warszawie w terminie 30 dni od daty jego doręczenia, wnoszona </w:t>
      </w:r>
      <w:r w:rsidRPr="00BD2620">
        <w:rPr>
          <w:rFonts w:asciiTheme="minorHAnsi" w:hAnsiTheme="minorHAnsi" w:cstheme="minorHAnsi"/>
        </w:rPr>
        <w:br/>
        <w:t>za pośrednictwem organu, który skarżone orzeczenie wydał.</w:t>
      </w:r>
    </w:p>
    <w:p w:rsidR="00F52D53" w:rsidRPr="00292FFF" w:rsidRDefault="00D004C2" w:rsidP="00292FFF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BD2620">
        <w:rPr>
          <w:rFonts w:asciiTheme="minorHAnsi" w:hAnsiTheme="minorHAnsi" w:cstheme="minorHAnsi"/>
          <w:sz w:val="24"/>
        </w:rPr>
        <w:t>Informuję, że rozstrzygnięcie nadzorcze wst</w:t>
      </w:r>
      <w:r w:rsidRPr="00BD2620">
        <w:rPr>
          <w:rFonts w:asciiTheme="minorHAnsi" w:hAnsiTheme="minorHAnsi" w:cstheme="minorHAnsi"/>
          <w:sz w:val="24"/>
        </w:rPr>
        <w:t>rzymuje wykonanie uchwały z mocy prawa,</w:t>
      </w:r>
      <w:r w:rsidRPr="00BD2620">
        <w:rPr>
          <w:rFonts w:asciiTheme="minorHAnsi" w:hAnsiTheme="minorHAnsi" w:cstheme="minorHAnsi"/>
          <w:sz w:val="24"/>
        </w:rPr>
        <w:br/>
        <w:t>w części objętej orzeczeniem, z dniem jego doręczenia</w:t>
      </w:r>
      <w:r>
        <w:rPr>
          <w:rFonts w:asciiTheme="minorHAnsi" w:hAnsiTheme="minorHAnsi" w:cstheme="minorHAnsi"/>
          <w:sz w:val="24"/>
        </w:rPr>
        <w:t>.</w:t>
      </w:r>
    </w:p>
    <w:p w:rsidR="004824F3" w:rsidRPr="002C2FBA" w:rsidRDefault="00D004C2" w:rsidP="0052200E">
      <w:pPr>
        <w:spacing w:before="600" w:line="276" w:lineRule="auto"/>
        <w:ind w:left="3402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</w:rPr>
        <w:br/>
      </w:r>
      <w:bookmarkStart w:id="2" w:name="ezdPracownikStanowisko"/>
      <w:r w:rsidRPr="002C2FBA">
        <w:rPr>
          <w:rFonts w:ascii="Calibri" w:hAnsi="Calibri" w:cs="Calibri"/>
          <w:i/>
        </w:rPr>
        <w:t>Wojewoda Mazowiecki</w:t>
      </w:r>
      <w:bookmarkEnd w:id="2"/>
    </w:p>
    <w:p w:rsidR="004824F3" w:rsidRPr="002C2FBA" w:rsidRDefault="00D004C2" w:rsidP="0052200E">
      <w:pPr>
        <w:spacing w:line="276" w:lineRule="auto"/>
        <w:ind w:left="3402"/>
        <w:jc w:val="center"/>
        <w:rPr>
          <w:rFonts w:ascii="Calibri" w:hAnsi="Calibri" w:cs="Calibri"/>
          <w:i/>
        </w:rPr>
      </w:pPr>
      <w:bookmarkStart w:id="3" w:name="ezdPracownikNazwa"/>
      <w:r w:rsidRPr="002C2FBA">
        <w:rPr>
          <w:rFonts w:ascii="Calibri" w:hAnsi="Calibri" w:cs="Calibri"/>
          <w:i/>
        </w:rPr>
        <w:t>Konstanty Radziwiłł</w:t>
      </w:r>
      <w:bookmarkEnd w:id="3"/>
    </w:p>
    <w:p w:rsidR="004824F3" w:rsidRDefault="00D004C2" w:rsidP="0052200E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  <w:t>/podpisano bezpiecznym podpisem elektronicznym</w:t>
      </w:r>
    </w:p>
    <w:p w:rsidR="004824F3" w:rsidRPr="00504F2F" w:rsidRDefault="00D004C2" w:rsidP="0052200E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weryfikowanym ważnym kwalifikowanym certyfikatem/</w:t>
      </w:r>
    </w:p>
    <w:sectPr w:rsidR="004824F3" w:rsidRPr="00504F2F" w:rsidSect="0036010D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4C2" w:rsidRDefault="00D004C2">
      <w:r>
        <w:separator/>
      </w:r>
    </w:p>
  </w:endnote>
  <w:endnote w:type="continuationSeparator" w:id="0">
    <w:p w:rsidR="00D004C2" w:rsidRDefault="00D0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864535"/>
      <w:docPartObj>
        <w:docPartGallery w:val="Page Numbers (Bottom of Page)"/>
        <w:docPartUnique/>
      </w:docPartObj>
    </w:sdtPr>
    <w:sdtEndPr/>
    <w:sdtContent>
      <w:p w:rsidR="00F52D53" w:rsidRDefault="00D004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2D53" w:rsidRDefault="00D004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4C2" w:rsidRDefault="00D004C2">
      <w:r>
        <w:separator/>
      </w:r>
    </w:p>
  </w:footnote>
  <w:footnote w:type="continuationSeparator" w:id="0">
    <w:p w:rsidR="00D004C2" w:rsidRDefault="00D0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33862"/>
    <w:multiLevelType w:val="hybridMultilevel"/>
    <w:tmpl w:val="BBE4BE9C"/>
    <w:lvl w:ilvl="0" w:tplc="52AE55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548C44" w:tentative="1">
      <w:start w:val="1"/>
      <w:numFmt w:val="lowerLetter"/>
      <w:lvlText w:val="%2."/>
      <w:lvlJc w:val="left"/>
      <w:pPr>
        <w:ind w:left="1440" w:hanging="360"/>
      </w:pPr>
    </w:lvl>
    <w:lvl w:ilvl="2" w:tplc="73CAA3A2" w:tentative="1">
      <w:start w:val="1"/>
      <w:numFmt w:val="lowerRoman"/>
      <w:lvlText w:val="%3."/>
      <w:lvlJc w:val="right"/>
      <w:pPr>
        <w:ind w:left="2160" w:hanging="180"/>
      </w:pPr>
    </w:lvl>
    <w:lvl w:ilvl="3" w:tplc="222C754E" w:tentative="1">
      <w:start w:val="1"/>
      <w:numFmt w:val="decimal"/>
      <w:lvlText w:val="%4."/>
      <w:lvlJc w:val="left"/>
      <w:pPr>
        <w:ind w:left="2880" w:hanging="360"/>
      </w:pPr>
    </w:lvl>
    <w:lvl w:ilvl="4" w:tplc="C9ECE834" w:tentative="1">
      <w:start w:val="1"/>
      <w:numFmt w:val="lowerLetter"/>
      <w:lvlText w:val="%5."/>
      <w:lvlJc w:val="left"/>
      <w:pPr>
        <w:ind w:left="3600" w:hanging="360"/>
      </w:pPr>
    </w:lvl>
    <w:lvl w:ilvl="5" w:tplc="B6BA7766" w:tentative="1">
      <w:start w:val="1"/>
      <w:numFmt w:val="lowerRoman"/>
      <w:lvlText w:val="%6."/>
      <w:lvlJc w:val="right"/>
      <w:pPr>
        <w:ind w:left="4320" w:hanging="180"/>
      </w:pPr>
    </w:lvl>
    <w:lvl w:ilvl="6" w:tplc="079685D2" w:tentative="1">
      <w:start w:val="1"/>
      <w:numFmt w:val="decimal"/>
      <w:lvlText w:val="%7."/>
      <w:lvlJc w:val="left"/>
      <w:pPr>
        <w:ind w:left="5040" w:hanging="360"/>
      </w:pPr>
    </w:lvl>
    <w:lvl w:ilvl="7" w:tplc="4A74B338" w:tentative="1">
      <w:start w:val="1"/>
      <w:numFmt w:val="lowerLetter"/>
      <w:lvlText w:val="%8."/>
      <w:lvlJc w:val="left"/>
      <w:pPr>
        <w:ind w:left="5760" w:hanging="360"/>
      </w:pPr>
    </w:lvl>
    <w:lvl w:ilvl="8" w:tplc="F54CF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8F4"/>
    <w:multiLevelType w:val="hybridMultilevel"/>
    <w:tmpl w:val="FDA40D8C"/>
    <w:lvl w:ilvl="0" w:tplc="06369214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56D6BC" w:tentative="1">
      <w:start w:val="1"/>
      <w:numFmt w:val="lowerLetter"/>
      <w:lvlText w:val="%2."/>
      <w:lvlJc w:val="left"/>
      <w:pPr>
        <w:ind w:left="1440" w:hanging="360"/>
      </w:pPr>
    </w:lvl>
    <w:lvl w:ilvl="2" w:tplc="7C7649DA" w:tentative="1">
      <w:start w:val="1"/>
      <w:numFmt w:val="lowerRoman"/>
      <w:lvlText w:val="%3."/>
      <w:lvlJc w:val="right"/>
      <w:pPr>
        <w:ind w:left="2160" w:hanging="180"/>
      </w:pPr>
    </w:lvl>
    <w:lvl w:ilvl="3" w:tplc="9EAA84CA" w:tentative="1">
      <w:start w:val="1"/>
      <w:numFmt w:val="decimal"/>
      <w:lvlText w:val="%4."/>
      <w:lvlJc w:val="left"/>
      <w:pPr>
        <w:ind w:left="2880" w:hanging="360"/>
      </w:pPr>
    </w:lvl>
    <w:lvl w:ilvl="4" w:tplc="DDA80A42" w:tentative="1">
      <w:start w:val="1"/>
      <w:numFmt w:val="lowerLetter"/>
      <w:lvlText w:val="%5."/>
      <w:lvlJc w:val="left"/>
      <w:pPr>
        <w:ind w:left="3600" w:hanging="360"/>
      </w:pPr>
    </w:lvl>
    <w:lvl w:ilvl="5" w:tplc="ECC002C6" w:tentative="1">
      <w:start w:val="1"/>
      <w:numFmt w:val="lowerRoman"/>
      <w:lvlText w:val="%6."/>
      <w:lvlJc w:val="right"/>
      <w:pPr>
        <w:ind w:left="4320" w:hanging="180"/>
      </w:pPr>
    </w:lvl>
    <w:lvl w:ilvl="6" w:tplc="D3C4AAB0" w:tentative="1">
      <w:start w:val="1"/>
      <w:numFmt w:val="decimal"/>
      <w:lvlText w:val="%7."/>
      <w:lvlJc w:val="left"/>
      <w:pPr>
        <w:ind w:left="5040" w:hanging="360"/>
      </w:pPr>
    </w:lvl>
    <w:lvl w:ilvl="7" w:tplc="C1D6A35A" w:tentative="1">
      <w:start w:val="1"/>
      <w:numFmt w:val="lowerLetter"/>
      <w:lvlText w:val="%8."/>
      <w:lvlJc w:val="left"/>
      <w:pPr>
        <w:ind w:left="5760" w:hanging="360"/>
      </w:pPr>
    </w:lvl>
    <w:lvl w:ilvl="8" w:tplc="2F1477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0F8"/>
    <w:rsid w:val="00C640F8"/>
    <w:rsid w:val="00D0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B54D88-180A-4BE9-862B-A235C8BB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220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220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F52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2D5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2D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D53"/>
    <w:rPr>
      <w:sz w:val="24"/>
      <w:szCs w:val="24"/>
    </w:rPr>
  </w:style>
  <w:style w:type="paragraph" w:customStyle="1" w:styleId="Default">
    <w:name w:val="Default"/>
    <w:basedOn w:val="Normalny"/>
    <w:rsid w:val="008E0CBB"/>
    <w:pPr>
      <w:autoSpaceDE w:val="0"/>
      <w:autoSpaceDN w:val="0"/>
    </w:pPr>
    <w:rPr>
      <w:rFonts w:eastAsiaTheme="minorHAnsi"/>
      <w:color w:val="000000"/>
      <w:lang w:eastAsia="en-US"/>
    </w:rPr>
  </w:style>
  <w:style w:type="character" w:styleId="Odwoaniedokomentarza">
    <w:name w:val="annotation reference"/>
    <w:rsid w:val="004526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26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526C3"/>
  </w:style>
  <w:style w:type="character" w:customStyle="1" w:styleId="Teksttreci2">
    <w:name w:val="Tekst treści (2)_"/>
    <w:link w:val="Teksttreci21"/>
    <w:uiPriority w:val="99"/>
    <w:rsid w:val="004526C3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4526C3"/>
    <w:pPr>
      <w:widowControl w:val="0"/>
      <w:shd w:val="clear" w:color="auto" w:fill="FFFFFF"/>
      <w:spacing w:before="360" w:after="120" w:line="240" w:lineRule="atLeast"/>
      <w:ind w:hanging="320"/>
      <w:jc w:val="both"/>
    </w:pPr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rsid w:val="00BD2620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D2620"/>
    <w:rPr>
      <w:sz w:val="28"/>
      <w:szCs w:val="24"/>
      <w:lang w:eastAsia="ar-SA"/>
    </w:rPr>
  </w:style>
  <w:style w:type="paragraph" w:customStyle="1" w:styleId="Normalny1">
    <w:name w:val="Normalny1"/>
    <w:basedOn w:val="Normalny"/>
    <w:rsid w:val="00BD2620"/>
    <w:pPr>
      <w:spacing w:before="100" w:beforeAutospacing="1" w:after="100" w:afterAutospacing="1"/>
    </w:pPr>
  </w:style>
  <w:style w:type="character" w:customStyle="1" w:styleId="Teksttreci7">
    <w:name w:val="Tekst treści (7)_"/>
    <w:link w:val="Teksttreci71"/>
    <w:uiPriority w:val="99"/>
    <w:rsid w:val="00BD2620"/>
    <w:rPr>
      <w:rFonts w:ascii="Calibri" w:hAnsi="Calibri" w:cs="Calibri"/>
      <w:i/>
      <w:iCs/>
      <w:sz w:val="24"/>
      <w:szCs w:val="24"/>
      <w:shd w:val="clear" w:color="auto" w:fill="FFFFFF"/>
    </w:rPr>
  </w:style>
  <w:style w:type="character" w:customStyle="1" w:styleId="Teksttreci7Bezkursywy">
    <w:name w:val="Tekst treści (7) + Bez kursywy"/>
    <w:uiPriority w:val="99"/>
    <w:rsid w:val="00BD2620"/>
    <w:rPr>
      <w:rFonts w:ascii="Calibri" w:hAnsi="Calibri" w:cs="Calibri"/>
      <w:i w:val="0"/>
      <w:iCs w:val="0"/>
      <w:sz w:val="24"/>
      <w:szCs w:val="24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BD2620"/>
    <w:pPr>
      <w:widowControl w:val="0"/>
      <w:shd w:val="clear" w:color="auto" w:fill="FFFFFF"/>
      <w:spacing w:line="436" w:lineRule="exact"/>
      <w:ind w:hanging="340"/>
      <w:jc w:val="both"/>
    </w:pPr>
    <w:rPr>
      <w:rFonts w:ascii="Calibri" w:hAnsi="Calibri" w:cs="Calibri"/>
      <w:i/>
      <w:iCs/>
    </w:rPr>
  </w:style>
  <w:style w:type="character" w:customStyle="1" w:styleId="Teksttreci70">
    <w:name w:val="Tekst treści (7)"/>
    <w:uiPriority w:val="99"/>
    <w:rsid w:val="00BD2620"/>
    <w:rPr>
      <w:rFonts w:ascii="Calibri" w:hAnsi="Calibri" w:cs="Calibri"/>
      <w:i/>
      <w:iCs/>
      <w:sz w:val="24"/>
      <w:szCs w:val="24"/>
      <w:u w:val="single"/>
      <w:shd w:val="clear" w:color="auto" w:fill="FFFFFF"/>
    </w:rPr>
  </w:style>
  <w:style w:type="paragraph" w:styleId="Tematkomentarza">
    <w:name w:val="annotation subject"/>
    <w:basedOn w:val="Tekstkomentarza"/>
    <w:next w:val="Tekstkomentarza"/>
    <w:link w:val="TematkomentarzaZnak"/>
    <w:rsid w:val="005E19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E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7F31E-16F7-4225-B06D-44B9407F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1664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2021-10-26T11:38:00Z</cp:lastPrinted>
  <dcterms:created xsi:type="dcterms:W3CDTF">2021-12-08T14:12:00Z</dcterms:created>
  <dcterms:modified xsi:type="dcterms:W3CDTF">2021-12-08T14:12:00Z</dcterms:modified>
</cp:coreProperties>
</file>