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16469" w:rsidRDefault="003B06AB">
      <w:pPr>
        <w:tabs>
          <w:tab w:val="center" w:pos="1985"/>
        </w:tabs>
        <w:rPr>
          <w:sz w:val="22"/>
          <w:szCs w:val="22"/>
        </w:rPr>
      </w:pPr>
      <w:bookmarkStart w:id="0" w:name="ezdSprawaZnak"/>
      <w:bookmarkStart w:id="1" w:name="_GoBack"/>
      <w:r>
        <w:rPr>
          <w:sz w:val="22"/>
          <w:szCs w:val="22"/>
        </w:rPr>
        <w:t>GPB-II.7840.97.2023</w:t>
      </w:r>
      <w:bookmarkEnd w:id="0"/>
      <w:r>
        <w:rPr>
          <w:sz w:val="22"/>
          <w:szCs w:val="22"/>
        </w:rPr>
        <w:t xml:space="preserve">.AS/WM </w:t>
      </w:r>
    </w:p>
    <w:bookmarkEnd w:id="1"/>
    <w:p w:rsidR="00516469" w:rsidRDefault="00516469">
      <w:pPr>
        <w:tabs>
          <w:tab w:val="center" w:pos="1985"/>
        </w:tabs>
        <w:rPr>
          <w:rFonts w:eastAsia="NSimSun"/>
          <w:sz w:val="12"/>
          <w:szCs w:val="12"/>
        </w:rPr>
      </w:pPr>
    </w:p>
    <w:p w:rsidR="00516469" w:rsidRDefault="003B06AB">
      <w:pPr>
        <w:spacing w:line="360" w:lineRule="auto"/>
        <w:jc w:val="center"/>
        <w:rPr>
          <w:rFonts w:eastAsia="NSimSun"/>
        </w:rPr>
      </w:pPr>
      <w:r>
        <w:rPr>
          <w:rFonts w:ascii="Calibri" w:eastAsia="NSimSun" w:hAnsi="Calibri"/>
          <w:b/>
          <w:sz w:val="24"/>
          <w:szCs w:val="24"/>
        </w:rPr>
        <w:t xml:space="preserve">OBWIESZCZENIE WOJEWODY ŁÓDZKIEGO </w:t>
      </w:r>
    </w:p>
    <w:p w:rsidR="00516469" w:rsidRDefault="003B06AB">
      <w:pPr>
        <w:spacing w:line="360" w:lineRule="auto"/>
        <w:jc w:val="center"/>
        <w:rPr>
          <w:rFonts w:eastAsia="NSimSun"/>
        </w:rPr>
      </w:pPr>
      <w:r>
        <w:rPr>
          <w:rFonts w:ascii="Calibri" w:eastAsia="NSimSun" w:hAnsi="Calibri"/>
          <w:b/>
          <w:sz w:val="24"/>
          <w:szCs w:val="24"/>
        </w:rPr>
        <w:t xml:space="preserve">o wszczęciu postępowania w sprawie wydania decyzji o pozwoleniu na budowę </w:t>
      </w:r>
    </w:p>
    <w:p w:rsidR="00516469" w:rsidRDefault="003B06AB">
      <w:pPr>
        <w:spacing w:line="360" w:lineRule="auto"/>
        <w:jc w:val="center"/>
        <w:rPr>
          <w:rFonts w:eastAsia="NSimSun"/>
        </w:rPr>
      </w:pPr>
      <w:r>
        <w:rPr>
          <w:rFonts w:ascii="Calibri" w:eastAsia="NSimSun" w:hAnsi="Calibri"/>
          <w:b/>
          <w:sz w:val="24"/>
          <w:szCs w:val="24"/>
        </w:rPr>
        <w:t xml:space="preserve">inwestycji towarzyszącej inwestycjom w zakresie terminalu </w:t>
      </w:r>
    </w:p>
    <w:p w:rsidR="00516469" w:rsidRDefault="003B06AB">
      <w:pPr>
        <w:spacing w:after="283" w:line="360" w:lineRule="auto"/>
        <w:rPr>
          <w:rFonts w:eastAsia="NSimSun"/>
          <w:sz w:val="21"/>
          <w:szCs w:val="21"/>
          <w:highlight w:val="white"/>
          <w:lang w:eastAsia="pl-PL"/>
        </w:rPr>
      </w:pPr>
      <w:r>
        <w:rPr>
          <w:rFonts w:ascii="Calibri" w:eastAsia="NSimSun" w:hAnsi="Calibri"/>
          <w:sz w:val="24"/>
          <w:szCs w:val="24"/>
        </w:rPr>
        <w:tab/>
      </w:r>
      <w:r>
        <w:rPr>
          <w:rFonts w:ascii="Calibri" w:eastAsia="NSimSun" w:hAnsi="Calibri"/>
          <w:sz w:val="24"/>
          <w:szCs w:val="24"/>
          <w:shd w:val="clear" w:color="auto" w:fill="FFFFFF"/>
          <w:lang w:eastAsia="pl-PL"/>
        </w:rPr>
        <w:t>Na podstawie art. 8 ust. 1 pkt 3 w związku z art. 15 ust. 4, art. 38 pkt 4 lit. h) i art. 39 ust. 1 ustawy z dnia 24 kwietnia 2009 r. o inwestycjach w zakresie terminalu regazyfikacyjnego skroplonego gazu ziemnego w Świnoujściu, oraz art. 61, art. 10 § 1 i</w:t>
      </w:r>
      <w:r>
        <w:rPr>
          <w:rFonts w:ascii="Calibri" w:eastAsia="NSimSun" w:hAnsi="Calibri"/>
          <w:sz w:val="24"/>
          <w:szCs w:val="24"/>
          <w:shd w:val="clear" w:color="auto" w:fill="FFFFFF"/>
          <w:lang w:eastAsia="pl-PL"/>
        </w:rPr>
        <w:t xml:space="preserve"> art. 49 ustawy z dnia 14 czerwca 1960 r. – Kodeks postępowania administracyjnego, zwanej dalej </w:t>
      </w:r>
      <w:r>
        <w:rPr>
          <w:rFonts w:ascii="Calibri" w:eastAsia="NSimSun" w:hAnsi="Calibri"/>
          <w:i/>
          <w:sz w:val="24"/>
          <w:szCs w:val="24"/>
          <w:shd w:val="clear" w:color="auto" w:fill="FFFFFF"/>
          <w:lang w:eastAsia="pl-PL"/>
        </w:rPr>
        <w:t>Kpa</w:t>
      </w:r>
      <w:r>
        <w:rPr>
          <w:rFonts w:ascii="Calibri" w:eastAsia="NSimSun" w:hAnsi="Calibri"/>
          <w:sz w:val="24"/>
          <w:szCs w:val="24"/>
          <w:shd w:val="clear" w:color="auto" w:fill="FFFFFF"/>
          <w:lang w:eastAsia="pl-PL"/>
        </w:rPr>
        <w:t xml:space="preserve">, Wojewoda Łódzki zawiadamia, że na wniosek z 29.05.2023 r., </w:t>
      </w:r>
      <w:r>
        <w:rPr>
          <w:rFonts w:ascii="Calibri" w:eastAsia="NSimSun" w:hAnsi="Calibri"/>
          <w:sz w:val="24"/>
          <w:szCs w:val="24"/>
        </w:rPr>
        <w:t xml:space="preserve">skorygowany ostatecznie 29.06.2023 r., </w:t>
      </w:r>
      <w:r>
        <w:rPr>
          <w:rFonts w:ascii="Calibri" w:eastAsia="NSimSun" w:hAnsi="Calibri"/>
          <w:sz w:val="24"/>
          <w:szCs w:val="24"/>
          <w:shd w:val="clear" w:color="auto" w:fill="FFFFFF"/>
          <w:lang w:eastAsia="pl-PL"/>
        </w:rPr>
        <w:t>Inwestora – Polskiej Spółki Gazownictwa Sp. z o.o. z sied</w:t>
      </w:r>
      <w:r>
        <w:rPr>
          <w:rFonts w:ascii="Calibri" w:eastAsia="NSimSun" w:hAnsi="Calibri"/>
          <w:sz w:val="24"/>
          <w:szCs w:val="24"/>
          <w:shd w:val="clear" w:color="auto" w:fill="FFFFFF"/>
          <w:lang w:eastAsia="pl-PL"/>
        </w:rPr>
        <w:t xml:space="preserve">zibą w Tarnowie, ul. Bandrowskiego 16, zostało wszczęte postępowanie w sprawie wydania decyzji </w:t>
      </w:r>
      <w:r>
        <w:rPr>
          <w:rFonts w:ascii="Calibri" w:eastAsia="NSimSun" w:hAnsi="Calibri"/>
          <w:sz w:val="24"/>
          <w:szCs w:val="24"/>
          <w:shd w:val="clear" w:color="auto" w:fill="FFFFFF"/>
          <w:lang w:eastAsia="pl-PL"/>
        </w:rPr>
        <w:lastRenderedPageBreak/>
        <w:t xml:space="preserve">o pozwoleniu na budowę zamierzenia budowlanego pn. </w:t>
      </w:r>
      <w:r>
        <w:rPr>
          <w:rFonts w:ascii="Calibri" w:hAnsi="Calibri"/>
          <w:sz w:val="24"/>
          <w:szCs w:val="24"/>
        </w:rPr>
        <w:t>„Budowa gazociągu Kalisz – Sieradz - Meszcze wraz z infrastrukturą niezbędną do jego obsługi na terenie wojewó</w:t>
      </w:r>
      <w:r>
        <w:rPr>
          <w:rFonts w:ascii="Calibri" w:hAnsi="Calibri"/>
          <w:sz w:val="24"/>
          <w:szCs w:val="24"/>
        </w:rPr>
        <w:t>dztw łódzkiego i wielkopolskiego” dla zadania inwestycyjnego pn. „Budowa gazociągu wysokiego ciśnienia MOP 6,3 DN 500 relacji Sieradz – Piotrków Trybunalski – dla odcinka gazociągu o symbolu nr 1 o długości ok. 11,2 km od pkt. Y1 do pkt. Z wraz z infrastru</w:t>
      </w:r>
      <w:r>
        <w:rPr>
          <w:rFonts w:ascii="Calibri" w:hAnsi="Calibri"/>
          <w:sz w:val="24"/>
          <w:szCs w:val="24"/>
        </w:rPr>
        <w:t xml:space="preserve">kturą niezbędną do jego obsługi”. </w:t>
      </w:r>
    </w:p>
    <w:p w:rsidR="00516469" w:rsidRDefault="003B06AB">
      <w:pPr>
        <w:spacing w:after="283" w:line="360" w:lineRule="auto"/>
        <w:rPr>
          <w:rFonts w:eastAsia="NSimSun"/>
          <w:sz w:val="21"/>
          <w:szCs w:val="21"/>
          <w:highlight w:val="white"/>
          <w:lang w:eastAsia="pl-PL"/>
        </w:rPr>
      </w:pPr>
      <w:r>
        <w:rPr>
          <w:rFonts w:ascii="Calibri" w:eastAsia="NSimSun" w:hAnsi="Calibri"/>
          <w:sz w:val="24"/>
          <w:szCs w:val="24"/>
          <w:shd w:val="clear" w:color="auto" w:fill="FFFFFF"/>
          <w:lang w:eastAsia="pl-PL"/>
        </w:rPr>
        <w:tab/>
        <w:t>Zakresem inwestycji objęte są nieruchomości lub ich części, położone w woj. łódzkim, oznaczone numerami ewidencyjnymi działek oraz numerami ksiąg wieczystych, które są prowadzone dla tych nieruchomości, zgodnie z poniższ</w:t>
      </w:r>
      <w:r>
        <w:rPr>
          <w:rFonts w:ascii="Calibri" w:eastAsia="NSimSun" w:hAnsi="Calibri"/>
          <w:sz w:val="24"/>
          <w:szCs w:val="24"/>
          <w:shd w:val="clear" w:color="auto" w:fill="FFFFFF"/>
          <w:lang w:eastAsia="pl-PL"/>
        </w:rPr>
        <w:t xml:space="preserve">ym wykazem: </w:t>
      </w:r>
    </w:p>
    <w:p w:rsidR="00516469" w:rsidRDefault="003B06AB">
      <w:pPr>
        <w:spacing w:after="283" w:line="360" w:lineRule="auto"/>
        <w:rPr>
          <w:b/>
          <w:kern w:val="0"/>
          <w:sz w:val="21"/>
          <w:szCs w:val="21"/>
          <w:u w:val="single"/>
          <w:lang w:eastAsia="en-US"/>
        </w:rPr>
      </w:pPr>
      <w:r>
        <w:rPr>
          <w:rFonts w:ascii="Calibri" w:hAnsi="Calibri"/>
          <w:i/>
          <w:kern w:val="0"/>
          <w:sz w:val="24"/>
          <w:szCs w:val="24"/>
          <w:lang w:eastAsia="en-US"/>
        </w:rPr>
        <w:t xml:space="preserve">(-) brak numeru księgi wieczystej </w:t>
      </w:r>
    </w:p>
    <w:p w:rsidR="00516469" w:rsidRDefault="003B06AB">
      <w:pPr>
        <w:spacing w:after="283" w:line="360" w:lineRule="auto"/>
        <w:rPr>
          <w:color w:val="000000" w:themeColor="text1"/>
          <w:sz w:val="21"/>
          <w:szCs w:val="21"/>
          <w:u w:val="single"/>
        </w:rPr>
      </w:pPr>
      <w:r>
        <w:rPr>
          <w:rFonts w:ascii="Calibri" w:hAnsi="Calibri"/>
          <w:color w:val="000000" w:themeColor="text1"/>
          <w:sz w:val="24"/>
          <w:szCs w:val="24"/>
          <w:u w:val="single"/>
        </w:rPr>
        <w:lastRenderedPageBreak/>
        <w:t xml:space="preserve">POWIAT PIOTRKÓW TRYBUNALSKI </w:t>
      </w:r>
    </w:p>
    <w:p w:rsidR="00516469" w:rsidRDefault="003B06AB">
      <w:pPr>
        <w:spacing w:after="283" w:line="360" w:lineRule="auto"/>
        <w:rPr>
          <w:color w:val="000000" w:themeColor="text1"/>
          <w:sz w:val="21"/>
          <w:szCs w:val="21"/>
          <w:u w:val="single"/>
        </w:rPr>
      </w:pPr>
      <w:r>
        <w:rPr>
          <w:rFonts w:ascii="Calibri" w:hAnsi="Calibri"/>
          <w:color w:val="000000" w:themeColor="text1"/>
          <w:sz w:val="24"/>
          <w:szCs w:val="24"/>
          <w:u w:val="single"/>
        </w:rPr>
        <w:t xml:space="preserve">Gmina Miasto Piotrków Trybunalski: </w:t>
      </w:r>
    </w:p>
    <w:p w:rsidR="00516469" w:rsidRDefault="003B06AB">
      <w:pPr>
        <w:spacing w:after="283" w:line="360" w:lineRule="auto"/>
        <w:rPr>
          <w:color w:val="000000" w:themeColor="text1"/>
          <w:sz w:val="21"/>
          <w:szCs w:val="21"/>
        </w:rPr>
      </w:pPr>
      <w:r>
        <w:rPr>
          <w:rFonts w:ascii="Calibri" w:hAnsi="Calibri"/>
          <w:color w:val="000000" w:themeColor="text1"/>
          <w:sz w:val="24"/>
          <w:szCs w:val="24"/>
          <w:u w:val="single"/>
        </w:rPr>
        <w:t>obręb 0039</w:t>
      </w:r>
      <w:r>
        <w:rPr>
          <w:rFonts w:ascii="Calibri" w:hAnsi="Calibri"/>
          <w:color w:val="000000" w:themeColor="text1"/>
          <w:sz w:val="24"/>
          <w:szCs w:val="24"/>
        </w:rPr>
        <w:t xml:space="preserve"> – </w:t>
      </w:r>
      <w:r>
        <w:rPr>
          <w:rFonts w:ascii="Calibri" w:eastAsia="NSimSun" w:hAnsi="Calibri"/>
          <w:sz w:val="24"/>
          <w:szCs w:val="24"/>
        </w:rPr>
        <w:t>80/1 (z podziału działki 80) (PT1P/00067238/0), 81/1 (z podziału działki 81) (PT1P/00010058/0), 81/2 (z podziału działki 81) (PT1P/00010058/0), 82 (PT1P/00033657/6), 84 (-), 83 (-), 85 (PT1P/00068705/2), 86 (-), 88/1 (PT1P/00103059/6), 88/2 (-), 89 (PT1P/0</w:t>
      </w:r>
      <w:r>
        <w:rPr>
          <w:rFonts w:ascii="Calibri" w:eastAsia="NSimSun" w:hAnsi="Calibri"/>
          <w:sz w:val="24"/>
          <w:szCs w:val="24"/>
        </w:rPr>
        <w:t>0038487/8), 90 (PT1P/00017881/7), 91 (-), 92 (PT1P/00002204/0), 77 (PT1P/00080037/8), 33 (PT1P/00009591/8), 34 (PT1P/00068560/3), 36 (PT1P/00106195/2), 37 (PT1P/00028861/1), 39 (PT1P/00059446/2), 40 (PT1P/00033667/9), 41 (PT1P/00026509/2), 43 (PT1P/0001028</w:t>
      </w:r>
      <w:r>
        <w:rPr>
          <w:rFonts w:ascii="Calibri" w:eastAsia="NSimSun" w:hAnsi="Calibri"/>
          <w:sz w:val="24"/>
          <w:szCs w:val="24"/>
        </w:rPr>
        <w:t xml:space="preserve">6/7), 46 (PT1P/00068705/2), 45 (PT1P/00022558/2), 47 (PT1P/00031608/4), 49 (-), 50 (PT1P/00026403/9), 53 (PT1P/00026403/9), 54 (-), 55 </w:t>
      </w:r>
      <w:r>
        <w:rPr>
          <w:rFonts w:ascii="Calibri" w:eastAsia="NSimSun" w:hAnsi="Calibri"/>
          <w:sz w:val="24"/>
          <w:szCs w:val="24"/>
        </w:rPr>
        <w:lastRenderedPageBreak/>
        <w:t>(PT1P/00040032/1), 56 (PT1P/00025367/7), 57 (PT1P/00058876/8), 58 (PT1P/00023834/8), 59 (PT1P/00028879/0), 175 (PT1P/0008</w:t>
      </w:r>
      <w:r>
        <w:rPr>
          <w:rFonts w:ascii="Calibri" w:eastAsia="NSimSun" w:hAnsi="Calibri"/>
          <w:sz w:val="24"/>
          <w:szCs w:val="24"/>
        </w:rPr>
        <w:t>0530/4), 135 (PT1P/00081020/3), 148 (PT1P/00031498/9), 149 (PT1P/00046223/9), 180 (PT1P/00054382/0), 181 (PT1P/00021086/5), 150 (PT1P/00064695/0), 182 (PT1P/00058408/7), 151/3 (PT1P/00102694/2), 151/4 (PT1P/00102694/2), 152 (PT1P/00065572/9), 153 (PT1P/000</w:t>
      </w:r>
      <w:r>
        <w:rPr>
          <w:rFonts w:ascii="Calibri" w:eastAsia="NSimSun" w:hAnsi="Calibri"/>
          <w:sz w:val="24"/>
          <w:szCs w:val="24"/>
        </w:rPr>
        <w:t>65572/9), 154 (PT1P/00050867/6), 155 (PT1P/00010672/0), 156 (PT1P/00056274/4), 157 (PT1P/00027904/8), 158 (PT1P/00028347/2), 161/1 (PT1P/00022644/2), 162 (PT1P/00095510/6), 183 (PT1P/00095510/6), 163 (PT1P/00028861/1), 165 (PT1P/00071585/8), 166 (PT1P/0002</w:t>
      </w:r>
      <w:r>
        <w:rPr>
          <w:rFonts w:ascii="Calibri" w:eastAsia="NSimSun" w:hAnsi="Calibri"/>
          <w:sz w:val="24"/>
          <w:szCs w:val="24"/>
        </w:rPr>
        <w:t xml:space="preserve">7701/5), 167 (PT1P/00069780/8), 170 (-), 171 (PT1P/00071585/8), 172/1 (PT1P/00027701/5), 173/1 (-), 174/1 (PT1P/00031494/1); </w:t>
      </w:r>
    </w:p>
    <w:p w:rsidR="00516469" w:rsidRDefault="003B06AB">
      <w:pPr>
        <w:spacing w:after="283" w:line="360" w:lineRule="auto"/>
        <w:rPr>
          <w:color w:val="000000" w:themeColor="text1"/>
          <w:sz w:val="21"/>
          <w:szCs w:val="21"/>
        </w:rPr>
      </w:pPr>
      <w:r>
        <w:rPr>
          <w:rFonts w:ascii="Calibri" w:hAnsi="Calibri"/>
          <w:color w:val="000000" w:themeColor="text1"/>
          <w:sz w:val="24"/>
          <w:szCs w:val="24"/>
          <w:u w:val="single"/>
        </w:rPr>
        <w:lastRenderedPageBreak/>
        <w:t>obręb 0038</w:t>
      </w:r>
      <w:r>
        <w:rPr>
          <w:rFonts w:ascii="Calibri" w:hAnsi="Calibri"/>
          <w:color w:val="000000" w:themeColor="text1"/>
          <w:sz w:val="24"/>
          <w:szCs w:val="24"/>
        </w:rPr>
        <w:t xml:space="preserve"> – </w:t>
      </w:r>
      <w:r>
        <w:rPr>
          <w:rFonts w:ascii="Calibri" w:eastAsia="NSimSun" w:hAnsi="Calibri"/>
          <w:sz w:val="24"/>
          <w:szCs w:val="24"/>
        </w:rPr>
        <w:t xml:space="preserve">1/2 (PT1P/00042643/1), 2 (PT1P/00042643/1), 3/1 (PT1P/00042643/1), 3/2 (PT1P/00044539/3), 4/2 (PT1P/00056877/1), 4/3 </w:t>
      </w:r>
      <w:r>
        <w:rPr>
          <w:rFonts w:ascii="Calibri" w:eastAsia="NSimSun" w:hAnsi="Calibri"/>
          <w:sz w:val="24"/>
          <w:szCs w:val="24"/>
        </w:rPr>
        <w:t>(PT1P/00056877/1), 6 (PT1P/00081713/8), 7 (PT1P/00029304/6), 8/1 (PT1P/00012763/9), 9/7 (PT1P/00087911/8), 10/5 (PT1P/00091516/0), 10/6 (PT1P/00091516/0), 11/22 (PT1P/00102601/4), 184 (PT1P/00076589/1), 55/1 (PT1P/00102600/7), 56/1 (-), 73 (PT1P/00042660/6</w:t>
      </w:r>
      <w:r>
        <w:rPr>
          <w:rFonts w:ascii="Calibri" w:eastAsia="NSimSun" w:hAnsi="Calibri"/>
          <w:sz w:val="24"/>
          <w:szCs w:val="24"/>
        </w:rPr>
        <w:t>), 74 (PT1P/00087891/1), 81/2 (PT1P/00081278/6), 85 (PT1P/00097235/8), 86 (PT1P/00079640/8), 127/1 (-), 143 (PT1P/00079640/8), 142 (PT1P/00097235/8), 141 (PT1P/00082438/3), 140 (-), 139 (PT1P/00016041/0), 138 (PT1P/00012759/8), 137 (-), 136 (-), 135 (PT1P/</w:t>
      </w:r>
      <w:r>
        <w:rPr>
          <w:rFonts w:ascii="Calibri" w:eastAsia="NSimSun" w:hAnsi="Calibri"/>
          <w:sz w:val="24"/>
          <w:szCs w:val="24"/>
        </w:rPr>
        <w:t xml:space="preserve">00029829/2), 183 (PT1P/00090377/6), 134 (PT1P/00079328/5), 133 (PT1P/00050612/4), 132 (-), 131 (-), 130 </w:t>
      </w:r>
      <w:r>
        <w:rPr>
          <w:rFonts w:ascii="Calibri" w:eastAsia="NSimSun" w:hAnsi="Calibri"/>
          <w:sz w:val="24"/>
          <w:szCs w:val="24"/>
        </w:rPr>
        <w:lastRenderedPageBreak/>
        <w:t>(PT1P/00013940/1), 129 (PT1P/00012769/1), 128 (PT1P/00031535/1);</w:t>
      </w:r>
      <w:r>
        <w:rPr>
          <w:rFonts w:ascii="Calibri" w:eastAsia="NSimSun" w:hAnsi="Calibri"/>
          <w:b/>
          <w:sz w:val="24"/>
          <w:szCs w:val="24"/>
        </w:rPr>
        <w:t xml:space="preserve"> </w:t>
      </w:r>
    </w:p>
    <w:p w:rsidR="00516469" w:rsidRDefault="003B06AB">
      <w:pPr>
        <w:spacing w:after="283" w:line="360" w:lineRule="auto"/>
        <w:rPr>
          <w:color w:val="000000" w:themeColor="text1"/>
          <w:sz w:val="21"/>
          <w:szCs w:val="21"/>
        </w:rPr>
      </w:pPr>
      <w:r>
        <w:rPr>
          <w:rFonts w:ascii="Calibri" w:hAnsi="Calibri"/>
          <w:color w:val="000000" w:themeColor="text1"/>
          <w:sz w:val="24"/>
          <w:szCs w:val="24"/>
          <w:u w:val="single"/>
        </w:rPr>
        <w:t>obręb 0035</w:t>
      </w:r>
      <w:r>
        <w:rPr>
          <w:rFonts w:ascii="Calibri" w:hAnsi="Calibri"/>
          <w:color w:val="000000" w:themeColor="text1"/>
          <w:sz w:val="24"/>
          <w:szCs w:val="24"/>
        </w:rPr>
        <w:t xml:space="preserve"> - </w:t>
      </w:r>
      <w:r>
        <w:rPr>
          <w:rFonts w:ascii="Calibri" w:eastAsia="NSimSun" w:hAnsi="Calibri"/>
          <w:sz w:val="24"/>
          <w:szCs w:val="24"/>
        </w:rPr>
        <w:t>305/3 (-), 197 (PT1P/00027997/6), 199 (PT1P/00043655/5), 200/5 (PT1P/0002</w:t>
      </w:r>
      <w:r>
        <w:rPr>
          <w:rFonts w:ascii="Calibri" w:eastAsia="NSimSun" w:hAnsi="Calibri"/>
          <w:sz w:val="24"/>
          <w:szCs w:val="24"/>
        </w:rPr>
        <w:t>3307/5), 201/5 (PT1P/00036182/6), 232 (-), 248/2 (PT1P/00081258/0), 233 (PT1P/00054165/3), 234 (PT1P/00019843/3), 235 (PT1P/00039692/5), 236 (-), 238 (PT1P/00043300/2), 239 (PT1P/00103743/8), 308 (-), 240 (PT1P/00103743/8), 309 (PT1P/00103743/8), 310 (PT1P</w:t>
      </w:r>
      <w:r>
        <w:rPr>
          <w:rFonts w:ascii="Calibri" w:eastAsia="NSimSun" w:hAnsi="Calibri"/>
          <w:sz w:val="24"/>
          <w:szCs w:val="24"/>
        </w:rPr>
        <w:t>/00027946/4), 311 (PT1P/00044552/0), 312 (PT1P/00103744/5), 313 (PT1P/00011066/6), 314 (PT1P/00011198/0), 315 (PT1P/00011199/7), 316 (PT1P/00011199/7);</w:t>
      </w:r>
      <w:r>
        <w:rPr>
          <w:rFonts w:ascii="Calibri" w:eastAsia="NSimSun" w:hAnsi="Calibri"/>
          <w:b/>
          <w:sz w:val="24"/>
          <w:szCs w:val="24"/>
        </w:rPr>
        <w:t xml:space="preserve"> </w:t>
      </w:r>
    </w:p>
    <w:p w:rsidR="00516469" w:rsidRDefault="003B06AB">
      <w:pPr>
        <w:spacing w:after="283" w:line="360" w:lineRule="auto"/>
        <w:rPr>
          <w:color w:val="000000" w:themeColor="text1"/>
          <w:sz w:val="21"/>
          <w:szCs w:val="21"/>
        </w:rPr>
      </w:pPr>
      <w:r>
        <w:rPr>
          <w:rFonts w:ascii="Calibri" w:hAnsi="Calibri"/>
          <w:color w:val="000000" w:themeColor="text1"/>
          <w:sz w:val="24"/>
          <w:szCs w:val="24"/>
          <w:u w:val="single"/>
        </w:rPr>
        <w:t>obręb 0037</w:t>
      </w:r>
      <w:r>
        <w:rPr>
          <w:rFonts w:ascii="Calibri" w:hAnsi="Calibri"/>
          <w:color w:val="000000" w:themeColor="text1"/>
          <w:sz w:val="24"/>
          <w:szCs w:val="24"/>
        </w:rPr>
        <w:t xml:space="preserve"> – </w:t>
      </w:r>
      <w:r>
        <w:rPr>
          <w:rFonts w:ascii="Calibri" w:eastAsia="NSimSun" w:hAnsi="Calibri"/>
          <w:sz w:val="24"/>
          <w:szCs w:val="24"/>
        </w:rPr>
        <w:t>511 (PT1P/00004191/9), 512 (PT1P/00003146/2), 513 (PT1P/00034151/6), 514 (PT1P/00034152/3)</w:t>
      </w:r>
      <w:r>
        <w:rPr>
          <w:rFonts w:ascii="Calibri" w:eastAsia="NSimSun" w:hAnsi="Calibri"/>
          <w:sz w:val="24"/>
          <w:szCs w:val="24"/>
        </w:rPr>
        <w:t xml:space="preserve">, 515 (PT1P/00049620/3), 519 </w:t>
      </w:r>
      <w:r>
        <w:rPr>
          <w:rFonts w:ascii="Calibri" w:eastAsia="NSimSun" w:hAnsi="Calibri"/>
          <w:sz w:val="24"/>
          <w:szCs w:val="24"/>
        </w:rPr>
        <w:lastRenderedPageBreak/>
        <w:t>(PT1P/00029658/2), 521 (PT1P00004347/8), 532 (PT1P/00007207/6), 19/4 (-), 522 (PT1P/00007207/6), 523 (PT1P/00007206/9), 27 (-), 541 (-), 539 (PT1P/00034410/0), 537 (-), 535 (-), 533 (PT1P/00054165/3), 530 (PT1P/00038450/0), 528</w:t>
      </w:r>
      <w:r>
        <w:rPr>
          <w:rFonts w:ascii="Calibri" w:eastAsia="NSimSun" w:hAnsi="Calibri"/>
          <w:sz w:val="24"/>
          <w:szCs w:val="24"/>
        </w:rPr>
        <w:t>/1 (PT1P/00049327/9), 26 (-), 25 (PT1P/00081258/0), 545 (-), 507/3 (PT1P/00068400/4), 11 (-), 508 (PT1P/00068400/4), 506 (PT1P/00068400/4), 491 (PT1P/00117304/0), 490 (PT1P/00018622/1), 479 (PT1P/00018621/4), 544/2 (-), 466/2 (PT1P/00004347/8), 455 (PT1P/0</w:t>
      </w:r>
      <w:r>
        <w:rPr>
          <w:rFonts w:ascii="Calibri" w:eastAsia="NSimSun" w:hAnsi="Calibri"/>
          <w:sz w:val="24"/>
          <w:szCs w:val="24"/>
        </w:rPr>
        <w:t>0049499/5), 444 (PT1P/00026505/4), 443 (PT1P/00015309/0), 432 (PT1P/00054232/4), 425 (PT1P/00030862/5), 415 (PT1P/00018166/6), 406 (PT1P/00027997/6), 397 (PT1P/00083051/3), 391 (-), 385 (-), 379 (PT1P/00122499/1), 10 (-), 384 (-), 378 (PT1P/00122499/1), 5/</w:t>
      </w:r>
      <w:r>
        <w:rPr>
          <w:rFonts w:ascii="Calibri" w:eastAsia="NSimSun" w:hAnsi="Calibri"/>
          <w:sz w:val="24"/>
          <w:szCs w:val="24"/>
        </w:rPr>
        <w:t xml:space="preserve">14 (-), 383 (-), 377 (PT1P/00122499/1), 376 (PT1P/00122499/1), 365 </w:t>
      </w:r>
      <w:r>
        <w:rPr>
          <w:rFonts w:ascii="Calibri" w:eastAsia="NSimSun" w:hAnsi="Calibri"/>
          <w:sz w:val="24"/>
          <w:szCs w:val="24"/>
        </w:rPr>
        <w:lastRenderedPageBreak/>
        <w:t>(PT1P/00076641/4), 358 (-), 350 (PT1P/00119783/5), 12 (-), 334 (-), 330 (PT1P/00028210/3), 326 (PT1P/00105680/2), 322 (-), 318 (-), 314 (PT1P/00089878/8), 310 (-), 306 (-), 302 (PT1P/000401</w:t>
      </w:r>
      <w:r>
        <w:rPr>
          <w:rFonts w:ascii="Calibri" w:eastAsia="NSimSun" w:hAnsi="Calibri"/>
          <w:sz w:val="24"/>
          <w:szCs w:val="24"/>
        </w:rPr>
        <w:t>30/8), 298 (-), 294 (-), 290 (PT1P/00009411/3), 286 (PT1P/00049790/5), 282 (PT1P/00078150/9), 278 (PT1P/00119478/4), 274 (-), 270 (PT1P/00020351/7), 266 (PT1P/00038028/3), 262 (-), 258 (-), 254 (-), 250 (-), 246 (PT1P/00030116/1), 242 (PT1P/00030116/1), 19</w:t>
      </w:r>
      <w:r>
        <w:rPr>
          <w:rFonts w:ascii="Calibri" w:eastAsia="NSimSun" w:hAnsi="Calibri"/>
          <w:sz w:val="24"/>
          <w:szCs w:val="24"/>
        </w:rPr>
        <w:t>8/2 (PT1P/00110708/3), 195/2 (PT1P/00038504/4), 192/2 (-), 189/2 (-), 186/2 (PT1P/00032603/6), 183/2 (PT1P/00029688/1), 180/2 (-), 177/2 (-), 174 (-), 171 (PT1P/00032319/8), 168/2 (-), 164/2 (-), 160/2 (-), 158/2 (PT1P/00042369/6), 157/4 (PT1P/00075973/3),</w:t>
      </w:r>
      <w:r>
        <w:rPr>
          <w:rFonts w:ascii="Calibri" w:eastAsia="NSimSun" w:hAnsi="Calibri"/>
          <w:sz w:val="24"/>
          <w:szCs w:val="24"/>
        </w:rPr>
        <w:t xml:space="preserve"> 157/1 (-), 149 (-), 147 (-), 145 (-), 143 (PT1P/00065889/4), 141 (PT1P/00050535/0), 139 </w:t>
      </w:r>
      <w:r>
        <w:rPr>
          <w:rFonts w:ascii="Calibri" w:eastAsia="NSimSun" w:hAnsi="Calibri"/>
          <w:sz w:val="24"/>
          <w:szCs w:val="24"/>
        </w:rPr>
        <w:lastRenderedPageBreak/>
        <w:t>(-), 137 (-), 135 (-), 133 (PT1P/00098298/4), 131 (PT1P/00016589/3), 129 (PT1P/00028193/7), 127 (PT1P/00014720/0), 125 (-), 123 (-), 121 (-), 119 (-), 117 (-), 115 (PT</w:t>
      </w:r>
      <w:r>
        <w:rPr>
          <w:rFonts w:ascii="Calibri" w:eastAsia="NSimSun" w:hAnsi="Calibri"/>
          <w:sz w:val="24"/>
          <w:szCs w:val="24"/>
        </w:rPr>
        <w:t>1P/00049682/5), 113 (PT1P/00049682/5), 111 (-), 109 (PT1P/00105786/5), 107 (-), 3 (-), 110 (PT1P/00105786/5), 108 (-), 106 (-), 104 (-), 4/6 (-), 69/1 (PT1P/00075973/3), 5/15 (PT1P/00000032/9), 70/8 (PT1P/00075973/3), 70/9 (PT1P/00075973/3), 6/1 (PT1P/0007</w:t>
      </w:r>
      <w:r>
        <w:rPr>
          <w:rFonts w:ascii="Calibri" w:eastAsia="NSimSun" w:hAnsi="Calibri"/>
          <w:sz w:val="24"/>
          <w:szCs w:val="24"/>
        </w:rPr>
        <w:t xml:space="preserve">5973/3), 71/1 (PT1P/00075973/3); </w:t>
      </w:r>
    </w:p>
    <w:p w:rsidR="00516469" w:rsidRDefault="003B06AB">
      <w:pPr>
        <w:spacing w:after="283" w:line="360" w:lineRule="auto"/>
        <w:rPr>
          <w:color w:val="000000" w:themeColor="text1"/>
          <w:sz w:val="21"/>
          <w:szCs w:val="21"/>
        </w:rPr>
      </w:pPr>
      <w:r>
        <w:rPr>
          <w:rFonts w:ascii="Calibri" w:hAnsi="Calibri"/>
          <w:color w:val="000000" w:themeColor="text1"/>
          <w:sz w:val="24"/>
          <w:szCs w:val="24"/>
          <w:u w:val="single"/>
        </w:rPr>
        <w:t>obręb 0045</w:t>
      </w:r>
      <w:r>
        <w:rPr>
          <w:rFonts w:ascii="Calibri" w:hAnsi="Calibri"/>
          <w:color w:val="000000" w:themeColor="text1"/>
          <w:sz w:val="24"/>
          <w:szCs w:val="24"/>
        </w:rPr>
        <w:t xml:space="preserve"> - </w:t>
      </w:r>
      <w:r>
        <w:rPr>
          <w:rFonts w:ascii="Calibri" w:eastAsia="NSimSun" w:hAnsi="Calibri"/>
          <w:sz w:val="24"/>
          <w:szCs w:val="24"/>
        </w:rPr>
        <w:t>88/4 (PT1P/00114966/7), 21/4 (PT1P/00108425/8), 72/2 (PT1P/00068550/0), 24 (PT1P/00104733/2);</w:t>
      </w:r>
      <w:r>
        <w:rPr>
          <w:rFonts w:ascii="Calibri" w:eastAsia="NSimSun" w:hAnsi="Calibri"/>
          <w:b/>
          <w:sz w:val="24"/>
          <w:szCs w:val="24"/>
        </w:rPr>
        <w:t xml:space="preserve"> </w:t>
      </w:r>
    </w:p>
    <w:p w:rsidR="00516469" w:rsidRDefault="003B06AB">
      <w:pPr>
        <w:spacing w:after="283" w:line="360" w:lineRule="auto"/>
        <w:rPr>
          <w:color w:val="000000" w:themeColor="text1"/>
          <w:sz w:val="21"/>
          <w:szCs w:val="21"/>
        </w:rPr>
      </w:pPr>
      <w:r>
        <w:rPr>
          <w:rFonts w:ascii="Calibri" w:hAnsi="Calibri"/>
          <w:color w:val="000000" w:themeColor="text1"/>
          <w:sz w:val="24"/>
          <w:szCs w:val="24"/>
          <w:u w:val="single"/>
        </w:rPr>
        <w:t>obręb 0046</w:t>
      </w:r>
      <w:r>
        <w:rPr>
          <w:rFonts w:ascii="Calibri" w:hAnsi="Calibri"/>
          <w:color w:val="000000" w:themeColor="text1"/>
          <w:sz w:val="24"/>
          <w:szCs w:val="24"/>
        </w:rPr>
        <w:t xml:space="preserve"> - </w:t>
      </w:r>
      <w:r>
        <w:rPr>
          <w:rFonts w:ascii="Calibri" w:eastAsia="NSimSun" w:hAnsi="Calibri"/>
          <w:sz w:val="24"/>
          <w:szCs w:val="24"/>
        </w:rPr>
        <w:t>80/2 (PT1P/00081121/1), 41/6 (PT1P/00060935/7), 41/5 (PT1P/00060935/7), 41/7 (PT1P/00060935/7), 43 (P</w:t>
      </w:r>
      <w:r>
        <w:rPr>
          <w:rFonts w:ascii="Calibri" w:eastAsia="NSimSun" w:hAnsi="Calibri"/>
          <w:sz w:val="24"/>
          <w:szCs w:val="24"/>
        </w:rPr>
        <w:t xml:space="preserve">T1P/00060935/7), 42 (-), 38 (PT1P/00060935/7); </w:t>
      </w:r>
    </w:p>
    <w:p w:rsidR="00516469" w:rsidRDefault="003B06AB">
      <w:pPr>
        <w:spacing w:after="283" w:line="360" w:lineRule="auto"/>
        <w:rPr>
          <w:color w:val="000000" w:themeColor="text1"/>
          <w:sz w:val="21"/>
          <w:szCs w:val="21"/>
        </w:rPr>
      </w:pPr>
      <w:r>
        <w:rPr>
          <w:rFonts w:ascii="Calibri" w:hAnsi="Calibri"/>
          <w:color w:val="000000" w:themeColor="text1"/>
          <w:sz w:val="24"/>
          <w:szCs w:val="24"/>
          <w:u w:val="single"/>
        </w:rPr>
        <w:lastRenderedPageBreak/>
        <w:t>obręb 0017</w:t>
      </w:r>
      <w:r>
        <w:rPr>
          <w:rFonts w:ascii="Calibri" w:hAnsi="Calibri"/>
          <w:color w:val="000000" w:themeColor="text1"/>
          <w:sz w:val="24"/>
          <w:szCs w:val="24"/>
        </w:rPr>
        <w:t xml:space="preserve"> – </w:t>
      </w:r>
      <w:r>
        <w:rPr>
          <w:rFonts w:ascii="Calibri" w:eastAsia="NSimSun" w:hAnsi="Calibri"/>
          <w:sz w:val="24"/>
          <w:szCs w:val="24"/>
        </w:rPr>
        <w:t>15 (PT1P/00057160/9);</w:t>
      </w:r>
      <w:r>
        <w:rPr>
          <w:rFonts w:ascii="Calibri" w:eastAsia="NSimSun" w:hAnsi="Calibri"/>
          <w:b/>
          <w:sz w:val="24"/>
          <w:szCs w:val="24"/>
        </w:rPr>
        <w:t xml:space="preserve"> </w:t>
      </w:r>
    </w:p>
    <w:p w:rsidR="00516469" w:rsidRDefault="003B06AB">
      <w:pPr>
        <w:spacing w:after="283" w:line="360" w:lineRule="auto"/>
        <w:rPr>
          <w:color w:val="000000" w:themeColor="text1"/>
          <w:sz w:val="21"/>
          <w:szCs w:val="21"/>
        </w:rPr>
      </w:pPr>
      <w:r>
        <w:rPr>
          <w:rFonts w:ascii="Calibri" w:hAnsi="Calibri"/>
          <w:color w:val="000000" w:themeColor="text1"/>
          <w:sz w:val="24"/>
          <w:szCs w:val="24"/>
          <w:u w:val="single"/>
        </w:rPr>
        <w:t>obręb 0008</w:t>
      </w:r>
      <w:r>
        <w:rPr>
          <w:rFonts w:ascii="Calibri" w:hAnsi="Calibri"/>
          <w:color w:val="000000" w:themeColor="text1"/>
          <w:sz w:val="24"/>
          <w:szCs w:val="24"/>
        </w:rPr>
        <w:t xml:space="preserve"> - </w:t>
      </w:r>
      <w:r>
        <w:rPr>
          <w:rFonts w:ascii="Calibri" w:eastAsia="NSimSun" w:hAnsi="Calibri"/>
          <w:sz w:val="24"/>
          <w:szCs w:val="24"/>
        </w:rPr>
        <w:t xml:space="preserve">5/10 (z podziału działki 5/3) (PT1P/00068551/7), 5/9 (PT1P/00094012/8), 8 (PT1P/00107765/6). </w:t>
      </w:r>
    </w:p>
    <w:p w:rsidR="00516469" w:rsidRDefault="003B06AB">
      <w:pPr>
        <w:spacing w:after="283" w:line="360" w:lineRule="auto"/>
        <w:rPr>
          <w:color w:val="000000" w:themeColor="text1"/>
          <w:sz w:val="21"/>
          <w:szCs w:val="21"/>
          <w:u w:val="single"/>
        </w:rPr>
      </w:pPr>
      <w:r>
        <w:rPr>
          <w:rFonts w:ascii="Calibri" w:hAnsi="Calibri"/>
          <w:color w:val="000000" w:themeColor="text1"/>
          <w:sz w:val="24"/>
          <w:szCs w:val="24"/>
          <w:u w:val="single"/>
        </w:rPr>
        <w:t xml:space="preserve">POWIAT PIOTRKOWSKI </w:t>
      </w:r>
    </w:p>
    <w:p w:rsidR="00516469" w:rsidRDefault="003B06AB">
      <w:pPr>
        <w:spacing w:after="283" w:line="360" w:lineRule="auto"/>
        <w:rPr>
          <w:color w:val="000000" w:themeColor="text1"/>
          <w:sz w:val="21"/>
          <w:szCs w:val="21"/>
        </w:rPr>
      </w:pPr>
      <w:r>
        <w:rPr>
          <w:rFonts w:ascii="Calibri" w:hAnsi="Calibri"/>
          <w:color w:val="000000" w:themeColor="text1"/>
          <w:sz w:val="24"/>
          <w:szCs w:val="24"/>
          <w:u w:val="single"/>
        </w:rPr>
        <w:t>Gmina Sulejów, obręb 0017 Poniatów</w:t>
      </w:r>
      <w:r>
        <w:rPr>
          <w:rFonts w:ascii="Calibri" w:hAnsi="Calibri"/>
          <w:color w:val="000000" w:themeColor="text1"/>
          <w:sz w:val="24"/>
          <w:szCs w:val="24"/>
        </w:rPr>
        <w:t xml:space="preserve"> - </w:t>
      </w:r>
      <w:r>
        <w:rPr>
          <w:rFonts w:ascii="Calibri" w:eastAsia="NSimSun" w:hAnsi="Calibri"/>
          <w:sz w:val="24"/>
          <w:szCs w:val="24"/>
        </w:rPr>
        <w:t>110/3 (P</w:t>
      </w:r>
      <w:r>
        <w:rPr>
          <w:rFonts w:ascii="Calibri" w:eastAsia="NSimSun" w:hAnsi="Calibri"/>
          <w:sz w:val="24"/>
          <w:szCs w:val="24"/>
        </w:rPr>
        <w:t xml:space="preserve">T1P/00115587/3), 183/5 (PT1P/00102725/9), 184 (-), 218 (PT1P/00102725/9), 219 (PT1P/00068776/0), 198 (PT1P/00115587/3), 197 (PT1P/00068776/0). </w:t>
      </w:r>
    </w:p>
    <w:p w:rsidR="00516469" w:rsidRDefault="003B06AB">
      <w:pPr>
        <w:spacing w:after="283" w:line="360" w:lineRule="auto"/>
        <w:rPr>
          <w:rFonts w:eastAsia="NSimSun"/>
          <w:b/>
          <w:sz w:val="21"/>
          <w:szCs w:val="21"/>
        </w:rPr>
      </w:pPr>
      <w:r>
        <w:rPr>
          <w:rFonts w:ascii="Calibri" w:eastAsia="NSimSun" w:hAnsi="Calibri"/>
          <w:sz w:val="24"/>
          <w:szCs w:val="24"/>
          <w:shd w:val="clear" w:color="auto" w:fill="FFFFFF"/>
          <w:lang w:eastAsia="pl-PL"/>
        </w:rPr>
        <w:tab/>
        <w:t>W przypadku gdy po dokonaniu niniejszego obwieszczenia nastąpi: a) zbycie własności lub prawa użytkowania wiecz</w:t>
      </w:r>
      <w:r>
        <w:rPr>
          <w:rFonts w:ascii="Calibri" w:eastAsia="NSimSun" w:hAnsi="Calibri"/>
          <w:sz w:val="24"/>
          <w:szCs w:val="24"/>
          <w:shd w:val="clear" w:color="auto" w:fill="FFFFFF"/>
          <w:lang w:eastAsia="pl-PL"/>
        </w:rPr>
        <w:t xml:space="preserve">ystego nieruchomości objętej wnioskiem o wydanie decyzji o pozwoleniu na budowę, b) przeniesienie wskutek innego zdarzenia prawnego własności lub prawa </w:t>
      </w:r>
      <w:r>
        <w:rPr>
          <w:rFonts w:ascii="Calibri" w:eastAsia="NSimSun" w:hAnsi="Calibri"/>
          <w:sz w:val="24"/>
          <w:szCs w:val="24"/>
          <w:shd w:val="clear" w:color="auto" w:fill="FFFFFF"/>
          <w:lang w:eastAsia="pl-PL"/>
        </w:rPr>
        <w:lastRenderedPageBreak/>
        <w:t xml:space="preserve">użytkowania wieczystego nieruchomości objętej wnioskiem o wydanie decyzji o pozwoleniu na budowę - </w:t>
      </w:r>
      <w:r>
        <w:rPr>
          <w:rFonts w:ascii="Calibri" w:eastAsia="NSimSun" w:hAnsi="Calibri"/>
          <w:sz w:val="24"/>
          <w:szCs w:val="24"/>
          <w:shd w:val="clear" w:color="auto" w:fill="FFFFFF"/>
        </w:rPr>
        <w:t>nabyw</w:t>
      </w:r>
      <w:r>
        <w:rPr>
          <w:rFonts w:ascii="Calibri" w:eastAsia="NSimSun" w:hAnsi="Calibri"/>
          <w:sz w:val="24"/>
          <w:szCs w:val="24"/>
          <w:shd w:val="clear" w:color="auto" w:fill="FFFFFF"/>
        </w:rPr>
        <w:t xml:space="preserve">ca, a w przypadku, o którym mowa w lit. a), nabywca i zbywca, są zobowiązani do </w:t>
      </w:r>
      <w:r>
        <w:rPr>
          <w:rFonts w:ascii="Calibri" w:eastAsia="NSimSun" w:hAnsi="Calibri"/>
          <w:bCs/>
          <w:sz w:val="24"/>
          <w:szCs w:val="24"/>
          <w:shd w:val="clear" w:color="auto" w:fill="FFFFFF"/>
        </w:rPr>
        <w:t xml:space="preserve">zgłoszenia Wojewodzie Łódzkiemu danych nowego właściciela lub użytkownika wieczystego. </w:t>
      </w:r>
      <w:r>
        <w:rPr>
          <w:rFonts w:ascii="Calibri" w:eastAsia="NSimSun" w:hAnsi="Calibri"/>
          <w:sz w:val="24"/>
          <w:szCs w:val="24"/>
          <w:shd w:val="clear" w:color="auto" w:fill="FFFFFF"/>
        </w:rPr>
        <w:t xml:space="preserve">Niedokonanie powyższego zgłoszenia i prowadzenie postępowania bez udziału nowego właściciela lub użytkownika wieczystego nie stanowi podstawy do wznowienia postępowania. </w:t>
      </w:r>
    </w:p>
    <w:p w:rsidR="00516469" w:rsidRDefault="003B06AB">
      <w:pPr>
        <w:snapToGrid w:val="0"/>
        <w:spacing w:after="283" w:line="360" w:lineRule="auto"/>
        <w:rPr>
          <w:rFonts w:eastAsia="NSimSun"/>
          <w:sz w:val="21"/>
          <w:szCs w:val="21"/>
        </w:rPr>
      </w:pPr>
      <w:r>
        <w:rPr>
          <w:rFonts w:ascii="Calibri" w:eastAsia="NSimSun" w:hAnsi="Calibri"/>
          <w:b/>
          <w:sz w:val="24"/>
          <w:szCs w:val="24"/>
        </w:rPr>
        <w:tab/>
      </w:r>
      <w:r>
        <w:rPr>
          <w:rFonts w:ascii="Calibri" w:eastAsia="NSimSun" w:hAnsi="Calibri"/>
          <w:sz w:val="24"/>
          <w:szCs w:val="24"/>
        </w:rPr>
        <w:t xml:space="preserve">Zgodnie z art. 10 oraz art. 73 </w:t>
      </w:r>
      <w:r>
        <w:rPr>
          <w:rFonts w:ascii="Calibri" w:eastAsia="NSimSun" w:hAnsi="Calibri"/>
          <w:i/>
          <w:sz w:val="24"/>
          <w:szCs w:val="24"/>
        </w:rPr>
        <w:t>Kpa</w:t>
      </w:r>
      <w:r>
        <w:rPr>
          <w:rFonts w:ascii="Calibri" w:eastAsia="NSimSun" w:hAnsi="Calibri"/>
          <w:sz w:val="24"/>
          <w:szCs w:val="24"/>
        </w:rPr>
        <w:t>, do czasu wydania decyzji</w:t>
      </w:r>
      <w:r>
        <w:rPr>
          <w:rFonts w:ascii="Calibri" w:eastAsia="NSimSun" w:hAnsi="Calibri"/>
          <w:bCs/>
          <w:sz w:val="24"/>
          <w:szCs w:val="24"/>
          <w:shd w:val="clear" w:color="auto" w:fill="FFFFFF"/>
          <w:lang w:eastAsia="pl-PL"/>
        </w:rPr>
        <w:t>, strony postępowania mo</w:t>
      </w:r>
      <w:r>
        <w:rPr>
          <w:rFonts w:ascii="Calibri" w:eastAsia="NSimSun" w:hAnsi="Calibri"/>
          <w:bCs/>
          <w:sz w:val="24"/>
          <w:szCs w:val="24"/>
          <w:shd w:val="clear" w:color="auto" w:fill="FFFFFF"/>
          <w:lang w:eastAsia="pl-PL"/>
        </w:rPr>
        <w:t>gą zapoznać się ze zgromadzonym materiałem oraz uzyskać wyjaśnienia dotyczące rozpatrywanej sprawy pod nr tel</w:t>
      </w:r>
      <w:r>
        <w:rPr>
          <w:rFonts w:ascii="Calibri" w:eastAsia="NSimSun" w:hAnsi="Calibri"/>
          <w:sz w:val="24"/>
          <w:szCs w:val="24"/>
        </w:rPr>
        <w:t xml:space="preserve">.: 42 664-12-55, 42-664-14-98 lub przesłać </w:t>
      </w:r>
      <w:r>
        <w:rPr>
          <w:rFonts w:ascii="Calibri" w:eastAsia="NSimSun" w:hAnsi="Calibri"/>
          <w:sz w:val="24"/>
          <w:szCs w:val="24"/>
          <w:shd w:val="clear" w:color="auto" w:fill="FFFFFF"/>
          <w:lang w:eastAsia="pl-PL"/>
        </w:rPr>
        <w:t>uwagi na adres</w:t>
      </w:r>
      <w:r>
        <w:rPr>
          <w:rFonts w:ascii="Calibri" w:eastAsia="NSimSun" w:hAnsi="Calibri"/>
          <w:sz w:val="24"/>
          <w:szCs w:val="24"/>
          <w:lang w:eastAsia="pl-PL"/>
        </w:rPr>
        <w:t xml:space="preserve">: Łódzki Urząd Wojewódzki w Łodzi, Wydział Gospodarki Przestrzennej i </w:t>
      </w:r>
      <w:r>
        <w:rPr>
          <w:rFonts w:ascii="Calibri" w:eastAsia="NSimSun" w:hAnsi="Calibri"/>
          <w:sz w:val="24"/>
          <w:szCs w:val="24"/>
          <w:lang w:eastAsia="pl-PL"/>
        </w:rPr>
        <w:lastRenderedPageBreak/>
        <w:t>Budownictwa, ul. Pio</w:t>
      </w:r>
      <w:r>
        <w:rPr>
          <w:rFonts w:ascii="Calibri" w:eastAsia="NSimSun" w:hAnsi="Calibri"/>
          <w:sz w:val="24"/>
          <w:szCs w:val="24"/>
          <w:lang w:eastAsia="pl-PL"/>
        </w:rPr>
        <w:t xml:space="preserve">trkowska 104, 90-926 Łódź, lub elektronicznie poprzez ePUAP: </w:t>
      </w:r>
      <w:r>
        <w:rPr>
          <w:rFonts w:ascii="Calibri" w:eastAsia="NSimSun" w:hAnsi="Calibri"/>
          <w:sz w:val="24"/>
          <w:szCs w:val="24"/>
        </w:rPr>
        <w:t xml:space="preserve">/lodzuw/SkrytkaESP. </w:t>
      </w:r>
    </w:p>
    <w:p w:rsidR="00516469" w:rsidRDefault="003B06AB">
      <w:pPr>
        <w:snapToGrid w:val="0"/>
        <w:spacing w:after="283" w:line="360" w:lineRule="auto"/>
        <w:rPr>
          <w:rFonts w:eastAsia="NSimSun"/>
          <w:b/>
          <w:sz w:val="21"/>
          <w:szCs w:val="21"/>
        </w:rPr>
      </w:pPr>
      <w:r>
        <w:rPr>
          <w:rFonts w:ascii="Calibri" w:eastAsia="NSimSun" w:hAnsi="Calibri"/>
          <w:sz w:val="24"/>
          <w:szCs w:val="24"/>
        </w:rPr>
        <w:tab/>
        <w:t xml:space="preserve">Obwieszczenie niniejsze uważa się za dokonane po upływie 14 dni od dnia publicznego ogłoszenia, które nastąpiło 6.07.2023 r. </w:t>
      </w:r>
    </w:p>
    <w:p w:rsidR="00516469" w:rsidRDefault="003B06AB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t xml:space="preserve">Z up. WOJEWODY </w:t>
      </w: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lastRenderedPageBreak/>
        <w:t>ŁÓDZKIEGO</w:t>
      </w: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t>Agata Urba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lastRenderedPageBreak/>
        <w:t>n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>Dyrektor W</w:t>
      </w: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>ydziału G</w:t>
      </w: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lastRenderedPageBreak/>
        <w:t>ospodarki Przestrze</w:t>
      </w: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lastRenderedPageBreak/>
        <w:t>nnej i Budownictwa</w:t>
      </w:r>
    </w:p>
    <w:p w:rsidR="00516469" w:rsidRDefault="003B06AB">
      <w:pPr>
        <w:tabs>
          <w:tab w:val="center" w:pos="6345"/>
        </w:tabs>
        <w:snapToGrid w:val="0"/>
        <w:spacing w:line="360" w:lineRule="auto"/>
        <w:ind w:left="4967"/>
        <w:jc w:val="center"/>
        <w:rPr>
          <w:rFonts w:eastAsia="NSimSun"/>
          <w:bCs/>
          <w:i/>
          <w:iCs/>
          <w:color w:val="000000"/>
          <w:sz w:val="18"/>
          <w:szCs w:val="18"/>
        </w:rPr>
      </w:pPr>
      <w:r>
        <w:rPr>
          <w:rFonts w:ascii="Calibri" w:eastAsia="NSimSun" w:hAnsi="Calibri"/>
          <w:bCs/>
          <w:i/>
          <w:iCs/>
          <w:color w:val="000000"/>
          <w:sz w:val="24"/>
          <w:szCs w:val="24"/>
        </w:rPr>
        <w:t>/d</w:t>
      </w:r>
      <w:r>
        <w:rPr>
          <w:rFonts w:ascii="Calibri" w:eastAsia="NSimSun" w:hAnsi="Calibri"/>
          <w:bCs/>
          <w:i/>
          <w:iCs/>
          <w:color w:val="000000"/>
          <w:sz w:val="24"/>
          <w:szCs w:val="24"/>
        </w:rPr>
        <w:lastRenderedPageBreak/>
        <w:t xml:space="preserve">okument podpisano </w:t>
      </w:r>
    </w:p>
    <w:p w:rsidR="00516469" w:rsidRDefault="003B06AB">
      <w:pPr>
        <w:tabs>
          <w:tab w:val="center" w:pos="6345"/>
        </w:tabs>
        <w:snapToGrid w:val="0"/>
        <w:spacing w:line="360" w:lineRule="auto"/>
        <w:ind w:left="4967"/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Cs/>
          <w:i/>
          <w:iCs/>
          <w:color w:val="000000"/>
          <w:sz w:val="24"/>
          <w:szCs w:val="24"/>
        </w:rPr>
        <w:t>kwa</w:t>
      </w:r>
      <w:r>
        <w:rPr>
          <w:rFonts w:ascii="Calibri" w:eastAsia="NSimSun" w:hAnsi="Calibri"/>
          <w:bCs/>
          <w:i/>
          <w:iCs/>
          <w:color w:val="000000"/>
          <w:sz w:val="24"/>
          <w:szCs w:val="24"/>
        </w:rPr>
        <w:lastRenderedPageBreak/>
        <w:t xml:space="preserve">lifikowanym </w:t>
      </w:r>
      <w:r>
        <w:rPr>
          <w:rFonts w:ascii="Calibri" w:eastAsia="NSimSun" w:hAnsi="Calibri"/>
          <w:i/>
          <w:iCs/>
          <w:color w:val="000000"/>
          <w:sz w:val="24"/>
          <w:szCs w:val="24"/>
        </w:rPr>
        <w:t>podpisem el</w:t>
      </w:r>
      <w:r>
        <w:rPr>
          <w:rFonts w:ascii="Calibri" w:eastAsia="NSimSun" w:hAnsi="Calibri"/>
          <w:i/>
          <w:iCs/>
          <w:color w:val="000000"/>
          <w:sz w:val="24"/>
          <w:szCs w:val="24"/>
        </w:rPr>
        <w:lastRenderedPageBreak/>
        <w:t xml:space="preserve">ektronicznym/ </w:t>
      </w:r>
    </w:p>
    <w:sectPr w:rsidR="00516469">
      <w:headerReference w:type="default" r:id="rId7"/>
      <w:footerReference w:type="default" r:id="rId8"/>
      <w:footerReference w:type="first" r:id="rId9"/>
      <w:pgSz w:w="11906" w:h="16838"/>
      <w:pgMar w:top="851" w:right="1398" w:bottom="1276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6AB" w:rsidRDefault="003B06AB">
      <w:r>
        <w:separator/>
      </w:r>
    </w:p>
  </w:endnote>
  <w:endnote w:type="continuationSeparator" w:id="0">
    <w:p w:rsidR="003B06AB" w:rsidRDefault="003B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984813"/>
      <w:docPartObj>
        <w:docPartGallery w:val="Page Numbers (Bottom of Page)"/>
        <w:docPartUnique/>
      </w:docPartObj>
    </w:sdtPr>
    <w:sdtEndPr/>
    <w:sdtContent>
      <w:p w:rsidR="00516469" w:rsidRDefault="003B06AB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A2C1C">
          <w:rPr>
            <w:noProof/>
          </w:rPr>
          <w:t>2</w:t>
        </w:r>
        <w:r>
          <w:fldChar w:fldCharType="end"/>
        </w:r>
      </w:p>
    </w:sdtContent>
  </w:sdt>
  <w:p w:rsidR="00516469" w:rsidRDefault="005164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69" w:rsidRDefault="003B06AB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516469" w:rsidRDefault="003B06AB">
    <w:pPr>
      <w:pStyle w:val="Stopka"/>
      <w:jc w:val="center"/>
    </w:pPr>
    <w:r>
      <w:rPr>
        <w:sz w:val="14"/>
      </w:rPr>
      <w:t xml:space="preserve">90-926 Łódź, ul. Piotrkowska </w:t>
    </w:r>
    <w:r>
      <w:rPr>
        <w:sz w:val="14"/>
      </w:rPr>
      <w:t>104, tel.: (+48) 42 664 10 00, fax: (+48) 42 664 10 40 Elektroniczna Skrzynka Podawcza ePUAP: /lodzuw/SkrytkaESP</w:t>
    </w:r>
  </w:p>
  <w:p w:rsidR="00516469" w:rsidRDefault="003B06AB">
    <w:pPr>
      <w:pStyle w:val="Stopka"/>
      <w:jc w:val="center"/>
    </w:pPr>
    <w:hyperlink r:id="rId1">
      <w:r>
        <w:rPr>
          <w:rStyle w:val="czeinternetowe"/>
          <w:sz w:val="16"/>
          <w:szCs w:val="16"/>
        </w:rPr>
        <w:t>https://www.gov.pl/web/uw-lodzki</w:t>
      </w:r>
    </w:hyperlink>
  </w:p>
  <w:p w:rsidR="00516469" w:rsidRDefault="003B06AB">
    <w:pPr>
      <w:pStyle w:val="Stopka"/>
      <w:jc w:val="center"/>
    </w:pPr>
    <w:r>
      <w:rPr>
        <w:sz w:val="14"/>
      </w:rPr>
      <w:t>Administratorem danych osobowych jest Wojewoda Łódzki. Dane przetwar</w:t>
    </w:r>
    <w:r>
      <w:rPr>
        <w:sz w:val="14"/>
      </w:rPr>
      <w:t xml:space="preserve">zane są w celu realizacji czynności urzędowych. Masz prawo do dostępu, sprostowania, ograniczenia przetwarzania danych. Więcej informacji znajdziesz na stronie </w:t>
    </w:r>
    <w:hyperlink r:id="rId2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</w:t>
    </w:r>
    <w:r>
      <w:rPr>
        <w:sz w:val="14"/>
      </w:rPr>
      <w:t>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6AB" w:rsidRDefault="003B06AB">
      <w:r>
        <w:separator/>
      </w:r>
    </w:p>
  </w:footnote>
  <w:footnote w:type="continuationSeparator" w:id="0">
    <w:p w:rsidR="003B06AB" w:rsidRDefault="003B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69" w:rsidRDefault="00516469">
    <w:pPr>
      <w:spacing w:line="360" w:lineRule="auto"/>
      <w:ind w:right="11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460"/>
    <w:multiLevelType w:val="multilevel"/>
    <w:tmpl w:val="20B667F0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69"/>
    <w:rsid w:val="003B06AB"/>
    <w:rsid w:val="00516469"/>
    <w:rsid w:val="008A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FF2BF-C837-4D21-A70C-49ED245C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Pr>
      <w:kern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518CC"/>
    <w:rPr>
      <w:rFonts w:ascii="Segoe UI" w:eastAsia="Times New Roman" w:hAnsi="Segoe UI" w:cs="Segoe UI"/>
      <w:kern w:val="2"/>
      <w:sz w:val="18"/>
      <w:szCs w:val="18"/>
      <w:lang w:bidi="ar-SA"/>
    </w:rPr>
  </w:style>
  <w:style w:type="character" w:customStyle="1" w:styleId="ListLabel1">
    <w:name w:val="ListLabel 1"/>
    <w:qFormat/>
    <w:rPr>
      <w:sz w:val="16"/>
      <w:szCs w:val="16"/>
    </w:rPr>
  </w:style>
  <w:style w:type="character" w:customStyle="1" w:styleId="ListLabel2">
    <w:name w:val="ListLabel 2"/>
    <w:qFormat/>
    <w:rPr>
      <w:sz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518CC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1219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Wanda Rutecka - Wybraniec</cp:lastModifiedBy>
  <cp:revision>2</cp:revision>
  <cp:lastPrinted>2023-06-12T08:25:00Z</cp:lastPrinted>
  <dcterms:created xsi:type="dcterms:W3CDTF">2023-07-04T09:50:00Z</dcterms:created>
  <dcterms:modified xsi:type="dcterms:W3CDTF">2023-07-04T09:50:00Z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