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691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przemieszczenie zabytku nieruchomego albo trwałe przeniesienie zabytku ruchomego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36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Wskazanie przewidywanego terminu rozpoczęcia i zakończenia przemieszczenia zabytku nieruchomego albo przenoszenia zabytku ruchomego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Uzasadnienie wniosku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Spacing"/>
        <w:spacing w:lineRule="auto" w:line="36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Imię, nazwisko i adres osoby kierującej robotami budowlanymi i osoby wykonującej nadzór inwestorski albo oświadczenie,</w:t>
      </w:r>
      <w:r>
        <w:rPr>
          <w:rFonts w:cs="Calibri" w:ascii="Calibri" w:hAnsi="Calibri" w:asciiTheme="minorHAnsi" w:cstheme="minorHAnsi" w:hAnsiTheme="minorHAnsi"/>
        </w:rPr>
        <w:t xml:space="preserve"> że osoby te zostaną wyłonione w postępowaniu o udzielenie zamówienia publicznego, z zastosowaniem kryterium posiadania kwalifikacji, o których mowa w art.37c ustawy z dnia 23 lipca 2003 r. o ochronie zabytków i opiece nad zabytkami*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* Wyłącznie w przypadku wniosku o przemieszczenie zabytku nieruchomego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742408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a1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d67a1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d67a1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NoSpacing">
    <w:name w:val="No Spacing"/>
    <w:uiPriority w:val="1"/>
    <w:qFormat/>
    <w:rsid w:val="00d67a12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l-PL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67a1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67a12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LibreOffice/7.5.3.2$Windows_X86_64 LibreOffice_project/9f56dff12ba03b9acd7730a5a481eea045e468f3</Application>
  <AppVersion>15.0000</AppVersion>
  <Pages>5</Pages>
  <Words>988</Words>
  <Characters>8994</Characters>
  <CharactersWithSpaces>9908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2024-06-21T08:43:00Z</dcterms:created>
  <dc:creator>Michał Sowa</dc:creator>
  <dc:description/>
  <dc:language>pl-PL</dc:language>
  <cp:lastModifiedBy/>
  <dcterms:modified xsi:type="dcterms:W3CDTF">2024-09-17T14:05:35Z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