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405D4" w:rsidTr="00A405D4">
        <w:tc>
          <w:tcPr>
            <w:tcW w:w="4531" w:type="dxa"/>
          </w:tcPr>
          <w:p w:rsidR="00A405D4" w:rsidRDefault="00A405D4" w:rsidP="00A67960">
            <w:pPr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31" w:type="dxa"/>
          </w:tcPr>
          <w:p w:rsidR="00A405D4" w:rsidRDefault="00A405D4" w:rsidP="00FE5418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1F5A97" w:rsidRDefault="00FE5418" w:rsidP="00FE5418">
      <w:pPr>
        <w:jc w:val="both"/>
        <w:rPr>
          <w:b/>
          <w:bCs/>
          <w:sz w:val="26"/>
          <w:szCs w:val="26"/>
        </w:rPr>
      </w:pPr>
      <w:r w:rsidRPr="00774BBE">
        <w:rPr>
          <w:b/>
          <w:bCs/>
          <w:sz w:val="26"/>
          <w:szCs w:val="26"/>
        </w:rPr>
        <w:t xml:space="preserve">Informacja </w:t>
      </w:r>
      <w:r w:rsidR="008B38BB">
        <w:rPr>
          <w:b/>
          <w:bCs/>
          <w:sz w:val="26"/>
          <w:szCs w:val="26"/>
        </w:rPr>
        <w:t xml:space="preserve">Ministra Spraw Wewnętrznych i Administracji </w:t>
      </w:r>
      <w:r w:rsidR="00495A78" w:rsidRPr="00774BBE">
        <w:rPr>
          <w:b/>
          <w:bCs/>
          <w:sz w:val="26"/>
          <w:szCs w:val="26"/>
        </w:rPr>
        <w:t xml:space="preserve">z dnia </w:t>
      </w:r>
      <w:r w:rsidR="00FE5F4B">
        <w:rPr>
          <w:b/>
          <w:bCs/>
          <w:sz w:val="26"/>
          <w:szCs w:val="26"/>
        </w:rPr>
        <w:t>6 kwietnia</w:t>
      </w:r>
      <w:r w:rsidR="00FA38BB">
        <w:rPr>
          <w:b/>
          <w:bCs/>
          <w:sz w:val="26"/>
          <w:szCs w:val="26"/>
        </w:rPr>
        <w:t xml:space="preserve"> </w:t>
      </w:r>
      <w:r w:rsidR="00D80C0E" w:rsidRPr="00D80C0E">
        <w:rPr>
          <w:b/>
          <w:bCs/>
          <w:sz w:val="26"/>
          <w:szCs w:val="26"/>
        </w:rPr>
        <w:t>20</w:t>
      </w:r>
      <w:r w:rsidR="00262DF8">
        <w:rPr>
          <w:b/>
          <w:bCs/>
          <w:sz w:val="26"/>
          <w:szCs w:val="26"/>
        </w:rPr>
        <w:t>20</w:t>
      </w:r>
      <w:r w:rsidR="00D80C0E" w:rsidRPr="00D80C0E">
        <w:rPr>
          <w:b/>
          <w:bCs/>
          <w:sz w:val="26"/>
          <w:szCs w:val="26"/>
        </w:rPr>
        <w:t xml:space="preserve"> r.</w:t>
      </w:r>
      <w:r w:rsidR="00312CA6" w:rsidRPr="00D80C0E">
        <w:rPr>
          <w:b/>
          <w:bCs/>
          <w:sz w:val="26"/>
          <w:szCs w:val="26"/>
        </w:rPr>
        <w:t xml:space="preserve"> </w:t>
      </w:r>
      <w:r w:rsidRPr="00774BBE">
        <w:rPr>
          <w:b/>
          <w:bCs/>
          <w:sz w:val="26"/>
          <w:szCs w:val="26"/>
        </w:rPr>
        <w:t>o</w:t>
      </w:r>
      <w:r w:rsidR="008B38BB">
        <w:rPr>
          <w:b/>
          <w:bCs/>
          <w:sz w:val="26"/>
          <w:szCs w:val="26"/>
        </w:rPr>
        <w:t> </w:t>
      </w:r>
      <w:r w:rsidRPr="00774BBE">
        <w:rPr>
          <w:b/>
          <w:bCs/>
          <w:sz w:val="26"/>
          <w:szCs w:val="26"/>
        </w:rPr>
        <w:t>szczegółowych zasadach postępowania przy udz</w:t>
      </w:r>
      <w:r w:rsidR="008B38BB">
        <w:rPr>
          <w:b/>
          <w:bCs/>
          <w:sz w:val="26"/>
          <w:szCs w:val="26"/>
        </w:rPr>
        <w:t>ielaniu dotacji na realizację w </w:t>
      </w:r>
      <w:r w:rsidR="00FA38BB" w:rsidRPr="00774BBE">
        <w:rPr>
          <w:b/>
          <w:bCs/>
          <w:sz w:val="26"/>
          <w:szCs w:val="26"/>
        </w:rPr>
        <w:t>20</w:t>
      </w:r>
      <w:r w:rsidR="00FA38BB">
        <w:rPr>
          <w:b/>
          <w:bCs/>
          <w:sz w:val="26"/>
          <w:szCs w:val="26"/>
        </w:rPr>
        <w:t>21</w:t>
      </w:r>
      <w:r w:rsidR="008B38BB">
        <w:rPr>
          <w:b/>
          <w:bCs/>
          <w:sz w:val="26"/>
          <w:szCs w:val="26"/>
        </w:rPr>
        <w:t> </w:t>
      </w:r>
      <w:r w:rsidRPr="00774BBE">
        <w:rPr>
          <w:b/>
          <w:bCs/>
          <w:sz w:val="26"/>
          <w:szCs w:val="26"/>
        </w:rPr>
        <w:t>r. zadań mających na celu ochronę, zachowanie i rozwój tożsamości kulturowej mniejszości narodowych i</w:t>
      </w:r>
      <w:r w:rsidR="00A405D4">
        <w:rPr>
          <w:b/>
          <w:bCs/>
          <w:sz w:val="26"/>
          <w:szCs w:val="26"/>
        </w:rPr>
        <w:t xml:space="preserve"> </w:t>
      </w:r>
      <w:r w:rsidRPr="00774BBE">
        <w:rPr>
          <w:b/>
          <w:bCs/>
          <w:sz w:val="26"/>
          <w:szCs w:val="26"/>
        </w:rPr>
        <w:t>etnicznych oraz zachowanie i rozwój języka regionalnego</w:t>
      </w:r>
      <w:r w:rsidR="00AB5DE7">
        <w:rPr>
          <w:b/>
          <w:bCs/>
          <w:sz w:val="26"/>
          <w:szCs w:val="26"/>
        </w:rPr>
        <w:t xml:space="preserve">, o których mowa w art. 18 ust. 2 pkt 1, 3-9 ustawy z dnia </w:t>
      </w:r>
      <w:r w:rsidR="008B38BB">
        <w:rPr>
          <w:b/>
          <w:bCs/>
          <w:sz w:val="26"/>
          <w:szCs w:val="26"/>
        </w:rPr>
        <w:t>6 stycznia 2005 </w:t>
      </w:r>
      <w:r w:rsidR="00AB5DE7" w:rsidRPr="00AB5DE7">
        <w:rPr>
          <w:b/>
          <w:bCs/>
          <w:sz w:val="26"/>
          <w:szCs w:val="26"/>
        </w:rPr>
        <w:t xml:space="preserve">r. </w:t>
      </w:r>
      <w:r w:rsidR="00B27B78">
        <w:rPr>
          <w:b/>
          <w:bCs/>
          <w:i/>
          <w:sz w:val="26"/>
          <w:szCs w:val="26"/>
        </w:rPr>
        <w:t xml:space="preserve">o mniejszościach narodowych i </w:t>
      </w:r>
      <w:r w:rsidR="00AB5DE7" w:rsidRPr="00AB5DE7">
        <w:rPr>
          <w:b/>
          <w:bCs/>
          <w:i/>
          <w:sz w:val="26"/>
          <w:szCs w:val="26"/>
        </w:rPr>
        <w:t>etnicznych oraz języku regionalnym</w:t>
      </w:r>
      <w:r w:rsidR="00837B1D">
        <w:rPr>
          <w:rStyle w:val="Odwoanieprzypisudolnego"/>
          <w:b/>
          <w:bCs/>
          <w:i/>
          <w:sz w:val="26"/>
          <w:szCs w:val="26"/>
        </w:rPr>
        <w:footnoteReference w:id="2"/>
      </w:r>
      <w:r w:rsidR="00AB5DE7">
        <w:rPr>
          <w:b/>
          <w:bCs/>
          <w:sz w:val="26"/>
          <w:szCs w:val="26"/>
        </w:rPr>
        <w:t>.</w:t>
      </w:r>
    </w:p>
    <w:p w:rsidR="0095667B" w:rsidRDefault="0095667B" w:rsidP="00FE5418">
      <w:pPr>
        <w:jc w:val="both"/>
        <w:rPr>
          <w:b/>
          <w:bCs/>
        </w:rPr>
      </w:pPr>
    </w:p>
    <w:p w:rsidR="00FE5418" w:rsidRPr="00FE5418" w:rsidRDefault="00FE5418" w:rsidP="00FE5418">
      <w:pPr>
        <w:jc w:val="both"/>
      </w:pPr>
      <w:r w:rsidRPr="00FE5418">
        <w:rPr>
          <w:b/>
          <w:bCs/>
        </w:rPr>
        <w:t>I. Informacje</w:t>
      </w:r>
      <w:r w:rsidRPr="00FE5418">
        <w:t xml:space="preserve"> </w:t>
      </w:r>
      <w:r w:rsidRPr="00FE5418">
        <w:rPr>
          <w:b/>
          <w:bCs/>
        </w:rPr>
        <w:t>ogólne</w:t>
      </w:r>
    </w:p>
    <w:p w:rsidR="00796598" w:rsidRDefault="00FE5418" w:rsidP="00AB5DE7">
      <w:pPr>
        <w:numPr>
          <w:ilvl w:val="0"/>
          <w:numId w:val="1"/>
        </w:numPr>
        <w:jc w:val="both"/>
      </w:pPr>
      <w:r w:rsidRPr="00FE5418">
        <w:t xml:space="preserve">Na podstawie art. 18 ust. 3 ustawy z dnia 6 stycznia 2005 r. </w:t>
      </w:r>
      <w:r w:rsidRPr="00D6743A">
        <w:rPr>
          <w:i/>
        </w:rPr>
        <w:t>o mniejszościach narodowych i etnicznych oraz języku regionalnym</w:t>
      </w:r>
      <w:r w:rsidR="00495A78" w:rsidRPr="000F514D">
        <w:t>,</w:t>
      </w:r>
      <w:r w:rsidR="00495A78">
        <w:t xml:space="preserve"> zwanej dalej „ustawą”,</w:t>
      </w:r>
      <w:r w:rsidR="00C42EE2">
        <w:t xml:space="preserve"> Minister Spraw Wewnętrznych i </w:t>
      </w:r>
      <w:r w:rsidRPr="00FE5418">
        <w:t>Administracji</w:t>
      </w:r>
      <w:r w:rsidR="00ED3918">
        <w:t xml:space="preserve"> </w:t>
      </w:r>
      <w:r w:rsidRPr="00FE5418">
        <w:t xml:space="preserve">określa </w:t>
      </w:r>
      <w:r w:rsidR="00D6743A">
        <w:t xml:space="preserve">niniejszą </w:t>
      </w:r>
      <w:r w:rsidR="00E24679">
        <w:t>„</w:t>
      </w:r>
      <w:r w:rsidR="00D6743A">
        <w:t xml:space="preserve">Informacją </w:t>
      </w:r>
      <w:r w:rsidR="00D6743A" w:rsidRPr="00D6743A">
        <w:rPr>
          <w:bCs/>
        </w:rPr>
        <w:t xml:space="preserve">o szczegółowych zasadach postępowania przy udzielaniu dotacji na realizację w </w:t>
      </w:r>
      <w:r w:rsidR="00FA38BB" w:rsidRPr="00D6743A">
        <w:rPr>
          <w:bCs/>
        </w:rPr>
        <w:t>20</w:t>
      </w:r>
      <w:r w:rsidR="00FA38BB">
        <w:rPr>
          <w:bCs/>
        </w:rPr>
        <w:t>21</w:t>
      </w:r>
      <w:r w:rsidR="00D6743A" w:rsidRPr="00D6743A">
        <w:rPr>
          <w:bCs/>
        </w:rPr>
        <w:t xml:space="preserve"> r. zadań mających na celu ochronę, zachowanie i rozwój tożsamości kulturowej mniejszości narodowych i etnicznych oraz zachowanie i rozwój języka regionalnego</w:t>
      </w:r>
      <w:r w:rsidR="00AB5DE7" w:rsidRPr="00AB5DE7">
        <w:rPr>
          <w:bCs/>
        </w:rPr>
        <w:t xml:space="preserve">, o których mowa w art. 18 ust. 2 pkt 1, 3-9 ustawy z dnia 6 stycznia 2005 r. </w:t>
      </w:r>
      <w:r w:rsidR="00C42EE2">
        <w:rPr>
          <w:bCs/>
          <w:i/>
        </w:rPr>
        <w:t>o </w:t>
      </w:r>
      <w:r w:rsidR="00AB5DE7" w:rsidRPr="00E24679">
        <w:rPr>
          <w:bCs/>
          <w:i/>
        </w:rPr>
        <w:t>mniejszościach narodowych i etnicznych oraz języku regionalnym</w:t>
      </w:r>
      <w:r w:rsidR="00E24679">
        <w:rPr>
          <w:bCs/>
        </w:rPr>
        <w:t>”</w:t>
      </w:r>
      <w:r w:rsidR="00D6743A">
        <w:rPr>
          <w:bCs/>
        </w:rPr>
        <w:t xml:space="preserve">, zwanej dalej </w:t>
      </w:r>
      <w:r w:rsidR="00505933">
        <w:rPr>
          <w:bCs/>
        </w:rPr>
        <w:t>„</w:t>
      </w:r>
      <w:r w:rsidRPr="003F5149">
        <w:rPr>
          <w:i/>
        </w:rPr>
        <w:t>Informacją</w:t>
      </w:r>
      <w:r w:rsidR="00505933">
        <w:rPr>
          <w:i/>
        </w:rPr>
        <w:t>”</w:t>
      </w:r>
      <w:r w:rsidR="00D6743A">
        <w:rPr>
          <w:i/>
        </w:rPr>
        <w:t>,</w:t>
      </w:r>
      <w:r w:rsidRPr="00FE5418">
        <w:t xml:space="preserve"> zasady postępowania przy udzielaniu dotacji na ochronę, zachowanie i</w:t>
      </w:r>
      <w:r w:rsidR="00FF016D">
        <w:t xml:space="preserve"> </w:t>
      </w:r>
      <w:r w:rsidRPr="00FE5418">
        <w:t>rozwój tożsamości kulturowej mniejszości narodowych i</w:t>
      </w:r>
      <w:r w:rsidR="00FF016D">
        <w:t xml:space="preserve"> </w:t>
      </w:r>
      <w:r w:rsidRPr="00FE5418">
        <w:t xml:space="preserve">etnicznych oraz zachowanie i rozwój języka regionalnego, </w:t>
      </w:r>
      <w:r w:rsidR="00796598" w:rsidRPr="00796598">
        <w:t>z</w:t>
      </w:r>
      <w:r w:rsidR="00AB5DE7">
        <w:t xml:space="preserve"> </w:t>
      </w:r>
      <w:r w:rsidR="00796598" w:rsidRPr="00796598">
        <w:t>pominięciem otwartego konkursu ofert</w:t>
      </w:r>
      <w:r w:rsidR="00796598">
        <w:t>.</w:t>
      </w:r>
    </w:p>
    <w:p w:rsidR="00FE5418" w:rsidRPr="00FE5418" w:rsidRDefault="00796598" w:rsidP="00FE5418">
      <w:pPr>
        <w:numPr>
          <w:ilvl w:val="0"/>
          <w:numId w:val="1"/>
        </w:numPr>
        <w:jc w:val="both"/>
      </w:pPr>
      <w:r w:rsidRPr="00796598">
        <w:rPr>
          <w:i/>
        </w:rPr>
        <w:t>Informacja</w:t>
      </w:r>
      <w:r>
        <w:rPr>
          <w:i/>
        </w:rPr>
        <w:t xml:space="preserve"> </w:t>
      </w:r>
      <w:r>
        <w:t>określa</w:t>
      </w:r>
      <w:r w:rsidR="00FE5418" w:rsidRPr="00FE5418">
        <w:t xml:space="preserve"> wzory </w:t>
      </w:r>
      <w:r>
        <w:t xml:space="preserve">następujących </w:t>
      </w:r>
      <w:r w:rsidR="00FE5418" w:rsidRPr="00FE5418">
        <w:t>dokumentów:</w:t>
      </w:r>
    </w:p>
    <w:p w:rsidR="008F3793" w:rsidRDefault="008F3793" w:rsidP="008637BC">
      <w:pPr>
        <w:pStyle w:val="Akapitzlist"/>
        <w:numPr>
          <w:ilvl w:val="0"/>
          <w:numId w:val="11"/>
        </w:numPr>
        <w:jc w:val="both"/>
      </w:pPr>
      <w:r w:rsidRPr="008F3793">
        <w:t>wzór wniosku o udziel</w:t>
      </w:r>
      <w:r w:rsidR="00ED3918">
        <w:t>e</w:t>
      </w:r>
      <w:r w:rsidRPr="008F3793">
        <w:t xml:space="preserve">nie dotacji na realizację zadania mającego na celu ochronę, zachowanie i rozwój tożsamości kulturowej mniejszości narodowych i etnicznych oraz zachowanie i rozwój języka regionalnego, stanowiący </w:t>
      </w:r>
      <w:hyperlink r:id="rId9" w:history="1">
        <w:r w:rsidRPr="00C42EE2">
          <w:t>załącznik nr 1</w:t>
        </w:r>
      </w:hyperlink>
      <w:r w:rsidRPr="008F3793">
        <w:t xml:space="preserve"> do</w:t>
      </w:r>
      <w:r w:rsidR="00FF016D">
        <w:t xml:space="preserve"> </w:t>
      </w:r>
      <w:r w:rsidRPr="005D2C63">
        <w:rPr>
          <w:i/>
        </w:rPr>
        <w:t>Informacji</w:t>
      </w:r>
      <w:r w:rsidR="00240653">
        <w:t>;</w:t>
      </w:r>
    </w:p>
    <w:p w:rsidR="00FE5418" w:rsidRDefault="00FE5418" w:rsidP="008637BC">
      <w:pPr>
        <w:pStyle w:val="Akapitzlist"/>
        <w:numPr>
          <w:ilvl w:val="0"/>
          <w:numId w:val="11"/>
        </w:numPr>
        <w:jc w:val="both"/>
      </w:pPr>
      <w:r w:rsidRPr="00FE5418">
        <w:t xml:space="preserve">ramowy wzór umowy </w:t>
      </w:r>
      <w:r w:rsidR="00803DF8" w:rsidRPr="00803DF8">
        <w:t>na realizację zadania mającego na celu ochronę, zachowanie i rozwój tożsamości kulturowej mniejszości narodowych i etnicznych oraz zachowanie i rozwój języka regionalnego</w:t>
      </w:r>
      <w:r w:rsidRPr="00FE5418">
        <w:t xml:space="preserve">, stanowiący załącznik nr </w:t>
      </w:r>
      <w:r w:rsidR="008F3793">
        <w:t>2</w:t>
      </w:r>
      <w:r w:rsidR="008F3793" w:rsidRPr="00FE5418">
        <w:t xml:space="preserve"> </w:t>
      </w:r>
      <w:r w:rsidRPr="00FE5418">
        <w:t xml:space="preserve">do </w:t>
      </w:r>
      <w:r w:rsidRPr="00D20343">
        <w:rPr>
          <w:i/>
        </w:rPr>
        <w:t>Informacji</w:t>
      </w:r>
      <w:r w:rsidR="00505933">
        <w:t>;</w:t>
      </w:r>
    </w:p>
    <w:p w:rsidR="00FE5418" w:rsidRPr="006334C5" w:rsidRDefault="00ED3918" w:rsidP="008637BC">
      <w:pPr>
        <w:pStyle w:val="Akapitzlist"/>
        <w:numPr>
          <w:ilvl w:val="0"/>
          <w:numId w:val="11"/>
        </w:numPr>
        <w:jc w:val="both"/>
      </w:pPr>
      <w:r w:rsidRPr="003F5149">
        <w:rPr>
          <w:rFonts w:ascii="Calibri" w:eastAsia="Calibri" w:hAnsi="Calibri" w:cs="Times New Roman"/>
        </w:rPr>
        <w:t>ramowy wzór oświadczenia o zgodności ze stanem prawnym i faktycznym odpisu z</w:t>
      </w:r>
      <w:r w:rsidR="005D2C63">
        <w:rPr>
          <w:rFonts w:ascii="Calibri" w:eastAsia="Calibri" w:hAnsi="Calibri" w:cs="Times New Roman"/>
        </w:rPr>
        <w:t> </w:t>
      </w:r>
      <w:r w:rsidRPr="003F5149">
        <w:rPr>
          <w:rFonts w:ascii="Calibri" w:eastAsia="Calibri" w:hAnsi="Calibri" w:cs="Times New Roman"/>
        </w:rPr>
        <w:t xml:space="preserve">rejestru/wyciągu z ewidencji lub innych dokumentów potwierdzających status prawny </w:t>
      </w:r>
      <w:r w:rsidR="00D20343">
        <w:rPr>
          <w:rFonts w:ascii="Calibri" w:eastAsia="Calibri" w:hAnsi="Calibri" w:cs="Times New Roman"/>
        </w:rPr>
        <w:t>zlec</w:t>
      </w:r>
      <w:r w:rsidR="00240653">
        <w:rPr>
          <w:rFonts w:ascii="Calibri" w:eastAsia="Calibri" w:hAnsi="Calibri" w:cs="Times New Roman"/>
        </w:rPr>
        <w:t>eniobiorcy</w:t>
      </w:r>
      <w:r w:rsidRPr="003F5149">
        <w:rPr>
          <w:rFonts w:ascii="Calibri" w:eastAsia="Calibri" w:hAnsi="Calibri" w:cs="Times New Roman"/>
        </w:rPr>
        <w:t xml:space="preserve"> oraz umocowanie osób go reprezentujących w dniu podpisania umowy/aneksu/innego oświadczenia woli</w:t>
      </w:r>
      <w:r w:rsidR="00CA4468" w:rsidRPr="003F5149">
        <w:rPr>
          <w:rFonts w:ascii="Calibri" w:eastAsia="Calibri" w:hAnsi="Calibri" w:cs="Times New Roman"/>
        </w:rPr>
        <w:t xml:space="preserve">, stanowiący załącznik nr </w:t>
      </w:r>
      <w:r w:rsidR="00AE2811">
        <w:rPr>
          <w:rFonts w:ascii="Calibri" w:eastAsia="Calibri" w:hAnsi="Calibri" w:cs="Times New Roman"/>
        </w:rPr>
        <w:t>3</w:t>
      </w:r>
      <w:r w:rsidR="00AE2811" w:rsidRPr="003F5149">
        <w:rPr>
          <w:rFonts w:ascii="Calibri" w:eastAsia="Calibri" w:hAnsi="Calibri" w:cs="Times New Roman"/>
        </w:rPr>
        <w:t xml:space="preserve"> </w:t>
      </w:r>
      <w:r w:rsidR="00CA4468" w:rsidRPr="003F5149">
        <w:rPr>
          <w:rFonts w:ascii="Calibri" w:eastAsia="Calibri" w:hAnsi="Calibri" w:cs="Times New Roman"/>
        </w:rPr>
        <w:t xml:space="preserve">do </w:t>
      </w:r>
      <w:r w:rsidR="00CA4468" w:rsidRPr="005D2C63">
        <w:rPr>
          <w:rFonts w:ascii="Calibri" w:eastAsia="Calibri" w:hAnsi="Calibri" w:cs="Times New Roman"/>
          <w:i/>
        </w:rPr>
        <w:t>Informacji</w:t>
      </w:r>
      <w:r w:rsidR="00505933">
        <w:rPr>
          <w:rFonts w:ascii="Calibri" w:eastAsia="Calibri" w:hAnsi="Calibri" w:cs="Times New Roman"/>
        </w:rPr>
        <w:t>;</w:t>
      </w:r>
    </w:p>
    <w:p w:rsidR="0095316C" w:rsidRPr="00774191" w:rsidRDefault="00CA4468" w:rsidP="008637BC">
      <w:pPr>
        <w:pStyle w:val="Akapitzlist"/>
        <w:numPr>
          <w:ilvl w:val="0"/>
          <w:numId w:val="11"/>
        </w:numPr>
        <w:jc w:val="both"/>
      </w:pPr>
      <w:r w:rsidRPr="0095316C">
        <w:rPr>
          <w:rFonts w:ascii="Calibri" w:eastAsia="Calibri" w:hAnsi="Calibri" w:cs="Times New Roman"/>
        </w:rPr>
        <w:t xml:space="preserve">wzór sprawozdania z realizacji zadania mającego na celu ochronę, zachowanie i rozwój tożsamości kulturowej mniejszości narodowych i etnicznych oraz zachowanie i rozwój języka regionalnego, stanowiący załącznik nr </w:t>
      </w:r>
      <w:r w:rsidR="00AE2811" w:rsidRPr="0095316C">
        <w:rPr>
          <w:rFonts w:ascii="Calibri" w:eastAsia="Calibri" w:hAnsi="Calibri" w:cs="Times New Roman"/>
        </w:rPr>
        <w:t xml:space="preserve">4 </w:t>
      </w:r>
      <w:r w:rsidRPr="0095316C">
        <w:rPr>
          <w:rFonts w:ascii="Calibri" w:eastAsia="Calibri" w:hAnsi="Calibri" w:cs="Times New Roman"/>
        </w:rPr>
        <w:t xml:space="preserve">do </w:t>
      </w:r>
      <w:r w:rsidRPr="0095316C">
        <w:rPr>
          <w:rFonts w:ascii="Calibri" w:eastAsia="Calibri" w:hAnsi="Calibri" w:cs="Times New Roman"/>
          <w:i/>
        </w:rPr>
        <w:t>Informacji</w:t>
      </w:r>
      <w:r w:rsidR="00505933">
        <w:rPr>
          <w:rFonts w:ascii="Calibri" w:eastAsia="Calibri" w:hAnsi="Calibri" w:cs="Times New Roman"/>
        </w:rPr>
        <w:t>;</w:t>
      </w:r>
    </w:p>
    <w:p w:rsidR="00774191" w:rsidRPr="00774191" w:rsidRDefault="00774191" w:rsidP="008637BC">
      <w:pPr>
        <w:pStyle w:val="Akapitzlist"/>
        <w:numPr>
          <w:ilvl w:val="0"/>
          <w:numId w:val="11"/>
        </w:numPr>
        <w:jc w:val="both"/>
      </w:pPr>
      <w:r w:rsidRPr="00774191">
        <w:t>ramowy wzór formularza o liczbie odbiorców zadań służ</w:t>
      </w:r>
      <w:r w:rsidR="00D20343">
        <w:t>ących podtrzymaniu tożsamości ku</w:t>
      </w:r>
      <w:r w:rsidRPr="00774191">
        <w:t>lturowej mniejszości narodowych i etnicznych oraz zach</w:t>
      </w:r>
      <w:r w:rsidR="00D20343">
        <w:t>owaniu języka regionalnego, stan</w:t>
      </w:r>
      <w:r w:rsidRPr="00774191">
        <w:t xml:space="preserve">owiący załącznik nr </w:t>
      </w:r>
      <w:r>
        <w:t>5</w:t>
      </w:r>
      <w:r w:rsidRPr="00774191">
        <w:t xml:space="preserve"> do </w:t>
      </w:r>
      <w:r w:rsidRPr="00AB5DE7">
        <w:rPr>
          <w:i/>
        </w:rPr>
        <w:t>Informacji</w:t>
      </w:r>
      <w:r w:rsidR="00CC76B8">
        <w:t>.</w:t>
      </w:r>
    </w:p>
    <w:p w:rsidR="00FE5418" w:rsidRPr="00FE5418" w:rsidRDefault="00FE5418" w:rsidP="00FE5418">
      <w:pPr>
        <w:jc w:val="both"/>
      </w:pPr>
      <w:r w:rsidRPr="00FE5418">
        <w:rPr>
          <w:b/>
          <w:bCs/>
        </w:rPr>
        <w:t>II. Informacje</w:t>
      </w:r>
      <w:r w:rsidRPr="00FE5418">
        <w:t xml:space="preserve"> </w:t>
      </w:r>
      <w:r w:rsidRPr="00FE5418">
        <w:rPr>
          <w:b/>
          <w:bCs/>
        </w:rPr>
        <w:t>dotyczące</w:t>
      </w:r>
      <w:r w:rsidRPr="00FE5418">
        <w:t xml:space="preserve"> </w:t>
      </w:r>
      <w:r w:rsidRPr="00FE5418">
        <w:rPr>
          <w:b/>
          <w:bCs/>
        </w:rPr>
        <w:t>udzielania</w:t>
      </w:r>
      <w:r w:rsidRPr="00FE5418">
        <w:t xml:space="preserve"> </w:t>
      </w:r>
      <w:r w:rsidRPr="00FE5418">
        <w:rPr>
          <w:b/>
          <w:bCs/>
        </w:rPr>
        <w:t>dotacji</w:t>
      </w:r>
      <w:r w:rsidRPr="00FE5418">
        <w:t xml:space="preserve"> </w:t>
      </w:r>
      <w:r w:rsidRPr="00FE5418">
        <w:rPr>
          <w:b/>
          <w:bCs/>
        </w:rPr>
        <w:t>celowych</w:t>
      </w:r>
    </w:p>
    <w:p w:rsidR="00FE5418" w:rsidRPr="00FE5418" w:rsidRDefault="00FE5418" w:rsidP="008637BC">
      <w:pPr>
        <w:numPr>
          <w:ilvl w:val="0"/>
          <w:numId w:val="2"/>
        </w:numPr>
        <w:jc w:val="both"/>
      </w:pPr>
      <w:r w:rsidRPr="00FE5418">
        <w:t xml:space="preserve">Dotacje celowe </w:t>
      </w:r>
      <w:r w:rsidR="00206B65" w:rsidRPr="00FE5418">
        <w:t xml:space="preserve">są </w:t>
      </w:r>
      <w:r w:rsidRPr="00FE5418">
        <w:t>przyznawane na realizację następujących zadań:</w:t>
      </w:r>
    </w:p>
    <w:p w:rsidR="00FE5418" w:rsidRP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lastRenderedPageBreak/>
        <w:t>działalność instytucji kulturalnych, ruchu artystycznego i twórczości mniejszości oraz imprez artystycznych mających istotne znaczenie dla kultury mniejszości lub dla zachowania i rozwoju języka regionalnego (art. 18 ust. 2 pkt 1</w:t>
      </w:r>
      <w:r w:rsidR="00495A78">
        <w:t xml:space="preserve"> w związku z art. 20 ust. 2</w:t>
      </w:r>
      <w:r w:rsidRPr="00FE5418">
        <w:t xml:space="preserve"> ustawy);</w:t>
      </w:r>
    </w:p>
    <w:p w:rsidR="00FE5418" w:rsidRP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t xml:space="preserve">wydawanie książek, czasopism, periodyków i druków ulotnych w językach mniejszości, w języku regionalnym lub w języku polskim, w postaci drukowanej oraz w innych technikach zapisu obrazu i dźwięku (art. 18 ust. 2 pkt 3 </w:t>
      </w:r>
      <w:r w:rsidR="00495A78">
        <w:t xml:space="preserve">w związku z art. 20 ust. 2 </w:t>
      </w:r>
      <w:r w:rsidRPr="00FE5418">
        <w:t>ustawy);</w:t>
      </w:r>
    </w:p>
    <w:p w:rsidR="00FE5418" w:rsidRP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t xml:space="preserve">wspieranie programów telewizyjnych i audycji radiowych realizowanych przez mniejszości lub realizowanych w języku regionalnym (art. 18 ust. 2 pkt 4 </w:t>
      </w:r>
      <w:r w:rsidR="00495A78">
        <w:t xml:space="preserve">w związku z art. 20 ust. 2 </w:t>
      </w:r>
      <w:r w:rsidRPr="00FE5418">
        <w:t>ustawy);</w:t>
      </w:r>
    </w:p>
    <w:p w:rsidR="00FE5418" w:rsidRP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t>ochronę miejsc związanych z kulturą mniejszości lub z językiem regionalnym (art. 18 ust. 2 pk</w:t>
      </w:r>
      <w:r w:rsidR="009136B9">
        <w:t>t</w:t>
      </w:r>
      <w:r w:rsidR="00FF016D">
        <w:t> </w:t>
      </w:r>
      <w:r w:rsidRPr="00FE5418">
        <w:t xml:space="preserve">5 </w:t>
      </w:r>
      <w:r w:rsidR="00495A78">
        <w:t xml:space="preserve">w związku z art. 20 ust. 2 </w:t>
      </w:r>
      <w:r w:rsidRPr="00FE5418">
        <w:t>ustawy);</w:t>
      </w:r>
    </w:p>
    <w:p w:rsidR="00FE5418" w:rsidRP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t xml:space="preserve">działalność świetlicową (art. 18 ust. 2 pkt </w:t>
      </w:r>
      <w:r w:rsidRPr="00821DF7">
        <w:t xml:space="preserve">6 </w:t>
      </w:r>
      <w:r w:rsidR="00495A78" w:rsidRPr="00821DF7">
        <w:t xml:space="preserve">w związku z art. 20 ust. 2 </w:t>
      </w:r>
      <w:r w:rsidRPr="00821DF7">
        <w:t>ustawy</w:t>
      </w:r>
      <w:r w:rsidRPr="00FE5418">
        <w:t>);</w:t>
      </w:r>
    </w:p>
    <w:p w:rsidR="00FE5418" w:rsidRP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t xml:space="preserve">prowadzenie bibliotek oraz dokumentacji życia kulturalnego i artystycznego mniejszości lub bibliotek oraz dokumentacji dotyczących języka regionalnego (art. 18 ust. 2 pkt 7 </w:t>
      </w:r>
      <w:r w:rsidR="002C6EC6">
        <w:t>w związku z </w:t>
      </w:r>
      <w:r w:rsidR="00495A78">
        <w:t xml:space="preserve">art. 20 ust. 2 </w:t>
      </w:r>
      <w:r w:rsidRPr="00FE5418">
        <w:t>ustawy);</w:t>
      </w:r>
    </w:p>
    <w:p w:rsidR="00FE5418" w:rsidRP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t xml:space="preserve">edukację dzieci i młodzieży realizowaną w różnych formach (art. 18 ust. 2 pkt </w:t>
      </w:r>
      <w:r w:rsidRPr="00821DF7">
        <w:t>8</w:t>
      </w:r>
      <w:r w:rsidR="00FF016D" w:rsidRPr="00821DF7">
        <w:t xml:space="preserve"> </w:t>
      </w:r>
      <w:r w:rsidR="00495A78" w:rsidRPr="00821DF7">
        <w:t>w związku z</w:t>
      </w:r>
      <w:r w:rsidR="005D2C63" w:rsidRPr="00821DF7">
        <w:t> </w:t>
      </w:r>
      <w:r w:rsidR="00495A78" w:rsidRPr="00821DF7">
        <w:t>art.</w:t>
      </w:r>
      <w:r w:rsidR="005D2C63" w:rsidRPr="00821DF7">
        <w:t> </w:t>
      </w:r>
      <w:r w:rsidR="00495A78" w:rsidRPr="00821DF7">
        <w:t xml:space="preserve">20 ust. 2 </w:t>
      </w:r>
      <w:r w:rsidRPr="00821DF7">
        <w:t>ustawy</w:t>
      </w:r>
      <w:r w:rsidRPr="00FE5418">
        <w:t>);</w:t>
      </w:r>
    </w:p>
    <w:p w:rsidR="00FE5418" w:rsidRP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t xml:space="preserve">propagowanie wiedzy o mniejszościach lub o języku regionalnym (art. 18 ust. 2 pkt 9 </w:t>
      </w:r>
      <w:r w:rsidR="00FE5F4B">
        <w:t xml:space="preserve">                       </w:t>
      </w:r>
      <w:r w:rsidR="00495A78">
        <w:t xml:space="preserve">w związku z art. 20 ust. 2 </w:t>
      </w:r>
      <w:r w:rsidRPr="00FE5418">
        <w:t>ustawy);</w:t>
      </w:r>
    </w:p>
    <w:p w:rsid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t>remonty obiektów budowlanych</w:t>
      </w:r>
      <w:bookmarkStart w:id="1" w:name="_ftnref1"/>
      <w:r w:rsidR="009136B9">
        <w:rPr>
          <w:rStyle w:val="Odwoanieprzypisudolnego"/>
        </w:rPr>
        <w:footnoteReference w:id="3"/>
      </w:r>
      <w:bookmarkEnd w:id="1"/>
      <w:r w:rsidRPr="00FE5418">
        <w:t xml:space="preserve">, w tym obiektów zabytkowych, służących zachowaniu tożsamości kulturowej mniejszości </w:t>
      </w:r>
      <w:r w:rsidR="002A2DBC">
        <w:t xml:space="preserve">albo zachowaniu i rozwojowi języka regionalnego </w:t>
      </w:r>
      <w:r w:rsidRPr="00FE5418">
        <w:t>(art. 18 ust. 2 pkt</w:t>
      </w:r>
      <w:r w:rsidR="00FF016D">
        <w:t xml:space="preserve"> </w:t>
      </w:r>
      <w:r w:rsidRPr="00FE5418">
        <w:t>1, 3-8</w:t>
      </w:r>
      <w:r w:rsidR="002A2DBC">
        <w:t xml:space="preserve"> w związku z art. 20 ust. 2 </w:t>
      </w:r>
      <w:r w:rsidRPr="00FE5418">
        <w:t>ustawy).</w:t>
      </w:r>
    </w:p>
    <w:p w:rsidR="00FE5418" w:rsidRDefault="00FE5418" w:rsidP="008637BC">
      <w:pPr>
        <w:numPr>
          <w:ilvl w:val="0"/>
          <w:numId w:val="3"/>
        </w:numPr>
        <w:jc w:val="both"/>
      </w:pPr>
      <w:r w:rsidRPr="00FE5418">
        <w:t>Wnioskodawca ubiegający się o przyznanie dotacji celowej składa odrębny wniosek na</w:t>
      </w:r>
      <w:r w:rsidR="002A2DBC">
        <w:t xml:space="preserve"> </w:t>
      </w:r>
      <w:r w:rsidRPr="00FE5418">
        <w:t>każde z wnioskowanych zadań.</w:t>
      </w:r>
    </w:p>
    <w:p w:rsidR="00871E2D" w:rsidRDefault="006E781B" w:rsidP="00FE5418">
      <w:pPr>
        <w:jc w:val="both"/>
        <w:rPr>
          <w:b/>
          <w:bCs/>
        </w:rPr>
      </w:pPr>
      <w:r>
        <w:rPr>
          <w:b/>
          <w:bCs/>
        </w:rPr>
        <w:t>III</w:t>
      </w:r>
      <w:r w:rsidR="00FE5418" w:rsidRPr="00FE5418">
        <w:rPr>
          <w:b/>
          <w:bCs/>
        </w:rPr>
        <w:t xml:space="preserve">. </w:t>
      </w:r>
      <w:r w:rsidR="00871E2D" w:rsidRPr="00871E2D">
        <w:rPr>
          <w:b/>
          <w:bCs/>
        </w:rPr>
        <w:t>Informacje dotyczące udzielania dotacji podmiotowych</w:t>
      </w:r>
    </w:p>
    <w:p w:rsidR="00240653" w:rsidRDefault="00240653" w:rsidP="008637BC">
      <w:pPr>
        <w:numPr>
          <w:ilvl w:val="0"/>
          <w:numId w:val="4"/>
        </w:numPr>
        <w:spacing w:after="0"/>
        <w:jc w:val="both"/>
      </w:pPr>
      <w:r w:rsidRPr="00FE5418">
        <w:t>Dotacje podmiotowe mogą być przyznawane</w:t>
      </w:r>
      <w:r w:rsidRPr="00C267A8">
        <w:t xml:space="preserve"> organizacjom</w:t>
      </w:r>
      <w:r>
        <w:t>:</w:t>
      </w:r>
    </w:p>
    <w:p w:rsidR="00240653" w:rsidRDefault="00240653" w:rsidP="008637BC">
      <w:pPr>
        <w:numPr>
          <w:ilvl w:val="1"/>
          <w:numId w:val="4"/>
        </w:numPr>
        <w:spacing w:after="0"/>
        <w:jc w:val="both"/>
      </w:pPr>
      <w:r w:rsidRPr="00FE5418">
        <w:t xml:space="preserve">mniejszości </w:t>
      </w:r>
      <w:r>
        <w:t>narodowych i etnicznych;</w:t>
      </w:r>
    </w:p>
    <w:p w:rsidR="00240653" w:rsidRDefault="00240653" w:rsidP="008637BC">
      <w:pPr>
        <w:numPr>
          <w:ilvl w:val="1"/>
          <w:numId w:val="4"/>
        </w:numPr>
        <w:spacing w:after="0"/>
        <w:jc w:val="both"/>
      </w:pPr>
      <w:r>
        <w:t>s</w:t>
      </w:r>
      <w:r w:rsidRPr="00FE5418">
        <w:t>połeczności posługu</w:t>
      </w:r>
      <w:r>
        <w:t xml:space="preserve">jącej się językiem regionalnym </w:t>
      </w:r>
    </w:p>
    <w:p w:rsidR="00240653" w:rsidRDefault="00EC10F9" w:rsidP="005246E6">
      <w:pPr>
        <w:spacing w:after="0"/>
        <w:ind w:left="708"/>
        <w:jc w:val="both"/>
      </w:pPr>
      <w:r>
        <w:t xml:space="preserve">- </w:t>
      </w:r>
      <w:r w:rsidR="00240653" w:rsidRPr="00FE5418">
        <w:t xml:space="preserve">działającym </w:t>
      </w:r>
      <w:r w:rsidR="00240653">
        <w:t>na podstawie ustawy</w:t>
      </w:r>
      <w:r w:rsidR="00240653" w:rsidRPr="00FE5418">
        <w:t xml:space="preserve"> z dnia 7 kwietnia 1989 r. </w:t>
      </w:r>
      <w:r w:rsidR="00240653" w:rsidRPr="00EC10F9">
        <w:rPr>
          <w:i/>
        </w:rPr>
        <w:t>Prawo o stowarzyszeniach</w:t>
      </w:r>
      <w:r w:rsidR="00837B1D">
        <w:rPr>
          <w:rStyle w:val="Odwoanieprzypisudolnego"/>
          <w:i/>
        </w:rPr>
        <w:footnoteReference w:id="4"/>
      </w:r>
      <w:r w:rsidR="00240653" w:rsidRPr="00FE5418">
        <w:t xml:space="preserve"> lub</w:t>
      </w:r>
      <w:r w:rsidR="00240653">
        <w:t xml:space="preserve"> </w:t>
      </w:r>
      <w:r w:rsidR="00240653" w:rsidRPr="00FE5418">
        <w:t>ustaw</w:t>
      </w:r>
      <w:r w:rsidR="00240653">
        <w:t>y</w:t>
      </w:r>
      <w:r w:rsidR="00240653" w:rsidRPr="00FE5418">
        <w:t xml:space="preserve"> z dnia 6 kwietnia 1984 r. </w:t>
      </w:r>
      <w:r w:rsidR="00240653" w:rsidRPr="00EC10F9">
        <w:rPr>
          <w:i/>
        </w:rPr>
        <w:t>o fundacjach</w:t>
      </w:r>
      <w:r w:rsidR="00837B1D">
        <w:rPr>
          <w:rStyle w:val="Odwoanieprzypisudolnego"/>
          <w:i/>
        </w:rPr>
        <w:footnoteReference w:id="5"/>
      </w:r>
      <w:r w:rsidR="00BF0996">
        <w:t>.</w:t>
      </w:r>
    </w:p>
    <w:p w:rsidR="008939D1" w:rsidRDefault="008939D1" w:rsidP="005246E6">
      <w:pPr>
        <w:spacing w:after="0"/>
        <w:ind w:left="708"/>
        <w:jc w:val="both"/>
      </w:pPr>
    </w:p>
    <w:p w:rsidR="00240653" w:rsidRDefault="00240653" w:rsidP="008637BC">
      <w:pPr>
        <w:numPr>
          <w:ilvl w:val="0"/>
          <w:numId w:val="4"/>
        </w:numPr>
        <w:jc w:val="both"/>
      </w:pPr>
      <w:r w:rsidRPr="00C267A8">
        <w:t xml:space="preserve">Dotacje podmiotowe mogą być przyznawane </w:t>
      </w:r>
      <w:r>
        <w:t xml:space="preserve">także </w:t>
      </w:r>
      <w:r w:rsidRPr="00FE5418">
        <w:t>instytucjom kulturalnym</w:t>
      </w:r>
      <w:r w:rsidRPr="00774191">
        <w:t xml:space="preserve"> </w:t>
      </w:r>
      <w:r w:rsidRPr="00FE5418">
        <w:t>mającym istotne znaczenie dla kultury mniejszości</w:t>
      </w:r>
      <w:r w:rsidR="00E10B13">
        <w:t xml:space="preserve"> </w:t>
      </w:r>
      <w:r w:rsidR="00505933">
        <w:t xml:space="preserve">narodowych i etnicznych oraz rozwoju i zachowania </w:t>
      </w:r>
      <w:r w:rsidR="00E10B13">
        <w:t>język</w:t>
      </w:r>
      <w:r w:rsidR="00505933">
        <w:t>a</w:t>
      </w:r>
      <w:r w:rsidR="00E10B13">
        <w:t xml:space="preserve"> regionaln</w:t>
      </w:r>
      <w:r w:rsidR="00505933">
        <w:t>ego</w:t>
      </w:r>
      <w:r w:rsidR="00E10B13">
        <w:t>.</w:t>
      </w:r>
    </w:p>
    <w:p w:rsidR="00871E2D" w:rsidRPr="00FE5418" w:rsidRDefault="00871E2D" w:rsidP="008637BC">
      <w:pPr>
        <w:numPr>
          <w:ilvl w:val="0"/>
          <w:numId w:val="4"/>
        </w:numPr>
        <w:jc w:val="both"/>
      </w:pPr>
      <w:r w:rsidRPr="00FE5418">
        <w:t xml:space="preserve">Dotacje podmiotowe </w:t>
      </w:r>
      <w:r>
        <w:t xml:space="preserve">mogą być </w:t>
      </w:r>
      <w:r w:rsidRPr="00FE5418">
        <w:t>przyznawane podmiotom</w:t>
      </w:r>
      <w:r w:rsidR="00240653">
        <w:t>, o których mowa w ust. 1 i 2</w:t>
      </w:r>
      <w:r w:rsidRPr="00FE5418">
        <w:t xml:space="preserve">, które </w:t>
      </w:r>
      <w:r w:rsidR="0013407F">
        <w:t>posiadają</w:t>
      </w:r>
      <w:r w:rsidR="0013407F" w:rsidRPr="0013407F">
        <w:t xml:space="preserve"> od przynajmniej pięciu lat osobowoś</w:t>
      </w:r>
      <w:r w:rsidR="0013407F">
        <w:t>ć</w:t>
      </w:r>
      <w:r w:rsidR="0013407F" w:rsidRPr="0013407F">
        <w:t xml:space="preserve"> prawn</w:t>
      </w:r>
      <w:r w:rsidR="0013407F">
        <w:t>ą</w:t>
      </w:r>
      <w:r w:rsidR="0013407F" w:rsidRPr="0013407F">
        <w:t>, potwierdzon</w:t>
      </w:r>
      <w:r w:rsidR="0013407F">
        <w:t>ą</w:t>
      </w:r>
      <w:r w:rsidR="0013407F" w:rsidRPr="0013407F">
        <w:t xml:space="preserve"> wpisem do stosownego rejestru/ewidencji lub innymi dokumentami</w:t>
      </w:r>
      <w:r w:rsidR="006A3FF1">
        <w:rPr>
          <w:rStyle w:val="Odwoanieprzypisudolnego"/>
        </w:rPr>
        <w:footnoteReference w:id="6"/>
      </w:r>
      <w:r w:rsidR="0013407F" w:rsidRPr="0013407F">
        <w:t xml:space="preserve"> </w:t>
      </w:r>
      <w:r w:rsidR="0013407F">
        <w:t xml:space="preserve">oraz </w:t>
      </w:r>
      <w:r w:rsidRPr="00FE5418">
        <w:t>realizują przynajmniej jedno z</w:t>
      </w:r>
      <w:r w:rsidR="0013407F">
        <w:t> </w:t>
      </w:r>
      <w:r w:rsidRPr="00FE5418">
        <w:t>następujących zadań:</w:t>
      </w:r>
    </w:p>
    <w:p w:rsidR="00871E2D" w:rsidRPr="00FE5418" w:rsidRDefault="00871E2D" w:rsidP="008637BC">
      <w:pPr>
        <w:pStyle w:val="Akapitzlist"/>
        <w:numPr>
          <w:ilvl w:val="0"/>
          <w:numId w:val="13"/>
        </w:numPr>
        <w:spacing w:after="0"/>
        <w:ind w:left="1417" w:hanging="357"/>
        <w:jc w:val="both"/>
      </w:pPr>
      <w:r w:rsidRPr="00FE5418">
        <w:lastRenderedPageBreak/>
        <w:t xml:space="preserve">działalność instytucji kulturalnych, ruchu artystycznego i twórczości mniejszości oraz imprez artystycznych mających istotne znaczenie dla kultury mniejszości lub dla zachowania i rozwoju języka regionalnego (art. 18 ust. 2 pkt 1 </w:t>
      </w:r>
      <w:r w:rsidR="00755808">
        <w:t>w związku z art. 20 ust. </w:t>
      </w:r>
      <w:r>
        <w:t xml:space="preserve">2 </w:t>
      </w:r>
      <w:r w:rsidRPr="00FE5418">
        <w:t>ustawy);</w:t>
      </w:r>
    </w:p>
    <w:p w:rsidR="00871E2D" w:rsidRPr="00FE5418" w:rsidRDefault="00871E2D" w:rsidP="008637BC">
      <w:pPr>
        <w:pStyle w:val="Akapitzlist"/>
        <w:numPr>
          <w:ilvl w:val="0"/>
          <w:numId w:val="13"/>
        </w:numPr>
        <w:ind w:left="1418"/>
        <w:jc w:val="both"/>
      </w:pPr>
      <w:r w:rsidRPr="00FE5418">
        <w:t>wydawanie książek, czasopism, periodyków i druków ulotnych w językach mniejszości, języku regionalnym lub w języku polskim, w postaci drukowanej oraz w</w:t>
      </w:r>
      <w:r>
        <w:t xml:space="preserve"> </w:t>
      </w:r>
      <w:r w:rsidRPr="00FE5418">
        <w:t xml:space="preserve">innych technikach zapisu obrazu i dźwięku (art. 18 ust. 2 pkt 3 </w:t>
      </w:r>
      <w:r>
        <w:t xml:space="preserve">w związku z art. 20 ust. 2 </w:t>
      </w:r>
      <w:r w:rsidRPr="00FE5418">
        <w:t>ustawy);</w:t>
      </w:r>
    </w:p>
    <w:p w:rsidR="00871E2D" w:rsidRPr="00FE5418" w:rsidRDefault="00871E2D" w:rsidP="008637BC">
      <w:pPr>
        <w:pStyle w:val="Akapitzlist"/>
        <w:numPr>
          <w:ilvl w:val="0"/>
          <w:numId w:val="13"/>
        </w:numPr>
        <w:ind w:left="1418"/>
        <w:jc w:val="both"/>
      </w:pPr>
      <w:r w:rsidRPr="00FE5418">
        <w:t xml:space="preserve">wspieranie programów telewizyjnych i audycji radiowych realizowanych przez mniejszości lub w języku regionalnym (art. 18 ust. 2 pkt 4 </w:t>
      </w:r>
      <w:r>
        <w:t xml:space="preserve">w związku z art. 20 ust. 2 </w:t>
      </w:r>
      <w:r w:rsidRPr="00FE5418">
        <w:t>ustawy);</w:t>
      </w:r>
    </w:p>
    <w:p w:rsidR="00871E2D" w:rsidRPr="00FE5418" w:rsidRDefault="00871E2D" w:rsidP="008637BC">
      <w:pPr>
        <w:pStyle w:val="Akapitzlist"/>
        <w:numPr>
          <w:ilvl w:val="0"/>
          <w:numId w:val="13"/>
        </w:numPr>
        <w:ind w:left="1418"/>
        <w:jc w:val="both"/>
      </w:pPr>
      <w:r w:rsidRPr="00FE5418">
        <w:t xml:space="preserve">działalność świetlicową (art. 18 ust. 2 pkt 6 </w:t>
      </w:r>
      <w:r w:rsidRPr="00B7477F">
        <w:t>w związku z art. 20 ust. 2 ustawy</w:t>
      </w:r>
      <w:r w:rsidRPr="00FE5418">
        <w:t>);</w:t>
      </w:r>
    </w:p>
    <w:p w:rsidR="00871E2D" w:rsidRPr="00FE5418" w:rsidRDefault="00871E2D" w:rsidP="008637BC">
      <w:pPr>
        <w:pStyle w:val="Akapitzlist"/>
        <w:numPr>
          <w:ilvl w:val="0"/>
          <w:numId w:val="13"/>
        </w:numPr>
        <w:ind w:left="1418"/>
        <w:jc w:val="both"/>
      </w:pPr>
      <w:r w:rsidRPr="00FE5418">
        <w:t xml:space="preserve">prowadzenie bibliotek oraz dokumentacji życia kulturalnego i artystycznego mniejszości lub bibliotek oraz dokumentacji dotyczących języka regionalnego (art. 18 ust. 2 pkt 7 </w:t>
      </w:r>
      <w:r>
        <w:t>w związku z</w:t>
      </w:r>
      <w:r w:rsidR="00F24B42">
        <w:t xml:space="preserve"> </w:t>
      </w:r>
      <w:r>
        <w:t xml:space="preserve">art. 20 ust. 2 </w:t>
      </w:r>
      <w:r w:rsidRPr="00FE5418">
        <w:t>ustawy);</w:t>
      </w:r>
    </w:p>
    <w:p w:rsidR="00871E2D" w:rsidRPr="00FE5418" w:rsidRDefault="00871E2D" w:rsidP="008637BC">
      <w:pPr>
        <w:pStyle w:val="Akapitzlist"/>
        <w:numPr>
          <w:ilvl w:val="0"/>
          <w:numId w:val="13"/>
        </w:numPr>
        <w:ind w:left="1418"/>
        <w:jc w:val="both"/>
      </w:pPr>
      <w:r w:rsidRPr="00FE5418">
        <w:t>edukację dzieci i młodzieży realizowaną w różnych formach (art. 18 ust. 2 pkt 8</w:t>
      </w:r>
      <w:r>
        <w:t xml:space="preserve"> </w:t>
      </w:r>
      <w:r w:rsidR="00755808">
        <w:t xml:space="preserve">w związku z </w:t>
      </w:r>
      <w:r w:rsidRPr="00B7477F">
        <w:t>art.</w:t>
      </w:r>
      <w:r w:rsidR="00755808">
        <w:t xml:space="preserve"> </w:t>
      </w:r>
      <w:r w:rsidRPr="00B7477F">
        <w:t>20 ust. 2 ustawy</w:t>
      </w:r>
      <w:r w:rsidRPr="00FE5418">
        <w:t>).</w:t>
      </w:r>
    </w:p>
    <w:p w:rsidR="00871E2D" w:rsidRPr="00FE5418" w:rsidRDefault="00871E2D" w:rsidP="008637BC">
      <w:pPr>
        <w:numPr>
          <w:ilvl w:val="0"/>
          <w:numId w:val="4"/>
        </w:numPr>
        <w:jc w:val="both"/>
      </w:pPr>
      <w:r w:rsidRPr="00FE5418">
        <w:t>Wnioskodawca, ubiegający się o przyznanie dotacji podmiotowej, składa jeden wniosek o udzielenie tej dotacji.</w:t>
      </w:r>
    </w:p>
    <w:p w:rsidR="00871E2D" w:rsidRPr="00FE5418" w:rsidRDefault="00871E2D" w:rsidP="008637BC">
      <w:pPr>
        <w:numPr>
          <w:ilvl w:val="0"/>
          <w:numId w:val="4"/>
        </w:numPr>
        <w:jc w:val="both"/>
      </w:pPr>
      <w:r w:rsidRPr="00FE5418">
        <w:t xml:space="preserve">Przy udzielaniu dotacji podmiotowych będą uwzględniane </w:t>
      </w:r>
      <w:r>
        <w:t xml:space="preserve">przede wszystkim </w:t>
      </w:r>
      <w:r w:rsidRPr="00FE5418">
        <w:t>koszty ponoszone przez organizację lub instytucję kulturalną na:</w:t>
      </w:r>
    </w:p>
    <w:p w:rsidR="00871E2D" w:rsidRPr="00FE5418" w:rsidRDefault="00A6402C" w:rsidP="008637BC">
      <w:pPr>
        <w:pStyle w:val="Akapitzlist"/>
        <w:numPr>
          <w:ilvl w:val="0"/>
          <w:numId w:val="17"/>
        </w:numPr>
        <w:ind w:left="1418"/>
        <w:jc w:val="both"/>
      </w:pPr>
      <w:r>
        <w:t xml:space="preserve">obsługę finansową, </w:t>
      </w:r>
      <w:r w:rsidR="00871E2D" w:rsidRPr="00FE5418">
        <w:t>księgową</w:t>
      </w:r>
      <w:r w:rsidR="00A82766" w:rsidRPr="009C5E44">
        <w:t>,</w:t>
      </w:r>
      <w:r w:rsidR="00191689">
        <w:t xml:space="preserve"> </w:t>
      </w:r>
      <w:r>
        <w:t xml:space="preserve">biurową, </w:t>
      </w:r>
      <w:r w:rsidR="005150E3">
        <w:t>administra</w:t>
      </w:r>
      <w:r w:rsidR="00191689">
        <w:t>cyjną</w:t>
      </w:r>
      <w:r w:rsidR="00CC5133">
        <w:t>,</w:t>
      </w:r>
      <w:r w:rsidR="00191689" w:rsidRPr="00FE5418">
        <w:t xml:space="preserve"> prawną</w:t>
      </w:r>
      <w:r w:rsidR="00CC5133">
        <w:t xml:space="preserve"> </w:t>
      </w:r>
      <w:r w:rsidR="00CC5133" w:rsidRPr="00B708CE">
        <w:t xml:space="preserve">oraz </w:t>
      </w:r>
      <w:r w:rsidR="00A82766" w:rsidRPr="00B708CE">
        <w:t>opłat</w:t>
      </w:r>
      <w:r w:rsidR="00B306CA" w:rsidRPr="00B708CE">
        <w:t xml:space="preserve">ę za prowadzenie </w:t>
      </w:r>
      <w:r w:rsidR="00B25834" w:rsidRPr="00B708CE">
        <w:t xml:space="preserve">wyodrębnionego </w:t>
      </w:r>
      <w:r w:rsidR="00B306CA" w:rsidRPr="00B708CE">
        <w:t>rachunku bankowego</w:t>
      </w:r>
      <w:r w:rsidR="00B25834" w:rsidRPr="00B708CE">
        <w:t xml:space="preserve"> do obsługi przyznanych przez Ministra Spraw Wewnętrznych i Administracji dotacji na realizację </w:t>
      </w:r>
      <w:r w:rsidR="00B25834" w:rsidRPr="00B708CE">
        <w:rPr>
          <w:bCs/>
        </w:rPr>
        <w:t xml:space="preserve">w </w:t>
      </w:r>
      <w:r w:rsidR="00FA38BB" w:rsidRPr="00B708CE">
        <w:rPr>
          <w:bCs/>
        </w:rPr>
        <w:t>20</w:t>
      </w:r>
      <w:r w:rsidR="00FA38BB">
        <w:rPr>
          <w:bCs/>
        </w:rPr>
        <w:t>21</w:t>
      </w:r>
      <w:r w:rsidR="00B25834" w:rsidRPr="00B708CE">
        <w:rPr>
          <w:bCs/>
        </w:rPr>
        <w:t> r. zadań mających na celu ochronę, zachowanie i rozwój tożsamości kulturowej mniejszości narodowych i etnicznych oraz zachowanie i rozwój języka regionalnego</w:t>
      </w:r>
      <w:r w:rsidR="00871E2D" w:rsidRPr="00B708CE">
        <w:t>;</w:t>
      </w:r>
    </w:p>
    <w:p w:rsidR="00871E2D" w:rsidRPr="00FE5418" w:rsidRDefault="00871E2D" w:rsidP="008637BC">
      <w:pPr>
        <w:pStyle w:val="Akapitzlist"/>
        <w:numPr>
          <w:ilvl w:val="0"/>
          <w:numId w:val="17"/>
        </w:numPr>
        <w:ind w:left="1418"/>
        <w:jc w:val="both"/>
      </w:pPr>
      <w:r w:rsidRPr="00FE5418">
        <w:t>eksploatację</w:t>
      </w:r>
      <w:r w:rsidR="00AB5A7F">
        <w:rPr>
          <w:rStyle w:val="Odwoanieprzypisudolnego"/>
        </w:rPr>
        <w:footnoteReference w:id="7"/>
      </w:r>
      <w:r w:rsidRPr="00FE5418">
        <w:t xml:space="preserve"> i najem lokali służących działalności programowej organizacji mniejszości lub społeczności posługującej się językiem regionalnym lub eksploatację i</w:t>
      </w:r>
      <w:r>
        <w:t xml:space="preserve"> </w:t>
      </w:r>
      <w:r w:rsidRPr="00FE5418">
        <w:t>najem lokali instytucji kulturalnych.</w:t>
      </w:r>
    </w:p>
    <w:p w:rsidR="00871E2D" w:rsidRPr="00FE5418" w:rsidRDefault="00871E2D" w:rsidP="008637BC">
      <w:pPr>
        <w:numPr>
          <w:ilvl w:val="0"/>
          <w:numId w:val="4"/>
        </w:numPr>
        <w:jc w:val="both"/>
      </w:pPr>
      <w:r w:rsidRPr="00FE5418">
        <w:t>W przypadku wniosku o dotację podmiotową</w:t>
      </w:r>
      <w:r w:rsidR="00EC10F9">
        <w:t>,</w:t>
      </w:r>
      <w:r w:rsidRPr="00FE5418">
        <w:t xml:space="preserve"> wnioskodawca jest zobowiązany zapewnić środki własne (lub środki z innych źródeł) w wysokości co najmniej </w:t>
      </w:r>
      <w:r w:rsidR="00BE0DB6">
        <w:t>5</w:t>
      </w:r>
      <w:r w:rsidRPr="00307EF3">
        <w:t xml:space="preserve">% </w:t>
      </w:r>
      <w:r w:rsidRPr="00FE5418">
        <w:t>całości kosztów realizacji zadania</w:t>
      </w:r>
      <w:r w:rsidR="00D76CE1">
        <w:t xml:space="preserve"> (</w:t>
      </w:r>
      <w:r w:rsidR="00D76CE1" w:rsidRPr="00D76CE1">
        <w:t xml:space="preserve">kosztu całkowitego realizacji zadania, a nie wnioskowanej </w:t>
      </w:r>
      <w:r w:rsidR="00D76CE1">
        <w:t xml:space="preserve">kwoty </w:t>
      </w:r>
      <w:r w:rsidR="00D76CE1" w:rsidRPr="00D76CE1">
        <w:t>dotacji</w:t>
      </w:r>
      <w:r w:rsidR="00D76CE1">
        <w:t>)</w:t>
      </w:r>
      <w:r w:rsidRPr="00FE5418">
        <w:t>.</w:t>
      </w:r>
    </w:p>
    <w:p w:rsidR="00FE5418" w:rsidRPr="00FE5418" w:rsidRDefault="009A6DA3" w:rsidP="00FE5418">
      <w:pPr>
        <w:jc w:val="both"/>
      </w:pPr>
      <w:r>
        <w:rPr>
          <w:b/>
          <w:bCs/>
        </w:rPr>
        <w:t xml:space="preserve">IV. </w:t>
      </w:r>
      <w:r w:rsidR="00FE5418" w:rsidRPr="00FE5418">
        <w:rPr>
          <w:b/>
          <w:bCs/>
        </w:rPr>
        <w:t>Informacje</w:t>
      </w:r>
      <w:r w:rsidR="00FE5418" w:rsidRPr="00FE5418">
        <w:t xml:space="preserve"> </w:t>
      </w:r>
      <w:r w:rsidR="00FE5418" w:rsidRPr="00FE5418">
        <w:rPr>
          <w:b/>
          <w:bCs/>
        </w:rPr>
        <w:t>dotyczące</w:t>
      </w:r>
      <w:r w:rsidR="00FE5418" w:rsidRPr="00FE5418">
        <w:t xml:space="preserve"> </w:t>
      </w:r>
      <w:r w:rsidR="00FE5418" w:rsidRPr="00FE5418">
        <w:rPr>
          <w:b/>
          <w:bCs/>
        </w:rPr>
        <w:t>procedury</w:t>
      </w:r>
    </w:p>
    <w:p w:rsidR="004711D6" w:rsidRPr="00E925F6" w:rsidRDefault="00FE5418" w:rsidP="008637BC">
      <w:pPr>
        <w:numPr>
          <w:ilvl w:val="0"/>
          <w:numId w:val="15"/>
        </w:numPr>
        <w:spacing w:after="0"/>
        <w:jc w:val="both"/>
      </w:pPr>
      <w:r w:rsidRPr="00E925F6">
        <w:t>Wnioskodawcy mogą składać</w:t>
      </w:r>
      <w:r w:rsidR="00697077" w:rsidRPr="00E925F6">
        <w:t>,</w:t>
      </w:r>
      <w:r w:rsidRPr="00E925F6">
        <w:t xml:space="preserve"> </w:t>
      </w:r>
      <w:r w:rsidR="00697077" w:rsidRPr="00E925F6">
        <w:t xml:space="preserve">w następujących terminach, </w:t>
      </w:r>
      <w:r w:rsidRPr="00E925F6">
        <w:t>wnioski o udzielenie</w:t>
      </w:r>
      <w:r w:rsidR="004711D6" w:rsidRPr="00E925F6">
        <w:t>:</w:t>
      </w:r>
    </w:p>
    <w:p w:rsidR="0032720E" w:rsidRDefault="0032720E" w:rsidP="008637BC">
      <w:pPr>
        <w:numPr>
          <w:ilvl w:val="1"/>
          <w:numId w:val="15"/>
        </w:numPr>
        <w:spacing w:after="0"/>
        <w:jc w:val="both"/>
      </w:pPr>
      <w:r>
        <w:t>d</w:t>
      </w:r>
      <w:r w:rsidR="00697077" w:rsidRPr="00E925F6">
        <w:t>otacji</w:t>
      </w:r>
      <w:r>
        <w:t>:</w:t>
      </w:r>
    </w:p>
    <w:p w:rsidR="0032720E" w:rsidRPr="00F837E2" w:rsidRDefault="00476E76" w:rsidP="008637BC">
      <w:pPr>
        <w:pStyle w:val="Akapitzlist"/>
        <w:numPr>
          <w:ilvl w:val="0"/>
          <w:numId w:val="24"/>
        </w:numPr>
        <w:spacing w:after="0"/>
        <w:jc w:val="both"/>
        <w:rPr>
          <w:b/>
        </w:rPr>
      </w:pPr>
      <w:r w:rsidRPr="00F837E2">
        <w:rPr>
          <w:b/>
        </w:rPr>
        <w:t>podmiotowych</w:t>
      </w:r>
      <w:r w:rsidR="0032720E">
        <w:t>,</w:t>
      </w:r>
      <w:r w:rsidR="0047547E" w:rsidRPr="0047547E">
        <w:t xml:space="preserve"> </w:t>
      </w:r>
      <w:r w:rsidR="00CF6B68" w:rsidRPr="00F837E2">
        <w:rPr>
          <w:bCs/>
        </w:rPr>
        <w:t>na realizację zadań</w:t>
      </w:r>
      <w:r w:rsidR="00CF6B68" w:rsidRPr="00E925F6">
        <w:t>, o których mowa w art. 18 ust. 2 pkt 1 i 3-9 ustawy</w:t>
      </w:r>
      <w:r w:rsidR="00F837E2">
        <w:t xml:space="preserve"> </w:t>
      </w:r>
      <w:r w:rsidR="004E4B26" w:rsidRPr="00F837E2">
        <w:rPr>
          <w:b/>
          <w:bCs/>
        </w:rPr>
        <w:t xml:space="preserve">- </w:t>
      </w:r>
      <w:r w:rsidR="00B1798D">
        <w:rPr>
          <w:b/>
          <w:bCs/>
        </w:rPr>
        <w:t xml:space="preserve">do dnia 31 </w:t>
      </w:r>
      <w:r w:rsidR="0096139C">
        <w:rPr>
          <w:b/>
          <w:bCs/>
        </w:rPr>
        <w:t>sierpnia</w:t>
      </w:r>
      <w:r w:rsidR="00B1798D">
        <w:rPr>
          <w:b/>
          <w:bCs/>
        </w:rPr>
        <w:t xml:space="preserve"> </w:t>
      </w:r>
      <w:r w:rsidR="00FA38BB" w:rsidRPr="00F837E2">
        <w:rPr>
          <w:b/>
          <w:bCs/>
        </w:rPr>
        <w:t>20</w:t>
      </w:r>
      <w:r w:rsidR="00FA38BB">
        <w:rPr>
          <w:b/>
          <w:bCs/>
        </w:rPr>
        <w:t>20</w:t>
      </w:r>
      <w:r w:rsidR="0047547E" w:rsidRPr="00F837E2">
        <w:rPr>
          <w:b/>
          <w:bCs/>
        </w:rPr>
        <w:t xml:space="preserve"> r.</w:t>
      </w:r>
      <w:r w:rsidR="001676C5" w:rsidRPr="008939D1">
        <w:rPr>
          <w:rStyle w:val="Odwoanieprzypisudolnego"/>
          <w:bCs/>
        </w:rPr>
        <w:footnoteReference w:id="8"/>
      </w:r>
    </w:p>
    <w:p w:rsidR="0024500E" w:rsidRPr="00E925F6" w:rsidRDefault="00AF5D93" w:rsidP="008637BC">
      <w:pPr>
        <w:pStyle w:val="Akapitzlist"/>
        <w:numPr>
          <w:ilvl w:val="0"/>
          <w:numId w:val="24"/>
        </w:numPr>
        <w:spacing w:after="0"/>
        <w:ind w:left="1775" w:hanging="357"/>
        <w:jc w:val="both"/>
      </w:pPr>
      <w:r w:rsidRPr="00B1798D">
        <w:rPr>
          <w:b/>
          <w:bCs/>
        </w:rPr>
        <w:t>celowych</w:t>
      </w:r>
      <w:r w:rsidRPr="00B1798D">
        <w:rPr>
          <w:bCs/>
        </w:rPr>
        <w:t xml:space="preserve"> na realizację zadań</w:t>
      </w:r>
      <w:r w:rsidRPr="00E925F6">
        <w:t xml:space="preserve">, </w:t>
      </w:r>
      <w:r w:rsidR="0024500E" w:rsidRPr="00E925F6">
        <w:t>o których mowa w art. 18 ust. 2 pkt 1 i</w:t>
      </w:r>
      <w:r w:rsidR="00A970E0" w:rsidRPr="00E925F6">
        <w:t xml:space="preserve"> 3</w:t>
      </w:r>
      <w:r w:rsidR="00B1798D">
        <w:t>-9 ustawy</w:t>
      </w:r>
      <w:r w:rsidR="0024500E" w:rsidRPr="00B1798D">
        <w:rPr>
          <w:bCs/>
        </w:rPr>
        <w:t xml:space="preserve"> </w:t>
      </w:r>
      <w:r w:rsidR="004E4B26" w:rsidRPr="00B1798D">
        <w:rPr>
          <w:b/>
          <w:bCs/>
        </w:rPr>
        <w:t xml:space="preserve">- </w:t>
      </w:r>
      <w:r w:rsidR="0024500E" w:rsidRPr="00B1798D">
        <w:rPr>
          <w:b/>
          <w:bCs/>
        </w:rPr>
        <w:t xml:space="preserve">do dnia </w:t>
      </w:r>
      <w:r w:rsidR="00FA38BB">
        <w:rPr>
          <w:b/>
          <w:bCs/>
        </w:rPr>
        <w:t>14</w:t>
      </w:r>
      <w:r w:rsidR="00A221FE" w:rsidRPr="00B1798D">
        <w:rPr>
          <w:b/>
          <w:bCs/>
        </w:rPr>
        <w:t xml:space="preserve"> </w:t>
      </w:r>
      <w:r w:rsidR="0024500E" w:rsidRPr="00B1798D">
        <w:rPr>
          <w:b/>
          <w:bCs/>
        </w:rPr>
        <w:t xml:space="preserve">września </w:t>
      </w:r>
      <w:r w:rsidR="00FA38BB" w:rsidRPr="00AE4471">
        <w:rPr>
          <w:b/>
          <w:bCs/>
        </w:rPr>
        <w:t>2020</w:t>
      </w:r>
      <w:r w:rsidR="0024500E" w:rsidRPr="00B1798D">
        <w:rPr>
          <w:b/>
          <w:bCs/>
        </w:rPr>
        <w:t xml:space="preserve"> r.</w:t>
      </w:r>
      <w:r w:rsidR="001676C5" w:rsidRPr="008939D1">
        <w:rPr>
          <w:rStyle w:val="Odwoanieprzypisudolnego"/>
          <w:bCs/>
        </w:rPr>
        <w:footnoteReference w:id="9"/>
      </w:r>
    </w:p>
    <w:p w:rsidR="004970F9" w:rsidRDefault="00114E65" w:rsidP="004970F9">
      <w:pPr>
        <w:pStyle w:val="Akapitzlist"/>
        <w:numPr>
          <w:ilvl w:val="0"/>
          <w:numId w:val="15"/>
        </w:numPr>
        <w:jc w:val="both"/>
      </w:pPr>
      <w:r w:rsidRPr="00114E65">
        <w:lastRenderedPageBreak/>
        <w:t>W</w:t>
      </w:r>
      <w:r w:rsidR="00837F96" w:rsidRPr="00A1093A">
        <w:t>nios</w:t>
      </w:r>
      <w:r>
        <w:t>e</w:t>
      </w:r>
      <w:r w:rsidRPr="00114E65">
        <w:t>k</w:t>
      </w:r>
      <w:r w:rsidR="00837F96" w:rsidRPr="00A1093A">
        <w:t xml:space="preserve"> o dotację </w:t>
      </w:r>
      <w:r w:rsidR="00E71ECF">
        <w:t xml:space="preserve">podmiotową </w:t>
      </w:r>
      <w:r>
        <w:t xml:space="preserve">złożony </w:t>
      </w:r>
      <w:r w:rsidR="00837F96">
        <w:t xml:space="preserve">po terminie wskazanym w ust. 1 pkt 1 </w:t>
      </w:r>
      <w:r w:rsidR="00E71ECF">
        <w:t>lit. a,</w:t>
      </w:r>
      <w:r w:rsidR="00B7736E">
        <w:t xml:space="preserve"> </w:t>
      </w:r>
      <w:r w:rsidR="00837F96" w:rsidRPr="00A1093A">
        <w:t xml:space="preserve">na formularzu innym niż wskazany w rozdz. I ust. 2 pkt </w:t>
      </w:r>
      <w:r w:rsidR="00E71ECF">
        <w:t>1</w:t>
      </w:r>
      <w:r w:rsidR="00837F96" w:rsidRPr="00A1093A">
        <w:t xml:space="preserve"> Informacji </w:t>
      </w:r>
      <w:r w:rsidR="00E71ECF" w:rsidRPr="00E71ECF">
        <w:t>lub przez podmiot niespełniający wymogów określonych w rozdz. III ust. 1</w:t>
      </w:r>
      <w:r w:rsidR="008939D1">
        <w:t xml:space="preserve">, </w:t>
      </w:r>
      <w:r w:rsidR="00E71ECF" w:rsidRPr="00E71ECF">
        <w:t>3 i 6</w:t>
      </w:r>
      <w:r w:rsidR="00B7736E">
        <w:t xml:space="preserve">, </w:t>
      </w:r>
      <w:r w:rsidR="00837F96" w:rsidRPr="00A1093A">
        <w:t>pozostawia się bez rozpatrzenia.</w:t>
      </w:r>
    </w:p>
    <w:p w:rsidR="0024500E" w:rsidRPr="00E925F6" w:rsidRDefault="00114E65" w:rsidP="004970F9">
      <w:pPr>
        <w:pStyle w:val="Akapitzlist"/>
        <w:numPr>
          <w:ilvl w:val="0"/>
          <w:numId w:val="15"/>
        </w:numPr>
        <w:jc w:val="both"/>
      </w:pPr>
      <w:r>
        <w:t>W</w:t>
      </w:r>
      <w:r w:rsidR="00837F96" w:rsidRPr="00A1093A">
        <w:t>nios</w:t>
      </w:r>
      <w:r>
        <w:t>e</w:t>
      </w:r>
      <w:r w:rsidRPr="00114E65">
        <w:t>k</w:t>
      </w:r>
      <w:r w:rsidR="00837F96" w:rsidRPr="00A1093A">
        <w:t xml:space="preserve"> o dotację </w:t>
      </w:r>
      <w:r w:rsidR="00E71ECF">
        <w:t>celową</w:t>
      </w:r>
      <w:r>
        <w:t xml:space="preserve"> złożony</w:t>
      </w:r>
      <w:r w:rsidR="00837F96" w:rsidRPr="00A1093A">
        <w:t xml:space="preserve"> </w:t>
      </w:r>
      <w:r w:rsidR="00837F96">
        <w:t xml:space="preserve">po terminie wskazanym w ust. 1 pkt 1 </w:t>
      </w:r>
      <w:r w:rsidR="00E71ECF">
        <w:t>lit. b</w:t>
      </w:r>
      <w:r w:rsidR="00837F96">
        <w:t xml:space="preserve"> lub </w:t>
      </w:r>
      <w:r w:rsidR="00837F96" w:rsidRPr="00A1093A">
        <w:t xml:space="preserve">na formularzu innym niż wskazany w rozdz. I ust. 2 pkt </w:t>
      </w:r>
      <w:r w:rsidR="00E71ECF">
        <w:t>1</w:t>
      </w:r>
      <w:r w:rsidR="00837F96" w:rsidRPr="00A1093A">
        <w:t xml:space="preserve"> Informacji</w:t>
      </w:r>
      <w:r w:rsidR="00B7736E">
        <w:t>,</w:t>
      </w:r>
      <w:r w:rsidR="00837F96" w:rsidRPr="00A1093A">
        <w:t xml:space="preserve"> pozostawia się bez rozpatrzenia.</w:t>
      </w:r>
    </w:p>
    <w:p w:rsidR="008A5A9D" w:rsidRPr="00EC10F9" w:rsidRDefault="002A14A6" w:rsidP="008637BC">
      <w:pPr>
        <w:numPr>
          <w:ilvl w:val="0"/>
          <w:numId w:val="15"/>
        </w:numPr>
        <w:spacing w:before="120"/>
        <w:jc w:val="both"/>
        <w:rPr>
          <w:i/>
        </w:rPr>
      </w:pPr>
      <w:r w:rsidRPr="009C5E44">
        <w:t>W przypadku nierozd</w:t>
      </w:r>
      <w:r w:rsidR="00B306CA" w:rsidRPr="009C5E44">
        <w:t xml:space="preserve">ysponowania wszystkich środków </w:t>
      </w:r>
      <w:r w:rsidR="00476146" w:rsidRPr="009C5E44">
        <w:t xml:space="preserve">finansowych </w:t>
      </w:r>
      <w:r w:rsidRPr="009C5E44">
        <w:t>lub uzyskania dodatkowych środków w roku budżetowym</w:t>
      </w:r>
      <w:r w:rsidR="00476146" w:rsidRPr="009C5E44">
        <w:t xml:space="preserve"> </w:t>
      </w:r>
      <w:r w:rsidR="00B53652" w:rsidRPr="009C5E44">
        <w:t>20</w:t>
      </w:r>
      <w:r w:rsidR="00B53652">
        <w:t>21</w:t>
      </w:r>
      <w:r w:rsidR="002D0585">
        <w:t>, Minister Spraw Wewnętrznych i </w:t>
      </w:r>
      <w:r w:rsidRPr="009C5E44">
        <w:t xml:space="preserve">Administracji może ogłosić dodatkowy nabór wniosków, stosując odpowiednio zasady określone w </w:t>
      </w:r>
      <w:r w:rsidR="002D0585">
        <w:rPr>
          <w:i/>
        </w:rPr>
        <w:t xml:space="preserve">Informacji. </w:t>
      </w:r>
      <w:r w:rsidR="002D0585">
        <w:t xml:space="preserve">Termin naboru wniosków w tym trybie zostanie podany do publicznej wiadomości poprzez opublikowanie </w:t>
      </w:r>
      <w:r w:rsidR="001676C5">
        <w:t>na stronie</w:t>
      </w:r>
      <w:r w:rsidR="002D0585">
        <w:t xml:space="preserve"> internetowej </w:t>
      </w:r>
      <w:hyperlink r:id="rId10" w:history="1">
        <w:r w:rsidR="001676C5" w:rsidRPr="008939D1">
          <w:rPr>
            <w:rStyle w:val="Hipercze"/>
            <w:color w:val="auto"/>
            <w:u w:val="none"/>
          </w:rPr>
          <w:t>Ministerstwa</w:t>
        </w:r>
      </w:hyperlink>
      <w:r w:rsidR="001676C5" w:rsidRPr="008939D1">
        <w:rPr>
          <w:rStyle w:val="Hipercze"/>
          <w:color w:val="auto"/>
          <w:u w:val="none"/>
        </w:rPr>
        <w:t xml:space="preserve"> Spraw W</w:t>
      </w:r>
      <w:r w:rsidR="004E588B" w:rsidRPr="008939D1">
        <w:rPr>
          <w:rStyle w:val="Hipercze"/>
          <w:color w:val="auto"/>
          <w:u w:val="none"/>
        </w:rPr>
        <w:t>e</w:t>
      </w:r>
      <w:r w:rsidR="001676C5" w:rsidRPr="008939D1">
        <w:rPr>
          <w:rStyle w:val="Hipercze"/>
          <w:color w:val="auto"/>
          <w:u w:val="none"/>
        </w:rPr>
        <w:t>wnętrznych i Administracji</w:t>
      </w:r>
      <w:r w:rsidR="00591C08" w:rsidRPr="008939D1">
        <w:rPr>
          <w:rStyle w:val="Hipercze"/>
          <w:color w:val="auto"/>
          <w:u w:val="none"/>
        </w:rPr>
        <w:t xml:space="preserve">, zwanego dalej </w:t>
      </w:r>
      <w:r w:rsidR="00B7736E" w:rsidRPr="008939D1">
        <w:rPr>
          <w:rStyle w:val="Hipercze"/>
          <w:color w:val="auto"/>
          <w:u w:val="none"/>
        </w:rPr>
        <w:t>„</w:t>
      </w:r>
      <w:r w:rsidR="00591C08" w:rsidRPr="008939D1">
        <w:rPr>
          <w:rStyle w:val="Hipercze"/>
          <w:color w:val="auto"/>
          <w:u w:val="none"/>
        </w:rPr>
        <w:t>MSWiA</w:t>
      </w:r>
      <w:r w:rsidR="00B7736E" w:rsidRPr="008939D1">
        <w:rPr>
          <w:rStyle w:val="Hipercze"/>
          <w:color w:val="auto"/>
          <w:u w:val="none"/>
        </w:rPr>
        <w:t>”</w:t>
      </w:r>
      <w:r w:rsidR="00591C08" w:rsidRPr="008939D1">
        <w:rPr>
          <w:rStyle w:val="Hipercze"/>
          <w:color w:val="auto"/>
          <w:u w:val="none"/>
        </w:rPr>
        <w:t>,</w:t>
      </w:r>
      <w:r w:rsidR="00F15CD3">
        <w:t xml:space="preserve"> i </w:t>
      </w:r>
      <w:r w:rsidR="00F15CD3" w:rsidRPr="00F15CD3">
        <w:t>nie wymaga zaopiniowania przez Komisję Wspólną Rządu i Mniejszości Nar</w:t>
      </w:r>
      <w:r w:rsidR="00F15CD3">
        <w:t xml:space="preserve">odowych i </w:t>
      </w:r>
      <w:r w:rsidR="00F15CD3" w:rsidRPr="00F15CD3">
        <w:t>Etnicznych</w:t>
      </w:r>
      <w:r w:rsidR="00F15CD3">
        <w:t>.</w:t>
      </w:r>
    </w:p>
    <w:p w:rsidR="00FD20FF" w:rsidRPr="00FD20FF" w:rsidRDefault="009136B9" w:rsidP="008637BC">
      <w:pPr>
        <w:numPr>
          <w:ilvl w:val="0"/>
          <w:numId w:val="15"/>
        </w:numPr>
        <w:jc w:val="both"/>
      </w:pPr>
      <w:r>
        <w:t xml:space="preserve">Wnioski </w:t>
      </w:r>
      <w:r w:rsidR="00257239">
        <w:t>należy</w:t>
      </w:r>
      <w:r w:rsidR="00C36971" w:rsidRPr="009C5E44">
        <w:t xml:space="preserve"> </w:t>
      </w:r>
      <w:r w:rsidR="004F1EEA" w:rsidRPr="009C5E44">
        <w:t>składać</w:t>
      </w:r>
      <w:r w:rsidR="008A5A9D" w:rsidRPr="009C5E44">
        <w:t xml:space="preserve"> </w:t>
      </w:r>
      <w:r w:rsidRPr="009136B9">
        <w:t xml:space="preserve">pocztą na adres: </w:t>
      </w:r>
      <w:r>
        <w:t>Mi</w:t>
      </w:r>
      <w:r w:rsidR="0019231F">
        <w:t xml:space="preserve">nisterstwo Spraw Wewnętrznych i </w:t>
      </w:r>
      <w:r>
        <w:t xml:space="preserve">Administracji </w:t>
      </w:r>
      <w:r w:rsidRPr="009136B9">
        <w:t>Departament Wyznań Religijnyc</w:t>
      </w:r>
      <w:r>
        <w:t xml:space="preserve">h oraz Mniejszości Narodowych i </w:t>
      </w:r>
      <w:r w:rsidRPr="009136B9">
        <w:t>Etnicznych</w:t>
      </w:r>
      <w:r w:rsidR="0019231F">
        <w:t xml:space="preserve">, ul. </w:t>
      </w:r>
      <w:r>
        <w:t xml:space="preserve">Stefana </w:t>
      </w:r>
      <w:r w:rsidRPr="009136B9">
        <w:t>Batorego 5, 02-591 Warszawa</w:t>
      </w:r>
      <w:r>
        <w:t xml:space="preserve">. </w:t>
      </w:r>
      <w:r w:rsidR="0096139C">
        <w:t>Minister Spraw Wewnętrznych i </w:t>
      </w:r>
      <w:r w:rsidR="00CB2BC9" w:rsidRPr="00432233">
        <w:t xml:space="preserve">Administracji zastrzega </w:t>
      </w:r>
      <w:r w:rsidR="00432233" w:rsidRPr="00432233">
        <w:t xml:space="preserve">sobie </w:t>
      </w:r>
      <w:r w:rsidR="00A25AFA">
        <w:t>prawo do</w:t>
      </w:r>
      <w:r w:rsidR="00CB2BC9" w:rsidRPr="00432233">
        <w:t xml:space="preserve"> </w:t>
      </w:r>
      <w:r w:rsidR="00A25AFA">
        <w:t>określen</w:t>
      </w:r>
      <w:r w:rsidR="002D0585">
        <w:t xml:space="preserve">ia innych, dodatkowych trybów i </w:t>
      </w:r>
      <w:r w:rsidR="00A25AFA">
        <w:t>środków</w:t>
      </w:r>
      <w:r w:rsidR="00EC10F9">
        <w:t>, za pomocą</w:t>
      </w:r>
      <w:r w:rsidR="00A25AFA">
        <w:t xml:space="preserve"> których będą mogły być składane </w:t>
      </w:r>
      <w:r w:rsidR="00432233">
        <w:t>wniosk</w:t>
      </w:r>
      <w:r w:rsidR="00A25AFA">
        <w:t>i.</w:t>
      </w:r>
      <w:r w:rsidR="00432233">
        <w:t xml:space="preserve"> </w:t>
      </w:r>
    </w:p>
    <w:p w:rsidR="00FE5418" w:rsidRPr="00FE5418" w:rsidRDefault="00FE5418" w:rsidP="008637BC">
      <w:pPr>
        <w:numPr>
          <w:ilvl w:val="0"/>
          <w:numId w:val="15"/>
        </w:numPr>
        <w:jc w:val="both"/>
      </w:pPr>
      <w:r w:rsidRPr="00FE5418">
        <w:t xml:space="preserve">Dyrektor Departamentu Wyznań Religijnych oraz Mniejszości Narodowych i Etnicznych </w:t>
      </w:r>
      <w:r w:rsidR="00591C08">
        <w:t>MSWiA</w:t>
      </w:r>
      <w:r w:rsidRPr="00FE5418">
        <w:t>, zwanego d</w:t>
      </w:r>
      <w:r w:rsidR="004E4B26">
        <w:t>alej „Departamentem”, powołuje K</w:t>
      </w:r>
      <w:r w:rsidRPr="00FE5418">
        <w:t xml:space="preserve">omisję, która </w:t>
      </w:r>
      <w:r w:rsidR="006E781B" w:rsidRPr="0017600B">
        <w:t xml:space="preserve">rekomenduje </w:t>
      </w:r>
      <w:r w:rsidRPr="00FE5418">
        <w:t>wnioski, stosując kryteria</w:t>
      </w:r>
      <w:r w:rsidR="004669F4">
        <w:t xml:space="preserve"> oceny</w:t>
      </w:r>
      <w:r w:rsidRPr="00FE5418">
        <w:t>, o</w:t>
      </w:r>
      <w:r w:rsidR="00A2513D">
        <w:t xml:space="preserve"> </w:t>
      </w:r>
      <w:r w:rsidR="004669F4">
        <w:t xml:space="preserve">których mowa w rozdz. </w:t>
      </w:r>
      <w:r w:rsidR="002D0585">
        <w:t>V</w:t>
      </w:r>
      <w:r w:rsidRPr="00FE5418">
        <w:t xml:space="preserve"> </w:t>
      </w:r>
      <w:r w:rsidRPr="005D2C63">
        <w:rPr>
          <w:i/>
        </w:rPr>
        <w:t>Informacji</w:t>
      </w:r>
      <w:r w:rsidRPr="00FE5418">
        <w:t>.</w:t>
      </w:r>
    </w:p>
    <w:p w:rsidR="00FE5418" w:rsidRPr="00FE5418" w:rsidRDefault="00FE5418" w:rsidP="008637BC">
      <w:pPr>
        <w:numPr>
          <w:ilvl w:val="0"/>
          <w:numId w:val="15"/>
        </w:numPr>
        <w:jc w:val="both"/>
      </w:pPr>
      <w:r w:rsidRPr="00FE5418">
        <w:t>Członk</w:t>
      </w:r>
      <w:r w:rsidR="004E4B26">
        <w:t>ami K</w:t>
      </w:r>
      <w:r w:rsidRPr="00FE5418">
        <w:t>omisji, o któr</w:t>
      </w:r>
      <w:r w:rsidR="00CC5133">
        <w:t>ej</w:t>
      </w:r>
      <w:r w:rsidRPr="00FE5418">
        <w:t xml:space="preserve"> mowa w ust. </w:t>
      </w:r>
      <w:r w:rsidR="000005F8">
        <w:t>6</w:t>
      </w:r>
      <w:r w:rsidR="004E4B26">
        <w:t>, mogą</w:t>
      </w:r>
      <w:r w:rsidRPr="00FE5418">
        <w:t xml:space="preserve"> być pracowni</w:t>
      </w:r>
      <w:r w:rsidR="004E4B26">
        <w:t>cy</w:t>
      </w:r>
      <w:r w:rsidRPr="00FE5418">
        <w:t xml:space="preserve"> Departamentu oraz </w:t>
      </w:r>
      <w:r w:rsidR="004E4B26">
        <w:t xml:space="preserve">- </w:t>
      </w:r>
      <w:r w:rsidR="004E4B26" w:rsidRPr="009C5E44">
        <w:t xml:space="preserve">na zasadzie parytetu </w:t>
      </w:r>
      <w:r w:rsidR="004E4B26">
        <w:t xml:space="preserve">- </w:t>
      </w:r>
      <w:r w:rsidRPr="00FE5418">
        <w:t>osoby, z</w:t>
      </w:r>
      <w:r w:rsidR="00FE2330">
        <w:t xml:space="preserve"> </w:t>
      </w:r>
      <w:r w:rsidRPr="00FE5418">
        <w:t>których każda spełnia łącznie następujące warunki:</w:t>
      </w:r>
    </w:p>
    <w:p w:rsidR="00665EA9" w:rsidRPr="00565E5C" w:rsidRDefault="00665EA9" w:rsidP="00665EA9">
      <w:pPr>
        <w:pStyle w:val="Akapitzlist"/>
        <w:numPr>
          <w:ilvl w:val="0"/>
          <w:numId w:val="16"/>
        </w:numPr>
        <w:ind w:left="1418"/>
        <w:jc w:val="both"/>
      </w:pPr>
      <w:r w:rsidRPr="00565E5C">
        <w:t>został</w:t>
      </w:r>
      <w:r w:rsidR="00B27B78">
        <w:t>a</w:t>
      </w:r>
      <w:r w:rsidRPr="00565E5C">
        <w:t xml:space="preserve"> wskazan</w:t>
      </w:r>
      <w:r w:rsidR="00B27B78">
        <w:t>a</w:t>
      </w:r>
      <w:r w:rsidRPr="00565E5C">
        <w:t xml:space="preserve"> do zasiadania w Komisji, o której mowa w ust. </w:t>
      </w:r>
      <w:r w:rsidR="000005F8">
        <w:t>6</w:t>
      </w:r>
      <w:r w:rsidRPr="00565E5C">
        <w:t xml:space="preserve"> przez przedstawicieli mniejszości narodowych i etnicznych oraz przedstawicieli społeczności posługującej się językiem regionalnym, o których mowa w art. 24 ust. 1 pkt 2 i 3 ustawy;</w:t>
      </w:r>
    </w:p>
    <w:p w:rsidR="00665EA9" w:rsidRPr="00565E5C" w:rsidRDefault="00665EA9" w:rsidP="00665EA9">
      <w:pPr>
        <w:pStyle w:val="Akapitzlist"/>
        <w:numPr>
          <w:ilvl w:val="0"/>
          <w:numId w:val="16"/>
        </w:numPr>
        <w:ind w:left="1418"/>
        <w:jc w:val="both"/>
      </w:pPr>
      <w:r w:rsidRPr="00565E5C">
        <w:t>posiada wiedzę z zakresu spraw mniejszości narodowych i etnicznych oraz języka regionalnego;</w:t>
      </w:r>
    </w:p>
    <w:p w:rsidR="00665EA9" w:rsidRPr="00565E5C" w:rsidRDefault="00665EA9" w:rsidP="00665EA9">
      <w:pPr>
        <w:pStyle w:val="Akapitzlist"/>
        <w:numPr>
          <w:ilvl w:val="0"/>
          <w:numId w:val="16"/>
        </w:numPr>
        <w:ind w:left="1418"/>
        <w:jc w:val="both"/>
      </w:pPr>
      <w:r w:rsidRPr="00565E5C">
        <w:t xml:space="preserve">z żadnym z podmiotów, które ubiegają się o udzielanie dotacji na realizację </w:t>
      </w:r>
      <w:r w:rsidR="00B27B78">
        <w:t xml:space="preserve">zadań </w:t>
      </w:r>
      <w:r w:rsidRPr="00565E5C">
        <w:t>nie pozostaje w takim stosunku prawnym lub fakty</w:t>
      </w:r>
      <w:r w:rsidR="00B27B78">
        <w:t xml:space="preserve">cznym, że wynik prac Komisji, o </w:t>
      </w:r>
      <w:r w:rsidRPr="00565E5C">
        <w:t xml:space="preserve">której mowa w ust. </w:t>
      </w:r>
      <w:r w:rsidR="000005F8">
        <w:t>6</w:t>
      </w:r>
      <w:r w:rsidRPr="00565E5C">
        <w:t xml:space="preserve"> może mieć wpływ na jego prawa lub obowiązki;</w:t>
      </w:r>
    </w:p>
    <w:p w:rsidR="00665EA9" w:rsidRPr="00565E5C" w:rsidRDefault="00665EA9" w:rsidP="00665EA9">
      <w:pPr>
        <w:pStyle w:val="Akapitzlist"/>
        <w:numPr>
          <w:ilvl w:val="0"/>
          <w:numId w:val="16"/>
        </w:numPr>
        <w:ind w:left="1418"/>
        <w:jc w:val="both"/>
      </w:pPr>
      <w:r w:rsidRPr="00565E5C">
        <w:t>we władzach żadnego z podmiotów, o których mowa w pkt 3 nie zasiadają jego małżonkowie oraz krewni, powinowaci do drugiego stopnia lub osoby związane z nim z tytułu przysposobienia, opieki lub kurateli. Wymóg ten stosuje się do wymienionych osób również po ustaniu małżeństwa, przysposobienia, opieki lub kurateli;</w:t>
      </w:r>
    </w:p>
    <w:p w:rsidR="00665EA9" w:rsidRPr="00565E5C" w:rsidRDefault="00665EA9" w:rsidP="00665EA9">
      <w:pPr>
        <w:pStyle w:val="Akapitzlist"/>
        <w:numPr>
          <w:ilvl w:val="0"/>
          <w:numId w:val="16"/>
        </w:numPr>
        <w:ind w:left="1418"/>
        <w:jc w:val="both"/>
      </w:pPr>
      <w:r w:rsidRPr="00565E5C">
        <w:t>we władzach żadnego z podmiotów, o których mowa w pkt 3 nie zasiadają osoby pozostające wobec niego w stosunku nadrzędności służbowej;</w:t>
      </w:r>
    </w:p>
    <w:p w:rsidR="00665EA9" w:rsidRPr="00565E5C" w:rsidRDefault="00665EA9" w:rsidP="00665EA9">
      <w:pPr>
        <w:pStyle w:val="Akapitzlist"/>
        <w:numPr>
          <w:ilvl w:val="0"/>
          <w:numId w:val="16"/>
        </w:numPr>
        <w:ind w:left="1418"/>
        <w:jc w:val="both"/>
      </w:pPr>
      <w:r w:rsidRPr="00565E5C">
        <w:t xml:space="preserve">nie uczestniczył w przygotowywaniu wniosków, które będą przedmiotem prac Komisji, o której mowa w ust. </w:t>
      </w:r>
      <w:r w:rsidR="000005F8">
        <w:t>6</w:t>
      </w:r>
      <w:r w:rsidRPr="00565E5C">
        <w:t>.</w:t>
      </w:r>
    </w:p>
    <w:p w:rsidR="00AB5A7F" w:rsidRPr="00AB5A7F" w:rsidRDefault="00FE5418" w:rsidP="008637BC">
      <w:pPr>
        <w:numPr>
          <w:ilvl w:val="0"/>
          <w:numId w:val="15"/>
        </w:numPr>
        <w:jc w:val="both"/>
        <w:rPr>
          <w:b/>
          <w:i/>
        </w:rPr>
      </w:pPr>
      <w:r w:rsidRPr="00FE5418">
        <w:lastRenderedPageBreak/>
        <w:t xml:space="preserve">Departament może wystąpić do wnioskodawcy o dostarczenie dodatkowych dokumentów lub informacji niezbędnych do oceny wniosku </w:t>
      </w:r>
      <w:r w:rsidR="009737FA">
        <w:t>lub</w:t>
      </w:r>
      <w:r w:rsidR="009737FA" w:rsidRPr="00FE5418">
        <w:t xml:space="preserve"> </w:t>
      </w:r>
      <w:r w:rsidRPr="00FE5418">
        <w:t>o korektę wniosku, która może dotyczyć wszystkich jego elementów. W przypadku konieczności uzupełnienia dokumentów</w:t>
      </w:r>
      <w:r w:rsidR="00034614">
        <w:t>, sporządzenia korekty wniosku</w:t>
      </w:r>
      <w:r w:rsidRPr="00FE5418">
        <w:t xml:space="preserve"> </w:t>
      </w:r>
      <w:r w:rsidR="00D93CC2" w:rsidRPr="009C5E44">
        <w:t xml:space="preserve">lub </w:t>
      </w:r>
      <w:r w:rsidR="00FF47EE" w:rsidRPr="009C5E44">
        <w:t xml:space="preserve">dostarczenia </w:t>
      </w:r>
      <w:r w:rsidR="00D93CC2" w:rsidRPr="009C5E44">
        <w:t>informacji</w:t>
      </w:r>
      <w:r w:rsidR="004669F4">
        <w:t>,</w:t>
      </w:r>
      <w:r w:rsidR="00D93CC2">
        <w:t xml:space="preserve"> </w:t>
      </w:r>
      <w:r w:rsidRPr="00FE5418">
        <w:t xml:space="preserve">wnioskodawca jest zobowiązany do udzielenia odpowiedzi w terminie </w:t>
      </w:r>
      <w:r w:rsidR="00A936A3">
        <w:rPr>
          <w:b/>
        </w:rPr>
        <w:t>7</w:t>
      </w:r>
      <w:r w:rsidRPr="00B828E1">
        <w:rPr>
          <w:b/>
        </w:rPr>
        <w:t xml:space="preserve"> dni roboczych</w:t>
      </w:r>
      <w:r w:rsidRPr="005E0D6E">
        <w:t xml:space="preserve"> </w:t>
      </w:r>
      <w:r w:rsidRPr="00FE5418">
        <w:t>od dnia otrzymania wystąpienia Departame</w:t>
      </w:r>
      <w:r w:rsidRPr="00F42675">
        <w:t>ntu.</w:t>
      </w:r>
      <w:r w:rsidR="009737FA" w:rsidRPr="00F42675">
        <w:t xml:space="preserve"> </w:t>
      </w:r>
      <w:r w:rsidR="009737FA" w:rsidRPr="009C64F4">
        <w:t xml:space="preserve">Termin uważa się za zachowany, jeżeli przed jego upływem dokumenty lub korekta wniosku zostały nadane w </w:t>
      </w:r>
      <w:r w:rsidR="008322AC" w:rsidRPr="008322AC">
        <w:t>placów</w:t>
      </w:r>
      <w:r w:rsidR="008322AC">
        <w:t>ce</w:t>
      </w:r>
      <w:r w:rsidR="008322AC" w:rsidRPr="008322AC">
        <w:t xml:space="preserve"> podmiotu zajmującego się doręczaniem korespondencji na terenie Unii Europejskiej</w:t>
      </w:r>
      <w:r w:rsidR="009737FA" w:rsidRPr="009C64F4">
        <w:t xml:space="preserve">, pod warunkiem przekazania </w:t>
      </w:r>
      <w:r w:rsidR="007047FE" w:rsidRPr="009C64F4">
        <w:t xml:space="preserve">ich </w:t>
      </w:r>
      <w:r w:rsidR="009737FA" w:rsidRPr="009C64F4">
        <w:t>skanu</w:t>
      </w:r>
      <w:r w:rsidR="007047FE" w:rsidRPr="009C64F4">
        <w:t>, w tym samym terminie, na adres poczty elektronicznej</w:t>
      </w:r>
      <w:r w:rsidR="00C12437">
        <w:t>:</w:t>
      </w:r>
      <w:r w:rsidR="007047FE" w:rsidRPr="009C64F4">
        <w:t xml:space="preserve"> </w:t>
      </w:r>
      <w:hyperlink r:id="rId11" w:history="1">
        <w:r w:rsidR="00AB5A7F" w:rsidRPr="009B5A6F">
          <w:rPr>
            <w:rStyle w:val="Hipercze"/>
          </w:rPr>
          <w:t>sekretariat.dwrmnie@mswia.gov.pl</w:t>
        </w:r>
      </w:hyperlink>
      <w:r w:rsidR="007047FE" w:rsidRPr="009C64F4">
        <w:t>.</w:t>
      </w:r>
      <w:r w:rsidR="00184E91">
        <w:t xml:space="preserve"> W</w:t>
      </w:r>
      <w:r w:rsidR="008322AC">
        <w:t> </w:t>
      </w:r>
      <w:r w:rsidR="00184E91">
        <w:t xml:space="preserve">przypadku informacji termin uważa się za zachowany, jeżeli przed jego upływem informacje zostały przekazane </w:t>
      </w:r>
      <w:r w:rsidR="00184E91" w:rsidRPr="00184E91">
        <w:t xml:space="preserve">na adres poczty elektronicznej: </w:t>
      </w:r>
      <w:hyperlink r:id="rId12" w:history="1">
        <w:r w:rsidR="00184E91" w:rsidRPr="00184E91">
          <w:rPr>
            <w:rStyle w:val="Hipercze"/>
          </w:rPr>
          <w:t>sekretariat.dwrmnie@mswia.gov.pl</w:t>
        </w:r>
      </w:hyperlink>
      <w:r w:rsidR="00184E91">
        <w:t xml:space="preserve"> </w:t>
      </w:r>
      <w:r w:rsidR="00AE4471">
        <w:t>i</w:t>
      </w:r>
      <w:r w:rsidR="00034614">
        <w:t xml:space="preserve"> na </w:t>
      </w:r>
      <w:r w:rsidR="00184E91">
        <w:t>adres poczty elektronicznej osoby oceniającej wniosek, określony w wystąpieniu Departamentu.</w:t>
      </w:r>
    </w:p>
    <w:p w:rsidR="007047FE" w:rsidRPr="00A970E0" w:rsidRDefault="009737FA" w:rsidP="00AB5A7F">
      <w:pPr>
        <w:ind w:left="720"/>
        <w:jc w:val="both"/>
        <w:rPr>
          <w:b/>
          <w:i/>
        </w:rPr>
      </w:pPr>
      <w:r w:rsidRPr="00A970E0">
        <w:rPr>
          <w:b/>
          <w:i/>
        </w:rPr>
        <w:t xml:space="preserve">Uwaga: Korekty wniosków zawierające uchybienia formalne </w:t>
      </w:r>
      <w:r w:rsidR="007047FE" w:rsidRPr="00A970E0">
        <w:rPr>
          <w:b/>
          <w:i/>
        </w:rPr>
        <w:t xml:space="preserve">lub nadesłane po terminie, o którym mowa w ust. </w:t>
      </w:r>
      <w:r w:rsidR="001E2841">
        <w:rPr>
          <w:b/>
          <w:i/>
        </w:rPr>
        <w:t>8</w:t>
      </w:r>
      <w:r w:rsidR="007047FE" w:rsidRPr="00A970E0">
        <w:rPr>
          <w:b/>
          <w:i/>
        </w:rPr>
        <w:t xml:space="preserve"> </w:t>
      </w:r>
      <w:r w:rsidRPr="00A970E0">
        <w:rPr>
          <w:b/>
          <w:i/>
        </w:rPr>
        <w:t>pozostawia się bez rozpatrzenia.</w:t>
      </w:r>
    </w:p>
    <w:p w:rsidR="007047FE" w:rsidRPr="00C12437" w:rsidRDefault="007047FE" w:rsidP="008637BC">
      <w:pPr>
        <w:numPr>
          <w:ilvl w:val="0"/>
          <w:numId w:val="15"/>
        </w:numPr>
        <w:jc w:val="both"/>
      </w:pPr>
      <w:r w:rsidRPr="00C12437">
        <w:t xml:space="preserve">Departament może wystąpić do wnioskodawcy w sprawach, o których mowa w ust. </w:t>
      </w:r>
      <w:r w:rsidR="001A35DB">
        <w:t>8</w:t>
      </w:r>
      <w:r w:rsidR="00F36993">
        <w:t>,</w:t>
      </w:r>
      <w:r w:rsidRPr="00C12437">
        <w:t xml:space="preserve"> także za pomocą środków komunikacji elektronicznej w rozumieniu przepisów ustawy z dnia 18 lipca 2002 r. </w:t>
      </w:r>
      <w:r w:rsidRPr="007C19A2">
        <w:rPr>
          <w:i/>
        </w:rPr>
        <w:t>o świadczeniu usług drogą elektroniczną</w:t>
      </w:r>
      <w:r w:rsidR="00837B1D">
        <w:rPr>
          <w:rStyle w:val="Odwoanieprzypisudolnego"/>
          <w:i/>
        </w:rPr>
        <w:footnoteReference w:id="10"/>
      </w:r>
      <w:r w:rsidRPr="00C12437">
        <w:t>, na adres poczty elektronicznej wnioskodawcy wskazany we wniosku o udzielenie dotacji na realizację zadania mającego na celu ochronę, zachowanie i rozwój tożsamości kulturowej mniejszości narodowych i</w:t>
      </w:r>
      <w:r w:rsidR="00F42675" w:rsidRPr="00C12437">
        <w:t xml:space="preserve"> </w:t>
      </w:r>
      <w:r w:rsidRPr="00C12437">
        <w:t>etnicznych oraz zachowanie i rozwój języka regionalnego</w:t>
      </w:r>
      <w:r w:rsidR="00F42675" w:rsidRPr="00C12437">
        <w:t>.</w:t>
      </w:r>
    </w:p>
    <w:p w:rsidR="00143B31" w:rsidRPr="00C12437" w:rsidRDefault="00FE5418" w:rsidP="008637BC">
      <w:pPr>
        <w:numPr>
          <w:ilvl w:val="0"/>
          <w:numId w:val="15"/>
        </w:numPr>
        <w:jc w:val="both"/>
      </w:pPr>
      <w:r w:rsidRPr="00C12437">
        <w:t>Minister Spraw Wewnętrznych i Administracji zatwierdza</w:t>
      </w:r>
      <w:r w:rsidR="00143B31" w:rsidRPr="00C12437">
        <w:t>,</w:t>
      </w:r>
      <w:r w:rsidRPr="00C12437">
        <w:t xml:space="preserve"> </w:t>
      </w:r>
      <w:r w:rsidR="00F36993">
        <w:t>rekomendowany przez K</w:t>
      </w:r>
      <w:r w:rsidR="00143B31" w:rsidRPr="00C12437">
        <w:t>omisję, o której mowa w ust</w:t>
      </w:r>
      <w:r w:rsidR="00143B31" w:rsidRPr="003F19E6">
        <w:t xml:space="preserve">. </w:t>
      </w:r>
      <w:r w:rsidR="006B6BB4">
        <w:t>6</w:t>
      </w:r>
      <w:r w:rsidR="00143B31" w:rsidRPr="00C12437">
        <w:t xml:space="preserve">, </w:t>
      </w:r>
      <w:r w:rsidRPr="00C12437">
        <w:t xml:space="preserve">podział </w:t>
      </w:r>
      <w:r w:rsidR="00143B31" w:rsidRPr="00C12437">
        <w:t>dotyczący</w:t>
      </w:r>
      <w:r w:rsidR="00891AE9" w:rsidRPr="00C12437">
        <w:t xml:space="preserve"> dotacji</w:t>
      </w:r>
      <w:r w:rsidR="00C12437" w:rsidRPr="00C12437">
        <w:t xml:space="preserve"> o których mowa </w:t>
      </w:r>
      <w:r w:rsidR="00C12437">
        <w:t>w ust. 1</w:t>
      </w:r>
      <w:r w:rsidR="00CC5133">
        <w:t>,</w:t>
      </w:r>
      <w:r w:rsidR="00C45DAC">
        <w:t xml:space="preserve"> w terminie do dnia </w:t>
      </w:r>
      <w:r w:rsidR="00C45DAC" w:rsidRPr="00B828E1">
        <w:rPr>
          <w:b/>
        </w:rPr>
        <w:t xml:space="preserve"> </w:t>
      </w:r>
      <w:r w:rsidR="00114E65">
        <w:rPr>
          <w:b/>
        </w:rPr>
        <w:t>15</w:t>
      </w:r>
      <w:r w:rsidR="00C45DAC" w:rsidRPr="00B828E1">
        <w:rPr>
          <w:b/>
        </w:rPr>
        <w:t xml:space="preserve"> grudnia </w:t>
      </w:r>
      <w:r w:rsidR="00FA38BB" w:rsidRPr="00B828E1">
        <w:rPr>
          <w:b/>
        </w:rPr>
        <w:t>20</w:t>
      </w:r>
      <w:r w:rsidR="00FA38BB">
        <w:rPr>
          <w:b/>
        </w:rPr>
        <w:t>20</w:t>
      </w:r>
      <w:r w:rsidR="00C45DAC" w:rsidRPr="00B828E1">
        <w:rPr>
          <w:b/>
        </w:rPr>
        <w:t xml:space="preserve"> r.</w:t>
      </w:r>
    </w:p>
    <w:p w:rsidR="00FE5418" w:rsidRPr="00DE3F90" w:rsidRDefault="0001612E" w:rsidP="008637BC">
      <w:pPr>
        <w:numPr>
          <w:ilvl w:val="0"/>
          <w:numId w:val="15"/>
        </w:numPr>
        <w:jc w:val="both"/>
      </w:pPr>
      <w:r>
        <w:t xml:space="preserve">Podejmując decyzję o podziale dotacji, </w:t>
      </w:r>
      <w:r w:rsidR="00FE5418" w:rsidRPr="00DE3F90">
        <w:t xml:space="preserve">Minister </w:t>
      </w:r>
      <w:r w:rsidR="004660C3" w:rsidRPr="00DE3F90">
        <w:t xml:space="preserve">Spraw Wewnętrznych i Administracji </w:t>
      </w:r>
      <w:r w:rsidR="00FE5418" w:rsidRPr="00DE3F90">
        <w:t xml:space="preserve">nie jest związany </w:t>
      </w:r>
      <w:r w:rsidR="009A6FDC" w:rsidRPr="00DE3F90">
        <w:t xml:space="preserve">rekomendacją </w:t>
      </w:r>
      <w:r w:rsidR="00B828E1">
        <w:t>K</w:t>
      </w:r>
      <w:r w:rsidR="009A6FDC" w:rsidRPr="00DE3F90">
        <w:t>omisji</w:t>
      </w:r>
      <w:r w:rsidR="004660C3" w:rsidRPr="00DE3F90">
        <w:t xml:space="preserve">, o której mowa w ust. </w:t>
      </w:r>
      <w:r w:rsidR="006B6BB4">
        <w:t>6</w:t>
      </w:r>
      <w:r w:rsidR="004660C3" w:rsidRPr="00DE3F90">
        <w:t>.</w:t>
      </w:r>
    </w:p>
    <w:p w:rsidR="00304FF0" w:rsidRPr="00DE3F90" w:rsidRDefault="009A6FDC" w:rsidP="008637BC">
      <w:pPr>
        <w:numPr>
          <w:ilvl w:val="0"/>
          <w:numId w:val="15"/>
        </w:numPr>
        <w:spacing w:line="240" w:lineRule="auto"/>
        <w:jc w:val="both"/>
      </w:pPr>
      <w:r w:rsidRPr="00DE3F90">
        <w:t>D</w:t>
      </w:r>
      <w:r w:rsidR="00FE5418" w:rsidRPr="00DE3F90">
        <w:t>ecyzj</w:t>
      </w:r>
      <w:r w:rsidRPr="00DE3F90">
        <w:t>a</w:t>
      </w:r>
      <w:r w:rsidR="00FE5418" w:rsidRPr="00DE3F90">
        <w:t xml:space="preserve"> Ministra Spraw Wewnętrznych i Administracji</w:t>
      </w:r>
      <w:r w:rsidR="00304FF0" w:rsidRPr="00DE3F90">
        <w:t>, o któr</w:t>
      </w:r>
      <w:r w:rsidR="00C45DAC">
        <w:t>ej</w:t>
      </w:r>
      <w:r w:rsidR="00304FF0" w:rsidRPr="00DE3F90">
        <w:t xml:space="preserve"> mowa w</w:t>
      </w:r>
      <w:r w:rsidR="00C45DAC">
        <w:t xml:space="preserve"> ust. </w:t>
      </w:r>
      <w:r w:rsidR="006B6BB4">
        <w:t>11</w:t>
      </w:r>
      <w:r w:rsidR="00C45DAC">
        <w:t xml:space="preserve"> </w:t>
      </w:r>
      <w:r w:rsidR="00C45DAC" w:rsidRPr="00C45DAC">
        <w:t xml:space="preserve">zostanie opublikowana na stronach internetowych </w:t>
      </w:r>
      <w:r w:rsidR="00591C08">
        <w:t>MSWiA</w:t>
      </w:r>
      <w:r w:rsidR="00C45DAC" w:rsidRPr="00C45DAC">
        <w:t xml:space="preserve">, najpóźniej w dniu </w:t>
      </w:r>
      <w:r w:rsidR="00C45DAC" w:rsidRPr="00C45DAC">
        <w:rPr>
          <w:b/>
        </w:rPr>
        <w:t>31</w:t>
      </w:r>
      <w:r w:rsidR="00C45DAC" w:rsidRPr="00C45DAC">
        <w:rPr>
          <w:b/>
          <w:bCs/>
        </w:rPr>
        <w:t xml:space="preserve"> grudnia </w:t>
      </w:r>
      <w:r w:rsidR="00FA38BB" w:rsidRPr="00C45DAC">
        <w:rPr>
          <w:b/>
          <w:bCs/>
        </w:rPr>
        <w:t>20</w:t>
      </w:r>
      <w:r w:rsidR="00FA38BB">
        <w:rPr>
          <w:b/>
          <w:bCs/>
        </w:rPr>
        <w:t>20</w:t>
      </w:r>
      <w:r w:rsidR="00C45DAC" w:rsidRPr="00C45DAC">
        <w:rPr>
          <w:b/>
          <w:bCs/>
        </w:rPr>
        <w:t xml:space="preserve"> r.</w:t>
      </w:r>
    </w:p>
    <w:p w:rsidR="00FE5418" w:rsidRPr="00FE5418" w:rsidRDefault="00DE3F90" w:rsidP="008637BC">
      <w:pPr>
        <w:numPr>
          <w:ilvl w:val="0"/>
          <w:numId w:val="15"/>
        </w:numPr>
        <w:jc w:val="both"/>
      </w:pPr>
      <w:r>
        <w:t xml:space="preserve">Minister Spraw Wewnętrznych i Administracji </w:t>
      </w:r>
      <w:r w:rsidR="00FE5418" w:rsidRPr="00FE5418">
        <w:t xml:space="preserve">zawiera z wnioskodawcami umowy </w:t>
      </w:r>
      <w:r>
        <w:t>na realizację zadań</w:t>
      </w:r>
      <w:r w:rsidR="00FE5418" w:rsidRPr="00FE5418">
        <w:t>.</w:t>
      </w:r>
      <w:r w:rsidR="001F5A02">
        <w:t xml:space="preserve"> </w:t>
      </w:r>
      <w:r w:rsidR="00A90EF2" w:rsidRPr="00A90EF2">
        <w:t>W pierwszej kolejności zawiera się umowy dotyczące zadań</w:t>
      </w:r>
      <w:r w:rsidR="00A90EF2">
        <w:t>,</w:t>
      </w:r>
      <w:r w:rsidR="00A90EF2" w:rsidRPr="00A90EF2">
        <w:t xml:space="preserve"> w których proponowana data płatności środków z dotacji przypada na styczeń </w:t>
      </w:r>
      <w:r w:rsidR="00FA38BB" w:rsidRPr="00A90EF2">
        <w:t>202</w:t>
      </w:r>
      <w:r w:rsidR="00FA38BB">
        <w:t>1</w:t>
      </w:r>
      <w:r w:rsidR="00A90EF2" w:rsidRPr="00A90EF2">
        <w:t xml:space="preserve"> r.</w:t>
      </w:r>
    </w:p>
    <w:p w:rsidR="00FE5418" w:rsidRDefault="00FE5418" w:rsidP="008637BC">
      <w:pPr>
        <w:numPr>
          <w:ilvl w:val="0"/>
          <w:numId w:val="15"/>
        </w:numPr>
        <w:jc w:val="both"/>
      </w:pPr>
      <w:r w:rsidRPr="00FE5418">
        <w:t xml:space="preserve">Dyrektor </w:t>
      </w:r>
      <w:r w:rsidR="009A6FDC" w:rsidRPr="009A6FDC">
        <w:t xml:space="preserve">lub Zastępca Dyrektora </w:t>
      </w:r>
      <w:r w:rsidRPr="00FE5418">
        <w:t>Departamentu może wydłużyć termin</w:t>
      </w:r>
      <w:r w:rsidR="00C20736">
        <w:t>y</w:t>
      </w:r>
      <w:r w:rsidRPr="00FE5418">
        <w:t xml:space="preserve"> wskazan</w:t>
      </w:r>
      <w:r w:rsidR="00C20736">
        <w:t>e</w:t>
      </w:r>
      <w:r w:rsidRPr="00FE5418">
        <w:t xml:space="preserve"> w ust. 1.</w:t>
      </w:r>
    </w:p>
    <w:p w:rsidR="00FE5418" w:rsidRPr="00FE5418" w:rsidRDefault="00FE5418" w:rsidP="00FE5418">
      <w:pPr>
        <w:jc w:val="both"/>
      </w:pPr>
      <w:r w:rsidRPr="00FE5418">
        <w:rPr>
          <w:b/>
          <w:bCs/>
        </w:rPr>
        <w:t>V. Kryteria</w:t>
      </w:r>
      <w:r w:rsidRPr="00FE5418">
        <w:t xml:space="preserve"> </w:t>
      </w:r>
      <w:r w:rsidRPr="00FE5418">
        <w:rPr>
          <w:b/>
          <w:bCs/>
        </w:rPr>
        <w:t>oceny</w:t>
      </w:r>
      <w:r w:rsidRPr="00FE5418">
        <w:t xml:space="preserve"> </w:t>
      </w:r>
      <w:r w:rsidRPr="00FE5418">
        <w:rPr>
          <w:b/>
          <w:bCs/>
        </w:rPr>
        <w:t>wniosków</w:t>
      </w:r>
    </w:p>
    <w:p w:rsidR="00FE5418" w:rsidRPr="00FE5418" w:rsidRDefault="00FE5418" w:rsidP="008637BC">
      <w:pPr>
        <w:numPr>
          <w:ilvl w:val="0"/>
          <w:numId w:val="5"/>
        </w:numPr>
        <w:jc w:val="both"/>
      </w:pPr>
      <w:r w:rsidRPr="00FE5418">
        <w:t>Ocena złożon</w:t>
      </w:r>
      <w:r w:rsidR="009C64F4">
        <w:t>ych</w:t>
      </w:r>
      <w:r w:rsidRPr="00FE5418">
        <w:t xml:space="preserve"> wniosk</w:t>
      </w:r>
      <w:r w:rsidR="009C64F4">
        <w:t xml:space="preserve">ów polega na </w:t>
      </w:r>
      <w:r w:rsidRPr="00FE5418">
        <w:t>bada</w:t>
      </w:r>
      <w:r w:rsidR="009C64F4">
        <w:t>niu</w:t>
      </w:r>
      <w:r w:rsidRPr="00FE5418">
        <w:t>:</w:t>
      </w:r>
    </w:p>
    <w:p w:rsidR="009C64F4" w:rsidRDefault="009C64F4" w:rsidP="008637BC">
      <w:pPr>
        <w:pStyle w:val="Akapitzlist"/>
        <w:numPr>
          <w:ilvl w:val="0"/>
          <w:numId w:val="18"/>
        </w:numPr>
        <w:ind w:left="1418"/>
        <w:jc w:val="both"/>
      </w:pPr>
      <w:r>
        <w:t>poprawności formalnej wniosku;</w:t>
      </w:r>
    </w:p>
    <w:p w:rsidR="00FE5418" w:rsidRPr="00FE5418" w:rsidRDefault="00FE5418" w:rsidP="008637BC">
      <w:pPr>
        <w:pStyle w:val="Akapitzlist"/>
        <w:numPr>
          <w:ilvl w:val="0"/>
          <w:numId w:val="18"/>
        </w:numPr>
        <w:ind w:left="1418"/>
        <w:jc w:val="both"/>
      </w:pPr>
      <w:r w:rsidRPr="00FE5418">
        <w:t>zgodnoś</w:t>
      </w:r>
      <w:r w:rsidR="009C64F4">
        <w:t>ci</w:t>
      </w:r>
      <w:r w:rsidRPr="00FE5418">
        <w:t xml:space="preserve"> wniosków z celami, o których mowa w art. 18 ust. 1 pkt 1 </w:t>
      </w:r>
      <w:r w:rsidR="00787E59">
        <w:t>lub</w:t>
      </w:r>
      <w:r w:rsidRPr="00FE5418">
        <w:t xml:space="preserve"> art. 20 ust. 2 ustawy;</w:t>
      </w:r>
    </w:p>
    <w:p w:rsidR="00FE5418" w:rsidRPr="00FE5418" w:rsidRDefault="00FE5418" w:rsidP="008637BC">
      <w:pPr>
        <w:pStyle w:val="Akapitzlist"/>
        <w:numPr>
          <w:ilvl w:val="0"/>
          <w:numId w:val="18"/>
        </w:numPr>
        <w:ind w:left="1417" w:hanging="357"/>
        <w:jc w:val="both"/>
      </w:pPr>
      <w:r w:rsidRPr="00FE5418">
        <w:t>zgodnoś</w:t>
      </w:r>
      <w:r w:rsidR="009C64F4">
        <w:t>ci</w:t>
      </w:r>
      <w:r w:rsidRPr="00FE5418">
        <w:t xml:space="preserve"> wniosków z zadaniami, o których mowa w art. 18 ust. 2 ustawy</w:t>
      </w:r>
      <w:r w:rsidR="009C64F4">
        <w:t>.</w:t>
      </w:r>
    </w:p>
    <w:p w:rsidR="00FE5418" w:rsidRDefault="00FE5418" w:rsidP="008637BC">
      <w:pPr>
        <w:numPr>
          <w:ilvl w:val="0"/>
          <w:numId w:val="6"/>
        </w:numPr>
        <w:jc w:val="both"/>
      </w:pPr>
      <w:r w:rsidRPr="00FE5418">
        <w:lastRenderedPageBreak/>
        <w:t xml:space="preserve">Dokonując oceny wniosków </w:t>
      </w:r>
      <w:r w:rsidR="0095573E">
        <w:t>o udzielenie dotacji celowych Minister Spraw Wewnętrznych i </w:t>
      </w:r>
      <w:r w:rsidRPr="00FE5418">
        <w:t>Administracji</w:t>
      </w:r>
      <w:r w:rsidR="009C64F4">
        <w:t>,</w:t>
      </w:r>
      <w:r w:rsidRPr="00FE5418">
        <w:t xml:space="preserve"> w</w:t>
      </w:r>
      <w:r w:rsidR="00FF016D">
        <w:t xml:space="preserve"> </w:t>
      </w:r>
      <w:r w:rsidRPr="00FE5418">
        <w:t>szczególności bierze pod uwagę:</w:t>
      </w:r>
    </w:p>
    <w:p w:rsidR="00FE5418" w:rsidRPr="003F19E6" w:rsidRDefault="00FE5418" w:rsidP="008637BC">
      <w:pPr>
        <w:pStyle w:val="Akapitzlist"/>
        <w:numPr>
          <w:ilvl w:val="0"/>
          <w:numId w:val="19"/>
        </w:numPr>
        <w:ind w:left="1418"/>
        <w:jc w:val="both"/>
      </w:pPr>
      <w:r w:rsidRPr="003F19E6">
        <w:t xml:space="preserve">zasięg realizowanego zadania (liczbę osób należących do mniejszości narodowych </w:t>
      </w:r>
      <w:r w:rsidR="003F19E6">
        <w:t>i </w:t>
      </w:r>
      <w:r w:rsidRPr="003F19E6">
        <w:t>etnicznych oraz posługujących się językiem regionalnym objętych zadaniem);</w:t>
      </w:r>
    </w:p>
    <w:p w:rsidR="00FE5418" w:rsidRPr="003F19E6" w:rsidRDefault="00FE5418" w:rsidP="008637BC">
      <w:pPr>
        <w:pStyle w:val="Akapitzlist"/>
        <w:numPr>
          <w:ilvl w:val="0"/>
          <w:numId w:val="19"/>
        </w:numPr>
        <w:ind w:left="1418"/>
        <w:jc w:val="both"/>
      </w:pPr>
      <w:r w:rsidRPr="003F19E6">
        <w:t>siłę oddziaływania realizowanego zadania (stopień oddziaływania zadania na</w:t>
      </w:r>
      <w:r w:rsidR="00FF016D" w:rsidRPr="003F19E6">
        <w:t xml:space="preserve"> </w:t>
      </w:r>
      <w:r w:rsidRPr="003F19E6">
        <w:t xml:space="preserve">osoby należące do mniejszości narodowych i etnicznych </w:t>
      </w:r>
      <w:r w:rsidR="00353853" w:rsidRPr="003F19E6">
        <w:t xml:space="preserve">lub </w:t>
      </w:r>
      <w:r w:rsidRPr="003F19E6">
        <w:t>osoby posługu</w:t>
      </w:r>
      <w:r w:rsidR="00C45DAC">
        <w:t xml:space="preserve">jące się językiem regionalnym w </w:t>
      </w:r>
      <w:r w:rsidRPr="003F19E6">
        <w:t>celu zachowania ich tożsamości i</w:t>
      </w:r>
      <w:r w:rsidR="009C64F4" w:rsidRPr="003F19E6">
        <w:t xml:space="preserve"> </w:t>
      </w:r>
      <w:r w:rsidRPr="003F19E6">
        <w:t>języka);</w:t>
      </w:r>
      <w:r w:rsidR="00442FC5" w:rsidRPr="003F19E6">
        <w:t xml:space="preserve"> </w:t>
      </w:r>
    </w:p>
    <w:p w:rsidR="00FE5418" w:rsidRPr="003F19E6" w:rsidRDefault="00FE5418" w:rsidP="008637BC">
      <w:pPr>
        <w:pStyle w:val="Akapitzlist"/>
        <w:numPr>
          <w:ilvl w:val="0"/>
          <w:numId w:val="19"/>
        </w:numPr>
        <w:ind w:left="1418"/>
        <w:jc w:val="both"/>
      </w:pPr>
      <w:r w:rsidRPr="003F19E6">
        <w:t>efektywność realizowanego zadania (spodziewane efekty w stosunku do</w:t>
      </w:r>
      <w:r w:rsidR="00FF016D" w:rsidRPr="003F19E6">
        <w:t xml:space="preserve"> </w:t>
      </w:r>
      <w:r w:rsidRPr="003F19E6">
        <w:t>planowanych kosztów);</w:t>
      </w:r>
    </w:p>
    <w:p w:rsidR="00FE5418" w:rsidRPr="003F19E6" w:rsidRDefault="00FE5418" w:rsidP="008637BC">
      <w:pPr>
        <w:pStyle w:val="Akapitzlist"/>
        <w:numPr>
          <w:ilvl w:val="0"/>
          <w:numId w:val="19"/>
        </w:numPr>
        <w:ind w:left="1418"/>
        <w:jc w:val="both"/>
      </w:pPr>
      <w:r w:rsidRPr="003F19E6">
        <w:t>dotychczasowe doświadczenia oraz wcześniejszy sposób realizacji przez wnioskodawców podobnych zadań, o których mowa w art. 18 ust. 2 pkt 1-9 ustawy;</w:t>
      </w:r>
      <w:r w:rsidR="00442FC5" w:rsidRPr="003F19E6">
        <w:t xml:space="preserve"> </w:t>
      </w:r>
    </w:p>
    <w:p w:rsidR="00995F3A" w:rsidRPr="003F19E6" w:rsidRDefault="00995F3A" w:rsidP="008637BC">
      <w:pPr>
        <w:pStyle w:val="Akapitzlist"/>
        <w:numPr>
          <w:ilvl w:val="0"/>
          <w:numId w:val="19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cs="A"/>
        </w:rPr>
      </w:pPr>
      <w:r w:rsidRPr="003F19E6">
        <w:rPr>
          <w:rFonts w:cs="A"/>
        </w:rPr>
        <w:t>kwalifikacje osób, przy udziale których będzie realizowane zad</w:t>
      </w:r>
      <w:r w:rsidR="003C4C2F" w:rsidRPr="003F19E6">
        <w:rPr>
          <w:rFonts w:cs="A"/>
        </w:rPr>
        <w:t>a</w:t>
      </w:r>
      <w:r w:rsidRPr="003F19E6">
        <w:rPr>
          <w:rFonts w:cs="A"/>
        </w:rPr>
        <w:t>nie</w:t>
      </w:r>
      <w:r w:rsidR="002C58F9">
        <w:rPr>
          <w:rStyle w:val="Odwoanieprzypisudolnego"/>
          <w:rFonts w:cs="A"/>
        </w:rPr>
        <w:footnoteReference w:id="11"/>
      </w:r>
      <w:r w:rsidRPr="003F19E6">
        <w:rPr>
          <w:rFonts w:cs="A"/>
        </w:rPr>
        <w:t>;</w:t>
      </w:r>
      <w:r w:rsidR="00442FC5" w:rsidRPr="003F19E6">
        <w:rPr>
          <w:rFonts w:cs="A"/>
        </w:rPr>
        <w:t xml:space="preserve"> </w:t>
      </w:r>
    </w:p>
    <w:p w:rsidR="00FE5418" w:rsidRPr="003F19E6" w:rsidRDefault="00FE5418" w:rsidP="008637BC">
      <w:pPr>
        <w:pStyle w:val="Akapitzlist"/>
        <w:numPr>
          <w:ilvl w:val="0"/>
          <w:numId w:val="19"/>
        </w:numPr>
        <w:ind w:left="1418"/>
        <w:jc w:val="both"/>
      </w:pPr>
      <w:r w:rsidRPr="003F19E6">
        <w:t>współpracę wnioskodawców przy realizacji zadania z innymi partnerami oraz</w:t>
      </w:r>
      <w:r w:rsidR="003A0E36">
        <w:t>, w </w:t>
      </w:r>
      <w:r w:rsidR="00ED63BE" w:rsidRPr="003F19E6">
        <w:t>przypadku wniosku dotyczącego wsparcia realizacji z</w:t>
      </w:r>
      <w:r w:rsidR="003A0E36">
        <w:t>adania w rozumieniu art. 5 ust. </w:t>
      </w:r>
      <w:r w:rsidR="00ED63BE" w:rsidRPr="003F19E6">
        <w:t xml:space="preserve">4 pkt 2 ustawy z dnia 24 kwietnia 2003 r. </w:t>
      </w:r>
      <w:r w:rsidR="00FD3F24" w:rsidRPr="001F34BA">
        <w:rPr>
          <w:i/>
        </w:rPr>
        <w:t>o dział</w:t>
      </w:r>
      <w:r w:rsidR="003A0E36" w:rsidRPr="001F34BA">
        <w:rPr>
          <w:i/>
        </w:rPr>
        <w:t>alności pożytku publicznego i o </w:t>
      </w:r>
      <w:r w:rsidR="00FD3F24" w:rsidRPr="001F34BA">
        <w:rPr>
          <w:i/>
        </w:rPr>
        <w:t>wolontariacie</w:t>
      </w:r>
      <w:r w:rsidR="00837B1D">
        <w:rPr>
          <w:rStyle w:val="Odwoanieprzypisudolnego"/>
          <w:i/>
        </w:rPr>
        <w:footnoteReference w:id="12"/>
      </w:r>
      <w:r w:rsidR="00ED63BE" w:rsidRPr="003F19E6">
        <w:t>,</w:t>
      </w:r>
      <w:r w:rsidRPr="003F19E6">
        <w:t xml:space="preserve"> wielkość środków </w:t>
      </w:r>
      <w:r w:rsidR="001F04E0">
        <w:t xml:space="preserve">planowanych na realizację zadania </w:t>
      </w:r>
      <w:r w:rsidRPr="003F19E6">
        <w:t>ze źródeł innych niż budżet państwa (w tym m.</w:t>
      </w:r>
      <w:r w:rsidR="00FF016D" w:rsidRPr="003F19E6">
        <w:t xml:space="preserve"> </w:t>
      </w:r>
      <w:r w:rsidRPr="003F19E6">
        <w:t>in. od</w:t>
      </w:r>
      <w:r w:rsidR="00FF016D" w:rsidRPr="003F19E6">
        <w:t xml:space="preserve"> </w:t>
      </w:r>
      <w:r w:rsidRPr="003F19E6">
        <w:t>jednostek samorządu te</w:t>
      </w:r>
      <w:r w:rsidR="00B4593F" w:rsidRPr="003F19E6">
        <w:t xml:space="preserve">rytorialnego, osób fizycznych i </w:t>
      </w:r>
      <w:r w:rsidRPr="003F19E6">
        <w:t>przedsiębiorstw);</w:t>
      </w:r>
      <w:r w:rsidR="00442FC5" w:rsidRPr="003F19E6">
        <w:t xml:space="preserve"> </w:t>
      </w:r>
    </w:p>
    <w:p w:rsidR="00FE5418" w:rsidRDefault="00FE5418" w:rsidP="008637BC">
      <w:pPr>
        <w:pStyle w:val="Akapitzlist"/>
        <w:numPr>
          <w:ilvl w:val="0"/>
          <w:numId w:val="19"/>
        </w:numPr>
        <w:ind w:left="1418"/>
        <w:jc w:val="both"/>
      </w:pPr>
      <w:r w:rsidRPr="003F19E6">
        <w:t>długofalowe efekty realizowanego zadania (w przypadku zadań realizowanych w</w:t>
      </w:r>
      <w:r w:rsidR="003A0E36">
        <w:t> </w:t>
      </w:r>
      <w:r w:rsidRPr="003F19E6">
        <w:t>sposób ciągły).</w:t>
      </w:r>
      <w:r w:rsidR="00644332" w:rsidRPr="003F19E6">
        <w:t xml:space="preserve"> </w:t>
      </w:r>
    </w:p>
    <w:p w:rsidR="0095573E" w:rsidRDefault="0095573E" w:rsidP="008637BC">
      <w:pPr>
        <w:numPr>
          <w:ilvl w:val="0"/>
          <w:numId w:val="6"/>
        </w:numPr>
        <w:jc w:val="both"/>
      </w:pPr>
      <w:r w:rsidRPr="00FE5418">
        <w:t xml:space="preserve">Dokonując oceny wniosków </w:t>
      </w:r>
      <w:r>
        <w:t xml:space="preserve">o udzielenie dotacji podmiotowych Minister Spraw Wewnętrznych i </w:t>
      </w:r>
      <w:r w:rsidRPr="00FE5418">
        <w:t>Administracji</w:t>
      </w:r>
      <w:r>
        <w:t>,</w:t>
      </w:r>
      <w:r w:rsidRPr="00FE5418">
        <w:t xml:space="preserve"> w</w:t>
      </w:r>
      <w:r>
        <w:t xml:space="preserve"> </w:t>
      </w:r>
      <w:r w:rsidRPr="00FE5418">
        <w:t>szczególności bierze pod uwagę:</w:t>
      </w:r>
    </w:p>
    <w:p w:rsidR="000C7585" w:rsidRDefault="000C7585" w:rsidP="008637BC">
      <w:pPr>
        <w:pStyle w:val="Akapitzlist"/>
        <w:numPr>
          <w:ilvl w:val="0"/>
          <w:numId w:val="25"/>
        </w:numPr>
        <w:jc w:val="both"/>
      </w:pPr>
      <w:r>
        <w:t>spełnienie warunk</w:t>
      </w:r>
      <w:r w:rsidR="001E2841">
        <w:t>u</w:t>
      </w:r>
      <w:r>
        <w:t>, o który</w:t>
      </w:r>
      <w:r w:rsidR="001E2841">
        <w:t>m</w:t>
      </w:r>
      <w:r>
        <w:t xml:space="preserve"> mowa w rozdz. III ust. </w:t>
      </w:r>
      <w:r w:rsidR="008939D1">
        <w:t>2</w:t>
      </w:r>
      <w:r>
        <w:t>;</w:t>
      </w:r>
    </w:p>
    <w:p w:rsidR="0095573E" w:rsidRPr="003F19E6" w:rsidRDefault="0095573E" w:rsidP="008637BC">
      <w:pPr>
        <w:pStyle w:val="Akapitzlist"/>
        <w:numPr>
          <w:ilvl w:val="0"/>
          <w:numId w:val="25"/>
        </w:numPr>
        <w:jc w:val="both"/>
      </w:pPr>
      <w:r w:rsidRPr="003F19E6">
        <w:t>efektywność realizowanego zadania (spodziewane efekty w stosunku do planowanych kosztów);</w:t>
      </w:r>
    </w:p>
    <w:p w:rsidR="0095573E" w:rsidRPr="003F19E6" w:rsidRDefault="0095573E" w:rsidP="008637BC">
      <w:pPr>
        <w:pStyle w:val="Akapitzlist"/>
        <w:numPr>
          <w:ilvl w:val="0"/>
          <w:numId w:val="25"/>
        </w:numPr>
        <w:jc w:val="both"/>
      </w:pPr>
      <w:r w:rsidRPr="003F19E6">
        <w:t xml:space="preserve">dotychczasowe doświadczenia oraz wcześniejszy sposób realizacji przez wnioskodawców podobnych zadań, o których mowa w art. 18 ust. 2 pkt 1-9 ustawy; </w:t>
      </w:r>
    </w:p>
    <w:p w:rsidR="0095573E" w:rsidRPr="003F19E6" w:rsidRDefault="0095573E" w:rsidP="008637BC">
      <w:pPr>
        <w:pStyle w:val="Akapitzlist"/>
        <w:numPr>
          <w:ilvl w:val="0"/>
          <w:numId w:val="25"/>
        </w:numPr>
        <w:jc w:val="both"/>
      </w:pPr>
      <w:r w:rsidRPr="003F19E6">
        <w:t xml:space="preserve">współpracę wnioskodawców przy realizacji zadania z innymi partnerami oraz wielkość środków </w:t>
      </w:r>
      <w:r w:rsidR="001A3BC9" w:rsidRPr="001A3BC9">
        <w:t>planowanych na realizację zadania</w:t>
      </w:r>
      <w:r w:rsidRPr="003F19E6">
        <w:t xml:space="preserve"> ze źród</w:t>
      </w:r>
      <w:r w:rsidR="001A3BC9">
        <w:t>eł innych niż budżet państwa (w </w:t>
      </w:r>
      <w:r w:rsidRPr="003F19E6">
        <w:t>tym m. in. od jednostek samorządu te</w:t>
      </w:r>
      <w:r w:rsidR="001A3BC9">
        <w:t>rytorialnego, osób fizycznych i </w:t>
      </w:r>
      <w:r w:rsidRPr="003F19E6">
        <w:t xml:space="preserve">przedsiębiorstw); </w:t>
      </w:r>
    </w:p>
    <w:p w:rsidR="0095573E" w:rsidRDefault="0095573E" w:rsidP="008637BC">
      <w:pPr>
        <w:pStyle w:val="Akapitzlist"/>
        <w:numPr>
          <w:ilvl w:val="0"/>
          <w:numId w:val="25"/>
        </w:numPr>
        <w:jc w:val="both"/>
      </w:pPr>
      <w:r w:rsidRPr="003F19E6">
        <w:t xml:space="preserve">długofalowe efekty realizowanego zadania. </w:t>
      </w:r>
    </w:p>
    <w:p w:rsidR="00FE5418" w:rsidRPr="00FE5418" w:rsidRDefault="00FE5418" w:rsidP="008637BC">
      <w:pPr>
        <w:numPr>
          <w:ilvl w:val="0"/>
          <w:numId w:val="6"/>
        </w:numPr>
        <w:jc w:val="both"/>
      </w:pPr>
      <w:r w:rsidRPr="00FE5418">
        <w:t>Dokonując oceny wniosków o przyznanie dotacji celowych na czasopisma Minister Spraw Wewnętrznych i Administracji bierze również pod uwagę:</w:t>
      </w:r>
    </w:p>
    <w:p w:rsidR="00FE5418" w:rsidRPr="00FE5418" w:rsidRDefault="00FE5418" w:rsidP="008637BC">
      <w:pPr>
        <w:pStyle w:val="Akapitzlist"/>
        <w:numPr>
          <w:ilvl w:val="0"/>
          <w:numId w:val="20"/>
        </w:numPr>
        <w:ind w:left="1418"/>
        <w:jc w:val="both"/>
      </w:pPr>
      <w:r w:rsidRPr="00FE5418">
        <w:t>planowaną objętość czasopisma;</w:t>
      </w:r>
    </w:p>
    <w:p w:rsidR="00FE5418" w:rsidRPr="00FE5418" w:rsidRDefault="00FE5418" w:rsidP="008637BC">
      <w:pPr>
        <w:pStyle w:val="Akapitzlist"/>
        <w:numPr>
          <w:ilvl w:val="0"/>
          <w:numId w:val="20"/>
        </w:numPr>
        <w:ind w:left="1418"/>
        <w:jc w:val="both"/>
      </w:pPr>
      <w:r w:rsidRPr="00FE5418">
        <w:t>planowaną liczbę numerów czasopisma;</w:t>
      </w:r>
    </w:p>
    <w:p w:rsidR="00FE5418" w:rsidRPr="00FE5418" w:rsidRDefault="00FE5418" w:rsidP="008637BC">
      <w:pPr>
        <w:pStyle w:val="Akapitzlist"/>
        <w:numPr>
          <w:ilvl w:val="0"/>
          <w:numId w:val="20"/>
        </w:numPr>
        <w:ind w:left="1418"/>
        <w:jc w:val="both"/>
      </w:pPr>
      <w:r w:rsidRPr="00FE5418">
        <w:t>język, w którym ukazywa</w:t>
      </w:r>
      <w:r w:rsidR="00A970E0">
        <w:t>ć</w:t>
      </w:r>
      <w:r w:rsidRPr="00FE5418">
        <w:t xml:space="preserve"> się będzie czasopismo.</w:t>
      </w:r>
    </w:p>
    <w:p w:rsidR="00FE5418" w:rsidRPr="00FE5418" w:rsidRDefault="009C64F4" w:rsidP="00FE5418">
      <w:pPr>
        <w:jc w:val="both"/>
      </w:pPr>
      <w:r>
        <w:rPr>
          <w:b/>
          <w:bCs/>
        </w:rPr>
        <w:t>V</w:t>
      </w:r>
      <w:r w:rsidR="003129F0">
        <w:rPr>
          <w:b/>
          <w:bCs/>
        </w:rPr>
        <w:t>I</w:t>
      </w:r>
      <w:r w:rsidR="00FE5418" w:rsidRPr="00FE5418">
        <w:rPr>
          <w:b/>
          <w:bCs/>
        </w:rPr>
        <w:t>. Informacje</w:t>
      </w:r>
      <w:r w:rsidR="00FE5418" w:rsidRPr="00FE5418">
        <w:t xml:space="preserve"> </w:t>
      </w:r>
      <w:r w:rsidR="00FE5418" w:rsidRPr="00FE5418">
        <w:rPr>
          <w:b/>
          <w:bCs/>
        </w:rPr>
        <w:t>dotyczące</w:t>
      </w:r>
      <w:r w:rsidR="00FE5418" w:rsidRPr="00FE5418">
        <w:t xml:space="preserve"> </w:t>
      </w:r>
      <w:r w:rsidR="00BA56EF" w:rsidRPr="00BA56EF">
        <w:rPr>
          <w:b/>
        </w:rPr>
        <w:t>zastrzeżeń i</w:t>
      </w:r>
      <w:r w:rsidR="00BA56EF">
        <w:t xml:space="preserve"> </w:t>
      </w:r>
      <w:r w:rsidR="00FE5418" w:rsidRPr="00FE5418">
        <w:rPr>
          <w:b/>
          <w:bCs/>
        </w:rPr>
        <w:t>preferencji, które</w:t>
      </w:r>
      <w:r w:rsidR="00FE5418" w:rsidRPr="00FE5418">
        <w:t xml:space="preserve"> </w:t>
      </w:r>
      <w:r w:rsidR="00FE5418" w:rsidRPr="00FE5418">
        <w:rPr>
          <w:b/>
          <w:bCs/>
        </w:rPr>
        <w:t>będą</w:t>
      </w:r>
      <w:r w:rsidR="00FE5418" w:rsidRPr="00FE5418">
        <w:t xml:space="preserve"> </w:t>
      </w:r>
      <w:r w:rsidR="00FE5418" w:rsidRPr="00FE5418">
        <w:rPr>
          <w:b/>
          <w:bCs/>
        </w:rPr>
        <w:t>stosowane</w:t>
      </w:r>
      <w:r w:rsidR="00FE5418" w:rsidRPr="00FE5418">
        <w:t xml:space="preserve"> </w:t>
      </w:r>
      <w:r w:rsidR="00FE5418" w:rsidRPr="00FE5418">
        <w:rPr>
          <w:b/>
          <w:bCs/>
        </w:rPr>
        <w:t>przy</w:t>
      </w:r>
      <w:r w:rsidR="00FE5418" w:rsidRPr="00FE5418">
        <w:t xml:space="preserve"> </w:t>
      </w:r>
      <w:r w:rsidR="00FE5418" w:rsidRPr="00FE5418">
        <w:rPr>
          <w:b/>
          <w:bCs/>
        </w:rPr>
        <w:t>udzielaniu</w:t>
      </w:r>
      <w:r w:rsidR="00FE5418" w:rsidRPr="00FE5418">
        <w:t xml:space="preserve"> </w:t>
      </w:r>
      <w:r w:rsidR="00FE5418" w:rsidRPr="00FE5418">
        <w:rPr>
          <w:b/>
          <w:bCs/>
        </w:rPr>
        <w:t>dotacji</w:t>
      </w:r>
    </w:p>
    <w:p w:rsidR="00FE5418" w:rsidRPr="00FE5418" w:rsidRDefault="00FE5418" w:rsidP="008637BC">
      <w:pPr>
        <w:numPr>
          <w:ilvl w:val="0"/>
          <w:numId w:val="7"/>
        </w:numPr>
        <w:jc w:val="both"/>
      </w:pPr>
      <w:r w:rsidRPr="00FE5418">
        <w:lastRenderedPageBreak/>
        <w:t>W przypadku dotacji udzielanych na realizację zadań, o których mowa w art. 18 ust. 2 pkt 1</w:t>
      </w:r>
      <w:r w:rsidR="003129F0">
        <w:t>,</w:t>
      </w:r>
      <w:r w:rsidR="00D10606">
        <w:t xml:space="preserve"> 3, 5-</w:t>
      </w:r>
      <w:r w:rsidRPr="00FE5418">
        <w:t>9 ustawy, będą preferowane organizacje mniejszości narodowych i etnicznych oraz organizacje społeczności posługującej się językiem regionalnym.</w:t>
      </w:r>
    </w:p>
    <w:p w:rsidR="00FE5418" w:rsidRPr="00FE5418" w:rsidRDefault="00FE5418" w:rsidP="008637BC">
      <w:pPr>
        <w:numPr>
          <w:ilvl w:val="0"/>
          <w:numId w:val="7"/>
        </w:numPr>
        <w:jc w:val="both"/>
      </w:pPr>
      <w:r w:rsidRPr="00FE5418">
        <w:t xml:space="preserve">W przypadku dotacji udzielanych na realizację zadań, o których mowa w art. 18 ust. 2 pkt 4 ustawy, będą preferowane organizacje mniejszości narodowych i etnicznych oraz </w:t>
      </w:r>
      <w:r w:rsidR="00995F3A">
        <w:t xml:space="preserve">organizacje </w:t>
      </w:r>
      <w:r w:rsidRPr="00FE5418">
        <w:t>społeczności posługującej się językiem regionalnym, a także osoby prawne realizujące audycje adresowane do</w:t>
      </w:r>
      <w:r w:rsidR="00995F3A">
        <w:t xml:space="preserve"> </w:t>
      </w:r>
      <w:r w:rsidRPr="00FE5418">
        <w:t>mniejszości narodowych i etnicznych oraz społeczności posługującej się językiem regionalnym, spełniające łącznie następujące warunki:</w:t>
      </w:r>
    </w:p>
    <w:p w:rsidR="00FE5418" w:rsidRPr="00FE5418" w:rsidRDefault="00FE5418" w:rsidP="008637BC">
      <w:pPr>
        <w:pStyle w:val="Akapitzlist"/>
        <w:numPr>
          <w:ilvl w:val="0"/>
          <w:numId w:val="21"/>
        </w:numPr>
        <w:ind w:left="1418"/>
        <w:jc w:val="both"/>
      </w:pPr>
      <w:r w:rsidRPr="00FE5418">
        <w:t>są w całości poświęcone problematyce mniejszości narodowych, etnicznych lub społeczności posługującej się językiem regionalnym;</w:t>
      </w:r>
    </w:p>
    <w:p w:rsidR="00FE5418" w:rsidRPr="00FE5418" w:rsidRDefault="00FE5418" w:rsidP="008637BC">
      <w:pPr>
        <w:pStyle w:val="Akapitzlist"/>
        <w:numPr>
          <w:ilvl w:val="0"/>
          <w:numId w:val="21"/>
        </w:numPr>
        <w:ind w:left="1418"/>
        <w:jc w:val="both"/>
      </w:pPr>
      <w:r w:rsidRPr="00FE5418">
        <w:t>przedstawiciele mniejszości narodowych, etnicznych lub społeczności posługującej się językiem regionalnym nie tylko biorą w nich udział, ale sami mówią o sobie i</w:t>
      </w:r>
      <w:r w:rsidR="00FF016D">
        <w:t xml:space="preserve"> </w:t>
      </w:r>
      <w:r w:rsidRPr="00FE5418">
        <w:t>o</w:t>
      </w:r>
      <w:r w:rsidR="00FF016D">
        <w:t xml:space="preserve"> </w:t>
      </w:r>
      <w:r w:rsidRPr="00FE5418">
        <w:t>swoich sprawach;</w:t>
      </w:r>
    </w:p>
    <w:p w:rsidR="00FE5418" w:rsidRPr="00FE5418" w:rsidRDefault="00FE5418" w:rsidP="008637BC">
      <w:pPr>
        <w:pStyle w:val="Akapitzlist"/>
        <w:numPr>
          <w:ilvl w:val="0"/>
          <w:numId w:val="21"/>
        </w:numPr>
        <w:ind w:left="1418"/>
        <w:jc w:val="both"/>
      </w:pPr>
      <w:r w:rsidRPr="00FE5418">
        <w:t>ich wyraźnym adresatem jest konkretna mniejszość narodowa, etniczna lub społeczność posługująca się językiem regionalnym;</w:t>
      </w:r>
    </w:p>
    <w:p w:rsidR="00FE5418" w:rsidRPr="009C4645" w:rsidRDefault="00FE5418" w:rsidP="008637BC">
      <w:pPr>
        <w:pStyle w:val="Akapitzlist"/>
        <w:numPr>
          <w:ilvl w:val="0"/>
          <w:numId w:val="21"/>
        </w:numPr>
        <w:ind w:left="1418"/>
        <w:jc w:val="both"/>
      </w:pPr>
      <w:r w:rsidRPr="009C4645">
        <w:t>są realizowane w języku mniejszości narodowej, etnicznej lub w języku regionalnym;</w:t>
      </w:r>
    </w:p>
    <w:p w:rsidR="00FE5418" w:rsidRPr="009C4645" w:rsidRDefault="00FE5418" w:rsidP="008637BC">
      <w:pPr>
        <w:pStyle w:val="Akapitzlist"/>
        <w:numPr>
          <w:ilvl w:val="0"/>
          <w:numId w:val="21"/>
        </w:numPr>
        <w:ind w:left="1418"/>
        <w:jc w:val="both"/>
      </w:pPr>
      <w:r w:rsidRPr="009C4645">
        <w:t>są redagowane przez zespół złożony z przedstawicieli zainteresowanej mniejszości narodowej, etnicznej lub społeczności posługującej się językiem regionalnym.</w:t>
      </w:r>
    </w:p>
    <w:p w:rsidR="00EA3781" w:rsidRPr="00CB2BC9" w:rsidRDefault="00EA3781" w:rsidP="008637BC">
      <w:pPr>
        <w:numPr>
          <w:ilvl w:val="0"/>
          <w:numId w:val="8"/>
        </w:numPr>
        <w:jc w:val="both"/>
      </w:pPr>
      <w:r w:rsidRPr="00CB2BC9">
        <w:t>Dotacje przeznaczone na wspieranie programów radiowych i telewizyjnych mogą być przekazywane wyłącznie na programy nadawane przez niepubliczną radiofonię i telewizję.</w:t>
      </w:r>
    </w:p>
    <w:p w:rsidR="00FE5418" w:rsidRDefault="00FE5418" w:rsidP="008637BC">
      <w:pPr>
        <w:numPr>
          <w:ilvl w:val="0"/>
          <w:numId w:val="8"/>
        </w:numPr>
        <w:jc w:val="both"/>
      </w:pPr>
      <w:r w:rsidRPr="00FE5418">
        <w:t xml:space="preserve">W przypadku zadań realizowanych poza terytorium Rzeczypospolitej Polskiej dotacje mogą być przyznawane wyłącznie na zadania, o których mowa w art. 18 ust. 2 pkt 1 i 8 ustawy wówczas, gdy </w:t>
      </w:r>
      <w:r w:rsidR="00A42FBE" w:rsidRPr="003A0E36">
        <w:t xml:space="preserve">będą realizowane </w:t>
      </w:r>
      <w:r w:rsidRPr="00FE5418">
        <w:t>na terytorium państw, z</w:t>
      </w:r>
      <w:r w:rsidR="00FF016D">
        <w:t xml:space="preserve"> </w:t>
      </w:r>
      <w:r w:rsidRPr="00FE5418">
        <w:t>którymi dana mniejszość narodowa lub etniczna jest związana kulturowo i historycznie.</w:t>
      </w:r>
    </w:p>
    <w:p w:rsidR="00BA56EF" w:rsidRDefault="00BA56EF" w:rsidP="008637BC">
      <w:pPr>
        <w:numPr>
          <w:ilvl w:val="0"/>
          <w:numId w:val="8"/>
        </w:numPr>
        <w:jc w:val="both"/>
      </w:pPr>
      <w:r w:rsidRPr="00CB2BC9">
        <w:t>Zastrzega się, że ramow</w:t>
      </w:r>
      <w:r w:rsidR="00C45DAC">
        <w:t>y</w:t>
      </w:r>
      <w:r w:rsidRPr="00CB2BC9">
        <w:t xml:space="preserve"> wz</w:t>
      </w:r>
      <w:r w:rsidR="00C45DAC">
        <w:t>ór</w:t>
      </w:r>
      <w:r w:rsidRPr="00CB2BC9">
        <w:t xml:space="preserve"> um</w:t>
      </w:r>
      <w:r w:rsidR="00C45DAC">
        <w:t>owy</w:t>
      </w:r>
      <w:r w:rsidRPr="00CB2BC9">
        <w:t xml:space="preserve"> stanowiąc</w:t>
      </w:r>
      <w:r w:rsidR="00C45DAC">
        <w:t>y</w:t>
      </w:r>
      <w:r w:rsidRPr="00CB2BC9">
        <w:t xml:space="preserve"> załącznik nr 2 do </w:t>
      </w:r>
      <w:r w:rsidRPr="00CB2BC9">
        <w:rPr>
          <w:i/>
        </w:rPr>
        <w:t>Informacji</w:t>
      </w:r>
      <w:r w:rsidR="003A0E36" w:rsidRPr="00CB2BC9">
        <w:t xml:space="preserve"> </w:t>
      </w:r>
      <w:r w:rsidR="00D00DB2" w:rsidRPr="00CB2BC9">
        <w:t>ma wyłącznie charakter informacyjny. Wspomnian</w:t>
      </w:r>
      <w:r w:rsidR="00C45DAC">
        <w:t>y</w:t>
      </w:r>
      <w:r w:rsidR="00D00DB2" w:rsidRPr="00CB2BC9">
        <w:t xml:space="preserve"> wz</w:t>
      </w:r>
      <w:r w:rsidR="00C45DAC">
        <w:t>ór</w:t>
      </w:r>
      <w:r w:rsidR="00D00DB2" w:rsidRPr="00CB2BC9">
        <w:t xml:space="preserve"> um</w:t>
      </w:r>
      <w:r w:rsidR="00C45DAC">
        <w:t>owy</w:t>
      </w:r>
      <w:r w:rsidR="00D00DB2" w:rsidRPr="00CB2BC9">
        <w:t xml:space="preserve"> </w:t>
      </w:r>
      <w:r w:rsidR="003A0E36" w:rsidRPr="00CB2BC9">
        <w:t>mo</w:t>
      </w:r>
      <w:r w:rsidR="00C45DAC">
        <w:t>że</w:t>
      </w:r>
      <w:r w:rsidR="003A0E36" w:rsidRPr="00CB2BC9">
        <w:t xml:space="preserve"> podlegać modyfikacjom, które nie wymagają zaopiniowani</w:t>
      </w:r>
      <w:r w:rsidR="00D00DB2" w:rsidRPr="00CB2BC9">
        <w:t>a przez Komisję Wspólną Rządu i</w:t>
      </w:r>
      <w:r w:rsidR="00F15CD3">
        <w:t xml:space="preserve"> Mniejszości Narodowych i </w:t>
      </w:r>
      <w:r w:rsidR="003A0E36" w:rsidRPr="00CB2BC9">
        <w:t>Etnicznych.</w:t>
      </w:r>
    </w:p>
    <w:p w:rsidR="00FE5418" w:rsidRPr="00FE5418" w:rsidRDefault="00FE5418" w:rsidP="00FE5418">
      <w:pPr>
        <w:jc w:val="both"/>
      </w:pPr>
      <w:r w:rsidRPr="00FE5418">
        <w:rPr>
          <w:b/>
          <w:bCs/>
        </w:rPr>
        <w:t>VI</w:t>
      </w:r>
      <w:r w:rsidR="00DE3F90">
        <w:rPr>
          <w:b/>
          <w:bCs/>
        </w:rPr>
        <w:t>I</w:t>
      </w:r>
      <w:r w:rsidRPr="00FE5418">
        <w:rPr>
          <w:b/>
          <w:bCs/>
        </w:rPr>
        <w:t xml:space="preserve">. </w:t>
      </w:r>
      <w:r w:rsidR="00D96737" w:rsidRPr="00FE5418">
        <w:rPr>
          <w:b/>
          <w:bCs/>
        </w:rPr>
        <w:t>Informacj</w:t>
      </w:r>
      <w:r w:rsidR="00D96737">
        <w:rPr>
          <w:b/>
          <w:bCs/>
        </w:rPr>
        <w:t>e</w:t>
      </w:r>
      <w:r w:rsidR="00D96737" w:rsidRPr="00FE5418">
        <w:t xml:space="preserve"> </w:t>
      </w:r>
      <w:r w:rsidRPr="00FE5418">
        <w:rPr>
          <w:b/>
          <w:bCs/>
        </w:rPr>
        <w:t>dotycząc</w:t>
      </w:r>
      <w:r w:rsidR="00D96737">
        <w:rPr>
          <w:b/>
          <w:bCs/>
        </w:rPr>
        <w:t>e</w:t>
      </w:r>
      <w:r w:rsidRPr="00FE5418">
        <w:t xml:space="preserve"> </w:t>
      </w:r>
      <w:r w:rsidRPr="00FE5418">
        <w:rPr>
          <w:b/>
          <w:bCs/>
        </w:rPr>
        <w:t>aneksowania</w:t>
      </w:r>
      <w:r w:rsidRPr="00FE5418">
        <w:t xml:space="preserve"> </w:t>
      </w:r>
      <w:r w:rsidRPr="00FE5418">
        <w:rPr>
          <w:b/>
          <w:bCs/>
        </w:rPr>
        <w:t>umów</w:t>
      </w:r>
      <w:r w:rsidRPr="00FE5418">
        <w:t xml:space="preserve"> </w:t>
      </w:r>
      <w:r w:rsidRPr="00FE5418">
        <w:rPr>
          <w:b/>
          <w:bCs/>
        </w:rPr>
        <w:t>z</w:t>
      </w:r>
      <w:r w:rsidRPr="00FE5418">
        <w:t xml:space="preserve"> </w:t>
      </w:r>
      <w:r w:rsidRPr="00FE5418">
        <w:rPr>
          <w:b/>
          <w:bCs/>
        </w:rPr>
        <w:t>inicjatywy</w:t>
      </w:r>
      <w:r w:rsidRPr="00FE5418">
        <w:t xml:space="preserve"> </w:t>
      </w:r>
      <w:r w:rsidRPr="00FE5418">
        <w:rPr>
          <w:b/>
          <w:bCs/>
        </w:rPr>
        <w:t>zleceniobiorców</w:t>
      </w:r>
    </w:p>
    <w:p w:rsidR="00FD7511" w:rsidRPr="00F15CD3" w:rsidRDefault="00FD7511" w:rsidP="008637BC">
      <w:pPr>
        <w:numPr>
          <w:ilvl w:val="0"/>
          <w:numId w:val="9"/>
        </w:numPr>
        <w:jc w:val="both"/>
      </w:pPr>
      <w:r w:rsidRPr="00FE5418">
        <w:t xml:space="preserve">Podmiot realizujący zadanie </w:t>
      </w:r>
      <w:r w:rsidRPr="00E370E9">
        <w:t xml:space="preserve">może dokonywać przesunięć środków pochodzących z dotacji pomiędzy </w:t>
      </w:r>
      <w:r w:rsidRPr="00A970E0">
        <w:t xml:space="preserve">kategoriami i pozycjami kosztów określonymi w kosztorysie zawartym we wniosku, o którym mowa w rozdz. I ust. 2 pkt 1 </w:t>
      </w:r>
      <w:r w:rsidRPr="00A970E0">
        <w:rPr>
          <w:i/>
        </w:rPr>
        <w:t>Informacji</w:t>
      </w:r>
      <w:r w:rsidRPr="00A970E0">
        <w:t>, bez konieczności zmiany umowy z</w:t>
      </w:r>
      <w:r>
        <w:t> </w:t>
      </w:r>
      <w:r w:rsidRPr="00A970E0">
        <w:t xml:space="preserve">zastrzeżeniem, że przesunięcia środków nie mogą dotyczyć kategorii wynagrodzenia. </w:t>
      </w:r>
      <w:r w:rsidRPr="00F15CD3">
        <w:t>Przesunięcia środków nie mogą zmieniać kwoty dotacji w żadnej z:</w:t>
      </w:r>
    </w:p>
    <w:p w:rsidR="00FD7511" w:rsidRPr="00F15CD3" w:rsidRDefault="00FD7511" w:rsidP="008637BC">
      <w:pPr>
        <w:pStyle w:val="Akapitzlist"/>
        <w:numPr>
          <w:ilvl w:val="0"/>
          <w:numId w:val="23"/>
        </w:numPr>
        <w:jc w:val="both"/>
      </w:pPr>
      <w:r w:rsidRPr="00F15CD3">
        <w:t xml:space="preserve">kategorii o więcej niż </w:t>
      </w:r>
      <w:r w:rsidR="006B3922">
        <w:t>20</w:t>
      </w:r>
      <w:r w:rsidRPr="00F15CD3">
        <w:t>% kwoty przyznanej na daną ka</w:t>
      </w:r>
      <w:r w:rsidR="00A4081A">
        <w:t>tegorię i nie więcej niż o </w:t>
      </w:r>
      <w:r w:rsidR="006B3922">
        <w:t>4</w:t>
      </w:r>
      <w:r w:rsidRPr="00F15CD3">
        <w:t>.000 złotych;</w:t>
      </w:r>
    </w:p>
    <w:p w:rsidR="00FD7511" w:rsidRPr="00F15CD3" w:rsidRDefault="00FD7511" w:rsidP="008637BC">
      <w:pPr>
        <w:pStyle w:val="Akapitzlist"/>
        <w:numPr>
          <w:ilvl w:val="0"/>
          <w:numId w:val="23"/>
        </w:numPr>
        <w:jc w:val="both"/>
      </w:pPr>
      <w:r w:rsidRPr="00F15CD3">
        <w:t xml:space="preserve">pozycji </w:t>
      </w:r>
      <w:r w:rsidR="002611B6" w:rsidRPr="00F15CD3">
        <w:t xml:space="preserve">w obrębie jednej kategorii </w:t>
      </w:r>
      <w:r w:rsidRPr="00F15CD3">
        <w:t>o więcej niż</w:t>
      </w:r>
      <w:r w:rsidR="002611B6" w:rsidRPr="00F15CD3">
        <w:t xml:space="preserve"> 1.</w:t>
      </w:r>
      <w:r w:rsidR="00A4081A">
        <w:t>6</w:t>
      </w:r>
      <w:r w:rsidR="002611B6" w:rsidRPr="00F15CD3">
        <w:t xml:space="preserve">00 </w:t>
      </w:r>
      <w:r w:rsidR="00F15CD3">
        <w:t>złotych.</w:t>
      </w:r>
    </w:p>
    <w:p w:rsidR="00B2189C" w:rsidRDefault="00B2189C" w:rsidP="008637BC">
      <w:pPr>
        <w:numPr>
          <w:ilvl w:val="0"/>
          <w:numId w:val="9"/>
        </w:numPr>
        <w:jc w:val="both"/>
      </w:pPr>
      <w:r w:rsidRPr="00B2189C">
        <w:t xml:space="preserve">Podmiot realizujący zadanie może dokonywać przesunięć środków </w:t>
      </w:r>
      <w:r w:rsidR="00BE0DB6">
        <w:t xml:space="preserve">własnych oraz środków </w:t>
      </w:r>
      <w:r w:rsidRPr="00B2189C">
        <w:t xml:space="preserve">pochodzących z innych źródeł niż dotacja pomiędzy kategoriami lub pozycjami kosztów określonymi w kosztorysie zawartym we wniosku, o którym mowa w rozdz. I ust. 2 pkt 1 </w:t>
      </w:r>
      <w:r w:rsidRPr="00B2189C">
        <w:rPr>
          <w:i/>
        </w:rPr>
        <w:t>Informacji</w:t>
      </w:r>
      <w:r w:rsidRPr="00B2189C">
        <w:t>, bez konieczności zmiany umowy - z wyjątkiem zmian zwiększających środki w kategorii „Wynagrodzenia”</w:t>
      </w:r>
      <w:r>
        <w:t xml:space="preserve"> o </w:t>
      </w:r>
      <w:r w:rsidRPr="00B2189C">
        <w:t>więcej niż 20%.</w:t>
      </w:r>
    </w:p>
    <w:p w:rsidR="008F3793" w:rsidRDefault="00FE5418" w:rsidP="008637BC">
      <w:pPr>
        <w:numPr>
          <w:ilvl w:val="0"/>
          <w:numId w:val="9"/>
        </w:numPr>
        <w:jc w:val="both"/>
      </w:pPr>
      <w:r w:rsidRPr="00FE5418">
        <w:lastRenderedPageBreak/>
        <w:t>Po uzyskaniu informacji o zaistnieniu przyczyn wskazujących na potrzebę zawarcia aneksu</w:t>
      </w:r>
      <w:r w:rsidR="008F3793">
        <w:t xml:space="preserve"> do umowy na realizację</w:t>
      </w:r>
      <w:r w:rsidR="008F3793" w:rsidRPr="008F3793">
        <w:t xml:space="preserve"> zadania mającego na celu ochronę, zachowanie i rozwój tożsamości kulturowej mniejszości narodowych i etnicznych oraz zachowanie i rozwój języka regionalnego</w:t>
      </w:r>
      <w:r w:rsidRPr="00FE5418">
        <w:t xml:space="preserve">, </w:t>
      </w:r>
      <w:r w:rsidR="00441410" w:rsidRPr="00441410">
        <w:t>związanych z przenoszeniem środków f</w:t>
      </w:r>
      <w:r w:rsidR="001E2841">
        <w:t>inansowych pomiędzy pozycjami i </w:t>
      </w:r>
      <w:r w:rsidR="00441410" w:rsidRPr="00441410">
        <w:t xml:space="preserve">kategoriami powyżej </w:t>
      </w:r>
      <w:r w:rsidR="001E2841">
        <w:t>progów</w:t>
      </w:r>
      <w:r w:rsidR="00441410" w:rsidRPr="00441410">
        <w:t>, o których mowa w ust. 1</w:t>
      </w:r>
      <w:r w:rsidR="00441410">
        <w:t xml:space="preserve">, </w:t>
      </w:r>
      <w:r w:rsidR="008C01E6">
        <w:t>Zleceniobiorca</w:t>
      </w:r>
      <w:r w:rsidR="00E84132">
        <w:t xml:space="preserve"> -</w:t>
      </w:r>
      <w:r w:rsidRPr="00FE5418">
        <w:t xml:space="preserve"> </w:t>
      </w:r>
      <w:r w:rsidR="008F3793" w:rsidRPr="008F3793">
        <w:t xml:space="preserve">najpóźniej </w:t>
      </w:r>
      <w:r w:rsidR="008F3793" w:rsidRPr="009F3E6B">
        <w:rPr>
          <w:b/>
        </w:rPr>
        <w:t>w</w:t>
      </w:r>
      <w:r w:rsidR="001E2841">
        <w:rPr>
          <w:b/>
        </w:rPr>
        <w:t> </w:t>
      </w:r>
      <w:r w:rsidR="008F3793" w:rsidRPr="009F3E6B">
        <w:rPr>
          <w:b/>
        </w:rPr>
        <w:t>terminie 12 dni roboczych</w:t>
      </w:r>
      <w:r w:rsidR="008F3793" w:rsidRPr="008F3793">
        <w:t xml:space="preserve"> przed </w:t>
      </w:r>
      <w:r w:rsidR="00FD7511">
        <w:t>terminem dokonania</w:t>
      </w:r>
      <w:r w:rsidR="008F3793" w:rsidRPr="008F3793">
        <w:t xml:space="preserve"> płatności </w:t>
      </w:r>
      <w:r w:rsidR="009F3E6B">
        <w:t>(</w:t>
      </w:r>
      <w:r w:rsidR="00E84132" w:rsidRPr="008F3793">
        <w:t>ze</w:t>
      </w:r>
      <w:r w:rsidR="00E84132">
        <w:t xml:space="preserve"> środków pochodzących z dotacji</w:t>
      </w:r>
      <w:r w:rsidR="009F3E6B">
        <w:t>)</w:t>
      </w:r>
      <w:r w:rsidR="00E84132" w:rsidRPr="008F3793">
        <w:t xml:space="preserve"> </w:t>
      </w:r>
      <w:r w:rsidR="00E84132" w:rsidRPr="009F3E6B">
        <w:t xml:space="preserve">dotyczącej zmiany wymagającej </w:t>
      </w:r>
      <w:r w:rsidR="009F3E6B" w:rsidRPr="009F3E6B">
        <w:t xml:space="preserve">aneksowania </w:t>
      </w:r>
      <w:r w:rsidR="00E84132" w:rsidRPr="009F3E6B">
        <w:t>umowy</w:t>
      </w:r>
      <w:r w:rsidR="00E84132">
        <w:t>,</w:t>
      </w:r>
      <w:r w:rsidR="00E84132" w:rsidRPr="008F3793">
        <w:t xml:space="preserve"> </w:t>
      </w:r>
      <w:r w:rsidR="008F3793" w:rsidRPr="008F3793">
        <w:t xml:space="preserve">jednakże nie później niż co najmniej na </w:t>
      </w:r>
      <w:r w:rsidR="008F3793" w:rsidRPr="009F3E6B">
        <w:rPr>
          <w:b/>
        </w:rPr>
        <w:t>15 dni roboczych</w:t>
      </w:r>
      <w:r w:rsidR="008F3793" w:rsidRPr="008F3793">
        <w:t xml:space="preserve"> przed końcem terminu realizacji zadania </w:t>
      </w:r>
      <w:r w:rsidR="00EB7FA6">
        <w:t xml:space="preserve">określonego </w:t>
      </w:r>
      <w:r w:rsidR="008F3793">
        <w:t>w umowie</w:t>
      </w:r>
      <w:r w:rsidR="00E84132">
        <w:t xml:space="preserve"> -</w:t>
      </w:r>
      <w:r w:rsidR="008F3793" w:rsidRPr="008F3793">
        <w:t xml:space="preserve"> występuje na piśmie do </w:t>
      </w:r>
      <w:r w:rsidR="00D70990">
        <w:t xml:space="preserve">Zleceniodawcy </w:t>
      </w:r>
      <w:r w:rsidR="00FF016D">
        <w:t>o</w:t>
      </w:r>
      <w:r w:rsidR="00D70990">
        <w:t> </w:t>
      </w:r>
      <w:r w:rsidR="008F3793" w:rsidRPr="008F3793">
        <w:t>zmianę umowy, proponując nowe brzmienie wniosk</w:t>
      </w:r>
      <w:r w:rsidR="00A970E0">
        <w:t>u</w:t>
      </w:r>
      <w:r w:rsidR="008F3793" w:rsidRPr="008F3793">
        <w:t>, o</w:t>
      </w:r>
      <w:r w:rsidR="004641F2">
        <w:t xml:space="preserve"> </w:t>
      </w:r>
      <w:r w:rsidR="008F3793" w:rsidRPr="008F3793">
        <w:t>który</w:t>
      </w:r>
      <w:r w:rsidR="00A970E0">
        <w:t>m</w:t>
      </w:r>
      <w:r w:rsidR="008F3793" w:rsidRPr="008F3793">
        <w:t xml:space="preserve"> mowa w</w:t>
      </w:r>
      <w:r w:rsidR="00E84132">
        <w:t xml:space="preserve"> </w:t>
      </w:r>
      <w:r w:rsidR="00006B8A">
        <w:t xml:space="preserve">rozdz. I ust. </w:t>
      </w:r>
      <w:r w:rsidR="00665F6A">
        <w:t>2</w:t>
      </w:r>
      <w:r w:rsidR="00006B8A">
        <w:t xml:space="preserve"> </w:t>
      </w:r>
      <w:r w:rsidR="009F3E6B" w:rsidRPr="00F837E2">
        <w:t xml:space="preserve">pkt 1 </w:t>
      </w:r>
      <w:r w:rsidR="00006B8A" w:rsidRPr="005D2C63">
        <w:rPr>
          <w:i/>
        </w:rPr>
        <w:t>Informacji</w:t>
      </w:r>
      <w:r w:rsidR="008F3793" w:rsidRPr="008F3793">
        <w:t>, wraz ze szczegółowym uzasa</w:t>
      </w:r>
      <w:r w:rsidR="00E84132">
        <w:t xml:space="preserve">dnieniem proponowanych zmian. </w:t>
      </w:r>
      <w:r w:rsidR="004641F2" w:rsidRPr="004641F2">
        <w:rPr>
          <w:bCs/>
        </w:rPr>
        <w:t xml:space="preserve">Termin uważa się za zachowany, jeżeli przed jego upływem pismo zostało nadane w placówce </w:t>
      </w:r>
      <w:r w:rsidR="008322AC" w:rsidRPr="008322AC">
        <w:rPr>
          <w:bCs/>
        </w:rPr>
        <w:t>podmiotu zajmującego się doręczaniem korespondencji na terenie Unii Europejskiej</w:t>
      </w:r>
      <w:r w:rsidR="004641F2" w:rsidRPr="004641F2">
        <w:rPr>
          <w:bCs/>
        </w:rPr>
        <w:t xml:space="preserve">, pod warunkiem przekazania jego skanu, w tym samym terminie, na adres poczty elektronicznej: </w:t>
      </w:r>
      <w:hyperlink r:id="rId13" w:history="1">
        <w:r w:rsidR="004641F2" w:rsidRPr="004641F2">
          <w:rPr>
            <w:rStyle w:val="Hipercze"/>
          </w:rPr>
          <w:t>sekretariat.dwrmnie@mswia.gov.pl</w:t>
        </w:r>
      </w:hyperlink>
      <w:r w:rsidR="004641F2" w:rsidRPr="004641F2">
        <w:rPr>
          <w:bCs/>
        </w:rPr>
        <w:t>.</w:t>
      </w:r>
      <w:r w:rsidR="006B3922">
        <w:rPr>
          <w:bCs/>
        </w:rPr>
        <w:t xml:space="preserve"> Zlecenio</w:t>
      </w:r>
      <w:r w:rsidR="0087566E">
        <w:rPr>
          <w:bCs/>
        </w:rPr>
        <w:t>dawca, w miarę możliwości,</w:t>
      </w:r>
      <w:r w:rsidR="006B3922">
        <w:rPr>
          <w:bCs/>
        </w:rPr>
        <w:t xml:space="preserve"> informuje </w:t>
      </w:r>
      <w:r w:rsidR="00D307AF">
        <w:rPr>
          <w:bCs/>
        </w:rPr>
        <w:t xml:space="preserve">Zleceniobiorcę </w:t>
      </w:r>
      <w:r w:rsidR="006B3922">
        <w:rPr>
          <w:bCs/>
        </w:rPr>
        <w:t xml:space="preserve">o stanowisku </w:t>
      </w:r>
      <w:r w:rsidR="0087566E">
        <w:rPr>
          <w:bCs/>
        </w:rPr>
        <w:t xml:space="preserve">w sprawie </w:t>
      </w:r>
      <w:r w:rsidR="003C3B5A">
        <w:rPr>
          <w:bCs/>
        </w:rPr>
        <w:t>zawarcia aneksu, w terminie 10 dni roboczych od wpływu wniosku do siedziby Zlecenio</w:t>
      </w:r>
      <w:r w:rsidR="0087566E">
        <w:rPr>
          <w:bCs/>
        </w:rPr>
        <w:t>dawcy</w:t>
      </w:r>
      <w:r w:rsidR="003C3B5A">
        <w:rPr>
          <w:bCs/>
        </w:rPr>
        <w:t xml:space="preserve"> albo otrzymania jego skanu na wskazany powyżej adres poczty elektronicznej.</w:t>
      </w:r>
    </w:p>
    <w:p w:rsidR="0049628A" w:rsidRDefault="00006B8A" w:rsidP="008637BC">
      <w:pPr>
        <w:numPr>
          <w:ilvl w:val="0"/>
          <w:numId w:val="9"/>
        </w:numPr>
        <w:jc w:val="both"/>
      </w:pPr>
      <w:r w:rsidRPr="00006B8A">
        <w:t>W szczególnie uzasadnionych przypadkach</w:t>
      </w:r>
      <w:r w:rsidR="00136429" w:rsidRPr="00136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6429" w:rsidRPr="00136429">
        <w:t>związanych z dokonaniem płatności</w:t>
      </w:r>
      <w:r w:rsidRPr="00006B8A">
        <w:t xml:space="preserve">, za które </w:t>
      </w:r>
      <w:r w:rsidR="009F3E6B">
        <w:t xml:space="preserve">Zleceniobiorca </w:t>
      </w:r>
      <w:r w:rsidRPr="00006B8A">
        <w:t xml:space="preserve">nie ponosi odpowiedzialności, w terminie do </w:t>
      </w:r>
      <w:r w:rsidRPr="009F3E6B">
        <w:rPr>
          <w:b/>
        </w:rPr>
        <w:t>5 dni roboczych</w:t>
      </w:r>
      <w:r w:rsidRPr="00006B8A">
        <w:t xml:space="preserve"> po zaistnieniu okoliczności wymagających zmian</w:t>
      </w:r>
      <w:r w:rsidR="00C17FB7">
        <w:t>y</w:t>
      </w:r>
      <w:r w:rsidRPr="00006B8A">
        <w:t xml:space="preserve"> umowy, jednakże nie później niż na </w:t>
      </w:r>
      <w:r w:rsidRPr="009F3E6B">
        <w:rPr>
          <w:b/>
        </w:rPr>
        <w:t>15 dni roboczych</w:t>
      </w:r>
      <w:r w:rsidRPr="00006B8A">
        <w:t xml:space="preserve"> przed końcem terminu realizacji zadania</w:t>
      </w:r>
      <w:r w:rsidR="00EA3781">
        <w:t xml:space="preserve"> określonym w umowie</w:t>
      </w:r>
      <w:r w:rsidRPr="00006B8A">
        <w:t xml:space="preserve">, </w:t>
      </w:r>
      <w:r>
        <w:t xml:space="preserve">podmiot ten </w:t>
      </w:r>
      <w:r w:rsidRPr="00006B8A">
        <w:t xml:space="preserve">występuje na piśmie do </w:t>
      </w:r>
      <w:r w:rsidR="00D70990">
        <w:t>Zleceniodawcy</w:t>
      </w:r>
      <w:r w:rsidRPr="00006B8A">
        <w:t xml:space="preserve"> o zmianę umowy, propo</w:t>
      </w:r>
      <w:r w:rsidR="00FF016D">
        <w:t>nując nowe brzmienie wniosk</w:t>
      </w:r>
      <w:r w:rsidR="00A970E0">
        <w:t>u</w:t>
      </w:r>
      <w:r w:rsidR="00136429">
        <w:t xml:space="preserve">, o </w:t>
      </w:r>
      <w:r w:rsidRPr="00006B8A">
        <w:t>który</w:t>
      </w:r>
      <w:r w:rsidR="00A970E0">
        <w:t>m</w:t>
      </w:r>
      <w:r w:rsidRPr="00006B8A">
        <w:t xml:space="preserve"> mowa w</w:t>
      </w:r>
      <w:r w:rsidR="00D70990">
        <w:t> </w:t>
      </w:r>
      <w:r w:rsidRPr="00006B8A">
        <w:t xml:space="preserve">rozdz. I ust. </w:t>
      </w:r>
      <w:r w:rsidR="00665F6A">
        <w:t>2</w:t>
      </w:r>
      <w:r w:rsidR="009F3E6B">
        <w:t xml:space="preserve"> </w:t>
      </w:r>
      <w:r w:rsidR="009F3E6B" w:rsidRPr="00F837E2">
        <w:t xml:space="preserve">pkt </w:t>
      </w:r>
      <w:r w:rsidR="00F15CD3">
        <w:t>1</w:t>
      </w:r>
      <w:r w:rsidRPr="00006B8A">
        <w:t xml:space="preserve"> </w:t>
      </w:r>
      <w:r w:rsidRPr="005D2C63">
        <w:rPr>
          <w:i/>
        </w:rPr>
        <w:t>Informacji</w:t>
      </w:r>
      <w:r w:rsidRPr="00006B8A">
        <w:t xml:space="preserve">, wraz ze szczegółowym uzasadnieniem proponowanych zmian. Termin uważa się za zachowany, jeżeli przed jego upływem pismo zostało nadane w placówce </w:t>
      </w:r>
      <w:r w:rsidR="008322AC" w:rsidRPr="008322AC">
        <w:rPr>
          <w:bCs/>
        </w:rPr>
        <w:t>podmiotu zajmującego się doręczaniem korespondencji na terenie Unii Europejskiej</w:t>
      </w:r>
      <w:r w:rsidRPr="00006B8A">
        <w:t xml:space="preserve">, pod warunkiem przekazania </w:t>
      </w:r>
      <w:r w:rsidR="00D70990">
        <w:t xml:space="preserve">Zleceniodawcy </w:t>
      </w:r>
      <w:r w:rsidRPr="00006B8A">
        <w:t>skanu powyższego pisma za pośrednictwem poczty elektronicznej, w terminie określonym w zdaniu pierwszym.</w:t>
      </w:r>
      <w:r w:rsidR="00EA3781">
        <w:t xml:space="preserve"> Warunek uważa się za zachowany w przypadku przekazania skanu pisma</w:t>
      </w:r>
      <w:r w:rsidR="00A970E0">
        <w:t xml:space="preserve"> na adres poczty elektronicznej: </w:t>
      </w:r>
      <w:hyperlink r:id="rId14" w:history="1">
        <w:r w:rsidR="00A42FBE" w:rsidRPr="004105FA">
          <w:rPr>
            <w:rStyle w:val="Hipercze"/>
          </w:rPr>
          <w:t>sekretariat.dwrmnie@mswia.gov.pl</w:t>
        </w:r>
      </w:hyperlink>
      <w:r w:rsidR="00EA3781">
        <w:t>.</w:t>
      </w:r>
      <w:r w:rsidR="003C3B5A" w:rsidRPr="003C3B5A">
        <w:rPr>
          <w:bCs/>
        </w:rPr>
        <w:t xml:space="preserve"> </w:t>
      </w:r>
      <w:r w:rsidR="0087566E" w:rsidRPr="0087566E">
        <w:rPr>
          <w:bCs/>
        </w:rPr>
        <w:t>Zleceniodawca, w miarę możliwości,</w:t>
      </w:r>
      <w:r w:rsidR="0087566E">
        <w:rPr>
          <w:bCs/>
        </w:rPr>
        <w:t xml:space="preserve"> informuje </w:t>
      </w:r>
      <w:r w:rsidR="00D307AF">
        <w:rPr>
          <w:bCs/>
        </w:rPr>
        <w:t xml:space="preserve">Zleceniobiorcę </w:t>
      </w:r>
      <w:r w:rsidR="0087566E">
        <w:rPr>
          <w:bCs/>
        </w:rPr>
        <w:t>o </w:t>
      </w:r>
      <w:r w:rsidR="0087566E" w:rsidRPr="0087566E">
        <w:rPr>
          <w:bCs/>
        </w:rPr>
        <w:t>stanowisku w sprawie zawarcia aneksu, w terminie 10 dni roboczych od wpływu wniosku do siedziby Zleceniodawcy albo otrzymania jego skanu na wskazany powyżej adres poczty elektronicznej.</w:t>
      </w:r>
    </w:p>
    <w:p w:rsidR="00F837E2" w:rsidRDefault="00F837E2" w:rsidP="008637BC">
      <w:pPr>
        <w:numPr>
          <w:ilvl w:val="0"/>
          <w:numId w:val="9"/>
        </w:numPr>
        <w:jc w:val="both"/>
      </w:pPr>
      <w:r>
        <w:t xml:space="preserve">Terminów, o których mowa w ust. </w:t>
      </w:r>
      <w:r w:rsidR="00B2189C">
        <w:t>3</w:t>
      </w:r>
      <w:r w:rsidR="00136429">
        <w:t xml:space="preserve"> i </w:t>
      </w:r>
      <w:r w:rsidR="00B2189C">
        <w:t>4</w:t>
      </w:r>
      <w:r w:rsidR="00625191">
        <w:t xml:space="preserve"> nie stosuje się w przypadku, gdy inicjatorem zmiany umowy jest Zleceniodawca.</w:t>
      </w:r>
    </w:p>
    <w:p w:rsidR="00BE4E2B" w:rsidRDefault="00136429" w:rsidP="008637BC">
      <w:pPr>
        <w:numPr>
          <w:ilvl w:val="0"/>
          <w:numId w:val="9"/>
        </w:numPr>
        <w:jc w:val="both"/>
      </w:pPr>
      <w:r w:rsidRPr="00136429">
        <w:t xml:space="preserve">W przypadku konieczności wprowadzenia zmian w sposobie realizacji zadania, nie związanych z przenoszeniem środków finansowych pomiędzy pozycjami i kategoriami powyżej </w:t>
      </w:r>
      <w:r w:rsidR="001E2841">
        <w:t>progów</w:t>
      </w:r>
      <w:r w:rsidRPr="00136429">
        <w:t>, o</w:t>
      </w:r>
      <w:r>
        <w:t> </w:t>
      </w:r>
      <w:r w:rsidRPr="00136429">
        <w:t>których mowa w ust. 1</w:t>
      </w:r>
      <w:r w:rsidR="00D70990">
        <w:t xml:space="preserve"> </w:t>
      </w:r>
      <w:r w:rsidR="00D70990" w:rsidRPr="00D70990">
        <w:t>oraz zmianą terminu realizacji zadania</w:t>
      </w:r>
      <w:r w:rsidR="00D70990">
        <w:t xml:space="preserve"> określonego w umowie</w:t>
      </w:r>
      <w:r w:rsidRPr="00136429">
        <w:t>,</w:t>
      </w:r>
      <w:r w:rsidR="00D70990">
        <w:t xml:space="preserve"> Zleceniobiorca - </w:t>
      </w:r>
      <w:r w:rsidR="00D70990" w:rsidRPr="00D70990">
        <w:t xml:space="preserve">najpóźniej, w terminie 12 dni roboczych przed terminem dokonania planowanej zmiany, jednakże nie później niż co najmniej na 15 dni roboczych przed końcem terminu realizacji zadania </w:t>
      </w:r>
      <w:r w:rsidR="00D70990">
        <w:t>- występuje</w:t>
      </w:r>
      <w:r w:rsidRPr="00136429">
        <w:t xml:space="preserve"> do </w:t>
      </w:r>
      <w:r w:rsidR="00D70990">
        <w:t>Zleceniodawcy z </w:t>
      </w:r>
      <w:r w:rsidRPr="00136429">
        <w:t xml:space="preserve">pisemną prośbą </w:t>
      </w:r>
      <w:r w:rsidR="00D70990">
        <w:t xml:space="preserve">o </w:t>
      </w:r>
      <w:r w:rsidRPr="00136429">
        <w:t xml:space="preserve">wyrażenie zgody na ich wprowadzenie, wraz ze szczegółowym uzasadnieniem proponowanych zmian. Termin uważa się za zachowany, jeżeli przed jego upływem pismo zostało nadane w </w:t>
      </w:r>
      <w:r w:rsidR="008322AC" w:rsidRPr="008322AC">
        <w:rPr>
          <w:bCs/>
        </w:rPr>
        <w:t>placów</w:t>
      </w:r>
      <w:r w:rsidR="008322AC">
        <w:rPr>
          <w:bCs/>
        </w:rPr>
        <w:t>ce</w:t>
      </w:r>
      <w:r w:rsidR="008322AC" w:rsidRPr="008322AC">
        <w:rPr>
          <w:bCs/>
        </w:rPr>
        <w:t xml:space="preserve"> podmiotu zajmującego się doręczaniem korespondencji na terenie Unii Europejskiej</w:t>
      </w:r>
      <w:r w:rsidRPr="00136429">
        <w:t xml:space="preserve">, pod warunkiem przekazania Zleceniodawcy skanu powyższego pisma na adres poczty elektronicznej: sekretariat.dwrmnie@mswia.gov.pl, w terminie </w:t>
      </w:r>
      <w:r w:rsidRPr="00136429">
        <w:lastRenderedPageBreak/>
        <w:t>określonym w zdaniu pierwszym.</w:t>
      </w:r>
      <w:r w:rsidR="00CB2E2A" w:rsidRPr="00CB2E2A">
        <w:t xml:space="preserve"> </w:t>
      </w:r>
      <w:r w:rsidR="00CB2E2A" w:rsidRPr="00136429">
        <w:t>Wydanie zgody przez Ministra Spraw Wewnętrznych i Administracji na wprowadzenie wnioskowanych zmian nie wymaga zawarcia aneksu do umowy.</w:t>
      </w:r>
      <w:r w:rsidR="00BE4E2B">
        <w:t xml:space="preserve"> </w:t>
      </w:r>
    </w:p>
    <w:p w:rsidR="00006B8A" w:rsidRDefault="00006B8A" w:rsidP="008637BC">
      <w:pPr>
        <w:numPr>
          <w:ilvl w:val="0"/>
          <w:numId w:val="9"/>
        </w:numPr>
        <w:jc w:val="both"/>
      </w:pPr>
      <w:r w:rsidRPr="00006B8A">
        <w:t>W przypadku obniżenia przez Zleceniobiorcę kosztów rea</w:t>
      </w:r>
      <w:r w:rsidR="00FF016D">
        <w:t>lizacji zadania finansowanych z </w:t>
      </w:r>
      <w:r w:rsidRPr="00006B8A">
        <w:t>przyznanej dotacji, środków własnych lub środków z innych źródeł, bez zmiany warunków umowy, wysokość dotacji ulega zmniejszeniu o taki sam procent, o jaki został obniżony koszt całkowity realizacji zadania.</w:t>
      </w:r>
      <w:r w:rsidR="00E10B13" w:rsidRPr="00E10B13">
        <w:t xml:space="preserve"> Różnica podlega zwrotowi na rachunek bankowy Zleceniodawcy.</w:t>
      </w:r>
    </w:p>
    <w:p w:rsidR="009F2E6C" w:rsidRDefault="009F2E6C" w:rsidP="008637BC">
      <w:pPr>
        <w:numPr>
          <w:ilvl w:val="0"/>
          <w:numId w:val="9"/>
        </w:numPr>
        <w:jc w:val="both"/>
      </w:pPr>
      <w:r w:rsidRPr="009F2E6C">
        <w:t>Uzyskanie przez Zleceniobiorcę przychodów w terminie realizacji zadania</w:t>
      </w:r>
      <w:r w:rsidR="00B25834">
        <w:t xml:space="preserve"> określonym w umowie, </w:t>
      </w:r>
      <w:r w:rsidRPr="009F2E6C">
        <w:t>w wysokości wyższej niż określona w</w:t>
      </w:r>
      <w:r w:rsidR="00B25834">
        <w:t>e wniosku</w:t>
      </w:r>
      <w:r w:rsidRPr="009F2E6C">
        <w:t xml:space="preserve"> </w:t>
      </w:r>
      <w:r w:rsidR="00B25834">
        <w:t>stanowiącym do niej załącznik</w:t>
      </w:r>
      <w:r w:rsidRPr="009F2E6C">
        <w:t>, nie uprawnia Zleceniobiorcy do obniżenia udziału środków własnych lub środków z innych źródeł w koszcie całkowitym zadania.</w:t>
      </w:r>
      <w:r w:rsidR="00973237" w:rsidRPr="00973237">
        <w:t xml:space="preserve"> W przypadku zastąpienia środków własnych lub środków z innych źródeł w koszcie całkowitym zadania przychodami uzyskanymi </w:t>
      </w:r>
      <w:r w:rsidR="00973237" w:rsidRPr="00973237">
        <w:br/>
        <w:t>w wysokości wyższej niż określona we wniosku, przychody w tej części podlegają zwrotowi na rachunek bankowy Zleceniodawcy.</w:t>
      </w:r>
    </w:p>
    <w:p w:rsidR="00FE5418" w:rsidRPr="00FE5418" w:rsidRDefault="00133380" w:rsidP="00FE5418">
      <w:pPr>
        <w:jc w:val="both"/>
      </w:pPr>
      <w:r>
        <w:rPr>
          <w:b/>
          <w:bCs/>
        </w:rPr>
        <w:t>VIII</w:t>
      </w:r>
      <w:r w:rsidR="00FE5418" w:rsidRPr="00FE5418">
        <w:rPr>
          <w:b/>
          <w:bCs/>
        </w:rPr>
        <w:t>. Inne</w:t>
      </w:r>
      <w:r w:rsidR="00FE5418" w:rsidRPr="00FE5418">
        <w:t xml:space="preserve"> </w:t>
      </w:r>
      <w:r w:rsidR="00FE5418" w:rsidRPr="00FE5418">
        <w:rPr>
          <w:b/>
          <w:bCs/>
        </w:rPr>
        <w:t>informacje</w:t>
      </w:r>
    </w:p>
    <w:p w:rsidR="0096126B" w:rsidRPr="0096126B" w:rsidRDefault="0096126B" w:rsidP="008637BC">
      <w:pPr>
        <w:pStyle w:val="Akapitzlist"/>
        <w:numPr>
          <w:ilvl w:val="0"/>
          <w:numId w:val="10"/>
        </w:numPr>
        <w:jc w:val="both"/>
      </w:pPr>
      <w:r w:rsidRPr="0096126B">
        <w:t xml:space="preserve">Podmiot realizujący zadanie </w:t>
      </w:r>
      <w:r w:rsidR="000C2C2C">
        <w:t>przekazuje</w:t>
      </w:r>
      <w:r w:rsidRPr="0096126B">
        <w:t xml:space="preserve"> </w:t>
      </w:r>
      <w:r w:rsidR="000C2C2C">
        <w:t xml:space="preserve">do </w:t>
      </w:r>
      <w:r w:rsidR="00591C08">
        <w:t>MSWiA</w:t>
      </w:r>
      <w:r w:rsidRPr="0096126B">
        <w:t xml:space="preserve"> </w:t>
      </w:r>
      <w:r w:rsidR="000C2C2C">
        <w:t xml:space="preserve">– do dnia 7 lipca </w:t>
      </w:r>
      <w:r w:rsidR="00FA38BB">
        <w:t>2021</w:t>
      </w:r>
      <w:r w:rsidR="000C2C2C">
        <w:t xml:space="preserve"> r. z</w:t>
      </w:r>
      <w:r w:rsidR="00A446EE">
        <w:t>a</w:t>
      </w:r>
      <w:r w:rsidR="000C2C2C">
        <w:t xml:space="preserve"> I półrocze oraz do dnia </w:t>
      </w:r>
      <w:r w:rsidR="002554FE">
        <w:t>15</w:t>
      </w:r>
      <w:r w:rsidR="000C2C2C">
        <w:t xml:space="preserve"> stycznia </w:t>
      </w:r>
      <w:r w:rsidR="00FA38BB">
        <w:t>2022</w:t>
      </w:r>
      <w:r w:rsidR="000C2C2C">
        <w:t xml:space="preserve"> r. za II półrocze - </w:t>
      </w:r>
      <w:r w:rsidRPr="0096126B">
        <w:t>dan</w:t>
      </w:r>
      <w:r w:rsidR="000C2C2C">
        <w:t>e</w:t>
      </w:r>
      <w:r w:rsidR="00C57D8A">
        <w:t xml:space="preserve"> o </w:t>
      </w:r>
      <w:r w:rsidRPr="0096126B">
        <w:t>liczbie odbiorców zadań służących podtrzymaniu tożsamości kult</w:t>
      </w:r>
      <w:r w:rsidR="000C2C2C">
        <w:t>urowej mniejszości narodowych i</w:t>
      </w:r>
      <w:r w:rsidR="00A446EE">
        <w:t xml:space="preserve"> </w:t>
      </w:r>
      <w:r w:rsidRPr="0096126B">
        <w:t>etnicznych oraz zachowaniu języka regionalnego na formularzu, którego ramowy wzór stanowi załącznik nr 5</w:t>
      </w:r>
      <w:r w:rsidR="00737FD0">
        <w:t xml:space="preserve"> </w:t>
      </w:r>
      <w:r w:rsidRPr="0096126B">
        <w:t xml:space="preserve">do </w:t>
      </w:r>
      <w:r w:rsidRPr="000C2C2C">
        <w:rPr>
          <w:i/>
        </w:rPr>
        <w:t>Informacji</w:t>
      </w:r>
      <w:r w:rsidRPr="0096126B">
        <w:t>.</w:t>
      </w:r>
    </w:p>
    <w:p w:rsidR="00FE5418" w:rsidRPr="00FE5418" w:rsidRDefault="00FE5418" w:rsidP="008637BC">
      <w:pPr>
        <w:numPr>
          <w:ilvl w:val="0"/>
          <w:numId w:val="10"/>
        </w:numPr>
        <w:jc w:val="both"/>
      </w:pPr>
      <w:r w:rsidRPr="00FE5418">
        <w:t xml:space="preserve">Podmiot realizujący zadanie </w:t>
      </w:r>
      <w:r w:rsidR="00051C4B" w:rsidRPr="00FE5418">
        <w:t xml:space="preserve">jest </w:t>
      </w:r>
      <w:r w:rsidR="00B67392">
        <w:t>zobowiązany</w:t>
      </w:r>
      <w:r w:rsidR="00051C4B">
        <w:t xml:space="preserve"> </w:t>
      </w:r>
      <w:r w:rsidRPr="00FE5418">
        <w:t xml:space="preserve">do przekazywania do </w:t>
      </w:r>
      <w:r w:rsidR="00591C08">
        <w:t>MSWiA</w:t>
      </w:r>
      <w:r w:rsidRPr="00FE5418">
        <w:t xml:space="preserve"> informacji umożliwiających dokonanie oceny realizacji zadania w trakcie jego trwania. Informacjami takimi są w szczególności:</w:t>
      </w:r>
    </w:p>
    <w:p w:rsidR="00FE5418" w:rsidRPr="00FE5418" w:rsidRDefault="00FE5418" w:rsidP="008637BC">
      <w:pPr>
        <w:pStyle w:val="Akapitzlist"/>
        <w:numPr>
          <w:ilvl w:val="0"/>
          <w:numId w:val="22"/>
        </w:numPr>
        <w:ind w:left="1560"/>
        <w:jc w:val="both"/>
      </w:pPr>
      <w:r w:rsidRPr="00FE5418">
        <w:t xml:space="preserve">w przypadku, gdy elementem zadania są wszelkiego rodzaju wydawnictwa - niezwłocznie po </w:t>
      </w:r>
      <w:r w:rsidR="009074BE">
        <w:t xml:space="preserve">ich </w:t>
      </w:r>
      <w:r w:rsidRPr="00FE5418">
        <w:t>ukazaniu się</w:t>
      </w:r>
      <w:r w:rsidR="009074BE">
        <w:t xml:space="preserve"> </w:t>
      </w:r>
      <w:r w:rsidR="00A446EE">
        <w:t>– bezpłatne przekazywanie egzemplarz</w:t>
      </w:r>
      <w:r w:rsidR="00A4081A">
        <w:t>a</w:t>
      </w:r>
      <w:r w:rsidR="00A446EE">
        <w:t xml:space="preserve"> tego wydawnictwa</w:t>
      </w:r>
      <w:r w:rsidRPr="00FE5418">
        <w:t>;</w:t>
      </w:r>
    </w:p>
    <w:p w:rsidR="00FE5418" w:rsidRPr="00FE5418" w:rsidRDefault="00FE5418" w:rsidP="008637BC">
      <w:pPr>
        <w:pStyle w:val="Akapitzlist"/>
        <w:numPr>
          <w:ilvl w:val="0"/>
          <w:numId w:val="22"/>
        </w:numPr>
        <w:ind w:left="1560"/>
        <w:jc w:val="both"/>
      </w:pPr>
      <w:r w:rsidRPr="00FE5418">
        <w:t>w przypadku, gdy elementem zadania są imprezy</w:t>
      </w:r>
      <w:r w:rsidR="00D92B76">
        <w:t xml:space="preserve"> </w:t>
      </w:r>
      <w:r w:rsidRPr="00FE5418">
        <w:t>- przekaz</w:t>
      </w:r>
      <w:r w:rsidR="00051C4B">
        <w:t>anie</w:t>
      </w:r>
      <w:r w:rsidRPr="00FE5418">
        <w:t xml:space="preserve"> </w:t>
      </w:r>
      <w:r w:rsidR="00832889">
        <w:t>informacji lub zaproszenia</w:t>
      </w:r>
      <w:r w:rsidRPr="00FE5418">
        <w:t xml:space="preserve"> umożliwiającego wzięcie udziału w planowanych imprezach przedstawiciela </w:t>
      </w:r>
      <w:r w:rsidR="00591C08">
        <w:t>MSWiA</w:t>
      </w:r>
      <w:r w:rsidR="00D92B76">
        <w:t xml:space="preserve"> – z </w:t>
      </w:r>
      <w:r w:rsidRPr="00FE5418">
        <w:t>przynajmniej dwutygodniowym wyprzedzeniem.</w:t>
      </w:r>
    </w:p>
    <w:p w:rsidR="00FE5418" w:rsidRDefault="00FE5418" w:rsidP="008637BC">
      <w:pPr>
        <w:numPr>
          <w:ilvl w:val="0"/>
          <w:numId w:val="10"/>
        </w:numPr>
        <w:jc w:val="both"/>
      </w:pPr>
      <w:r w:rsidRPr="00EE30B9">
        <w:t xml:space="preserve">Podmiot realizujący zadanie </w:t>
      </w:r>
      <w:r w:rsidR="00051C4B" w:rsidRPr="00EE30B9">
        <w:t xml:space="preserve">jest </w:t>
      </w:r>
      <w:r w:rsidRPr="00EE30B9">
        <w:t xml:space="preserve">zobowiązany do przekazywania do </w:t>
      </w:r>
      <w:r w:rsidR="00591C08">
        <w:t>MSWiA</w:t>
      </w:r>
      <w:r w:rsidRPr="00EE30B9">
        <w:t xml:space="preserve"> niezbędnej dokumentacji, w tym fotograficznej, potwierdzającej wykonanie zadania</w:t>
      </w:r>
      <w:r w:rsidR="004D5F7C" w:rsidRPr="00EE30B9">
        <w:t>,</w:t>
      </w:r>
      <w:r w:rsidRPr="00EE30B9">
        <w:t xml:space="preserve"> </w:t>
      </w:r>
      <w:r w:rsidR="00474DF4" w:rsidRPr="00EE30B9">
        <w:t xml:space="preserve">w szczególności </w:t>
      </w:r>
      <w:r w:rsidR="007F134F" w:rsidRPr="00EE30B9">
        <w:t xml:space="preserve">potwierdzającej </w:t>
      </w:r>
      <w:r w:rsidR="009074BE" w:rsidRPr="00EE30B9">
        <w:t xml:space="preserve">zamieszczenie </w:t>
      </w:r>
      <w:r w:rsidR="00EE30B9">
        <w:t>i</w:t>
      </w:r>
      <w:r w:rsidR="009074BE" w:rsidRPr="00EE30B9">
        <w:t>nformacji/</w:t>
      </w:r>
      <w:r w:rsidRPr="00EE30B9">
        <w:t xml:space="preserve">poinformowanie odbiorców o </w:t>
      </w:r>
      <w:r w:rsidRPr="00FE5418">
        <w:t>realizacji zadania dzięki dotacji Ministra Spraw Wewnętrznych i Administracji.</w:t>
      </w:r>
    </w:p>
    <w:p w:rsidR="004B0555" w:rsidRPr="00D80C0E" w:rsidRDefault="004B0555" w:rsidP="008637BC">
      <w:pPr>
        <w:numPr>
          <w:ilvl w:val="0"/>
          <w:numId w:val="10"/>
        </w:numPr>
        <w:jc w:val="both"/>
      </w:pPr>
      <w:r w:rsidRPr="00EE30B9">
        <w:t>Wszystki</w:t>
      </w:r>
      <w:r w:rsidRPr="007C4C30">
        <w:t xml:space="preserve">e faktury, rachunki, umowy i inne dokumenty finansowo-księgowe, które zostały opłacone z otrzymanej dotacji powinny być opatrzone na odwrocie pieczęcią </w:t>
      </w:r>
      <w:r w:rsidR="007C4C30" w:rsidRPr="007C4C30">
        <w:t>Zleceniobiorcy</w:t>
      </w:r>
      <w:r w:rsidRPr="007C4C30">
        <w:t xml:space="preserve"> oraz zawierać sporządzony w sposób trwały opis zawierający informacje: z jakich środków wydatkowana kwota została pokryta oraz jakie było przeznaczenie zakupionych towarów, usług lub innego rodzaju opłaconej </w:t>
      </w:r>
      <w:r w:rsidRPr="00D80C0E">
        <w:t>należności. Informacje te powinny być podpisane przez osobę odpowiedzialną za sprawy dotyczące rozliczeń finansowych organizacji.</w:t>
      </w:r>
    </w:p>
    <w:p w:rsidR="003B61AD" w:rsidRPr="00EE30B9" w:rsidRDefault="00633A5A" w:rsidP="008637BC">
      <w:pPr>
        <w:numPr>
          <w:ilvl w:val="0"/>
          <w:numId w:val="10"/>
        </w:numPr>
        <w:jc w:val="both"/>
      </w:pPr>
      <w:r w:rsidRPr="00D80C0E">
        <w:t>Podmiotowi realizującemu zadanie zaleca się posiadanie wyodrębnionego rachunku bankowego przeznaczonego wyłącznie do obsługi dotacji</w:t>
      </w:r>
      <w:r w:rsidRPr="00D80C0E">
        <w:rPr>
          <w:bCs/>
        </w:rPr>
        <w:t xml:space="preserve"> z uwagi na fakt, że tylko środki </w:t>
      </w:r>
      <w:r w:rsidRPr="00D80C0E">
        <w:rPr>
          <w:bCs/>
        </w:rPr>
        <w:lastRenderedPageBreak/>
        <w:t>dotacji przekazane na taki rachunek podlegają</w:t>
      </w:r>
      <w:r w:rsidR="0037448E">
        <w:rPr>
          <w:bCs/>
        </w:rPr>
        <w:t>,</w:t>
      </w:r>
      <w:r w:rsidRPr="00D80C0E">
        <w:rPr>
          <w:bCs/>
        </w:rPr>
        <w:t xml:space="preserve"> w przypadku ewentualnego post</w:t>
      </w:r>
      <w:r w:rsidR="0037448E">
        <w:rPr>
          <w:bCs/>
        </w:rPr>
        <w:t>ę</w:t>
      </w:r>
      <w:r w:rsidRPr="00D80C0E">
        <w:rPr>
          <w:bCs/>
        </w:rPr>
        <w:t>powania egzekucyjnego</w:t>
      </w:r>
      <w:r w:rsidR="0037448E">
        <w:rPr>
          <w:bCs/>
        </w:rPr>
        <w:t>,</w:t>
      </w:r>
      <w:r w:rsidRPr="00D80C0E">
        <w:rPr>
          <w:bCs/>
        </w:rPr>
        <w:t xml:space="preserve"> ochronie poprzez wyłączenie spod egzekucji administracyjnej</w:t>
      </w:r>
      <w:r w:rsidR="000556FB">
        <w:rPr>
          <w:rStyle w:val="Odwoanieprzypisudolnego"/>
          <w:bCs/>
        </w:rPr>
        <w:footnoteReference w:id="13"/>
      </w:r>
      <w:r w:rsidRPr="00D80C0E">
        <w:t xml:space="preserve">. Brak takiego rachunku może skutkować zajęciem przez </w:t>
      </w:r>
      <w:r w:rsidR="00E1307D" w:rsidRPr="00B25834">
        <w:t>organ egzekucyjny</w:t>
      </w:r>
      <w:r w:rsidRPr="00D80C0E">
        <w:t xml:space="preserve"> środków dotacji, a tym samym zagrozić prawidłowej realizacji dotowanego zadania.  W przypadku realizacji zalecenia, o</w:t>
      </w:r>
      <w:r w:rsidR="005551D4">
        <w:t> </w:t>
      </w:r>
      <w:r w:rsidRPr="00D80C0E">
        <w:t xml:space="preserve">którym mowa w zdaniu pierwszym dopuszczalne jest </w:t>
      </w:r>
      <w:r w:rsidR="003B61AD" w:rsidRPr="00D80C0E">
        <w:t xml:space="preserve">posiadanie jednego wyodrębnionego rachunku bankowego do obsługi wszystkich przyznanych przez Ministra Spraw Wewnętrznych i Administracji dotacji na realizację </w:t>
      </w:r>
      <w:r w:rsidR="003B61AD" w:rsidRPr="00D80C0E">
        <w:rPr>
          <w:bCs/>
        </w:rPr>
        <w:t xml:space="preserve">w </w:t>
      </w:r>
      <w:r w:rsidR="00FA38BB" w:rsidRPr="00D80C0E">
        <w:rPr>
          <w:bCs/>
        </w:rPr>
        <w:t>20</w:t>
      </w:r>
      <w:r w:rsidR="00FA38BB">
        <w:rPr>
          <w:bCs/>
        </w:rPr>
        <w:t>21</w:t>
      </w:r>
      <w:r w:rsidR="0037448E">
        <w:rPr>
          <w:bCs/>
        </w:rPr>
        <w:t> </w:t>
      </w:r>
      <w:r w:rsidR="003B61AD" w:rsidRPr="00D80C0E">
        <w:rPr>
          <w:bCs/>
        </w:rPr>
        <w:t>r. zadań mających na celu ochronę, zachowanie i</w:t>
      </w:r>
      <w:r w:rsidR="005551D4">
        <w:rPr>
          <w:bCs/>
        </w:rPr>
        <w:t> </w:t>
      </w:r>
      <w:r w:rsidR="003B61AD" w:rsidRPr="00D80C0E">
        <w:rPr>
          <w:bCs/>
        </w:rPr>
        <w:t>rozwój tożsamości kulturowej mniejszości</w:t>
      </w:r>
      <w:r w:rsidR="003B61AD" w:rsidRPr="00EE30B9">
        <w:rPr>
          <w:bCs/>
        </w:rPr>
        <w:t xml:space="preserve"> narodowych i</w:t>
      </w:r>
      <w:r w:rsidR="008F52FB">
        <w:rPr>
          <w:bCs/>
        </w:rPr>
        <w:t> </w:t>
      </w:r>
      <w:r w:rsidR="003B61AD" w:rsidRPr="00EE30B9">
        <w:rPr>
          <w:bCs/>
        </w:rPr>
        <w:t>etnicznych oraz zachowanie i rozwój języka regionalnego.</w:t>
      </w:r>
    </w:p>
    <w:sectPr w:rsidR="003B61AD" w:rsidRPr="00EE30B9" w:rsidSect="0016381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AE9" w:rsidRDefault="004E5AE9" w:rsidP="009136B9">
      <w:pPr>
        <w:spacing w:after="0" w:line="240" w:lineRule="auto"/>
      </w:pPr>
      <w:r>
        <w:separator/>
      </w:r>
    </w:p>
  </w:endnote>
  <w:endnote w:type="continuationSeparator" w:id="0">
    <w:p w:rsidR="004E5AE9" w:rsidRDefault="004E5AE9" w:rsidP="009136B9">
      <w:pPr>
        <w:spacing w:after="0" w:line="240" w:lineRule="auto"/>
      </w:pPr>
      <w:r>
        <w:continuationSeparator/>
      </w:r>
    </w:p>
  </w:endnote>
  <w:endnote w:type="continuationNotice" w:id="1">
    <w:p w:rsidR="004E5AE9" w:rsidRDefault="004E5A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126059"/>
      <w:docPartObj>
        <w:docPartGallery w:val="Page Numbers (Bottom of Page)"/>
        <w:docPartUnique/>
      </w:docPartObj>
    </w:sdtPr>
    <w:sdtEndPr/>
    <w:sdtContent>
      <w:p w:rsidR="008B41CE" w:rsidRDefault="00163818">
        <w:pPr>
          <w:pStyle w:val="Stopka"/>
          <w:jc w:val="right"/>
        </w:pPr>
        <w:r>
          <w:fldChar w:fldCharType="begin"/>
        </w:r>
        <w:r w:rsidR="008B41CE">
          <w:instrText>PAGE   \* MERGEFORMAT</w:instrText>
        </w:r>
        <w:r>
          <w:fldChar w:fldCharType="separate"/>
        </w:r>
        <w:r w:rsidR="00F6479B">
          <w:rPr>
            <w:noProof/>
          </w:rPr>
          <w:t>1</w:t>
        </w:r>
        <w:r>
          <w:fldChar w:fldCharType="end"/>
        </w:r>
      </w:p>
    </w:sdtContent>
  </w:sdt>
  <w:p w:rsidR="008B41CE" w:rsidRDefault="008B41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AE9" w:rsidRDefault="004E5AE9" w:rsidP="009136B9">
      <w:pPr>
        <w:spacing w:after="0" w:line="240" w:lineRule="auto"/>
      </w:pPr>
      <w:r>
        <w:separator/>
      </w:r>
    </w:p>
  </w:footnote>
  <w:footnote w:type="continuationSeparator" w:id="0">
    <w:p w:rsidR="004E5AE9" w:rsidRDefault="004E5AE9" w:rsidP="009136B9">
      <w:pPr>
        <w:spacing w:after="0" w:line="240" w:lineRule="auto"/>
      </w:pPr>
      <w:r>
        <w:continuationSeparator/>
      </w:r>
    </w:p>
  </w:footnote>
  <w:footnote w:type="continuationNotice" w:id="1">
    <w:p w:rsidR="004E5AE9" w:rsidRDefault="004E5AE9">
      <w:pPr>
        <w:spacing w:after="0" w:line="240" w:lineRule="auto"/>
      </w:pPr>
    </w:p>
  </w:footnote>
  <w:footnote w:id="2">
    <w:p w:rsidR="00837B1D" w:rsidRPr="00A1093A" w:rsidRDefault="00837B1D">
      <w:pPr>
        <w:pStyle w:val="Tekstprzypisudolnego"/>
        <w:rPr>
          <w:sz w:val="18"/>
        </w:rPr>
      </w:pPr>
      <w:r w:rsidRPr="00A1093A">
        <w:rPr>
          <w:rStyle w:val="Odwoanieprzypisudolnego"/>
          <w:sz w:val="18"/>
        </w:rPr>
        <w:footnoteRef/>
      </w:r>
      <w:r w:rsidRPr="00A1093A">
        <w:rPr>
          <w:sz w:val="18"/>
        </w:rPr>
        <w:t xml:space="preserve"> </w:t>
      </w:r>
      <w:r w:rsidRPr="00A1093A">
        <w:rPr>
          <w:bCs/>
          <w:sz w:val="18"/>
        </w:rPr>
        <w:t>Dz. U. z 2017 r. poz. 823.</w:t>
      </w:r>
    </w:p>
  </w:footnote>
  <w:footnote w:id="3">
    <w:p w:rsidR="009136B9" w:rsidRPr="005246E6" w:rsidRDefault="009136B9" w:rsidP="001F5A97">
      <w:pPr>
        <w:pStyle w:val="Tekstprzypisudolnego"/>
        <w:jc w:val="both"/>
        <w:rPr>
          <w:sz w:val="18"/>
          <w:szCs w:val="18"/>
        </w:rPr>
      </w:pPr>
      <w:r w:rsidRPr="005246E6">
        <w:rPr>
          <w:rStyle w:val="Odwoanieprzypisudolnego"/>
          <w:sz w:val="18"/>
          <w:szCs w:val="18"/>
        </w:rPr>
        <w:footnoteRef/>
      </w:r>
      <w:r w:rsidRPr="005246E6">
        <w:rPr>
          <w:sz w:val="18"/>
          <w:szCs w:val="18"/>
        </w:rPr>
        <w:t xml:space="preserve"> </w:t>
      </w:r>
      <w:r w:rsidR="00F97FAD" w:rsidRPr="005246E6">
        <w:rPr>
          <w:sz w:val="18"/>
          <w:szCs w:val="18"/>
        </w:rPr>
        <w:t>Przez remont należy rozumieć</w:t>
      </w:r>
      <w:r w:rsidRPr="005246E6">
        <w:rPr>
          <w:sz w:val="18"/>
          <w:szCs w:val="18"/>
        </w:rPr>
        <w:t xml:space="preserve"> wykonanie w istniejącym obiekcie budowlanym robót budowlanych polegających na odtworzeniu stanu pierwotnego, a niestanowiących bieżącej konserwacji, przy czym dopuszcza się stosowanie wyrobów budowlanych innych niż użyto w stanie pierwotnym.</w:t>
      </w:r>
    </w:p>
  </w:footnote>
  <w:footnote w:id="4">
    <w:p w:rsidR="00837B1D" w:rsidRPr="00A1093A" w:rsidRDefault="00837B1D">
      <w:pPr>
        <w:pStyle w:val="Tekstprzypisudolnego"/>
        <w:rPr>
          <w:sz w:val="18"/>
        </w:rPr>
      </w:pPr>
      <w:r w:rsidRPr="00A1093A">
        <w:rPr>
          <w:rStyle w:val="Odwoanieprzypisudolnego"/>
          <w:sz w:val="18"/>
        </w:rPr>
        <w:footnoteRef/>
      </w:r>
      <w:r w:rsidRPr="00A1093A">
        <w:rPr>
          <w:sz w:val="18"/>
        </w:rPr>
        <w:t xml:space="preserve"> Dz. U. z 2019 r. poz. 713.</w:t>
      </w:r>
    </w:p>
  </w:footnote>
  <w:footnote w:id="5">
    <w:p w:rsidR="00837B1D" w:rsidRPr="00A1093A" w:rsidRDefault="00837B1D">
      <w:pPr>
        <w:pStyle w:val="Tekstprzypisudolnego"/>
        <w:rPr>
          <w:sz w:val="18"/>
        </w:rPr>
      </w:pPr>
      <w:r w:rsidRPr="00A1093A">
        <w:rPr>
          <w:rStyle w:val="Odwoanieprzypisudolnego"/>
          <w:sz w:val="18"/>
        </w:rPr>
        <w:footnoteRef/>
      </w:r>
      <w:r w:rsidRPr="00A1093A">
        <w:rPr>
          <w:sz w:val="18"/>
        </w:rPr>
        <w:t xml:space="preserve"> Dz. U. z 2018 r. poz. 1491.</w:t>
      </w:r>
    </w:p>
  </w:footnote>
  <w:footnote w:id="6">
    <w:p w:rsidR="006A3FF1" w:rsidRPr="00A1093A" w:rsidRDefault="006A3FF1">
      <w:pPr>
        <w:pStyle w:val="Tekstprzypisudolnego"/>
        <w:rPr>
          <w:sz w:val="18"/>
        </w:rPr>
      </w:pPr>
      <w:r w:rsidRPr="00A1093A">
        <w:rPr>
          <w:rStyle w:val="Odwoanieprzypisudolnego"/>
          <w:sz w:val="18"/>
        </w:rPr>
        <w:footnoteRef/>
      </w:r>
      <w:r w:rsidRPr="00A1093A">
        <w:rPr>
          <w:sz w:val="18"/>
        </w:rPr>
        <w:t xml:space="preserve"> Pełne pięć lat musi upłynąć najpóźniej w dniu </w:t>
      </w:r>
      <w:r w:rsidR="001A35DB">
        <w:rPr>
          <w:sz w:val="18"/>
        </w:rPr>
        <w:t>31 sierpnia 2020 r</w:t>
      </w:r>
      <w:r w:rsidRPr="00A1093A">
        <w:rPr>
          <w:sz w:val="18"/>
        </w:rPr>
        <w:t>.</w:t>
      </w:r>
    </w:p>
  </w:footnote>
  <w:footnote w:id="7">
    <w:p w:rsidR="00AB5A7F" w:rsidRPr="005246E6" w:rsidRDefault="00AB5A7F" w:rsidP="00AB5A7F">
      <w:pPr>
        <w:pStyle w:val="Tekstprzypisudolnego"/>
        <w:jc w:val="both"/>
        <w:rPr>
          <w:sz w:val="18"/>
          <w:szCs w:val="18"/>
        </w:rPr>
      </w:pPr>
      <w:r w:rsidRPr="005246E6">
        <w:rPr>
          <w:rStyle w:val="Odwoanieprzypisudolnego"/>
          <w:sz w:val="18"/>
          <w:szCs w:val="18"/>
        </w:rPr>
        <w:footnoteRef/>
      </w:r>
      <w:r w:rsidRPr="005246E6">
        <w:rPr>
          <w:sz w:val="18"/>
          <w:szCs w:val="18"/>
        </w:rPr>
        <w:t xml:space="preserve"> Pod pojęciem eksploatacja</w:t>
      </w:r>
      <w:r w:rsidR="00C36971" w:rsidRPr="005246E6">
        <w:rPr>
          <w:sz w:val="18"/>
          <w:szCs w:val="18"/>
        </w:rPr>
        <w:t xml:space="preserve"> będą</w:t>
      </w:r>
      <w:r w:rsidRPr="005246E6">
        <w:rPr>
          <w:sz w:val="18"/>
          <w:szCs w:val="18"/>
        </w:rPr>
        <w:t xml:space="preserve"> rozumiane </w:t>
      </w:r>
      <w:r w:rsidR="00C36971" w:rsidRPr="005246E6">
        <w:rPr>
          <w:sz w:val="18"/>
          <w:szCs w:val="18"/>
        </w:rPr>
        <w:t xml:space="preserve">m.in. </w:t>
      </w:r>
      <w:r w:rsidRPr="005246E6">
        <w:rPr>
          <w:sz w:val="18"/>
          <w:szCs w:val="18"/>
        </w:rPr>
        <w:t xml:space="preserve">opłaty za: energię elektryczną, opał, gaz, ogrzewanie, telefony, </w:t>
      </w:r>
      <w:r w:rsidR="00C36971" w:rsidRPr="005246E6">
        <w:rPr>
          <w:sz w:val="18"/>
          <w:szCs w:val="18"/>
        </w:rPr>
        <w:t>Internet</w:t>
      </w:r>
      <w:r w:rsidRPr="005246E6">
        <w:rPr>
          <w:sz w:val="18"/>
          <w:szCs w:val="18"/>
        </w:rPr>
        <w:t>, wodę, podatki od nieruchomości</w:t>
      </w:r>
      <w:r w:rsidRPr="005246E6">
        <w:rPr>
          <w:b/>
          <w:bCs/>
          <w:sz w:val="18"/>
          <w:szCs w:val="18"/>
        </w:rPr>
        <w:t>,</w:t>
      </w:r>
      <w:r w:rsidRPr="005246E6">
        <w:rPr>
          <w:sz w:val="18"/>
          <w:szCs w:val="18"/>
        </w:rPr>
        <w:t xml:space="preserve"> opłaty stałe</w:t>
      </w:r>
      <w:r w:rsidR="007569C5" w:rsidRPr="005246E6">
        <w:rPr>
          <w:sz w:val="18"/>
          <w:szCs w:val="18"/>
        </w:rPr>
        <w:t>,</w:t>
      </w:r>
      <w:r w:rsidRPr="005246E6">
        <w:rPr>
          <w:sz w:val="18"/>
          <w:szCs w:val="18"/>
        </w:rPr>
        <w:t xml:space="preserve"> </w:t>
      </w:r>
      <w:r w:rsidR="00C36971" w:rsidRPr="005246E6">
        <w:rPr>
          <w:sz w:val="18"/>
          <w:szCs w:val="18"/>
        </w:rPr>
        <w:t xml:space="preserve">np. </w:t>
      </w:r>
      <w:r w:rsidRPr="005246E6">
        <w:rPr>
          <w:sz w:val="18"/>
          <w:szCs w:val="18"/>
        </w:rPr>
        <w:t>wywóz nieczystości.</w:t>
      </w:r>
    </w:p>
  </w:footnote>
  <w:footnote w:id="8">
    <w:p w:rsidR="001676C5" w:rsidRPr="00A1093A" w:rsidRDefault="001676C5" w:rsidP="00A1093A">
      <w:pPr>
        <w:pStyle w:val="Tekstprzypisudolnego"/>
        <w:jc w:val="both"/>
        <w:rPr>
          <w:sz w:val="18"/>
        </w:rPr>
      </w:pPr>
      <w:r w:rsidRPr="00A1093A">
        <w:rPr>
          <w:rStyle w:val="Odwoanieprzypisudolnego"/>
          <w:sz w:val="18"/>
        </w:rPr>
        <w:footnoteRef/>
      </w:r>
      <w:r w:rsidRPr="00A1093A">
        <w:rPr>
          <w:sz w:val="18"/>
        </w:rPr>
        <w:t xml:space="preserve"> Termin uważa się za zachowany, jeżeli przed jego upływem wnioski zostały nadane w </w:t>
      </w:r>
      <w:r w:rsidR="008322AC" w:rsidRPr="008322AC">
        <w:rPr>
          <w:bCs/>
        </w:rPr>
        <w:t>placów</w:t>
      </w:r>
      <w:r w:rsidR="008322AC">
        <w:rPr>
          <w:bCs/>
        </w:rPr>
        <w:t>ce</w:t>
      </w:r>
      <w:r w:rsidR="008322AC" w:rsidRPr="008322AC">
        <w:rPr>
          <w:bCs/>
        </w:rPr>
        <w:t xml:space="preserve"> podmiotu zajmującego się doręczaniem korespondencji na terenie Unii Europejskiej</w:t>
      </w:r>
      <w:r w:rsidRPr="00A1093A">
        <w:rPr>
          <w:sz w:val="18"/>
        </w:rPr>
        <w:t>.</w:t>
      </w:r>
    </w:p>
  </w:footnote>
  <w:footnote w:id="9">
    <w:p w:rsidR="001676C5" w:rsidRPr="00A1093A" w:rsidRDefault="001676C5" w:rsidP="00A1093A">
      <w:pPr>
        <w:pStyle w:val="Tekstprzypisudolnego"/>
        <w:jc w:val="both"/>
        <w:rPr>
          <w:sz w:val="18"/>
        </w:rPr>
      </w:pPr>
      <w:r w:rsidRPr="00A1093A">
        <w:rPr>
          <w:rStyle w:val="Odwoanieprzypisudolnego"/>
          <w:sz w:val="18"/>
        </w:rPr>
        <w:footnoteRef/>
      </w:r>
      <w:r w:rsidRPr="00A1093A">
        <w:rPr>
          <w:sz w:val="18"/>
        </w:rPr>
        <w:t xml:space="preserve"> Termin uważa się za zachowany, jeżeli przed jego upływem wnioski zostały nadane w </w:t>
      </w:r>
      <w:r w:rsidR="008322AC" w:rsidRPr="008322AC">
        <w:rPr>
          <w:bCs/>
        </w:rPr>
        <w:t>placów</w:t>
      </w:r>
      <w:r w:rsidR="008322AC">
        <w:rPr>
          <w:bCs/>
        </w:rPr>
        <w:t>ce</w:t>
      </w:r>
      <w:r w:rsidR="008322AC" w:rsidRPr="008322AC">
        <w:rPr>
          <w:bCs/>
        </w:rPr>
        <w:t xml:space="preserve"> podmiotu zajmującego się doręczaniem korespondencji na terenie Unii Europejskiej</w:t>
      </w:r>
      <w:r w:rsidRPr="00A1093A">
        <w:rPr>
          <w:sz w:val="18"/>
        </w:rPr>
        <w:t>.</w:t>
      </w:r>
    </w:p>
  </w:footnote>
  <w:footnote w:id="10">
    <w:p w:rsidR="00837B1D" w:rsidRPr="00A1093A" w:rsidRDefault="00837B1D">
      <w:pPr>
        <w:pStyle w:val="Tekstprzypisudolnego"/>
        <w:rPr>
          <w:sz w:val="18"/>
        </w:rPr>
      </w:pPr>
      <w:r w:rsidRPr="00A1093A">
        <w:rPr>
          <w:rStyle w:val="Odwoanieprzypisudolnego"/>
          <w:sz w:val="18"/>
        </w:rPr>
        <w:footnoteRef/>
      </w:r>
      <w:r w:rsidRPr="00A1093A">
        <w:rPr>
          <w:sz w:val="18"/>
        </w:rPr>
        <w:t xml:space="preserve"> Dz. U. z 2019 r. poz. 123, z późn. zm.</w:t>
      </w:r>
    </w:p>
  </w:footnote>
  <w:footnote w:id="11">
    <w:p w:rsidR="002C58F9" w:rsidRDefault="002C58F9" w:rsidP="002C58F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Ilekroć w </w:t>
      </w:r>
      <w:r w:rsidR="004E588B" w:rsidRPr="00A1093A">
        <w:rPr>
          <w:i/>
          <w:sz w:val="18"/>
        </w:rPr>
        <w:t>I</w:t>
      </w:r>
      <w:r w:rsidRPr="00A1093A">
        <w:rPr>
          <w:i/>
          <w:sz w:val="18"/>
        </w:rPr>
        <w:t>nformacji</w:t>
      </w:r>
      <w:r>
        <w:t xml:space="preserve"> jest mowa o kwalifikacjach osób, przy udziale których będzie realizowane zadanie, należy przez to rozumieć wykształcenie,</w:t>
      </w:r>
      <w:r w:rsidRPr="002C58F9">
        <w:t xml:space="preserve"> </w:t>
      </w:r>
      <w:r>
        <w:t xml:space="preserve">doświadczenie lub </w:t>
      </w:r>
      <w:r w:rsidR="00E00789">
        <w:t>z</w:t>
      </w:r>
      <w:r>
        <w:t>dol</w:t>
      </w:r>
      <w:r w:rsidR="00E00789">
        <w:t>ności</w:t>
      </w:r>
      <w:r>
        <w:t>, którymi dysponują osoby mające realizować zadanie.</w:t>
      </w:r>
      <w:r w:rsidR="00C96790">
        <w:t xml:space="preserve"> </w:t>
      </w:r>
      <w:r w:rsidR="00B25834" w:rsidRPr="00B25834">
        <w:t xml:space="preserve">We wniosku nie </w:t>
      </w:r>
      <w:r w:rsidR="00DC3411">
        <w:t xml:space="preserve">należy podawać </w:t>
      </w:r>
      <w:r w:rsidR="00B25834" w:rsidRPr="00B25834">
        <w:t>imion i nazwisk osób – wystarczające jest wskazanie kwalifikacji, którymi te osoby dysponują.</w:t>
      </w:r>
    </w:p>
  </w:footnote>
  <w:footnote w:id="12">
    <w:p w:rsidR="00837B1D" w:rsidRPr="00A1093A" w:rsidRDefault="00837B1D">
      <w:pPr>
        <w:pStyle w:val="Tekstprzypisudolnego"/>
        <w:rPr>
          <w:sz w:val="18"/>
        </w:rPr>
      </w:pPr>
      <w:r w:rsidRPr="00A1093A">
        <w:rPr>
          <w:rStyle w:val="Odwoanieprzypisudolnego"/>
          <w:sz w:val="18"/>
        </w:rPr>
        <w:footnoteRef/>
      </w:r>
      <w:r w:rsidRPr="00A1093A">
        <w:rPr>
          <w:sz w:val="18"/>
        </w:rPr>
        <w:t xml:space="preserve"> </w:t>
      </w:r>
      <w:r w:rsidR="00C526CB">
        <w:rPr>
          <w:sz w:val="18"/>
        </w:rPr>
        <w:t>(</w:t>
      </w:r>
      <w:r w:rsidRPr="00A1093A">
        <w:rPr>
          <w:sz w:val="18"/>
        </w:rPr>
        <w:t xml:space="preserve">Dz. U. z </w:t>
      </w:r>
      <w:r w:rsidR="00C526CB">
        <w:rPr>
          <w:sz w:val="18"/>
        </w:rPr>
        <w:t>2019 r. poz. 688, z późn. zm.)</w:t>
      </w:r>
      <w:r w:rsidR="001B7F8C">
        <w:rPr>
          <w:sz w:val="18"/>
        </w:rPr>
        <w:t>.</w:t>
      </w:r>
    </w:p>
  </w:footnote>
  <w:footnote w:id="13">
    <w:p w:rsidR="000556FB" w:rsidRPr="00A1093A" w:rsidRDefault="000556FB" w:rsidP="00A1093A">
      <w:pPr>
        <w:pStyle w:val="Tekstprzypisudolnego"/>
        <w:jc w:val="both"/>
        <w:rPr>
          <w:sz w:val="18"/>
        </w:rPr>
      </w:pPr>
      <w:r w:rsidRPr="00A1093A">
        <w:rPr>
          <w:rStyle w:val="Odwoanieprzypisudolnego"/>
          <w:sz w:val="18"/>
        </w:rPr>
        <w:footnoteRef/>
      </w:r>
      <w:r w:rsidRPr="00A1093A">
        <w:rPr>
          <w:sz w:val="18"/>
        </w:rPr>
        <w:t xml:space="preserve"> Zgodnie z </w:t>
      </w:r>
      <w:r w:rsidRPr="00A1093A">
        <w:rPr>
          <w:bCs/>
          <w:sz w:val="18"/>
        </w:rPr>
        <w:t xml:space="preserve">art. 8 § 1 pkt 15 ustawy z dnia 17 czerwca 1966 r. </w:t>
      </w:r>
      <w:r w:rsidRPr="00A1093A">
        <w:rPr>
          <w:bCs/>
          <w:i/>
          <w:sz w:val="18"/>
        </w:rPr>
        <w:t xml:space="preserve">o postępowaniu egzekucyjnym w administracji </w:t>
      </w:r>
      <w:r w:rsidRPr="00A1093A">
        <w:rPr>
          <w:bCs/>
          <w:sz w:val="18"/>
        </w:rPr>
        <w:t>(Dz. U. z </w:t>
      </w:r>
      <w:r w:rsidR="00C526CB">
        <w:rPr>
          <w:bCs/>
          <w:sz w:val="18"/>
        </w:rPr>
        <w:t>2019 r. poz. 1438, z późn. zm.)</w:t>
      </w:r>
      <w:r w:rsidR="001B7F8C">
        <w:rPr>
          <w:bCs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B0A"/>
    <w:multiLevelType w:val="hybridMultilevel"/>
    <w:tmpl w:val="4A0AC32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12711F15"/>
    <w:multiLevelType w:val="multilevel"/>
    <w:tmpl w:val="5C16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B0065"/>
    <w:multiLevelType w:val="hybridMultilevel"/>
    <w:tmpl w:val="C1068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B00E4"/>
    <w:multiLevelType w:val="multilevel"/>
    <w:tmpl w:val="BA42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3D52C5"/>
    <w:multiLevelType w:val="hybridMultilevel"/>
    <w:tmpl w:val="119E4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4320F"/>
    <w:multiLevelType w:val="hybridMultilevel"/>
    <w:tmpl w:val="E62E34E2"/>
    <w:lvl w:ilvl="0" w:tplc="503A4E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98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B4766"/>
    <w:multiLevelType w:val="hybridMultilevel"/>
    <w:tmpl w:val="91BAF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F7AEB"/>
    <w:multiLevelType w:val="hybridMultilevel"/>
    <w:tmpl w:val="930CB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B156C"/>
    <w:multiLevelType w:val="multilevel"/>
    <w:tmpl w:val="0598FA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424D32"/>
    <w:multiLevelType w:val="hybridMultilevel"/>
    <w:tmpl w:val="82825E4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74674D"/>
    <w:multiLevelType w:val="multilevel"/>
    <w:tmpl w:val="4F608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843EC0"/>
    <w:multiLevelType w:val="hybridMultilevel"/>
    <w:tmpl w:val="0938F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B2FD3"/>
    <w:multiLevelType w:val="multilevel"/>
    <w:tmpl w:val="C382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751253"/>
    <w:multiLevelType w:val="multilevel"/>
    <w:tmpl w:val="460ED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D741F1"/>
    <w:multiLevelType w:val="hybridMultilevel"/>
    <w:tmpl w:val="FC3A0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B7631"/>
    <w:multiLevelType w:val="hybridMultilevel"/>
    <w:tmpl w:val="1CCAE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F63C2"/>
    <w:multiLevelType w:val="hybridMultilevel"/>
    <w:tmpl w:val="31B40D10"/>
    <w:lvl w:ilvl="0" w:tplc="8D0EDF8C">
      <w:start w:val="1"/>
      <w:numFmt w:val="lowerLetter"/>
      <w:lvlText w:val="%1)"/>
      <w:lvlJc w:val="left"/>
      <w:pPr>
        <w:ind w:left="17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651936CE"/>
    <w:multiLevelType w:val="hybridMultilevel"/>
    <w:tmpl w:val="E4565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05D0E"/>
    <w:multiLevelType w:val="multilevel"/>
    <w:tmpl w:val="626E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232E17"/>
    <w:multiLevelType w:val="hybridMultilevel"/>
    <w:tmpl w:val="0938F28E"/>
    <w:lvl w:ilvl="0" w:tplc="04150011">
      <w:start w:val="1"/>
      <w:numFmt w:val="decimal"/>
      <w:lvlText w:val="%1)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0">
    <w:nsid w:val="72EC0922"/>
    <w:multiLevelType w:val="multilevel"/>
    <w:tmpl w:val="2890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101D03"/>
    <w:multiLevelType w:val="hybridMultilevel"/>
    <w:tmpl w:val="6254B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A2676"/>
    <w:multiLevelType w:val="multilevel"/>
    <w:tmpl w:val="65B6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CD118E"/>
    <w:multiLevelType w:val="hybridMultilevel"/>
    <w:tmpl w:val="75829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C2744"/>
    <w:multiLevelType w:val="multilevel"/>
    <w:tmpl w:val="06904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24"/>
  </w:num>
  <w:num w:numId="4">
    <w:abstractNumId w:val="10"/>
  </w:num>
  <w:num w:numId="5">
    <w:abstractNumId w:val="1"/>
  </w:num>
  <w:num w:numId="6">
    <w:abstractNumId w:val="13"/>
  </w:num>
  <w:num w:numId="7">
    <w:abstractNumId w:val="3"/>
  </w:num>
  <w:num w:numId="8">
    <w:abstractNumId w:val="8"/>
  </w:num>
  <w:num w:numId="9">
    <w:abstractNumId w:val="22"/>
  </w:num>
  <w:num w:numId="10">
    <w:abstractNumId w:val="12"/>
  </w:num>
  <w:num w:numId="11">
    <w:abstractNumId w:val="17"/>
  </w:num>
  <w:num w:numId="12">
    <w:abstractNumId w:val="2"/>
  </w:num>
  <w:num w:numId="13">
    <w:abstractNumId w:val="21"/>
  </w:num>
  <w:num w:numId="14">
    <w:abstractNumId w:val="23"/>
  </w:num>
  <w:num w:numId="15">
    <w:abstractNumId w:val="5"/>
  </w:num>
  <w:num w:numId="16">
    <w:abstractNumId w:val="6"/>
  </w:num>
  <w:num w:numId="17">
    <w:abstractNumId w:val="4"/>
  </w:num>
  <w:num w:numId="18">
    <w:abstractNumId w:val="15"/>
  </w:num>
  <w:num w:numId="19">
    <w:abstractNumId w:val="11"/>
  </w:num>
  <w:num w:numId="20">
    <w:abstractNumId w:val="7"/>
  </w:num>
  <w:num w:numId="21">
    <w:abstractNumId w:val="14"/>
  </w:num>
  <w:num w:numId="22">
    <w:abstractNumId w:val="9"/>
  </w:num>
  <w:num w:numId="23">
    <w:abstractNumId w:val="0"/>
  </w:num>
  <w:num w:numId="24">
    <w:abstractNumId w:val="16"/>
  </w:num>
  <w:num w:numId="2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18"/>
    <w:rsid w:val="000005F8"/>
    <w:rsid w:val="00006B8A"/>
    <w:rsid w:val="00014B52"/>
    <w:rsid w:val="0001612E"/>
    <w:rsid w:val="000310BD"/>
    <w:rsid w:val="00034614"/>
    <w:rsid w:val="00034FCB"/>
    <w:rsid w:val="000366A8"/>
    <w:rsid w:val="000367D4"/>
    <w:rsid w:val="00051C4B"/>
    <w:rsid w:val="00053F4C"/>
    <w:rsid w:val="000556FB"/>
    <w:rsid w:val="0006769E"/>
    <w:rsid w:val="0009425E"/>
    <w:rsid w:val="000958AE"/>
    <w:rsid w:val="000A0F44"/>
    <w:rsid w:val="000A4901"/>
    <w:rsid w:val="000A55FF"/>
    <w:rsid w:val="000B1CE1"/>
    <w:rsid w:val="000B513F"/>
    <w:rsid w:val="000B79E8"/>
    <w:rsid w:val="000C0A7A"/>
    <w:rsid w:val="000C2A68"/>
    <w:rsid w:val="000C2C2C"/>
    <w:rsid w:val="000C50C2"/>
    <w:rsid w:val="000C7585"/>
    <w:rsid w:val="000D6055"/>
    <w:rsid w:val="000D7EC4"/>
    <w:rsid w:val="000F413D"/>
    <w:rsid w:val="000F514D"/>
    <w:rsid w:val="001044BB"/>
    <w:rsid w:val="00114E65"/>
    <w:rsid w:val="0012142A"/>
    <w:rsid w:val="0013331C"/>
    <w:rsid w:val="00133380"/>
    <w:rsid w:val="0013407F"/>
    <w:rsid w:val="00136429"/>
    <w:rsid w:val="0014129C"/>
    <w:rsid w:val="001439C0"/>
    <w:rsid w:val="00143B31"/>
    <w:rsid w:val="00161A41"/>
    <w:rsid w:val="00163818"/>
    <w:rsid w:val="0016491F"/>
    <w:rsid w:val="001676C5"/>
    <w:rsid w:val="00172FD4"/>
    <w:rsid w:val="0017600B"/>
    <w:rsid w:val="00180B76"/>
    <w:rsid w:val="00184E91"/>
    <w:rsid w:val="00185A36"/>
    <w:rsid w:val="00187649"/>
    <w:rsid w:val="00191689"/>
    <w:rsid w:val="0019231F"/>
    <w:rsid w:val="00192542"/>
    <w:rsid w:val="001956F9"/>
    <w:rsid w:val="001A24D5"/>
    <w:rsid w:val="001A35DB"/>
    <w:rsid w:val="001A3BC9"/>
    <w:rsid w:val="001B5539"/>
    <w:rsid w:val="001B7F8C"/>
    <w:rsid w:val="001D4A50"/>
    <w:rsid w:val="001D502B"/>
    <w:rsid w:val="001D5489"/>
    <w:rsid w:val="001E03F7"/>
    <w:rsid w:val="001E2841"/>
    <w:rsid w:val="001F04E0"/>
    <w:rsid w:val="001F26D5"/>
    <w:rsid w:val="001F34BA"/>
    <w:rsid w:val="001F5A02"/>
    <w:rsid w:val="001F5A97"/>
    <w:rsid w:val="001F7C72"/>
    <w:rsid w:val="001F7E62"/>
    <w:rsid w:val="002042DC"/>
    <w:rsid w:val="00206B65"/>
    <w:rsid w:val="00236BD9"/>
    <w:rsid w:val="00237CF1"/>
    <w:rsid w:val="00240653"/>
    <w:rsid w:val="0024500E"/>
    <w:rsid w:val="0024605B"/>
    <w:rsid w:val="002474FE"/>
    <w:rsid w:val="002554FE"/>
    <w:rsid w:val="00257239"/>
    <w:rsid w:val="002607FA"/>
    <w:rsid w:val="002611B6"/>
    <w:rsid w:val="0026288D"/>
    <w:rsid w:val="00262DF8"/>
    <w:rsid w:val="00296152"/>
    <w:rsid w:val="00296FB7"/>
    <w:rsid w:val="002A14A6"/>
    <w:rsid w:val="002A2DBC"/>
    <w:rsid w:val="002A72FB"/>
    <w:rsid w:val="002B03B7"/>
    <w:rsid w:val="002B435C"/>
    <w:rsid w:val="002C3781"/>
    <w:rsid w:val="002C58F9"/>
    <w:rsid w:val="002C6EC6"/>
    <w:rsid w:val="002D0585"/>
    <w:rsid w:val="002D16DB"/>
    <w:rsid w:val="002E28A9"/>
    <w:rsid w:val="002E55EE"/>
    <w:rsid w:val="002E6981"/>
    <w:rsid w:val="002F417E"/>
    <w:rsid w:val="002F5CDC"/>
    <w:rsid w:val="002F6CD8"/>
    <w:rsid w:val="00304278"/>
    <w:rsid w:val="00304FF0"/>
    <w:rsid w:val="00307EF3"/>
    <w:rsid w:val="003129F0"/>
    <w:rsid w:val="00312CA6"/>
    <w:rsid w:val="003172B9"/>
    <w:rsid w:val="0032720E"/>
    <w:rsid w:val="0035289A"/>
    <w:rsid w:val="00353853"/>
    <w:rsid w:val="00356820"/>
    <w:rsid w:val="00356CC8"/>
    <w:rsid w:val="0037448E"/>
    <w:rsid w:val="00380BD8"/>
    <w:rsid w:val="00393626"/>
    <w:rsid w:val="003A0E36"/>
    <w:rsid w:val="003A43F2"/>
    <w:rsid w:val="003B3034"/>
    <w:rsid w:val="003B61AD"/>
    <w:rsid w:val="003C0AC1"/>
    <w:rsid w:val="003C366D"/>
    <w:rsid w:val="003C3B5A"/>
    <w:rsid w:val="003C3F51"/>
    <w:rsid w:val="003C4C2F"/>
    <w:rsid w:val="003D4513"/>
    <w:rsid w:val="003F19E6"/>
    <w:rsid w:val="003F20DE"/>
    <w:rsid w:val="003F5149"/>
    <w:rsid w:val="00401DB8"/>
    <w:rsid w:val="00404BD7"/>
    <w:rsid w:val="0040718F"/>
    <w:rsid w:val="004111A8"/>
    <w:rsid w:val="00412A0F"/>
    <w:rsid w:val="00422590"/>
    <w:rsid w:val="00427471"/>
    <w:rsid w:val="00430195"/>
    <w:rsid w:val="00431D5E"/>
    <w:rsid w:val="00432233"/>
    <w:rsid w:val="004338B3"/>
    <w:rsid w:val="004363A7"/>
    <w:rsid w:val="00441410"/>
    <w:rsid w:val="0044215C"/>
    <w:rsid w:val="00442FC5"/>
    <w:rsid w:val="00443BF8"/>
    <w:rsid w:val="004641F2"/>
    <w:rsid w:val="004660C3"/>
    <w:rsid w:val="004669F4"/>
    <w:rsid w:val="004711D6"/>
    <w:rsid w:val="00474DF4"/>
    <w:rsid w:val="0047547E"/>
    <w:rsid w:val="00476146"/>
    <w:rsid w:val="00476E76"/>
    <w:rsid w:val="004812C6"/>
    <w:rsid w:val="00495A78"/>
    <w:rsid w:val="0049628A"/>
    <w:rsid w:val="004970F9"/>
    <w:rsid w:val="004A4230"/>
    <w:rsid w:val="004A46F4"/>
    <w:rsid w:val="004B026C"/>
    <w:rsid w:val="004B0555"/>
    <w:rsid w:val="004C0A62"/>
    <w:rsid w:val="004C6EDC"/>
    <w:rsid w:val="004D5F7C"/>
    <w:rsid w:val="004E0167"/>
    <w:rsid w:val="004E1D7C"/>
    <w:rsid w:val="004E2AB2"/>
    <w:rsid w:val="004E4B26"/>
    <w:rsid w:val="004E588B"/>
    <w:rsid w:val="004E5AE9"/>
    <w:rsid w:val="004E5D1C"/>
    <w:rsid w:val="004E7D32"/>
    <w:rsid w:val="004F1EEA"/>
    <w:rsid w:val="00505933"/>
    <w:rsid w:val="005150E3"/>
    <w:rsid w:val="005246E6"/>
    <w:rsid w:val="00527420"/>
    <w:rsid w:val="00537CC7"/>
    <w:rsid w:val="0054297C"/>
    <w:rsid w:val="0054615A"/>
    <w:rsid w:val="005529C3"/>
    <w:rsid w:val="005551D4"/>
    <w:rsid w:val="00570659"/>
    <w:rsid w:val="005725EF"/>
    <w:rsid w:val="00587B37"/>
    <w:rsid w:val="0059051D"/>
    <w:rsid w:val="00591C08"/>
    <w:rsid w:val="00592E81"/>
    <w:rsid w:val="00595C8D"/>
    <w:rsid w:val="005A7E2D"/>
    <w:rsid w:val="005B25A6"/>
    <w:rsid w:val="005C50D6"/>
    <w:rsid w:val="005C5138"/>
    <w:rsid w:val="005C56EA"/>
    <w:rsid w:val="005D2C63"/>
    <w:rsid w:val="005E0D6E"/>
    <w:rsid w:val="005E17CB"/>
    <w:rsid w:val="005E5A81"/>
    <w:rsid w:val="005E6426"/>
    <w:rsid w:val="005F333C"/>
    <w:rsid w:val="00615690"/>
    <w:rsid w:val="00617A58"/>
    <w:rsid w:val="00625191"/>
    <w:rsid w:val="006334C5"/>
    <w:rsid w:val="00633A5A"/>
    <w:rsid w:val="00640305"/>
    <w:rsid w:val="00644332"/>
    <w:rsid w:val="006504CA"/>
    <w:rsid w:val="00652C24"/>
    <w:rsid w:val="00654FBF"/>
    <w:rsid w:val="006635F4"/>
    <w:rsid w:val="00665EA9"/>
    <w:rsid w:val="00665F6A"/>
    <w:rsid w:val="00690314"/>
    <w:rsid w:val="0069157E"/>
    <w:rsid w:val="00692D0D"/>
    <w:rsid w:val="006933E7"/>
    <w:rsid w:val="00697077"/>
    <w:rsid w:val="006A3FF1"/>
    <w:rsid w:val="006A7123"/>
    <w:rsid w:val="006B3922"/>
    <w:rsid w:val="006B6BB4"/>
    <w:rsid w:val="006B7162"/>
    <w:rsid w:val="006C58C9"/>
    <w:rsid w:val="006C6F5B"/>
    <w:rsid w:val="006E781B"/>
    <w:rsid w:val="007047FE"/>
    <w:rsid w:val="00713080"/>
    <w:rsid w:val="00714F30"/>
    <w:rsid w:val="00715C80"/>
    <w:rsid w:val="007170FF"/>
    <w:rsid w:val="007177F7"/>
    <w:rsid w:val="007241E5"/>
    <w:rsid w:val="00726284"/>
    <w:rsid w:val="00737FD0"/>
    <w:rsid w:val="007405A2"/>
    <w:rsid w:val="00745E4C"/>
    <w:rsid w:val="0075318E"/>
    <w:rsid w:val="00755808"/>
    <w:rsid w:val="007569C5"/>
    <w:rsid w:val="0076312F"/>
    <w:rsid w:val="00774191"/>
    <w:rsid w:val="00774BBE"/>
    <w:rsid w:val="00787E59"/>
    <w:rsid w:val="00796598"/>
    <w:rsid w:val="007A2BC0"/>
    <w:rsid w:val="007A7E4B"/>
    <w:rsid w:val="007B4F19"/>
    <w:rsid w:val="007B7659"/>
    <w:rsid w:val="007C19A2"/>
    <w:rsid w:val="007C200A"/>
    <w:rsid w:val="007C4C30"/>
    <w:rsid w:val="007E0D18"/>
    <w:rsid w:val="007F134F"/>
    <w:rsid w:val="007F1639"/>
    <w:rsid w:val="007F17CD"/>
    <w:rsid w:val="007F6DDD"/>
    <w:rsid w:val="00800A2D"/>
    <w:rsid w:val="00803DF8"/>
    <w:rsid w:val="0081262B"/>
    <w:rsid w:val="00813C71"/>
    <w:rsid w:val="0081609D"/>
    <w:rsid w:val="00816B1D"/>
    <w:rsid w:val="00821DF7"/>
    <w:rsid w:val="008322AC"/>
    <w:rsid w:val="00832889"/>
    <w:rsid w:val="0083574D"/>
    <w:rsid w:val="00837B1D"/>
    <w:rsid w:val="00837F96"/>
    <w:rsid w:val="008410EB"/>
    <w:rsid w:val="00844CCB"/>
    <w:rsid w:val="008637BC"/>
    <w:rsid w:val="0086454C"/>
    <w:rsid w:val="00870FAD"/>
    <w:rsid w:val="00871E2D"/>
    <w:rsid w:val="008726FB"/>
    <w:rsid w:val="0087566E"/>
    <w:rsid w:val="008760C6"/>
    <w:rsid w:val="0088266A"/>
    <w:rsid w:val="00885D62"/>
    <w:rsid w:val="00891AE9"/>
    <w:rsid w:val="008939D1"/>
    <w:rsid w:val="008A5A9D"/>
    <w:rsid w:val="008A5DB7"/>
    <w:rsid w:val="008B058F"/>
    <w:rsid w:val="008B38BB"/>
    <w:rsid w:val="008B41CE"/>
    <w:rsid w:val="008C01E6"/>
    <w:rsid w:val="008F2649"/>
    <w:rsid w:val="008F3793"/>
    <w:rsid w:val="008F52FB"/>
    <w:rsid w:val="00900E58"/>
    <w:rsid w:val="009074BE"/>
    <w:rsid w:val="009136B9"/>
    <w:rsid w:val="00930CC2"/>
    <w:rsid w:val="009359FA"/>
    <w:rsid w:val="009412D5"/>
    <w:rsid w:val="009416C8"/>
    <w:rsid w:val="009525C8"/>
    <w:rsid w:val="0095316C"/>
    <w:rsid w:val="00953C3F"/>
    <w:rsid w:val="0095573E"/>
    <w:rsid w:val="0095667B"/>
    <w:rsid w:val="0096126B"/>
    <w:rsid w:val="0096139C"/>
    <w:rsid w:val="009726CB"/>
    <w:rsid w:val="00972E36"/>
    <w:rsid w:val="00973237"/>
    <w:rsid w:val="009737FA"/>
    <w:rsid w:val="00990546"/>
    <w:rsid w:val="00995F3A"/>
    <w:rsid w:val="009A3309"/>
    <w:rsid w:val="009A6DA3"/>
    <w:rsid w:val="009A6FDC"/>
    <w:rsid w:val="009B7A58"/>
    <w:rsid w:val="009C4645"/>
    <w:rsid w:val="009C5E44"/>
    <w:rsid w:val="009C64F4"/>
    <w:rsid w:val="009C6E02"/>
    <w:rsid w:val="009D0572"/>
    <w:rsid w:val="009E7C53"/>
    <w:rsid w:val="009F243C"/>
    <w:rsid w:val="009F2E6C"/>
    <w:rsid w:val="009F3E6B"/>
    <w:rsid w:val="009F5A00"/>
    <w:rsid w:val="009F69E4"/>
    <w:rsid w:val="00A1093A"/>
    <w:rsid w:val="00A146BE"/>
    <w:rsid w:val="00A20AA0"/>
    <w:rsid w:val="00A221FE"/>
    <w:rsid w:val="00A238DC"/>
    <w:rsid w:val="00A2513D"/>
    <w:rsid w:val="00A25AFA"/>
    <w:rsid w:val="00A36AC4"/>
    <w:rsid w:val="00A405D4"/>
    <w:rsid w:val="00A4081A"/>
    <w:rsid w:val="00A42FBE"/>
    <w:rsid w:val="00A446EE"/>
    <w:rsid w:val="00A6402C"/>
    <w:rsid w:val="00A67960"/>
    <w:rsid w:val="00A82766"/>
    <w:rsid w:val="00A83130"/>
    <w:rsid w:val="00A874D9"/>
    <w:rsid w:val="00A90EF2"/>
    <w:rsid w:val="00A910AD"/>
    <w:rsid w:val="00A936A3"/>
    <w:rsid w:val="00A94959"/>
    <w:rsid w:val="00A970E0"/>
    <w:rsid w:val="00A972F8"/>
    <w:rsid w:val="00AB5A7F"/>
    <w:rsid w:val="00AB5DE7"/>
    <w:rsid w:val="00AE0923"/>
    <w:rsid w:val="00AE2811"/>
    <w:rsid w:val="00AE4471"/>
    <w:rsid w:val="00AF0E37"/>
    <w:rsid w:val="00AF5D93"/>
    <w:rsid w:val="00B077B8"/>
    <w:rsid w:val="00B11DF0"/>
    <w:rsid w:val="00B1798D"/>
    <w:rsid w:val="00B2189C"/>
    <w:rsid w:val="00B25834"/>
    <w:rsid w:val="00B27B78"/>
    <w:rsid w:val="00B300BA"/>
    <w:rsid w:val="00B306CA"/>
    <w:rsid w:val="00B4440D"/>
    <w:rsid w:val="00B4593F"/>
    <w:rsid w:val="00B46688"/>
    <w:rsid w:val="00B53652"/>
    <w:rsid w:val="00B57656"/>
    <w:rsid w:val="00B57C54"/>
    <w:rsid w:val="00B601D3"/>
    <w:rsid w:val="00B65B1E"/>
    <w:rsid w:val="00B67392"/>
    <w:rsid w:val="00B708CE"/>
    <w:rsid w:val="00B73626"/>
    <w:rsid w:val="00B7477F"/>
    <w:rsid w:val="00B7736E"/>
    <w:rsid w:val="00B828E1"/>
    <w:rsid w:val="00B91245"/>
    <w:rsid w:val="00BA2678"/>
    <w:rsid w:val="00BA56EF"/>
    <w:rsid w:val="00BC4346"/>
    <w:rsid w:val="00BE0DB6"/>
    <w:rsid w:val="00BE4E2B"/>
    <w:rsid w:val="00BF0996"/>
    <w:rsid w:val="00BF2350"/>
    <w:rsid w:val="00C12437"/>
    <w:rsid w:val="00C17FB7"/>
    <w:rsid w:val="00C20736"/>
    <w:rsid w:val="00C267A8"/>
    <w:rsid w:val="00C35B9B"/>
    <w:rsid w:val="00C36971"/>
    <w:rsid w:val="00C42EE2"/>
    <w:rsid w:val="00C43E0B"/>
    <w:rsid w:val="00C449A9"/>
    <w:rsid w:val="00C45DAC"/>
    <w:rsid w:val="00C50679"/>
    <w:rsid w:val="00C50781"/>
    <w:rsid w:val="00C526CB"/>
    <w:rsid w:val="00C57D8A"/>
    <w:rsid w:val="00C83B43"/>
    <w:rsid w:val="00C96784"/>
    <w:rsid w:val="00C96790"/>
    <w:rsid w:val="00CA2EDF"/>
    <w:rsid w:val="00CA4468"/>
    <w:rsid w:val="00CA5089"/>
    <w:rsid w:val="00CB2BC9"/>
    <w:rsid w:val="00CB2E2A"/>
    <w:rsid w:val="00CB4051"/>
    <w:rsid w:val="00CC1D50"/>
    <w:rsid w:val="00CC2338"/>
    <w:rsid w:val="00CC5133"/>
    <w:rsid w:val="00CC76B8"/>
    <w:rsid w:val="00CF6B68"/>
    <w:rsid w:val="00D00DB2"/>
    <w:rsid w:val="00D10606"/>
    <w:rsid w:val="00D20343"/>
    <w:rsid w:val="00D3025F"/>
    <w:rsid w:val="00D307AF"/>
    <w:rsid w:val="00D31A9C"/>
    <w:rsid w:val="00D402E8"/>
    <w:rsid w:val="00D53647"/>
    <w:rsid w:val="00D54395"/>
    <w:rsid w:val="00D63218"/>
    <w:rsid w:val="00D6743A"/>
    <w:rsid w:val="00D70990"/>
    <w:rsid w:val="00D71A18"/>
    <w:rsid w:val="00D756AF"/>
    <w:rsid w:val="00D76CE1"/>
    <w:rsid w:val="00D80C0E"/>
    <w:rsid w:val="00D92B76"/>
    <w:rsid w:val="00D93CC2"/>
    <w:rsid w:val="00D96737"/>
    <w:rsid w:val="00DA5DA5"/>
    <w:rsid w:val="00DB342F"/>
    <w:rsid w:val="00DC3411"/>
    <w:rsid w:val="00DE3F90"/>
    <w:rsid w:val="00DE41A3"/>
    <w:rsid w:val="00DF6E2B"/>
    <w:rsid w:val="00E00789"/>
    <w:rsid w:val="00E10B13"/>
    <w:rsid w:val="00E1307D"/>
    <w:rsid w:val="00E24679"/>
    <w:rsid w:val="00E3365E"/>
    <w:rsid w:val="00E370E9"/>
    <w:rsid w:val="00E407DD"/>
    <w:rsid w:val="00E609FD"/>
    <w:rsid w:val="00E62547"/>
    <w:rsid w:val="00E71ECF"/>
    <w:rsid w:val="00E755BA"/>
    <w:rsid w:val="00E7607E"/>
    <w:rsid w:val="00E84132"/>
    <w:rsid w:val="00E925F6"/>
    <w:rsid w:val="00EA1CA6"/>
    <w:rsid w:val="00EA3781"/>
    <w:rsid w:val="00EA57A3"/>
    <w:rsid w:val="00EB7FA6"/>
    <w:rsid w:val="00EC10F9"/>
    <w:rsid w:val="00ED20D4"/>
    <w:rsid w:val="00ED3918"/>
    <w:rsid w:val="00ED63BE"/>
    <w:rsid w:val="00ED6700"/>
    <w:rsid w:val="00ED6993"/>
    <w:rsid w:val="00EE30B9"/>
    <w:rsid w:val="00EF6F01"/>
    <w:rsid w:val="00F05837"/>
    <w:rsid w:val="00F05EC6"/>
    <w:rsid w:val="00F15CD3"/>
    <w:rsid w:val="00F20CC0"/>
    <w:rsid w:val="00F241F8"/>
    <w:rsid w:val="00F24B42"/>
    <w:rsid w:val="00F344E7"/>
    <w:rsid w:val="00F36993"/>
    <w:rsid w:val="00F4243A"/>
    <w:rsid w:val="00F42675"/>
    <w:rsid w:val="00F45FBF"/>
    <w:rsid w:val="00F46613"/>
    <w:rsid w:val="00F6479B"/>
    <w:rsid w:val="00F65B70"/>
    <w:rsid w:val="00F72050"/>
    <w:rsid w:val="00F837E2"/>
    <w:rsid w:val="00F958A3"/>
    <w:rsid w:val="00F97FAD"/>
    <w:rsid w:val="00FA1F49"/>
    <w:rsid w:val="00FA38BB"/>
    <w:rsid w:val="00FC7B95"/>
    <w:rsid w:val="00FD20FF"/>
    <w:rsid w:val="00FD28E1"/>
    <w:rsid w:val="00FD3F24"/>
    <w:rsid w:val="00FD7511"/>
    <w:rsid w:val="00FE0808"/>
    <w:rsid w:val="00FE2330"/>
    <w:rsid w:val="00FE28D9"/>
    <w:rsid w:val="00FE5418"/>
    <w:rsid w:val="00FE5F4B"/>
    <w:rsid w:val="00FE7BCD"/>
    <w:rsid w:val="00FF016D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8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54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E54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5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41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36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36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6B9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047F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047FE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6D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6D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6D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C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338"/>
  </w:style>
  <w:style w:type="paragraph" w:styleId="Stopka">
    <w:name w:val="footer"/>
    <w:basedOn w:val="Normalny"/>
    <w:link w:val="StopkaZnak"/>
    <w:uiPriority w:val="99"/>
    <w:unhideWhenUsed/>
    <w:rsid w:val="00CC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338"/>
  </w:style>
  <w:style w:type="character" w:styleId="Odwoaniedokomentarza">
    <w:name w:val="annotation reference"/>
    <w:basedOn w:val="Domylnaczcionkaakapitu"/>
    <w:uiPriority w:val="99"/>
    <w:semiHidden/>
    <w:unhideWhenUsed/>
    <w:rsid w:val="005E0D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D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D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D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D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76146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42EE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A40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8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54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E54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5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41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36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36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6B9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047F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047FE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6D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6D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6D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C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338"/>
  </w:style>
  <w:style w:type="paragraph" w:styleId="Stopka">
    <w:name w:val="footer"/>
    <w:basedOn w:val="Normalny"/>
    <w:link w:val="StopkaZnak"/>
    <w:uiPriority w:val="99"/>
    <w:unhideWhenUsed/>
    <w:rsid w:val="00CC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338"/>
  </w:style>
  <w:style w:type="character" w:styleId="Odwoaniedokomentarza">
    <w:name w:val="annotation reference"/>
    <w:basedOn w:val="Domylnaczcionkaakapitu"/>
    <w:uiPriority w:val="99"/>
    <w:semiHidden/>
    <w:unhideWhenUsed/>
    <w:rsid w:val="005E0D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D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D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D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D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76146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42EE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A40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0043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single" w:sz="6" w:space="11" w:color="E8E8E8"/>
                    <w:bottom w:val="none" w:sz="0" w:space="0" w:color="auto"/>
                    <w:right w:val="single" w:sz="6" w:space="11" w:color="E8E8E8"/>
                  </w:divBdr>
                  <w:divsChild>
                    <w:div w:id="9618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1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kretariat.dwrmnie@mswia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kretariat.dwrmnie@mswia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.dwrmnie@mswia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mniejszosci.narodowe.mswi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niejszosci.narodowe.mswia.gov.pl/download/86/13382/Zalaczniknr1wniosek19I11.doc" TargetMode="External"/><Relationship Id="rId14" Type="http://schemas.openxmlformats.org/officeDocument/2006/relationships/hyperlink" Target="mailto:sekretariat.dwrmnie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F26E-A71C-4D1C-82D3-4F0BDBE0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3821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Marciniak Andrzej</dc:creator>
  <cp:lastModifiedBy>Administrator</cp:lastModifiedBy>
  <cp:revision>2</cp:revision>
  <cp:lastPrinted>2018-03-06T15:00:00Z</cp:lastPrinted>
  <dcterms:created xsi:type="dcterms:W3CDTF">2020-04-09T13:41:00Z</dcterms:created>
  <dcterms:modified xsi:type="dcterms:W3CDTF">2020-04-09T13:41:00Z</dcterms:modified>
</cp:coreProperties>
</file>