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1B" w:rsidRDefault="00C64B1B" w:rsidP="00C64B1B">
      <w:pPr>
        <w:jc w:val="center"/>
      </w:pP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203"/>
        <w:gridCol w:w="1436"/>
        <w:gridCol w:w="6642"/>
        <w:gridCol w:w="4514"/>
      </w:tblGrid>
      <w:tr w:rsidR="00807385" w:rsidTr="006A7837">
        <w:trPr>
          <w:jc w:val="center"/>
        </w:trPr>
        <w:tc>
          <w:tcPr>
            <w:tcW w:w="14545" w:type="dxa"/>
            <w:gridSpan w:val="5"/>
            <w:shd w:val="clear" w:color="auto" w:fill="auto"/>
            <w:vAlign w:val="center"/>
          </w:tcPr>
          <w:p w:rsidR="00807385" w:rsidRPr="004D086F" w:rsidRDefault="00807385" w:rsidP="00651688">
            <w:pPr>
              <w:spacing w:before="120" w:after="120"/>
              <w:ind w:left="2948" w:hanging="2948"/>
              <w:rPr>
                <w:b/>
                <w:i/>
              </w:rPr>
            </w:pPr>
            <w:r w:rsidRPr="004D086F">
              <w:rPr>
                <w:b/>
                <w:i/>
              </w:rPr>
              <w:t>Nazwa projektu dokumentu</w:t>
            </w:r>
            <w:r w:rsidR="002E0D6A" w:rsidRPr="004D086F">
              <w:rPr>
                <w:b/>
                <w:i/>
              </w:rPr>
              <w:t>:</w:t>
            </w:r>
            <w:r w:rsidR="00564F2F">
              <w:rPr>
                <w:b/>
                <w:i/>
              </w:rPr>
              <w:t xml:space="preserve"> </w:t>
            </w:r>
            <w:r w:rsidR="00AA3419" w:rsidRPr="00AA3419">
              <w:rPr>
                <w:i/>
              </w:rPr>
              <w:t>ustawa o zmianie ustawy o wspieraniu rozwoju sieci usług i sieci telekomunikacyjnych oraz niektórych innych ustaw</w:t>
            </w:r>
          </w:p>
        </w:tc>
      </w:tr>
      <w:tr w:rsidR="00807385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807385" w:rsidRPr="004D086F" w:rsidRDefault="00807385" w:rsidP="00B67B92">
            <w:pPr>
              <w:jc w:val="center"/>
              <w:rPr>
                <w:b/>
              </w:rPr>
            </w:pPr>
            <w:r w:rsidRPr="004D086F">
              <w:rPr>
                <w:b/>
              </w:rPr>
              <w:t>L.p.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Organ wnoszący uwagi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Jednostka redakcyjna, do której wnoszone są uwagi</w:t>
            </w:r>
          </w:p>
        </w:tc>
        <w:tc>
          <w:tcPr>
            <w:tcW w:w="6642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Treść uwagi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07385" w:rsidRPr="004D086F" w:rsidRDefault="00807385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Propozycja zmian zapisu</w:t>
            </w:r>
          </w:p>
        </w:tc>
      </w:tr>
      <w:tr w:rsidR="00807385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807385" w:rsidRPr="004D086F" w:rsidRDefault="00807385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5310EA" w:rsidP="006A78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Rządowe Centrum Legislacji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07385" w:rsidRDefault="00626AAF" w:rsidP="002E0D6A">
            <w:pPr>
              <w:jc w:val="center"/>
            </w:pPr>
            <w:r w:rsidRPr="00626AAF">
              <w:t>Art. 1 pkt 1 lit. b projektu</w:t>
            </w:r>
          </w:p>
        </w:tc>
        <w:tc>
          <w:tcPr>
            <w:tcW w:w="6642" w:type="dxa"/>
            <w:shd w:val="clear" w:color="auto" w:fill="auto"/>
          </w:tcPr>
          <w:p w:rsidR="00626AAF" w:rsidRPr="000E75C7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>Zgodnie z definicją punktu dostępu bezprzewodowego o bliskim zasięgu, zawartą w projektowanym art. 2 ust. 1 pkt 10 ustawy o wspieraniu rozwoju i usług i sieci telekomunikacyjnych, punktem dostępowym jest „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niewielkie urządzenie radiowe o małej mocy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”. Po pierwsze zwrócić należy uwagę na nieokreśloność pojęcia 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niewielkie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 urządzenie. Przepisy ustawy powinny bowiem dokładnie i w sposób zrozumiały dla adresatów zawartych w nich norm wyrażać intencje prawodawcy, a w związku z czym być formułowane w sposób poprawny, precyzyjny i jasny. Niestosowanie się do wskazanych zasad narusza konstytucyjną zasadę określoności i wywodzącą się z niej zasadą poprawnej legislacji. </w:t>
            </w:r>
          </w:p>
          <w:p w:rsidR="00626AAF" w:rsidRPr="000E75C7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>Zgodnie z informacjami zwartymi w tabeli zgodności definicja „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punktu dostępu bezprzewodowego o bliskim zasięgu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” związana jest z definicją tego punktu zawartą w dyrektywie 2018/1972, która też posługuje się pojęciami niedookreślonymi. Przepisy dyrektywy, w opinii RCL, nie powinny jednak wpływać na jakość stanowienia przepisów krajowych.  </w:t>
            </w:r>
          </w:p>
          <w:p w:rsidR="00626AAF" w:rsidRPr="000E75C7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 xml:space="preserve">Zaznaczyć trzeba, że w powyższym zakresie decydujący głos będzie miał jednak Minister Spraw Zagranicznych oceniający sposób transpozycji przepisów dyrektywy. Na marginesie wskazać też należy na obawy RCL o zasadność funkcjonowania aktu </w:t>
            </w:r>
            <w:r w:rsidRPr="000E7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prawnego podjętego w przedstawionej wersji, mając na uwadze termin wejścia w życie projektowanej ustawy (po upływie 30 dni od dnia ogłoszenia) oraz przepis art. 57 ust. 2 dyrektywy 2018/1972 wskazujący, że fizyczne i techniczne cechy punktów dostępu bezprzewodowego o bliskim zasięgu określi Komisja w drodze aktów wykonawczych, a pierwszy akt wykonawczy zostanie przyjęty do 30 czerwca 2020 r. </w:t>
            </w:r>
          </w:p>
          <w:p w:rsidR="00626AAF" w:rsidRPr="000E75C7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 xml:space="preserve">Po drugie wskazać należy, że ustawa - Prawo telekomunikacyjne w art. 2 pkt 33 i 38 wprowadza pojęcia 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ruchomej i stacjonarnej publicznej sieci telekomunikacyjnej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>. Nie posługuje się natomiast pojęciem „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stałej sieci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”. We wskazanym zakresie należy więc wprowadzić odpowiednią korektę. </w:t>
            </w:r>
          </w:p>
          <w:p w:rsidR="00807385" w:rsidRPr="00371A2B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 xml:space="preserve">Po trzecie, mając na uwadze, że 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>punkt dostępu bezprzewodowego o bliskim zasięgu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 został zdefiniowany jako </w:t>
            </w:r>
            <w:r w:rsidRPr="000E75C7">
              <w:rPr>
                <w:rFonts w:ascii="Times New Roman" w:hAnsi="Times New Roman"/>
                <w:b/>
                <w:i/>
                <w:sz w:val="24"/>
                <w:szCs w:val="24"/>
              </w:rPr>
              <w:t>urządzenie radiowe</w:t>
            </w:r>
            <w:r w:rsidRPr="000E75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>(zdefiniowane z kolei w ustawie – Prawo telekomunikacyjne), w opinii RCL ewentualnego wyjaśnienia wymaga, czy nie należy dokonać odpowiedniej nowelizacji przepisów Prawa telekomunikacyjnego (w zakresie działu VI rozdziału 2 i 3 tej ustawy) dotyczącego używania i obsługi urządzeń (pozwolenia radiowe, rejestr urządzeń, warunki wykorzystywania częstotliwości), a także wymagań dla urządzeń radiowych.</w:t>
            </w:r>
          </w:p>
        </w:tc>
        <w:tc>
          <w:tcPr>
            <w:tcW w:w="4514" w:type="dxa"/>
            <w:shd w:val="clear" w:color="auto" w:fill="auto"/>
          </w:tcPr>
          <w:p w:rsidR="00626AAF" w:rsidRPr="000E75C7" w:rsidRDefault="00626AAF" w:rsidP="00626AAF">
            <w:pPr>
              <w:spacing w:line="276" w:lineRule="auto"/>
              <w:jc w:val="both"/>
            </w:pPr>
            <w:r w:rsidRPr="000E75C7">
              <w:lastRenderedPageBreak/>
              <w:t xml:space="preserve">- usunięcie z definicji </w:t>
            </w:r>
            <w:r w:rsidRPr="000E75C7">
              <w:rPr>
                <w:i/>
              </w:rPr>
              <w:t>punktu dostępu bezprzewodowego o bliskim zasięgu</w:t>
            </w:r>
            <w:r w:rsidRPr="000E75C7">
              <w:t xml:space="preserve"> wyrazu „niewielkie”;</w:t>
            </w:r>
          </w:p>
          <w:p w:rsidR="00626AAF" w:rsidRPr="000E75C7" w:rsidRDefault="00626AAF" w:rsidP="00626AAF">
            <w:pPr>
              <w:spacing w:line="276" w:lineRule="auto"/>
              <w:jc w:val="both"/>
            </w:pPr>
            <w:r w:rsidRPr="000E75C7">
              <w:t>- korekta pojęcia „</w:t>
            </w:r>
            <w:r w:rsidRPr="000E75C7">
              <w:rPr>
                <w:i/>
              </w:rPr>
              <w:t>stałej sieci</w:t>
            </w:r>
            <w:r w:rsidRPr="000E75C7">
              <w:t>”,</w:t>
            </w:r>
          </w:p>
          <w:p w:rsidR="00626AAF" w:rsidRPr="000E75C7" w:rsidRDefault="00626AAF" w:rsidP="00626AAF">
            <w:pPr>
              <w:spacing w:line="276" w:lineRule="auto"/>
              <w:jc w:val="both"/>
            </w:pPr>
            <w:r w:rsidRPr="000E75C7">
              <w:t>- ewentualne nowelizacje przepisów działu VI rozdziałów 2 i 6 ustawy – Prawo telekomunikacyjne lub uzupełnienie uzasadnienia w zakresie odpowiedniego stosowania ww. przepisów do punktu dostępu bezprzewodowego o bliskim zasięgu.</w:t>
            </w:r>
          </w:p>
          <w:p w:rsidR="00807385" w:rsidRDefault="00807385" w:rsidP="00651688">
            <w:pPr>
              <w:spacing w:line="276" w:lineRule="auto"/>
              <w:jc w:val="both"/>
            </w:pPr>
          </w:p>
        </w:tc>
      </w:tr>
      <w:tr w:rsidR="00B67B92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B67B92" w:rsidRPr="004D086F" w:rsidRDefault="00B67B92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6A783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67B92" w:rsidRDefault="00626AAF" w:rsidP="002E0D6A">
            <w:pPr>
              <w:jc w:val="center"/>
            </w:pPr>
            <w:r w:rsidRPr="000E75C7">
              <w:t>Art. 1 pkt 15 lit. a i b projektu</w:t>
            </w:r>
          </w:p>
        </w:tc>
        <w:tc>
          <w:tcPr>
            <w:tcW w:w="6642" w:type="dxa"/>
            <w:shd w:val="clear" w:color="auto" w:fill="auto"/>
          </w:tcPr>
          <w:p w:rsidR="00626AAF" w:rsidRPr="000E75C7" w:rsidRDefault="00626AAF" w:rsidP="00626AAF">
            <w:pPr>
              <w:shd w:val="clear" w:color="auto" w:fill="FFFFFF"/>
              <w:spacing w:line="315" w:lineRule="atLeast"/>
              <w:jc w:val="both"/>
              <w:rPr>
                <w:color w:val="333333"/>
              </w:rPr>
            </w:pPr>
            <w:r w:rsidRPr="000E75C7">
              <w:t xml:space="preserve">Zgodnie z nowelizowanymi przepisami art. 29 ust. 4 i 6 właściwy zarządca drogi oraz wójt (burmistrz, prezydent miasta), starosta i marszałek województwa przekazują Prezesowi UKE, </w:t>
            </w:r>
            <w:r w:rsidRPr="000E75C7">
              <w:rPr>
                <w:b/>
              </w:rPr>
              <w:t>w systemie teleinformatycznym, o którym mowa w art. 29b ust. 2</w:t>
            </w:r>
            <w:r w:rsidRPr="000E75C7">
              <w:t xml:space="preserve">, informacje (…). Zwrócić jednak należy uwagę, że zgodnie z art. 29b ust. </w:t>
            </w:r>
            <w:r w:rsidRPr="000E75C7">
              <w:rPr>
                <w:color w:val="333333"/>
              </w:rPr>
              <w:t>3 ustawy o wspieraniu rozwoju usług system teleinformatyczny, o którym mowa w ust. 2, umożliwia</w:t>
            </w:r>
            <w:bookmarkStart w:id="0" w:name="mip40429315"/>
            <w:bookmarkEnd w:id="0"/>
            <w:r w:rsidRPr="000E75C7">
              <w:rPr>
                <w:color w:val="333333"/>
              </w:rPr>
              <w:t xml:space="preserve">  </w:t>
            </w:r>
            <w:r w:rsidRPr="000E75C7">
              <w:rPr>
                <w:color w:val="333333"/>
                <w:u w:val="single"/>
              </w:rPr>
              <w:lastRenderedPageBreak/>
              <w:t>bezpośrednie wprowadzanie informacji przez podmioty</w:t>
            </w:r>
            <w:r w:rsidRPr="000E75C7">
              <w:rPr>
                <w:color w:val="333333"/>
              </w:rPr>
              <w:t>, o których mowa w</w:t>
            </w:r>
            <w:r w:rsidRPr="000E75C7">
              <w:rPr>
                <w:rStyle w:val="apple-converted-space"/>
                <w:color w:val="333333"/>
              </w:rPr>
              <w:t> </w:t>
            </w:r>
            <w:hyperlink r:id="rId8" w:history="1">
              <w:r w:rsidRPr="000E75C7">
                <w:rPr>
                  <w:rStyle w:val="Hipercze"/>
                  <w:color w:val="auto"/>
                  <w:u w:val="none"/>
                </w:rPr>
                <w:t>art. 29c ust. 1</w:t>
              </w:r>
            </w:hyperlink>
            <w:r w:rsidRPr="000E75C7">
              <w:rPr>
                <w:rStyle w:val="apple-converted-space"/>
              </w:rPr>
              <w:t> </w:t>
            </w:r>
            <w:r w:rsidRPr="000E75C7">
              <w:t>i</w:t>
            </w:r>
            <w:r w:rsidRPr="000E75C7">
              <w:rPr>
                <w:rStyle w:val="apple-converted-space"/>
              </w:rPr>
              <w:t> </w:t>
            </w:r>
            <w:hyperlink r:id="rId9" w:history="1">
              <w:r w:rsidRPr="000E75C7">
                <w:rPr>
                  <w:rStyle w:val="Hipercze"/>
                  <w:color w:val="auto"/>
                  <w:u w:val="none"/>
                </w:rPr>
                <w:t xml:space="preserve">art. 29d ust. </w:t>
              </w:r>
              <w:r w:rsidRPr="000E75C7">
                <w:rPr>
                  <w:rStyle w:val="Hipercze"/>
                  <w:b/>
                  <w:color w:val="auto"/>
                  <w:u w:val="none"/>
                </w:rPr>
                <w:t>1</w:t>
              </w:r>
              <w:r w:rsidRPr="000E75C7">
                <w:rPr>
                  <w:rStyle w:val="Hipercze"/>
                  <w:color w:val="auto"/>
                  <w:u w:val="none"/>
                </w:rPr>
                <w:t>-</w:t>
              </w:r>
              <w:r w:rsidRPr="000E75C7">
                <w:rPr>
                  <w:rStyle w:val="Hipercze"/>
                  <w:b/>
                  <w:color w:val="auto"/>
                  <w:u w:val="none"/>
                </w:rPr>
                <w:t>4</w:t>
              </w:r>
              <w:r w:rsidRPr="000E75C7">
                <w:rPr>
                  <w:rStyle w:val="Hipercze"/>
                  <w:color w:val="auto"/>
                  <w:u w:val="none"/>
                </w:rPr>
                <w:t xml:space="preserve">, </w:t>
              </w:r>
              <w:r w:rsidRPr="000E75C7">
                <w:rPr>
                  <w:rStyle w:val="Hipercze"/>
                  <w:b/>
                  <w:color w:val="auto"/>
                  <w:u w:val="none"/>
                </w:rPr>
                <w:t>6</w:t>
              </w:r>
              <w:r w:rsidRPr="000E75C7">
                <w:rPr>
                  <w:rStyle w:val="Hipercze"/>
                  <w:color w:val="auto"/>
                  <w:u w:val="none"/>
                </w:rPr>
                <w:t xml:space="preserve"> i 7</w:t>
              </w:r>
            </w:hyperlink>
            <w:r w:rsidRPr="000E75C7">
              <w:rPr>
                <w:color w:val="333333"/>
              </w:rPr>
              <w:t xml:space="preserve">, </w:t>
            </w:r>
            <w:r w:rsidRPr="000E75C7">
              <w:rPr>
                <w:color w:val="333333"/>
                <w:u w:val="single"/>
              </w:rPr>
              <w:t xml:space="preserve">do bazy danych oraz ich aktualizowanie </w:t>
            </w:r>
            <w:r w:rsidRPr="000E75C7">
              <w:rPr>
                <w:color w:val="333333"/>
              </w:rPr>
              <w:t xml:space="preserve">przez stronę internetową punktu informacyjnego do spraw telekomunikacji. Pojawia się więc pytanie, czy proponowana regulacja nie jest zbędna i czy nie można w tym przypadku zastosować przepisu </w:t>
            </w:r>
            <w:r w:rsidRPr="000E75C7">
              <w:t xml:space="preserve">art. 29b ust. </w:t>
            </w:r>
            <w:r w:rsidRPr="000E75C7">
              <w:rPr>
                <w:color w:val="333333"/>
              </w:rPr>
              <w:t xml:space="preserve">3, lub czy przekazywanie to jest czynnością odrębną od „bezpośredniego wprowadzania informacji przez podmioty do bazy danych oraz ich aktualizowania” (co sugerowałoby brzmienie nowelizowanego art. 29c ust. 1 gdzie wskazano cel przekazywania informacji w systemie teleinformatycznym – ich udostępnienie przez punkt informacyjny do spraw telekomunikacji). Kwestia ta wymaga wyjaśnienia i odpowiedniego uzupełnienia uzasadnienia. </w:t>
            </w:r>
          </w:p>
          <w:p w:rsidR="00B67B92" w:rsidRDefault="00B67B92" w:rsidP="0065168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B67B92" w:rsidRDefault="00626AAF" w:rsidP="00651688">
            <w:pPr>
              <w:spacing w:line="276" w:lineRule="auto"/>
              <w:jc w:val="both"/>
            </w:pPr>
            <w:r w:rsidRPr="00626AAF">
              <w:lastRenderedPageBreak/>
              <w:t>Uzupełnienie uzasadnienia.</w:t>
            </w:r>
          </w:p>
        </w:tc>
      </w:tr>
      <w:tr w:rsidR="00B67B92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B67B92" w:rsidRPr="004D086F" w:rsidRDefault="00B67B92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6A783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67B92" w:rsidRDefault="00626AAF" w:rsidP="002E0D6A">
            <w:pPr>
              <w:jc w:val="center"/>
            </w:pPr>
            <w:r w:rsidRPr="000E75C7">
              <w:t>Art. 1 pkt 16 projektu</w:t>
            </w:r>
          </w:p>
        </w:tc>
        <w:tc>
          <w:tcPr>
            <w:tcW w:w="6642" w:type="dxa"/>
            <w:shd w:val="clear" w:color="auto" w:fill="auto"/>
          </w:tcPr>
          <w:p w:rsidR="00626AAF" w:rsidRPr="000E75C7" w:rsidRDefault="00626AAF" w:rsidP="00626AAF">
            <w:pPr>
              <w:shd w:val="clear" w:color="auto" w:fill="FFFFFF"/>
              <w:spacing w:line="300" w:lineRule="atLeast"/>
              <w:rPr>
                <w:color w:val="333333"/>
              </w:rPr>
            </w:pPr>
            <w:r w:rsidRPr="000E75C7">
              <w:t xml:space="preserve">Zgodnie z projektowanym art. 29g ust. 2 system informacyjny PEM (publiczna baza danych) jest prowadzony za pośrednictwem strony internetowej tego systemu. RCL zwraca uwagę, że strona internetowa nie służy do prowadzenia bazy danych, jest tylko dokumentem - </w:t>
            </w:r>
            <w:r w:rsidRPr="000E75C7">
              <w:rPr>
                <w:color w:val="333333"/>
              </w:rPr>
              <w:t xml:space="preserve">informacją w postaci tekstu, obrazu lub dźwięku zamieszczonym pod jednym adresem internetowym, </w:t>
            </w:r>
            <w:r w:rsidRPr="000E75C7">
              <w:rPr>
                <w:color w:val="333333"/>
                <w:shd w:val="clear" w:color="auto" w:fill="FFFFFF"/>
              </w:rPr>
              <w:t xml:space="preserve">opublikowanym w Internecie. Wobec powyższego RCL proponuje wprowadzenie przepisu wskazującego, że system PEM jest  </w:t>
            </w:r>
          </w:p>
          <w:p w:rsidR="00626AAF" w:rsidRPr="000E75C7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E75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prowadzony w</w:t>
            </w:r>
            <w:r w:rsidRPr="000E75C7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bookmarkStart w:id="1" w:name="highlightHit_17"/>
            <w:bookmarkEnd w:id="1"/>
            <w:r w:rsidRPr="000E75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systemie teleinformatycznym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co będzie zgodne z brzmieniem art. 29h ust. 2. </w:t>
            </w:r>
          </w:p>
          <w:p w:rsidR="00626AAF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E75C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Ponadto przepisy art. 29g oraz art. 29h ust. 2 wymagają ponownej analizy pod kątem spójności regulacji w zakresie prowadzenia systemu teleinformatycznego. </w:t>
            </w:r>
          </w:p>
          <w:p w:rsidR="00B67B92" w:rsidRDefault="00626AAF" w:rsidP="00626AAF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Ponadto wyjaśnienia wymaga w jaki sposób i w jakim trybie podmioty, o których mowa </w:t>
            </w:r>
            <w:r w:rsidRPr="00CC038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 art. 29h ust. 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będą otrzymywały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dostęp do systemu. Brak w tym zakresie odpowiedniej regulacji.</w:t>
            </w:r>
          </w:p>
        </w:tc>
        <w:tc>
          <w:tcPr>
            <w:tcW w:w="4514" w:type="dxa"/>
            <w:shd w:val="clear" w:color="auto" w:fill="auto"/>
          </w:tcPr>
          <w:p w:rsidR="00B67B92" w:rsidRDefault="00626AAF" w:rsidP="00651688">
            <w:pPr>
              <w:spacing w:line="276" w:lineRule="auto"/>
              <w:jc w:val="both"/>
            </w:pPr>
            <w:r w:rsidRPr="000E75C7">
              <w:lastRenderedPageBreak/>
              <w:t>Korekta projektowanego art. 29g ust. 2</w:t>
            </w:r>
            <w:r>
              <w:t>.</w:t>
            </w:r>
          </w:p>
        </w:tc>
      </w:tr>
      <w:tr w:rsidR="00B67B92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B67B92" w:rsidRPr="004D086F" w:rsidRDefault="00B67B92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6A783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67B92" w:rsidRDefault="00626AAF" w:rsidP="002E0D6A">
            <w:pPr>
              <w:jc w:val="center"/>
            </w:pPr>
            <w:r>
              <w:t>Art. 9 pkt 5 projektu</w:t>
            </w:r>
          </w:p>
        </w:tc>
        <w:tc>
          <w:tcPr>
            <w:tcW w:w="6642" w:type="dxa"/>
            <w:shd w:val="clear" w:color="auto" w:fill="auto"/>
          </w:tcPr>
          <w:p w:rsidR="00B67B92" w:rsidRDefault="00626AAF" w:rsidP="0065168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Z</w:t>
            </w:r>
            <w:r w:rsidRPr="001663ED">
              <w:rPr>
                <w:rFonts w:ascii="Times New Roman" w:hAnsi="Times New Roman"/>
                <w:sz w:val="24"/>
                <w:szCs w:val="24"/>
              </w:rPr>
              <w:t xml:space="preserve">godnie z art. 152b ust. 2 </w:t>
            </w:r>
            <w:r>
              <w:t xml:space="preserve">pkt 1 </w:t>
            </w:r>
            <w:r w:rsidRPr="001663ED">
              <w:rPr>
                <w:rFonts w:ascii="Times New Roman" w:hAnsi="Times New Roman"/>
                <w:sz w:val="24"/>
                <w:szCs w:val="24"/>
              </w:rPr>
              <w:t>na stronie podmiotowej, o które</w:t>
            </w:r>
            <w:r>
              <w:t xml:space="preserve">j mowa w ust. 1 udostępnia się </w:t>
            </w:r>
            <w:r w:rsidRPr="001663ED">
              <w:rPr>
                <w:rFonts w:ascii="Times New Roman" w:hAnsi="Times New Roman"/>
                <w:b/>
                <w:sz w:val="24"/>
                <w:szCs w:val="24"/>
              </w:rPr>
              <w:t>sprawozdanie, o którym mowa w art. 122a ust.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663ED">
              <w:rPr>
                <w:rFonts w:ascii="Times New Roman" w:hAnsi="Times New Roman"/>
                <w:sz w:val="24"/>
                <w:szCs w:val="24"/>
              </w:rPr>
              <w:t xml:space="preserve">Zauważyć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natomiast </w:t>
            </w:r>
            <w:r w:rsidRPr="001663ED">
              <w:rPr>
                <w:rFonts w:ascii="Times New Roman" w:hAnsi="Times New Roman"/>
                <w:sz w:val="24"/>
                <w:szCs w:val="24"/>
              </w:rPr>
              <w:t>należy</w:t>
            </w:r>
            <w:r>
              <w:rPr>
                <w:rFonts w:ascii="Times New Roman" w:hAnsi="Times New Roman"/>
                <w:sz w:val="24"/>
                <w:szCs w:val="24"/>
              </w:rPr>
              <w:t>, że art. 122a ust. 2 dotyczy przekazywania wyników pomiarów w postaci elektronicznej i przepis ten obecnie nie precyzuje, że przekazywanie to ma formę sprawozdania.</w:t>
            </w:r>
          </w:p>
        </w:tc>
        <w:tc>
          <w:tcPr>
            <w:tcW w:w="4514" w:type="dxa"/>
            <w:shd w:val="clear" w:color="auto" w:fill="auto"/>
          </w:tcPr>
          <w:p w:rsidR="00B67B92" w:rsidRDefault="00626AAF" w:rsidP="00651688">
            <w:pPr>
              <w:spacing w:line="276" w:lineRule="auto"/>
              <w:jc w:val="both"/>
            </w:pPr>
            <w:r>
              <w:t xml:space="preserve">Uspójnienie przepisów </w:t>
            </w:r>
            <w:r w:rsidRPr="001663ED">
              <w:t>art. 152b ust. 2</w:t>
            </w:r>
            <w:r>
              <w:t xml:space="preserve"> i </w:t>
            </w:r>
            <w:r w:rsidRPr="001663ED">
              <w:t>art. 122a ust. 2</w:t>
            </w:r>
            <w:r>
              <w:t>.</w:t>
            </w:r>
          </w:p>
        </w:tc>
      </w:tr>
      <w:tr w:rsidR="00B67B92" w:rsidTr="006A7837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B67B92" w:rsidRPr="004D086F" w:rsidRDefault="00B67B92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6A7837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67B92" w:rsidRDefault="00626AAF" w:rsidP="002E0D6A">
            <w:pPr>
              <w:jc w:val="center"/>
            </w:pPr>
            <w:r w:rsidRPr="000E75C7">
              <w:t>Art. 16 pkt 2 projektu</w:t>
            </w:r>
          </w:p>
        </w:tc>
        <w:tc>
          <w:tcPr>
            <w:tcW w:w="6642" w:type="dxa"/>
            <w:shd w:val="clear" w:color="auto" w:fill="auto"/>
          </w:tcPr>
          <w:p w:rsidR="00B67B92" w:rsidRDefault="00626AAF" w:rsidP="0065168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5C7">
              <w:rPr>
                <w:rFonts w:ascii="Times New Roman" w:hAnsi="Times New Roman"/>
                <w:sz w:val="24"/>
                <w:szCs w:val="24"/>
              </w:rPr>
              <w:t xml:space="preserve">Zgodnie z nowelizowanym art. 7 ust. 4 operator OSE rozpoczyna świadczenie usług, o których mowa w art. 5 pkt 2 i 3 albo art. 6, w terminie nie dłuższym niż 6 miesięcy </w:t>
            </w:r>
            <w:r w:rsidRPr="000E75C7">
              <w:rPr>
                <w:rFonts w:ascii="Times New Roman" w:hAnsi="Times New Roman"/>
                <w:sz w:val="24"/>
                <w:szCs w:val="24"/>
                <w:u w:val="single"/>
              </w:rPr>
              <w:t>od dnia zawarcia z organem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 prowadzącym szkołę albo dyrektorem szkoły, za zgodą tego organu, </w:t>
            </w:r>
            <w:r w:rsidRPr="000E75C7">
              <w:rPr>
                <w:rFonts w:ascii="Times New Roman" w:hAnsi="Times New Roman"/>
                <w:sz w:val="24"/>
                <w:szCs w:val="24"/>
                <w:u w:val="single"/>
              </w:rPr>
              <w:t>umowy o świadczenie usług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. Zauważyć należy, że ustawa o Ogólnopolskiej Sieci Edukacyjnej nie zawiera żadnych przepisów dotyczących procedury zawierania umów, nie odsyła także w tej kwestii do przepisów Prawa telekomunikacyjnego.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Sprawa ta wymaga więc ponownej analizy i co najmniej uzupełnienia uzasadnienia do projektowanej zmiany. </w:t>
            </w:r>
            <w:r w:rsidRPr="000E7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shd w:val="clear" w:color="auto" w:fill="auto"/>
          </w:tcPr>
          <w:p w:rsidR="00B67B92" w:rsidRDefault="00626AAF" w:rsidP="00651688">
            <w:pPr>
              <w:spacing w:line="276" w:lineRule="auto"/>
              <w:jc w:val="both"/>
            </w:pPr>
            <w:r>
              <w:t>Uzupełnienie uzasadnienia.</w:t>
            </w:r>
            <w:bookmarkStart w:id="2" w:name="_GoBack"/>
            <w:bookmarkEnd w:id="2"/>
          </w:p>
        </w:tc>
      </w:tr>
    </w:tbl>
    <w:p w:rsidR="00C64B1B" w:rsidRDefault="00C64B1B" w:rsidP="00C64B1B">
      <w:pPr>
        <w:jc w:val="center"/>
      </w:pPr>
    </w:p>
    <w:sectPr w:rsidR="00C64B1B" w:rsidSect="00630397">
      <w:footerReference w:type="default" r:id="rId10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D3" w:rsidRDefault="00937DD3" w:rsidP="006F2464">
      <w:r>
        <w:separator/>
      </w:r>
    </w:p>
  </w:endnote>
  <w:endnote w:type="continuationSeparator" w:id="0">
    <w:p w:rsidR="00937DD3" w:rsidRDefault="00937DD3" w:rsidP="006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C2" w:rsidRDefault="002144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6AAF">
      <w:rPr>
        <w:noProof/>
      </w:rPr>
      <w:t>2</w:t>
    </w:r>
    <w:r>
      <w:rPr>
        <w:noProof/>
      </w:rPr>
      <w:fldChar w:fldCharType="end"/>
    </w:r>
  </w:p>
  <w:p w:rsidR="002144C2" w:rsidRDefault="002144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D3" w:rsidRDefault="00937DD3" w:rsidP="006F2464">
      <w:r>
        <w:separator/>
      </w:r>
    </w:p>
  </w:footnote>
  <w:footnote w:type="continuationSeparator" w:id="0">
    <w:p w:rsidR="00937DD3" w:rsidRDefault="00937DD3" w:rsidP="006F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32F"/>
    <w:multiLevelType w:val="hybridMultilevel"/>
    <w:tmpl w:val="BA28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06B08"/>
    <w:multiLevelType w:val="hybridMultilevel"/>
    <w:tmpl w:val="F8684A5A"/>
    <w:lvl w:ilvl="0" w:tplc="4D58C0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16EF5"/>
    <w:multiLevelType w:val="hybridMultilevel"/>
    <w:tmpl w:val="8A9C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37"/>
    <w:rsid w:val="00034258"/>
    <w:rsid w:val="000F70DC"/>
    <w:rsid w:val="00204D78"/>
    <w:rsid w:val="002144C2"/>
    <w:rsid w:val="002715B2"/>
    <w:rsid w:val="002830F3"/>
    <w:rsid w:val="002C3EF7"/>
    <w:rsid w:val="002E0D6A"/>
    <w:rsid w:val="003124D1"/>
    <w:rsid w:val="00371A2B"/>
    <w:rsid w:val="003C5A07"/>
    <w:rsid w:val="003E4667"/>
    <w:rsid w:val="00462ED0"/>
    <w:rsid w:val="0047105F"/>
    <w:rsid w:val="0048004E"/>
    <w:rsid w:val="00494158"/>
    <w:rsid w:val="004D086F"/>
    <w:rsid w:val="005310EA"/>
    <w:rsid w:val="00540339"/>
    <w:rsid w:val="00564F2F"/>
    <w:rsid w:val="005728C0"/>
    <w:rsid w:val="005967FA"/>
    <w:rsid w:val="005F6527"/>
    <w:rsid w:val="00626AAF"/>
    <w:rsid w:val="00630397"/>
    <w:rsid w:val="00651688"/>
    <w:rsid w:val="00652FFF"/>
    <w:rsid w:val="006705EC"/>
    <w:rsid w:val="006A7837"/>
    <w:rsid w:val="006E16E9"/>
    <w:rsid w:val="006F2464"/>
    <w:rsid w:val="007343EB"/>
    <w:rsid w:val="00764098"/>
    <w:rsid w:val="007E156A"/>
    <w:rsid w:val="00807385"/>
    <w:rsid w:val="00834518"/>
    <w:rsid w:val="00885551"/>
    <w:rsid w:val="008C1A18"/>
    <w:rsid w:val="008C1BB1"/>
    <w:rsid w:val="00937DD3"/>
    <w:rsid w:val="00944932"/>
    <w:rsid w:val="00961A22"/>
    <w:rsid w:val="009C6C55"/>
    <w:rsid w:val="00A75FC1"/>
    <w:rsid w:val="00A9613E"/>
    <w:rsid w:val="00AA3419"/>
    <w:rsid w:val="00AC59E1"/>
    <w:rsid w:val="00AC6AD3"/>
    <w:rsid w:val="00B67B92"/>
    <w:rsid w:val="00C64B1B"/>
    <w:rsid w:val="00C82EA3"/>
    <w:rsid w:val="00C86AA6"/>
    <w:rsid w:val="00C86B63"/>
    <w:rsid w:val="00CF662D"/>
    <w:rsid w:val="00E14C33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626AAF"/>
  </w:style>
  <w:style w:type="character" w:styleId="Hipercze">
    <w:name w:val="Hyperlink"/>
    <w:basedOn w:val="Domylnaczcionkaakapitu"/>
    <w:uiPriority w:val="99"/>
    <w:unhideWhenUsed/>
    <w:rsid w:val="00626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626AAF"/>
  </w:style>
  <w:style w:type="character" w:styleId="Hipercze">
    <w:name w:val="Hyperlink"/>
    <w:basedOn w:val="Domylnaczcionkaakapitu"/>
    <w:uiPriority w:val="99"/>
    <w:unhideWhenUsed/>
    <w:rsid w:val="0062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rqga2teltqmfyc4nbqgqzdsmzs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rqga2teltqmfyc4nbqgqzdsmzsg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rbarczyk\Desktop\szablon%20-%20KRMC%20tabel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- KRMC tabela</Template>
  <TotalTime>5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Garbarczyk</dc:creator>
  <cp:lastModifiedBy>Gałązka Anna</cp:lastModifiedBy>
  <cp:revision>6</cp:revision>
  <cp:lastPrinted>2012-08-20T11:53:00Z</cp:lastPrinted>
  <dcterms:created xsi:type="dcterms:W3CDTF">2015-01-27T10:05:00Z</dcterms:created>
  <dcterms:modified xsi:type="dcterms:W3CDTF">2019-03-27T09:10:00Z</dcterms:modified>
</cp:coreProperties>
</file>