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6A45" w14:textId="21BCCB3A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77E58">
        <w:rPr>
          <w:rFonts w:ascii="Calibri" w:hAnsi="Calibri" w:cs="Calibri"/>
          <w:i/>
          <w:iCs/>
          <w:color w:val="000000" w:themeColor="text1"/>
        </w:rPr>
        <w:t>nr …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6B896CDB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</w:t>
      </w:r>
      <w:r w:rsidR="005E1AE2">
        <w:rPr>
          <w:rFonts w:ascii="Calibri" w:hAnsi="Calibri" w:cs="Calibri"/>
          <w:b/>
          <w:bCs/>
          <w:color w:val="000000" w:themeColor="text1"/>
        </w:rPr>
        <w:t xml:space="preserve">- </w:t>
      </w:r>
      <w:r w:rsidR="00C315DB" w:rsidRPr="00C315DB">
        <w:rPr>
          <w:rFonts w:ascii="Calibri" w:hAnsi="Calibri" w:cs="Calibri"/>
          <w:b/>
          <w:bCs/>
          <w:color w:val="000000" w:themeColor="text1"/>
        </w:rPr>
        <w:t>Projekt partnera stowarzyszonego w ramach IPCEI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3E2672CB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82753A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21FD0478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3B546036" w:rsidR="00C24EFD" w:rsidRPr="0030664E" w:rsidRDefault="00C24EFD" w:rsidP="008B15E5">
      <w:pPr>
        <w:pStyle w:val="Podtytu"/>
        <w:numPr>
          <w:ilvl w:val="0"/>
          <w:numId w:val="0"/>
        </w:numPr>
        <w:spacing w:after="0"/>
        <w:ind w:left="99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-</w:t>
      </w:r>
      <w:r w:rsidR="008B15E5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8B15E5">
      <w:pPr>
        <w:pStyle w:val="Podtytu"/>
        <w:numPr>
          <w:ilvl w:val="0"/>
          <w:numId w:val="0"/>
        </w:numPr>
        <w:spacing w:after="0"/>
        <w:ind w:left="99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19E14B6B" w:rsidR="009A3456" w:rsidRPr="0030664E" w:rsidRDefault="00C24EFD" w:rsidP="008B15E5">
      <w:pPr>
        <w:pStyle w:val="Podtytu"/>
        <w:numPr>
          <w:ilvl w:val="0"/>
          <w:numId w:val="0"/>
        </w:numPr>
        <w:spacing w:after="0"/>
        <w:ind w:left="99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8B15E5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1A7B26C4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67A6F0A8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BA57C65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Wnioskodawca jest kontrolowany przez państwo </w:t>
            </w:r>
            <w:r w:rsidR="005C0E87" w:rsidRPr="2BA57C65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 w:rsidRPr="2BA57C65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Europejskiego Obszaru Gospodarczego (EOG) lub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 w:rsidRPr="2BA57C65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4F0AD05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</w:p>
        </w:tc>
      </w:tr>
      <w:tr w:rsidR="009C0124" w:rsidRPr="00C11846" w14:paraId="7A28A637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3303F4FB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3303F4FB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6E77BC5D" w:rsidR="00FB3E3A" w:rsidRPr="00CB3B48" w:rsidRDefault="00664B10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 w tym poprzez jakąkolwiek umowę, porozumienie lub stosunki z innymi wspólnikami</w:t>
            </w:r>
            <w:r w:rsidR="00B26C55" w:rsidRPr="01D9D59D">
              <w:rPr>
                <w:rStyle w:val="Odwoanieprzypisudolnego"/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2"/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02C9962E" w:rsidR="00C11846" w:rsidRPr="00E6628F" w:rsidRDefault="00FB3E3A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wywie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rają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y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e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3E721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FA4F7B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rawo pierwokupu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237BB046" w14:textId="49706DF9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747B02A9" w:rsidR="00C11846" w:rsidRPr="00622AB8" w:rsidRDefault="002D23E6" w:rsidP="3303F4FB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eżeli</w:t>
            </w:r>
            <w:r w:rsidR="00434ACC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są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3303F4FB">
              <w:rPr>
                <w:rStyle w:val="Odwoanieprzypisudolnego"/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3"/>
            </w:r>
            <w:r w:rsidR="00622AB8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przedstawić</w:t>
            </w:r>
            <w:r w:rsidR="00C062ED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struk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turę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ć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41C0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wszystkie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poziomy własności/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łańcuch kontrol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3303F4FB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3303F4FB">
        <w:trPr>
          <w:trHeight w:val="234"/>
        </w:trPr>
        <w:tc>
          <w:tcPr>
            <w:tcW w:w="2267" w:type="dxa"/>
            <w:vMerge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3303F4FB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3303F4FB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3303F4FB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1.5pt" from="-4.65pt,-.2pt" to="433.45pt,-.2pt" w14:anchorId="3C071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6982A4D4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3303F4FB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BCD2002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EOG,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465489FB" w:rsidR="00C11846" w:rsidRPr="00C11846" w:rsidRDefault="00C11846" w:rsidP="3303F4FB">
            <w:pPr>
              <w:spacing w:after="120"/>
              <w:rPr>
                <w:rFonts w:ascii="Calibri" w:hAnsi="Calibri" w:cs="Calibri"/>
                <w:color w:val="000000" w:themeColor="text1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Dokumenty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potwierdzające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wnioskodawcy),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jeśli dotyczy -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3303F4FB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534F3B51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2BDFB2BA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6DA4" w14:textId="77777777" w:rsidR="00AC77FD" w:rsidRDefault="00AC77FD" w:rsidP="00DC5E17">
      <w:pPr>
        <w:spacing w:after="0" w:line="240" w:lineRule="auto"/>
      </w:pPr>
      <w:r>
        <w:separator/>
      </w:r>
    </w:p>
  </w:endnote>
  <w:endnote w:type="continuationSeparator" w:id="0">
    <w:p w14:paraId="47224172" w14:textId="77777777" w:rsidR="00AC77FD" w:rsidRDefault="00AC77FD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0580" w14:textId="4E732ADE" w:rsidR="00DC5E17" w:rsidRDefault="00DC5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5C4F" w14:textId="77F00816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D553" w14:textId="33E8757D" w:rsidR="00DC5E17" w:rsidRDefault="00DC5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9398" w14:textId="77777777" w:rsidR="00AC77FD" w:rsidRDefault="00AC77FD" w:rsidP="00DC5E17">
      <w:pPr>
        <w:spacing w:after="0" w:line="240" w:lineRule="auto"/>
      </w:pPr>
      <w:r>
        <w:separator/>
      </w:r>
    </w:p>
  </w:footnote>
  <w:footnote w:type="continuationSeparator" w:id="0">
    <w:p w14:paraId="1832E28D" w14:textId="77777777" w:rsidR="00AC77FD" w:rsidRDefault="00AC77FD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97FA8"/>
    <w:rsid w:val="000B22BF"/>
    <w:rsid w:val="000B3852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D42BE"/>
    <w:rsid w:val="001E1581"/>
    <w:rsid w:val="001E6A73"/>
    <w:rsid w:val="002056AA"/>
    <w:rsid w:val="00224763"/>
    <w:rsid w:val="00290603"/>
    <w:rsid w:val="002B520F"/>
    <w:rsid w:val="002C14B8"/>
    <w:rsid w:val="002D23E6"/>
    <w:rsid w:val="002E4578"/>
    <w:rsid w:val="0030664E"/>
    <w:rsid w:val="0031045A"/>
    <w:rsid w:val="00315990"/>
    <w:rsid w:val="003437A9"/>
    <w:rsid w:val="003544F5"/>
    <w:rsid w:val="00371CE8"/>
    <w:rsid w:val="00375E1F"/>
    <w:rsid w:val="00382560"/>
    <w:rsid w:val="003866B1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E1AE2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82B82"/>
    <w:rsid w:val="007E177F"/>
    <w:rsid w:val="007F5936"/>
    <w:rsid w:val="0080316E"/>
    <w:rsid w:val="008116D1"/>
    <w:rsid w:val="0082753A"/>
    <w:rsid w:val="00857FD2"/>
    <w:rsid w:val="008600FD"/>
    <w:rsid w:val="00863AE0"/>
    <w:rsid w:val="00877E58"/>
    <w:rsid w:val="008930B5"/>
    <w:rsid w:val="008B15E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C34AC"/>
    <w:rsid w:val="00AC77FD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92761"/>
    <w:rsid w:val="00BA0004"/>
    <w:rsid w:val="00BA012E"/>
    <w:rsid w:val="00BA78A3"/>
    <w:rsid w:val="00BB092A"/>
    <w:rsid w:val="00C062ED"/>
    <w:rsid w:val="00C11846"/>
    <w:rsid w:val="00C135C9"/>
    <w:rsid w:val="00C24EFD"/>
    <w:rsid w:val="00C315DB"/>
    <w:rsid w:val="00C343E6"/>
    <w:rsid w:val="00C35795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B4DB3"/>
    <w:rsid w:val="00DC01F8"/>
    <w:rsid w:val="00DC5E17"/>
    <w:rsid w:val="00DF70CB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421C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1D9D59D"/>
    <w:rsid w:val="167EA163"/>
    <w:rsid w:val="2BA57C65"/>
    <w:rsid w:val="3303F4FB"/>
    <w:rsid w:val="38B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10ac06e-816e-4d4c-9e18-e30054a259f2"/>
    <ds:schemaRef ds:uri="02b634f1-d4b8-44f5-b915-b6b96903ae5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NCBR</cp:lastModifiedBy>
  <cp:revision>14</cp:revision>
  <dcterms:created xsi:type="dcterms:W3CDTF">2025-06-25T14:16:00Z</dcterms:created>
  <dcterms:modified xsi:type="dcterms:W3CDTF">2026-01-16T14:53:00Z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2025-06-26T17:07:44Z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1365c8d9-a34b-4738-b468-e144b8e14f9f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