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ADA0" w14:textId="24081059" w:rsidR="009732E2" w:rsidRPr="009732E2" w:rsidRDefault="009732E2" w:rsidP="001A792D">
      <w:pPr>
        <w:pStyle w:val="Default"/>
        <w:jc w:val="right"/>
        <w:rPr>
          <w:sz w:val="20"/>
          <w:szCs w:val="20"/>
        </w:rPr>
      </w:pPr>
      <w:r w:rsidRPr="009732E2">
        <w:rPr>
          <w:sz w:val="20"/>
          <w:szCs w:val="20"/>
        </w:rPr>
        <w:t>Załącznik nr 1</w:t>
      </w:r>
    </w:p>
    <w:p w14:paraId="7596DE32" w14:textId="77777777" w:rsidR="009732E2" w:rsidRDefault="009732E2" w:rsidP="001A792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9732E2">
        <w:rPr>
          <w:sz w:val="20"/>
          <w:szCs w:val="20"/>
        </w:rPr>
        <w:t xml:space="preserve">o wniosku o udzielenie zamówienia publicznego </w:t>
      </w:r>
    </w:p>
    <w:p w14:paraId="03A217C2" w14:textId="0CD1442B" w:rsidR="009732E2" w:rsidRPr="009732E2" w:rsidRDefault="009732E2" w:rsidP="001A792D">
      <w:pPr>
        <w:pStyle w:val="Default"/>
        <w:jc w:val="right"/>
        <w:rPr>
          <w:sz w:val="20"/>
          <w:szCs w:val="20"/>
        </w:rPr>
      </w:pPr>
      <w:r w:rsidRPr="009732E2">
        <w:rPr>
          <w:sz w:val="20"/>
          <w:szCs w:val="20"/>
        </w:rPr>
        <w:t>o wartości mniejszej ni</w:t>
      </w:r>
      <w:r w:rsidR="00712D20">
        <w:rPr>
          <w:sz w:val="20"/>
          <w:szCs w:val="20"/>
        </w:rPr>
        <w:t>ż</w:t>
      </w:r>
      <w:r w:rsidRPr="009732E2">
        <w:rPr>
          <w:sz w:val="20"/>
          <w:szCs w:val="20"/>
        </w:rPr>
        <w:t xml:space="preserve"> kwota 130 000 złotych netto</w:t>
      </w:r>
    </w:p>
    <w:p w14:paraId="68EFBD0F" w14:textId="77777777" w:rsidR="009732E2" w:rsidRDefault="009732E2" w:rsidP="001A792D">
      <w:pPr>
        <w:pStyle w:val="Default"/>
        <w:spacing w:after="120"/>
        <w:jc w:val="right"/>
        <w:rPr>
          <w:b/>
          <w:bCs/>
          <w:sz w:val="22"/>
          <w:szCs w:val="22"/>
        </w:rPr>
      </w:pPr>
    </w:p>
    <w:p w14:paraId="5BE5B312" w14:textId="0B98F8EB" w:rsidR="008561C9" w:rsidRDefault="00763868" w:rsidP="001A792D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Szczegółowy opis przedmiotu zamówienia</w:t>
      </w:r>
      <w:r w:rsidR="008561C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dla zadania pn. </w:t>
      </w:r>
    </w:p>
    <w:p w14:paraId="7FA700E5" w14:textId="5FF233DB" w:rsidR="00763868" w:rsidRDefault="008561C9" w:rsidP="001A792D">
      <w:pPr>
        <w:pStyle w:val="Default"/>
        <w:spacing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Pr="008561C9">
        <w:rPr>
          <w:b/>
          <w:bCs/>
          <w:sz w:val="22"/>
          <w:szCs w:val="22"/>
        </w:rPr>
        <w:t>Dostawa kontenera do skaryfikacji nasion w stężonym kwasie siarkowym</w:t>
      </w:r>
      <w:r>
        <w:rPr>
          <w:b/>
          <w:bCs/>
          <w:sz w:val="22"/>
          <w:szCs w:val="22"/>
        </w:rPr>
        <w:t>”</w:t>
      </w:r>
      <w:r w:rsidRPr="008561C9">
        <w:rPr>
          <w:b/>
          <w:bCs/>
          <w:sz w:val="22"/>
          <w:szCs w:val="22"/>
        </w:rPr>
        <w:t>.</w:t>
      </w:r>
    </w:p>
    <w:p w14:paraId="049156F7" w14:textId="77777777" w:rsidR="00763868" w:rsidRDefault="00763868" w:rsidP="001A792D">
      <w:pPr>
        <w:pStyle w:val="Default"/>
        <w:spacing w:after="120"/>
        <w:rPr>
          <w:sz w:val="22"/>
          <w:szCs w:val="22"/>
        </w:rPr>
      </w:pPr>
    </w:p>
    <w:p w14:paraId="6223507E" w14:textId="09853B42" w:rsidR="008561C9" w:rsidRDefault="008561C9" w:rsidP="001A792D">
      <w:pPr>
        <w:spacing w:after="120" w:line="240" w:lineRule="auto"/>
        <w:rPr>
          <w:rFonts w:ascii="Arial" w:hAnsi="Arial" w:cs="Arial"/>
        </w:rPr>
      </w:pPr>
      <w:r w:rsidRPr="008561C9">
        <w:rPr>
          <w:rFonts w:ascii="Arial" w:hAnsi="Arial" w:cs="Arial"/>
        </w:rPr>
        <w:t xml:space="preserve">Przedmiotem zamówienia </w:t>
      </w:r>
      <w:r>
        <w:rPr>
          <w:rFonts w:ascii="Arial" w:hAnsi="Arial" w:cs="Arial"/>
        </w:rPr>
        <w:t>jest d</w:t>
      </w:r>
      <w:r w:rsidRPr="008561C9">
        <w:rPr>
          <w:rFonts w:ascii="Arial" w:hAnsi="Arial" w:cs="Arial"/>
        </w:rPr>
        <w:t xml:space="preserve">ostawa kontenera do skaryfikacji nasion w stężonym kwasie siarkowym. </w:t>
      </w:r>
    </w:p>
    <w:p w14:paraId="6B15AB26" w14:textId="7599B2A8" w:rsidR="008561C9" w:rsidRDefault="008561C9" w:rsidP="001A792D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OGÓLNY ZAPOTRZEBOWANIA I PRZEZNACZENIA: </w:t>
      </w:r>
    </w:p>
    <w:p w14:paraId="4F11F8A6" w14:textId="10026CC3" w:rsidR="008561C9" w:rsidRPr="001A792D" w:rsidRDefault="008561C9" w:rsidP="001A792D">
      <w:pPr>
        <w:spacing w:after="120" w:line="240" w:lineRule="auto"/>
        <w:jc w:val="both"/>
        <w:rPr>
          <w:rFonts w:ascii="Arial" w:hAnsi="Arial" w:cs="Arial"/>
        </w:rPr>
      </w:pPr>
      <w:r w:rsidRPr="001A792D">
        <w:rPr>
          <w:rFonts w:ascii="Arial" w:hAnsi="Arial" w:cs="Arial"/>
        </w:rPr>
        <w:t>Jednym z głównym gatunków</w:t>
      </w:r>
      <w:r w:rsidR="001A792D" w:rsidRPr="001A792D">
        <w:rPr>
          <w:rFonts w:ascii="Arial" w:hAnsi="Arial" w:cs="Arial"/>
        </w:rPr>
        <w:t>, których</w:t>
      </w:r>
      <w:r w:rsidRPr="001A792D">
        <w:rPr>
          <w:rFonts w:ascii="Arial" w:hAnsi="Arial" w:cs="Arial"/>
        </w:rPr>
        <w:t xml:space="preserve"> nasion</w:t>
      </w:r>
      <w:r w:rsidR="001A792D" w:rsidRPr="001A792D">
        <w:rPr>
          <w:rFonts w:ascii="Arial" w:hAnsi="Arial" w:cs="Arial"/>
        </w:rPr>
        <w:t>a</w:t>
      </w:r>
      <w:r w:rsidRPr="001A792D">
        <w:rPr>
          <w:rFonts w:ascii="Arial" w:hAnsi="Arial" w:cs="Arial"/>
        </w:rPr>
        <w:t xml:space="preserve"> przygotowywan</w:t>
      </w:r>
      <w:r w:rsidR="001A792D" w:rsidRPr="001A792D">
        <w:rPr>
          <w:rFonts w:ascii="Arial" w:hAnsi="Arial" w:cs="Arial"/>
        </w:rPr>
        <w:t>e są</w:t>
      </w:r>
      <w:r w:rsidRPr="001A792D">
        <w:rPr>
          <w:rFonts w:ascii="Arial" w:hAnsi="Arial" w:cs="Arial"/>
        </w:rPr>
        <w:t xml:space="preserve"> do siewu w ramach działalności usługowej LBG Kostrzyca</w:t>
      </w:r>
      <w:r w:rsidR="001A792D" w:rsidRPr="001A792D">
        <w:rPr>
          <w:rFonts w:ascii="Arial" w:hAnsi="Arial" w:cs="Arial"/>
        </w:rPr>
        <w:t>,</w:t>
      </w:r>
      <w:r w:rsidRPr="001A792D">
        <w:rPr>
          <w:rFonts w:ascii="Arial" w:hAnsi="Arial" w:cs="Arial"/>
        </w:rPr>
        <w:t xml:space="preserve"> jest lipa drobnolistna. LBG Kostrzyca od wielu lat z</w:t>
      </w:r>
      <w:r w:rsidR="001A792D" w:rsidRPr="001A792D">
        <w:rPr>
          <w:rFonts w:ascii="Arial" w:hAnsi="Arial" w:cs="Arial"/>
        </w:rPr>
        <w:t> </w:t>
      </w:r>
      <w:r w:rsidRPr="001A792D">
        <w:rPr>
          <w:rFonts w:ascii="Arial" w:hAnsi="Arial" w:cs="Arial"/>
        </w:rPr>
        <w:t xml:space="preserve">powodzeniem stosuje chemiczną skaryfikację nasion lipy drobnolistnej w kwasie siarkowym. Metoda opisana przez Prof. Tadeusza </w:t>
      </w:r>
      <w:proofErr w:type="spellStart"/>
      <w:r w:rsidRPr="001A792D">
        <w:rPr>
          <w:rFonts w:ascii="Arial" w:hAnsi="Arial" w:cs="Arial"/>
        </w:rPr>
        <w:t>Tylkowskiego</w:t>
      </w:r>
      <w:proofErr w:type="spellEnd"/>
      <w:r w:rsidRPr="001A792D">
        <w:rPr>
          <w:rFonts w:ascii="Arial" w:hAnsi="Arial" w:cs="Arial"/>
        </w:rPr>
        <w:t xml:space="preserve"> (Sylwan 1994 nr 12), pozwala na znaczne skrócenie procesu przygotowania nasion do siewu</w:t>
      </w:r>
      <w:r w:rsidR="001A792D" w:rsidRPr="001A792D">
        <w:rPr>
          <w:rFonts w:ascii="Arial" w:hAnsi="Arial" w:cs="Arial"/>
        </w:rPr>
        <w:t xml:space="preserve"> (</w:t>
      </w:r>
      <w:r w:rsidRPr="001A792D">
        <w:rPr>
          <w:rFonts w:ascii="Arial" w:hAnsi="Arial" w:cs="Arial"/>
        </w:rPr>
        <w:t>do kilkunastu tygodni</w:t>
      </w:r>
      <w:r w:rsidR="001A792D" w:rsidRPr="001A792D">
        <w:rPr>
          <w:rFonts w:ascii="Arial" w:hAnsi="Arial" w:cs="Arial"/>
        </w:rPr>
        <w:t>)</w:t>
      </w:r>
      <w:r w:rsidRPr="001A792D">
        <w:rPr>
          <w:rFonts w:ascii="Arial" w:hAnsi="Arial" w:cs="Arial"/>
        </w:rPr>
        <w:t xml:space="preserve">. Na przestrzeni kilkunastu ostatnich lat zlecano do skaryfikacji </w:t>
      </w:r>
      <w:r w:rsidR="001A792D" w:rsidRPr="001A792D">
        <w:rPr>
          <w:rFonts w:ascii="Arial" w:hAnsi="Arial" w:cs="Arial"/>
        </w:rPr>
        <w:t xml:space="preserve">w LBG Kostrzyca </w:t>
      </w:r>
      <w:r w:rsidRPr="001A792D">
        <w:rPr>
          <w:rFonts w:ascii="Arial" w:hAnsi="Arial" w:cs="Arial"/>
        </w:rPr>
        <w:t>średnio kilk</w:t>
      </w:r>
      <w:r w:rsidR="001A792D" w:rsidRPr="001A792D">
        <w:rPr>
          <w:rFonts w:ascii="Arial" w:hAnsi="Arial" w:cs="Arial"/>
        </w:rPr>
        <w:t>a</w:t>
      </w:r>
      <w:r w:rsidRPr="001A792D">
        <w:rPr>
          <w:rFonts w:ascii="Arial" w:hAnsi="Arial" w:cs="Arial"/>
        </w:rPr>
        <w:t xml:space="preserve"> partii nasion, o łącznej masie kilku kilogramów</w:t>
      </w:r>
      <w:r w:rsidR="007B2BA2" w:rsidRPr="001A792D">
        <w:rPr>
          <w:rFonts w:ascii="Arial" w:hAnsi="Arial" w:cs="Arial"/>
        </w:rPr>
        <w:t>. D</w:t>
      </w:r>
      <w:r w:rsidRPr="001A792D">
        <w:rPr>
          <w:rFonts w:ascii="Arial" w:hAnsi="Arial" w:cs="Arial"/>
        </w:rPr>
        <w:t xml:space="preserve">o wykonania takiego zakresu wystarczały </w:t>
      </w:r>
      <w:proofErr w:type="spellStart"/>
      <w:r w:rsidRPr="001A792D">
        <w:rPr>
          <w:rFonts w:ascii="Arial" w:hAnsi="Arial" w:cs="Arial"/>
        </w:rPr>
        <w:t>przeciwkwasowe</w:t>
      </w:r>
      <w:proofErr w:type="spellEnd"/>
      <w:r w:rsidRPr="001A792D">
        <w:rPr>
          <w:rFonts w:ascii="Arial" w:hAnsi="Arial" w:cs="Arial"/>
        </w:rPr>
        <w:t xml:space="preserve"> wiadra i zlewki oraz szklane naczynia. Proces planowany był na jeden dzień roboczy, na który zamawiano kwas siarkowy, następnie po skaryfikacji zlewano go i odpowiednio zabezpieczano przed utylizacją. W ostatnich kilku latach (w</w:t>
      </w:r>
      <w:r w:rsidR="001A792D" w:rsidRPr="001A792D">
        <w:rPr>
          <w:rFonts w:ascii="Arial" w:hAnsi="Arial" w:cs="Arial"/>
        </w:rPr>
        <w:t> </w:t>
      </w:r>
      <w:r w:rsidRPr="001A792D">
        <w:rPr>
          <w:rFonts w:ascii="Arial" w:hAnsi="Arial" w:cs="Arial"/>
        </w:rPr>
        <w:t>związku ze zwiększeniem produkcji szkółkarskiej sadzonek lipy), zapotrzebowanie na chemiczną skaryfikację nasion lipy wzrosło.</w:t>
      </w:r>
      <w:r w:rsidR="001A792D" w:rsidRPr="001A792D">
        <w:rPr>
          <w:rFonts w:ascii="Arial" w:hAnsi="Arial" w:cs="Arial"/>
        </w:rPr>
        <w:t xml:space="preserve"> </w:t>
      </w:r>
      <w:r w:rsidRPr="001A792D">
        <w:rPr>
          <w:rFonts w:ascii="Arial" w:hAnsi="Arial" w:cs="Arial"/>
        </w:rPr>
        <w:t xml:space="preserve">W związku z powyższym powstało zapotrzebowanie na bardziej profesjonalne zaplecze, które umożliwi większą wydajność procesu, a ponadto zapewni większe bezpieczeństwo pracownikom. </w:t>
      </w:r>
    </w:p>
    <w:p w14:paraId="5BF8A1D3" w14:textId="3B25D47D" w:rsidR="008561C9" w:rsidRDefault="008561C9" w:rsidP="001A792D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OGÓLNY </w:t>
      </w:r>
      <w:r w:rsidR="00D858DD">
        <w:rPr>
          <w:sz w:val="22"/>
          <w:szCs w:val="22"/>
        </w:rPr>
        <w:t>KONTENERA</w:t>
      </w:r>
    </w:p>
    <w:p w14:paraId="03EC7CD5" w14:textId="0D3EB8DE" w:rsidR="00D858DD" w:rsidRDefault="00D858DD" w:rsidP="001A792D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561C9" w:rsidRPr="008561C9">
        <w:rPr>
          <w:sz w:val="22"/>
          <w:szCs w:val="22"/>
        </w:rPr>
        <w:t xml:space="preserve">pecjalistyczny zewnętrzny </w:t>
      </w:r>
      <w:r>
        <w:rPr>
          <w:sz w:val="22"/>
          <w:szCs w:val="22"/>
        </w:rPr>
        <w:t xml:space="preserve">zamykany </w:t>
      </w:r>
      <w:r w:rsidR="008561C9" w:rsidRPr="008561C9">
        <w:rPr>
          <w:sz w:val="22"/>
          <w:szCs w:val="22"/>
        </w:rPr>
        <w:t>kontener,</w:t>
      </w:r>
      <w:r>
        <w:rPr>
          <w:sz w:val="22"/>
          <w:szCs w:val="22"/>
        </w:rPr>
        <w:t xml:space="preserve"> z możliwością ustawienia w dowolnym miejscu na utwardzonym podłożu, </w:t>
      </w:r>
      <w:r w:rsidR="008561C9" w:rsidRPr="008561C9">
        <w:rPr>
          <w:sz w:val="22"/>
          <w:szCs w:val="22"/>
        </w:rPr>
        <w:t>posiadający zamykany zbiornik/kocioł na kwas siarkowy z sitami i</w:t>
      </w:r>
      <w:r w:rsidR="001A792D">
        <w:rPr>
          <w:sz w:val="22"/>
          <w:szCs w:val="22"/>
        </w:rPr>
        <w:t> </w:t>
      </w:r>
      <w:r w:rsidR="008561C9" w:rsidRPr="008561C9">
        <w:rPr>
          <w:sz w:val="22"/>
          <w:szCs w:val="22"/>
        </w:rPr>
        <w:t xml:space="preserve">mieszadłem, w którym </w:t>
      </w:r>
      <w:r>
        <w:rPr>
          <w:sz w:val="22"/>
          <w:szCs w:val="22"/>
        </w:rPr>
        <w:t xml:space="preserve">możliwe będzie </w:t>
      </w:r>
      <w:r w:rsidR="008561C9" w:rsidRPr="008561C9">
        <w:rPr>
          <w:sz w:val="22"/>
          <w:szCs w:val="22"/>
        </w:rPr>
        <w:t>mocz</w:t>
      </w:r>
      <w:r>
        <w:rPr>
          <w:sz w:val="22"/>
          <w:szCs w:val="22"/>
        </w:rPr>
        <w:t xml:space="preserve">enie </w:t>
      </w:r>
      <w:r w:rsidR="008561C9" w:rsidRPr="008561C9">
        <w:rPr>
          <w:sz w:val="22"/>
          <w:szCs w:val="22"/>
        </w:rPr>
        <w:t>nasion,</w:t>
      </w:r>
      <w:r>
        <w:rPr>
          <w:sz w:val="22"/>
          <w:szCs w:val="22"/>
        </w:rPr>
        <w:t xml:space="preserve"> z możliwością </w:t>
      </w:r>
      <w:r w:rsidR="008561C9" w:rsidRPr="008561C9">
        <w:rPr>
          <w:sz w:val="22"/>
          <w:szCs w:val="22"/>
        </w:rPr>
        <w:t>pompowan</w:t>
      </w:r>
      <w:r>
        <w:rPr>
          <w:sz w:val="22"/>
          <w:szCs w:val="22"/>
        </w:rPr>
        <w:t xml:space="preserve">ia kwasu </w:t>
      </w:r>
      <w:r w:rsidR="008561C9" w:rsidRPr="008561C9">
        <w:rPr>
          <w:sz w:val="22"/>
          <w:szCs w:val="22"/>
        </w:rPr>
        <w:t xml:space="preserve">do tego zbiornika, </w:t>
      </w:r>
      <w:r>
        <w:rPr>
          <w:sz w:val="22"/>
          <w:szCs w:val="22"/>
        </w:rPr>
        <w:t xml:space="preserve">a także </w:t>
      </w:r>
      <w:r w:rsidR="008561C9" w:rsidRPr="008561C9">
        <w:rPr>
          <w:sz w:val="22"/>
          <w:szCs w:val="22"/>
        </w:rPr>
        <w:t>elektryczny</w:t>
      </w:r>
      <w:r>
        <w:rPr>
          <w:sz w:val="22"/>
          <w:szCs w:val="22"/>
        </w:rPr>
        <w:t>m</w:t>
      </w:r>
      <w:r w:rsidR="008561C9" w:rsidRPr="008561C9">
        <w:rPr>
          <w:sz w:val="22"/>
          <w:szCs w:val="22"/>
        </w:rPr>
        <w:t xml:space="preserve"> udźwig</w:t>
      </w:r>
      <w:r>
        <w:rPr>
          <w:sz w:val="22"/>
          <w:szCs w:val="22"/>
        </w:rPr>
        <w:t>iem służącym do załadunku sita z nasionami do</w:t>
      </w:r>
      <w:r w:rsidR="001A792D">
        <w:rPr>
          <w:sz w:val="22"/>
          <w:szCs w:val="22"/>
        </w:rPr>
        <w:t> </w:t>
      </w:r>
      <w:r>
        <w:rPr>
          <w:sz w:val="22"/>
          <w:szCs w:val="22"/>
        </w:rPr>
        <w:t xml:space="preserve">zbiornika kwasu. Kontener musi posiadać odpowiedni system wentylacyjny oraz możliwość odbioru kwasu spuszczonego po procesie. </w:t>
      </w:r>
      <w:r w:rsidR="007B2BA2">
        <w:rPr>
          <w:sz w:val="22"/>
          <w:szCs w:val="22"/>
        </w:rPr>
        <w:t xml:space="preserve">Wymagane jest podłączenie do bieżącej wody oraz trójfazowej instalacji elektrycznej, </w:t>
      </w:r>
      <w:r w:rsidR="008561C9" w:rsidRPr="008561C9">
        <w:rPr>
          <w:sz w:val="22"/>
          <w:szCs w:val="22"/>
        </w:rPr>
        <w:t xml:space="preserve"> </w:t>
      </w:r>
    </w:p>
    <w:p w14:paraId="19DCEF85" w14:textId="217A1555" w:rsidR="00D858DD" w:rsidRDefault="00D858DD" w:rsidP="001A792D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SZCZEGÓŁOWA SPECYFIKACJA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505"/>
      </w:tblGrid>
      <w:tr w:rsidR="00D858DD" w14:paraId="3E071126" w14:textId="77777777" w:rsidTr="001A792D">
        <w:trPr>
          <w:jc w:val="center"/>
        </w:trPr>
        <w:tc>
          <w:tcPr>
            <w:tcW w:w="562" w:type="dxa"/>
          </w:tcPr>
          <w:p w14:paraId="2913B4AE" w14:textId="43F7C9AC" w:rsidR="00D858DD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14:paraId="74074E33" w14:textId="29096C42" w:rsidR="00D858DD" w:rsidRDefault="00D448F9" w:rsidP="001A792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Konstrukcja wykonana z metalowej kwasoodpornej ramy </w:t>
            </w:r>
            <w:r w:rsidR="00CC07D8">
              <w:rPr>
                <w:sz w:val="22"/>
                <w:szCs w:val="22"/>
              </w:rPr>
              <w:t>(profil min</w:t>
            </w:r>
            <w:r w:rsidR="008C1B7D">
              <w:rPr>
                <w:sz w:val="22"/>
                <w:szCs w:val="22"/>
              </w:rPr>
              <w:t>.</w:t>
            </w:r>
            <w:r w:rsidR="00CC07D8">
              <w:rPr>
                <w:sz w:val="22"/>
                <w:szCs w:val="22"/>
              </w:rPr>
              <w:t xml:space="preserve"> 40 x 50 mm, grubości min. 2 mm) </w:t>
            </w:r>
            <w:r>
              <w:rPr>
                <w:sz w:val="22"/>
                <w:szCs w:val="22"/>
              </w:rPr>
              <w:t xml:space="preserve">obudowana </w:t>
            </w:r>
            <w:r w:rsidR="00207724">
              <w:rPr>
                <w:sz w:val="22"/>
                <w:szCs w:val="22"/>
              </w:rPr>
              <w:t xml:space="preserve">metalowymi </w:t>
            </w:r>
            <w:r w:rsidR="00740007">
              <w:rPr>
                <w:sz w:val="22"/>
                <w:szCs w:val="22"/>
              </w:rPr>
              <w:t xml:space="preserve">kwasoodpornymi </w:t>
            </w:r>
            <w:r>
              <w:rPr>
                <w:sz w:val="22"/>
                <w:szCs w:val="22"/>
              </w:rPr>
              <w:t>osłonami z trzech stron</w:t>
            </w:r>
            <w:r w:rsidR="008C1B7D">
              <w:rPr>
                <w:sz w:val="22"/>
                <w:szCs w:val="22"/>
              </w:rPr>
              <w:t xml:space="preserve"> (grubości min. 1,5 mm)</w:t>
            </w:r>
            <w:r w:rsidR="00207724">
              <w:rPr>
                <w:sz w:val="22"/>
                <w:szCs w:val="22"/>
              </w:rPr>
              <w:t>, od strony wejściow</w:t>
            </w:r>
            <w:r w:rsidR="00EF7EC5">
              <w:rPr>
                <w:sz w:val="22"/>
                <w:szCs w:val="22"/>
              </w:rPr>
              <w:t>ej</w:t>
            </w:r>
            <w:r w:rsidR="00207724">
              <w:rPr>
                <w:sz w:val="22"/>
                <w:szCs w:val="22"/>
              </w:rPr>
              <w:t xml:space="preserve"> zamykanie </w:t>
            </w:r>
            <w:r w:rsidR="008A2533">
              <w:rPr>
                <w:sz w:val="22"/>
                <w:szCs w:val="22"/>
              </w:rPr>
              <w:t xml:space="preserve">zewnętrzną </w:t>
            </w:r>
            <w:r w:rsidR="00207724">
              <w:rPr>
                <w:sz w:val="22"/>
                <w:szCs w:val="22"/>
              </w:rPr>
              <w:t>żaluzją z zamkiem</w:t>
            </w:r>
            <w:r w:rsidR="008C1B7D">
              <w:rPr>
                <w:sz w:val="22"/>
                <w:szCs w:val="22"/>
              </w:rPr>
              <w:t>.</w:t>
            </w:r>
            <w:r w:rsidR="002077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C07D8" w14:paraId="01002F3E" w14:textId="77777777" w:rsidTr="001A792D">
        <w:trPr>
          <w:jc w:val="center"/>
        </w:trPr>
        <w:tc>
          <w:tcPr>
            <w:tcW w:w="562" w:type="dxa"/>
          </w:tcPr>
          <w:p w14:paraId="0EE9EB99" w14:textId="75AB4BA7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5" w:type="dxa"/>
          </w:tcPr>
          <w:p w14:paraId="59E2A094" w14:textId="77777777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Wymiary:</w:t>
            </w:r>
          </w:p>
          <w:p w14:paraId="66373996" w14:textId="2D0A572E" w:rsidR="00CC07D8" w:rsidRDefault="001A792D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="00CC07D8">
              <w:rPr>
                <w:sz w:val="22"/>
                <w:szCs w:val="22"/>
              </w:rPr>
              <w:t>zerokość 200 cm (+/- 10 cm)</w:t>
            </w:r>
            <w:r w:rsidR="008C1B7D">
              <w:rPr>
                <w:sz w:val="22"/>
                <w:szCs w:val="22"/>
              </w:rPr>
              <w:t>;</w:t>
            </w:r>
          </w:p>
          <w:p w14:paraId="152CFE14" w14:textId="453D8607" w:rsidR="00CC07D8" w:rsidRDefault="001A792D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</w:t>
            </w:r>
            <w:r w:rsidR="00CC07D8">
              <w:rPr>
                <w:sz w:val="22"/>
                <w:szCs w:val="22"/>
              </w:rPr>
              <w:t>ysokość 220 cm (+/- 10 cm)</w:t>
            </w:r>
            <w:r w:rsidR="008C1B7D">
              <w:rPr>
                <w:sz w:val="22"/>
                <w:szCs w:val="22"/>
              </w:rPr>
              <w:t>;</w:t>
            </w:r>
            <w:r w:rsidR="00CC07D8">
              <w:rPr>
                <w:sz w:val="22"/>
                <w:szCs w:val="22"/>
              </w:rPr>
              <w:t xml:space="preserve"> </w:t>
            </w:r>
          </w:p>
          <w:p w14:paraId="3F0013B0" w14:textId="42A22F93" w:rsidR="00CC07D8" w:rsidRPr="00CC07D8" w:rsidRDefault="001A792D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głębokość </w:t>
            </w:r>
            <w:r w:rsidR="00CC07D8" w:rsidRPr="00CC07D8">
              <w:rPr>
                <w:sz w:val="22"/>
                <w:szCs w:val="22"/>
              </w:rPr>
              <w:t>150 cm (+/- 10 cm)</w:t>
            </w:r>
            <w:r w:rsidR="008C1B7D">
              <w:rPr>
                <w:sz w:val="22"/>
                <w:szCs w:val="22"/>
              </w:rPr>
              <w:t>.</w:t>
            </w:r>
            <w:r w:rsidR="00CC07D8" w:rsidRPr="00CC07D8">
              <w:rPr>
                <w:sz w:val="22"/>
                <w:szCs w:val="22"/>
              </w:rPr>
              <w:t xml:space="preserve">  </w:t>
            </w:r>
          </w:p>
        </w:tc>
      </w:tr>
      <w:tr w:rsidR="00CC07D8" w14:paraId="35C29949" w14:textId="77777777" w:rsidTr="001A792D">
        <w:trPr>
          <w:jc w:val="center"/>
        </w:trPr>
        <w:tc>
          <w:tcPr>
            <w:tcW w:w="562" w:type="dxa"/>
          </w:tcPr>
          <w:p w14:paraId="3029BD4A" w14:textId="10B50240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</w:tcPr>
          <w:p w14:paraId="4C4F9B98" w14:textId="6E223AD0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Podłoga wykonana z kwasoodpornej stali </w:t>
            </w:r>
            <w:r w:rsidR="008A253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min</w:t>
            </w:r>
            <w:r w:rsidR="008C1B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</w:t>
            </w:r>
            <w:r w:rsidR="008A25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mm</w:t>
            </w:r>
            <w:r w:rsidR="008A253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pokryt</w:t>
            </w:r>
            <w:r w:rsidR="008A2533">
              <w:rPr>
                <w:sz w:val="22"/>
                <w:szCs w:val="22"/>
              </w:rPr>
              <w:t>ej</w:t>
            </w:r>
            <w:r>
              <w:rPr>
                <w:sz w:val="22"/>
                <w:szCs w:val="22"/>
              </w:rPr>
              <w:t xml:space="preserve"> wykładziną antypoślizgową i antykorozyjną</w:t>
            </w:r>
            <w:r w:rsidR="008C1B7D">
              <w:rPr>
                <w:sz w:val="22"/>
                <w:szCs w:val="22"/>
              </w:rPr>
              <w:t>.</w:t>
            </w:r>
          </w:p>
        </w:tc>
      </w:tr>
      <w:tr w:rsidR="00CC07D8" w14:paraId="4F37BA75" w14:textId="77777777" w:rsidTr="001A792D">
        <w:trPr>
          <w:jc w:val="center"/>
        </w:trPr>
        <w:tc>
          <w:tcPr>
            <w:tcW w:w="562" w:type="dxa"/>
          </w:tcPr>
          <w:p w14:paraId="057F45F6" w14:textId="6341D7BB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5" w:type="dxa"/>
          </w:tcPr>
          <w:p w14:paraId="1F752319" w14:textId="548AB98C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Wentylacja</w:t>
            </w:r>
            <w:r w:rsidR="00740007">
              <w:rPr>
                <w:sz w:val="22"/>
                <w:szCs w:val="22"/>
              </w:rPr>
              <w:t xml:space="preserve"> umożliwiająca odprowadzenie oparów substancji ze zbiornika</w:t>
            </w:r>
            <w:r>
              <w:rPr>
                <w:sz w:val="22"/>
                <w:szCs w:val="22"/>
              </w:rPr>
              <w:t>:</w:t>
            </w:r>
          </w:p>
          <w:p w14:paraId="46605CEC" w14:textId="3D0B8266" w:rsidR="00CC07D8" w:rsidRDefault="001A792D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C07D8" w:rsidRPr="00207724">
              <w:rPr>
                <w:sz w:val="22"/>
                <w:szCs w:val="22"/>
              </w:rPr>
              <w:t>komin wyciągow</w:t>
            </w:r>
            <w:r w:rsidR="00CC07D8">
              <w:rPr>
                <w:sz w:val="22"/>
                <w:szCs w:val="22"/>
              </w:rPr>
              <w:t>y</w:t>
            </w:r>
            <w:r w:rsidR="00CC07D8" w:rsidRPr="00207724">
              <w:rPr>
                <w:sz w:val="22"/>
                <w:szCs w:val="22"/>
              </w:rPr>
              <w:t xml:space="preserve"> wyposażon</w:t>
            </w:r>
            <w:r w:rsidR="00CC07D8">
              <w:rPr>
                <w:sz w:val="22"/>
                <w:szCs w:val="22"/>
              </w:rPr>
              <w:t>y</w:t>
            </w:r>
            <w:r w:rsidR="00CC07D8" w:rsidRPr="00207724">
              <w:rPr>
                <w:sz w:val="22"/>
                <w:szCs w:val="22"/>
              </w:rPr>
              <w:t xml:space="preserve"> w </w:t>
            </w:r>
            <w:r w:rsidR="00CC07D8">
              <w:rPr>
                <w:sz w:val="22"/>
                <w:szCs w:val="22"/>
              </w:rPr>
              <w:t xml:space="preserve">elektryczny </w:t>
            </w:r>
            <w:r w:rsidR="00CC07D8" w:rsidRPr="00207724">
              <w:rPr>
                <w:sz w:val="22"/>
                <w:szCs w:val="22"/>
              </w:rPr>
              <w:t>wentylator wyciągowy</w:t>
            </w:r>
            <w:r w:rsidR="008C1B7D">
              <w:rPr>
                <w:sz w:val="22"/>
                <w:szCs w:val="22"/>
              </w:rPr>
              <w:t>;</w:t>
            </w:r>
          </w:p>
          <w:p w14:paraId="7EABA9EF" w14:textId="08FB76F5" w:rsidR="00CC07D8" w:rsidRPr="00207724" w:rsidRDefault="001A792D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C07D8" w:rsidRPr="00207724">
              <w:rPr>
                <w:sz w:val="22"/>
                <w:szCs w:val="22"/>
              </w:rPr>
              <w:t>komin nadmuchow</w:t>
            </w:r>
            <w:r w:rsidR="00CC07D8">
              <w:rPr>
                <w:sz w:val="22"/>
                <w:szCs w:val="22"/>
              </w:rPr>
              <w:t>y</w:t>
            </w:r>
            <w:r w:rsidR="00CC07D8" w:rsidRPr="00207724">
              <w:rPr>
                <w:sz w:val="22"/>
                <w:szCs w:val="22"/>
              </w:rPr>
              <w:t xml:space="preserve"> wyposażon</w:t>
            </w:r>
            <w:r w:rsidR="00CC07D8">
              <w:rPr>
                <w:sz w:val="22"/>
                <w:szCs w:val="22"/>
              </w:rPr>
              <w:t xml:space="preserve">y </w:t>
            </w:r>
            <w:r w:rsidR="00CC07D8" w:rsidRPr="00207724">
              <w:rPr>
                <w:sz w:val="22"/>
                <w:szCs w:val="22"/>
              </w:rPr>
              <w:t xml:space="preserve">w </w:t>
            </w:r>
            <w:r w:rsidR="00CC07D8">
              <w:rPr>
                <w:sz w:val="22"/>
                <w:szCs w:val="22"/>
              </w:rPr>
              <w:t xml:space="preserve">elektryczny </w:t>
            </w:r>
            <w:r w:rsidR="00CC07D8" w:rsidRPr="00207724">
              <w:rPr>
                <w:sz w:val="22"/>
                <w:szCs w:val="22"/>
              </w:rPr>
              <w:t>wentylator nadmuchowy</w:t>
            </w:r>
            <w:r w:rsidR="008C1B7D">
              <w:rPr>
                <w:sz w:val="22"/>
                <w:szCs w:val="22"/>
              </w:rPr>
              <w:t>.</w:t>
            </w:r>
          </w:p>
        </w:tc>
      </w:tr>
      <w:tr w:rsidR="00CC07D8" w14:paraId="77DA01AA" w14:textId="77777777" w:rsidTr="001A792D">
        <w:trPr>
          <w:jc w:val="center"/>
        </w:trPr>
        <w:tc>
          <w:tcPr>
            <w:tcW w:w="562" w:type="dxa"/>
          </w:tcPr>
          <w:p w14:paraId="1A7A0EEC" w14:textId="017EC488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505" w:type="dxa"/>
          </w:tcPr>
          <w:p w14:paraId="579B3200" w14:textId="50E48DF1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Wyciągarka linowa </w:t>
            </w:r>
            <w:r w:rsidR="00EF7EC5">
              <w:rPr>
                <w:sz w:val="22"/>
                <w:szCs w:val="22"/>
              </w:rPr>
              <w:t>elektryczna</w:t>
            </w:r>
            <w:r>
              <w:rPr>
                <w:sz w:val="22"/>
                <w:szCs w:val="22"/>
              </w:rPr>
              <w:t xml:space="preserve">, umożliwiająca opuszczanie </w:t>
            </w:r>
            <w:r w:rsidRPr="008A2533">
              <w:rPr>
                <w:color w:val="000000" w:themeColor="text1"/>
                <w:sz w:val="22"/>
                <w:szCs w:val="22"/>
              </w:rPr>
              <w:t xml:space="preserve">kosza/sita z nasionami do zbiornika z </w:t>
            </w:r>
            <w:r w:rsidR="008C1B7D" w:rsidRPr="008A2533">
              <w:rPr>
                <w:color w:val="000000" w:themeColor="text1"/>
                <w:sz w:val="22"/>
                <w:szCs w:val="22"/>
              </w:rPr>
              <w:t>kwasem</w:t>
            </w:r>
            <w:r w:rsidR="00484FAF" w:rsidRPr="008A2533">
              <w:rPr>
                <w:color w:val="000000" w:themeColor="text1"/>
                <w:sz w:val="22"/>
                <w:szCs w:val="22"/>
              </w:rPr>
              <w:t>.</w:t>
            </w:r>
            <w:r w:rsidR="008C1B7D" w:rsidRPr="008A253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84FAF" w:rsidRPr="008A2533">
              <w:rPr>
                <w:color w:val="000000" w:themeColor="text1"/>
                <w:sz w:val="22"/>
                <w:szCs w:val="22"/>
              </w:rPr>
              <w:t>M</w:t>
            </w:r>
            <w:r w:rsidR="008C1B7D" w:rsidRPr="008A2533">
              <w:rPr>
                <w:color w:val="000000" w:themeColor="text1"/>
                <w:sz w:val="22"/>
                <w:szCs w:val="22"/>
              </w:rPr>
              <w:t xml:space="preserve">inimalny udźwig </w:t>
            </w:r>
            <w:r w:rsidR="00740007">
              <w:rPr>
                <w:color w:val="000000" w:themeColor="text1"/>
                <w:sz w:val="22"/>
                <w:szCs w:val="22"/>
              </w:rPr>
              <w:t>70</w:t>
            </w:r>
            <w:r w:rsidR="008C1B7D" w:rsidRPr="008A2533">
              <w:rPr>
                <w:color w:val="000000" w:themeColor="text1"/>
                <w:sz w:val="22"/>
                <w:szCs w:val="22"/>
              </w:rPr>
              <w:t xml:space="preserve"> kg. </w:t>
            </w:r>
          </w:p>
        </w:tc>
      </w:tr>
      <w:tr w:rsidR="00CC07D8" w14:paraId="0401C639" w14:textId="77777777" w:rsidTr="001A792D">
        <w:trPr>
          <w:jc w:val="center"/>
        </w:trPr>
        <w:tc>
          <w:tcPr>
            <w:tcW w:w="562" w:type="dxa"/>
          </w:tcPr>
          <w:p w14:paraId="3B9E0E64" w14:textId="549730BC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5" w:type="dxa"/>
          </w:tcPr>
          <w:p w14:paraId="3C6B9573" w14:textId="03486DE6" w:rsidR="008C1B7D" w:rsidRDefault="00DD3031" w:rsidP="001A792D">
            <w:pPr>
              <w:pStyle w:val="Default"/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Kwasoodporn</w:t>
            </w:r>
            <w:r w:rsidR="00EF7EC5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z</w:t>
            </w:r>
            <w:r w:rsidR="00CC07D8" w:rsidRPr="00207724">
              <w:rPr>
                <w:sz w:val="22"/>
                <w:szCs w:val="22"/>
              </w:rPr>
              <w:t xml:space="preserve">biornik </w:t>
            </w:r>
            <w:r w:rsidR="00CC07D8">
              <w:rPr>
                <w:sz w:val="22"/>
                <w:szCs w:val="22"/>
              </w:rPr>
              <w:t xml:space="preserve">na kwas siarkowy </w:t>
            </w:r>
            <w:r w:rsidR="00CC07D8" w:rsidRPr="00207724">
              <w:rPr>
                <w:sz w:val="22"/>
                <w:szCs w:val="22"/>
              </w:rPr>
              <w:t>z</w:t>
            </w:r>
            <w:r w:rsidR="00CC07D8">
              <w:rPr>
                <w:sz w:val="22"/>
                <w:szCs w:val="22"/>
              </w:rPr>
              <w:t xml:space="preserve"> pokrywą </w:t>
            </w:r>
            <w:r w:rsidRPr="008A2533">
              <w:rPr>
                <w:color w:val="000000" w:themeColor="text1"/>
                <w:sz w:val="22"/>
                <w:szCs w:val="22"/>
              </w:rPr>
              <w:t xml:space="preserve">uszczelniającą </w:t>
            </w:r>
            <w:r w:rsidR="00EF7EC5" w:rsidRPr="008A2533">
              <w:rPr>
                <w:color w:val="000000" w:themeColor="text1"/>
                <w:sz w:val="22"/>
                <w:szCs w:val="22"/>
              </w:rPr>
              <w:t xml:space="preserve">z elektrycznym </w:t>
            </w:r>
            <w:r w:rsidR="00CC07D8" w:rsidRPr="008A2533">
              <w:rPr>
                <w:color w:val="000000" w:themeColor="text1"/>
                <w:sz w:val="22"/>
                <w:szCs w:val="22"/>
              </w:rPr>
              <w:t>mieszadłem oraz zaworami napływowymi i odpływowymi</w:t>
            </w:r>
            <w:r w:rsidRPr="008A2533">
              <w:rPr>
                <w:color w:val="000000" w:themeColor="text1"/>
                <w:sz w:val="22"/>
                <w:szCs w:val="22"/>
              </w:rPr>
              <w:t xml:space="preserve">. </w:t>
            </w:r>
            <w:r w:rsidR="008C1B7D" w:rsidRPr="008A2533">
              <w:rPr>
                <w:color w:val="000000" w:themeColor="text1"/>
                <w:sz w:val="22"/>
                <w:szCs w:val="22"/>
              </w:rPr>
              <w:t xml:space="preserve">Minimalna objętość </w:t>
            </w:r>
            <w:r w:rsidRPr="008A2533">
              <w:rPr>
                <w:color w:val="000000" w:themeColor="text1"/>
                <w:sz w:val="22"/>
                <w:szCs w:val="22"/>
              </w:rPr>
              <w:t xml:space="preserve">zbiornika </w:t>
            </w:r>
            <w:r w:rsidR="008C1B7D" w:rsidRPr="008A2533">
              <w:rPr>
                <w:color w:val="000000" w:themeColor="text1"/>
                <w:sz w:val="22"/>
                <w:szCs w:val="22"/>
              </w:rPr>
              <w:t xml:space="preserve">30 l. </w:t>
            </w:r>
          </w:p>
          <w:p w14:paraId="58C43148" w14:textId="4CC6C60A" w:rsidR="007C46D5" w:rsidRDefault="007C46D5" w:rsidP="001A792D">
            <w:pPr>
              <w:pStyle w:val="Default"/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 zestawie 3 kosze/s</w:t>
            </w:r>
            <w:r w:rsidRPr="007C46D5">
              <w:rPr>
                <w:color w:val="000000" w:themeColor="text1"/>
                <w:sz w:val="22"/>
                <w:szCs w:val="22"/>
              </w:rPr>
              <w:t>ita</w:t>
            </w:r>
            <w:r>
              <w:rPr>
                <w:color w:val="000000" w:themeColor="text1"/>
                <w:sz w:val="22"/>
                <w:szCs w:val="22"/>
              </w:rPr>
              <w:t xml:space="preserve"> o rozmiarach dopasowanych do zbiornika, umożliwiających zanurzenie nasion w kwasie.</w:t>
            </w:r>
          </w:p>
          <w:p w14:paraId="399AD59D" w14:textId="1BC0D0C4" w:rsidR="007C46D5" w:rsidRDefault="007C46D5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W zestawie 2 kwasoodporne szufle (wybieraki) umożliwiające ręczne wybranie nasion z kosza/sita.   </w:t>
            </w:r>
          </w:p>
        </w:tc>
      </w:tr>
      <w:tr w:rsidR="008A2533" w14:paraId="4177839D" w14:textId="77777777" w:rsidTr="001A792D">
        <w:trPr>
          <w:jc w:val="center"/>
        </w:trPr>
        <w:tc>
          <w:tcPr>
            <w:tcW w:w="562" w:type="dxa"/>
          </w:tcPr>
          <w:p w14:paraId="4F831387" w14:textId="2101085C" w:rsidR="008A2533" w:rsidRDefault="008A2533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5" w:type="dxa"/>
          </w:tcPr>
          <w:p w14:paraId="52440312" w14:textId="20E44A45" w:rsidR="008A2533" w:rsidRPr="008A2533" w:rsidRDefault="008A2533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8A2533">
              <w:rPr>
                <w:sz w:val="22"/>
                <w:szCs w:val="22"/>
              </w:rPr>
              <w:t xml:space="preserve">Pompa </w:t>
            </w:r>
            <w:r w:rsidR="00740007">
              <w:rPr>
                <w:sz w:val="22"/>
                <w:szCs w:val="22"/>
              </w:rPr>
              <w:t xml:space="preserve">mechaniczna </w:t>
            </w:r>
            <w:r w:rsidRPr="008A2533">
              <w:rPr>
                <w:sz w:val="22"/>
                <w:szCs w:val="22"/>
              </w:rPr>
              <w:t>umożliwiająca napełnianie zbiornika z kwasem, przeznaczona do substancji chemicznych typu stężony kwas siarkowy</w:t>
            </w:r>
            <w:r>
              <w:rPr>
                <w:sz w:val="22"/>
                <w:szCs w:val="22"/>
              </w:rPr>
              <w:t xml:space="preserve">, z wężem z </w:t>
            </w:r>
            <w:r w:rsidRPr="008A2533">
              <w:rPr>
                <w:sz w:val="22"/>
                <w:szCs w:val="22"/>
              </w:rPr>
              <w:t xml:space="preserve">polipropylenu: </w:t>
            </w:r>
          </w:p>
          <w:p w14:paraId="125FE8C0" w14:textId="77777777" w:rsidR="008A2533" w:rsidRPr="008A2533" w:rsidRDefault="008A2533" w:rsidP="001A792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533">
              <w:rPr>
                <w:rFonts w:ascii="Arial" w:hAnsi="Arial" w:cs="Arial"/>
                <w:sz w:val="22"/>
                <w:szCs w:val="22"/>
              </w:rPr>
              <w:t>Dane techniczne pompy:</w:t>
            </w:r>
          </w:p>
          <w:p w14:paraId="0470B7A4" w14:textId="5F8290C6" w:rsidR="008A2533" w:rsidRPr="008A2533" w:rsidRDefault="008A2533" w:rsidP="001A792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533">
              <w:rPr>
                <w:rFonts w:ascii="Arial" w:hAnsi="Arial" w:cs="Arial"/>
                <w:sz w:val="22"/>
                <w:szCs w:val="22"/>
              </w:rPr>
              <w:t>- przepływ 0.27l/</w:t>
            </w:r>
            <w:proofErr w:type="spellStart"/>
            <w:r w:rsidRPr="008A2533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(+/- 0,03l);</w:t>
            </w:r>
          </w:p>
          <w:p w14:paraId="7341B04B" w14:textId="2EF8D924" w:rsidR="008A2533" w:rsidRPr="008A2533" w:rsidRDefault="008A2533" w:rsidP="001A792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533">
              <w:rPr>
                <w:rFonts w:ascii="Arial" w:hAnsi="Arial" w:cs="Arial"/>
                <w:sz w:val="22"/>
                <w:szCs w:val="22"/>
              </w:rPr>
              <w:t>- wysokość zasysania 1,5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53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(+/- 0,1 m);</w:t>
            </w:r>
          </w:p>
          <w:p w14:paraId="57FC37DA" w14:textId="266272A2" w:rsidR="008A2533" w:rsidRPr="008A2533" w:rsidRDefault="008A2533" w:rsidP="001A792D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533">
              <w:rPr>
                <w:rFonts w:ascii="Arial" w:hAnsi="Arial" w:cs="Arial"/>
                <w:sz w:val="22"/>
                <w:szCs w:val="22"/>
              </w:rPr>
              <w:t>- wymiary 165x345x145mm</w:t>
            </w:r>
            <w:r>
              <w:rPr>
                <w:rFonts w:ascii="Arial" w:hAnsi="Arial" w:cs="Arial"/>
                <w:sz w:val="22"/>
                <w:szCs w:val="22"/>
              </w:rPr>
              <w:t xml:space="preserve"> (+/- 5mm);</w:t>
            </w:r>
          </w:p>
          <w:p w14:paraId="72910B9D" w14:textId="29D46993" w:rsidR="008A2533" w:rsidRPr="008A2533" w:rsidRDefault="008A2533" w:rsidP="001A792D">
            <w:pPr>
              <w:pStyle w:val="Standard"/>
              <w:spacing w:after="120"/>
              <w:jc w:val="both"/>
              <w:rPr>
                <w:sz w:val="22"/>
                <w:szCs w:val="22"/>
              </w:rPr>
            </w:pPr>
            <w:r w:rsidRPr="008A2533">
              <w:rPr>
                <w:rFonts w:ascii="Arial" w:hAnsi="Arial" w:cs="Arial"/>
                <w:sz w:val="22"/>
                <w:szCs w:val="22"/>
              </w:rPr>
              <w:t>- waga 1,5kg</w:t>
            </w:r>
            <w:r>
              <w:rPr>
                <w:rFonts w:ascii="Arial" w:hAnsi="Arial" w:cs="Arial"/>
                <w:sz w:val="22"/>
                <w:szCs w:val="22"/>
              </w:rPr>
              <w:t xml:space="preserve"> (+/- 0,1 kg).</w:t>
            </w:r>
          </w:p>
        </w:tc>
      </w:tr>
      <w:tr w:rsidR="00CC07D8" w14:paraId="4D36F4E5" w14:textId="77777777" w:rsidTr="001A792D">
        <w:trPr>
          <w:jc w:val="center"/>
        </w:trPr>
        <w:tc>
          <w:tcPr>
            <w:tcW w:w="562" w:type="dxa"/>
          </w:tcPr>
          <w:p w14:paraId="7769E06B" w14:textId="0B3A8BB3" w:rsidR="00CC07D8" w:rsidRDefault="008A2533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5" w:type="dxa"/>
          </w:tcPr>
          <w:p w14:paraId="33D3537F" w14:textId="3C97DD17" w:rsidR="00CC07D8" w:rsidRDefault="00CC07D8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Metalowy kwasoodporny stolik (na metalowej ramie) pod zbiornik na kwas </w:t>
            </w:r>
            <w:r w:rsidR="008C1B7D">
              <w:rPr>
                <w:sz w:val="22"/>
                <w:szCs w:val="22"/>
              </w:rPr>
              <w:t xml:space="preserve">oraz </w:t>
            </w:r>
            <w:r w:rsidR="007C46D5">
              <w:rPr>
                <w:sz w:val="22"/>
                <w:szCs w:val="22"/>
              </w:rPr>
              <w:t xml:space="preserve">przestrzeń roboczą </w:t>
            </w:r>
            <w:r w:rsidR="007B2BA2">
              <w:rPr>
                <w:sz w:val="22"/>
                <w:szCs w:val="22"/>
              </w:rPr>
              <w:t xml:space="preserve">pod </w:t>
            </w:r>
            <w:r w:rsidR="007C46D5">
              <w:rPr>
                <w:sz w:val="22"/>
                <w:szCs w:val="22"/>
              </w:rPr>
              <w:t xml:space="preserve">załadunek </w:t>
            </w:r>
            <w:r w:rsidR="00DD3031">
              <w:rPr>
                <w:sz w:val="22"/>
                <w:szCs w:val="22"/>
              </w:rPr>
              <w:t>kosz</w:t>
            </w:r>
            <w:r w:rsidR="007C46D5">
              <w:rPr>
                <w:sz w:val="22"/>
                <w:szCs w:val="22"/>
              </w:rPr>
              <w:t>a</w:t>
            </w:r>
            <w:r w:rsidR="00DD3031">
              <w:rPr>
                <w:sz w:val="22"/>
                <w:szCs w:val="22"/>
              </w:rPr>
              <w:t>/sit</w:t>
            </w:r>
            <w:r w:rsidR="007C46D5">
              <w:rPr>
                <w:sz w:val="22"/>
                <w:szCs w:val="22"/>
              </w:rPr>
              <w:t>a</w:t>
            </w:r>
            <w:r w:rsidR="00DD3031">
              <w:rPr>
                <w:sz w:val="22"/>
                <w:szCs w:val="22"/>
              </w:rPr>
              <w:t xml:space="preserve">. </w:t>
            </w:r>
          </w:p>
        </w:tc>
      </w:tr>
      <w:tr w:rsidR="00DD3031" w14:paraId="597D6FB9" w14:textId="77777777" w:rsidTr="001A792D">
        <w:trPr>
          <w:jc w:val="center"/>
        </w:trPr>
        <w:tc>
          <w:tcPr>
            <w:tcW w:w="562" w:type="dxa"/>
          </w:tcPr>
          <w:p w14:paraId="6899805B" w14:textId="1412E1C1" w:rsidR="00DD3031" w:rsidRDefault="008A2533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5" w:type="dxa"/>
          </w:tcPr>
          <w:p w14:paraId="63DE12A0" w14:textId="393406AC" w:rsidR="00DD3031" w:rsidRDefault="00DD3031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Lampa oświetlająca</w:t>
            </w:r>
            <w:r w:rsidR="008A2533">
              <w:rPr>
                <w:sz w:val="22"/>
                <w:szCs w:val="22"/>
              </w:rPr>
              <w:t>.</w:t>
            </w:r>
          </w:p>
        </w:tc>
      </w:tr>
      <w:tr w:rsidR="00DD3031" w14:paraId="17194B98" w14:textId="77777777" w:rsidTr="001A792D">
        <w:trPr>
          <w:jc w:val="center"/>
        </w:trPr>
        <w:tc>
          <w:tcPr>
            <w:tcW w:w="562" w:type="dxa"/>
          </w:tcPr>
          <w:p w14:paraId="350F3C73" w14:textId="2CFB3DDD" w:rsidR="00DD3031" w:rsidRDefault="008A2533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5" w:type="dxa"/>
          </w:tcPr>
          <w:p w14:paraId="248ED8A1" w14:textId="768555BD" w:rsidR="00DD3031" w:rsidRDefault="00DD3031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Skrzynka elektryczna</w:t>
            </w:r>
            <w:r w:rsidR="00CB7F06">
              <w:rPr>
                <w:sz w:val="22"/>
                <w:szCs w:val="22"/>
              </w:rPr>
              <w:t xml:space="preserve"> z wyprowadzonym podwójnym gniazdem 230V oraz przyciskami do sterowania elementami elektrycznymi (wyciąg, mieszadło, oświetlenie, wciągarka). </w:t>
            </w:r>
          </w:p>
        </w:tc>
      </w:tr>
      <w:tr w:rsidR="008A2533" w14:paraId="3B1B1052" w14:textId="77777777" w:rsidTr="001A792D">
        <w:trPr>
          <w:jc w:val="center"/>
        </w:trPr>
        <w:tc>
          <w:tcPr>
            <w:tcW w:w="562" w:type="dxa"/>
          </w:tcPr>
          <w:p w14:paraId="07B1B91C" w14:textId="097FC231" w:rsidR="008A2533" w:rsidRDefault="008A2533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5" w:type="dxa"/>
          </w:tcPr>
          <w:p w14:paraId="48172609" w14:textId="186186DD" w:rsidR="008A2533" w:rsidRDefault="008A2533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Możliwość spuszczenia substancji ze zbiornika do zlewek i </w:t>
            </w:r>
            <w:r w:rsidR="00740007">
              <w:rPr>
                <w:sz w:val="22"/>
                <w:szCs w:val="22"/>
              </w:rPr>
              <w:t xml:space="preserve">pojemników </w:t>
            </w:r>
            <w:r>
              <w:rPr>
                <w:sz w:val="22"/>
                <w:szCs w:val="22"/>
              </w:rPr>
              <w:t xml:space="preserve">podlegających utylizacji.  </w:t>
            </w:r>
          </w:p>
        </w:tc>
      </w:tr>
      <w:tr w:rsidR="00DD3031" w14:paraId="06C6B73B" w14:textId="77777777" w:rsidTr="001A792D">
        <w:trPr>
          <w:jc w:val="center"/>
        </w:trPr>
        <w:tc>
          <w:tcPr>
            <w:tcW w:w="562" w:type="dxa"/>
          </w:tcPr>
          <w:p w14:paraId="5B4FB974" w14:textId="05497792" w:rsidR="00DD3031" w:rsidRDefault="00DD3031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A2533">
              <w:rPr>
                <w:sz w:val="22"/>
                <w:szCs w:val="22"/>
              </w:rPr>
              <w:t>2</w:t>
            </w:r>
          </w:p>
        </w:tc>
        <w:tc>
          <w:tcPr>
            <w:tcW w:w="8505" w:type="dxa"/>
          </w:tcPr>
          <w:p w14:paraId="606AA40F" w14:textId="6307ED0C" w:rsidR="00740007" w:rsidRDefault="00DD3031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Podłączenie </w:t>
            </w:r>
            <w:r w:rsidR="00740007">
              <w:rPr>
                <w:sz w:val="22"/>
                <w:szCs w:val="22"/>
              </w:rPr>
              <w:t xml:space="preserve">zbiornika </w:t>
            </w:r>
            <w:r>
              <w:rPr>
                <w:sz w:val="22"/>
                <w:szCs w:val="22"/>
              </w:rPr>
              <w:t>do instalacji wodnej wskazanej przez zamawiającego</w:t>
            </w:r>
            <w:r w:rsidR="00B7765C">
              <w:rPr>
                <w:sz w:val="22"/>
                <w:szCs w:val="22"/>
              </w:rPr>
              <w:t xml:space="preserve"> (długość przewodu ok</w:t>
            </w:r>
            <w:r w:rsidR="001A792D">
              <w:rPr>
                <w:sz w:val="22"/>
                <w:szCs w:val="22"/>
              </w:rPr>
              <w:t>.</w:t>
            </w:r>
            <w:r w:rsidR="00B7765C">
              <w:rPr>
                <w:sz w:val="22"/>
                <w:szCs w:val="22"/>
              </w:rPr>
              <w:t xml:space="preserve"> 50 m). </w:t>
            </w:r>
          </w:p>
          <w:p w14:paraId="1C8A7567" w14:textId="1C5E7104" w:rsidR="00740007" w:rsidRDefault="00740007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Dodatkowy rozgałęziacz z wężem przeznaczony</w:t>
            </w:r>
            <w:r w:rsidR="00CB7F0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do płukania zbiornika, stołu roboczego lub materiału (nasion)</w:t>
            </w:r>
            <w:r w:rsidR="00CB7F06">
              <w:rPr>
                <w:sz w:val="22"/>
                <w:szCs w:val="22"/>
              </w:rPr>
              <w:t xml:space="preserve"> zakończony regulowanym i zamykanym zaworem (typu pistolet). </w:t>
            </w:r>
          </w:p>
        </w:tc>
      </w:tr>
      <w:tr w:rsidR="00DD3031" w14:paraId="6EA19B09" w14:textId="77777777" w:rsidTr="001A792D">
        <w:trPr>
          <w:jc w:val="center"/>
        </w:trPr>
        <w:tc>
          <w:tcPr>
            <w:tcW w:w="562" w:type="dxa"/>
          </w:tcPr>
          <w:p w14:paraId="223E17BC" w14:textId="4296EAA1" w:rsidR="00DD3031" w:rsidRDefault="00DD3031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A2533"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</w:tcPr>
          <w:p w14:paraId="432146B0" w14:textId="421DCC9C" w:rsidR="00DD3031" w:rsidRDefault="00DD3031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Podłączenie do instalacji elektrycznej </w:t>
            </w:r>
            <w:r w:rsidR="00B7765C">
              <w:rPr>
                <w:sz w:val="22"/>
                <w:szCs w:val="22"/>
              </w:rPr>
              <w:t xml:space="preserve">trójfazowej </w:t>
            </w:r>
            <w:r>
              <w:rPr>
                <w:sz w:val="22"/>
                <w:szCs w:val="22"/>
              </w:rPr>
              <w:t xml:space="preserve">wskazanej przez zamawiającego </w:t>
            </w:r>
            <w:r w:rsidR="00B7765C">
              <w:rPr>
                <w:sz w:val="22"/>
                <w:szCs w:val="22"/>
              </w:rPr>
              <w:t>(długość przewodu ok</w:t>
            </w:r>
            <w:r w:rsidR="001A792D">
              <w:rPr>
                <w:sz w:val="22"/>
                <w:szCs w:val="22"/>
              </w:rPr>
              <w:t>.</w:t>
            </w:r>
            <w:r w:rsidR="00B7765C">
              <w:rPr>
                <w:sz w:val="22"/>
                <w:szCs w:val="22"/>
              </w:rPr>
              <w:t xml:space="preserve"> 50 m)</w:t>
            </w:r>
            <w:r w:rsidR="008A2533">
              <w:rPr>
                <w:sz w:val="22"/>
                <w:szCs w:val="22"/>
              </w:rPr>
              <w:t>.</w:t>
            </w:r>
          </w:p>
        </w:tc>
      </w:tr>
      <w:tr w:rsidR="00740007" w14:paraId="5D394067" w14:textId="77777777" w:rsidTr="001A792D">
        <w:trPr>
          <w:jc w:val="center"/>
        </w:trPr>
        <w:tc>
          <w:tcPr>
            <w:tcW w:w="562" w:type="dxa"/>
          </w:tcPr>
          <w:p w14:paraId="545BEA0F" w14:textId="61C4A857" w:rsidR="00740007" w:rsidRDefault="00740007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5" w:type="dxa"/>
          </w:tcPr>
          <w:p w14:paraId="652F28B3" w14:textId="713F8EBA" w:rsidR="00740007" w:rsidRDefault="00740007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Regulowane nogi ramy kontenera</w:t>
            </w:r>
            <w:r w:rsidR="00CB7F06">
              <w:rPr>
                <w:sz w:val="22"/>
                <w:szCs w:val="22"/>
              </w:rPr>
              <w:t xml:space="preserve"> umożliwiające poziomowanie w terenie. </w:t>
            </w:r>
          </w:p>
        </w:tc>
      </w:tr>
      <w:tr w:rsidR="004C7620" w14:paraId="11F73991" w14:textId="77777777" w:rsidTr="001A792D">
        <w:trPr>
          <w:jc w:val="center"/>
        </w:trPr>
        <w:tc>
          <w:tcPr>
            <w:tcW w:w="562" w:type="dxa"/>
          </w:tcPr>
          <w:p w14:paraId="26672752" w14:textId="3A3BDF4A" w:rsidR="004C7620" w:rsidRDefault="004C7620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5" w:type="dxa"/>
          </w:tcPr>
          <w:p w14:paraId="5E5C3201" w14:textId="3A8F8C71" w:rsidR="004C7620" w:rsidRDefault="004C7620" w:rsidP="001A792D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gwarancji: 2 lata.</w:t>
            </w:r>
          </w:p>
        </w:tc>
      </w:tr>
    </w:tbl>
    <w:p w14:paraId="17AA5F22" w14:textId="77777777" w:rsidR="00D858DD" w:rsidRDefault="00D858DD" w:rsidP="001A792D">
      <w:pPr>
        <w:pStyle w:val="Default"/>
        <w:spacing w:after="120"/>
        <w:jc w:val="both"/>
        <w:rPr>
          <w:sz w:val="22"/>
          <w:szCs w:val="22"/>
        </w:rPr>
      </w:pPr>
    </w:p>
    <w:p w14:paraId="37046C49" w14:textId="04792AF5" w:rsidR="000248DA" w:rsidRPr="00712D20" w:rsidRDefault="000248DA" w:rsidP="001A792D">
      <w:pPr>
        <w:tabs>
          <w:tab w:val="left" w:pos="5670"/>
          <w:tab w:val="left" w:pos="9072"/>
        </w:tabs>
        <w:spacing w:after="120" w:line="240" w:lineRule="auto"/>
        <w:ind w:right="5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bookmarkStart w:id="0" w:name="_Hlk199307514"/>
      <w:r w:rsidRPr="00712D20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Sporządził: Michał Raj</w:t>
      </w:r>
    </w:p>
    <w:p w14:paraId="3FBB00F7" w14:textId="693B3271" w:rsidR="000248DA" w:rsidRPr="000248DA" w:rsidRDefault="000248DA" w:rsidP="001A792D">
      <w:pPr>
        <w:tabs>
          <w:tab w:val="left" w:pos="5670"/>
          <w:tab w:val="left" w:pos="9072"/>
        </w:tabs>
        <w:spacing w:after="120" w:line="240" w:lineRule="auto"/>
        <w:ind w:right="5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0248DA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Data</w:t>
      </w:r>
      <w:r w:rsidRPr="00B0458F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: </w:t>
      </w:r>
      <w:r w:rsidR="00B0458F" w:rsidRPr="00B0458F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0</w:t>
      </w:r>
      <w:r w:rsidR="00DD3031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3</w:t>
      </w:r>
      <w:r w:rsidRPr="00B0458F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.</w:t>
      </w:r>
      <w:r w:rsidR="00DD3031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10</w:t>
      </w:r>
      <w:r w:rsidRPr="00B0458F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.2025 r</w:t>
      </w:r>
      <w:bookmarkEnd w:id="0"/>
      <w:r w:rsidR="00704FE0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.</w:t>
      </w:r>
    </w:p>
    <w:p w14:paraId="3919554E" w14:textId="0420D269" w:rsidR="006C2DD3" w:rsidRPr="00763A5C" w:rsidRDefault="006C2DD3" w:rsidP="001A792D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6C2DD3" w:rsidRPr="00763A5C" w:rsidSect="0076386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B557" w14:textId="77777777" w:rsidR="009D3A23" w:rsidRDefault="009D3A23" w:rsidP="00CB7F06">
      <w:pPr>
        <w:spacing w:after="0" w:line="240" w:lineRule="auto"/>
      </w:pPr>
      <w:r>
        <w:separator/>
      </w:r>
    </w:p>
  </w:endnote>
  <w:endnote w:type="continuationSeparator" w:id="0">
    <w:p w14:paraId="0A7B1893" w14:textId="77777777" w:rsidR="009D3A23" w:rsidRDefault="009D3A23" w:rsidP="00CB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BEC2" w14:textId="77777777" w:rsidR="009D3A23" w:rsidRDefault="009D3A23" w:rsidP="00CB7F06">
      <w:pPr>
        <w:spacing w:after="0" w:line="240" w:lineRule="auto"/>
      </w:pPr>
      <w:r>
        <w:separator/>
      </w:r>
    </w:p>
  </w:footnote>
  <w:footnote w:type="continuationSeparator" w:id="0">
    <w:p w14:paraId="4F7C629B" w14:textId="77777777" w:rsidR="009D3A23" w:rsidRDefault="009D3A23" w:rsidP="00CB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B22"/>
    <w:multiLevelType w:val="hybridMultilevel"/>
    <w:tmpl w:val="AEFC7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92925"/>
    <w:multiLevelType w:val="hybridMultilevel"/>
    <w:tmpl w:val="EA38ED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7766F"/>
    <w:multiLevelType w:val="hybridMultilevel"/>
    <w:tmpl w:val="A09E3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237975">
    <w:abstractNumId w:val="1"/>
  </w:num>
  <w:num w:numId="2" w16cid:durableId="366956661">
    <w:abstractNumId w:val="2"/>
  </w:num>
  <w:num w:numId="3" w16cid:durableId="14447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6E"/>
    <w:rsid w:val="000248DA"/>
    <w:rsid w:val="00034949"/>
    <w:rsid w:val="00075B61"/>
    <w:rsid w:val="00117459"/>
    <w:rsid w:val="001A792D"/>
    <w:rsid w:val="00207724"/>
    <w:rsid w:val="00254F41"/>
    <w:rsid w:val="002A7264"/>
    <w:rsid w:val="002B4E8F"/>
    <w:rsid w:val="002E6AA2"/>
    <w:rsid w:val="0032657F"/>
    <w:rsid w:val="00392E5E"/>
    <w:rsid w:val="00430EF5"/>
    <w:rsid w:val="00434F5E"/>
    <w:rsid w:val="00484FAF"/>
    <w:rsid w:val="004C7620"/>
    <w:rsid w:val="00544A5C"/>
    <w:rsid w:val="005A11E9"/>
    <w:rsid w:val="005A2FF5"/>
    <w:rsid w:val="006C2DD3"/>
    <w:rsid w:val="006D12B1"/>
    <w:rsid w:val="006D5B2F"/>
    <w:rsid w:val="00704FE0"/>
    <w:rsid w:val="00712D20"/>
    <w:rsid w:val="00740007"/>
    <w:rsid w:val="00763868"/>
    <w:rsid w:val="00763A5C"/>
    <w:rsid w:val="00784530"/>
    <w:rsid w:val="007B2BA2"/>
    <w:rsid w:val="007B4432"/>
    <w:rsid w:val="007C46D5"/>
    <w:rsid w:val="007E5A92"/>
    <w:rsid w:val="007F5C26"/>
    <w:rsid w:val="008561C9"/>
    <w:rsid w:val="008A2533"/>
    <w:rsid w:val="008B34B7"/>
    <w:rsid w:val="008C1B7D"/>
    <w:rsid w:val="0091747A"/>
    <w:rsid w:val="009502D9"/>
    <w:rsid w:val="009732E2"/>
    <w:rsid w:val="009B6B88"/>
    <w:rsid w:val="009D3A23"/>
    <w:rsid w:val="00AA319E"/>
    <w:rsid w:val="00B0458F"/>
    <w:rsid w:val="00B257B9"/>
    <w:rsid w:val="00B7765C"/>
    <w:rsid w:val="00CB7F06"/>
    <w:rsid w:val="00CC07D8"/>
    <w:rsid w:val="00D448F9"/>
    <w:rsid w:val="00D858DD"/>
    <w:rsid w:val="00DA0277"/>
    <w:rsid w:val="00DD3031"/>
    <w:rsid w:val="00DF18FF"/>
    <w:rsid w:val="00EA0C6E"/>
    <w:rsid w:val="00EF7EC5"/>
    <w:rsid w:val="00F42517"/>
    <w:rsid w:val="00F9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83BB"/>
  <w15:chartTrackingRefBased/>
  <w15:docId w15:val="{F72FE774-D552-468F-BDF8-2CBDDEEC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C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C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C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C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C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C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C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C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C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C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63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D8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25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7F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7F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7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Topoła</dc:creator>
  <cp:keywords/>
  <dc:description/>
  <cp:lastModifiedBy>Małgorzata Sikorska</cp:lastModifiedBy>
  <cp:revision>2</cp:revision>
  <dcterms:created xsi:type="dcterms:W3CDTF">2025-10-21T08:15:00Z</dcterms:created>
  <dcterms:modified xsi:type="dcterms:W3CDTF">2025-10-21T08:15:00Z</dcterms:modified>
</cp:coreProperties>
</file>