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B711E" w14:textId="16215E7D" w:rsidR="00C216DC" w:rsidRDefault="00423691" w:rsidP="00C216DC">
      <w:pPr>
        <w:pStyle w:val="Bezodstpw"/>
        <w:jc w:val="center"/>
        <w:rPr>
          <w:color w:val="000000" w:themeColor="text1"/>
          <w:sz w:val="36"/>
          <w:szCs w:val="36"/>
        </w:rPr>
      </w:pPr>
      <w:r>
        <w:rPr>
          <w:noProof/>
          <w:color w:val="000000" w:themeColor="text1"/>
          <w:sz w:val="36"/>
          <w:szCs w:val="36"/>
        </w:rPr>
        <w:drawing>
          <wp:inline distT="0" distB="0" distL="0" distR="0" wp14:anchorId="19329916" wp14:editId="287B86C4">
            <wp:extent cx="5760720" cy="8148320"/>
            <wp:effectExtent l="0" t="0" r="0" b="5080"/>
            <wp:docPr id="2124799947" name="Obraz 1" descr="Obraz zawierający tekst, zrzut ekranu,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799947" name="Obraz 1" descr="Obraz zawierający tekst, zrzut ekranu, Czcionka, symbol&#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p>
    <w:p w14:paraId="3235174B" w14:textId="77777777" w:rsidR="00C216DC" w:rsidRDefault="00C216DC" w:rsidP="00C216DC">
      <w:pPr>
        <w:pStyle w:val="Bezodstpw"/>
        <w:jc w:val="center"/>
        <w:rPr>
          <w:color w:val="000000" w:themeColor="text1"/>
          <w:sz w:val="36"/>
          <w:szCs w:val="36"/>
        </w:rPr>
      </w:pPr>
    </w:p>
    <w:p w14:paraId="4AC2603C" w14:textId="77777777" w:rsidR="00C216DC" w:rsidRDefault="00C216DC" w:rsidP="00C216DC">
      <w:pPr>
        <w:pStyle w:val="Bezodstpw"/>
        <w:jc w:val="center"/>
        <w:rPr>
          <w:color w:val="000000" w:themeColor="text1"/>
          <w:sz w:val="36"/>
          <w:szCs w:val="36"/>
        </w:rPr>
      </w:pPr>
    </w:p>
    <w:p w14:paraId="300CC25D" w14:textId="77777777" w:rsidR="009A486A" w:rsidRPr="00D21DD0" w:rsidRDefault="009A486A" w:rsidP="00D21DD0">
      <w:pPr>
        <w:pStyle w:val="Bezodstpw"/>
      </w:pPr>
      <w:bookmarkStart w:id="0" w:name="_Hlk164921033"/>
    </w:p>
    <w:p w14:paraId="443B4B7C" w14:textId="50A34102" w:rsidR="00225A83" w:rsidRPr="00225A83" w:rsidRDefault="00225A83" w:rsidP="00423691">
      <w:pPr>
        <w:pStyle w:val="Nagwek2"/>
      </w:pPr>
      <w:bookmarkStart w:id="1" w:name="_Toc165033219"/>
      <w:r w:rsidRPr="00225A83">
        <w:lastRenderedPageBreak/>
        <w:t>Wyrok KIO z dnia 5 lutego 2024 r., sygn. akt: KIO 119/24</w:t>
      </w:r>
      <w:bookmarkEnd w:id="1"/>
      <w:r w:rsidR="005C1EBC">
        <w:t xml:space="preserve"> </w:t>
      </w:r>
      <w:r w:rsidR="00202CE4">
        <w:t xml:space="preserve">– omyłki </w:t>
      </w:r>
      <w:r w:rsidR="00DC7E6E">
        <w:t>(</w:t>
      </w:r>
      <w:r w:rsidR="00420B4F">
        <w:t xml:space="preserve">art. 223 ust. 2 </w:t>
      </w:r>
      <w:proofErr w:type="spellStart"/>
      <w:r w:rsidR="00420B4F">
        <w:t>Pzp</w:t>
      </w:r>
      <w:proofErr w:type="spellEnd"/>
      <w:r w:rsidR="00DC7E6E">
        <w:t>)</w:t>
      </w:r>
    </w:p>
    <w:p w14:paraId="31CBBAB3" w14:textId="77777777" w:rsidR="00225A83" w:rsidRPr="00225A83" w:rsidRDefault="00225A83" w:rsidP="00423691">
      <w:pPr>
        <w:tabs>
          <w:tab w:val="left" w:pos="1077"/>
        </w:tabs>
        <w:spacing w:after="0" w:line="360" w:lineRule="auto"/>
        <w:outlineLvl w:val="0"/>
        <w:rPr>
          <w:rFonts w:cstheme="minorHAnsi"/>
          <w:b/>
          <w:bCs/>
          <w:sz w:val="24"/>
          <w:szCs w:val="24"/>
          <w:u w:val="single"/>
        </w:rPr>
      </w:pPr>
    </w:p>
    <w:p w14:paraId="6FC63905" w14:textId="77777777" w:rsidR="00225A83" w:rsidRDefault="00225A83" w:rsidP="00423691">
      <w:pPr>
        <w:tabs>
          <w:tab w:val="left" w:pos="1077"/>
        </w:tabs>
        <w:spacing w:after="0" w:line="240" w:lineRule="auto"/>
        <w:outlineLvl w:val="0"/>
        <w:rPr>
          <w:rFonts w:cstheme="minorHAnsi"/>
          <w:i/>
          <w:iCs/>
          <w:sz w:val="24"/>
          <w:szCs w:val="24"/>
        </w:rPr>
      </w:pPr>
      <w:r w:rsidRPr="00225A83">
        <w:rPr>
          <w:rFonts w:cstheme="minorHAnsi"/>
          <w:i/>
          <w:iCs/>
          <w:sz w:val="24"/>
          <w:szCs w:val="24"/>
        </w:rPr>
        <w:t xml:space="preserve">„W przepisie tym [art. 223 ust. 2 pkt 1 ustawy </w:t>
      </w:r>
      <w:proofErr w:type="spellStart"/>
      <w:r w:rsidRPr="00225A83">
        <w:rPr>
          <w:rFonts w:cstheme="minorHAnsi"/>
          <w:i/>
          <w:iCs/>
          <w:sz w:val="24"/>
          <w:szCs w:val="24"/>
        </w:rPr>
        <w:t>Pzp</w:t>
      </w:r>
      <w:proofErr w:type="spellEnd"/>
      <w:r w:rsidRPr="00225A83">
        <w:rPr>
          <w:rFonts w:cstheme="minorHAnsi"/>
          <w:i/>
          <w:iCs/>
          <w:sz w:val="24"/>
          <w:szCs w:val="24"/>
        </w:rPr>
        <w:t xml:space="preserve"> - przyp. red.] przewidziane jest odstępstwo od zasady niezmienności treści oferty dotyczące poprawiania w ofertach omyłek. Na treść oferty składa się formularz ofertowy oraz wszystkie dokumenty dookreślające i precyzujące zobowiązanie wykonawcy, składane wraz z formularzem ofertowym. Tak więc treść oferty to oferowany przedmiot zamówienia oraz jego wielkość lub zakres. Dokumentem składającym się na treść oferty nie jest więc dokument gwarancji, w tym przypadku gwarancji ubezpieczeniowej. Co więcej jest to dokument (gwarancja) wystawiony przez inny podmiot (gwaranta). Nie może więc być poprawiony przez Zamawiającego ani też wykonawcę, którego gwarancja dotyczy. Podstawą zastosowania przepisów dotyczących poprawiania omyłek jest bowiem stwierdzenie przez Zamawiającego, że istniejące w ofercie rozbieżności, w szczególności w stosunku do dokumentów zamówienia, można zakwalifikować do kategorii omyłek. A dokumentem takim, jak już wyżej wskazano, nie jest gwarancja. Wobec powyższego brak jest podstaw do stosowania do dokumentu gwarancji ubezpieczeniowej art. 223 ust. 2 pkt 1 ustawy </w:t>
      </w:r>
      <w:proofErr w:type="spellStart"/>
      <w:r w:rsidRPr="00225A83">
        <w:rPr>
          <w:rFonts w:cstheme="minorHAnsi"/>
          <w:i/>
          <w:iCs/>
          <w:sz w:val="24"/>
          <w:szCs w:val="24"/>
        </w:rPr>
        <w:t>Pzp</w:t>
      </w:r>
      <w:proofErr w:type="spellEnd"/>
      <w:r w:rsidRPr="00225A83">
        <w:rPr>
          <w:rFonts w:cstheme="minorHAnsi"/>
          <w:i/>
          <w:iCs/>
          <w:sz w:val="24"/>
          <w:szCs w:val="24"/>
        </w:rPr>
        <w:t>, gdyż przewidziana w tym przepisie instytucja odnosi się wyłącznie do treści oferty.</w:t>
      </w:r>
    </w:p>
    <w:p w14:paraId="1DC3A04C" w14:textId="77777777" w:rsidR="005803FC" w:rsidRPr="00225A83" w:rsidRDefault="005803FC" w:rsidP="00423691">
      <w:pPr>
        <w:tabs>
          <w:tab w:val="left" w:pos="1077"/>
        </w:tabs>
        <w:spacing w:after="0" w:line="240" w:lineRule="auto"/>
        <w:outlineLvl w:val="0"/>
        <w:rPr>
          <w:rFonts w:cstheme="minorHAnsi"/>
          <w:i/>
          <w:iCs/>
          <w:sz w:val="24"/>
          <w:szCs w:val="24"/>
        </w:rPr>
      </w:pPr>
    </w:p>
    <w:p w14:paraId="22866669" w14:textId="77777777" w:rsidR="00225A83" w:rsidRPr="00225A83" w:rsidRDefault="00225A83" w:rsidP="00423691">
      <w:pPr>
        <w:tabs>
          <w:tab w:val="left" w:pos="1077"/>
        </w:tabs>
        <w:spacing w:after="0" w:line="240" w:lineRule="auto"/>
        <w:outlineLvl w:val="0"/>
        <w:rPr>
          <w:rFonts w:cstheme="minorHAnsi"/>
          <w:i/>
          <w:iCs/>
          <w:sz w:val="24"/>
          <w:szCs w:val="24"/>
        </w:rPr>
      </w:pPr>
      <w:r w:rsidRPr="00225A83">
        <w:rPr>
          <w:rFonts w:cstheme="minorHAnsi"/>
          <w:i/>
          <w:iCs/>
          <w:sz w:val="24"/>
          <w:szCs w:val="24"/>
        </w:rPr>
        <w:t xml:space="preserve">Dlatego też Zamawiający, stwierdzając istnienie omyłki pisarskiej w dokumencie Gwarancji ubezpieczeniowej zapłaty wadium nr …………… z 14.11.2023 r., gdzie jako datę końcową obowiązującej gwarancji podano błędnie „08-03-2023 r.” zamiast prawidłowo „08-03-2024 r.”, nie miał żadnych podstaw prawnych do jej poprawienia z wszelkimi konsekwencjami wynikającymi z tego przepisu. Ustawa </w:t>
      </w:r>
      <w:proofErr w:type="spellStart"/>
      <w:r w:rsidRPr="00225A83">
        <w:rPr>
          <w:rFonts w:cstheme="minorHAnsi"/>
          <w:i/>
          <w:iCs/>
          <w:sz w:val="24"/>
          <w:szCs w:val="24"/>
        </w:rPr>
        <w:t>Pzp</w:t>
      </w:r>
      <w:proofErr w:type="spellEnd"/>
      <w:r w:rsidRPr="00225A83">
        <w:rPr>
          <w:rFonts w:cstheme="minorHAnsi"/>
          <w:i/>
          <w:iCs/>
          <w:sz w:val="24"/>
          <w:szCs w:val="24"/>
        </w:rPr>
        <w:t xml:space="preserve"> nie daje takiej możliwości.”</w:t>
      </w:r>
    </w:p>
    <w:p w14:paraId="58CD934F" w14:textId="77777777" w:rsidR="00225A83" w:rsidRDefault="00225A83" w:rsidP="00423691">
      <w:pPr>
        <w:tabs>
          <w:tab w:val="left" w:pos="1077"/>
        </w:tabs>
        <w:spacing w:after="0" w:line="360" w:lineRule="auto"/>
        <w:outlineLvl w:val="0"/>
        <w:rPr>
          <w:rFonts w:cstheme="minorHAnsi"/>
          <w:b/>
          <w:bCs/>
          <w:sz w:val="24"/>
          <w:szCs w:val="24"/>
          <w:u w:val="single"/>
          <w:lang w:bidi="pl-PL"/>
        </w:rPr>
      </w:pPr>
    </w:p>
    <w:p w14:paraId="36BDAB51" w14:textId="77777777" w:rsidR="005803FC" w:rsidRPr="00225A83" w:rsidRDefault="005803FC" w:rsidP="00423691">
      <w:pPr>
        <w:tabs>
          <w:tab w:val="left" w:pos="1077"/>
        </w:tabs>
        <w:spacing w:after="0" w:line="360" w:lineRule="auto"/>
        <w:outlineLvl w:val="0"/>
        <w:rPr>
          <w:rFonts w:cstheme="minorHAnsi"/>
          <w:b/>
          <w:bCs/>
          <w:sz w:val="24"/>
          <w:szCs w:val="24"/>
          <w:u w:val="single"/>
          <w:lang w:bidi="pl-PL"/>
        </w:rPr>
      </w:pPr>
    </w:p>
    <w:p w14:paraId="3F09AD46" w14:textId="3B1EB4B4" w:rsidR="003C7EA1" w:rsidRPr="0079534A" w:rsidRDefault="003C7EA1" w:rsidP="00423691">
      <w:pPr>
        <w:pStyle w:val="Nagwek2"/>
      </w:pPr>
      <w:r w:rsidRPr="0079534A">
        <w:t xml:space="preserve">Wyrok KIO z dnia </w:t>
      </w:r>
      <w:r w:rsidR="00965FCF" w:rsidRPr="0079534A">
        <w:t xml:space="preserve">22 lutego </w:t>
      </w:r>
      <w:r w:rsidRPr="0079534A">
        <w:t>2024 r. sygn. akt KIO 334/</w:t>
      </w:r>
      <w:r w:rsidRPr="00CF30FB">
        <w:t xml:space="preserve">24 </w:t>
      </w:r>
      <w:r w:rsidR="005C1EBC">
        <w:t xml:space="preserve">- </w:t>
      </w:r>
      <w:r w:rsidR="00965FCF" w:rsidRPr="00CF30FB">
        <w:t>pełnomocnictwo</w:t>
      </w:r>
      <w:bookmarkEnd w:id="0"/>
    </w:p>
    <w:p w14:paraId="5E2238D8" w14:textId="77777777" w:rsidR="00965FCF" w:rsidRPr="00A6515B" w:rsidRDefault="00965FCF" w:rsidP="00423691">
      <w:pPr>
        <w:pStyle w:val="Bezodstpw"/>
      </w:pPr>
    </w:p>
    <w:p w14:paraId="61301A04" w14:textId="1D51245A" w:rsidR="003C7EA1" w:rsidRDefault="003C7EA1" w:rsidP="00423691">
      <w:pPr>
        <w:spacing w:after="0" w:line="240" w:lineRule="auto"/>
        <w:rPr>
          <w:rFonts w:cstheme="minorHAnsi"/>
          <w:i/>
          <w:iCs/>
          <w:sz w:val="24"/>
          <w:szCs w:val="24"/>
        </w:rPr>
      </w:pPr>
      <w:r w:rsidRPr="007811E8">
        <w:rPr>
          <w:rFonts w:cstheme="minorHAnsi"/>
          <w:i/>
          <w:iCs/>
          <w:sz w:val="24"/>
          <w:szCs w:val="24"/>
        </w:rPr>
        <w:t xml:space="preserve">„Zarzut naruszenia art. 128 ust. 1 ustawy </w:t>
      </w:r>
      <w:proofErr w:type="spellStart"/>
      <w:r w:rsidRPr="007811E8">
        <w:rPr>
          <w:rFonts w:cstheme="minorHAnsi"/>
          <w:i/>
          <w:iCs/>
          <w:sz w:val="24"/>
          <w:szCs w:val="24"/>
        </w:rPr>
        <w:t>Pzp</w:t>
      </w:r>
      <w:proofErr w:type="spellEnd"/>
      <w:r w:rsidRPr="007811E8">
        <w:rPr>
          <w:rFonts w:cstheme="minorHAnsi"/>
          <w:i/>
          <w:iCs/>
          <w:sz w:val="24"/>
          <w:szCs w:val="24"/>
        </w:rPr>
        <w:t xml:space="preserve"> także zasługiwał na uwzględnienie. Odwołujący wskazał w odwołaniu jakie pliki w ramach udostępnienia dokumentacji postępowania zostały mu przekazane wśród plików tych nie było pełnomocnictwa dla Pana K</w:t>
      </w:r>
      <w:r w:rsidR="00124269" w:rsidRPr="007811E8">
        <w:rPr>
          <w:rFonts w:cstheme="minorHAnsi"/>
          <w:i/>
          <w:iCs/>
          <w:sz w:val="24"/>
          <w:szCs w:val="24"/>
        </w:rPr>
        <w:t>.</w:t>
      </w:r>
      <w:r w:rsidRPr="007811E8">
        <w:rPr>
          <w:rFonts w:cstheme="minorHAnsi"/>
          <w:i/>
          <w:iCs/>
          <w:sz w:val="24"/>
          <w:szCs w:val="24"/>
        </w:rPr>
        <w:t>W.</w:t>
      </w:r>
    </w:p>
    <w:p w14:paraId="23AEDEBB" w14:textId="77777777" w:rsidR="005803FC" w:rsidRPr="007811E8" w:rsidRDefault="005803FC" w:rsidP="00423691">
      <w:pPr>
        <w:spacing w:after="0" w:line="240" w:lineRule="auto"/>
        <w:rPr>
          <w:rFonts w:cstheme="minorHAnsi"/>
          <w:i/>
          <w:iCs/>
          <w:sz w:val="24"/>
          <w:szCs w:val="24"/>
        </w:rPr>
      </w:pPr>
    </w:p>
    <w:p w14:paraId="0D62FB8D" w14:textId="4F1F5B77" w:rsidR="003C7EA1" w:rsidRDefault="003C7EA1" w:rsidP="00423691">
      <w:pPr>
        <w:spacing w:after="0" w:line="240" w:lineRule="auto"/>
        <w:rPr>
          <w:rFonts w:cstheme="minorHAnsi"/>
          <w:i/>
          <w:iCs/>
          <w:sz w:val="24"/>
          <w:szCs w:val="24"/>
        </w:rPr>
      </w:pPr>
      <w:r w:rsidRPr="007811E8">
        <w:rPr>
          <w:rFonts w:cstheme="minorHAnsi"/>
          <w:i/>
          <w:iCs/>
          <w:sz w:val="24"/>
          <w:szCs w:val="24"/>
        </w:rPr>
        <w:t>Na rozprawie Odwołujący poinformował, że dopiero w dniu rozprawy otrzymał od Zamawiającego pełnomocnictwo, które złożono dla wskazanej osoby wraz z ofertą. Odwołujący podtrzymał zarzut, wskazując, że przekazany dokument złożony został</w:t>
      </w:r>
      <w:r w:rsidR="00965FCF" w:rsidRPr="007811E8">
        <w:rPr>
          <w:rFonts w:cstheme="minorHAnsi"/>
          <w:i/>
          <w:iCs/>
          <w:sz w:val="24"/>
          <w:szCs w:val="24"/>
        </w:rPr>
        <w:t xml:space="preserve"> </w:t>
      </w:r>
      <w:r w:rsidRPr="007811E8">
        <w:rPr>
          <w:rFonts w:cstheme="minorHAnsi"/>
          <w:i/>
          <w:iCs/>
          <w:sz w:val="24"/>
          <w:szCs w:val="24"/>
        </w:rPr>
        <w:t>w nieprawidłowej formie i z tego powodu Wykonawca wybrany powinien zostać wezwany do jego uzupełnienia.</w:t>
      </w:r>
    </w:p>
    <w:p w14:paraId="4A109172" w14:textId="77777777" w:rsidR="005803FC" w:rsidRPr="007811E8" w:rsidRDefault="005803FC" w:rsidP="00423691">
      <w:pPr>
        <w:spacing w:after="0" w:line="240" w:lineRule="auto"/>
        <w:rPr>
          <w:rFonts w:cstheme="minorHAnsi"/>
          <w:i/>
          <w:iCs/>
          <w:sz w:val="24"/>
          <w:szCs w:val="24"/>
        </w:rPr>
      </w:pPr>
    </w:p>
    <w:p w14:paraId="2958F983" w14:textId="3CC0E5CB" w:rsidR="003C7EA1" w:rsidRPr="007811E8" w:rsidRDefault="003C7EA1" w:rsidP="00423691">
      <w:pPr>
        <w:spacing w:after="0" w:line="240" w:lineRule="auto"/>
        <w:rPr>
          <w:rFonts w:cstheme="minorHAnsi"/>
          <w:i/>
          <w:iCs/>
          <w:sz w:val="24"/>
          <w:szCs w:val="24"/>
        </w:rPr>
      </w:pPr>
      <w:r w:rsidRPr="007811E8">
        <w:rPr>
          <w:rFonts w:cstheme="minorHAnsi"/>
          <w:i/>
          <w:iCs/>
          <w:sz w:val="24"/>
          <w:szCs w:val="24"/>
        </w:rPr>
        <w:t xml:space="preserve">Izba podziela stanowisko Odwołującego. W postępowaniu z ofertą złożono skan pełnomocnictwa z dnia 31 lipca 2023 roku, z podpisami własnoręcznymi dwóch członków zarządu (Pani </w:t>
      </w:r>
      <w:r w:rsidR="004429FA" w:rsidRPr="007811E8">
        <w:rPr>
          <w:rFonts w:cstheme="minorHAnsi"/>
          <w:i/>
          <w:iCs/>
          <w:sz w:val="24"/>
          <w:szCs w:val="24"/>
        </w:rPr>
        <w:t>(…)</w:t>
      </w:r>
      <w:r w:rsidRPr="007811E8">
        <w:rPr>
          <w:rFonts w:cstheme="minorHAnsi"/>
          <w:i/>
          <w:iCs/>
          <w:sz w:val="24"/>
          <w:szCs w:val="24"/>
        </w:rPr>
        <w:t xml:space="preserve"> oraz Pan </w:t>
      </w:r>
      <w:r w:rsidR="004429FA" w:rsidRPr="007811E8">
        <w:rPr>
          <w:rFonts w:cstheme="minorHAnsi"/>
          <w:i/>
          <w:iCs/>
          <w:sz w:val="24"/>
          <w:szCs w:val="24"/>
        </w:rPr>
        <w:t>(…))</w:t>
      </w:r>
      <w:r w:rsidRPr="007811E8">
        <w:rPr>
          <w:rFonts w:cstheme="minorHAnsi"/>
          <w:i/>
          <w:iCs/>
          <w:sz w:val="24"/>
          <w:szCs w:val="24"/>
        </w:rPr>
        <w:t xml:space="preserve"> upoważniający do reprezentowania </w:t>
      </w:r>
      <w:r w:rsidR="005A15CE" w:rsidRPr="007811E8">
        <w:rPr>
          <w:rFonts w:cstheme="minorHAnsi"/>
          <w:i/>
          <w:iCs/>
          <w:sz w:val="24"/>
          <w:szCs w:val="24"/>
        </w:rPr>
        <w:t>R.</w:t>
      </w:r>
      <w:r w:rsidRPr="007811E8">
        <w:rPr>
          <w:rFonts w:cstheme="minorHAnsi"/>
          <w:i/>
          <w:iCs/>
          <w:sz w:val="24"/>
          <w:szCs w:val="24"/>
        </w:rPr>
        <w:t xml:space="preserve"> przez Pana </w:t>
      </w:r>
      <w:r w:rsidR="005A15CE" w:rsidRPr="007811E8">
        <w:rPr>
          <w:rFonts w:cstheme="minorHAnsi"/>
          <w:i/>
          <w:iCs/>
          <w:sz w:val="24"/>
          <w:szCs w:val="24"/>
        </w:rPr>
        <w:t>(…).</w:t>
      </w:r>
      <w:r w:rsidRPr="007811E8">
        <w:rPr>
          <w:rFonts w:cstheme="minorHAnsi"/>
          <w:i/>
          <w:iCs/>
          <w:sz w:val="24"/>
          <w:szCs w:val="24"/>
        </w:rPr>
        <w:t xml:space="preserve"> Następnie skan ten został podpisany podpisem elektronicznym przez osobę, której udzielono pełnomocnictwa. Innych podpisów elektronicznych na złożonym dokumencie nie ujawniono. </w:t>
      </w:r>
    </w:p>
    <w:p w14:paraId="5568CD49" w14:textId="78A8A9BD" w:rsidR="003C7EA1" w:rsidRDefault="003C7EA1" w:rsidP="00423691">
      <w:pPr>
        <w:spacing w:after="0" w:line="240" w:lineRule="auto"/>
        <w:rPr>
          <w:rFonts w:cstheme="minorHAnsi"/>
          <w:i/>
          <w:iCs/>
          <w:sz w:val="24"/>
          <w:szCs w:val="24"/>
        </w:rPr>
      </w:pPr>
      <w:r w:rsidRPr="007811E8">
        <w:rPr>
          <w:rFonts w:cstheme="minorHAnsi"/>
          <w:i/>
          <w:iCs/>
          <w:sz w:val="24"/>
          <w:szCs w:val="24"/>
        </w:rPr>
        <w:lastRenderedPageBreak/>
        <w:t xml:space="preserve">Zgodnie z Rozporządzeniem Prezesa Rady Ministrów z dnia 30 grudnia 2020 r. </w:t>
      </w:r>
      <w:r w:rsidRPr="007811E8">
        <w:rPr>
          <w:rFonts w:cstheme="minorHAnsi"/>
          <w:i/>
          <w:iCs/>
          <w:sz w:val="24"/>
          <w:szCs w:val="24"/>
        </w:rPr>
        <w:br/>
        <w:t xml:space="preserve">w sprawie sposobu sporządzania i przekazywania informacji oraz wymagań technicznych dla dokumentów elektronicznych oraz środków komunikacji elektronicznej w postępowaniu </w:t>
      </w:r>
      <w:r w:rsidRPr="007811E8">
        <w:rPr>
          <w:rFonts w:cstheme="minorHAnsi"/>
          <w:i/>
          <w:iCs/>
          <w:sz w:val="24"/>
          <w:szCs w:val="24"/>
        </w:rPr>
        <w:br/>
        <w:t xml:space="preserve">o udzielenie zamówienia publicznego lub konkursie (Dz. U. z 2020 r., poz. 2452) pełnomocnictwo, sporządza się w postaci elektronicznej, w formatach danych określonych </w:t>
      </w:r>
      <w:r w:rsidRPr="007811E8">
        <w:rPr>
          <w:rFonts w:cstheme="minorHAnsi"/>
          <w:i/>
          <w:iCs/>
          <w:sz w:val="24"/>
          <w:szCs w:val="24"/>
        </w:rPr>
        <w:br/>
        <w:t xml:space="preserve">w przepisach wydanych na podstawie art. 18 ustawy z dnia 17 lutego 2005 r. o informatyzacji działalności podmiotów realizujących zadania publiczne (Dz. U. z 2020 r. poz. 346, 568, 695, 1517 i 2320), z zastrzeżeniem formatów, o których mowa w art. 66 ust. 1 ustawy, </w:t>
      </w:r>
      <w:r w:rsidRPr="007811E8">
        <w:rPr>
          <w:rFonts w:cstheme="minorHAnsi"/>
          <w:i/>
          <w:iCs/>
          <w:sz w:val="24"/>
          <w:szCs w:val="24"/>
        </w:rPr>
        <w:br/>
        <w:t>z uwzględnieniem rodzaju przekazywanych danych.</w:t>
      </w:r>
    </w:p>
    <w:p w14:paraId="7094AD60" w14:textId="77777777" w:rsidR="005803FC" w:rsidRPr="007811E8" w:rsidRDefault="005803FC" w:rsidP="00423691">
      <w:pPr>
        <w:spacing w:after="0" w:line="240" w:lineRule="auto"/>
        <w:rPr>
          <w:rFonts w:cstheme="minorHAnsi"/>
          <w:i/>
          <w:iCs/>
          <w:sz w:val="24"/>
          <w:szCs w:val="24"/>
        </w:rPr>
      </w:pPr>
    </w:p>
    <w:p w14:paraId="30985A4A" w14:textId="77777777" w:rsidR="003C7EA1" w:rsidRDefault="003C7EA1" w:rsidP="00423691">
      <w:pPr>
        <w:spacing w:after="0" w:line="240" w:lineRule="auto"/>
        <w:rPr>
          <w:rFonts w:cstheme="minorHAnsi"/>
          <w:i/>
          <w:iCs/>
          <w:sz w:val="24"/>
          <w:szCs w:val="24"/>
        </w:rPr>
      </w:pPr>
      <w:r w:rsidRPr="007811E8">
        <w:rPr>
          <w:rFonts w:cstheme="minorHAnsi"/>
          <w:i/>
          <w:iCs/>
          <w:sz w:val="24"/>
          <w:szCs w:val="24"/>
        </w:rPr>
        <w:t>W przypadku gdy pełnomocnictwo,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 Poświadczenia zgodności cyfrowego odwzorowania z dokumentem w postaci papierowej, o którym mowa w ust. 2, dokonuje w przypadku: 3) pełnomocnictwa – mocodawca.</w:t>
      </w:r>
    </w:p>
    <w:p w14:paraId="3F2128E9" w14:textId="77777777" w:rsidR="005803FC" w:rsidRPr="007811E8" w:rsidRDefault="005803FC" w:rsidP="00423691">
      <w:pPr>
        <w:spacing w:after="0" w:line="240" w:lineRule="auto"/>
        <w:rPr>
          <w:rFonts w:cstheme="minorHAnsi"/>
          <w:i/>
          <w:iCs/>
          <w:sz w:val="24"/>
          <w:szCs w:val="24"/>
        </w:rPr>
      </w:pPr>
    </w:p>
    <w:p w14:paraId="5FCC8A85" w14:textId="77777777" w:rsidR="003C7EA1" w:rsidRPr="007811E8" w:rsidRDefault="003C7EA1" w:rsidP="00423691">
      <w:pPr>
        <w:spacing w:after="0" w:line="240" w:lineRule="auto"/>
        <w:rPr>
          <w:rFonts w:cstheme="minorHAnsi"/>
          <w:i/>
          <w:iCs/>
          <w:sz w:val="24"/>
          <w:szCs w:val="24"/>
        </w:rPr>
      </w:pPr>
      <w:r w:rsidRPr="007811E8">
        <w:rPr>
          <w:rFonts w:cstheme="minorHAnsi"/>
          <w:i/>
          <w:iCs/>
          <w:sz w:val="24"/>
          <w:szCs w:val="24"/>
        </w:rPr>
        <w:t xml:space="preserve">Innymi słowy, Wykonawca składając skan dokumentu pełnomocnictwa, powinien złożyć go poświadczony za zgodność podpisany podpisem elektronicznym przez mocodawcę, a nie przyjmującego umocowanie. Ewentualnie pełnomocnictwo powinno zostać podpisane elektronicznie przez osoby udzielające pełnomocnictwa i złożony w postaci elektronicznej. </w:t>
      </w:r>
    </w:p>
    <w:p w14:paraId="6B701F97" w14:textId="4BE4CD6F" w:rsidR="005174A3" w:rsidRPr="008D3055" w:rsidRDefault="003C7EA1" w:rsidP="00423691">
      <w:pPr>
        <w:spacing w:after="0" w:line="240" w:lineRule="auto"/>
        <w:rPr>
          <w:rFonts w:cstheme="minorHAnsi"/>
          <w:i/>
          <w:iCs/>
          <w:sz w:val="24"/>
          <w:szCs w:val="24"/>
        </w:rPr>
      </w:pPr>
      <w:r w:rsidRPr="007811E8">
        <w:rPr>
          <w:rFonts w:cstheme="minorHAnsi"/>
          <w:i/>
          <w:iCs/>
          <w:sz w:val="24"/>
          <w:szCs w:val="24"/>
        </w:rPr>
        <w:t>Z tych powodów Izba uwzględniła zarzut i nakazała Zamawiającemu unieważnienie czynności wyboru oferty najkorzystniejszej we wszystkich częściach postępowania, ponowienie procesu badania i oceny ofert, w tym wezwanie Wykonawcy R</w:t>
      </w:r>
      <w:r w:rsidR="00965FCF" w:rsidRPr="007811E8">
        <w:rPr>
          <w:rFonts w:cstheme="minorHAnsi"/>
          <w:i/>
          <w:iCs/>
          <w:sz w:val="24"/>
          <w:szCs w:val="24"/>
        </w:rPr>
        <w:t xml:space="preserve">. </w:t>
      </w:r>
      <w:r w:rsidRPr="007811E8">
        <w:rPr>
          <w:rFonts w:cstheme="minorHAnsi"/>
          <w:i/>
          <w:iCs/>
          <w:sz w:val="24"/>
          <w:szCs w:val="24"/>
        </w:rPr>
        <w:t>Oddział w G</w:t>
      </w:r>
      <w:r w:rsidR="00965FCF" w:rsidRPr="007811E8">
        <w:rPr>
          <w:rFonts w:cstheme="minorHAnsi"/>
          <w:i/>
          <w:iCs/>
          <w:sz w:val="24"/>
          <w:szCs w:val="24"/>
        </w:rPr>
        <w:t xml:space="preserve">. </w:t>
      </w:r>
      <w:r w:rsidRPr="007811E8">
        <w:rPr>
          <w:rFonts w:cstheme="minorHAnsi"/>
          <w:i/>
          <w:iCs/>
          <w:sz w:val="24"/>
          <w:szCs w:val="24"/>
        </w:rPr>
        <w:t xml:space="preserve">na podstawie art. 128 ust. 1 ustawy </w:t>
      </w:r>
      <w:proofErr w:type="spellStart"/>
      <w:r w:rsidRPr="007811E8">
        <w:rPr>
          <w:rFonts w:cstheme="minorHAnsi"/>
          <w:i/>
          <w:iCs/>
          <w:sz w:val="24"/>
          <w:szCs w:val="24"/>
        </w:rPr>
        <w:t>Pzp</w:t>
      </w:r>
      <w:proofErr w:type="spellEnd"/>
      <w:r w:rsidRPr="007811E8">
        <w:rPr>
          <w:rFonts w:cstheme="minorHAnsi"/>
          <w:i/>
          <w:iCs/>
          <w:sz w:val="24"/>
          <w:szCs w:val="24"/>
        </w:rPr>
        <w:t xml:space="preserve"> do uzupełnienia w wyznaczonym terminie dokumentu potwierdzającego umocowanie dla osoby reprezentującej Wykonawcę.</w:t>
      </w:r>
      <w:r w:rsidR="00965FCF" w:rsidRPr="007811E8">
        <w:rPr>
          <w:rFonts w:cstheme="minorHAnsi"/>
          <w:i/>
          <w:iCs/>
          <w:sz w:val="24"/>
          <w:szCs w:val="24"/>
        </w:rPr>
        <w:t>”</w:t>
      </w:r>
    </w:p>
    <w:p w14:paraId="310EF0CB" w14:textId="77777777" w:rsidR="008D3055" w:rsidRDefault="008D3055" w:rsidP="00423691">
      <w:pPr>
        <w:tabs>
          <w:tab w:val="left" w:pos="1077"/>
        </w:tabs>
        <w:spacing w:after="0" w:line="360" w:lineRule="auto"/>
        <w:outlineLvl w:val="0"/>
        <w:rPr>
          <w:rFonts w:cstheme="minorHAnsi"/>
          <w:b/>
          <w:bCs/>
          <w:sz w:val="24"/>
          <w:szCs w:val="24"/>
          <w:u w:val="single"/>
        </w:rPr>
      </w:pPr>
    </w:p>
    <w:p w14:paraId="67562B01" w14:textId="77777777" w:rsidR="005803FC" w:rsidRDefault="005803FC" w:rsidP="00423691">
      <w:pPr>
        <w:tabs>
          <w:tab w:val="left" w:pos="1077"/>
        </w:tabs>
        <w:spacing w:after="0" w:line="360" w:lineRule="auto"/>
        <w:outlineLvl w:val="0"/>
        <w:rPr>
          <w:rFonts w:cstheme="minorHAnsi"/>
          <w:b/>
          <w:bCs/>
          <w:sz w:val="24"/>
          <w:szCs w:val="24"/>
          <w:u w:val="single"/>
        </w:rPr>
      </w:pPr>
    </w:p>
    <w:p w14:paraId="7479FC09" w14:textId="2D8060D1" w:rsidR="00E4068D" w:rsidRPr="0079534A" w:rsidRDefault="002E173A" w:rsidP="00423691">
      <w:pPr>
        <w:pStyle w:val="Nagwek2"/>
      </w:pPr>
      <w:r w:rsidRPr="0079534A">
        <w:t xml:space="preserve">Wyrok KIO z dnia </w:t>
      </w:r>
      <w:r w:rsidR="006361B2" w:rsidRPr="0079534A">
        <w:t xml:space="preserve">6 marca 2024 r. </w:t>
      </w:r>
      <w:r w:rsidRPr="0079534A">
        <w:t xml:space="preserve">sygn. akt KIO 512/24  - </w:t>
      </w:r>
      <w:r w:rsidR="006361B2" w:rsidRPr="0079534A">
        <w:t>oferta, podpis</w:t>
      </w:r>
    </w:p>
    <w:p w14:paraId="41AF9FBF" w14:textId="77777777" w:rsidR="002E173A" w:rsidRPr="00A6515B" w:rsidRDefault="002E173A" w:rsidP="00423691">
      <w:pPr>
        <w:pStyle w:val="Bezodstpw"/>
        <w:spacing w:line="360" w:lineRule="auto"/>
      </w:pPr>
    </w:p>
    <w:p w14:paraId="19843ECA" w14:textId="66948577" w:rsidR="002E173A" w:rsidRPr="007811E8" w:rsidRDefault="002E173A" w:rsidP="00423691">
      <w:pPr>
        <w:spacing w:after="0" w:line="240" w:lineRule="auto"/>
        <w:rPr>
          <w:rFonts w:eastAsia="Times New Roman" w:cstheme="minorHAnsi"/>
          <w:i/>
          <w:iCs/>
          <w:kern w:val="0"/>
          <w:sz w:val="24"/>
          <w:szCs w:val="24"/>
          <w14:ligatures w14:val="none"/>
        </w:rPr>
      </w:pPr>
      <w:r w:rsidRPr="007811E8">
        <w:rPr>
          <w:rFonts w:cstheme="minorHAnsi"/>
          <w:b/>
          <w:bCs/>
          <w:i/>
          <w:iCs/>
          <w:sz w:val="24"/>
          <w:szCs w:val="24"/>
        </w:rPr>
        <w:t>„</w:t>
      </w:r>
      <w:r w:rsidRPr="007811E8">
        <w:rPr>
          <w:rFonts w:eastAsia="Times New Roman" w:cstheme="minorHAnsi"/>
          <w:i/>
          <w:iCs/>
          <w:kern w:val="0"/>
          <w:sz w:val="24"/>
          <w:szCs w:val="24"/>
          <w14:ligatures w14:val="none"/>
        </w:rPr>
        <w:t xml:space="preserve">Wobec twierdzeń przedstawionych w odwołaniu należy stwierdzić, iż niewątpliwe jest, że zgodnie z art. 63 ust. 2 </w:t>
      </w:r>
      <w:proofErr w:type="spellStart"/>
      <w:r w:rsidRPr="007811E8">
        <w:rPr>
          <w:rFonts w:eastAsia="Times New Roman" w:cstheme="minorHAnsi"/>
          <w:i/>
          <w:iCs/>
          <w:kern w:val="0"/>
          <w:sz w:val="24"/>
          <w:szCs w:val="24"/>
          <w14:ligatures w14:val="none"/>
        </w:rPr>
        <w:t>Pzp</w:t>
      </w:r>
      <w:proofErr w:type="spellEnd"/>
      <w:r w:rsidRPr="007811E8">
        <w:rPr>
          <w:rFonts w:eastAsia="Times New Roman" w:cstheme="minorHAnsi"/>
          <w:i/>
          <w:iCs/>
          <w:kern w:val="0"/>
          <w:sz w:val="24"/>
          <w:szCs w:val="24"/>
          <w14:ligatures w14:val="none"/>
        </w:rPr>
        <w:t xml:space="preserve"> ofertę w Postępowaniu Odwołujący zobowiązany był złożyć, pod rygorem nieważności, w formie elektronicznej lub w postaci elektronicznej opatrzonej podpisem zaufanym lub podpisem osobistym. Ponieważ w </w:t>
      </w:r>
      <w:proofErr w:type="spellStart"/>
      <w:r w:rsidRPr="007811E8">
        <w:rPr>
          <w:rFonts w:eastAsia="Times New Roman" w:cstheme="minorHAnsi"/>
          <w:i/>
          <w:iCs/>
          <w:kern w:val="0"/>
          <w:sz w:val="24"/>
          <w:szCs w:val="24"/>
          <w14:ligatures w14:val="none"/>
        </w:rPr>
        <w:t>Pzp</w:t>
      </w:r>
      <w:proofErr w:type="spellEnd"/>
      <w:r w:rsidRPr="007811E8">
        <w:rPr>
          <w:rFonts w:eastAsia="Times New Roman" w:cstheme="minorHAnsi"/>
          <w:i/>
          <w:iCs/>
          <w:kern w:val="0"/>
          <w:sz w:val="24"/>
          <w:szCs w:val="24"/>
          <w14:ligatures w14:val="none"/>
        </w:rPr>
        <w:t xml:space="preserve"> nie uregulowano, co należy rozumieć przez „formę elektroniczną”, na podstawie art. 8 ust. 1 </w:t>
      </w:r>
      <w:proofErr w:type="spellStart"/>
      <w:r w:rsidRPr="007811E8">
        <w:rPr>
          <w:rFonts w:eastAsia="Times New Roman" w:cstheme="minorHAnsi"/>
          <w:i/>
          <w:iCs/>
          <w:kern w:val="0"/>
          <w:sz w:val="24"/>
          <w:szCs w:val="24"/>
          <w14:ligatures w14:val="none"/>
        </w:rPr>
        <w:t>Pzp</w:t>
      </w:r>
      <w:proofErr w:type="spellEnd"/>
      <w:r w:rsidRPr="007811E8">
        <w:rPr>
          <w:rFonts w:eastAsia="Times New Roman" w:cstheme="minorHAnsi"/>
          <w:i/>
          <w:iCs/>
          <w:kern w:val="0"/>
          <w:sz w:val="24"/>
          <w:szCs w:val="24"/>
          <w14:ligatures w14:val="none"/>
        </w:rPr>
        <w:t>, zgodnie z którym „do czynności podejmowanych przez zamawiającego, wykonawców oraz uczestników konkursu w postępowaniu o udzielenie zamówienia i konkursie oraz do umów w sprawach zamówień publicznych stosuje się przepisy ustawy z dnia 23 kwietnia 1964 r. - Kodeks cywilny (…), jeżeli przepisy ustawy nie stanowią inaczej”, zastosować należy art. 78</w:t>
      </w:r>
      <w:r w:rsidRPr="007811E8">
        <w:rPr>
          <w:rFonts w:eastAsia="Times New Roman" w:cstheme="minorHAnsi"/>
          <w:i/>
          <w:iCs/>
          <w:kern w:val="0"/>
          <w:sz w:val="24"/>
          <w:szCs w:val="24"/>
          <w:vertAlign w:val="superscript"/>
          <w14:ligatures w14:val="none"/>
        </w:rPr>
        <w:t>1</w:t>
      </w:r>
      <w:r w:rsidRPr="007811E8">
        <w:rPr>
          <w:rFonts w:eastAsia="Times New Roman" w:cstheme="minorHAnsi"/>
          <w:i/>
          <w:iCs/>
          <w:kern w:val="0"/>
          <w:sz w:val="24"/>
          <w:szCs w:val="24"/>
          <w14:ligatures w14:val="none"/>
        </w:rPr>
        <w:t xml:space="preserve"> § 1 ustawy z dnia 23 kwietnia 1964 r. Kodeks cywilny, który stanowi „do zachowania elektronicznej formy czynności prawnej wystarcza złożenie oświadczenia woli w postaci elektronicznej i opatrzenie go kwalifikowanym podpisem elektronicznym.</w:t>
      </w:r>
    </w:p>
    <w:p w14:paraId="766F9F39" w14:textId="77777777" w:rsidR="005803FC" w:rsidRDefault="005803FC" w:rsidP="00423691">
      <w:pPr>
        <w:spacing w:after="0" w:line="240" w:lineRule="auto"/>
        <w:rPr>
          <w:rFonts w:eastAsia="Times New Roman" w:cstheme="minorHAnsi"/>
          <w:i/>
          <w:iCs/>
          <w:kern w:val="0"/>
          <w:sz w:val="24"/>
          <w:szCs w:val="24"/>
          <w14:ligatures w14:val="none"/>
        </w:rPr>
      </w:pPr>
    </w:p>
    <w:p w14:paraId="01698156" w14:textId="762B4E81" w:rsidR="002E173A" w:rsidRPr="007811E8" w:rsidRDefault="002E173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Okolicznością bezsporną pomiędzy stronami postępowania odwoławczego było, że złożona przez Odwołującego w Postępowaniu oferta - formularz ofertowy w pliku o nazwie „cds-148610-a2f01909-a96c-11ee-a06e-7a3efa199397_Oferta_1” była opatrzona przez Odwołującego kwalifikowanym podpisem elektronicznym w rozumieniu art. 78</w:t>
      </w:r>
      <w:r w:rsidRPr="007811E8">
        <w:rPr>
          <w:rFonts w:eastAsia="Times New Roman" w:cstheme="minorHAnsi"/>
          <w:i/>
          <w:iCs/>
          <w:kern w:val="0"/>
          <w:sz w:val="24"/>
          <w:szCs w:val="24"/>
          <w:vertAlign w:val="superscript"/>
          <w14:ligatures w14:val="none"/>
        </w:rPr>
        <w:t>1</w:t>
      </w:r>
      <w:r w:rsidRPr="007811E8">
        <w:rPr>
          <w:rFonts w:eastAsia="Times New Roman" w:cstheme="minorHAnsi"/>
          <w:i/>
          <w:iCs/>
          <w:kern w:val="0"/>
          <w:sz w:val="24"/>
          <w:szCs w:val="24"/>
          <w14:ligatures w14:val="none"/>
        </w:rPr>
        <w:t xml:space="preserve"> § 1 ustawy z dnia 23 kwietnia 1964 r. Kodeks cywilny oraz art. 3 pkt 7) Rozporządzenia (zgodnie z którym ,,kwalifikowany podpis elektroniczny'' oznacza zaawansowany podpis elektroniczny, który jest składany za pomocą kwalifikowanego urządzenia do składania podpisu elektronicznego i który opiera się na kwalifikowanym certyfikacie podpisu elektronicznego”) - złożonym za pomocą kwalifikowanego urządzenia do składania podpisu elektronicznego i opartym na kwalifikowanym certyfikacie podpisu elektronicznego. Wynika to także z załączonego do odwołania dokumentu zatytułowanego „Raport z przebiegu otwarcia ofert”, w którym napisane jest „○ nazwa pliku: ocds-148610-a2f01909-a96c-11ee-a06e-</w:t>
      </w:r>
      <w:r w:rsidR="00941E66">
        <w:rPr>
          <w:rFonts w:eastAsia="Times New Roman" w:cstheme="minorHAnsi"/>
          <w:i/>
          <w:iCs/>
          <w:kern w:val="0"/>
          <w:sz w:val="24"/>
          <w:szCs w:val="24"/>
          <w14:ligatures w14:val="none"/>
        </w:rPr>
        <w:t xml:space="preserve"> </w:t>
      </w:r>
      <w:r w:rsidRPr="007811E8">
        <w:rPr>
          <w:rFonts w:eastAsia="Times New Roman" w:cstheme="minorHAnsi"/>
          <w:i/>
          <w:iCs/>
          <w:kern w:val="0"/>
          <w:sz w:val="24"/>
          <w:szCs w:val="24"/>
          <w14:ligatures w14:val="none"/>
        </w:rPr>
        <w:t>3efa199397_Oferta_1.pdf ○ typ pliku: Formularz (…) ○ czy podpisany: Tak”.</w:t>
      </w:r>
    </w:p>
    <w:p w14:paraId="7D8939FF" w14:textId="7C0EA057" w:rsidR="002E173A" w:rsidRPr="007811E8" w:rsidRDefault="002E173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Nie budziło ponadto wątpliwości, że podpis ten został złożony w okresie ważności kwalifikowanego certyfikatu podpisu elektronicznego, na którym był on oparty.</w:t>
      </w:r>
    </w:p>
    <w:p w14:paraId="7F72F3D8" w14:textId="1BE0B804" w:rsidR="002E173A" w:rsidRDefault="002E173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W świetle stanowisk stron postępowania odwoławczego należy stwierdzić, że kwestią sporną było to, czy oferta Odwołującego została opatrzona prawidłowo kwalifikowanym podpisem elektronicznym, a podpis ten jest ważny.</w:t>
      </w:r>
    </w:p>
    <w:p w14:paraId="2C09EF72" w14:textId="77777777" w:rsidR="005803FC" w:rsidRPr="007811E8" w:rsidRDefault="005803FC" w:rsidP="00423691">
      <w:pPr>
        <w:spacing w:after="0" w:line="240" w:lineRule="auto"/>
        <w:rPr>
          <w:rFonts w:eastAsia="Times New Roman" w:cstheme="minorHAnsi"/>
          <w:i/>
          <w:iCs/>
          <w:kern w:val="0"/>
          <w:sz w:val="24"/>
          <w:szCs w:val="24"/>
          <w14:ligatures w14:val="none"/>
        </w:rPr>
      </w:pPr>
    </w:p>
    <w:p w14:paraId="7154B3C7" w14:textId="2FBB3F67" w:rsidR="002E173A" w:rsidRDefault="002E173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Jak wskazano w odwołaniu i co nie było kwestionowane przez Zamawiającego, „kwalifikowany podpis elektroniczny można uznać za prawidłowo złożony wówczas, gdy można go skutecznie zweryfikować i potwierdzić jego ważność”.</w:t>
      </w:r>
    </w:p>
    <w:p w14:paraId="1C409C5F" w14:textId="77777777" w:rsidR="005803FC" w:rsidRPr="007811E8" w:rsidRDefault="005803FC" w:rsidP="00423691">
      <w:pPr>
        <w:spacing w:after="0" w:line="240" w:lineRule="auto"/>
        <w:rPr>
          <w:rFonts w:eastAsia="Times New Roman" w:cstheme="minorHAnsi"/>
          <w:i/>
          <w:iCs/>
          <w:kern w:val="0"/>
          <w:sz w:val="24"/>
          <w:szCs w:val="24"/>
          <w14:ligatures w14:val="none"/>
        </w:rPr>
      </w:pPr>
    </w:p>
    <w:p w14:paraId="7254AB6F" w14:textId="20D27FCF" w:rsidR="00E3731A" w:rsidRDefault="002E173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Z art. 32 ust. 1 Rozporządzenia, stosownie do którego „Proces walidacji kwalifikowanego podpisu elektronicznego potwierdza ważność kwalifikowanego podpisu elektronicznego, pod warunkiem że: a) certyfikat, który towarzyszy podpisowi, był w momencie składania podpisu kwalifikowanym certyfikatem podpisu elektronicznego zgodnym z załącznikiem I; b) kwalifikowany certyfikat został wydany przez kwalifikowanego dostawcę usług zaufania i był ważny w momencie składania podpisu; c) dane służące do walidacji podpisu odpowiadają danym dostarczonym stronie ufającej; d) unikalny zestaw danych reprezentujących podpisującego umieszczony w certyfikacie jest prawidłowo dostarczony stronie ufającej; e) jeżeli w momencie składania podpisu użyty został pseudonim, zostaje to wyraźnie wskazane stronie ufającej; f) podpis elektroniczny został złożony za pomocą kwalifikowanego urządzenia do składania podpisu elektronicznego; g) integralność podpisanych danych nie została naruszona; h) wymogi przewidziane w art. 26 zostały spełnione w momencie składania podpisu”, wynika, że ważność kwalifikowanego podpisu elektronicznego zostaje potwierdzona wtedy, gdy między innymi nie została naruszona integralność podpisanych danych.</w:t>
      </w:r>
      <w:r w:rsidR="00E3731A" w:rsidRPr="007811E8">
        <w:rPr>
          <w:rFonts w:eastAsia="Times New Roman" w:cstheme="minorHAnsi"/>
          <w:i/>
          <w:iCs/>
          <w:kern w:val="0"/>
          <w:sz w:val="24"/>
          <w:szCs w:val="24"/>
          <w14:ligatures w14:val="none"/>
        </w:rPr>
        <w:t xml:space="preserve"> (…) Treść tych dokumentów prowadzi do wniosku, że wyniki procesu walidacji kwalifikowanego podpisu elektronicznego zawartego w pliku o nazwie ocds-148610-a2f01909-a96c-11ee-a06e-7a3efa 199397_Oferta_1.pdf.xades nie wskazują na prawidłowość tego podpisu, lecz na jego nieważność bądź nieprawidłowość, prawdopodobnie z powodu naruszenia integralności podpisanych danych. Koresponduje to z treścią ww. dokumentu załączonego do odwołania, w którym wskazano „Integralność: Nieokreślona - weryfikator nie był w stanie określić integralności podpisu”, czego nie sposób uznać za potwierdzenie, że integralność podpisanych danych nie została naruszona, a w konsekwencji za potwierdzenie ważności ww. kwalifikowanego podpisu elektronicznego. </w:t>
      </w:r>
      <w:r w:rsidR="00E3731A" w:rsidRPr="007811E8">
        <w:rPr>
          <w:rFonts w:eastAsia="Times New Roman" w:cstheme="minorHAnsi"/>
          <w:i/>
          <w:iCs/>
          <w:kern w:val="0"/>
          <w:sz w:val="24"/>
          <w:szCs w:val="24"/>
          <w14:ligatures w14:val="none"/>
        </w:rPr>
        <w:lastRenderedPageBreak/>
        <w:t>Należało więc uznać, że nie zostały spełnione wszystkie określone w art. 32 ust. 1 Rozporządzenia warunki potwierdzenia ważności ww. kwalifikowanego podpisu elektronicznego.</w:t>
      </w:r>
    </w:p>
    <w:p w14:paraId="3BC60EC7" w14:textId="77777777" w:rsidR="005803FC" w:rsidRPr="007811E8" w:rsidRDefault="005803FC" w:rsidP="00423691">
      <w:pPr>
        <w:spacing w:after="0" w:line="240" w:lineRule="auto"/>
        <w:rPr>
          <w:rFonts w:eastAsia="Times New Roman" w:cstheme="minorHAnsi"/>
          <w:i/>
          <w:iCs/>
          <w:kern w:val="0"/>
          <w:sz w:val="24"/>
          <w:szCs w:val="24"/>
          <w14:ligatures w14:val="none"/>
        </w:rPr>
      </w:pPr>
    </w:p>
    <w:p w14:paraId="3541A461" w14:textId="484C220A" w:rsidR="00E3731A" w:rsidRDefault="00E3731A" w:rsidP="00423691">
      <w:pPr>
        <w:spacing w:after="0" w:line="240" w:lineRule="auto"/>
        <w:rPr>
          <w:rFonts w:eastAsia="Times New Roman" w:cstheme="minorHAnsi"/>
          <w:i/>
          <w:iCs/>
          <w:kern w:val="0"/>
          <w:sz w:val="24"/>
          <w:szCs w:val="24"/>
          <w14:ligatures w14:val="none"/>
        </w:rPr>
      </w:pPr>
      <w:r w:rsidRPr="007811E8">
        <w:rPr>
          <w:rFonts w:eastAsia="Times New Roman" w:cstheme="minorHAnsi"/>
          <w:i/>
          <w:iCs/>
          <w:kern w:val="0"/>
          <w:sz w:val="24"/>
          <w:szCs w:val="24"/>
          <w14:ligatures w14:val="none"/>
        </w:rPr>
        <w:t>W tym stanie rzeczy należało przyjąć, że oferta Odwołującego nie została opatrzona prawidłowo kwalifikowanym podpisem elektronicznym.”</w:t>
      </w:r>
    </w:p>
    <w:p w14:paraId="6F043031" w14:textId="77777777" w:rsidR="00F53A88" w:rsidRDefault="00F53A88" w:rsidP="00423691">
      <w:pPr>
        <w:pStyle w:val="Teksttreci1"/>
        <w:spacing w:after="0" w:line="240" w:lineRule="auto"/>
        <w:rPr>
          <w:rFonts w:asciiTheme="minorHAnsi" w:hAnsiTheme="minorHAnsi" w:cstheme="minorHAnsi"/>
          <w:i/>
          <w:iCs/>
          <w:sz w:val="24"/>
          <w:szCs w:val="24"/>
        </w:rPr>
      </w:pPr>
    </w:p>
    <w:p w14:paraId="05F31A4B" w14:textId="77777777" w:rsidR="00F53A88" w:rsidRPr="007811E8" w:rsidRDefault="00F53A88" w:rsidP="00423691">
      <w:pPr>
        <w:pStyle w:val="Teksttreci1"/>
        <w:spacing w:after="0" w:line="240" w:lineRule="auto"/>
        <w:rPr>
          <w:rFonts w:asciiTheme="minorHAnsi" w:hAnsiTheme="minorHAnsi" w:cstheme="minorHAnsi"/>
          <w:i/>
          <w:iCs/>
          <w:sz w:val="24"/>
          <w:szCs w:val="24"/>
        </w:rPr>
      </w:pPr>
    </w:p>
    <w:p w14:paraId="496C5106" w14:textId="3C8E369C" w:rsidR="00C6519C" w:rsidRDefault="001D5CCB" w:rsidP="00423691">
      <w:pPr>
        <w:pStyle w:val="Nagwek2"/>
      </w:pPr>
      <w:r w:rsidRPr="0079534A">
        <w:t>Wyrok K</w:t>
      </w:r>
      <w:r w:rsidR="00C6519C" w:rsidRPr="0079534A">
        <w:t>I</w:t>
      </w:r>
      <w:r w:rsidRPr="0079534A">
        <w:t>O z dnia 3 stycznia 2024 r. sygn. akt KIO 3</w:t>
      </w:r>
      <w:r w:rsidR="00A86D14" w:rsidRPr="0079534A">
        <w:t>7</w:t>
      </w:r>
      <w:r w:rsidRPr="0079534A">
        <w:t>77/</w:t>
      </w:r>
      <w:r w:rsidRPr="00CF30FB">
        <w:t>23  - status wykonawc</w:t>
      </w:r>
      <w:r w:rsidR="00847D1D" w:rsidRPr="00CF30FB">
        <w:t>y</w:t>
      </w:r>
    </w:p>
    <w:p w14:paraId="298900FD" w14:textId="77777777" w:rsidR="00F53A88" w:rsidRPr="00F53A88" w:rsidRDefault="00F53A88" w:rsidP="00423691">
      <w:pPr>
        <w:pStyle w:val="Teksttreci1"/>
        <w:spacing w:after="0" w:line="360" w:lineRule="auto"/>
        <w:rPr>
          <w:rFonts w:asciiTheme="minorHAnsi" w:hAnsiTheme="minorHAnsi" w:cstheme="minorHAnsi"/>
          <w:b/>
          <w:bCs/>
          <w:sz w:val="24"/>
          <w:szCs w:val="24"/>
          <w:u w:val="single"/>
        </w:rPr>
      </w:pPr>
    </w:p>
    <w:p w14:paraId="11EBB886" w14:textId="25620CAF" w:rsidR="00C519F1" w:rsidRDefault="001D5CCB" w:rsidP="00423691">
      <w:pPr>
        <w:autoSpaceDE w:val="0"/>
        <w:autoSpaceDN w:val="0"/>
        <w:adjustRightInd w:val="0"/>
        <w:spacing w:after="0" w:line="240" w:lineRule="auto"/>
        <w:rPr>
          <w:rFonts w:ascii="Arial" w:eastAsia="Courier New" w:hAnsi="Arial" w:cs="Arial"/>
          <w:bCs/>
          <w:kern w:val="3"/>
          <w:sz w:val="24"/>
          <w:szCs w:val="24"/>
        </w:rPr>
      </w:pPr>
      <w:r w:rsidRPr="00141185">
        <w:rPr>
          <w:rFonts w:cstheme="minorHAnsi"/>
          <w:i/>
          <w:iCs/>
          <w:sz w:val="24"/>
          <w:szCs w:val="24"/>
        </w:rPr>
        <w:t>„</w:t>
      </w:r>
      <w:r w:rsidR="007C221E" w:rsidRPr="00141185">
        <w:rPr>
          <w:rFonts w:cstheme="minorHAnsi"/>
          <w:i/>
          <w:iCs/>
          <w:sz w:val="24"/>
          <w:szCs w:val="24"/>
        </w:rPr>
        <w:t xml:space="preserve"> </w:t>
      </w:r>
      <w:r w:rsidR="007C221E" w:rsidRPr="00141185">
        <w:rPr>
          <w:rFonts w:eastAsia="Courier New" w:cstheme="minorHAnsi"/>
          <w:bCs/>
          <w:i/>
          <w:iCs/>
          <w:kern w:val="3"/>
          <w:sz w:val="24"/>
          <w:szCs w:val="24"/>
        </w:rPr>
        <w:t xml:space="preserve">Odnosząc się szczegółowo do okoliczności uzasadniającej odrzucenie odwołania na podstawie art. 528 pkt 2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Izba zauważa, że ustawodawca określił krąg podmiotów uprawnionych do wniesienia odwołania w art. 505 ust. 1 i 2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Są to wykonawcy, uczestnicy konkursu, a także inne podmioty, jeżeli mają lub mieli interes w uzyskaniu zamówienia lub nagrody w konkursie oraz ponieśli lub mogą ponieść szkodę w wyniku naruszenia przez zamawiającego przepisów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Ponadto podmiotami uprawnionymi, ale jedynie w przypadku wnoszenia odwołania wobec ogłoszenia wszczynającego postępowanie o udzielenie zamówienia lub ogłoszenia o konkursie oraz dokumentów zamówienia, będą organizacje wpisane na listę, o której mowa w art. 469 pkt 15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oraz Rzecznik Małych i Średnich Przedsiębiorców. Niewątpliwie uprawnionymi do wniesienia odwołania mogą być wyłącznie podmioty wskazane w wyżej wymienionym przepisie, w tym w szczególności wykonawca, którego definicję legalną ustawodawca zawarł w art. 7 pkt 30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Za wykonawcę należy uznać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Podkreślenia wymaga, że krąg podmiotów posiadających status wykonawcy ulega zawężeniu wraz z przebiegiem postępowania o udzielenie zamówienia publicznego. Na etapie poprzedzającym składanie ofert lub wniosków o dopuszczenie do udziału w postępowaniu będzie on faktycznie przysługiwał każdemu, kto z racji oferowania na rynku wykonania robót budowlanych lub obiektu budowlanego, dostawy produktów bądź świadczenia usług, będzie potencjalnie zainteresowany postępowaniem, natomiast już po upływie terminu składania ofert lub wniosków o dopuszczenie do udziału w postępowaniu będzie on przysługiwał wyłącznie tym, którzy owe oferty lub wnioski złożyli (zob. P. Wójcik [w:] Gawrońska-Baran </w:t>
      </w:r>
      <w:proofErr w:type="spellStart"/>
      <w:r w:rsidR="007C221E" w:rsidRPr="00141185">
        <w:rPr>
          <w:rFonts w:eastAsia="Courier New" w:cstheme="minorHAnsi"/>
          <w:bCs/>
          <w:i/>
          <w:iCs/>
          <w:kern w:val="3"/>
          <w:sz w:val="24"/>
          <w:szCs w:val="24"/>
        </w:rPr>
        <w:t>Andrzela</w:t>
      </w:r>
      <w:proofErr w:type="spellEnd"/>
      <w:r w:rsidR="007C221E" w:rsidRPr="00141185">
        <w:rPr>
          <w:rFonts w:eastAsia="Courier New" w:cstheme="minorHAnsi"/>
          <w:bCs/>
          <w:i/>
          <w:iCs/>
          <w:kern w:val="3"/>
          <w:sz w:val="24"/>
          <w:szCs w:val="24"/>
        </w:rPr>
        <w:t xml:space="preserve"> i in., Prawo zamówień publicznych. Komentarz aktualizowany, LEX 2022). Podobnie podmiot, który wycofał złożoną ofertę przed upływem terminu składania ofert (art. 219 ust. 2 ustawy </w:t>
      </w:r>
      <w:proofErr w:type="spellStart"/>
      <w:r w:rsidR="007C221E" w:rsidRPr="00141185">
        <w:rPr>
          <w:rFonts w:eastAsia="Courier New" w:cstheme="minorHAnsi"/>
          <w:bCs/>
          <w:i/>
          <w:iCs/>
          <w:kern w:val="3"/>
          <w:sz w:val="24"/>
          <w:szCs w:val="24"/>
        </w:rPr>
        <w:t>Pzp</w:t>
      </w:r>
      <w:proofErr w:type="spellEnd"/>
      <w:r w:rsidR="007C221E" w:rsidRPr="00141185">
        <w:rPr>
          <w:rFonts w:eastAsia="Courier New" w:cstheme="minorHAnsi"/>
          <w:bCs/>
          <w:i/>
          <w:iCs/>
          <w:kern w:val="3"/>
          <w:sz w:val="24"/>
          <w:szCs w:val="24"/>
        </w:rPr>
        <w:t xml:space="preserve">), również traci status wykonawcy. Ponadto w sytuacji gdy dany wykonawca brał udział w postępowaniu, ale został z udziału w tym postępowaniu nieodwracalnie wykluczony lub jego oferta została odrzucona (gdy minął już termin na wniesienie odwołania na czynność wykluczenia lub odrzucenia bądź gdy wykluczenie lub odrzucenie poparte zostało wyrokiem KIO, od którego nie została wniesiona skarga do sądu zamówień publicznych albo w sytuacji gdy sąd ten oddalił skargę na wyrok KIO uznając za prawidłowe rozstrzygnięcie Izby w przedmiocie wykluczenia lub odrzucenia oferty wykonawcy), również zostanie potraktowany jako nieuprawniony do wniesienia odwołania na dalsze czynności zamawiającego. Powyższe znajduje potwierdzenie w </w:t>
      </w:r>
      <w:r w:rsidR="007C221E" w:rsidRPr="00141185">
        <w:rPr>
          <w:rFonts w:eastAsia="Courier New" w:cstheme="minorHAnsi"/>
          <w:bCs/>
          <w:i/>
          <w:iCs/>
          <w:kern w:val="3"/>
          <w:sz w:val="24"/>
          <w:szCs w:val="24"/>
        </w:rPr>
        <w:lastRenderedPageBreak/>
        <w:t>brzmieniu art. 2a ust. 2 zdanie 2 Dyrektywy Rady z dnia 21 grudnia 1989 r. w sprawie koordynacji przepisów ustawowych, wykonawczych i administracyjnych odnoszących się do stosowania procedur odwoławczych w zakresie udzielania zamówień publicznych na dostawy i roboty budowlane (89/665/EWG) (</w:t>
      </w:r>
      <w:proofErr w:type="spellStart"/>
      <w:r w:rsidR="007C221E" w:rsidRPr="00141185">
        <w:rPr>
          <w:rFonts w:eastAsia="Courier New" w:cstheme="minorHAnsi"/>
          <w:bCs/>
          <w:i/>
          <w:iCs/>
          <w:kern w:val="3"/>
          <w:sz w:val="24"/>
          <w:szCs w:val="24"/>
        </w:rPr>
        <w:t>Dz.Urz.UE.L</w:t>
      </w:r>
      <w:proofErr w:type="spellEnd"/>
      <w:r w:rsidR="007C221E" w:rsidRPr="00141185">
        <w:rPr>
          <w:rFonts w:eastAsia="Courier New" w:cstheme="minorHAnsi"/>
          <w:bCs/>
          <w:i/>
          <w:iCs/>
          <w:kern w:val="3"/>
          <w:sz w:val="24"/>
          <w:szCs w:val="24"/>
        </w:rPr>
        <w:t xml:space="preserve"> 1989 Nr 395, str. 33 ze zm., dalej: „dyrektywa 89/665/EWG”), zgodnie z którym „Oferentów uważa się za zainteresowanych, jeśli nie zostali jeszcze ostatecznie wykluczeni. Wykluczenie ma charakter ostateczny, jeśli zainteresowani oferenci zostali o nim powiadomieni i jeżeli zostało ono uznane za zgodne z prawem przez niezależny organ odwoławczy lub nie może już podlegać procedurze odwołania”.</w:t>
      </w:r>
    </w:p>
    <w:p w14:paraId="7040E901" w14:textId="77777777" w:rsidR="005803FC" w:rsidRDefault="005803FC" w:rsidP="00423691">
      <w:pPr>
        <w:autoSpaceDE w:val="0"/>
        <w:autoSpaceDN w:val="0"/>
        <w:adjustRightInd w:val="0"/>
        <w:spacing w:after="0" w:line="240" w:lineRule="auto"/>
        <w:rPr>
          <w:rFonts w:ascii="Arial" w:eastAsia="Courier New" w:hAnsi="Arial" w:cs="Arial"/>
          <w:bCs/>
          <w:kern w:val="3"/>
          <w:sz w:val="24"/>
          <w:szCs w:val="24"/>
        </w:rPr>
      </w:pPr>
    </w:p>
    <w:p w14:paraId="1B0CA4C6" w14:textId="63C4D9FD" w:rsidR="002950E8" w:rsidRPr="00141185" w:rsidRDefault="001D5CCB" w:rsidP="00423691">
      <w:pPr>
        <w:autoSpaceDE w:val="0"/>
        <w:autoSpaceDN w:val="0"/>
        <w:adjustRightInd w:val="0"/>
        <w:spacing w:after="0" w:line="240" w:lineRule="auto"/>
        <w:rPr>
          <w:rFonts w:ascii="Arial" w:eastAsia="Courier New" w:hAnsi="Arial" w:cs="Arial"/>
          <w:bCs/>
          <w:kern w:val="3"/>
          <w:sz w:val="24"/>
          <w:szCs w:val="24"/>
        </w:rPr>
      </w:pPr>
      <w:r w:rsidRPr="00141185">
        <w:rPr>
          <w:rFonts w:eastAsia="Courier New" w:cstheme="minorHAnsi"/>
          <w:bCs/>
          <w:i/>
          <w:iCs/>
          <w:kern w:val="3"/>
          <w:sz w:val="24"/>
          <w:szCs w:val="24"/>
        </w:rPr>
        <w:t>Nie ulega zatem wątpliwości, że status wykonawcy wiąże się przede wszystkim z czynnym uczestnictwem podmiotu w kolejnych etapach postępowania o udzielenie zamówienia. Mając na uwadze brzmienie przywołanych powyżej przepisów zasadnym jest stwierdzenie, że do wniesienia odwołania uprawniony jest podmiot, który w objętym odwołaniem postępowaniu o udzielenie zamówienia publicznego, w chwili składania rzeczonego środka ochrony prawnej, jest wykonawcą – aktywnym uczestnikiem postępowania o udzielenie zamówienia publicznego. Ochrona prawna przysługuje tylko takiemu uczestnikowi postępowania o udzielenie zamówienia, który nie został z tego postępowania prawomocnie wyeliminowany. Czynne działanie Odwołującego w zakresie obrony własnej oferty ma kluczowe znaczenie dla oceny, czy może on skutecznie kwestionować pozostałe decyzje instytucji zamawiającej. Z kolei za podmiot nieuprawniony do wniesienia odwołania można uznać m.in. podmiot, który status wykonawcy utracił na wcześniejszym etapie postępowania o udzielenie zamówienia publicznego</w:t>
      </w:r>
      <w:r w:rsidR="001A4567" w:rsidRPr="00141185">
        <w:rPr>
          <w:rFonts w:eastAsia="Courier New" w:cstheme="minorHAnsi"/>
          <w:bCs/>
          <w:i/>
          <w:iCs/>
          <w:kern w:val="3"/>
          <w:sz w:val="24"/>
          <w:szCs w:val="24"/>
        </w:rPr>
        <w:t>.”</w:t>
      </w:r>
    </w:p>
    <w:p w14:paraId="67DBAB58" w14:textId="77777777" w:rsidR="008D3055" w:rsidRDefault="008D3055" w:rsidP="00423691">
      <w:pPr>
        <w:tabs>
          <w:tab w:val="left" w:pos="1077"/>
        </w:tabs>
        <w:spacing w:after="0" w:line="360" w:lineRule="auto"/>
        <w:outlineLvl w:val="0"/>
        <w:rPr>
          <w:rFonts w:cstheme="minorHAnsi"/>
          <w:b/>
          <w:bCs/>
          <w:sz w:val="24"/>
          <w:szCs w:val="24"/>
          <w:u w:val="single"/>
        </w:rPr>
      </w:pPr>
    </w:p>
    <w:p w14:paraId="5CCEA7E9" w14:textId="1172455D" w:rsidR="008D3055" w:rsidRPr="0079534A" w:rsidRDefault="008D3055" w:rsidP="00423691">
      <w:pPr>
        <w:pStyle w:val="Nagwek2"/>
      </w:pPr>
      <w:r w:rsidRPr="0079534A">
        <w:t xml:space="preserve">Wyrok KIO z dnia 4 marca 2024 r. sygn. akt KIO 440/24, KIO 501/24 – interes we wniesieniu odwołania (art. 505 </w:t>
      </w:r>
      <w:proofErr w:type="spellStart"/>
      <w:r w:rsidRPr="0079534A">
        <w:t>Pzp</w:t>
      </w:r>
      <w:proofErr w:type="spellEnd"/>
      <w:r w:rsidRPr="0079534A">
        <w:t>)</w:t>
      </w:r>
    </w:p>
    <w:p w14:paraId="7F0C764C" w14:textId="77777777" w:rsidR="008D3055" w:rsidRPr="007811E8" w:rsidRDefault="008D3055" w:rsidP="00423691">
      <w:pPr>
        <w:tabs>
          <w:tab w:val="left" w:pos="1077"/>
        </w:tabs>
        <w:spacing w:after="0" w:line="240" w:lineRule="auto"/>
        <w:outlineLvl w:val="0"/>
        <w:rPr>
          <w:rFonts w:cstheme="minorHAnsi"/>
          <w:b/>
          <w:bCs/>
          <w:i/>
          <w:iCs/>
          <w:sz w:val="24"/>
          <w:szCs w:val="24"/>
        </w:rPr>
      </w:pPr>
    </w:p>
    <w:p w14:paraId="1C234DF4" w14:textId="469DC176" w:rsidR="008D3055" w:rsidRDefault="008D3055" w:rsidP="00423691">
      <w:pPr>
        <w:pStyle w:val="Teksttreci1"/>
        <w:spacing w:after="0" w:line="240" w:lineRule="auto"/>
        <w:rPr>
          <w:rFonts w:asciiTheme="minorHAnsi" w:hAnsiTheme="minorHAnsi" w:cstheme="minorHAnsi"/>
          <w:i/>
          <w:iCs/>
          <w:sz w:val="24"/>
          <w:szCs w:val="24"/>
        </w:rPr>
      </w:pPr>
      <w:r w:rsidRPr="007811E8">
        <w:rPr>
          <w:rFonts w:asciiTheme="minorHAnsi" w:hAnsiTheme="minorHAnsi" w:cstheme="minorHAnsi"/>
          <w:i/>
          <w:iCs/>
          <w:sz w:val="24"/>
          <w:szCs w:val="24"/>
        </w:rPr>
        <w:t xml:space="preserve">„Wykazanie posiadania interesu w uzyskaniu zamówienia oraz poniesienia lub możliwości poniesienia szkody przez Odwołującego ten ostatni musi wykazać na moment wniesienia odwołania, a stanowisko w tym zakresie musi zostać zawarte w odwołaniu. Przesłanki te zatem badane są na moment wniesienia odwołania, a w żaden sposób nie są uzależnione od podejmowanych przez Odwołującego decyzji w odniesieniu do udziału w postępowaniach o udzielnie zamówienia publicznego we wcześniejszych latach. Podkreślenia wymaga również to, że przesłanki badane są w ramach danego prowadzonego postępowania i nie odnoszą się do innych, niezwiązanych z tym postępowaniem, okoliczności. Podnoszona przez Zamawiającego argumentacja skupiająca się na tym, że we wcześniej prowadzonych postępowaniach o udzielnie zamówienia publicznego wzór umowy (dokumenty zamówienia) był tożsamy z tym jaki został przedstawiony w bieżącym postępowaniu o udzielnie zamówienia publicznego, którego dotyczy to odwołanie nie uzasadnia w żaden sposób odmowy Odwołującemu prawa i możliwości wykazania spełnienia przesłanek z art. 505 ust. 1 ustawy na ten moment, czyli w tym postępowaniu odwoławczym. Historyczne odniesienia do podejmowanych przez Odwołującego w latach poprzednich czynności, decyzji czy zawieranych umów pozostaje bez wpływu na ocenę przesłanek posiadania interesu w uzyskaniu zamówienia oraz poniesienia lub możliwości poniesienia szkody przez Odwołującego na moment wnoszenia odwołania, które składane jest w odniesieniu do prowadzonego obecnie postępowania o zamówienie. Działania wykonawcy w latach poprzednich, jego decyzje podejmowane w odniesieniu do kwestionowania czy też nie, a w </w:t>
      </w:r>
      <w:r w:rsidRPr="007811E8">
        <w:rPr>
          <w:rFonts w:asciiTheme="minorHAnsi" w:hAnsiTheme="minorHAnsi" w:cstheme="minorHAnsi"/>
          <w:i/>
          <w:iCs/>
          <w:sz w:val="24"/>
          <w:szCs w:val="24"/>
        </w:rPr>
        <w:lastRenderedPageBreak/>
        <w:t xml:space="preserve">konsekwencji przyjmowania pewnych regulacji ukształtowanych przez Zamawiającego w ramach prowadzonych wcześniej procedur zamówieniowych nie przekładają się  na ocenę w ramach przesłanek z art. 505 ust. 1 w przyszłych prowadzonych procedurach. Tym samym nie ma żadnej podstawy, aby żądać od wykonawcy wykazania z jakich przyczyn obecnie, w kontekście do poprzednich postępowań o zamówienie, nie jest w stanie złożyć oferty. Izba za bezprzedmiotowe dla oceny przesłanek uznała dowody przedstawione przy pismach procesowych Zamawiającego. Izba podkreśla, że ocena tychże przesłanek następuje na moment wniesienia odwołania i w tym zakresie Izba uznała, że w sposób wystarczający Odwołujący uzasadnił spełnienie tych przesłanek. Wymaga wskazania, że wykonawca składający odwołanie jest podmiotem realizującym zamówienia określone w przedmiotach postępowań, w ramach których składa odwołania podlegające ocenie w tym postępowaniu odwoławczym. Potwierdza to stanowisko Odwołującego z rozprawy, jak również stanowisko Zamawiającego. Wykonawca ten zatem, co wynika jednoznacznie z jego oświadczenia zawartego w uzasadnieniu </w:t>
      </w:r>
      <w:proofErr w:type="spellStart"/>
      <w:r w:rsidRPr="007811E8">
        <w:rPr>
          <w:rFonts w:asciiTheme="minorHAnsi" w:hAnsiTheme="minorHAnsi" w:cstheme="minorHAnsi"/>
          <w:i/>
          <w:iCs/>
          <w:sz w:val="24"/>
          <w:szCs w:val="24"/>
        </w:rPr>
        <w:t>odwołań</w:t>
      </w:r>
      <w:proofErr w:type="spellEnd"/>
      <w:r w:rsidRPr="007811E8">
        <w:rPr>
          <w:rFonts w:asciiTheme="minorHAnsi" w:hAnsiTheme="minorHAnsi" w:cstheme="minorHAnsi"/>
          <w:i/>
          <w:iCs/>
          <w:sz w:val="24"/>
          <w:szCs w:val="24"/>
        </w:rPr>
        <w:t xml:space="preserve"> w ramach wykazania przesłanek z art. 505 ust. 1 ustawy, jest podmiotem zainteresowanym udziałem w postępowaniach o udzielnie zamówienia i uzyskaniem tych zamówienia, chce złożyć oferty w ogłoszonych przetargach. Podkreślenia wymaga, że na etapie po ogłoszeniu zamówienia i przedstawienia przez Zamawiającego opisu przedmiotu zamówienia, obowiązków umownych (postanowień umowy), to ukształtowanie treści tych dokumentów w taki sposób, który w ocenie wykonawcy narusza uczciwą konkurencję, uniemożliwia lub utrudnia wykonawcy złożenie oferty i uzyskanie zamówienia, godzi w interes wykonawcy w uzyskaniu danego zamówienia oraz może prowadzić do powstania szkody.”</w:t>
      </w:r>
    </w:p>
    <w:p w14:paraId="64ABB934" w14:textId="77777777" w:rsidR="002950E8" w:rsidRDefault="002950E8" w:rsidP="00423691">
      <w:pPr>
        <w:pStyle w:val="Teksttreci1"/>
        <w:spacing w:after="0" w:line="360" w:lineRule="auto"/>
        <w:rPr>
          <w:rFonts w:asciiTheme="minorHAnsi" w:eastAsia="Courier New" w:hAnsiTheme="minorHAnsi" w:cstheme="minorHAnsi"/>
          <w:bCs/>
          <w:kern w:val="3"/>
          <w:sz w:val="24"/>
          <w:szCs w:val="24"/>
        </w:rPr>
      </w:pPr>
    </w:p>
    <w:p w14:paraId="67D6EAC2" w14:textId="77777777" w:rsidR="005803FC" w:rsidRDefault="005803FC" w:rsidP="00423691">
      <w:pPr>
        <w:pStyle w:val="Teksttreci1"/>
        <w:spacing w:after="0" w:line="360" w:lineRule="auto"/>
        <w:rPr>
          <w:rFonts w:asciiTheme="minorHAnsi" w:eastAsia="Courier New" w:hAnsiTheme="minorHAnsi" w:cstheme="minorHAnsi"/>
          <w:bCs/>
          <w:kern w:val="3"/>
          <w:sz w:val="24"/>
          <w:szCs w:val="24"/>
        </w:rPr>
      </w:pPr>
    </w:p>
    <w:p w14:paraId="676F08B1" w14:textId="3E018FCB" w:rsidR="006A076A" w:rsidRPr="007811E8" w:rsidRDefault="00DF4065" w:rsidP="00423691">
      <w:pPr>
        <w:pStyle w:val="Nagwek2"/>
        <w:rPr>
          <w:rStyle w:val="Hipercze"/>
          <w:b/>
          <w:bCs/>
          <w:color w:val="auto"/>
          <w:sz w:val="24"/>
          <w:szCs w:val="24"/>
        </w:rPr>
      </w:pPr>
      <w:bookmarkStart w:id="2" w:name="_Hlk164921149"/>
      <w:r w:rsidRPr="0079534A">
        <w:t xml:space="preserve">Wyrok SO w Warszawie z dnia 27 września 2023 r. sygn. akt XXIII </w:t>
      </w:r>
      <w:proofErr w:type="spellStart"/>
      <w:r w:rsidRPr="0079534A">
        <w:t>Zs</w:t>
      </w:r>
      <w:proofErr w:type="spellEnd"/>
      <w:r w:rsidRPr="0079534A">
        <w:t xml:space="preserve"> 6/23 </w:t>
      </w:r>
      <w:r w:rsidR="000E46F0" w:rsidRPr="00CF30FB">
        <w:t xml:space="preserve"> - art. 223 ust. 1 </w:t>
      </w:r>
      <w:proofErr w:type="spellStart"/>
      <w:r w:rsidR="000E46F0" w:rsidRPr="00CF30FB">
        <w:t>Pzp</w:t>
      </w:r>
      <w:proofErr w:type="spellEnd"/>
      <w:r w:rsidR="000E46F0" w:rsidRPr="00CF30FB">
        <w:t xml:space="preserve"> </w:t>
      </w:r>
      <w:r w:rsidR="005803FC">
        <w:t xml:space="preserve">– </w:t>
      </w:r>
      <w:r w:rsidR="000E46F0" w:rsidRPr="00CF30FB">
        <w:t>wyjaśnienia oferty</w:t>
      </w:r>
    </w:p>
    <w:bookmarkEnd w:id="2"/>
    <w:p w14:paraId="0927C5AD" w14:textId="00713F58" w:rsidR="005B58A6" w:rsidRPr="008D3055" w:rsidRDefault="006A076A" w:rsidP="00423691">
      <w:pPr>
        <w:pStyle w:val="NormalnyWeb"/>
        <w:shd w:val="clear" w:color="auto" w:fill="FFFFFF"/>
        <w:rPr>
          <w:rFonts w:asciiTheme="minorHAnsi" w:hAnsiTheme="minorHAnsi" w:cstheme="minorHAnsi"/>
          <w:i/>
          <w:iCs/>
          <w:shd w:val="clear" w:color="auto" w:fill="FFFFFF"/>
        </w:rPr>
      </w:pPr>
      <w:r w:rsidRPr="00B930FF">
        <w:rPr>
          <w:rStyle w:val="Hipercze"/>
          <w:rFonts w:asciiTheme="minorHAnsi" w:hAnsiTheme="minorHAnsi" w:cstheme="minorHAnsi"/>
          <w:i/>
          <w:iCs/>
          <w:color w:val="auto"/>
          <w:u w:val="none"/>
        </w:rPr>
        <w:t>„</w:t>
      </w:r>
      <w:r w:rsidRPr="00B930FF">
        <w:rPr>
          <w:rFonts w:asciiTheme="minorHAnsi" w:hAnsiTheme="minorHAnsi" w:cstheme="minorHAnsi"/>
          <w:i/>
          <w:iCs/>
          <w:shd w:val="clear" w:color="auto" w:fill="FFFFFF"/>
        </w:rPr>
        <w:t>W pierwszej kolejności wskazania wymaga, że Sąd Okręgowy podziela stanowisko Krajowej Izby Odwoławczej w zakresie posiadania przez Odwołującego interesu prawnego w złożeniu odwołania na czynność Zamawiającego jaką było wezwanie Wykonawcy do złożenia wyjaśnień z dnia 10 listopada 2022 roku. Samo niezłożenie wyjaśnień przez Wykonawcę w odpowiedzi na wezwanie Zamawiającego nie jest obwarowane bezpośrednią sankcją w postaci odrzucenia oferty. Jednakże niewątpliwie niezłożenie przez Wykonawcę wyjaśnień mogło skutkować podjęciem niekorzystnej decyzji, w tym narażało go na ryzyko odrzucenia jego oferty ze względu na chociażby niezgodność z warunkami zamówienia. Nieudzielenie przez Wykonawcę wyjaśnień dotyczących treści złożonej oferty nie zwalnia bowiem Zamawiającego z obowiązku dokonania określonej czynności i powoduje, że Zamawiający podejmuje decyzję na podstawie wiedzy, jaką dysponuje bez wyjaśnień Wykonawcy. W rezultacie przekazanie odpowiedzi na wezwanie Zamawiającego pozwala zapobiec tego rodzaju niekorzystnym konsekwencjom. Udzielenie odpowiedzi w ramach wyjaśnień leży niewątpliwie w interesie Wykonawcy. Zatem w sytuacji kwestionowania przez Wykonawcę wezwania do wyjaśnień winien on zaskarżyć właśnie tę czynność, gdyż w momencie ewentualnego odrzucenia oferty Wykonawcy w wyniku niezłożenia wyjaśnień, jego argumenty odnoszące się do wezwania mogłyby zostać uznane za spóźnione.</w:t>
      </w:r>
      <w:r w:rsidR="001F0EF4" w:rsidRPr="00B930FF">
        <w:rPr>
          <w:rFonts w:asciiTheme="minorHAnsi" w:hAnsiTheme="minorHAnsi" w:cstheme="minorHAnsi"/>
          <w:i/>
          <w:iCs/>
          <w:shd w:val="clear" w:color="auto" w:fill="FFFFFF"/>
        </w:rPr>
        <w:t xml:space="preserve"> (…) </w:t>
      </w:r>
      <w:r w:rsidR="001F0EF4" w:rsidRPr="00B930FF">
        <w:rPr>
          <w:rFonts w:asciiTheme="minorHAnsi" w:hAnsiTheme="minorHAnsi" w:cstheme="minorHAnsi"/>
          <w:i/>
          <w:iCs/>
          <w:color w:val="222222"/>
        </w:rPr>
        <w:t xml:space="preserve">Przepis art. 223 ust. 1 ustawy PZP wskazuje, że zamawiający może żądać wyjaśnienia treści oferty – czyli </w:t>
      </w:r>
      <w:r w:rsidR="001F0EF4" w:rsidRPr="00B930FF">
        <w:rPr>
          <w:rFonts w:asciiTheme="minorHAnsi" w:hAnsiTheme="minorHAnsi" w:cstheme="minorHAnsi"/>
          <w:i/>
          <w:iCs/>
          <w:color w:val="222222"/>
        </w:rPr>
        <w:lastRenderedPageBreak/>
        <w:t>wyjaśniamy to co było w ofercie. Nie ma zatem podstawy do wyjaśniania czegoś czego w ofercie nie było. Formalnie i literalnie zamawiający nie ma podstaw do wzywania do</w:t>
      </w:r>
      <w:r w:rsidR="00B930FF">
        <w:rPr>
          <w:rFonts w:asciiTheme="minorHAnsi" w:hAnsiTheme="minorHAnsi" w:cstheme="minorHAnsi"/>
          <w:i/>
          <w:iCs/>
          <w:color w:val="222222"/>
        </w:rPr>
        <w:t xml:space="preserve"> W</w:t>
      </w:r>
      <w:r w:rsidR="001F0EF4" w:rsidRPr="00B930FF">
        <w:rPr>
          <w:rFonts w:asciiTheme="minorHAnsi" w:hAnsiTheme="minorHAnsi" w:cstheme="minorHAnsi"/>
          <w:i/>
          <w:iCs/>
          <w:color w:val="222222"/>
        </w:rPr>
        <w:t>yjaśnienia czegoś czego nie ma w treści oferty. Swoich błędnych decyzji co do oczekiwanej treści zakresu oferty zamawiający nie może konwalidować na późniejszym etapie, nie może zmieniać</w:t>
      </w:r>
      <w:r w:rsidR="00B930FF">
        <w:rPr>
          <w:rFonts w:asciiTheme="minorHAnsi" w:hAnsiTheme="minorHAnsi" w:cstheme="minorHAnsi"/>
          <w:i/>
          <w:iCs/>
          <w:color w:val="222222"/>
        </w:rPr>
        <w:t xml:space="preserve"> Z</w:t>
      </w:r>
      <w:r w:rsidR="001F0EF4" w:rsidRPr="00B930FF">
        <w:rPr>
          <w:rFonts w:asciiTheme="minorHAnsi" w:hAnsiTheme="minorHAnsi" w:cstheme="minorHAnsi"/>
          <w:i/>
          <w:iCs/>
          <w:color w:val="222222"/>
        </w:rPr>
        <w:t>asad postępowania. Zauważyć jednak należy, iż sporny przepis nie odnosi się wyłącznie do treści</w:t>
      </w:r>
      <w:r w:rsidR="00B930FF">
        <w:rPr>
          <w:rFonts w:asciiTheme="minorHAnsi" w:hAnsiTheme="minorHAnsi" w:cstheme="minorHAnsi"/>
          <w:i/>
          <w:iCs/>
          <w:color w:val="222222"/>
        </w:rPr>
        <w:t xml:space="preserve"> </w:t>
      </w:r>
      <w:r w:rsidR="001F0EF4" w:rsidRPr="00B930FF">
        <w:rPr>
          <w:rFonts w:asciiTheme="minorHAnsi" w:hAnsiTheme="minorHAnsi" w:cstheme="minorHAnsi"/>
          <w:i/>
          <w:iCs/>
          <w:color w:val="222222"/>
        </w:rPr>
        <w:t>oferty, ale wskazuje, że zamawiający może wezwać wykonawcę również do wyjaśnienia innych składanych dokumentów oraz oświadczeń. Ma to niewątpliwie związek z faktem, że pod rządem obecnie obowiązującej ustawy całe postępowanie jest prowadzone w formie elektronicznej i ustawodawca miał świadomość możliwości występowania ograniczeń chociażby co do wielkości plików, czy też sposobu ich uzupełniania, które mogą wystąpić z takim sposobem procedowania. Niewątpliwie jednak ustawodawca nie ograniczył możliwości żądania przez zamawiającego</w:t>
      </w:r>
      <w:r w:rsidR="00B930FF">
        <w:rPr>
          <w:rFonts w:asciiTheme="minorHAnsi" w:hAnsiTheme="minorHAnsi" w:cstheme="minorHAnsi"/>
          <w:i/>
          <w:iCs/>
          <w:color w:val="222222"/>
        </w:rPr>
        <w:t xml:space="preserve"> </w:t>
      </w:r>
      <w:r w:rsidR="001F0EF4" w:rsidRPr="00B930FF">
        <w:rPr>
          <w:rFonts w:asciiTheme="minorHAnsi" w:hAnsiTheme="minorHAnsi" w:cstheme="minorHAnsi"/>
          <w:i/>
          <w:iCs/>
          <w:color w:val="222222"/>
        </w:rPr>
        <w:t>wyjaśnień tylko w odniesieniu do treści oferty.</w:t>
      </w:r>
      <w:r w:rsidR="00B930FF">
        <w:rPr>
          <w:rFonts w:asciiTheme="minorHAnsi" w:hAnsiTheme="minorHAnsi" w:cstheme="minorHAnsi"/>
          <w:i/>
          <w:iCs/>
          <w:color w:val="222222"/>
        </w:rPr>
        <w:t xml:space="preserve"> </w:t>
      </w:r>
      <w:r w:rsidR="001F0EF4" w:rsidRPr="00B930FF">
        <w:rPr>
          <w:rFonts w:asciiTheme="minorHAnsi" w:hAnsiTheme="minorHAnsi" w:cstheme="minorHAnsi"/>
          <w:i/>
          <w:iCs/>
          <w:color w:val="222222"/>
        </w:rPr>
        <w:t>W</w:t>
      </w:r>
      <w:r w:rsidR="00B930FF">
        <w:rPr>
          <w:rFonts w:asciiTheme="minorHAnsi" w:hAnsiTheme="minorHAnsi" w:cstheme="minorHAnsi"/>
          <w:i/>
          <w:iCs/>
          <w:color w:val="222222"/>
        </w:rPr>
        <w:t xml:space="preserve"> </w:t>
      </w:r>
      <w:r w:rsidR="001F0EF4" w:rsidRPr="00B930FF">
        <w:rPr>
          <w:rFonts w:asciiTheme="minorHAnsi" w:hAnsiTheme="minorHAnsi" w:cstheme="minorHAnsi"/>
          <w:i/>
          <w:iCs/>
          <w:color w:val="222222"/>
        </w:rPr>
        <w:t>związku z tym zauważyć należy, że przedmiotowe środki dowodowe są dokumentami ściśle związanymi z przedmiotem świadczenia wykonawcy i ich ocena decyduje o zgodności oferty</w:t>
      </w:r>
      <w:r w:rsidR="00B930FF">
        <w:rPr>
          <w:rFonts w:asciiTheme="minorHAnsi" w:hAnsiTheme="minorHAnsi" w:cstheme="minorHAnsi"/>
          <w:i/>
          <w:iCs/>
          <w:color w:val="222222"/>
        </w:rPr>
        <w:t xml:space="preserve"> </w:t>
      </w:r>
      <w:r w:rsidR="001F0EF4" w:rsidRPr="00B930FF">
        <w:rPr>
          <w:rFonts w:asciiTheme="minorHAnsi" w:hAnsiTheme="minorHAnsi" w:cstheme="minorHAnsi"/>
          <w:i/>
          <w:iCs/>
          <w:color w:val="222222"/>
        </w:rPr>
        <w:t>z warunkami zamówienia. Stąd też podlegają wyjaśnieniom analogicznie w stosunku do treści oferty</w:t>
      </w:r>
      <w:r w:rsidR="00B930FF" w:rsidRPr="00B930FF">
        <w:rPr>
          <w:rFonts w:asciiTheme="minorHAnsi" w:hAnsiTheme="minorHAnsi" w:cstheme="minorHAnsi"/>
          <w:i/>
          <w:iCs/>
          <w:color w:val="222222"/>
        </w:rPr>
        <w:t>.</w:t>
      </w:r>
      <w:r w:rsidRPr="00B930FF">
        <w:rPr>
          <w:rFonts w:asciiTheme="minorHAnsi" w:hAnsiTheme="minorHAnsi" w:cstheme="minorHAnsi"/>
          <w:i/>
          <w:iCs/>
          <w:shd w:val="clear" w:color="auto" w:fill="FFFFFF"/>
        </w:rPr>
        <w:t>”</w:t>
      </w:r>
    </w:p>
    <w:sectPr w:rsidR="005B58A6" w:rsidRPr="008D30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FA3C" w14:textId="77777777" w:rsidR="00D0183F" w:rsidRDefault="00D0183F" w:rsidP="005F2713">
      <w:pPr>
        <w:spacing w:after="0" w:line="240" w:lineRule="auto"/>
      </w:pPr>
      <w:r>
        <w:separator/>
      </w:r>
    </w:p>
  </w:endnote>
  <w:endnote w:type="continuationSeparator" w:id="0">
    <w:p w14:paraId="152D7D8D" w14:textId="77777777" w:rsidR="00D0183F" w:rsidRDefault="00D0183F" w:rsidP="005F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D076" w14:textId="77777777" w:rsidR="00D0183F" w:rsidRDefault="00D0183F" w:rsidP="005F2713">
      <w:pPr>
        <w:spacing w:after="0" w:line="240" w:lineRule="auto"/>
      </w:pPr>
      <w:r>
        <w:separator/>
      </w:r>
    </w:p>
  </w:footnote>
  <w:footnote w:type="continuationSeparator" w:id="0">
    <w:p w14:paraId="22093AB5" w14:textId="77777777" w:rsidR="00D0183F" w:rsidRDefault="00D0183F" w:rsidP="005F2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BA2"/>
    <w:multiLevelType w:val="multilevel"/>
    <w:tmpl w:val="78E8D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FD3DE5"/>
    <w:multiLevelType w:val="hybridMultilevel"/>
    <w:tmpl w:val="805A597E"/>
    <w:lvl w:ilvl="0" w:tplc="A3E4DC9E">
      <w:start w:val="1"/>
      <w:numFmt w:val="bullet"/>
      <w:lvlText w:val=""/>
      <w:lvlJc w:val="left"/>
      <w:pPr>
        <w:tabs>
          <w:tab w:val="num" w:pos="54"/>
        </w:tabs>
        <w:ind w:left="283"/>
      </w:pPr>
      <w:rPr>
        <w:rFonts w:ascii="Wingdings" w:hAnsi="Wingdings" w:hint="default"/>
        <w:color w:val="auto"/>
        <w:sz w:val="24"/>
        <w:szCs w:val="24"/>
      </w:rPr>
    </w:lvl>
    <w:lvl w:ilvl="1" w:tplc="04150003" w:tentative="1">
      <w:start w:val="1"/>
      <w:numFmt w:val="bullet"/>
      <w:lvlText w:val="o"/>
      <w:lvlJc w:val="left"/>
      <w:pPr>
        <w:tabs>
          <w:tab w:val="num" w:pos="1060"/>
        </w:tabs>
        <w:ind w:left="1060" w:hanging="360"/>
      </w:pPr>
      <w:rPr>
        <w:rFonts w:ascii="Courier New" w:hAnsi="Courier New" w:cs="Courier New" w:hint="default"/>
      </w:rPr>
    </w:lvl>
    <w:lvl w:ilvl="2" w:tplc="04150005" w:tentative="1">
      <w:start w:val="1"/>
      <w:numFmt w:val="bullet"/>
      <w:lvlText w:val=""/>
      <w:lvlJc w:val="left"/>
      <w:pPr>
        <w:tabs>
          <w:tab w:val="num" w:pos="1780"/>
        </w:tabs>
        <w:ind w:left="1780" w:hanging="360"/>
      </w:pPr>
      <w:rPr>
        <w:rFonts w:ascii="Wingdings" w:hAnsi="Wingdings" w:hint="default"/>
      </w:rPr>
    </w:lvl>
    <w:lvl w:ilvl="3" w:tplc="04150001" w:tentative="1">
      <w:start w:val="1"/>
      <w:numFmt w:val="bullet"/>
      <w:lvlText w:val=""/>
      <w:lvlJc w:val="left"/>
      <w:pPr>
        <w:tabs>
          <w:tab w:val="num" w:pos="2500"/>
        </w:tabs>
        <w:ind w:left="2500" w:hanging="360"/>
      </w:pPr>
      <w:rPr>
        <w:rFonts w:ascii="Symbol" w:hAnsi="Symbol" w:hint="default"/>
      </w:rPr>
    </w:lvl>
    <w:lvl w:ilvl="4" w:tplc="04150003" w:tentative="1">
      <w:start w:val="1"/>
      <w:numFmt w:val="bullet"/>
      <w:lvlText w:val="o"/>
      <w:lvlJc w:val="left"/>
      <w:pPr>
        <w:tabs>
          <w:tab w:val="num" w:pos="3220"/>
        </w:tabs>
        <w:ind w:left="3220" w:hanging="360"/>
      </w:pPr>
      <w:rPr>
        <w:rFonts w:ascii="Courier New" w:hAnsi="Courier New" w:cs="Courier New" w:hint="default"/>
      </w:rPr>
    </w:lvl>
    <w:lvl w:ilvl="5" w:tplc="04150005" w:tentative="1">
      <w:start w:val="1"/>
      <w:numFmt w:val="bullet"/>
      <w:lvlText w:val=""/>
      <w:lvlJc w:val="left"/>
      <w:pPr>
        <w:tabs>
          <w:tab w:val="num" w:pos="3940"/>
        </w:tabs>
        <w:ind w:left="3940" w:hanging="360"/>
      </w:pPr>
      <w:rPr>
        <w:rFonts w:ascii="Wingdings" w:hAnsi="Wingdings" w:hint="default"/>
      </w:rPr>
    </w:lvl>
    <w:lvl w:ilvl="6" w:tplc="04150001" w:tentative="1">
      <w:start w:val="1"/>
      <w:numFmt w:val="bullet"/>
      <w:lvlText w:val=""/>
      <w:lvlJc w:val="left"/>
      <w:pPr>
        <w:tabs>
          <w:tab w:val="num" w:pos="4660"/>
        </w:tabs>
        <w:ind w:left="4660" w:hanging="360"/>
      </w:pPr>
      <w:rPr>
        <w:rFonts w:ascii="Symbol" w:hAnsi="Symbol" w:hint="default"/>
      </w:rPr>
    </w:lvl>
    <w:lvl w:ilvl="7" w:tplc="04150003" w:tentative="1">
      <w:start w:val="1"/>
      <w:numFmt w:val="bullet"/>
      <w:lvlText w:val="o"/>
      <w:lvlJc w:val="left"/>
      <w:pPr>
        <w:tabs>
          <w:tab w:val="num" w:pos="5380"/>
        </w:tabs>
        <w:ind w:left="5380" w:hanging="360"/>
      </w:pPr>
      <w:rPr>
        <w:rFonts w:ascii="Courier New" w:hAnsi="Courier New" w:cs="Courier New" w:hint="default"/>
      </w:rPr>
    </w:lvl>
    <w:lvl w:ilvl="8" w:tplc="04150005" w:tentative="1">
      <w:start w:val="1"/>
      <w:numFmt w:val="bullet"/>
      <w:lvlText w:val=""/>
      <w:lvlJc w:val="left"/>
      <w:pPr>
        <w:tabs>
          <w:tab w:val="num" w:pos="6100"/>
        </w:tabs>
        <w:ind w:left="6100" w:hanging="360"/>
      </w:pPr>
      <w:rPr>
        <w:rFonts w:ascii="Wingdings" w:hAnsi="Wingdings" w:hint="default"/>
      </w:rPr>
    </w:lvl>
  </w:abstractNum>
  <w:abstractNum w:abstractNumId="2" w15:restartNumberingAfterBreak="0">
    <w:nsid w:val="675A25DE"/>
    <w:multiLevelType w:val="hybridMultilevel"/>
    <w:tmpl w:val="D73C8F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1764341">
    <w:abstractNumId w:val="0"/>
  </w:num>
  <w:num w:numId="2" w16cid:durableId="116457488">
    <w:abstractNumId w:val="1"/>
  </w:num>
  <w:num w:numId="3" w16cid:durableId="1433093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05"/>
    <w:rsid w:val="00046609"/>
    <w:rsid w:val="000735C2"/>
    <w:rsid w:val="00090C93"/>
    <w:rsid w:val="000E46F0"/>
    <w:rsid w:val="001135E6"/>
    <w:rsid w:val="00124269"/>
    <w:rsid w:val="00133CB0"/>
    <w:rsid w:val="00141185"/>
    <w:rsid w:val="00180876"/>
    <w:rsid w:val="001A4567"/>
    <w:rsid w:val="001C2EBE"/>
    <w:rsid w:val="001C4F3E"/>
    <w:rsid w:val="001D5CCB"/>
    <w:rsid w:val="001E7C13"/>
    <w:rsid w:val="001F0EF4"/>
    <w:rsid w:val="00202CE4"/>
    <w:rsid w:val="00203EB2"/>
    <w:rsid w:val="00211024"/>
    <w:rsid w:val="00225A83"/>
    <w:rsid w:val="0026399C"/>
    <w:rsid w:val="002672C3"/>
    <w:rsid w:val="00273412"/>
    <w:rsid w:val="0027501D"/>
    <w:rsid w:val="002950E8"/>
    <w:rsid w:val="0029784C"/>
    <w:rsid w:val="00297878"/>
    <w:rsid w:val="002A416A"/>
    <w:rsid w:val="002C1BFB"/>
    <w:rsid w:val="002E173A"/>
    <w:rsid w:val="002F3F3D"/>
    <w:rsid w:val="002F4445"/>
    <w:rsid w:val="00322DF3"/>
    <w:rsid w:val="00346ADF"/>
    <w:rsid w:val="00353F7E"/>
    <w:rsid w:val="00355FB2"/>
    <w:rsid w:val="00363307"/>
    <w:rsid w:val="00394005"/>
    <w:rsid w:val="0039683D"/>
    <w:rsid w:val="003A5597"/>
    <w:rsid w:val="003B7E46"/>
    <w:rsid w:val="003C7EA1"/>
    <w:rsid w:val="003D5C59"/>
    <w:rsid w:val="00420B4F"/>
    <w:rsid w:val="00423691"/>
    <w:rsid w:val="004240D7"/>
    <w:rsid w:val="00425DB4"/>
    <w:rsid w:val="00433169"/>
    <w:rsid w:val="004429FA"/>
    <w:rsid w:val="00464C55"/>
    <w:rsid w:val="0046634D"/>
    <w:rsid w:val="00487E8E"/>
    <w:rsid w:val="004C4E94"/>
    <w:rsid w:val="004C55D3"/>
    <w:rsid w:val="004D4158"/>
    <w:rsid w:val="004D75F6"/>
    <w:rsid w:val="00501773"/>
    <w:rsid w:val="005174A3"/>
    <w:rsid w:val="00531548"/>
    <w:rsid w:val="00532B55"/>
    <w:rsid w:val="00535625"/>
    <w:rsid w:val="0055193C"/>
    <w:rsid w:val="00574EF3"/>
    <w:rsid w:val="005803FC"/>
    <w:rsid w:val="0058573B"/>
    <w:rsid w:val="005A15CE"/>
    <w:rsid w:val="005A2168"/>
    <w:rsid w:val="005A369C"/>
    <w:rsid w:val="005B58A6"/>
    <w:rsid w:val="005B7C03"/>
    <w:rsid w:val="005C1EBC"/>
    <w:rsid w:val="005F2713"/>
    <w:rsid w:val="00602098"/>
    <w:rsid w:val="00632B36"/>
    <w:rsid w:val="006361B2"/>
    <w:rsid w:val="006732A5"/>
    <w:rsid w:val="00684D98"/>
    <w:rsid w:val="006A076A"/>
    <w:rsid w:val="006B7BDF"/>
    <w:rsid w:val="006C78E4"/>
    <w:rsid w:val="006D36B2"/>
    <w:rsid w:val="006F38AA"/>
    <w:rsid w:val="007042B9"/>
    <w:rsid w:val="00714127"/>
    <w:rsid w:val="007465BE"/>
    <w:rsid w:val="00754BD8"/>
    <w:rsid w:val="00755191"/>
    <w:rsid w:val="007763DD"/>
    <w:rsid w:val="007811E8"/>
    <w:rsid w:val="007865FB"/>
    <w:rsid w:val="0079043B"/>
    <w:rsid w:val="00792683"/>
    <w:rsid w:val="0079534A"/>
    <w:rsid w:val="007C221E"/>
    <w:rsid w:val="007C5A01"/>
    <w:rsid w:val="007F615F"/>
    <w:rsid w:val="007F6C66"/>
    <w:rsid w:val="00803A05"/>
    <w:rsid w:val="00827C7A"/>
    <w:rsid w:val="00832413"/>
    <w:rsid w:val="00836C54"/>
    <w:rsid w:val="00836D0E"/>
    <w:rsid w:val="008411D6"/>
    <w:rsid w:val="008477B7"/>
    <w:rsid w:val="00847D1D"/>
    <w:rsid w:val="008878EE"/>
    <w:rsid w:val="008B072C"/>
    <w:rsid w:val="008B5A63"/>
    <w:rsid w:val="008D3055"/>
    <w:rsid w:val="008E487E"/>
    <w:rsid w:val="008F20AC"/>
    <w:rsid w:val="008F26F9"/>
    <w:rsid w:val="009046D1"/>
    <w:rsid w:val="00941E66"/>
    <w:rsid w:val="0095448B"/>
    <w:rsid w:val="00964548"/>
    <w:rsid w:val="00965FCF"/>
    <w:rsid w:val="00987309"/>
    <w:rsid w:val="009A1FA3"/>
    <w:rsid w:val="009A3D09"/>
    <w:rsid w:val="009A486A"/>
    <w:rsid w:val="009C150A"/>
    <w:rsid w:val="009E2B04"/>
    <w:rsid w:val="009F65E0"/>
    <w:rsid w:val="00A02081"/>
    <w:rsid w:val="00A057B7"/>
    <w:rsid w:val="00A37FBE"/>
    <w:rsid w:val="00A46909"/>
    <w:rsid w:val="00A650B1"/>
    <w:rsid w:val="00A6515B"/>
    <w:rsid w:val="00A86D14"/>
    <w:rsid w:val="00A963C8"/>
    <w:rsid w:val="00AF3FFA"/>
    <w:rsid w:val="00B33186"/>
    <w:rsid w:val="00B74AF7"/>
    <w:rsid w:val="00B930FF"/>
    <w:rsid w:val="00B97ECD"/>
    <w:rsid w:val="00BB4EF3"/>
    <w:rsid w:val="00BB53DE"/>
    <w:rsid w:val="00BD3243"/>
    <w:rsid w:val="00BD4AF9"/>
    <w:rsid w:val="00BE0178"/>
    <w:rsid w:val="00C165C5"/>
    <w:rsid w:val="00C216DC"/>
    <w:rsid w:val="00C30210"/>
    <w:rsid w:val="00C318CE"/>
    <w:rsid w:val="00C519F1"/>
    <w:rsid w:val="00C6060F"/>
    <w:rsid w:val="00C6519C"/>
    <w:rsid w:val="00C661A8"/>
    <w:rsid w:val="00C71DE8"/>
    <w:rsid w:val="00C81138"/>
    <w:rsid w:val="00C815D9"/>
    <w:rsid w:val="00C97062"/>
    <w:rsid w:val="00CC4AFE"/>
    <w:rsid w:val="00CF30FB"/>
    <w:rsid w:val="00D0183F"/>
    <w:rsid w:val="00D21DD0"/>
    <w:rsid w:val="00D33574"/>
    <w:rsid w:val="00D336A7"/>
    <w:rsid w:val="00D45083"/>
    <w:rsid w:val="00D61AAC"/>
    <w:rsid w:val="00D649AA"/>
    <w:rsid w:val="00D9036B"/>
    <w:rsid w:val="00DC7E6E"/>
    <w:rsid w:val="00DF1626"/>
    <w:rsid w:val="00DF4065"/>
    <w:rsid w:val="00DF5EFC"/>
    <w:rsid w:val="00E1018B"/>
    <w:rsid w:val="00E10464"/>
    <w:rsid w:val="00E3731A"/>
    <w:rsid w:val="00E4068D"/>
    <w:rsid w:val="00E63ABB"/>
    <w:rsid w:val="00E64090"/>
    <w:rsid w:val="00EE424F"/>
    <w:rsid w:val="00F01A1D"/>
    <w:rsid w:val="00F423D1"/>
    <w:rsid w:val="00F45A76"/>
    <w:rsid w:val="00F53A88"/>
    <w:rsid w:val="00F72FE5"/>
    <w:rsid w:val="00FA4865"/>
    <w:rsid w:val="00FB33E2"/>
    <w:rsid w:val="00FE2C61"/>
    <w:rsid w:val="00FE3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C29F"/>
  <w15:chartTrackingRefBased/>
  <w15:docId w15:val="{262DB589-221A-4AE9-B598-CD5E7717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15D9"/>
  </w:style>
  <w:style w:type="paragraph" w:styleId="Nagwek2">
    <w:name w:val="heading 2"/>
    <w:basedOn w:val="Normalny"/>
    <w:next w:val="Normalny"/>
    <w:link w:val="Nagwek2Znak"/>
    <w:uiPriority w:val="9"/>
    <w:unhideWhenUsed/>
    <w:qFormat/>
    <w:rsid w:val="00423691"/>
    <w:pPr>
      <w:keepNext/>
      <w:keepLines/>
      <w:spacing w:before="40" w:after="0"/>
      <w:outlineLvl w:val="1"/>
    </w:pPr>
    <w:rPr>
      <w:rFonts w:ascii="Aptos" w:eastAsiaTheme="majorEastAsia" w:hAnsi="Aptos" w:cstheme="majorBidi"/>
      <w:color w:val="2F5496" w:themeColor="accent1" w:themeShade="BF"/>
      <w:sz w:val="3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B5A63"/>
    <w:rPr>
      <w:color w:val="0000FF"/>
      <w:u w:val="single"/>
    </w:rPr>
  </w:style>
  <w:style w:type="character" w:customStyle="1" w:styleId="Teksttreci">
    <w:name w:val="Tekst treści_"/>
    <w:link w:val="Teksttreci1"/>
    <w:rsid w:val="007865FB"/>
    <w:rPr>
      <w:rFonts w:ascii="Arial" w:hAnsi="Arial" w:cs="Arial"/>
      <w:sz w:val="21"/>
      <w:szCs w:val="21"/>
      <w:shd w:val="clear" w:color="auto" w:fill="FFFFFF"/>
    </w:rPr>
  </w:style>
  <w:style w:type="paragraph" w:customStyle="1" w:styleId="Teksttreci1">
    <w:name w:val="Tekst treści1"/>
    <w:basedOn w:val="Normalny"/>
    <w:link w:val="Teksttreci"/>
    <w:rsid w:val="007865FB"/>
    <w:pPr>
      <w:widowControl w:val="0"/>
      <w:shd w:val="clear" w:color="auto" w:fill="FFFFFF"/>
      <w:spacing w:after="1140" w:line="223" w:lineRule="exact"/>
    </w:pPr>
    <w:rPr>
      <w:rFonts w:ascii="Arial" w:hAnsi="Arial" w:cs="Arial"/>
      <w:sz w:val="21"/>
      <w:szCs w:val="21"/>
    </w:rPr>
  </w:style>
  <w:style w:type="paragraph" w:styleId="Tekstprzypisukocowego">
    <w:name w:val="endnote text"/>
    <w:basedOn w:val="Normalny"/>
    <w:link w:val="TekstprzypisukocowegoZnak"/>
    <w:uiPriority w:val="99"/>
    <w:semiHidden/>
    <w:unhideWhenUsed/>
    <w:rsid w:val="005F27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2713"/>
    <w:rPr>
      <w:sz w:val="20"/>
      <w:szCs w:val="20"/>
    </w:rPr>
  </w:style>
  <w:style w:type="character" w:styleId="Odwoanieprzypisukocowego">
    <w:name w:val="endnote reference"/>
    <w:basedOn w:val="Domylnaczcionkaakapitu"/>
    <w:uiPriority w:val="99"/>
    <w:semiHidden/>
    <w:unhideWhenUsed/>
    <w:rsid w:val="005F2713"/>
    <w:rPr>
      <w:vertAlign w:val="superscript"/>
    </w:rPr>
  </w:style>
  <w:style w:type="paragraph" w:styleId="Cytatintensywny">
    <w:name w:val="Intense Quote"/>
    <w:basedOn w:val="Normalny"/>
    <w:next w:val="Normalny"/>
    <w:link w:val="CytatintensywnyZnak"/>
    <w:uiPriority w:val="30"/>
    <w:qFormat/>
    <w:rsid w:val="005A36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5A369C"/>
    <w:rPr>
      <w:i/>
      <w:iCs/>
      <w:color w:val="4472C4" w:themeColor="accent1"/>
    </w:rPr>
  </w:style>
  <w:style w:type="paragraph" w:styleId="Bezodstpw">
    <w:name w:val="No Spacing"/>
    <w:uiPriority w:val="1"/>
    <w:qFormat/>
    <w:rsid w:val="00C6519C"/>
    <w:pPr>
      <w:spacing w:after="0" w:line="240" w:lineRule="auto"/>
    </w:pPr>
  </w:style>
  <w:style w:type="paragraph" w:styleId="NormalnyWeb">
    <w:name w:val="Normal (Web)"/>
    <w:basedOn w:val="Normalny"/>
    <w:uiPriority w:val="99"/>
    <w:unhideWhenUsed/>
    <w:rsid w:val="001F0EF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anon-block">
    <w:name w:val="anon-block"/>
    <w:basedOn w:val="Domylnaczcionkaakapitu"/>
    <w:rsid w:val="009A1FA3"/>
  </w:style>
  <w:style w:type="paragraph" w:styleId="Akapitzlist">
    <w:name w:val="List Paragraph"/>
    <w:basedOn w:val="Normalny"/>
    <w:uiPriority w:val="34"/>
    <w:qFormat/>
    <w:rsid w:val="00D21DD0"/>
    <w:pPr>
      <w:ind w:left="720"/>
      <w:contextualSpacing/>
    </w:pPr>
  </w:style>
  <w:style w:type="character" w:customStyle="1" w:styleId="Nagwek2Znak">
    <w:name w:val="Nagłówek 2 Znak"/>
    <w:basedOn w:val="Domylnaczcionkaakapitu"/>
    <w:link w:val="Nagwek2"/>
    <w:uiPriority w:val="9"/>
    <w:rsid w:val="00423691"/>
    <w:rPr>
      <w:rFonts w:ascii="Aptos" w:eastAsiaTheme="majorEastAsia" w:hAnsi="Aptos" w:cstheme="majorBidi"/>
      <w:color w:val="2F5496" w:themeColor="accent1" w:themeShade="BF"/>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95570">
      <w:bodyDiv w:val="1"/>
      <w:marLeft w:val="0"/>
      <w:marRight w:val="0"/>
      <w:marTop w:val="0"/>
      <w:marBottom w:val="0"/>
      <w:divBdr>
        <w:top w:val="none" w:sz="0" w:space="0" w:color="auto"/>
        <w:left w:val="none" w:sz="0" w:space="0" w:color="auto"/>
        <w:bottom w:val="none" w:sz="0" w:space="0" w:color="auto"/>
        <w:right w:val="none" w:sz="0" w:space="0" w:color="auto"/>
      </w:divBdr>
    </w:div>
    <w:div w:id="130030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3033</Words>
  <Characters>18201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Krynicka Urszula</dc:creator>
  <cp:keywords/>
  <dc:description/>
  <cp:lastModifiedBy>Trybusz Michał</cp:lastModifiedBy>
  <cp:revision>2</cp:revision>
  <dcterms:created xsi:type="dcterms:W3CDTF">2024-04-29T04:06:00Z</dcterms:created>
  <dcterms:modified xsi:type="dcterms:W3CDTF">2024-04-29T04:06:00Z</dcterms:modified>
</cp:coreProperties>
</file>