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520700</wp:posOffset>
            </wp:positionH>
            <wp:positionV relativeFrom="paragraph">
              <wp:posOffset>12700</wp:posOffset>
            </wp:positionV>
            <wp:extent cx="676910" cy="731520"/>
            <wp:wrapTight wrapText="bothSides">
              <wp:wrapPolygon>
                <wp:start x="0" y="0"/>
                <wp:lineTo x="21600" y="0"/>
                <wp:lineTo x="21600" y="9000"/>
                <wp:lineTo x="19743" y="9000"/>
                <wp:lineTo x="19743" y="14850"/>
                <wp:lineTo x="21600" y="1485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bookmarkStart w:id="0" w:name="bookmark0"/>
      <w:r>
        <w:rPr>
          <w:rStyle w:val="CharStyle3"/>
        </w:rPr>
        <w:t>Ministerstwo</w:t>
      </w:r>
      <w:bookmarkEnd w:id="0"/>
    </w:p>
    <w:p>
      <w:pPr>
        <w:pStyle w:val="Style2"/>
        <w:keepNext/>
        <w:keepLines/>
        <w:widowControl w:val="0"/>
        <w:shd w:val="clear" w:color="auto" w:fill="auto"/>
        <w:bidi w:val="0"/>
        <w:spacing w:before="0" w:after="500" w:line="202" w:lineRule="auto"/>
        <w:ind w:left="0" w:right="0" w:firstLine="0"/>
        <w:jc w:val="left"/>
      </w:pPr>
      <w:r>
        <w:rPr>
          <w:rStyle w:val="CharStyle3"/>
          <w:color w:val="1C1C1C"/>
        </w:rPr>
        <w:t xml:space="preserve">^ </w:t>
      </w:r>
      <w:r>
        <w:rPr>
          <w:rStyle w:val="CharStyle3"/>
        </w:rPr>
        <w:t>Klimatu i Środowiska</w:t>
      </w:r>
    </w:p>
    <w:p>
      <w:pPr>
        <w:pStyle w:val="Style5"/>
        <w:keepNext w:val="0"/>
        <w:keepLines w:val="0"/>
        <w:widowControl w:val="0"/>
        <w:shd w:val="clear" w:color="auto" w:fill="auto"/>
        <w:bidi w:val="0"/>
        <w:spacing w:before="0" w:after="440" w:line="240" w:lineRule="auto"/>
        <w:ind w:left="0" w:right="0" w:firstLine="220"/>
        <w:jc w:val="left"/>
      </w:pPr>
      <w:r>
        <w:rPr>
          <w:rStyle w:val="CharStyle6"/>
        </w:rPr>
        <w:t>Departament Odnawialnych Źródeł Energii</w:t>
      </w:r>
    </w:p>
    <w:p>
      <w:pPr>
        <w:pStyle w:val="Style7"/>
        <w:keepNext w:val="0"/>
        <w:keepLines w:val="0"/>
        <w:widowControl w:val="0"/>
        <w:shd w:val="clear" w:color="auto" w:fill="auto"/>
        <w:bidi w:val="0"/>
        <w:spacing w:before="0" w:after="0" w:line="240" w:lineRule="auto"/>
        <w:ind w:left="0" w:right="0" w:firstLine="220"/>
        <w:jc w:val="left"/>
      </w:pPr>
      <w:r>
        <w:rPr>
          <w:rStyle w:val="CharStyle8"/>
        </w:rPr>
        <w:t>Nasz znak: DOZE-III.053.2.2026.MS</w:t>
      </w:r>
    </w:p>
    <w:p>
      <w:pPr>
        <w:pStyle w:val="Style7"/>
        <w:keepNext w:val="0"/>
        <w:keepLines w:val="0"/>
        <w:widowControl w:val="0"/>
        <w:shd w:val="clear" w:color="auto" w:fill="auto"/>
        <w:bidi w:val="0"/>
        <w:spacing w:before="0" w:after="0" w:line="240" w:lineRule="auto"/>
        <w:ind w:left="1120" w:right="0" w:firstLine="0"/>
        <w:jc w:val="left"/>
      </w:pPr>
      <w:r>
        <w:rPr>
          <w:rStyle w:val="CharStyle8"/>
        </w:rPr>
        <w:t>4255426.17205796.13947910</w:t>
      </w:r>
    </w:p>
    <w:p>
      <w:pPr>
        <w:pStyle w:val="Style7"/>
        <w:keepNext w:val="0"/>
        <w:keepLines w:val="0"/>
        <w:widowControl w:val="0"/>
        <w:shd w:val="clear" w:color="auto" w:fill="auto"/>
        <w:bidi w:val="0"/>
        <w:spacing w:before="0" w:after="760" w:line="240" w:lineRule="auto"/>
        <w:ind w:left="1120" w:right="0" w:firstLine="0"/>
        <w:jc w:val="left"/>
      </w:pPr>
      <w:r>
        <w:rPr>
          <w:rStyle w:val="CharStyle8"/>
        </w:rPr>
        <w:t>Warszawa, 25-02-2026 r.</w:t>
      </w:r>
    </w:p>
    <w:p>
      <w:pPr>
        <w:pStyle w:val="Style9"/>
        <w:keepNext/>
        <w:keepLines/>
        <w:widowControl w:val="0"/>
        <w:shd w:val="clear" w:color="auto" w:fill="auto"/>
        <w:bidi w:val="0"/>
        <w:spacing w:before="0" w:after="0" w:line="240" w:lineRule="auto"/>
        <w:ind w:left="0" w:right="0"/>
        <w:jc w:val="both"/>
      </w:pPr>
      <w:bookmarkStart w:id="3" w:name="bookmark3"/>
      <w:r>
        <w:rPr>
          <w:rStyle w:val="CharStyle10"/>
          <w:b/>
          <w:bCs/>
        </w:rPr>
        <w:t>Pan</w:t>
      </w:r>
      <w:bookmarkEnd w:id="3"/>
    </w:p>
    <w:p>
      <w:pPr>
        <w:pStyle w:val="Style9"/>
        <w:keepNext/>
        <w:keepLines/>
        <w:widowControl w:val="0"/>
        <w:shd w:val="clear" w:color="auto" w:fill="auto"/>
        <w:bidi w:val="0"/>
        <w:spacing w:before="0" w:after="1200" w:line="240" w:lineRule="auto"/>
        <w:ind w:left="0" w:right="0"/>
        <w:jc w:val="both"/>
      </w:pPr>
      <w:bookmarkStart w:id="5" w:name="bookmark5"/>
      <w:r>
        <w:rPr>
          <w:rStyle w:val="CharStyle10"/>
          <w:b/>
          <w:bCs/>
        </w:rPr>
        <w:t>Robert Cymbalak</w:t>
      </w:r>
      <w:bookmarkEnd w:id="5"/>
    </w:p>
    <w:p>
      <w:pPr>
        <w:pStyle w:val="Style7"/>
        <w:keepNext w:val="0"/>
        <w:keepLines w:val="0"/>
        <w:widowControl w:val="0"/>
        <w:shd w:val="clear" w:color="auto" w:fill="auto"/>
        <w:bidi w:val="0"/>
        <w:spacing w:before="0" w:after="800" w:line="240" w:lineRule="auto"/>
        <w:ind w:right="0" w:firstLine="0"/>
        <w:jc w:val="left"/>
      </w:pPr>
      <w:r>
        <w:rPr>
          <w:rStyle w:val="CharStyle8"/>
        </w:rPr>
        <w:t>Sprawa: Petycja w sprawie podjęcia działań legislacyjnych umożliwiających wprowadzenie przepisów, które jednoznacznie pozwolą wytwórcom, którzy wygrali aukcję w koszyku dla instalacji o mocy do 1 MW, na rozbudowę tych instalacji powyżej progu 1 MW</w:t>
      </w:r>
    </w:p>
    <w:p>
      <w:pPr>
        <w:pStyle w:val="Style5"/>
        <w:keepNext w:val="0"/>
        <w:keepLines w:val="0"/>
        <w:widowControl w:val="0"/>
        <w:shd w:val="clear" w:color="auto" w:fill="auto"/>
        <w:bidi w:val="0"/>
        <w:spacing w:before="0" w:after="500"/>
        <w:ind w:left="0" w:right="0" w:firstLine="220"/>
        <w:jc w:val="both"/>
      </w:pPr>
      <w:r>
        <w:rPr>
          <w:rStyle w:val="CharStyle6"/>
        </w:rPr>
        <w:t>Szanowny Panie,</w:t>
      </w:r>
    </w:p>
    <w:p>
      <w:pPr>
        <w:pStyle w:val="Style5"/>
        <w:keepNext w:val="0"/>
        <w:keepLines w:val="0"/>
        <w:widowControl w:val="0"/>
        <w:shd w:val="clear" w:color="auto" w:fill="auto"/>
        <w:bidi w:val="0"/>
        <w:spacing w:before="0"/>
        <w:ind w:left="220" w:right="0" w:firstLine="0"/>
        <w:jc w:val="both"/>
      </w:pPr>
      <w:r>
        <w:rPr>
          <w:rStyle w:val="CharStyle6"/>
        </w:rPr>
        <w:t>w odpowiedzi na petycję, która wpłynęła do Ministerstwa Klimatu i Środowiska w dniu 12 lutego 2026 r., przedstawiam poniższe informacje w odniesieniu do wniosku o umożliwienie wytwórcom energii odnawialnej, którzy wygrali aukcje w koszyku do 1 MW, rozbudowy instalacji powyżej maksymalnej mocy zainstalowanej koszyka bez utraty prawa do wsparcia wynikającego z wygranej aukcji.</w:t>
      </w:r>
    </w:p>
    <w:p>
      <w:pPr>
        <w:pStyle w:val="Style5"/>
        <w:keepNext w:val="0"/>
        <w:keepLines w:val="0"/>
        <w:widowControl w:val="0"/>
        <w:shd w:val="clear" w:color="auto" w:fill="auto"/>
        <w:bidi w:val="0"/>
        <w:spacing w:before="0"/>
        <w:ind w:left="220" w:right="0" w:firstLine="0"/>
        <w:jc w:val="both"/>
      </w:pPr>
      <w:r>
        <w:rPr>
          <w:rStyle w:val="CharStyle6"/>
        </w:rPr>
        <w:t>Zasady rozbudowy instalacji OZE, która wygrała aukcję, w sposób szczegółowy określają przepisy ustawy z dnia 20 lutego 2015 r. o odnawialnych źródłach energii</w:t>
      </w:r>
      <w:r>
        <w:rPr>
          <w:rStyle w:val="CharStyle6"/>
          <w:vertAlign w:val="superscript"/>
        </w:rPr>
        <w:t xml:space="preserve">1 </w:t>
      </w:r>
      <w:r>
        <w:rPr>
          <w:rStyle w:val="CharStyle6"/>
        </w:rPr>
        <w:t>(dalej: „ustawa o OZE”). Kluczową zasadą aukcyjnego systemu OZE w Polsce jest to, że wsparcie jest przypisane do konkretnej mocy i ilości energii zadeklarowanej w ofercie. Jednak regulacje umożliwiają korekty, które zależą od tego, kiedy i w jakim zakresie wytwórca chce dokonać zmian. Zgodnie z art. 79 ust. 8 ustawy o OZE, po wygraniu aukcji, ale przed pierwszą sprzedażą energii elektrycznej lub przed złożeniem pierwszego wniosku o pokrycie ujemnego salda, wytwórca ma prawo do jednokrotnej aktualizacji oferty. Zmiana ta może dotyczyć mocy zainstalowanej instalacji pod warunkiem, że zmiana ta nie wpłynie na kwalifikację instalacji do danego koszyka aukcyjnego.</w:t>
      </w:r>
    </w:p>
    <w:p>
      <w:pPr>
        <w:pStyle w:val="Style5"/>
        <w:keepNext w:val="0"/>
        <w:keepLines w:val="0"/>
        <w:widowControl w:val="0"/>
        <w:shd w:val="clear" w:color="auto" w:fill="auto"/>
        <w:bidi w:val="0"/>
        <w:spacing w:before="0"/>
        <w:ind w:left="220" w:right="0" w:firstLine="0"/>
        <w:jc w:val="both"/>
      </w:pPr>
      <w:r>
        <w:rPr>
          <w:rStyle w:val="CharStyle6"/>
        </w:rPr>
        <w:t>Jeżeli zaś instalacja rozpoczęła już sprzedaż energii elektrycznej w ramach systemu aukcyjnego, to cena z oferty, z którą wytwórca wygrał aukcję, dotyczy konkretnego wolumenu energii i mocy określonej w ofercie. Rozbudowa instalacji nie wpłynie na zwiększenie wsparcia i wsparcie będzie dotyczyć tylko tej części, która została zawarta w wygranej ofercie aukcyjnej.</w:t>
      </w:r>
    </w:p>
    <w:p>
      <w:pPr>
        <w:pStyle w:val="Style5"/>
        <w:keepNext w:val="0"/>
        <w:keepLines w:val="0"/>
        <w:widowControl w:val="0"/>
        <w:shd w:val="clear" w:color="auto" w:fill="auto"/>
        <w:bidi w:val="0"/>
        <w:spacing w:before="0" w:after="360" w:line="262" w:lineRule="auto"/>
        <w:ind w:left="220" w:right="0" w:firstLine="0"/>
        <w:jc w:val="both"/>
      </w:pPr>
      <w:r>
        <w:rPr>
          <w:rStyle w:val="CharStyle6"/>
        </w:rPr>
        <w:t>System aukcyjny jest podzielony na dwa główne „koszyki”: dla instalacji o mocy do i powyżej 1 MW. W koszykach obowiązują różne ceny referencyjne oraz zróżnicowane</w:t>
      </w:r>
    </w:p>
    <w:p>
      <w:pPr>
        <w:pStyle w:val="Style7"/>
        <w:keepNext w:val="0"/>
        <w:keepLines w:val="0"/>
        <w:widowControl w:val="0"/>
        <w:shd w:val="clear" w:color="auto" w:fill="auto"/>
        <w:bidi w:val="0"/>
        <w:spacing w:before="0" w:after="360" w:line="240" w:lineRule="auto"/>
        <w:ind w:left="0" w:right="0" w:firstLine="220"/>
        <w:jc w:val="both"/>
      </w:pPr>
      <w:r>
        <w:rPr>
          <w:rStyle w:val="CharStyle8"/>
          <w:vertAlign w:val="superscript"/>
        </w:rPr>
        <w:t>1</w:t>
      </w:r>
      <w:r>
        <w:rPr>
          <w:rStyle w:val="CharStyle8"/>
        </w:rPr>
        <w:t xml:space="preserve"> Dz.U. z 2026 r. poz. 68.</w:t>
      </w:r>
    </w:p>
    <w:p>
      <w:pPr>
        <w:pStyle w:val="Style11"/>
        <w:keepNext w:val="0"/>
        <w:keepLines w:val="0"/>
        <w:widowControl w:val="0"/>
        <w:shd w:val="clear" w:color="auto" w:fill="auto"/>
        <w:bidi w:val="0"/>
        <w:spacing w:before="0" w:after="0" w:line="240" w:lineRule="auto"/>
        <w:ind w:right="0" w:firstLine="0"/>
        <w:jc w:val="left"/>
      </w:pPr>
      <w:r>
        <w:rPr>
          <w:rStyle w:val="CharStyle12"/>
        </w:rPr>
        <w:t xml:space="preserve">Telefon: (+48) 223-691-035 ul. Wawelska 52/54, 00-922 Warszawa </w:t>
      </w:r>
      <w:r>
        <w:fldChar w:fldCharType="begin"/>
      </w:r>
      <w:r>
        <w:rPr/>
        <w:instrText> HYPERLINK "mailto:departament.odnawialnych.zrodel.energii@klimat.gov.pl" </w:instrText>
      </w:r>
      <w:r>
        <w:fldChar w:fldCharType="separate"/>
      </w:r>
      <w:r>
        <w:rPr>
          <w:rStyle w:val="CharStyle12"/>
        </w:rPr>
        <w:t>departament.odnawialnych.zrodel.energii@klimat.gov.pl</w:t>
      </w:r>
      <w:r>
        <w:fldChar w:fldCharType="end"/>
      </w:r>
      <w:r>
        <w:rPr>
          <w:rStyle w:val="CharStyle12"/>
        </w:rPr>
        <w:t xml:space="preserve"> Ministerstwo Klimatu i Środowiska </w:t>
      </w:r>
      <w:r>
        <w:fldChar w:fldCharType="begin"/>
      </w:r>
      <w:r>
        <w:rPr/>
        <w:instrText> HYPERLINK "http://www.gov.pl/klimat" </w:instrText>
      </w:r>
      <w:r>
        <w:fldChar w:fldCharType="separate"/>
      </w:r>
      <w:r>
        <w:rPr>
          <w:rStyle w:val="CharStyle12"/>
        </w:rPr>
        <w:t>www.gov.pl/klimat</w:t>
      </w:r>
      <w:r>
        <w:fldChar w:fldCharType="end"/>
      </w:r>
    </w:p>
    <w:p>
      <w:pPr>
        <w:pStyle w:val="Style13"/>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697" w:right="1956" w:bottom="483" w:left="1756" w:header="269" w:footer="55" w:gutter="0"/>
          <w:pgNumType w:start="1"/>
          <w:cols w:space="720"/>
          <w:noEndnote/>
          <w:rtlGutter w:val="0"/>
          <w:docGrid w:linePitch="360"/>
        </w:sectPr>
      </w:pPr>
      <w:r>
        <w:rPr>
          <w:rStyle w:val="CharStyle14"/>
        </w:rPr>
        <w:t>Działamy zgodnie z EMAS - zarządzając instytucją, dbamy o środowisko</w:t>
      </w:r>
    </w:p>
    <w:p>
      <w:pPr>
        <w:pStyle w:val="Style5"/>
        <w:keepNext w:val="0"/>
        <w:keepLines w:val="0"/>
        <w:widowControl w:val="0"/>
        <w:shd w:val="clear" w:color="auto" w:fill="auto"/>
        <w:bidi w:val="0"/>
        <w:spacing w:before="0" w:line="266" w:lineRule="auto"/>
        <w:ind w:left="0" w:right="0" w:firstLine="0"/>
        <w:jc w:val="both"/>
      </w:pPr>
      <w:r>
        <w:rPr>
          <w:rStyle w:val="CharStyle6"/>
        </w:rPr>
        <w:t>zasady konkurencji, dlatego też zmiana koszyka w trakcie trwania okresu wsparcia dla danej instalacji nie jest możliwa.</w:t>
      </w:r>
    </w:p>
    <w:p>
      <w:pPr>
        <w:pStyle w:val="Style5"/>
        <w:keepNext w:val="0"/>
        <w:keepLines w:val="0"/>
        <w:widowControl w:val="0"/>
        <w:shd w:val="clear" w:color="auto" w:fill="auto"/>
        <w:bidi w:val="0"/>
        <w:spacing w:before="0"/>
        <w:ind w:left="0" w:right="0" w:firstLine="0"/>
        <w:jc w:val="both"/>
      </w:pPr>
      <w:r>
        <w:rPr>
          <w:rStyle w:val="CharStyle6"/>
        </w:rPr>
        <w:t>Należy też zauważyć, że wytwórcy, który wygrał aukcję w koszyku dla instalacji OZE o mocy zainstalowanej elektrycznej nie większej niż 1 MW, może przysługiwać wyższy poziom wsparcia (ze względu na wyższą cenę referencyjną dla danego typu i mocy instalacji OZE) aniżeli wytwórcy, który wygrał aukcję w koszyku dla instalacji OZE o mocy zainstalowanej elektrycznej większej niż 1 MW. W powyższej sytuacji rozbudowanie instalacji OZE skutkujące zwiększeniem mocy zainstalowanej elektrycznej ponad 1 MW przy zachowaniu ceny jak dla instalacji z mocą zainstalowaną elektryczną nie większą niż 1 MW prowadziłoby do tzw. nadwsparcia, które jest niedopuszczalne z punku widzenia pomocy publicznej.</w:t>
      </w:r>
    </w:p>
    <w:p>
      <w:pPr>
        <w:pStyle w:val="Style5"/>
        <w:keepNext w:val="0"/>
        <w:keepLines w:val="0"/>
        <w:widowControl w:val="0"/>
        <w:shd w:val="clear" w:color="auto" w:fill="auto"/>
        <w:bidi w:val="0"/>
        <w:spacing w:before="0"/>
        <w:ind w:left="0" w:right="0" w:firstLine="0"/>
        <w:jc w:val="both"/>
      </w:pPr>
      <w:r>
        <w:rPr>
          <w:rStyle w:val="CharStyle6"/>
        </w:rPr>
        <w:t>Należy podkreślić, że obowiązujące w Polsce regulacje dotyczące systemu aukcyjnego wymagały zgody Komisji Europejskiej, co nastąpiło na podstawie decyzji z dnia 20 grudnia 2017 r. [SA.43697]. Decyzja ta zatwierdziła mechanizm aukcyjny jako główny system wsparcia dla odnawialnych źródeł energii w Polsce. Następnie, decyzją z dnia 30 listopada 2021 r. [SA.63198 (2021/N)], Komisja Europejska zgodziła się na przedłużenie systemu aukcyjnego dla OZE do dnia 31 grudnia 2027 roku, co umożliwia zachowanie ciągłości wsparcia dla wytwórców OZE i zapewnia warunki do bezpiecznego i przewidywalnego rozwoju odnawialnych źródeł energii w Polsce.</w:t>
      </w:r>
    </w:p>
    <w:p>
      <w:pPr>
        <w:pStyle w:val="Style5"/>
        <w:keepNext w:val="0"/>
        <w:keepLines w:val="0"/>
        <w:widowControl w:val="0"/>
        <w:shd w:val="clear" w:color="auto" w:fill="auto"/>
        <w:bidi w:val="0"/>
        <w:spacing w:before="0"/>
        <w:ind w:left="0" w:right="0" w:firstLine="0"/>
        <w:jc w:val="both"/>
      </w:pPr>
      <w:r>
        <w:rPr>
          <w:rStyle w:val="CharStyle6"/>
        </w:rPr>
        <w:t>Każda zmiana mechanizmu wsparcia wymaga przeprowadzenia żmudnego i długotrwałego procesu notyfikacyjnego w Komisji Europejskiej dlatego też, w najbliższym czasie nie jest rozważana. Jednakże, wraz z wygaśnięciem decyzji notyfikacyjnej niezbędne będzie notyfikowanie kolejnego, nowego systemu wsparcia, nad którym obecnie trwają prace. Pana petycja zostanie pod tym względem poddana szczegółowej analizie ewentualnego włączenia do planowanych rozwiązań. Należy także wspomnieć, że zagadnienia zmiany zasad obowiązujących w systemie aukcyjnym będą realizowane za pośrednictwem nowelizacji ustawy o OZE i tym samym będą szeroko konsultowane także z opinią publiczną w procesie legislacyjnym, dlatego też zachęcam do śledzenia stron Rządowego Centrum Legislacji, na których prace te będą udostępniane.</w:t>
      </w:r>
    </w:p>
    <w:p>
      <w:pPr>
        <w:pStyle w:val="Style5"/>
        <w:keepNext w:val="0"/>
        <w:keepLines w:val="0"/>
        <w:widowControl w:val="0"/>
        <w:shd w:val="clear" w:color="auto" w:fill="auto"/>
        <w:bidi w:val="0"/>
        <w:spacing w:before="0"/>
        <w:ind w:left="0" w:right="0" w:firstLine="0"/>
        <w:jc w:val="both"/>
      </w:pPr>
      <w:r>
        <w:rPr>
          <w:rStyle w:val="CharStyle6"/>
        </w:rPr>
        <w:t>Niezależnie od powyższego na podkreślenie zasługuje fakt, że krajowe rozwiązania regulacyjne umożliwiają jednak nawet znaczącą rozbudowę instalacji w ramach tzw. cable pooling. Rozwiązanie to pozwala na przyłączenie nowej, osobnej instalacji OZE do tego samego punktu przyłączenia, z którego korzysta już instalacja aukcyjna. W tym rozwiązaniu jedynym ograniczeniem jest określona w umowie o świadczenie usług przesyłania i dystrybucji energii elektrycznej moc przyłączeniowa w miejscu przyłączenia do sieci istniejącej instalacji.</w:t>
      </w:r>
    </w:p>
    <w:p>
      <w:pPr>
        <w:pStyle w:val="Style5"/>
        <w:keepNext w:val="0"/>
        <w:keepLines w:val="0"/>
        <w:widowControl w:val="0"/>
        <w:shd w:val="clear" w:color="auto" w:fill="auto"/>
        <w:bidi w:val="0"/>
        <w:spacing w:before="0" w:line="286" w:lineRule="auto"/>
        <w:ind w:left="0" w:right="0" w:firstLine="0"/>
        <w:jc w:val="both"/>
      </w:pPr>
      <w:r>
        <w:rPr>
          <w:rStyle w:val="CharStyle6"/>
        </w:rPr>
        <w:t>Rozwiązanie, które umożliwia współdzielenie infrastruktury przyłączeniowej przez dwie lub więcej instalacji, z których tylko jedna korzysta z systemu wsparcia określonego w ustawie o OZE jest akceptowalne z punktu widzenia przepisów dot. zasad udzielania pomocy publicznej, które są harmonizowane na poziomie europejskim. Mam nadzieję, że przekazane wyjaśnienia okażą się pomocne.</w:t>
      </w:r>
    </w:p>
    <w:p>
      <w:pPr>
        <w:pStyle w:val="Style5"/>
        <w:keepNext w:val="0"/>
        <w:keepLines w:val="0"/>
        <w:widowControl w:val="0"/>
        <w:shd w:val="clear" w:color="auto" w:fill="auto"/>
        <w:bidi w:val="0"/>
        <w:spacing w:before="0" w:line="286" w:lineRule="auto"/>
        <w:ind w:left="0" w:right="0" w:firstLine="0"/>
        <w:jc w:val="both"/>
      </w:pPr>
      <w:r>
        <w:rPr>
          <w:rStyle w:val="CharStyle6"/>
        </w:rPr>
        <w:t>Niniejsze stanowisko ma charakter informacyjny i nie stanowi wiążącej wykładni prawa ani rozstrzygnięcia w sprawie indywidualnej. Minister Klimatu i Środowiska, poza wyraźnie wskazanymi przepisami prawa, nie dokonuje oceny decyzji ani innych rozstrzygnięć podejmowanych przez organy administracji publicznej w ramach prowadzonych przez nie postępowań administracyjnych. Zastrzegam również, że</w:t>
      </w:r>
    </w:p>
    <w:p>
      <w:pPr>
        <w:pStyle w:val="Style5"/>
        <w:keepNext w:val="0"/>
        <w:keepLines w:val="0"/>
        <w:widowControl w:val="0"/>
        <w:shd w:val="clear" w:color="auto" w:fill="auto"/>
        <w:bidi w:val="0"/>
        <w:spacing w:before="0" w:after="460" w:line="283" w:lineRule="auto"/>
        <w:ind w:left="0" w:right="0" w:firstLine="0"/>
        <w:jc w:val="both"/>
      </w:pPr>
      <w:r>
        <w:rPr>
          <w:rStyle w:val="CharStyle6"/>
        </w:rPr>
        <w:t>niniejsze stanowisko opiera się wyłącznie na informacjach przedstawionych w zapytaniu, które mogą nie obejmować wszystkich istotnych faktów i okoliczności mających wpływ na ocenę prawną, co może prowadzić do odmiennych wniosków niż wskazane w niniejszym piśmie.</w:t>
      </w:r>
    </w:p>
    <w:p>
      <w:pPr>
        <w:pStyle w:val="Style5"/>
        <w:keepNext w:val="0"/>
        <w:keepLines w:val="0"/>
        <w:widowControl w:val="0"/>
        <w:shd w:val="clear" w:color="auto" w:fill="auto"/>
        <w:bidi w:val="0"/>
        <w:spacing w:before="0" w:after="380" w:line="283" w:lineRule="auto"/>
        <w:ind w:left="0" w:right="0" w:firstLine="0"/>
        <w:jc w:val="both"/>
      </w:pPr>
      <w:r>
        <w:rPr>
          <w:rStyle w:val="CharStyle6"/>
        </w:rPr>
        <w:t>Z wyrazami szacunku</w:t>
      </w:r>
    </w:p>
    <w:p>
      <w:pPr>
        <w:pStyle w:val="Style5"/>
        <w:keepNext w:val="0"/>
        <w:keepLines w:val="0"/>
        <w:widowControl w:val="0"/>
        <w:shd w:val="clear" w:color="auto" w:fill="auto"/>
        <w:bidi w:val="0"/>
        <w:spacing w:before="0" w:after="0" w:line="283" w:lineRule="auto"/>
        <w:ind w:left="0" w:right="0" w:firstLine="0"/>
        <w:jc w:val="both"/>
      </w:pPr>
      <w:r>
        <w:rPr>
          <w:rStyle w:val="CharStyle6"/>
        </w:rPr>
        <w:t>Zastępca Dyrektora</w:t>
      </w:r>
    </w:p>
    <w:p>
      <w:pPr>
        <w:pStyle w:val="Style5"/>
        <w:keepNext w:val="0"/>
        <w:keepLines w:val="0"/>
        <w:widowControl w:val="0"/>
        <w:shd w:val="clear" w:color="auto" w:fill="auto"/>
        <w:bidi w:val="0"/>
        <w:spacing w:before="0" w:after="0" w:line="283" w:lineRule="auto"/>
        <w:ind w:left="0" w:right="0" w:firstLine="0"/>
        <w:jc w:val="both"/>
      </w:pPr>
      <w:r>
        <w:rPr>
          <w:rStyle w:val="CharStyle6"/>
        </w:rPr>
        <w:t>Departament Odnawialnych Źródeł Energii</w:t>
      </w:r>
    </w:p>
    <w:p>
      <w:pPr>
        <w:pStyle w:val="Style5"/>
        <w:keepNext w:val="0"/>
        <w:keepLines w:val="0"/>
        <w:widowControl w:val="0"/>
        <w:shd w:val="clear" w:color="auto" w:fill="auto"/>
        <w:bidi w:val="0"/>
        <w:spacing w:before="0" w:after="0" w:line="283" w:lineRule="auto"/>
        <w:ind w:left="0" w:right="0" w:firstLine="0"/>
        <w:jc w:val="both"/>
      </w:pPr>
      <w:r>
        <w:rPr>
          <w:rStyle w:val="CharStyle6"/>
        </w:rPr>
        <w:t>Ministerstwo Klimatu i Środowiska</w:t>
      </w:r>
    </w:p>
    <w:p>
      <w:pPr>
        <w:pStyle w:val="Style5"/>
        <w:keepNext w:val="0"/>
        <w:keepLines w:val="0"/>
        <w:widowControl w:val="0"/>
        <w:shd w:val="clear" w:color="auto" w:fill="auto"/>
        <w:bidi w:val="0"/>
        <w:spacing w:before="0" w:after="420" w:line="283" w:lineRule="auto"/>
        <w:ind w:left="0" w:right="0" w:firstLine="0"/>
        <w:jc w:val="both"/>
      </w:pPr>
      <w:r>
        <w:rPr>
          <w:rStyle w:val="CharStyle6"/>
        </w:rPr>
        <w:t>/ – podpisany cyfrowo/</w:t>
      </w:r>
    </w:p>
    <w:sectPr>
      <w:footerReference w:type="default" r:id="rId7"/>
      <w:footnotePr>
        <w:pos w:val="pageBottom"/>
        <w:numFmt w:val="decimal"/>
        <w:numRestart w:val="continuous"/>
      </w:footnotePr>
      <w:pgSz w:w="11900" w:h="16840"/>
      <w:pgMar w:top="2094" w:right="1957" w:bottom="1721" w:left="1952"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3754120</wp:posOffset>
              </wp:positionH>
              <wp:positionV relativeFrom="page">
                <wp:posOffset>10040620</wp:posOffset>
              </wp:positionV>
              <wp:extent cx="48895" cy="73025"/>
              <wp:wrapNone/>
              <wp:docPr id="3" name="Shape 3"/>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5.60000000000002pt;margin-top:790.60000000000002pt;width:3.8500000000000001pt;height:5.75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Heading #1_"/>
    <w:basedOn w:val="DefaultParagraphFont"/>
    <w:link w:val="Style2"/>
    <w:rPr>
      <w:rFonts w:ascii="Corbel" w:eastAsia="Corbel" w:hAnsi="Corbel" w:cs="Corbel"/>
      <w:b w:val="0"/>
      <w:bCs w:val="0"/>
      <w:i w:val="0"/>
      <w:iCs w:val="0"/>
      <w:smallCaps w:val="0"/>
      <w:strike w:val="0"/>
      <w:sz w:val="38"/>
      <w:szCs w:val="38"/>
      <w:u w:val="none"/>
    </w:rPr>
  </w:style>
  <w:style w:type="character" w:customStyle="1" w:styleId="CharStyle6">
    <w:name w:val="Body text_"/>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8">
    <w:name w:val="Body text (2)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Heading #2_"/>
    <w:basedOn w:val="DefaultParagraphFont"/>
    <w:link w:val="Style9"/>
    <w:rPr>
      <w:rFonts w:ascii="Arial" w:eastAsia="Arial" w:hAnsi="Arial" w:cs="Arial"/>
      <w:b/>
      <w:bCs/>
      <w:i w:val="0"/>
      <w:iCs w:val="0"/>
      <w:smallCaps w:val="0"/>
      <w:strike w:val="0"/>
      <w:sz w:val="20"/>
      <w:szCs w:val="20"/>
      <w:u w:val="none"/>
    </w:rPr>
  </w:style>
  <w:style w:type="character" w:customStyle="1" w:styleId="CharStyle12">
    <w:name w:val="Body text (3)_"/>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4">
    <w:name w:val="Body text (4)_"/>
    <w:basedOn w:val="DefaultParagraphFont"/>
    <w:link w:val="Style13"/>
    <w:rPr>
      <w:rFonts w:ascii="Arial" w:eastAsia="Arial" w:hAnsi="Arial" w:cs="Arial"/>
      <w:b w:val="0"/>
      <w:bCs w:val="0"/>
      <w:i w:val="0"/>
      <w:iCs w:val="0"/>
      <w:smallCaps w:val="0"/>
      <w:strike w:val="0"/>
      <w:sz w:val="13"/>
      <w:szCs w:val="13"/>
      <w:u w:val="none"/>
    </w:rPr>
  </w:style>
  <w:style w:type="character" w:customStyle="1" w:styleId="CharStyle16">
    <w:name w:val="Header or footer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Heading #1"/>
    <w:basedOn w:val="Normal"/>
    <w:link w:val="CharStyle3"/>
    <w:pPr>
      <w:widowControl w:val="0"/>
      <w:shd w:val="clear" w:color="auto" w:fill="auto"/>
      <w:spacing w:after="250" w:line="221" w:lineRule="auto"/>
      <w:outlineLvl w:val="0"/>
    </w:pPr>
    <w:rPr>
      <w:rFonts w:ascii="Corbel" w:eastAsia="Corbel" w:hAnsi="Corbel" w:cs="Corbel"/>
      <w:b w:val="0"/>
      <w:bCs w:val="0"/>
      <w:i w:val="0"/>
      <w:iCs w:val="0"/>
      <w:smallCaps w:val="0"/>
      <w:strike w:val="0"/>
      <w:sz w:val="38"/>
      <w:szCs w:val="38"/>
      <w:u w:val="none"/>
    </w:rPr>
  </w:style>
  <w:style w:type="paragraph" w:styleId="Style5">
    <w:name w:val="Body text"/>
    <w:basedOn w:val="Normal"/>
    <w:link w:val="CharStyle6"/>
    <w:qFormat/>
    <w:pPr>
      <w:widowControl w:val="0"/>
      <w:shd w:val="clear" w:color="auto" w:fill="auto"/>
      <w:spacing w:after="60" w:line="264" w:lineRule="auto"/>
    </w:pPr>
    <w:rPr>
      <w:rFonts w:ascii="Arial" w:eastAsia="Arial" w:hAnsi="Arial" w:cs="Arial"/>
      <w:b w:val="0"/>
      <w:bCs w:val="0"/>
      <w:i w:val="0"/>
      <w:iCs w:val="0"/>
      <w:smallCaps w:val="0"/>
      <w:strike w:val="0"/>
      <w:sz w:val="20"/>
      <w:szCs w:val="20"/>
      <w:u w:val="none"/>
    </w:rPr>
  </w:style>
  <w:style w:type="paragraph" w:customStyle="1" w:styleId="Style7">
    <w:name w:val="Body text (2)"/>
    <w:basedOn w:val="Normal"/>
    <w:link w:val="CharStyle8"/>
    <w:pPr>
      <w:widowControl w:val="0"/>
      <w:shd w:val="clear" w:color="auto" w:fill="auto"/>
      <w:spacing w:after="780"/>
      <w:ind w:left="220"/>
    </w:pPr>
    <w:rPr>
      <w:rFonts w:ascii="Arial" w:eastAsia="Arial" w:hAnsi="Arial" w:cs="Arial"/>
      <w:b w:val="0"/>
      <w:bCs w:val="0"/>
      <w:i w:val="0"/>
      <w:iCs w:val="0"/>
      <w:smallCaps w:val="0"/>
      <w:strike w:val="0"/>
      <w:sz w:val="18"/>
      <w:szCs w:val="18"/>
      <w:u w:val="none"/>
    </w:rPr>
  </w:style>
  <w:style w:type="paragraph" w:customStyle="1" w:styleId="Style9">
    <w:name w:val="Heading #2"/>
    <w:basedOn w:val="Normal"/>
    <w:link w:val="CharStyle10"/>
    <w:pPr>
      <w:widowControl w:val="0"/>
      <w:shd w:val="clear" w:color="auto" w:fill="auto"/>
      <w:spacing w:after="600"/>
      <w:ind w:firstLine="220"/>
      <w:outlineLvl w:val="1"/>
    </w:pPr>
    <w:rPr>
      <w:rFonts w:ascii="Arial" w:eastAsia="Arial" w:hAnsi="Arial" w:cs="Arial"/>
      <w:b/>
      <w:bCs/>
      <w:i w:val="0"/>
      <w:iCs w:val="0"/>
      <w:smallCaps w:val="0"/>
      <w:strike w:val="0"/>
      <w:sz w:val="20"/>
      <w:szCs w:val="20"/>
      <w:u w:val="none"/>
    </w:rPr>
  </w:style>
  <w:style w:type="paragraph" w:customStyle="1" w:styleId="Style11">
    <w:name w:val="Body text (3)"/>
    <w:basedOn w:val="Normal"/>
    <w:link w:val="CharStyle12"/>
    <w:pPr>
      <w:widowControl w:val="0"/>
      <w:shd w:val="clear" w:color="auto" w:fill="auto"/>
      <w:ind w:left="220"/>
    </w:pPr>
    <w:rPr>
      <w:rFonts w:ascii="Arial" w:eastAsia="Arial" w:hAnsi="Arial" w:cs="Arial"/>
      <w:b w:val="0"/>
      <w:bCs w:val="0"/>
      <w:i w:val="0"/>
      <w:iCs w:val="0"/>
      <w:smallCaps w:val="0"/>
      <w:strike w:val="0"/>
      <w:sz w:val="16"/>
      <w:szCs w:val="16"/>
      <w:u w:val="none"/>
    </w:rPr>
  </w:style>
  <w:style w:type="paragraph" w:customStyle="1" w:styleId="Style13">
    <w:name w:val="Body text (4)"/>
    <w:basedOn w:val="Normal"/>
    <w:link w:val="CharStyle14"/>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15">
    <w:name w:val="Header or footer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Prosty język. Uniwersalny szablondepartamentu/biura kolor</dc:title>
  <dc:subject/>
  <dc:creator>Kamińska Anna</dc:creator>
  <cp:keywords>PL, KOLOR</cp:keywords>
</cp:coreProperties>
</file>