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87CB2" w14:textId="77777777" w:rsidR="00BB029C" w:rsidRPr="0030465A" w:rsidRDefault="00153D4D" w:rsidP="0030465A">
      <w:pPr>
        <w:pStyle w:val="Default"/>
        <w:spacing w:line="276" w:lineRule="auto"/>
        <w:jc w:val="both"/>
        <w:rPr>
          <w:rFonts w:ascii="Lato" w:hAnsi="Lato" w:cs="Lato"/>
          <w:b/>
          <w:i/>
          <w:iCs/>
          <w:sz w:val="20"/>
          <w:szCs w:val="20"/>
        </w:rPr>
      </w:pPr>
      <w:r w:rsidRPr="0030465A">
        <w:rPr>
          <w:rFonts w:ascii="Lato" w:eastAsia="Times New Roman" w:hAnsi="Lato" w:cs="Arial"/>
          <w:b/>
          <w:bCs/>
          <w:sz w:val="20"/>
          <w:szCs w:val="20"/>
        </w:rPr>
        <w:t xml:space="preserve">Informacja o wynikach kontroli dotyczącej </w:t>
      </w:r>
      <w:r w:rsidR="00811930" w:rsidRPr="0030465A">
        <w:rPr>
          <w:rFonts w:ascii="Lato" w:eastAsia="Times New Roman" w:hAnsi="Lato" w:cs="Arial"/>
          <w:b/>
          <w:bCs/>
          <w:sz w:val="20"/>
          <w:szCs w:val="20"/>
        </w:rPr>
        <w:t xml:space="preserve">wykonania </w:t>
      </w:r>
      <w:r w:rsidR="004D586F" w:rsidRPr="0030465A">
        <w:rPr>
          <w:rFonts w:ascii="Lato" w:eastAsia="Times New Roman" w:hAnsi="Lato" w:cs="Arial"/>
          <w:b/>
          <w:bCs/>
          <w:sz w:val="20"/>
          <w:szCs w:val="20"/>
        </w:rPr>
        <w:t>p</w:t>
      </w:r>
      <w:r w:rsidR="00811930" w:rsidRPr="0030465A">
        <w:rPr>
          <w:rFonts w:ascii="Lato" w:eastAsia="Times New Roman" w:hAnsi="Lato" w:cs="Arial"/>
          <w:b/>
          <w:bCs/>
          <w:sz w:val="20"/>
          <w:szCs w:val="20"/>
        </w:rPr>
        <w:t>rzedsięwzięcia</w:t>
      </w:r>
      <w:r w:rsidR="0030584F" w:rsidRPr="0030465A">
        <w:rPr>
          <w:rFonts w:ascii="Lato" w:eastAsia="Times New Roman" w:hAnsi="Lato" w:cs="Arial"/>
          <w:b/>
          <w:bCs/>
          <w:sz w:val="20"/>
          <w:szCs w:val="20"/>
        </w:rPr>
        <w:t xml:space="preserve"> pn.</w:t>
      </w:r>
      <w:r w:rsidR="00811930" w:rsidRPr="0030465A">
        <w:rPr>
          <w:rFonts w:ascii="Lato" w:eastAsia="Times New Roman" w:hAnsi="Lato" w:cs="Arial"/>
          <w:b/>
          <w:bCs/>
          <w:sz w:val="20"/>
          <w:szCs w:val="20"/>
        </w:rPr>
        <w:t xml:space="preserve"> </w:t>
      </w:r>
      <w:r w:rsidR="003873A6" w:rsidRPr="0030465A">
        <w:rPr>
          <w:rFonts w:ascii="Lato" w:hAnsi="Lato" w:cs="Lato"/>
          <w:b/>
          <w:i/>
          <w:iCs/>
          <w:sz w:val="20"/>
          <w:szCs w:val="20"/>
        </w:rPr>
        <w:t xml:space="preserve">Realizacja inwestycji ukierunkowanej na cyfryzację, robotyzację i automatyzację działalności </w:t>
      </w:r>
      <w:proofErr w:type="spellStart"/>
      <w:r w:rsidR="003873A6" w:rsidRPr="0030465A">
        <w:rPr>
          <w:rFonts w:ascii="Lato" w:hAnsi="Lato" w:cs="Lato"/>
          <w:b/>
          <w:i/>
          <w:iCs/>
          <w:sz w:val="20"/>
          <w:szCs w:val="20"/>
        </w:rPr>
        <w:t>Revico</w:t>
      </w:r>
      <w:proofErr w:type="spellEnd"/>
      <w:r w:rsidR="003873A6" w:rsidRPr="0030465A">
        <w:rPr>
          <w:rFonts w:ascii="Lato" w:hAnsi="Lato" w:cs="Lato"/>
          <w:b/>
          <w:i/>
          <w:iCs/>
          <w:sz w:val="20"/>
          <w:szCs w:val="20"/>
        </w:rPr>
        <w:t xml:space="preserve"> </w:t>
      </w:r>
      <w:r w:rsidR="009C7617" w:rsidRPr="0030465A">
        <w:rPr>
          <w:rFonts w:ascii="Lato" w:hAnsi="Lato" w:cs="Lato"/>
          <w:b/>
          <w:i/>
          <w:iCs/>
          <w:sz w:val="20"/>
          <w:szCs w:val="20"/>
        </w:rPr>
        <w:t xml:space="preserve">S.A. </w:t>
      </w:r>
      <w:r w:rsidR="003873A6" w:rsidRPr="0030465A">
        <w:rPr>
          <w:rFonts w:ascii="Lato" w:hAnsi="Lato" w:cs="Lato"/>
          <w:b/>
          <w:i/>
          <w:iCs/>
          <w:sz w:val="20"/>
          <w:szCs w:val="20"/>
        </w:rPr>
        <w:t>o numerze KPOD.01.11-IP.06-0062/23.</w:t>
      </w:r>
    </w:p>
    <w:p w14:paraId="59846AF1" w14:textId="77777777" w:rsidR="003873A6" w:rsidRPr="0030465A" w:rsidRDefault="003873A6" w:rsidP="0030465A">
      <w:pPr>
        <w:pStyle w:val="Default"/>
        <w:spacing w:line="276" w:lineRule="auto"/>
        <w:jc w:val="both"/>
        <w:rPr>
          <w:rFonts w:ascii="Lato" w:hAnsi="Lato" w:cs="Arial"/>
          <w:sz w:val="20"/>
          <w:szCs w:val="20"/>
        </w:rPr>
      </w:pPr>
    </w:p>
    <w:p w14:paraId="480774D2" w14:textId="77777777" w:rsidR="00BB029C" w:rsidRPr="0030465A" w:rsidRDefault="00153D4D" w:rsidP="0030465A">
      <w:pPr>
        <w:pStyle w:val="Default"/>
        <w:spacing w:line="276" w:lineRule="auto"/>
        <w:ind w:firstLine="284"/>
        <w:jc w:val="both"/>
        <w:rPr>
          <w:rFonts w:ascii="Lato" w:hAnsi="Lato" w:cs="Arial"/>
          <w:sz w:val="20"/>
          <w:szCs w:val="20"/>
        </w:rPr>
      </w:pPr>
      <w:r w:rsidRPr="0030465A">
        <w:rPr>
          <w:rFonts w:ascii="Lato" w:hAnsi="Lato" w:cs="Arial"/>
          <w:sz w:val="20"/>
          <w:szCs w:val="20"/>
        </w:rPr>
        <w:t>Departament Kontroli i Audytu</w:t>
      </w:r>
      <w:r w:rsidR="0027134F" w:rsidRPr="0030465A">
        <w:rPr>
          <w:rFonts w:ascii="Lato" w:hAnsi="Lato" w:cs="Arial"/>
          <w:sz w:val="20"/>
          <w:szCs w:val="20"/>
        </w:rPr>
        <w:t xml:space="preserve"> </w:t>
      </w:r>
      <w:r w:rsidRPr="0030465A">
        <w:rPr>
          <w:rFonts w:ascii="Lato" w:hAnsi="Lato" w:cs="Arial"/>
          <w:sz w:val="20"/>
          <w:szCs w:val="20"/>
        </w:rPr>
        <w:t xml:space="preserve">przeprowadził kontrolę </w:t>
      </w:r>
      <w:r w:rsidR="00143DC1" w:rsidRPr="0030465A">
        <w:rPr>
          <w:rFonts w:ascii="Lato" w:hAnsi="Lato" w:cs="Arial"/>
          <w:sz w:val="20"/>
          <w:szCs w:val="20"/>
        </w:rPr>
        <w:t xml:space="preserve">w </w:t>
      </w:r>
      <w:proofErr w:type="spellStart"/>
      <w:r w:rsidR="003873A6" w:rsidRPr="0030465A">
        <w:rPr>
          <w:rFonts w:ascii="Lato" w:hAnsi="Lato"/>
          <w:sz w:val="20"/>
          <w:szCs w:val="20"/>
        </w:rPr>
        <w:t>Revico</w:t>
      </w:r>
      <w:proofErr w:type="spellEnd"/>
      <w:r w:rsidR="003873A6" w:rsidRPr="0030465A">
        <w:rPr>
          <w:rFonts w:ascii="Lato" w:hAnsi="Lato"/>
          <w:sz w:val="20"/>
          <w:szCs w:val="20"/>
        </w:rPr>
        <w:t xml:space="preserve"> </w:t>
      </w:r>
      <w:r w:rsidR="0004542D" w:rsidRPr="0030465A">
        <w:rPr>
          <w:rFonts w:ascii="Lato" w:hAnsi="Lato"/>
          <w:sz w:val="20"/>
          <w:szCs w:val="20"/>
        </w:rPr>
        <w:t>S</w:t>
      </w:r>
      <w:r w:rsidR="003873A6" w:rsidRPr="0030465A">
        <w:rPr>
          <w:rFonts w:ascii="Lato" w:hAnsi="Lato"/>
          <w:sz w:val="20"/>
          <w:szCs w:val="20"/>
        </w:rPr>
        <w:t>.</w:t>
      </w:r>
      <w:r w:rsidR="0004542D" w:rsidRPr="0030465A">
        <w:rPr>
          <w:rFonts w:ascii="Lato" w:hAnsi="Lato"/>
          <w:sz w:val="20"/>
          <w:szCs w:val="20"/>
        </w:rPr>
        <w:t>A.</w:t>
      </w:r>
      <w:r w:rsidR="003873A6" w:rsidRPr="0030465A">
        <w:rPr>
          <w:rFonts w:ascii="Lato" w:hAnsi="Lato"/>
          <w:sz w:val="20"/>
          <w:szCs w:val="20"/>
        </w:rPr>
        <w:t xml:space="preserve"> </w:t>
      </w:r>
      <w:r w:rsidR="0061193E" w:rsidRPr="0030465A">
        <w:rPr>
          <w:rFonts w:ascii="Lato" w:hAnsi="Lato"/>
          <w:sz w:val="20"/>
          <w:szCs w:val="20"/>
        </w:rPr>
        <w:t>(d</w:t>
      </w:r>
      <w:r w:rsidR="0061193E" w:rsidRPr="0030465A">
        <w:rPr>
          <w:rFonts w:ascii="Lato" w:hAnsi="Lato" w:cs="Arial"/>
          <w:sz w:val="20"/>
          <w:szCs w:val="20"/>
          <w:lang w:eastAsia="zh-CN"/>
        </w:rPr>
        <w:t>alej: OOW</w:t>
      </w:r>
      <w:r w:rsidR="00C4032F" w:rsidRPr="0030465A">
        <w:rPr>
          <w:rStyle w:val="Odwoanieprzypisudolnego"/>
          <w:rFonts w:ascii="Lato" w:hAnsi="Lato"/>
          <w:sz w:val="20"/>
          <w:szCs w:val="20"/>
          <w:lang w:eastAsia="zh-CN"/>
        </w:rPr>
        <w:footnoteReference w:id="1"/>
      </w:r>
      <w:r w:rsidR="0061193E" w:rsidRPr="0030465A">
        <w:rPr>
          <w:rFonts w:ascii="Lato" w:hAnsi="Lato" w:cs="Arial"/>
          <w:sz w:val="20"/>
          <w:szCs w:val="20"/>
          <w:lang w:eastAsia="zh-CN"/>
        </w:rPr>
        <w:t>)</w:t>
      </w:r>
      <w:r w:rsidR="00DF3C1E" w:rsidRPr="0030465A">
        <w:rPr>
          <w:rFonts w:ascii="Lato" w:hAnsi="Lato" w:cs="Arial"/>
          <w:sz w:val="20"/>
          <w:szCs w:val="20"/>
        </w:rPr>
        <w:t xml:space="preserve"> </w:t>
      </w:r>
      <w:r w:rsidR="00811930" w:rsidRPr="0030465A">
        <w:rPr>
          <w:rFonts w:ascii="Lato" w:hAnsi="Lato" w:cs="Arial"/>
          <w:sz w:val="20"/>
          <w:szCs w:val="20"/>
        </w:rPr>
        <w:t xml:space="preserve">z siedzibą </w:t>
      </w:r>
      <w:r w:rsidR="00107DB8" w:rsidRPr="0030465A">
        <w:rPr>
          <w:rFonts w:ascii="Lato" w:hAnsi="Lato" w:cs="Arial"/>
          <w:sz w:val="20"/>
          <w:szCs w:val="20"/>
        </w:rPr>
        <w:t>w</w:t>
      </w:r>
      <w:r w:rsidR="00C4032F" w:rsidRPr="0030465A">
        <w:rPr>
          <w:rFonts w:ascii="Lato" w:hAnsi="Lato" w:cs="Arial"/>
          <w:sz w:val="20"/>
          <w:szCs w:val="20"/>
        </w:rPr>
        <w:t> </w:t>
      </w:r>
      <w:r w:rsidR="003873A6" w:rsidRPr="0030465A">
        <w:rPr>
          <w:rFonts w:ascii="Lato" w:hAnsi="Lato" w:cs="Arial"/>
          <w:sz w:val="20"/>
          <w:szCs w:val="20"/>
        </w:rPr>
        <w:t>Mirosław</w:t>
      </w:r>
      <w:r w:rsidR="009426AE" w:rsidRPr="0030465A">
        <w:rPr>
          <w:rFonts w:ascii="Lato" w:hAnsi="Lato" w:cs="Arial"/>
          <w:sz w:val="20"/>
          <w:szCs w:val="20"/>
        </w:rPr>
        <w:t>i</w:t>
      </w:r>
      <w:r w:rsidR="003873A6" w:rsidRPr="0030465A">
        <w:rPr>
          <w:rFonts w:ascii="Lato" w:hAnsi="Lato" w:cs="Arial"/>
          <w:sz w:val="20"/>
          <w:szCs w:val="20"/>
        </w:rPr>
        <w:t>u</w:t>
      </w:r>
      <w:r w:rsidR="00CA31E7" w:rsidRPr="0030465A">
        <w:rPr>
          <w:rFonts w:ascii="Lato" w:hAnsi="Lato" w:cs="Arial"/>
          <w:sz w:val="20"/>
          <w:szCs w:val="20"/>
        </w:rPr>
        <w:t xml:space="preserve">. </w:t>
      </w:r>
      <w:r w:rsidRPr="0030465A">
        <w:rPr>
          <w:rFonts w:ascii="Lato" w:hAnsi="Lato" w:cs="Arial"/>
          <w:sz w:val="20"/>
          <w:szCs w:val="20"/>
        </w:rPr>
        <w:t>Czynności kontrolne zostały przeprowadzone</w:t>
      </w:r>
      <w:r w:rsidR="002D5D8A" w:rsidRPr="0030465A">
        <w:rPr>
          <w:rFonts w:ascii="Lato" w:hAnsi="Lato" w:cs="Arial"/>
          <w:sz w:val="20"/>
          <w:szCs w:val="20"/>
        </w:rPr>
        <w:t xml:space="preserve"> </w:t>
      </w:r>
      <w:r w:rsidRPr="0030465A">
        <w:rPr>
          <w:rFonts w:ascii="Lato" w:hAnsi="Lato" w:cs="Arial"/>
          <w:sz w:val="20"/>
          <w:szCs w:val="20"/>
        </w:rPr>
        <w:t>w</w:t>
      </w:r>
      <w:r w:rsidR="00DB0B31" w:rsidRPr="0030465A">
        <w:rPr>
          <w:rFonts w:ascii="Lato" w:hAnsi="Lato" w:cs="Arial"/>
          <w:sz w:val="20"/>
          <w:szCs w:val="20"/>
        </w:rPr>
        <w:t xml:space="preserve"> </w:t>
      </w:r>
      <w:r w:rsidRPr="0030465A">
        <w:rPr>
          <w:rFonts w:ascii="Lato" w:hAnsi="Lato" w:cs="Arial"/>
          <w:sz w:val="20"/>
          <w:szCs w:val="20"/>
        </w:rPr>
        <w:t xml:space="preserve">terminie </w:t>
      </w:r>
      <w:r w:rsidR="002D5D8A" w:rsidRPr="0030465A">
        <w:rPr>
          <w:rFonts w:ascii="Lato" w:hAnsi="Lato" w:cs="Arial"/>
          <w:sz w:val="20"/>
          <w:szCs w:val="20"/>
        </w:rPr>
        <w:t xml:space="preserve">od </w:t>
      </w:r>
      <w:r w:rsidR="00C4032F" w:rsidRPr="0030465A">
        <w:rPr>
          <w:rFonts w:ascii="Lato" w:hAnsi="Lato" w:cs="Arial"/>
          <w:sz w:val="20"/>
          <w:szCs w:val="20"/>
        </w:rPr>
        <w:t>12 stycznia do 6 lutego 2026 r.</w:t>
      </w:r>
      <w:r w:rsidRPr="0030465A">
        <w:rPr>
          <w:rFonts w:ascii="Lato" w:eastAsia="Times New Roman" w:hAnsi="Lato" w:cs="Arial"/>
          <w:sz w:val="20"/>
          <w:szCs w:val="20"/>
        </w:rPr>
        <w:t xml:space="preserve">, </w:t>
      </w:r>
      <w:r w:rsidRPr="0030465A">
        <w:rPr>
          <w:rFonts w:ascii="Lato" w:hAnsi="Lato" w:cs="Arial"/>
          <w:sz w:val="20"/>
          <w:szCs w:val="20"/>
        </w:rPr>
        <w:t>na</w:t>
      </w:r>
      <w:r w:rsidR="005D17CA" w:rsidRPr="0030465A">
        <w:rPr>
          <w:rFonts w:ascii="Lato" w:hAnsi="Lato" w:cs="Arial"/>
          <w:sz w:val="20"/>
          <w:szCs w:val="20"/>
        </w:rPr>
        <w:t xml:space="preserve"> </w:t>
      </w:r>
      <w:r w:rsidRPr="0030465A">
        <w:rPr>
          <w:rFonts w:ascii="Lato" w:hAnsi="Lato" w:cs="Arial"/>
          <w:sz w:val="20"/>
          <w:szCs w:val="20"/>
        </w:rPr>
        <w:t xml:space="preserve">podstawie </w:t>
      </w:r>
      <w:r w:rsidR="00811930" w:rsidRPr="0030465A">
        <w:rPr>
          <w:rFonts w:ascii="Lato" w:hAnsi="Lato" w:cs="Arial"/>
          <w:sz w:val="20"/>
          <w:szCs w:val="20"/>
        </w:rPr>
        <w:t>art.</w:t>
      </w:r>
      <w:r w:rsidR="00D23711" w:rsidRPr="0030465A">
        <w:rPr>
          <w:rFonts w:ascii="Lato" w:hAnsi="Lato" w:cs="Arial"/>
          <w:sz w:val="20"/>
          <w:szCs w:val="20"/>
        </w:rPr>
        <w:t xml:space="preserve"> </w:t>
      </w:r>
      <w:r w:rsidR="00811930" w:rsidRPr="0030465A">
        <w:rPr>
          <w:rFonts w:ascii="Lato" w:hAnsi="Lato" w:cs="Arial"/>
          <w:sz w:val="20"/>
          <w:szCs w:val="20"/>
        </w:rPr>
        <w:t>14lu ust. 3 ustawy z</w:t>
      </w:r>
      <w:r w:rsidR="000444D5" w:rsidRPr="0030465A">
        <w:rPr>
          <w:rFonts w:ascii="Lato" w:hAnsi="Lato" w:cs="Arial"/>
          <w:sz w:val="20"/>
          <w:szCs w:val="20"/>
        </w:rPr>
        <w:t xml:space="preserve"> </w:t>
      </w:r>
      <w:r w:rsidR="00811930" w:rsidRPr="0030465A">
        <w:rPr>
          <w:rFonts w:ascii="Lato" w:hAnsi="Lato" w:cs="Arial"/>
          <w:sz w:val="20"/>
          <w:szCs w:val="20"/>
        </w:rPr>
        <w:t>dnia 6</w:t>
      </w:r>
      <w:r w:rsidR="008A56A7" w:rsidRPr="0030465A">
        <w:rPr>
          <w:rFonts w:ascii="Lato" w:hAnsi="Lato" w:cs="Arial"/>
          <w:sz w:val="20"/>
          <w:szCs w:val="20"/>
        </w:rPr>
        <w:t xml:space="preserve"> </w:t>
      </w:r>
      <w:r w:rsidR="00811930" w:rsidRPr="0030465A">
        <w:rPr>
          <w:rFonts w:ascii="Lato" w:hAnsi="Lato" w:cs="Arial"/>
          <w:sz w:val="20"/>
          <w:szCs w:val="20"/>
        </w:rPr>
        <w:t xml:space="preserve">grudnia 2006 r. </w:t>
      </w:r>
      <w:r w:rsidR="00811930" w:rsidRPr="0030465A">
        <w:rPr>
          <w:rFonts w:ascii="Lato" w:hAnsi="Lato" w:cs="Arial"/>
          <w:i/>
          <w:sz w:val="20"/>
          <w:szCs w:val="20"/>
        </w:rPr>
        <w:t>o</w:t>
      </w:r>
      <w:r w:rsidR="000444D5" w:rsidRPr="0030465A">
        <w:rPr>
          <w:rFonts w:ascii="Lato" w:hAnsi="Lato" w:cs="Arial"/>
          <w:i/>
          <w:sz w:val="20"/>
          <w:szCs w:val="20"/>
        </w:rPr>
        <w:t xml:space="preserve"> </w:t>
      </w:r>
      <w:r w:rsidR="00811930" w:rsidRPr="0030465A">
        <w:rPr>
          <w:rFonts w:ascii="Lato" w:hAnsi="Lato" w:cs="Arial"/>
          <w:i/>
          <w:sz w:val="20"/>
          <w:szCs w:val="20"/>
        </w:rPr>
        <w:t>zasadach prowadzenia polityki rozwoju</w:t>
      </w:r>
      <w:r w:rsidR="005D17CA" w:rsidRPr="0030465A">
        <w:rPr>
          <w:rStyle w:val="Odwoanieprzypisudolnego"/>
          <w:rFonts w:ascii="Lato" w:hAnsi="Lato"/>
          <w:i/>
          <w:sz w:val="20"/>
          <w:szCs w:val="20"/>
        </w:rPr>
        <w:footnoteReference w:id="2"/>
      </w:r>
      <w:r w:rsidR="005D17CA" w:rsidRPr="0030465A">
        <w:rPr>
          <w:rFonts w:ascii="Lato" w:hAnsi="Lato" w:cs="Arial"/>
          <w:sz w:val="20"/>
          <w:szCs w:val="20"/>
        </w:rPr>
        <w:t xml:space="preserve"> </w:t>
      </w:r>
      <w:r w:rsidR="00811930" w:rsidRPr="0030465A">
        <w:rPr>
          <w:rFonts w:ascii="Lato" w:hAnsi="Lato" w:cs="Arial"/>
          <w:sz w:val="20"/>
          <w:szCs w:val="20"/>
        </w:rPr>
        <w:t>w</w:t>
      </w:r>
      <w:r w:rsidR="00143DC1" w:rsidRPr="0030465A">
        <w:rPr>
          <w:rFonts w:ascii="Lato" w:hAnsi="Lato" w:cs="Arial"/>
          <w:sz w:val="20"/>
          <w:szCs w:val="20"/>
        </w:rPr>
        <w:t xml:space="preserve"> </w:t>
      </w:r>
      <w:r w:rsidR="00811930" w:rsidRPr="0030465A">
        <w:rPr>
          <w:rFonts w:ascii="Lato" w:hAnsi="Lato" w:cs="Arial"/>
          <w:sz w:val="20"/>
          <w:szCs w:val="20"/>
        </w:rPr>
        <w:t>związku z</w:t>
      </w:r>
      <w:r w:rsidR="005D17CA" w:rsidRPr="0030465A">
        <w:rPr>
          <w:rFonts w:ascii="Lato" w:hAnsi="Lato" w:cs="Arial"/>
          <w:sz w:val="20"/>
          <w:szCs w:val="20"/>
        </w:rPr>
        <w:t xml:space="preserve"> </w:t>
      </w:r>
      <w:r w:rsidR="00811930" w:rsidRPr="0030465A">
        <w:rPr>
          <w:rFonts w:ascii="Lato" w:hAnsi="Lato" w:cs="Arial"/>
          <w:sz w:val="20"/>
          <w:szCs w:val="20"/>
        </w:rPr>
        <w:t xml:space="preserve">rozdziałem </w:t>
      </w:r>
      <w:r w:rsidR="009B4CCD" w:rsidRPr="0030465A">
        <w:rPr>
          <w:rFonts w:ascii="Lato" w:hAnsi="Lato" w:cs="Arial"/>
          <w:sz w:val="20"/>
          <w:szCs w:val="20"/>
        </w:rPr>
        <w:t xml:space="preserve">II </w:t>
      </w:r>
      <w:r w:rsidR="00F8391F" w:rsidRPr="0030465A">
        <w:rPr>
          <w:rFonts w:ascii="Lato" w:hAnsi="Lato" w:cs="Arial"/>
          <w:sz w:val="20"/>
          <w:szCs w:val="20"/>
        </w:rPr>
        <w:t xml:space="preserve">pkt </w:t>
      </w:r>
      <w:r w:rsidR="009B4CCD" w:rsidRPr="0030465A">
        <w:rPr>
          <w:rFonts w:ascii="Lato" w:hAnsi="Lato" w:cs="Arial"/>
          <w:sz w:val="20"/>
          <w:szCs w:val="20"/>
        </w:rPr>
        <w:t>4</w:t>
      </w:r>
      <w:r w:rsidR="004A09D6" w:rsidRPr="0030465A">
        <w:rPr>
          <w:sz w:val="20"/>
          <w:szCs w:val="20"/>
        </w:rPr>
        <w:t xml:space="preserve"> </w:t>
      </w:r>
      <w:r w:rsidR="004A09D6" w:rsidRPr="0030465A">
        <w:rPr>
          <w:rFonts w:ascii="Lato" w:hAnsi="Lato" w:cs="Arial"/>
          <w:sz w:val="20"/>
          <w:szCs w:val="20"/>
        </w:rPr>
        <w:t>i rozdziałem V pkt 9</w:t>
      </w:r>
      <w:r w:rsidR="009B4CCD" w:rsidRPr="0030465A">
        <w:rPr>
          <w:rFonts w:ascii="Lato" w:hAnsi="Lato" w:cs="Arial"/>
          <w:sz w:val="20"/>
          <w:szCs w:val="20"/>
        </w:rPr>
        <w:t xml:space="preserve"> </w:t>
      </w:r>
      <w:r w:rsidR="00F8391F" w:rsidRPr="0030465A">
        <w:rPr>
          <w:rFonts w:ascii="Lato" w:hAnsi="Lato" w:cs="Arial"/>
          <w:sz w:val="20"/>
          <w:szCs w:val="20"/>
        </w:rPr>
        <w:t xml:space="preserve">Procedury: </w:t>
      </w:r>
      <w:r w:rsidR="00F8391F" w:rsidRPr="0030465A">
        <w:rPr>
          <w:rFonts w:ascii="Lato" w:hAnsi="Lato" w:cs="Arial"/>
          <w:i/>
          <w:sz w:val="20"/>
          <w:szCs w:val="20"/>
        </w:rPr>
        <w:t>Planowanie i realizacja kontroli w</w:t>
      </w:r>
      <w:r w:rsidR="005966C7">
        <w:rPr>
          <w:rFonts w:ascii="Lato" w:hAnsi="Lato" w:cs="Arial"/>
          <w:i/>
          <w:sz w:val="20"/>
          <w:szCs w:val="20"/>
        </w:rPr>
        <w:t> </w:t>
      </w:r>
      <w:r w:rsidR="00F8391F" w:rsidRPr="0030465A">
        <w:rPr>
          <w:rFonts w:ascii="Lato" w:hAnsi="Lato" w:cs="Arial"/>
          <w:i/>
          <w:sz w:val="20"/>
          <w:szCs w:val="20"/>
        </w:rPr>
        <w:t>ramach Krajowego Planu Odbudowy i Zwiększania Odporności przez Departament Kontroli i</w:t>
      </w:r>
      <w:r w:rsidR="005D17CA" w:rsidRPr="0030465A">
        <w:rPr>
          <w:rFonts w:ascii="Lato" w:hAnsi="Lato" w:cs="Arial"/>
          <w:i/>
          <w:sz w:val="20"/>
          <w:szCs w:val="20"/>
        </w:rPr>
        <w:t xml:space="preserve"> </w:t>
      </w:r>
      <w:r w:rsidR="00F8391F" w:rsidRPr="0030465A">
        <w:rPr>
          <w:rFonts w:ascii="Lato" w:hAnsi="Lato" w:cs="Arial"/>
          <w:i/>
          <w:sz w:val="20"/>
          <w:szCs w:val="20"/>
        </w:rPr>
        <w:t>Audytu</w:t>
      </w:r>
      <w:r w:rsidR="00F8391F" w:rsidRPr="0030465A">
        <w:rPr>
          <w:rFonts w:ascii="Lato" w:hAnsi="Lato" w:cs="Arial"/>
          <w:sz w:val="20"/>
          <w:szCs w:val="20"/>
        </w:rPr>
        <w:t>.</w:t>
      </w:r>
    </w:p>
    <w:p w14:paraId="61196AE3" w14:textId="77777777" w:rsidR="0004542D" w:rsidRPr="0030465A" w:rsidRDefault="0004542D" w:rsidP="0030465A">
      <w:pPr>
        <w:pStyle w:val="Default"/>
        <w:spacing w:line="276" w:lineRule="auto"/>
        <w:ind w:firstLine="284"/>
        <w:jc w:val="both"/>
        <w:rPr>
          <w:rFonts w:ascii="Lato" w:hAnsi="Lato" w:cs="Arial"/>
          <w:sz w:val="20"/>
          <w:szCs w:val="20"/>
        </w:rPr>
      </w:pPr>
    </w:p>
    <w:p w14:paraId="27267510" w14:textId="77777777" w:rsidR="003131AE" w:rsidRPr="0030465A" w:rsidRDefault="00153D4D" w:rsidP="0030465A">
      <w:pPr>
        <w:pStyle w:val="Default"/>
        <w:spacing w:line="276" w:lineRule="auto"/>
        <w:ind w:firstLine="357"/>
        <w:jc w:val="both"/>
        <w:rPr>
          <w:rFonts w:ascii="Lato" w:hAnsi="Lato" w:cs="Arial"/>
          <w:sz w:val="20"/>
          <w:szCs w:val="20"/>
        </w:rPr>
      </w:pPr>
      <w:r w:rsidRPr="0030465A">
        <w:rPr>
          <w:rFonts w:ascii="Lato" w:hAnsi="Lato" w:cs="Arial"/>
          <w:b/>
          <w:sz w:val="20"/>
          <w:szCs w:val="20"/>
        </w:rPr>
        <w:t>Zakres kontroli obejmował</w:t>
      </w:r>
      <w:r w:rsidR="00202832" w:rsidRPr="0030465A">
        <w:rPr>
          <w:rFonts w:ascii="Lato" w:hAnsi="Lato" w:cs="Arial"/>
          <w:sz w:val="20"/>
          <w:szCs w:val="20"/>
          <w:lang w:eastAsia="zh-CN"/>
        </w:rPr>
        <w:t>:</w:t>
      </w:r>
      <w:r w:rsidR="001413FD" w:rsidRPr="0030465A">
        <w:rPr>
          <w:rFonts w:ascii="Lato" w:hAnsi="Lato" w:cs="Arial"/>
          <w:sz w:val="20"/>
          <w:szCs w:val="20"/>
        </w:rPr>
        <w:t xml:space="preserve"> weryfikację</w:t>
      </w:r>
      <w:r w:rsidR="003873A6" w:rsidRPr="0030465A">
        <w:rPr>
          <w:rFonts w:ascii="Lato" w:hAnsi="Lato" w:cs="Arial"/>
          <w:sz w:val="20"/>
          <w:szCs w:val="20"/>
        </w:rPr>
        <w:t xml:space="preserve"> osiągnięcia przez </w:t>
      </w:r>
      <w:proofErr w:type="spellStart"/>
      <w:r w:rsidR="003873A6" w:rsidRPr="0030465A">
        <w:rPr>
          <w:rFonts w:ascii="Lato" w:hAnsi="Lato" w:cs="Arial"/>
          <w:sz w:val="20"/>
          <w:szCs w:val="20"/>
        </w:rPr>
        <w:t>Revico</w:t>
      </w:r>
      <w:proofErr w:type="spellEnd"/>
      <w:r w:rsidR="003873A6" w:rsidRPr="0030465A">
        <w:rPr>
          <w:rFonts w:ascii="Lato" w:hAnsi="Lato" w:cs="Arial"/>
          <w:sz w:val="20"/>
          <w:szCs w:val="20"/>
        </w:rPr>
        <w:t xml:space="preserve"> </w:t>
      </w:r>
      <w:r w:rsidR="0004542D" w:rsidRPr="0030465A">
        <w:rPr>
          <w:rFonts w:ascii="Lato" w:hAnsi="Lato" w:cs="Arial"/>
          <w:sz w:val="20"/>
          <w:szCs w:val="20"/>
        </w:rPr>
        <w:t>S</w:t>
      </w:r>
      <w:r w:rsidR="003873A6" w:rsidRPr="0030465A">
        <w:rPr>
          <w:rFonts w:ascii="Lato" w:hAnsi="Lato" w:cs="Arial"/>
          <w:sz w:val="20"/>
          <w:szCs w:val="20"/>
        </w:rPr>
        <w:t>.</w:t>
      </w:r>
      <w:r w:rsidR="0004542D" w:rsidRPr="0030465A">
        <w:rPr>
          <w:rFonts w:ascii="Lato" w:hAnsi="Lato" w:cs="Arial"/>
          <w:sz w:val="20"/>
          <w:szCs w:val="20"/>
        </w:rPr>
        <w:t>A</w:t>
      </w:r>
      <w:r w:rsidR="003873A6" w:rsidRPr="0030465A">
        <w:rPr>
          <w:rFonts w:ascii="Lato" w:hAnsi="Lato" w:cs="Arial"/>
          <w:sz w:val="20"/>
          <w:szCs w:val="20"/>
        </w:rPr>
        <w:t xml:space="preserve">. z siedzibą w Mirosławiu wskaźnika A29G – </w:t>
      </w:r>
      <w:r w:rsidR="003873A6" w:rsidRPr="0030465A">
        <w:rPr>
          <w:rFonts w:ascii="Lato" w:hAnsi="Lato" w:cs="Arial"/>
          <w:i/>
          <w:iCs/>
          <w:sz w:val="20"/>
          <w:szCs w:val="20"/>
        </w:rPr>
        <w:t xml:space="preserve">Realizacja projektów związanych z robotyzacją, sztuczną inteligencją lub transformacją cyfrową procesów, technologii, produktów lub usług </w:t>
      </w:r>
      <w:r w:rsidR="003873A6" w:rsidRPr="0030465A">
        <w:rPr>
          <w:rFonts w:ascii="Lato" w:hAnsi="Lato" w:cs="Arial"/>
          <w:sz w:val="20"/>
          <w:szCs w:val="20"/>
        </w:rPr>
        <w:t xml:space="preserve">w ramach inwestycji A2.1.1 </w:t>
      </w:r>
      <w:r w:rsidR="003873A6" w:rsidRPr="0030465A">
        <w:rPr>
          <w:rFonts w:ascii="Lato" w:hAnsi="Lato" w:cs="Arial"/>
          <w:i/>
          <w:iCs/>
          <w:sz w:val="20"/>
          <w:szCs w:val="20"/>
        </w:rPr>
        <w:t xml:space="preserve">Inwestycje wspierające robotyzację i cyfryzację w przedsiębiorstwach </w:t>
      </w:r>
      <w:r w:rsidR="003873A6" w:rsidRPr="0030465A">
        <w:rPr>
          <w:rFonts w:ascii="Lato" w:hAnsi="Lato" w:cs="Arial"/>
          <w:sz w:val="20"/>
          <w:szCs w:val="20"/>
        </w:rPr>
        <w:t xml:space="preserve">w przedsięwzięciu pn. </w:t>
      </w:r>
      <w:bookmarkStart w:id="0" w:name="_Hlk208908548"/>
      <w:r w:rsidR="003873A6" w:rsidRPr="0030465A">
        <w:rPr>
          <w:rFonts w:ascii="Lato" w:hAnsi="Lato" w:cs="Arial"/>
          <w:i/>
          <w:sz w:val="20"/>
          <w:szCs w:val="20"/>
        </w:rPr>
        <w:t>Realizacja inwestycji ukierunkowanej na</w:t>
      </w:r>
      <w:r w:rsidR="005966C7">
        <w:rPr>
          <w:rFonts w:ascii="Lato" w:hAnsi="Lato" w:cs="Arial"/>
          <w:i/>
          <w:sz w:val="20"/>
          <w:szCs w:val="20"/>
        </w:rPr>
        <w:t> </w:t>
      </w:r>
      <w:r w:rsidR="003873A6" w:rsidRPr="0030465A">
        <w:rPr>
          <w:rFonts w:ascii="Lato" w:hAnsi="Lato" w:cs="Arial"/>
          <w:i/>
          <w:sz w:val="20"/>
          <w:szCs w:val="20"/>
        </w:rPr>
        <w:t xml:space="preserve">cyfryzację, robotyzację i automatyzację działalności </w:t>
      </w:r>
      <w:proofErr w:type="spellStart"/>
      <w:r w:rsidR="003873A6" w:rsidRPr="0030465A">
        <w:rPr>
          <w:rFonts w:ascii="Lato" w:hAnsi="Lato" w:cs="Arial"/>
          <w:i/>
          <w:sz w:val="20"/>
          <w:szCs w:val="20"/>
        </w:rPr>
        <w:t>Revico</w:t>
      </w:r>
      <w:proofErr w:type="spellEnd"/>
      <w:r w:rsidR="003873A6" w:rsidRPr="0030465A">
        <w:rPr>
          <w:rFonts w:ascii="Lato" w:hAnsi="Lato" w:cs="Arial"/>
          <w:i/>
          <w:sz w:val="20"/>
          <w:szCs w:val="20"/>
        </w:rPr>
        <w:t xml:space="preserve"> </w:t>
      </w:r>
      <w:r w:rsidR="00051ACC" w:rsidRPr="0030465A">
        <w:rPr>
          <w:rFonts w:ascii="Lato" w:hAnsi="Lato" w:cs="Arial"/>
          <w:i/>
          <w:sz w:val="20"/>
          <w:szCs w:val="20"/>
        </w:rPr>
        <w:t xml:space="preserve">S.A. </w:t>
      </w:r>
      <w:bookmarkEnd w:id="0"/>
      <w:r w:rsidR="003873A6" w:rsidRPr="0030465A">
        <w:rPr>
          <w:rFonts w:ascii="Lato" w:hAnsi="Lato" w:cs="Arial"/>
          <w:sz w:val="20"/>
          <w:szCs w:val="20"/>
        </w:rPr>
        <w:t>w okresie obowiązywania umowy nr</w:t>
      </w:r>
      <w:r w:rsidR="005966C7">
        <w:rPr>
          <w:rFonts w:ascii="Lato" w:hAnsi="Lato" w:cs="Arial"/>
          <w:sz w:val="20"/>
          <w:szCs w:val="20"/>
        </w:rPr>
        <w:t> </w:t>
      </w:r>
      <w:r w:rsidR="003873A6" w:rsidRPr="0030465A">
        <w:rPr>
          <w:rFonts w:ascii="Lato" w:hAnsi="Lato" w:cs="Arial"/>
          <w:sz w:val="20"/>
          <w:szCs w:val="20"/>
        </w:rPr>
        <w:t>104/II/P/KPO/R/24/DWMiFE zawartej 18 grudnia 2024 r</w:t>
      </w:r>
      <w:r w:rsidR="002D5D8A" w:rsidRPr="0030465A">
        <w:rPr>
          <w:rFonts w:ascii="Lato" w:hAnsi="Lato"/>
          <w:sz w:val="20"/>
          <w:szCs w:val="20"/>
        </w:rPr>
        <w:t>.</w:t>
      </w:r>
      <w:r w:rsidR="00BF5273">
        <w:rPr>
          <w:rStyle w:val="Odwoanieprzypisudolnego"/>
          <w:rFonts w:ascii="Lato" w:hAnsi="Lato"/>
          <w:sz w:val="20"/>
          <w:szCs w:val="20"/>
        </w:rPr>
        <w:footnoteReference w:id="3"/>
      </w:r>
    </w:p>
    <w:p w14:paraId="09659E30" w14:textId="77777777" w:rsidR="0004542D" w:rsidRPr="0030465A" w:rsidRDefault="0004542D" w:rsidP="0030465A">
      <w:pPr>
        <w:pStyle w:val="Default"/>
        <w:spacing w:line="276" w:lineRule="auto"/>
        <w:ind w:firstLine="357"/>
        <w:jc w:val="both"/>
        <w:rPr>
          <w:rFonts w:ascii="Lato" w:hAnsi="Lato" w:cs="Arial"/>
          <w:sz w:val="20"/>
          <w:szCs w:val="20"/>
          <w:lang w:eastAsia="zh-CN"/>
        </w:rPr>
      </w:pPr>
    </w:p>
    <w:p w14:paraId="1A7253D5" w14:textId="77777777" w:rsidR="00364CF8" w:rsidRPr="0030465A" w:rsidRDefault="0004542D" w:rsidP="0030465A">
      <w:pPr>
        <w:tabs>
          <w:tab w:val="left" w:pos="0"/>
        </w:tabs>
        <w:spacing w:after="0" w:line="276" w:lineRule="auto"/>
        <w:ind w:firstLine="284"/>
        <w:jc w:val="both"/>
        <w:rPr>
          <w:rFonts w:ascii="Lato" w:hAnsi="Lato" w:cs="Arial"/>
          <w:sz w:val="20"/>
          <w:szCs w:val="20"/>
        </w:rPr>
      </w:pPr>
      <w:r w:rsidRPr="0030465A">
        <w:rPr>
          <w:rFonts w:ascii="Lato" w:hAnsi="Lato" w:cs="Arial"/>
          <w:sz w:val="20"/>
          <w:szCs w:val="20"/>
          <w:lang w:eastAsia="zh-CN"/>
        </w:rPr>
        <w:t>U</w:t>
      </w:r>
      <w:r w:rsidRPr="0030465A">
        <w:rPr>
          <w:rFonts w:ascii="Lato" w:hAnsi="Lato" w:cs="Arial"/>
          <w:sz w:val="20"/>
          <w:szCs w:val="20"/>
        </w:rPr>
        <w:t xml:space="preserve">stalono, że OOW </w:t>
      </w:r>
      <w:r w:rsidRPr="0030465A">
        <w:rPr>
          <w:rFonts w:ascii="Lato" w:hAnsi="Lato" w:cs="Arial"/>
          <w:b/>
          <w:sz w:val="20"/>
          <w:szCs w:val="20"/>
        </w:rPr>
        <w:t>osiągnął wskaźnik A29G</w:t>
      </w:r>
      <w:r w:rsidRPr="0030465A">
        <w:rPr>
          <w:rFonts w:ascii="Lato" w:hAnsi="Lato" w:cs="Arial"/>
          <w:sz w:val="20"/>
          <w:szCs w:val="20"/>
        </w:rPr>
        <w:t xml:space="preserve">, tj. zrealizował przedsięwzięcie </w:t>
      </w:r>
      <w:r w:rsidR="00BE67F1" w:rsidRPr="0030465A">
        <w:rPr>
          <w:rFonts w:ascii="Lato" w:hAnsi="Lato" w:cs="Arial"/>
          <w:sz w:val="20"/>
          <w:szCs w:val="20"/>
        </w:rPr>
        <w:t>w miejscowości Mirosław w województwie mazowieckim</w:t>
      </w:r>
      <w:r w:rsidRPr="0030465A">
        <w:rPr>
          <w:rFonts w:ascii="Lato" w:hAnsi="Lato" w:cs="Arial"/>
          <w:sz w:val="20"/>
          <w:szCs w:val="20"/>
        </w:rPr>
        <w:t>, zgodnie z zakresem zadań określonym w Harmonogramie realizacji przedsięwzięcia oraz opisem przedsięwzięcia – stanowiącymi załączniki nr 3 i 8 do umowy</w:t>
      </w:r>
      <w:r w:rsidR="00364CF8" w:rsidRPr="0030465A">
        <w:rPr>
          <w:rFonts w:ascii="Lato" w:hAnsi="Lato" w:cs="Arial"/>
          <w:sz w:val="20"/>
          <w:szCs w:val="20"/>
        </w:rPr>
        <w:t>.</w:t>
      </w:r>
      <w:r w:rsidR="00364CF8" w:rsidRPr="0030465A">
        <w:rPr>
          <w:rFonts w:ascii="Lato" w:hAnsi="Lato" w:cs="Arial"/>
          <w:b/>
          <w:sz w:val="20"/>
          <w:szCs w:val="20"/>
        </w:rPr>
        <w:t xml:space="preserve"> Potwierdzono,</w:t>
      </w:r>
      <w:r w:rsidR="00364CF8" w:rsidRPr="0030465A">
        <w:rPr>
          <w:rFonts w:ascii="Lato" w:hAnsi="Lato" w:cs="Arial"/>
          <w:sz w:val="20"/>
          <w:szCs w:val="20"/>
        </w:rPr>
        <w:t xml:space="preserve"> że OOW zgodnie z umową wykonał 2 zadania: </w:t>
      </w:r>
      <w:r w:rsidR="00364CF8" w:rsidRPr="0030465A">
        <w:rPr>
          <w:rFonts w:ascii="Lato" w:hAnsi="Lato" w:cs="Arial"/>
          <w:i/>
          <w:color w:val="000000"/>
          <w:sz w:val="20"/>
          <w:szCs w:val="20"/>
          <w:lang w:eastAsia="zh-CN"/>
        </w:rPr>
        <w:t xml:space="preserve">Prace budowlane </w:t>
      </w:r>
      <w:r w:rsidR="002334BB">
        <w:rPr>
          <w:rFonts w:ascii="Lato" w:hAnsi="Lato" w:cs="Arial"/>
          <w:color w:val="000000"/>
          <w:sz w:val="20"/>
          <w:szCs w:val="20"/>
          <w:lang w:eastAsia="zh-CN"/>
        </w:rPr>
        <w:t xml:space="preserve">i </w:t>
      </w:r>
      <w:r w:rsidR="00364CF8" w:rsidRPr="0030465A">
        <w:rPr>
          <w:rFonts w:ascii="Lato" w:hAnsi="Lato" w:cs="Arial"/>
          <w:i/>
          <w:color w:val="000000"/>
          <w:sz w:val="20"/>
          <w:szCs w:val="20"/>
          <w:lang w:eastAsia="zh-CN"/>
        </w:rPr>
        <w:t>Nabycie oraz</w:t>
      </w:r>
      <w:r w:rsidR="00374A40">
        <w:rPr>
          <w:rFonts w:ascii="Lato" w:hAnsi="Lato" w:cs="Arial"/>
          <w:i/>
          <w:color w:val="000000"/>
          <w:sz w:val="20"/>
          <w:szCs w:val="20"/>
          <w:lang w:eastAsia="zh-CN"/>
        </w:rPr>
        <w:t xml:space="preserve"> </w:t>
      </w:r>
      <w:r w:rsidR="00364CF8" w:rsidRPr="0030465A">
        <w:rPr>
          <w:rFonts w:ascii="Lato" w:hAnsi="Lato" w:cs="Arial"/>
          <w:i/>
          <w:color w:val="000000"/>
          <w:sz w:val="20"/>
          <w:szCs w:val="20"/>
          <w:lang w:eastAsia="zh-CN"/>
        </w:rPr>
        <w:t>instalacja nowych środków trwałych oraz wartości niematerialnych i prawnych wspierających proces robotyzacji i</w:t>
      </w:r>
      <w:r w:rsidR="00374A40">
        <w:rPr>
          <w:rFonts w:ascii="Lato" w:hAnsi="Lato" w:cs="Arial"/>
          <w:i/>
          <w:color w:val="000000"/>
          <w:sz w:val="20"/>
          <w:szCs w:val="20"/>
          <w:lang w:eastAsia="zh-CN"/>
        </w:rPr>
        <w:t> </w:t>
      </w:r>
      <w:r w:rsidR="00364CF8" w:rsidRPr="0030465A">
        <w:rPr>
          <w:rFonts w:ascii="Lato" w:hAnsi="Lato" w:cs="Arial"/>
          <w:i/>
          <w:color w:val="000000"/>
          <w:sz w:val="20"/>
          <w:szCs w:val="20"/>
          <w:lang w:eastAsia="zh-CN"/>
        </w:rPr>
        <w:t xml:space="preserve">cyfryzacji </w:t>
      </w:r>
      <w:proofErr w:type="spellStart"/>
      <w:r w:rsidR="00364CF8" w:rsidRPr="0030465A">
        <w:rPr>
          <w:rFonts w:ascii="Lato" w:hAnsi="Lato" w:cs="Arial"/>
          <w:i/>
          <w:color w:val="000000"/>
          <w:sz w:val="20"/>
          <w:szCs w:val="20"/>
          <w:lang w:eastAsia="zh-CN"/>
        </w:rPr>
        <w:t>Revico</w:t>
      </w:r>
      <w:proofErr w:type="spellEnd"/>
      <w:r w:rsidR="00364CF8" w:rsidRPr="0030465A">
        <w:rPr>
          <w:rFonts w:ascii="Lato" w:hAnsi="Lato" w:cs="Arial"/>
          <w:i/>
          <w:color w:val="000000"/>
          <w:sz w:val="20"/>
          <w:szCs w:val="20"/>
          <w:lang w:eastAsia="zh-CN"/>
        </w:rPr>
        <w:t xml:space="preserve"> S.A.</w:t>
      </w:r>
    </w:p>
    <w:p w14:paraId="2F06D54B" w14:textId="77777777" w:rsidR="00364CF8" w:rsidRPr="0030465A" w:rsidRDefault="00364CF8" w:rsidP="0030465A">
      <w:pPr>
        <w:tabs>
          <w:tab w:val="left" w:pos="1985"/>
        </w:tabs>
        <w:spacing w:after="0" w:line="276" w:lineRule="auto"/>
        <w:ind w:firstLine="284"/>
        <w:jc w:val="both"/>
        <w:rPr>
          <w:rFonts w:ascii="Lato" w:hAnsi="Lato" w:cs="Calibri"/>
          <w:sz w:val="20"/>
          <w:szCs w:val="20"/>
        </w:rPr>
      </w:pPr>
      <w:r w:rsidRPr="0030465A">
        <w:rPr>
          <w:rFonts w:ascii="Lato" w:hAnsi="Lato" w:cs="Lato"/>
          <w:sz w:val="20"/>
          <w:szCs w:val="20"/>
        </w:rPr>
        <w:t xml:space="preserve">Stwierdzono, że przedsięwzięcie zrealizowano w terminie określonym w umowie, oraz </w:t>
      </w:r>
      <w:r w:rsidRPr="0030465A">
        <w:rPr>
          <w:rFonts w:ascii="Lato" w:hAnsi="Lato" w:cs="Lato"/>
          <w:b/>
          <w:sz w:val="20"/>
          <w:szCs w:val="20"/>
        </w:rPr>
        <w:t>osiągnięto</w:t>
      </w:r>
      <w:r w:rsidRPr="0030465A">
        <w:rPr>
          <w:rFonts w:ascii="Lato" w:hAnsi="Lato" w:cs="Lato"/>
          <w:sz w:val="20"/>
          <w:szCs w:val="20"/>
        </w:rPr>
        <w:t xml:space="preserve"> i prawidłowo udokumentowano </w:t>
      </w:r>
      <w:r w:rsidRPr="0030465A">
        <w:rPr>
          <w:rFonts w:ascii="Lato" w:hAnsi="Lato"/>
          <w:b/>
          <w:bCs/>
          <w:sz w:val="20"/>
          <w:szCs w:val="20"/>
        </w:rPr>
        <w:t>6 wskaźników tj.</w:t>
      </w:r>
      <w:r w:rsidRPr="0030465A">
        <w:rPr>
          <w:rFonts w:ascii="Lato" w:hAnsi="Lato"/>
          <w:sz w:val="20"/>
          <w:szCs w:val="20"/>
        </w:rPr>
        <w:t xml:space="preserve">: </w:t>
      </w:r>
      <w:r w:rsidRPr="0030465A">
        <w:rPr>
          <w:rFonts w:ascii="Lato" w:hAnsi="Lato" w:cs="Calibri"/>
          <w:i/>
          <w:sz w:val="20"/>
          <w:szCs w:val="20"/>
        </w:rPr>
        <w:t>Liczba nabytych i wytworzonych środków trwałych</w:t>
      </w:r>
      <w:r w:rsidRPr="0030465A">
        <w:rPr>
          <w:rFonts w:ascii="Lato" w:hAnsi="Lato" w:cs="Calibri"/>
          <w:sz w:val="20"/>
          <w:szCs w:val="20"/>
        </w:rPr>
        <w:t>;</w:t>
      </w:r>
      <w:r w:rsidRPr="0030465A">
        <w:rPr>
          <w:sz w:val="20"/>
          <w:szCs w:val="20"/>
        </w:rPr>
        <w:t xml:space="preserve"> </w:t>
      </w:r>
      <w:r w:rsidRPr="0030465A">
        <w:rPr>
          <w:rFonts w:ascii="Lato" w:hAnsi="Lato" w:cs="Calibri"/>
          <w:i/>
          <w:sz w:val="20"/>
          <w:szCs w:val="20"/>
        </w:rPr>
        <w:t>Liczba zakupionych wartości niematerialnych i prawnych; Skrócony czas produkcji; Ograniczenie występowania błędów produkcyjnych; Cyfryzacja i zwiększenie liczby źródeł danych; Redukcja zużycia energii elektrycznej – 107,11 kWh/m2 rok.</w:t>
      </w:r>
      <w:r w:rsidRPr="0030465A">
        <w:rPr>
          <w:rFonts w:ascii="Lato" w:hAnsi="Lato" w:cs="Calibri"/>
          <w:sz w:val="20"/>
          <w:szCs w:val="20"/>
        </w:rPr>
        <w:t xml:space="preserve"> Niemniej jednak, OOW</w:t>
      </w:r>
      <w:r w:rsidRPr="0030465A">
        <w:rPr>
          <w:rFonts w:ascii="Lato" w:hAnsi="Lato" w:cs="Calibri"/>
          <w:b/>
          <w:sz w:val="20"/>
          <w:szCs w:val="20"/>
        </w:rPr>
        <w:t xml:space="preserve"> nie w pełni zrealizował wskaźnik pn</w:t>
      </w:r>
      <w:r w:rsidRPr="0030465A">
        <w:rPr>
          <w:rFonts w:ascii="Lato" w:hAnsi="Lato" w:cs="Calibri"/>
          <w:b/>
          <w:i/>
          <w:sz w:val="20"/>
          <w:szCs w:val="20"/>
        </w:rPr>
        <w:t>. Liczba utworzonych nowych specjalistycznych miejsc pracy</w:t>
      </w:r>
      <w:r w:rsidRPr="0030465A">
        <w:rPr>
          <w:rFonts w:ascii="Lato" w:hAnsi="Lato" w:cs="Calibri"/>
          <w:b/>
          <w:sz w:val="20"/>
          <w:szCs w:val="20"/>
        </w:rPr>
        <w:t xml:space="preserve">, </w:t>
      </w:r>
      <w:r w:rsidRPr="0030465A">
        <w:rPr>
          <w:rFonts w:ascii="Lato" w:hAnsi="Lato" w:cs="Calibri"/>
          <w:sz w:val="20"/>
          <w:szCs w:val="20"/>
        </w:rPr>
        <w:t>wartość docelowa 6 w roku 2024., z uwagi na</w:t>
      </w:r>
      <w:r w:rsidR="005966C7">
        <w:rPr>
          <w:rFonts w:ascii="Lato" w:hAnsi="Lato" w:cs="Calibri"/>
          <w:sz w:val="20"/>
          <w:szCs w:val="20"/>
        </w:rPr>
        <w:t> </w:t>
      </w:r>
      <w:r w:rsidRPr="0030465A">
        <w:rPr>
          <w:rFonts w:ascii="Lato" w:hAnsi="Lato" w:cs="Calibri"/>
          <w:sz w:val="20"/>
          <w:szCs w:val="20"/>
        </w:rPr>
        <w:t xml:space="preserve">utworzenie 1 z 6 (17%) miejsc pracy. </w:t>
      </w:r>
    </w:p>
    <w:p w14:paraId="34315997" w14:textId="77777777" w:rsidR="0004542D" w:rsidRPr="0030465A" w:rsidRDefault="0004542D" w:rsidP="0030465A">
      <w:pPr>
        <w:spacing w:after="0" w:line="276" w:lineRule="auto"/>
        <w:ind w:firstLine="312"/>
        <w:jc w:val="both"/>
        <w:rPr>
          <w:rFonts w:ascii="Lato" w:hAnsi="Lato" w:cs="Arial"/>
          <w:b/>
          <w:sz w:val="20"/>
          <w:szCs w:val="20"/>
        </w:rPr>
      </w:pPr>
    </w:p>
    <w:p w14:paraId="6446CA4C" w14:textId="77777777" w:rsidR="00364CF8" w:rsidRPr="0030465A" w:rsidRDefault="001E197F" w:rsidP="0030465A">
      <w:pPr>
        <w:spacing w:after="0" w:line="276" w:lineRule="auto"/>
        <w:ind w:firstLine="284"/>
        <w:jc w:val="both"/>
        <w:rPr>
          <w:rFonts w:ascii="Lato" w:hAnsi="Lato" w:cs="Lato"/>
          <w:sz w:val="20"/>
          <w:szCs w:val="20"/>
        </w:rPr>
      </w:pPr>
      <w:r w:rsidRPr="0030465A">
        <w:rPr>
          <w:rFonts w:ascii="Lato" w:hAnsi="Lato" w:cs="Lato"/>
          <w:sz w:val="20"/>
          <w:szCs w:val="20"/>
        </w:rPr>
        <w:t xml:space="preserve">W wyniku weryfikacji wydatków – obejmującej </w:t>
      </w:r>
      <w:r w:rsidR="009C14B6" w:rsidRPr="0030465A">
        <w:rPr>
          <w:rFonts w:ascii="Lato" w:hAnsi="Lato" w:cs="Lato"/>
          <w:b/>
          <w:sz w:val="20"/>
          <w:szCs w:val="20"/>
        </w:rPr>
        <w:t>29</w:t>
      </w:r>
      <w:r w:rsidRPr="0030465A">
        <w:rPr>
          <w:rFonts w:ascii="Lato" w:hAnsi="Lato" w:cs="Lato"/>
          <w:b/>
          <w:sz w:val="20"/>
          <w:szCs w:val="20"/>
        </w:rPr>
        <w:t xml:space="preserve"> </w:t>
      </w:r>
      <w:r w:rsidRPr="0030465A">
        <w:rPr>
          <w:rFonts w:ascii="Lato" w:hAnsi="Lato" w:cs="Lato"/>
          <w:sz w:val="20"/>
          <w:szCs w:val="20"/>
        </w:rPr>
        <w:t xml:space="preserve">faktur (100%) związanych z realizowanym przedsięwzięciem </w:t>
      </w:r>
      <w:r w:rsidRPr="0030465A">
        <w:rPr>
          <w:rFonts w:ascii="Lato" w:hAnsi="Lato" w:cs="Lato"/>
          <w:b/>
          <w:sz w:val="20"/>
          <w:szCs w:val="20"/>
        </w:rPr>
        <w:t>potwierdzono,</w:t>
      </w:r>
      <w:r w:rsidRPr="0030465A">
        <w:rPr>
          <w:rFonts w:ascii="Lato" w:hAnsi="Lato" w:cs="Lato"/>
          <w:sz w:val="20"/>
          <w:szCs w:val="20"/>
        </w:rPr>
        <w:t xml:space="preserve"> że zawierały one</w:t>
      </w:r>
      <w:r w:rsidR="00F838AB" w:rsidRPr="0030465A">
        <w:rPr>
          <w:rFonts w:ascii="Lato" w:hAnsi="Lato" w:cs="Lato"/>
          <w:sz w:val="20"/>
          <w:szCs w:val="20"/>
        </w:rPr>
        <w:t xml:space="preserve"> prawidłowe</w:t>
      </w:r>
      <w:r w:rsidRPr="0030465A">
        <w:rPr>
          <w:rFonts w:ascii="Lato" w:hAnsi="Lato" w:cs="Lato"/>
          <w:sz w:val="20"/>
          <w:szCs w:val="20"/>
        </w:rPr>
        <w:t xml:space="preserve"> opisy dotyczące kosztów kwalifikowalnych</w:t>
      </w:r>
      <w:r w:rsidR="00364CF8" w:rsidRPr="0030465A">
        <w:rPr>
          <w:rFonts w:ascii="Lato" w:hAnsi="Lato" w:cs="Lato"/>
          <w:sz w:val="20"/>
          <w:szCs w:val="20"/>
        </w:rPr>
        <w:t xml:space="preserve"> z </w:t>
      </w:r>
      <w:r w:rsidR="00364CF8" w:rsidRPr="0030465A">
        <w:rPr>
          <w:rFonts w:ascii="Lato" w:hAnsi="Lato" w:cs="Lato"/>
          <w:b/>
          <w:sz w:val="20"/>
          <w:szCs w:val="20"/>
        </w:rPr>
        <w:t>zastrzeżeniem</w:t>
      </w:r>
      <w:r w:rsidR="00364CF8" w:rsidRPr="0030465A">
        <w:rPr>
          <w:rFonts w:ascii="Lato" w:hAnsi="Lato" w:cs="Lato"/>
          <w:sz w:val="20"/>
          <w:szCs w:val="20"/>
        </w:rPr>
        <w:t>, że w opisach do 12 faktur wyrażonych w walucie innej niż zł OOW błędnie przeliczył wartość brutto, kwalifikowalną i dofinansowania po kursie na potrzeby ujęcia w</w:t>
      </w:r>
      <w:r w:rsidR="005966C7">
        <w:rPr>
          <w:rFonts w:ascii="Lato" w:hAnsi="Lato" w:cs="Lato"/>
          <w:sz w:val="20"/>
          <w:szCs w:val="20"/>
        </w:rPr>
        <w:t> </w:t>
      </w:r>
      <w:r w:rsidR="00364CF8" w:rsidRPr="0030465A">
        <w:rPr>
          <w:rFonts w:ascii="Lato" w:hAnsi="Lato" w:cs="Lato"/>
          <w:sz w:val="20"/>
          <w:szCs w:val="20"/>
        </w:rPr>
        <w:t>księgach rachunkowych, a nie po kursie, po którym zostały uregulowane. OOW podczas kontroli skorygował błędne opisy faktur.</w:t>
      </w:r>
    </w:p>
    <w:p w14:paraId="0ACBBAA7" w14:textId="77777777" w:rsidR="00364CF8" w:rsidRPr="0030465A" w:rsidRDefault="00364CF8" w:rsidP="0030465A">
      <w:pPr>
        <w:spacing w:after="0" w:line="276" w:lineRule="auto"/>
        <w:ind w:firstLine="369"/>
        <w:jc w:val="both"/>
        <w:rPr>
          <w:rFonts w:ascii="Lato" w:hAnsi="Lato"/>
          <w:sz w:val="20"/>
          <w:szCs w:val="20"/>
        </w:rPr>
      </w:pPr>
      <w:r w:rsidRPr="0030465A">
        <w:rPr>
          <w:rFonts w:ascii="Lato" w:hAnsi="Lato"/>
          <w:b/>
          <w:sz w:val="20"/>
          <w:szCs w:val="20"/>
        </w:rPr>
        <w:t>Potwierdzono</w:t>
      </w:r>
      <w:r w:rsidRPr="0030465A">
        <w:rPr>
          <w:rFonts w:ascii="Lato" w:hAnsi="Lato"/>
          <w:sz w:val="20"/>
          <w:szCs w:val="20"/>
        </w:rPr>
        <w:t xml:space="preserve">, że wydatki na realizację przedsięwzięcia zostały poniesione przez OOW w okresie kwalifikowalności, tj. od 1 grudnia 2023 r. do 31 grudnia 2024 r. </w:t>
      </w:r>
      <w:r w:rsidRPr="0030465A">
        <w:rPr>
          <w:rFonts w:ascii="Lato" w:hAnsi="Lato"/>
          <w:b/>
          <w:sz w:val="20"/>
          <w:szCs w:val="20"/>
        </w:rPr>
        <w:t>z</w:t>
      </w:r>
      <w:r w:rsidRPr="0030465A">
        <w:rPr>
          <w:rFonts w:ascii="Lato" w:hAnsi="Lato"/>
          <w:sz w:val="20"/>
          <w:szCs w:val="20"/>
        </w:rPr>
        <w:t xml:space="preserve"> </w:t>
      </w:r>
      <w:r w:rsidRPr="0030465A">
        <w:rPr>
          <w:rFonts w:ascii="Lato" w:hAnsi="Lato"/>
          <w:b/>
          <w:sz w:val="20"/>
          <w:szCs w:val="20"/>
        </w:rPr>
        <w:t>zastrzeżeniem</w:t>
      </w:r>
      <w:r w:rsidRPr="0030465A">
        <w:rPr>
          <w:rFonts w:ascii="Lato" w:hAnsi="Lato"/>
          <w:sz w:val="20"/>
          <w:szCs w:val="20"/>
        </w:rPr>
        <w:t>, że część wydatków została sfinansowana przez OOW na podstawie umowy leasingu ujętej we wniosku o płatność jako</w:t>
      </w:r>
      <w:r w:rsidR="005966C7">
        <w:rPr>
          <w:rFonts w:ascii="Lato" w:hAnsi="Lato"/>
          <w:sz w:val="20"/>
          <w:szCs w:val="20"/>
        </w:rPr>
        <w:t> </w:t>
      </w:r>
      <w:r w:rsidRPr="0030465A">
        <w:rPr>
          <w:rFonts w:ascii="Lato" w:hAnsi="Lato"/>
          <w:sz w:val="20"/>
          <w:szCs w:val="20"/>
        </w:rPr>
        <w:t>potwierdzenie poniesionych wydatków. Ustalono, że umowa ta miała formę leasingu operacyjnego, nie zawierała obowiązku wykupu maszyn i została zawarta na 60 miesięcy, co oznacza że OOW będzie ponosił koszty leasingu po okresie kwalifikowalności przedsięwzięcia. Ujęcie we wniosku o płatność ww.</w:t>
      </w:r>
      <w:r w:rsidR="005966C7">
        <w:rPr>
          <w:rFonts w:ascii="Lato" w:hAnsi="Lato"/>
          <w:sz w:val="20"/>
          <w:szCs w:val="20"/>
        </w:rPr>
        <w:t> </w:t>
      </w:r>
      <w:r w:rsidRPr="0030465A">
        <w:rPr>
          <w:rFonts w:ascii="Lato" w:hAnsi="Lato"/>
          <w:sz w:val="20"/>
          <w:szCs w:val="20"/>
        </w:rPr>
        <w:t xml:space="preserve">umowy leasingu operacyjnego naruszało wymogi określone w § 6 ust. 1-3 umowy i załącznika nr 11 </w:t>
      </w:r>
      <w:r w:rsidRPr="0030465A">
        <w:rPr>
          <w:rFonts w:ascii="Lato" w:hAnsi="Lato"/>
          <w:sz w:val="20"/>
          <w:szCs w:val="20"/>
        </w:rPr>
        <w:lastRenderedPageBreak/>
        <w:t xml:space="preserve">pn. </w:t>
      </w:r>
      <w:r w:rsidRPr="0030465A">
        <w:rPr>
          <w:rFonts w:ascii="Lato" w:hAnsi="Lato"/>
          <w:i/>
          <w:sz w:val="20"/>
          <w:szCs w:val="20"/>
        </w:rPr>
        <w:t>Katalog kosztów kwalifikowalnych w inwestycji A2.1.1 „Inwestycje wspierające robotyzację i cyfryzację w</w:t>
      </w:r>
      <w:r w:rsidR="005966C7">
        <w:rPr>
          <w:rFonts w:ascii="Lato" w:hAnsi="Lato"/>
          <w:i/>
          <w:sz w:val="20"/>
          <w:szCs w:val="20"/>
        </w:rPr>
        <w:t> </w:t>
      </w:r>
      <w:r w:rsidRPr="0030465A">
        <w:rPr>
          <w:rFonts w:ascii="Lato" w:hAnsi="Lato"/>
          <w:i/>
          <w:sz w:val="20"/>
          <w:szCs w:val="20"/>
        </w:rPr>
        <w:t>przedsiębiorstwach” KPO</w:t>
      </w:r>
      <w:r w:rsidRPr="0030465A">
        <w:rPr>
          <w:rFonts w:ascii="Lato" w:hAnsi="Lato"/>
          <w:sz w:val="20"/>
          <w:szCs w:val="20"/>
        </w:rPr>
        <w:t xml:space="preserve">, co uznano za </w:t>
      </w:r>
      <w:r w:rsidRPr="0030465A">
        <w:rPr>
          <w:rFonts w:ascii="Lato" w:hAnsi="Lato"/>
          <w:b/>
          <w:bCs/>
          <w:sz w:val="20"/>
          <w:szCs w:val="20"/>
        </w:rPr>
        <w:t>nieprawidłowość</w:t>
      </w:r>
      <w:r w:rsidRPr="0030465A">
        <w:rPr>
          <w:rFonts w:ascii="Lato" w:hAnsi="Lato"/>
          <w:b/>
          <w:sz w:val="20"/>
          <w:szCs w:val="20"/>
          <w:vertAlign w:val="superscript"/>
        </w:rPr>
        <w:footnoteReference w:id="4"/>
      </w:r>
      <w:r w:rsidRPr="0030465A">
        <w:rPr>
          <w:rFonts w:ascii="Lato" w:hAnsi="Lato"/>
          <w:b/>
          <w:sz w:val="20"/>
          <w:szCs w:val="20"/>
        </w:rPr>
        <w:t xml:space="preserve">. </w:t>
      </w:r>
    </w:p>
    <w:p w14:paraId="44C44181" w14:textId="77777777" w:rsidR="000C15BE" w:rsidRDefault="000C15BE" w:rsidP="0030465A">
      <w:pPr>
        <w:tabs>
          <w:tab w:val="left" w:pos="709"/>
        </w:tabs>
        <w:spacing w:after="0" w:line="276" w:lineRule="auto"/>
        <w:ind w:firstLine="284"/>
        <w:jc w:val="both"/>
        <w:rPr>
          <w:rFonts w:ascii="Lato" w:hAnsi="Lato" w:cs="Arial"/>
          <w:sz w:val="20"/>
          <w:szCs w:val="20"/>
        </w:rPr>
      </w:pPr>
    </w:p>
    <w:p w14:paraId="3811CB7A" w14:textId="77777777" w:rsidR="00364CF8" w:rsidRPr="0030465A" w:rsidRDefault="00364CF8" w:rsidP="0030465A">
      <w:pPr>
        <w:tabs>
          <w:tab w:val="left" w:pos="709"/>
        </w:tabs>
        <w:spacing w:after="0" w:line="276" w:lineRule="auto"/>
        <w:ind w:firstLine="284"/>
        <w:jc w:val="both"/>
        <w:rPr>
          <w:rFonts w:ascii="Lato" w:hAnsi="Lato" w:cs="Arial"/>
          <w:sz w:val="20"/>
          <w:szCs w:val="20"/>
        </w:rPr>
      </w:pPr>
      <w:r w:rsidRPr="0030465A">
        <w:rPr>
          <w:rFonts w:ascii="Lato" w:hAnsi="Lato" w:cs="Arial"/>
          <w:sz w:val="20"/>
          <w:szCs w:val="20"/>
        </w:rPr>
        <w:t xml:space="preserve">Ponadto, za </w:t>
      </w:r>
      <w:r w:rsidRPr="0030465A">
        <w:rPr>
          <w:rFonts w:ascii="Lato" w:hAnsi="Lato" w:cs="Arial"/>
          <w:b/>
          <w:sz w:val="20"/>
          <w:szCs w:val="20"/>
        </w:rPr>
        <w:t>uchybienie</w:t>
      </w:r>
      <w:r w:rsidRPr="0030465A">
        <w:rPr>
          <w:rFonts w:ascii="Lato" w:hAnsi="Lato" w:cs="Arial"/>
          <w:sz w:val="20"/>
          <w:szCs w:val="20"/>
        </w:rPr>
        <w:t xml:space="preserve"> uznano brak wyodrębnionej ewidencji księgowej lub niestosowanie znacznika KPO na</w:t>
      </w:r>
      <w:r w:rsidR="005966C7">
        <w:rPr>
          <w:rFonts w:ascii="Lato" w:hAnsi="Lato" w:cs="Arial"/>
          <w:sz w:val="20"/>
          <w:szCs w:val="20"/>
        </w:rPr>
        <w:t xml:space="preserve"> </w:t>
      </w:r>
      <w:r w:rsidRPr="0030465A">
        <w:rPr>
          <w:rFonts w:ascii="Lato" w:hAnsi="Lato" w:cs="Arial"/>
          <w:sz w:val="20"/>
          <w:szCs w:val="20"/>
        </w:rPr>
        <w:t>wszystkich kontach, na których ewidencjonowano koszty związane z przedsięwzięciem jako</w:t>
      </w:r>
      <w:r w:rsidR="005966C7">
        <w:rPr>
          <w:rFonts w:ascii="Lato" w:hAnsi="Lato" w:cs="Arial"/>
          <w:sz w:val="20"/>
          <w:szCs w:val="20"/>
        </w:rPr>
        <w:t> </w:t>
      </w:r>
      <w:r w:rsidRPr="0030465A">
        <w:rPr>
          <w:rFonts w:ascii="Lato" w:hAnsi="Lato" w:cs="Arial"/>
          <w:sz w:val="20"/>
          <w:szCs w:val="20"/>
        </w:rPr>
        <w:t>naruszające wymogi § 11 ust. 1 umowy.</w:t>
      </w:r>
    </w:p>
    <w:p w14:paraId="1DB7EA74" w14:textId="77777777" w:rsidR="0030465A" w:rsidRDefault="0030465A" w:rsidP="0030465A">
      <w:pPr>
        <w:spacing w:after="0" w:line="276" w:lineRule="auto"/>
        <w:ind w:firstLine="284"/>
        <w:jc w:val="both"/>
        <w:rPr>
          <w:rFonts w:ascii="Lato" w:hAnsi="Lato"/>
          <w:snapToGrid w:val="0"/>
          <w:sz w:val="20"/>
          <w:szCs w:val="20"/>
        </w:rPr>
      </w:pPr>
    </w:p>
    <w:p w14:paraId="33AA2388" w14:textId="77777777" w:rsidR="009C14B6" w:rsidRPr="0030465A" w:rsidRDefault="009C14B6" w:rsidP="0030465A">
      <w:pPr>
        <w:spacing w:after="0" w:line="276" w:lineRule="auto"/>
        <w:ind w:firstLine="284"/>
        <w:jc w:val="both"/>
        <w:rPr>
          <w:rFonts w:ascii="Lato" w:hAnsi="Lato" w:cs="Calibri-Bold"/>
          <w:b/>
          <w:bCs/>
          <w:sz w:val="20"/>
          <w:szCs w:val="20"/>
        </w:rPr>
      </w:pPr>
      <w:r w:rsidRPr="0030465A">
        <w:rPr>
          <w:rFonts w:ascii="Lato" w:hAnsi="Lato"/>
          <w:snapToGrid w:val="0"/>
          <w:sz w:val="20"/>
          <w:szCs w:val="20"/>
        </w:rPr>
        <w:t xml:space="preserve">W </w:t>
      </w:r>
      <w:r w:rsidRPr="0030465A">
        <w:rPr>
          <w:rFonts w:ascii="Lato" w:hAnsi="Lato"/>
          <w:sz w:val="20"/>
          <w:szCs w:val="20"/>
        </w:rPr>
        <w:t xml:space="preserve">celu realizacji przedsięwzięcia </w:t>
      </w:r>
      <w:r w:rsidRPr="0030465A">
        <w:rPr>
          <w:rFonts w:ascii="Lato" w:hAnsi="Lato"/>
          <w:snapToGrid w:val="0"/>
          <w:sz w:val="20"/>
          <w:szCs w:val="20"/>
        </w:rPr>
        <w:t>OOW przeprowadził 13 postępowań</w:t>
      </w:r>
      <w:r w:rsidR="002334BB">
        <w:rPr>
          <w:rFonts w:ascii="Lato" w:hAnsi="Lato"/>
          <w:snapToGrid w:val="0"/>
          <w:sz w:val="20"/>
          <w:szCs w:val="20"/>
        </w:rPr>
        <w:t xml:space="preserve"> o zamówienie publiczne</w:t>
      </w:r>
      <w:r w:rsidRPr="0030465A">
        <w:rPr>
          <w:rFonts w:ascii="Lato" w:hAnsi="Lato"/>
          <w:snapToGrid w:val="0"/>
          <w:sz w:val="20"/>
          <w:szCs w:val="20"/>
        </w:rPr>
        <w:t>. Na</w:t>
      </w:r>
      <w:r w:rsidR="00374A40">
        <w:rPr>
          <w:rFonts w:ascii="Lato" w:hAnsi="Lato"/>
          <w:snapToGrid w:val="0"/>
          <w:sz w:val="20"/>
          <w:szCs w:val="20"/>
        </w:rPr>
        <w:t> </w:t>
      </w:r>
      <w:r w:rsidRPr="0030465A">
        <w:rPr>
          <w:rFonts w:ascii="Lato" w:hAnsi="Lato"/>
          <w:snapToGrid w:val="0"/>
          <w:sz w:val="20"/>
          <w:szCs w:val="20"/>
        </w:rPr>
        <w:t>podstawie próby</w:t>
      </w:r>
      <w:r w:rsidRPr="0030465A">
        <w:rPr>
          <w:rStyle w:val="Odwoanieprzypisudolnego"/>
          <w:rFonts w:ascii="Lato" w:hAnsi="Lato"/>
          <w:snapToGrid w:val="0"/>
          <w:sz w:val="20"/>
          <w:szCs w:val="20"/>
        </w:rPr>
        <w:footnoteReference w:id="5"/>
      </w:r>
      <w:r w:rsidRPr="0030465A">
        <w:rPr>
          <w:rFonts w:ascii="Lato" w:hAnsi="Lato"/>
          <w:snapToGrid w:val="0"/>
          <w:sz w:val="20"/>
          <w:szCs w:val="20"/>
        </w:rPr>
        <w:t xml:space="preserve"> obejmującej 4</w:t>
      </w:r>
      <w:r w:rsidR="0030465A">
        <w:rPr>
          <w:rFonts w:ascii="Lato" w:hAnsi="Lato"/>
          <w:snapToGrid w:val="0"/>
          <w:sz w:val="20"/>
          <w:szCs w:val="20"/>
        </w:rPr>
        <w:t xml:space="preserve"> z </w:t>
      </w:r>
      <w:r w:rsidRPr="0030465A">
        <w:rPr>
          <w:rFonts w:ascii="Lato" w:hAnsi="Lato"/>
          <w:snapToGrid w:val="0"/>
          <w:sz w:val="20"/>
          <w:szCs w:val="20"/>
        </w:rPr>
        <w:t>13 postępowań (31%) potwierdzono,</w:t>
      </w:r>
      <w:r w:rsidRPr="0030465A">
        <w:rPr>
          <w:rFonts w:ascii="Lato" w:hAnsi="Lato"/>
          <w:sz w:val="20"/>
          <w:szCs w:val="20"/>
        </w:rPr>
        <w:t xml:space="preserve"> że czynności związane z</w:t>
      </w:r>
      <w:r w:rsidR="00374A40">
        <w:rPr>
          <w:rFonts w:ascii="Lato" w:hAnsi="Lato"/>
          <w:sz w:val="20"/>
          <w:szCs w:val="20"/>
        </w:rPr>
        <w:t> </w:t>
      </w:r>
      <w:r w:rsidRPr="0030465A">
        <w:rPr>
          <w:rFonts w:ascii="Lato" w:hAnsi="Lato"/>
          <w:sz w:val="20"/>
          <w:szCs w:val="20"/>
        </w:rPr>
        <w:t>ich</w:t>
      </w:r>
      <w:r w:rsidR="00374A40">
        <w:rPr>
          <w:rFonts w:ascii="Lato" w:hAnsi="Lato"/>
          <w:sz w:val="20"/>
          <w:szCs w:val="20"/>
        </w:rPr>
        <w:t> </w:t>
      </w:r>
      <w:r w:rsidRPr="0030465A">
        <w:rPr>
          <w:rFonts w:ascii="Lato" w:hAnsi="Lato"/>
          <w:sz w:val="20"/>
          <w:szCs w:val="20"/>
        </w:rPr>
        <w:t>przygotowaniem i</w:t>
      </w:r>
      <w:r w:rsidR="00374A40">
        <w:rPr>
          <w:rFonts w:ascii="Lato" w:hAnsi="Lato"/>
          <w:sz w:val="20"/>
          <w:szCs w:val="20"/>
        </w:rPr>
        <w:t xml:space="preserve"> </w:t>
      </w:r>
      <w:r w:rsidRPr="0030465A">
        <w:rPr>
          <w:rFonts w:ascii="Lato" w:hAnsi="Lato"/>
          <w:sz w:val="20"/>
          <w:szCs w:val="20"/>
        </w:rPr>
        <w:t>przeprowadzeniem wykonywały osoby zapewniające bezstronność i</w:t>
      </w:r>
      <w:r w:rsidR="00374A40">
        <w:rPr>
          <w:rFonts w:ascii="Lato" w:hAnsi="Lato"/>
          <w:sz w:val="20"/>
          <w:szCs w:val="20"/>
        </w:rPr>
        <w:t> </w:t>
      </w:r>
      <w:r w:rsidRPr="0030465A">
        <w:rPr>
          <w:rFonts w:ascii="Lato" w:hAnsi="Lato"/>
          <w:sz w:val="20"/>
          <w:szCs w:val="20"/>
        </w:rPr>
        <w:t xml:space="preserve">obiektywizm. Przebieg oraz wyniki postępowań zostały udokumentowane w sposób zapewniający właściwą ścieżkę audytu. </w:t>
      </w:r>
      <w:r w:rsidRPr="0030465A">
        <w:rPr>
          <w:rFonts w:ascii="Lato" w:hAnsi="Lato" w:cs="Calibri-Bold"/>
          <w:bCs/>
          <w:sz w:val="20"/>
          <w:szCs w:val="20"/>
        </w:rPr>
        <w:t>Za</w:t>
      </w:r>
      <w:r w:rsidRPr="0030465A">
        <w:rPr>
          <w:rFonts w:ascii="Lato" w:hAnsi="Lato" w:cs="Calibri-Bold"/>
          <w:b/>
          <w:bCs/>
          <w:sz w:val="20"/>
          <w:szCs w:val="20"/>
        </w:rPr>
        <w:t xml:space="preserve"> uchybienia</w:t>
      </w:r>
      <w:r w:rsidRPr="0030465A">
        <w:rPr>
          <w:rFonts w:ascii="Lato" w:hAnsi="Lato"/>
          <w:sz w:val="20"/>
          <w:szCs w:val="20"/>
        </w:rPr>
        <w:t xml:space="preserve"> uznano: oszacowanie wartości 1 z 4 (25%) kontrolowanych zamówień w oparciu tylko o jedną ofertę; </w:t>
      </w:r>
      <w:r w:rsidRPr="0030465A">
        <w:rPr>
          <w:rFonts w:ascii="Lato" w:hAnsi="Lato" w:cs="Calibri-Bold"/>
          <w:bCs/>
          <w:sz w:val="20"/>
          <w:szCs w:val="20"/>
        </w:rPr>
        <w:t>niezastosowanie w opisie przedmiotu wszystkich badanych zamówień nazw i kodów określonych we</w:t>
      </w:r>
      <w:r w:rsidR="00374A40">
        <w:rPr>
          <w:rFonts w:ascii="Lato" w:hAnsi="Lato" w:cs="Calibri-Bold"/>
          <w:bCs/>
          <w:sz w:val="20"/>
          <w:szCs w:val="20"/>
        </w:rPr>
        <w:t xml:space="preserve"> </w:t>
      </w:r>
      <w:r w:rsidRPr="0030465A">
        <w:rPr>
          <w:rFonts w:ascii="Lato" w:hAnsi="Lato" w:cs="Calibri-Bold"/>
          <w:bCs/>
          <w:sz w:val="20"/>
          <w:szCs w:val="20"/>
        </w:rPr>
        <w:t>Wspólnym Słowniku Zamówień</w:t>
      </w:r>
      <w:r w:rsidRPr="0030465A">
        <w:rPr>
          <w:rFonts w:ascii="Lato" w:hAnsi="Lato"/>
          <w:sz w:val="20"/>
          <w:szCs w:val="20"/>
        </w:rPr>
        <w:t xml:space="preserve"> oraz niezawarcie w</w:t>
      </w:r>
      <w:r w:rsidR="00374A40">
        <w:rPr>
          <w:rFonts w:ascii="Lato" w:hAnsi="Lato"/>
          <w:sz w:val="20"/>
          <w:szCs w:val="20"/>
        </w:rPr>
        <w:t> </w:t>
      </w:r>
      <w:r w:rsidRPr="0030465A">
        <w:rPr>
          <w:rFonts w:ascii="Lato" w:hAnsi="Lato"/>
          <w:sz w:val="20"/>
          <w:szCs w:val="20"/>
        </w:rPr>
        <w:t>protokołach z postępowania o udzielenie zamówienia wymaganych w</w:t>
      </w:r>
      <w:r w:rsidRPr="0030465A">
        <w:rPr>
          <w:sz w:val="20"/>
          <w:szCs w:val="20"/>
        </w:rPr>
        <w:t xml:space="preserve"> </w:t>
      </w:r>
      <w:r w:rsidRPr="0030465A">
        <w:rPr>
          <w:rFonts w:ascii="Lato" w:hAnsi="Lato"/>
          <w:i/>
          <w:sz w:val="20"/>
          <w:szCs w:val="20"/>
        </w:rPr>
        <w:t>Zasadzie konkurencyjności w</w:t>
      </w:r>
      <w:r w:rsidR="00374A40">
        <w:rPr>
          <w:rFonts w:ascii="Lato" w:hAnsi="Lato"/>
          <w:i/>
          <w:sz w:val="20"/>
          <w:szCs w:val="20"/>
        </w:rPr>
        <w:t> </w:t>
      </w:r>
      <w:r w:rsidRPr="0030465A">
        <w:rPr>
          <w:rFonts w:ascii="Lato" w:hAnsi="Lato"/>
          <w:i/>
          <w:sz w:val="20"/>
          <w:szCs w:val="20"/>
        </w:rPr>
        <w:t>ramach inwestycji A2.1.1</w:t>
      </w:r>
      <w:r w:rsidR="00BF5273">
        <w:rPr>
          <w:rStyle w:val="Odwoanieprzypisudolnego"/>
          <w:rFonts w:ascii="Lato" w:hAnsi="Lato"/>
          <w:i/>
          <w:sz w:val="20"/>
          <w:szCs w:val="20"/>
        </w:rPr>
        <w:footnoteReference w:id="6"/>
      </w:r>
      <w:r w:rsidRPr="0030465A">
        <w:rPr>
          <w:rFonts w:ascii="Lato" w:hAnsi="Lato"/>
          <w:sz w:val="20"/>
          <w:szCs w:val="20"/>
        </w:rPr>
        <w:t xml:space="preserve"> elementów (tj.</w:t>
      </w:r>
      <w:r w:rsidR="00374A40">
        <w:rPr>
          <w:rFonts w:ascii="Lato" w:hAnsi="Lato"/>
          <w:sz w:val="20"/>
          <w:szCs w:val="20"/>
        </w:rPr>
        <w:t xml:space="preserve"> </w:t>
      </w:r>
      <w:r w:rsidRPr="0030465A">
        <w:rPr>
          <w:rFonts w:ascii="Lato" w:hAnsi="Lato"/>
          <w:sz w:val="20"/>
          <w:szCs w:val="20"/>
        </w:rPr>
        <w:t>informacji o sposobie upublicznienia zapytania ofertowego oraz wskazania daty wpłynięcia ofert).</w:t>
      </w:r>
    </w:p>
    <w:p w14:paraId="2121E582" w14:textId="77777777" w:rsidR="00766BC6" w:rsidRPr="0030465A" w:rsidRDefault="00766BC6" w:rsidP="0030465A">
      <w:pPr>
        <w:pStyle w:val="Akapitzlist"/>
        <w:shd w:val="clear" w:color="auto" w:fill="FFFFFF"/>
        <w:spacing w:line="276" w:lineRule="auto"/>
        <w:ind w:left="0" w:firstLine="284"/>
        <w:contextualSpacing w:val="0"/>
        <w:jc w:val="both"/>
        <w:rPr>
          <w:rFonts w:ascii="Lato" w:eastAsia="Calibri" w:hAnsi="Lato" w:cs="Arial"/>
          <w:sz w:val="20"/>
          <w:szCs w:val="20"/>
          <w:lang w:eastAsia="en-US"/>
        </w:rPr>
      </w:pPr>
    </w:p>
    <w:p w14:paraId="2C6E828C" w14:textId="77777777" w:rsidR="00107DB8" w:rsidRPr="0030465A" w:rsidRDefault="00595FE1" w:rsidP="0030465A">
      <w:pPr>
        <w:pStyle w:val="Akapitzlist"/>
        <w:shd w:val="clear" w:color="auto" w:fill="FFFFFF"/>
        <w:spacing w:line="276" w:lineRule="auto"/>
        <w:ind w:left="0" w:firstLine="284"/>
        <w:contextualSpacing w:val="0"/>
        <w:jc w:val="both"/>
        <w:rPr>
          <w:rFonts w:ascii="Lato" w:hAnsi="Lato"/>
          <w:sz w:val="20"/>
          <w:szCs w:val="20"/>
        </w:rPr>
      </w:pPr>
      <w:r w:rsidRPr="0030465A">
        <w:rPr>
          <w:rFonts w:ascii="Lato" w:hAnsi="Lato"/>
          <w:sz w:val="20"/>
          <w:szCs w:val="20"/>
        </w:rPr>
        <w:t>Stwierdzono, że OOW realizował działania informacyjne i promocyjne zgodnie z umową oraz</w:t>
      </w:r>
      <w:r w:rsidR="00980388" w:rsidRPr="0030465A">
        <w:rPr>
          <w:rFonts w:ascii="Lato" w:hAnsi="Lato"/>
          <w:sz w:val="20"/>
          <w:szCs w:val="20"/>
        </w:rPr>
        <w:t> </w:t>
      </w:r>
      <w:r w:rsidRPr="0030465A">
        <w:rPr>
          <w:rFonts w:ascii="Lato" w:hAnsi="Lato"/>
          <w:sz w:val="20"/>
          <w:szCs w:val="20"/>
        </w:rPr>
        <w:t>ze </w:t>
      </w:r>
      <w:r w:rsidRPr="0030465A">
        <w:rPr>
          <w:rFonts w:ascii="Lato" w:hAnsi="Lato"/>
          <w:i/>
          <w:iCs/>
          <w:sz w:val="20"/>
          <w:szCs w:val="20"/>
        </w:rPr>
        <w:t>Strategią Promocji i Informacji Krajowego Planu Odbudowy i Zwiększania Odporności</w:t>
      </w:r>
      <w:r w:rsidRPr="0030465A">
        <w:rPr>
          <w:rFonts w:ascii="Lato" w:hAnsi="Lato"/>
          <w:sz w:val="20"/>
          <w:szCs w:val="20"/>
        </w:rPr>
        <w:t>.</w:t>
      </w:r>
    </w:p>
    <w:p w14:paraId="2692F1EE" w14:textId="77777777" w:rsidR="00766BC6" w:rsidRPr="0030465A" w:rsidRDefault="00766BC6" w:rsidP="0030465A">
      <w:pPr>
        <w:pStyle w:val="Akapitzlist"/>
        <w:shd w:val="clear" w:color="auto" w:fill="FFFFFF"/>
        <w:spacing w:line="276" w:lineRule="auto"/>
        <w:ind w:left="0" w:firstLine="284"/>
        <w:contextualSpacing w:val="0"/>
        <w:jc w:val="both"/>
        <w:rPr>
          <w:rFonts w:ascii="Lato" w:hAnsi="Lato"/>
          <w:sz w:val="20"/>
          <w:szCs w:val="20"/>
        </w:rPr>
      </w:pPr>
    </w:p>
    <w:p w14:paraId="6E57EC5C" w14:textId="77777777" w:rsidR="0030465A" w:rsidRPr="0030465A" w:rsidRDefault="0030465A" w:rsidP="0030465A">
      <w:pPr>
        <w:autoSpaceDE w:val="0"/>
        <w:autoSpaceDN w:val="0"/>
        <w:adjustRightInd w:val="0"/>
        <w:spacing w:after="0" w:line="276" w:lineRule="auto"/>
        <w:ind w:firstLine="284"/>
        <w:jc w:val="both"/>
        <w:rPr>
          <w:rFonts w:ascii="Lato" w:hAnsi="Lato"/>
          <w:b/>
          <w:sz w:val="20"/>
          <w:szCs w:val="20"/>
        </w:rPr>
      </w:pPr>
      <w:r w:rsidRPr="0030465A">
        <w:rPr>
          <w:rFonts w:ascii="Lato" w:hAnsi="Lato"/>
          <w:b/>
          <w:sz w:val="20"/>
          <w:szCs w:val="20"/>
        </w:rPr>
        <w:t>Sformułowano następujące zalecenia pokontrolne:</w:t>
      </w:r>
    </w:p>
    <w:p w14:paraId="3E136867" w14:textId="77777777" w:rsidR="0030465A" w:rsidRPr="0030465A" w:rsidRDefault="0030465A" w:rsidP="0030465A">
      <w:pPr>
        <w:numPr>
          <w:ilvl w:val="0"/>
          <w:numId w:val="3"/>
        </w:numPr>
        <w:tabs>
          <w:tab w:val="left" w:pos="709"/>
        </w:tabs>
        <w:spacing w:after="0" w:line="276" w:lineRule="auto"/>
        <w:jc w:val="both"/>
        <w:rPr>
          <w:rFonts w:ascii="Lato" w:hAnsi="Lato" w:cs="Arial"/>
          <w:sz w:val="20"/>
          <w:szCs w:val="20"/>
        </w:rPr>
      </w:pPr>
      <w:r w:rsidRPr="0030465A">
        <w:rPr>
          <w:rFonts w:ascii="Lato" w:hAnsi="Lato" w:cs="Arial"/>
          <w:sz w:val="20"/>
          <w:szCs w:val="20"/>
        </w:rPr>
        <w:t>Złożenie korekty wniosku o płatność uwzględniającej:</w:t>
      </w:r>
    </w:p>
    <w:p w14:paraId="09990F50" w14:textId="77777777" w:rsidR="0030465A" w:rsidRPr="0030465A" w:rsidRDefault="0030465A" w:rsidP="0030465A">
      <w:pPr>
        <w:numPr>
          <w:ilvl w:val="1"/>
          <w:numId w:val="3"/>
        </w:numPr>
        <w:tabs>
          <w:tab w:val="left" w:pos="709"/>
        </w:tabs>
        <w:spacing w:after="0" w:line="276" w:lineRule="auto"/>
        <w:jc w:val="both"/>
        <w:rPr>
          <w:rFonts w:ascii="Lato" w:hAnsi="Lato" w:cs="Arial"/>
          <w:sz w:val="20"/>
          <w:szCs w:val="20"/>
        </w:rPr>
      </w:pPr>
      <w:r w:rsidRPr="0030465A">
        <w:rPr>
          <w:rFonts w:ascii="Lato" w:hAnsi="Lato" w:cs="Arial"/>
          <w:sz w:val="20"/>
          <w:szCs w:val="20"/>
        </w:rPr>
        <w:t>Dokonane w trakcie kontroli zmiany kursów walutowych.</w:t>
      </w:r>
    </w:p>
    <w:p w14:paraId="4FED2603" w14:textId="77777777" w:rsidR="0030465A" w:rsidRPr="0030465A" w:rsidRDefault="0030465A" w:rsidP="0030465A">
      <w:pPr>
        <w:numPr>
          <w:ilvl w:val="1"/>
          <w:numId w:val="3"/>
        </w:numPr>
        <w:tabs>
          <w:tab w:val="left" w:pos="709"/>
        </w:tabs>
        <w:spacing w:after="0" w:line="276" w:lineRule="auto"/>
        <w:jc w:val="both"/>
        <w:rPr>
          <w:rFonts w:ascii="Lato" w:hAnsi="Lato" w:cs="Arial"/>
          <w:sz w:val="20"/>
          <w:szCs w:val="20"/>
        </w:rPr>
      </w:pPr>
      <w:r w:rsidRPr="0030465A">
        <w:rPr>
          <w:rFonts w:ascii="Lato" w:hAnsi="Lato" w:cs="Arial"/>
          <w:sz w:val="20"/>
          <w:szCs w:val="20"/>
        </w:rPr>
        <w:t>Rozliczenie kosztów wynikających z umowy leasingu, aby spełniała wymogi określone w § 6 ust.</w:t>
      </w:r>
      <w:r w:rsidR="000C15BE">
        <w:rPr>
          <w:rFonts w:ascii="Lato" w:hAnsi="Lato" w:cs="Arial"/>
          <w:sz w:val="20"/>
          <w:szCs w:val="20"/>
        </w:rPr>
        <w:t> </w:t>
      </w:r>
      <w:r w:rsidRPr="0030465A">
        <w:rPr>
          <w:rFonts w:ascii="Lato" w:hAnsi="Lato" w:cs="Arial"/>
          <w:sz w:val="20"/>
          <w:szCs w:val="20"/>
        </w:rPr>
        <w:t>1-3 umowy i załącznika nr 11 do umowy.</w:t>
      </w:r>
    </w:p>
    <w:p w14:paraId="57D81289" w14:textId="77777777" w:rsidR="0030465A" w:rsidRPr="0030465A" w:rsidRDefault="0030465A" w:rsidP="0030465A">
      <w:pPr>
        <w:numPr>
          <w:ilvl w:val="0"/>
          <w:numId w:val="3"/>
        </w:numPr>
        <w:tabs>
          <w:tab w:val="left" w:pos="709"/>
        </w:tabs>
        <w:spacing w:after="0" w:line="276" w:lineRule="auto"/>
        <w:jc w:val="both"/>
        <w:rPr>
          <w:rFonts w:ascii="Lato" w:hAnsi="Lato" w:cs="Arial"/>
          <w:sz w:val="20"/>
          <w:szCs w:val="20"/>
        </w:rPr>
      </w:pPr>
      <w:r w:rsidRPr="0030465A">
        <w:rPr>
          <w:rFonts w:ascii="Lato" w:hAnsi="Lato" w:cs="Arial"/>
          <w:sz w:val="20"/>
          <w:szCs w:val="20"/>
        </w:rPr>
        <w:t>Mając na względzie ustalenia kontroli – w przypadku uzyskania kolejnego dofinansowania ze</w:t>
      </w:r>
      <w:r w:rsidR="000C15BE">
        <w:rPr>
          <w:rFonts w:ascii="Lato" w:hAnsi="Lato" w:cs="Arial"/>
          <w:sz w:val="20"/>
          <w:szCs w:val="20"/>
        </w:rPr>
        <w:t> </w:t>
      </w:r>
      <w:r w:rsidRPr="0030465A">
        <w:rPr>
          <w:rFonts w:ascii="Lato" w:hAnsi="Lato" w:cs="Arial"/>
          <w:sz w:val="20"/>
          <w:szCs w:val="20"/>
        </w:rPr>
        <w:t>środków publicznych – zalecono dokładanie przez Spółkę należytej staranności przy:</w:t>
      </w:r>
    </w:p>
    <w:p w14:paraId="174BFC9F" w14:textId="77777777" w:rsidR="0030465A" w:rsidRPr="0030465A" w:rsidRDefault="0030465A" w:rsidP="0030465A">
      <w:pPr>
        <w:numPr>
          <w:ilvl w:val="1"/>
          <w:numId w:val="3"/>
        </w:numPr>
        <w:tabs>
          <w:tab w:val="left" w:pos="709"/>
        </w:tabs>
        <w:spacing w:after="0" w:line="276" w:lineRule="auto"/>
        <w:jc w:val="both"/>
        <w:rPr>
          <w:rFonts w:ascii="Lato" w:hAnsi="Lato" w:cs="Arial"/>
          <w:sz w:val="20"/>
          <w:szCs w:val="20"/>
        </w:rPr>
      </w:pPr>
      <w:r w:rsidRPr="0030465A">
        <w:rPr>
          <w:rFonts w:ascii="Lato" w:hAnsi="Lato" w:cs="Arial"/>
          <w:sz w:val="20"/>
          <w:szCs w:val="20"/>
        </w:rPr>
        <w:t>Przygotowywaniu i dostosowaniu ewidencji księgowej oraz polityki rachunkowości do wymagań zawartych w umowach o wsparcie.</w:t>
      </w:r>
    </w:p>
    <w:p w14:paraId="592713FC" w14:textId="77777777" w:rsidR="0030465A" w:rsidRPr="0030465A" w:rsidRDefault="0030465A" w:rsidP="0030465A">
      <w:pPr>
        <w:numPr>
          <w:ilvl w:val="1"/>
          <w:numId w:val="3"/>
        </w:numPr>
        <w:tabs>
          <w:tab w:val="left" w:pos="709"/>
        </w:tabs>
        <w:spacing w:after="0" w:line="276" w:lineRule="auto"/>
        <w:jc w:val="both"/>
        <w:rPr>
          <w:rFonts w:ascii="Lato" w:hAnsi="Lato" w:cs="Arial"/>
          <w:sz w:val="20"/>
          <w:szCs w:val="20"/>
        </w:rPr>
      </w:pPr>
      <w:r w:rsidRPr="0030465A">
        <w:rPr>
          <w:rFonts w:ascii="Lato" w:hAnsi="Lato" w:cs="Arial"/>
          <w:sz w:val="20"/>
          <w:szCs w:val="20"/>
        </w:rPr>
        <w:t>Przygotowywaniu i przeprowadzeniu postępowań o udzielenie zamówienia, w szczególności:</w:t>
      </w:r>
    </w:p>
    <w:p w14:paraId="4B369B8A" w14:textId="77777777" w:rsidR="0030465A" w:rsidRPr="0030465A" w:rsidRDefault="0030465A" w:rsidP="0030465A">
      <w:pPr>
        <w:numPr>
          <w:ilvl w:val="0"/>
          <w:numId w:val="4"/>
        </w:numPr>
        <w:tabs>
          <w:tab w:val="left" w:pos="709"/>
        </w:tabs>
        <w:spacing w:after="0" w:line="276" w:lineRule="auto"/>
        <w:jc w:val="both"/>
        <w:rPr>
          <w:rFonts w:ascii="Lato" w:hAnsi="Lato" w:cs="Arial"/>
          <w:sz w:val="20"/>
          <w:szCs w:val="20"/>
        </w:rPr>
      </w:pPr>
      <w:r w:rsidRPr="0030465A">
        <w:rPr>
          <w:rFonts w:ascii="Lato" w:hAnsi="Lato" w:cs="Arial"/>
          <w:sz w:val="20"/>
          <w:szCs w:val="20"/>
        </w:rPr>
        <w:t>sporządzaniu protokołów z postępowania o udzielenie zamówienia;</w:t>
      </w:r>
    </w:p>
    <w:p w14:paraId="08F9D3AE" w14:textId="77777777" w:rsidR="0030465A" w:rsidRPr="0030465A" w:rsidRDefault="0030465A" w:rsidP="0030465A">
      <w:pPr>
        <w:numPr>
          <w:ilvl w:val="0"/>
          <w:numId w:val="4"/>
        </w:numPr>
        <w:tabs>
          <w:tab w:val="left" w:pos="709"/>
        </w:tabs>
        <w:spacing w:after="0" w:line="276" w:lineRule="auto"/>
        <w:jc w:val="both"/>
        <w:rPr>
          <w:rFonts w:ascii="Lato" w:hAnsi="Lato" w:cs="Arial"/>
          <w:sz w:val="20"/>
          <w:szCs w:val="20"/>
        </w:rPr>
      </w:pPr>
      <w:r w:rsidRPr="0030465A">
        <w:rPr>
          <w:rFonts w:ascii="Lato" w:hAnsi="Lato" w:cs="Arial"/>
          <w:sz w:val="20"/>
          <w:szCs w:val="20"/>
        </w:rPr>
        <w:t>opisywaniu przedmiotu zamówienia, w tym wskazywaniu kodów CPV.</w:t>
      </w:r>
    </w:p>
    <w:p w14:paraId="733A65D1" w14:textId="77777777" w:rsidR="0030465A" w:rsidRPr="0030465A" w:rsidRDefault="0030465A" w:rsidP="0030465A">
      <w:pPr>
        <w:tabs>
          <w:tab w:val="left" w:pos="709"/>
        </w:tabs>
        <w:spacing w:after="0" w:line="276" w:lineRule="auto"/>
        <w:ind w:firstLine="284"/>
        <w:jc w:val="both"/>
        <w:rPr>
          <w:rFonts w:ascii="Lato" w:hAnsi="Lato" w:cs="Arial"/>
          <w:sz w:val="20"/>
          <w:szCs w:val="20"/>
        </w:rPr>
      </w:pPr>
    </w:p>
    <w:p w14:paraId="2260F831" w14:textId="77777777" w:rsidR="00980388" w:rsidRPr="0030465A" w:rsidRDefault="00766BC6" w:rsidP="0030465A">
      <w:pPr>
        <w:pStyle w:val="Akapitzlist"/>
        <w:shd w:val="clear" w:color="auto" w:fill="FFFFFF"/>
        <w:spacing w:line="276" w:lineRule="auto"/>
        <w:ind w:left="0" w:firstLine="284"/>
        <w:contextualSpacing w:val="0"/>
        <w:jc w:val="both"/>
        <w:rPr>
          <w:rFonts w:ascii="Lato" w:hAnsi="Lato"/>
          <w:sz w:val="20"/>
          <w:szCs w:val="20"/>
        </w:rPr>
      </w:pPr>
      <w:r w:rsidRPr="0030465A">
        <w:rPr>
          <w:rFonts w:ascii="Lato" w:eastAsia="Calibri" w:hAnsi="Lato" w:cs="Arial"/>
          <w:sz w:val="20"/>
          <w:szCs w:val="20"/>
          <w:lang w:eastAsia="en-US"/>
        </w:rPr>
        <w:t>OOW</w:t>
      </w:r>
      <w:r w:rsidR="00BC1211" w:rsidRPr="0030465A">
        <w:rPr>
          <w:rFonts w:ascii="Lato" w:eastAsia="Calibri" w:hAnsi="Lato" w:cs="Arial"/>
          <w:b/>
          <w:sz w:val="20"/>
          <w:szCs w:val="20"/>
          <w:lang w:eastAsia="en-US"/>
        </w:rPr>
        <w:t xml:space="preserve"> </w:t>
      </w:r>
      <w:r w:rsidR="00BC1211" w:rsidRPr="0030465A">
        <w:rPr>
          <w:rFonts w:ascii="Lato" w:eastAsia="Calibri" w:hAnsi="Lato" w:cs="Arial"/>
          <w:sz w:val="20"/>
          <w:szCs w:val="20"/>
          <w:lang w:eastAsia="en-US"/>
        </w:rPr>
        <w:t>wniósł</w:t>
      </w:r>
      <w:r w:rsidRPr="0030465A">
        <w:rPr>
          <w:rFonts w:ascii="Lato" w:eastAsia="Calibri" w:hAnsi="Lato" w:cs="Arial"/>
          <w:sz w:val="20"/>
          <w:szCs w:val="20"/>
          <w:lang w:eastAsia="en-US"/>
        </w:rPr>
        <w:t xml:space="preserve"> zastrzeżenia do Informacji pokontrolnej, które nie zostały uwzględnione.</w:t>
      </w:r>
    </w:p>
    <w:sectPr w:rsidR="00980388" w:rsidRPr="0030465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940E" w14:textId="77777777" w:rsidR="00B617EE" w:rsidRDefault="00B617EE" w:rsidP="00153D4D">
      <w:pPr>
        <w:spacing w:after="0" w:line="240" w:lineRule="auto"/>
      </w:pPr>
      <w:r>
        <w:separator/>
      </w:r>
    </w:p>
  </w:endnote>
  <w:endnote w:type="continuationSeparator" w:id="0">
    <w:p w14:paraId="79951258" w14:textId="77777777" w:rsidR="00B617EE" w:rsidRDefault="00B617EE" w:rsidP="00153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Calibri"/>
    <w:panose1 w:val="020F0502020204030203"/>
    <w:charset w:val="EE"/>
    <w:family w:val="swiss"/>
    <w:pitch w:val="variable"/>
    <w:sig w:usb0="E10002FF" w:usb1="5000ECFF" w:usb2="00000021" w:usb3="00000000" w:csb0="0000019F" w:csb1="00000000"/>
  </w:font>
  <w:font w:name="Arial">
    <w:panose1 w:val="020B0604020202020204"/>
    <w:charset w:val="EE"/>
    <w:family w:val="swiss"/>
    <w:pitch w:val="variable"/>
    <w:sig w:usb0="E0002EFF" w:usb1="C000785B" w:usb2="00000009" w:usb3="00000000" w:csb0="000001FF" w:csb1="00000000"/>
  </w:font>
  <w:font w:name="Calibri-Bold">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A5680" w14:textId="77777777" w:rsidR="00B617EE" w:rsidRDefault="00B617EE" w:rsidP="00153D4D">
      <w:pPr>
        <w:spacing w:after="0" w:line="240" w:lineRule="auto"/>
      </w:pPr>
      <w:r>
        <w:separator/>
      </w:r>
    </w:p>
  </w:footnote>
  <w:footnote w:type="continuationSeparator" w:id="0">
    <w:p w14:paraId="776A8768" w14:textId="77777777" w:rsidR="00B617EE" w:rsidRDefault="00B617EE" w:rsidP="00153D4D">
      <w:pPr>
        <w:spacing w:after="0" w:line="240" w:lineRule="auto"/>
      </w:pPr>
      <w:r>
        <w:continuationSeparator/>
      </w:r>
    </w:p>
  </w:footnote>
  <w:footnote w:id="1">
    <w:p w14:paraId="75A73327" w14:textId="77777777" w:rsidR="00C4032F" w:rsidRPr="0030465A" w:rsidRDefault="00C4032F" w:rsidP="0030465A">
      <w:pPr>
        <w:pStyle w:val="Tekstprzypisudolnego"/>
        <w:jc w:val="both"/>
        <w:rPr>
          <w:rFonts w:ascii="Lato" w:hAnsi="Lato"/>
          <w:sz w:val="16"/>
          <w:szCs w:val="16"/>
        </w:rPr>
      </w:pPr>
      <w:r w:rsidRPr="0030465A">
        <w:rPr>
          <w:rStyle w:val="Odwoanieprzypisudolnego"/>
          <w:rFonts w:ascii="Lato" w:hAnsi="Lato"/>
          <w:sz w:val="16"/>
          <w:szCs w:val="16"/>
        </w:rPr>
        <w:footnoteRef/>
      </w:r>
      <w:r w:rsidRPr="0030465A">
        <w:rPr>
          <w:rFonts w:ascii="Lato" w:hAnsi="Lato"/>
          <w:sz w:val="16"/>
          <w:szCs w:val="16"/>
        </w:rPr>
        <w:t xml:space="preserve"> Tj. Ostateczny Odbiorca Wsparcia.</w:t>
      </w:r>
    </w:p>
  </w:footnote>
  <w:footnote w:id="2">
    <w:p w14:paraId="2A62679D" w14:textId="77777777" w:rsidR="005D17CA" w:rsidRPr="0030465A" w:rsidRDefault="005D17CA" w:rsidP="0030465A">
      <w:pPr>
        <w:pStyle w:val="Tekstprzypisudolnego"/>
        <w:jc w:val="both"/>
        <w:rPr>
          <w:rFonts w:ascii="Lato" w:hAnsi="Lato"/>
          <w:sz w:val="16"/>
          <w:szCs w:val="16"/>
        </w:rPr>
      </w:pPr>
      <w:r w:rsidRPr="0030465A">
        <w:rPr>
          <w:rStyle w:val="Odwoanieprzypisudolnego"/>
          <w:rFonts w:ascii="Lato" w:hAnsi="Lato"/>
          <w:sz w:val="16"/>
          <w:szCs w:val="16"/>
        </w:rPr>
        <w:footnoteRef/>
      </w:r>
      <w:r w:rsidRPr="0030465A">
        <w:rPr>
          <w:rFonts w:ascii="Lato" w:hAnsi="Lato"/>
          <w:sz w:val="16"/>
          <w:szCs w:val="16"/>
        </w:rPr>
        <w:t xml:space="preserve"> Dz.U. z 2025 r. poz. 198</w:t>
      </w:r>
      <w:r w:rsidR="000444D5" w:rsidRPr="0030465A">
        <w:rPr>
          <w:rFonts w:ascii="Lato" w:hAnsi="Lato"/>
          <w:sz w:val="16"/>
          <w:szCs w:val="16"/>
        </w:rPr>
        <w:t xml:space="preserve"> </w:t>
      </w:r>
      <w:proofErr w:type="spellStart"/>
      <w:r w:rsidR="000444D5" w:rsidRPr="0030465A">
        <w:rPr>
          <w:rFonts w:ascii="Lato" w:hAnsi="Lato"/>
          <w:sz w:val="16"/>
          <w:szCs w:val="16"/>
        </w:rPr>
        <w:t>t.j</w:t>
      </w:r>
      <w:proofErr w:type="spellEnd"/>
      <w:r w:rsidR="000444D5" w:rsidRPr="0030465A">
        <w:rPr>
          <w:rFonts w:ascii="Lato" w:hAnsi="Lato"/>
          <w:sz w:val="16"/>
          <w:szCs w:val="16"/>
        </w:rPr>
        <w:t>. ze zm</w:t>
      </w:r>
      <w:r w:rsidRPr="0030465A">
        <w:rPr>
          <w:rFonts w:ascii="Lato" w:hAnsi="Lato"/>
          <w:sz w:val="16"/>
          <w:szCs w:val="16"/>
        </w:rPr>
        <w:t>.</w:t>
      </w:r>
    </w:p>
  </w:footnote>
  <w:footnote w:id="3">
    <w:p w14:paraId="1C2DC309" w14:textId="77777777" w:rsidR="00BF5273" w:rsidRPr="00BF5273" w:rsidRDefault="00BF5273" w:rsidP="00BF5273">
      <w:pPr>
        <w:pStyle w:val="Tekstprzypisudolnego"/>
        <w:jc w:val="both"/>
        <w:rPr>
          <w:rFonts w:ascii="Lato" w:hAnsi="Lato"/>
          <w:sz w:val="16"/>
          <w:szCs w:val="16"/>
        </w:rPr>
      </w:pPr>
      <w:r w:rsidRPr="00BF5273">
        <w:rPr>
          <w:rStyle w:val="Odwoanieprzypisudolnego"/>
          <w:rFonts w:ascii="Lato" w:hAnsi="Lato"/>
          <w:sz w:val="16"/>
          <w:szCs w:val="16"/>
        </w:rPr>
        <w:footnoteRef/>
      </w:r>
      <w:r w:rsidRPr="00BF5273">
        <w:rPr>
          <w:rFonts w:ascii="Lato" w:hAnsi="Lato"/>
          <w:sz w:val="16"/>
          <w:szCs w:val="16"/>
        </w:rPr>
        <w:t xml:space="preserve"> </w:t>
      </w:r>
      <w:r>
        <w:rPr>
          <w:rFonts w:ascii="Lato" w:hAnsi="Lato"/>
          <w:sz w:val="16"/>
          <w:szCs w:val="16"/>
        </w:rPr>
        <w:t>D</w:t>
      </w:r>
      <w:r w:rsidRPr="00BF5273">
        <w:rPr>
          <w:rFonts w:ascii="Lato" w:hAnsi="Lato"/>
          <w:sz w:val="16"/>
          <w:szCs w:val="16"/>
        </w:rPr>
        <w:t>alej: umowa</w:t>
      </w:r>
      <w:r>
        <w:rPr>
          <w:rFonts w:ascii="Lato" w:hAnsi="Lato"/>
          <w:sz w:val="16"/>
          <w:szCs w:val="16"/>
        </w:rPr>
        <w:t>.</w:t>
      </w:r>
    </w:p>
  </w:footnote>
  <w:footnote w:id="4">
    <w:p w14:paraId="229FF14F" w14:textId="77777777" w:rsidR="00364CF8" w:rsidRPr="00067E0A" w:rsidRDefault="00364CF8" w:rsidP="0030465A">
      <w:pPr>
        <w:pStyle w:val="Tekstprzypisudolnego"/>
        <w:jc w:val="both"/>
        <w:rPr>
          <w:rFonts w:ascii="Lato" w:hAnsi="Lato"/>
          <w:sz w:val="14"/>
          <w:szCs w:val="14"/>
          <w:highlight w:val="yellow"/>
        </w:rPr>
      </w:pPr>
      <w:r w:rsidRPr="0030465A">
        <w:rPr>
          <w:rStyle w:val="Odwoanieprzypisudolnego"/>
          <w:rFonts w:ascii="Lato" w:hAnsi="Lato"/>
          <w:sz w:val="16"/>
          <w:szCs w:val="16"/>
        </w:rPr>
        <w:footnoteRef/>
      </w:r>
      <w:r w:rsidRPr="0030465A">
        <w:rPr>
          <w:rFonts w:ascii="Lato" w:hAnsi="Lato"/>
          <w:sz w:val="16"/>
          <w:szCs w:val="16"/>
        </w:rPr>
        <w:t xml:space="preserve"> Rozumianą jako działanie lub zaniechanie, które jest niezgodne z obowiązującymi przepisami prawa krajowego i unijnego, umową o dofinansowanie i jej załącznikami oraz wnioskiem o dofinansowanie. Nie stanowiącą poważnej nieprawidłowości, o której mowa w motywie (53) rozporządzenia Parlamentu Europejskiego i Rady (UE) 2021/241.</w:t>
      </w:r>
    </w:p>
  </w:footnote>
  <w:footnote w:id="5">
    <w:p w14:paraId="6CF930A6" w14:textId="77777777" w:rsidR="009C14B6" w:rsidRPr="0030465A" w:rsidRDefault="009C14B6" w:rsidP="009C14B6">
      <w:pPr>
        <w:pStyle w:val="Tekstprzypisudolnego"/>
        <w:jc w:val="both"/>
        <w:rPr>
          <w:rFonts w:ascii="Lato" w:hAnsi="Lato"/>
          <w:sz w:val="16"/>
          <w:szCs w:val="16"/>
        </w:rPr>
      </w:pPr>
      <w:r w:rsidRPr="0030465A">
        <w:rPr>
          <w:rStyle w:val="Odwoanieprzypisudolnego"/>
          <w:rFonts w:ascii="Lato" w:hAnsi="Lato"/>
          <w:sz w:val="16"/>
          <w:szCs w:val="16"/>
        </w:rPr>
        <w:footnoteRef/>
      </w:r>
      <w:r w:rsidRPr="0030465A">
        <w:rPr>
          <w:rFonts w:ascii="Lato" w:hAnsi="Lato"/>
          <w:sz w:val="16"/>
          <w:szCs w:val="16"/>
        </w:rPr>
        <w:t xml:space="preserve"> Zgodnie z udokumentowaną metodyką doboru próby.</w:t>
      </w:r>
    </w:p>
  </w:footnote>
  <w:footnote w:id="6">
    <w:p w14:paraId="2ECC3F0D" w14:textId="77777777" w:rsidR="00BF5273" w:rsidRPr="00BF5273" w:rsidRDefault="00BF5273" w:rsidP="00BF5273">
      <w:pPr>
        <w:pStyle w:val="Tekstprzypisudolnego"/>
        <w:jc w:val="both"/>
        <w:rPr>
          <w:rFonts w:ascii="Lato" w:hAnsi="Lato"/>
          <w:sz w:val="16"/>
          <w:szCs w:val="16"/>
        </w:rPr>
      </w:pPr>
      <w:r w:rsidRPr="00BF5273">
        <w:rPr>
          <w:rStyle w:val="Odwoanieprzypisudolnego"/>
          <w:rFonts w:ascii="Lato" w:hAnsi="Lato"/>
          <w:sz w:val="16"/>
          <w:szCs w:val="16"/>
        </w:rPr>
        <w:footnoteRef/>
      </w:r>
      <w:r w:rsidRPr="00BF5273">
        <w:rPr>
          <w:rFonts w:ascii="Lato" w:hAnsi="Lato"/>
          <w:sz w:val="16"/>
          <w:szCs w:val="16"/>
        </w:rPr>
        <w:t xml:space="preserve"> Stanowiąc</w:t>
      </w:r>
      <w:r>
        <w:rPr>
          <w:rFonts w:ascii="Lato" w:hAnsi="Lato"/>
          <w:sz w:val="16"/>
          <w:szCs w:val="16"/>
        </w:rPr>
        <w:t>ej</w:t>
      </w:r>
      <w:r w:rsidRPr="00BF5273">
        <w:rPr>
          <w:rFonts w:ascii="Lato" w:hAnsi="Lato"/>
          <w:sz w:val="16"/>
          <w:szCs w:val="16"/>
        </w:rPr>
        <w:t xml:space="preserve"> załącznik nr 10 do umowy</w:t>
      </w:r>
      <w:r>
        <w:rPr>
          <w:rFonts w:ascii="Lato" w:hAnsi="Lato"/>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1A30"/>
    <w:multiLevelType w:val="hybridMultilevel"/>
    <w:tmpl w:val="BBCAB6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393290B"/>
    <w:multiLevelType w:val="hybridMultilevel"/>
    <w:tmpl w:val="E8468A36"/>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tentative="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2" w15:restartNumberingAfterBreak="0">
    <w:nsid w:val="5B674C01"/>
    <w:multiLevelType w:val="hybridMultilevel"/>
    <w:tmpl w:val="BF86231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68497A2E"/>
    <w:multiLevelType w:val="multilevel"/>
    <w:tmpl w:val="362A470C"/>
    <w:lvl w:ilvl="0">
      <w:start w:val="1"/>
      <w:numFmt w:val="decimal"/>
      <w:lvlText w:val="%1."/>
      <w:lvlJc w:val="left"/>
      <w:pPr>
        <w:ind w:left="767" w:hanging="360"/>
      </w:pPr>
    </w:lvl>
    <w:lvl w:ilvl="1">
      <w:start w:val="1"/>
      <w:numFmt w:val="decimal"/>
      <w:isLgl/>
      <w:lvlText w:val="%1.%2."/>
      <w:lvlJc w:val="left"/>
      <w:pPr>
        <w:ind w:left="767" w:hanging="360"/>
      </w:pPr>
      <w:rPr>
        <w:rFonts w:hint="default"/>
      </w:rPr>
    </w:lvl>
    <w:lvl w:ilvl="2">
      <w:start w:val="1"/>
      <w:numFmt w:val="decimal"/>
      <w:isLgl/>
      <w:lvlText w:val="%1.%2.%3."/>
      <w:lvlJc w:val="left"/>
      <w:pPr>
        <w:ind w:left="1127" w:hanging="720"/>
      </w:pPr>
      <w:rPr>
        <w:rFonts w:hint="default"/>
      </w:rPr>
    </w:lvl>
    <w:lvl w:ilvl="3">
      <w:start w:val="1"/>
      <w:numFmt w:val="decimal"/>
      <w:isLgl/>
      <w:lvlText w:val="%1.%2.%3.%4."/>
      <w:lvlJc w:val="left"/>
      <w:pPr>
        <w:ind w:left="1127" w:hanging="720"/>
      </w:pPr>
      <w:rPr>
        <w:rFonts w:hint="default"/>
      </w:rPr>
    </w:lvl>
    <w:lvl w:ilvl="4">
      <w:start w:val="1"/>
      <w:numFmt w:val="decimal"/>
      <w:isLgl/>
      <w:lvlText w:val="%1.%2.%3.%4.%5."/>
      <w:lvlJc w:val="left"/>
      <w:pPr>
        <w:ind w:left="1487" w:hanging="1080"/>
      </w:pPr>
      <w:rPr>
        <w:rFonts w:hint="default"/>
      </w:rPr>
    </w:lvl>
    <w:lvl w:ilvl="5">
      <w:start w:val="1"/>
      <w:numFmt w:val="decimal"/>
      <w:isLgl/>
      <w:lvlText w:val="%1.%2.%3.%4.%5.%6."/>
      <w:lvlJc w:val="left"/>
      <w:pPr>
        <w:ind w:left="1487" w:hanging="1080"/>
      </w:pPr>
      <w:rPr>
        <w:rFonts w:hint="default"/>
      </w:rPr>
    </w:lvl>
    <w:lvl w:ilvl="6">
      <w:start w:val="1"/>
      <w:numFmt w:val="decimal"/>
      <w:isLgl/>
      <w:lvlText w:val="%1.%2.%3.%4.%5.%6.%7."/>
      <w:lvlJc w:val="left"/>
      <w:pPr>
        <w:ind w:left="1487" w:hanging="1080"/>
      </w:pPr>
      <w:rPr>
        <w:rFonts w:hint="default"/>
      </w:rPr>
    </w:lvl>
    <w:lvl w:ilvl="7">
      <w:start w:val="1"/>
      <w:numFmt w:val="decimal"/>
      <w:isLgl/>
      <w:lvlText w:val="%1.%2.%3.%4.%5.%6.%7.%8."/>
      <w:lvlJc w:val="left"/>
      <w:pPr>
        <w:ind w:left="1847" w:hanging="1440"/>
      </w:pPr>
      <w:rPr>
        <w:rFonts w:hint="default"/>
      </w:rPr>
    </w:lvl>
    <w:lvl w:ilvl="8">
      <w:start w:val="1"/>
      <w:numFmt w:val="decimal"/>
      <w:isLgl/>
      <w:lvlText w:val="%1.%2.%3.%4.%5.%6.%7.%8.%9."/>
      <w:lvlJc w:val="left"/>
      <w:pPr>
        <w:ind w:left="1847" w:hanging="1440"/>
      </w:pPr>
      <w:rPr>
        <w:rFonts w:hint="default"/>
      </w:rPr>
    </w:lvl>
  </w:abstractNum>
  <w:num w:numId="1" w16cid:durableId="480540226">
    <w:abstractNumId w:val="1"/>
  </w:num>
  <w:num w:numId="2" w16cid:durableId="968238971">
    <w:abstractNumId w:val="2"/>
  </w:num>
  <w:num w:numId="3" w16cid:durableId="325983800">
    <w:abstractNumId w:val="3"/>
  </w:num>
  <w:num w:numId="4" w16cid:durableId="1874858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181"/>
    <w:rsid w:val="00001DE1"/>
    <w:rsid w:val="00005971"/>
    <w:rsid w:val="000320E6"/>
    <w:rsid w:val="000420D5"/>
    <w:rsid w:val="000444D5"/>
    <w:rsid w:val="0004542D"/>
    <w:rsid w:val="00045B2F"/>
    <w:rsid w:val="00045ED6"/>
    <w:rsid w:val="00051ACC"/>
    <w:rsid w:val="000645CB"/>
    <w:rsid w:val="0007228C"/>
    <w:rsid w:val="000A456E"/>
    <w:rsid w:val="000C15BE"/>
    <w:rsid w:val="000C4131"/>
    <w:rsid w:val="000F6174"/>
    <w:rsid w:val="00104C46"/>
    <w:rsid w:val="00105A73"/>
    <w:rsid w:val="00107DB8"/>
    <w:rsid w:val="00123133"/>
    <w:rsid w:val="00123FE8"/>
    <w:rsid w:val="001313E0"/>
    <w:rsid w:val="00137B2F"/>
    <w:rsid w:val="001413FD"/>
    <w:rsid w:val="00143BAA"/>
    <w:rsid w:val="00143DC1"/>
    <w:rsid w:val="00151B09"/>
    <w:rsid w:val="00153D4D"/>
    <w:rsid w:val="00166B85"/>
    <w:rsid w:val="001673AE"/>
    <w:rsid w:val="00175B78"/>
    <w:rsid w:val="00176AA1"/>
    <w:rsid w:val="00187D1A"/>
    <w:rsid w:val="00193615"/>
    <w:rsid w:val="001A2CF0"/>
    <w:rsid w:val="001A765E"/>
    <w:rsid w:val="001B3741"/>
    <w:rsid w:val="001B5B4F"/>
    <w:rsid w:val="001D368E"/>
    <w:rsid w:val="001D3DF9"/>
    <w:rsid w:val="001E197F"/>
    <w:rsid w:val="001E571E"/>
    <w:rsid w:val="001F2FEF"/>
    <w:rsid w:val="0020062B"/>
    <w:rsid w:val="00202832"/>
    <w:rsid w:val="00204367"/>
    <w:rsid w:val="002070B5"/>
    <w:rsid w:val="002120EE"/>
    <w:rsid w:val="002334BB"/>
    <w:rsid w:val="00236997"/>
    <w:rsid w:val="002629F4"/>
    <w:rsid w:val="0027134F"/>
    <w:rsid w:val="002A16AD"/>
    <w:rsid w:val="002A3396"/>
    <w:rsid w:val="002B0A94"/>
    <w:rsid w:val="002C0466"/>
    <w:rsid w:val="002D5D8A"/>
    <w:rsid w:val="002E0D5F"/>
    <w:rsid w:val="002F0A2F"/>
    <w:rsid w:val="00302156"/>
    <w:rsid w:val="0030465A"/>
    <w:rsid w:val="0030584F"/>
    <w:rsid w:val="003131AE"/>
    <w:rsid w:val="0031687C"/>
    <w:rsid w:val="00322897"/>
    <w:rsid w:val="0032658F"/>
    <w:rsid w:val="00331655"/>
    <w:rsid w:val="00333BF8"/>
    <w:rsid w:val="00340ED5"/>
    <w:rsid w:val="00343E07"/>
    <w:rsid w:val="00346BEB"/>
    <w:rsid w:val="003554C6"/>
    <w:rsid w:val="00357A22"/>
    <w:rsid w:val="00361420"/>
    <w:rsid w:val="00364CF8"/>
    <w:rsid w:val="003658B6"/>
    <w:rsid w:val="00367224"/>
    <w:rsid w:val="003745C1"/>
    <w:rsid w:val="00374A40"/>
    <w:rsid w:val="003873A6"/>
    <w:rsid w:val="003B22C4"/>
    <w:rsid w:val="003B7B10"/>
    <w:rsid w:val="003D5F11"/>
    <w:rsid w:val="003F2452"/>
    <w:rsid w:val="003F3415"/>
    <w:rsid w:val="003F35E7"/>
    <w:rsid w:val="00401B22"/>
    <w:rsid w:val="00414C46"/>
    <w:rsid w:val="004215ED"/>
    <w:rsid w:val="004262BF"/>
    <w:rsid w:val="004266D4"/>
    <w:rsid w:val="004338DA"/>
    <w:rsid w:val="00433FDC"/>
    <w:rsid w:val="00442ECF"/>
    <w:rsid w:val="00462800"/>
    <w:rsid w:val="004678A5"/>
    <w:rsid w:val="00472F6E"/>
    <w:rsid w:val="00477B2F"/>
    <w:rsid w:val="004A09D6"/>
    <w:rsid w:val="004A38FF"/>
    <w:rsid w:val="004A3EA4"/>
    <w:rsid w:val="004C1320"/>
    <w:rsid w:val="004C1DEA"/>
    <w:rsid w:val="004D586F"/>
    <w:rsid w:val="004E3D6D"/>
    <w:rsid w:val="004F4CF5"/>
    <w:rsid w:val="004F537C"/>
    <w:rsid w:val="00500C73"/>
    <w:rsid w:val="005014BC"/>
    <w:rsid w:val="00506B97"/>
    <w:rsid w:val="00511BB4"/>
    <w:rsid w:val="005125F5"/>
    <w:rsid w:val="0053234E"/>
    <w:rsid w:val="00560F88"/>
    <w:rsid w:val="0056134E"/>
    <w:rsid w:val="00566BB5"/>
    <w:rsid w:val="0057757E"/>
    <w:rsid w:val="005804A1"/>
    <w:rsid w:val="0058412E"/>
    <w:rsid w:val="005849DD"/>
    <w:rsid w:val="00595FE1"/>
    <w:rsid w:val="005966C7"/>
    <w:rsid w:val="005A5823"/>
    <w:rsid w:val="005B060E"/>
    <w:rsid w:val="005D17CA"/>
    <w:rsid w:val="005F2BD3"/>
    <w:rsid w:val="0061193E"/>
    <w:rsid w:val="00652C0B"/>
    <w:rsid w:val="006543AD"/>
    <w:rsid w:val="006724A1"/>
    <w:rsid w:val="00684321"/>
    <w:rsid w:val="006A23DF"/>
    <w:rsid w:val="006B0500"/>
    <w:rsid w:val="006B1C38"/>
    <w:rsid w:val="006B5935"/>
    <w:rsid w:val="006B698E"/>
    <w:rsid w:val="006C03F8"/>
    <w:rsid w:val="006D0D91"/>
    <w:rsid w:val="006D3DE1"/>
    <w:rsid w:val="006E26FC"/>
    <w:rsid w:val="006E41BB"/>
    <w:rsid w:val="006E6282"/>
    <w:rsid w:val="006F619D"/>
    <w:rsid w:val="007005A9"/>
    <w:rsid w:val="007041F0"/>
    <w:rsid w:val="00712310"/>
    <w:rsid w:val="00722114"/>
    <w:rsid w:val="00730797"/>
    <w:rsid w:val="00731A5A"/>
    <w:rsid w:val="007371B6"/>
    <w:rsid w:val="00737F46"/>
    <w:rsid w:val="00737F64"/>
    <w:rsid w:val="00742B5B"/>
    <w:rsid w:val="007465A5"/>
    <w:rsid w:val="007531EC"/>
    <w:rsid w:val="00755228"/>
    <w:rsid w:val="00766BC6"/>
    <w:rsid w:val="00766BE5"/>
    <w:rsid w:val="00771CCD"/>
    <w:rsid w:val="007735E7"/>
    <w:rsid w:val="00795FE4"/>
    <w:rsid w:val="007A26CF"/>
    <w:rsid w:val="007A61FC"/>
    <w:rsid w:val="007B455A"/>
    <w:rsid w:val="007C1CBD"/>
    <w:rsid w:val="007D6F77"/>
    <w:rsid w:val="007D7710"/>
    <w:rsid w:val="007E2C46"/>
    <w:rsid w:val="007E753B"/>
    <w:rsid w:val="007F2FFA"/>
    <w:rsid w:val="00810D78"/>
    <w:rsid w:val="00811930"/>
    <w:rsid w:val="00814244"/>
    <w:rsid w:val="0081557A"/>
    <w:rsid w:val="00825DA9"/>
    <w:rsid w:val="00852F7D"/>
    <w:rsid w:val="008571D8"/>
    <w:rsid w:val="00860CDC"/>
    <w:rsid w:val="008779E4"/>
    <w:rsid w:val="00881CCC"/>
    <w:rsid w:val="008932C4"/>
    <w:rsid w:val="00896682"/>
    <w:rsid w:val="00897C44"/>
    <w:rsid w:val="008A36E6"/>
    <w:rsid w:val="008A56A7"/>
    <w:rsid w:val="008C0012"/>
    <w:rsid w:val="008C1BBF"/>
    <w:rsid w:val="008C4984"/>
    <w:rsid w:val="008D50E0"/>
    <w:rsid w:val="008F470D"/>
    <w:rsid w:val="00902E78"/>
    <w:rsid w:val="00942528"/>
    <w:rsid w:val="009426AE"/>
    <w:rsid w:val="00954F87"/>
    <w:rsid w:val="00961795"/>
    <w:rsid w:val="00980388"/>
    <w:rsid w:val="00992E20"/>
    <w:rsid w:val="009939AD"/>
    <w:rsid w:val="00996CF8"/>
    <w:rsid w:val="009B4CCD"/>
    <w:rsid w:val="009C14B6"/>
    <w:rsid w:val="009C7617"/>
    <w:rsid w:val="009D2387"/>
    <w:rsid w:val="009E42D4"/>
    <w:rsid w:val="009E6F8D"/>
    <w:rsid w:val="009F2214"/>
    <w:rsid w:val="00A0008B"/>
    <w:rsid w:val="00A03E07"/>
    <w:rsid w:val="00A17C3F"/>
    <w:rsid w:val="00A276C5"/>
    <w:rsid w:val="00A277FE"/>
    <w:rsid w:val="00A46F7A"/>
    <w:rsid w:val="00A62364"/>
    <w:rsid w:val="00A701E5"/>
    <w:rsid w:val="00A73296"/>
    <w:rsid w:val="00A81DBD"/>
    <w:rsid w:val="00A84B1E"/>
    <w:rsid w:val="00A93B61"/>
    <w:rsid w:val="00AC1513"/>
    <w:rsid w:val="00AD1799"/>
    <w:rsid w:val="00AD2933"/>
    <w:rsid w:val="00AE1BA9"/>
    <w:rsid w:val="00AE3933"/>
    <w:rsid w:val="00AE6ED0"/>
    <w:rsid w:val="00B13032"/>
    <w:rsid w:val="00B14E2E"/>
    <w:rsid w:val="00B357F4"/>
    <w:rsid w:val="00B40BA0"/>
    <w:rsid w:val="00B410CE"/>
    <w:rsid w:val="00B617EE"/>
    <w:rsid w:val="00B63B58"/>
    <w:rsid w:val="00B73BBD"/>
    <w:rsid w:val="00BB029C"/>
    <w:rsid w:val="00BB66B2"/>
    <w:rsid w:val="00BC1211"/>
    <w:rsid w:val="00BC2830"/>
    <w:rsid w:val="00BC2DBA"/>
    <w:rsid w:val="00BC3EEF"/>
    <w:rsid w:val="00BE67F1"/>
    <w:rsid w:val="00BF5273"/>
    <w:rsid w:val="00C11F9F"/>
    <w:rsid w:val="00C1571F"/>
    <w:rsid w:val="00C4032F"/>
    <w:rsid w:val="00C5607D"/>
    <w:rsid w:val="00C62497"/>
    <w:rsid w:val="00C76D42"/>
    <w:rsid w:val="00CA31E7"/>
    <w:rsid w:val="00CB51DB"/>
    <w:rsid w:val="00CD1B35"/>
    <w:rsid w:val="00CE2224"/>
    <w:rsid w:val="00D1633A"/>
    <w:rsid w:val="00D23711"/>
    <w:rsid w:val="00D50D71"/>
    <w:rsid w:val="00D61032"/>
    <w:rsid w:val="00D8179A"/>
    <w:rsid w:val="00D90F85"/>
    <w:rsid w:val="00DA14EB"/>
    <w:rsid w:val="00DB0181"/>
    <w:rsid w:val="00DB0B31"/>
    <w:rsid w:val="00DB3EF8"/>
    <w:rsid w:val="00DD0514"/>
    <w:rsid w:val="00DD4C30"/>
    <w:rsid w:val="00DD65D9"/>
    <w:rsid w:val="00DD7CCA"/>
    <w:rsid w:val="00DE06C1"/>
    <w:rsid w:val="00DE413C"/>
    <w:rsid w:val="00DF0827"/>
    <w:rsid w:val="00DF3C1E"/>
    <w:rsid w:val="00DF543B"/>
    <w:rsid w:val="00DF7E57"/>
    <w:rsid w:val="00E045FB"/>
    <w:rsid w:val="00E24580"/>
    <w:rsid w:val="00E26CD5"/>
    <w:rsid w:val="00E27C02"/>
    <w:rsid w:val="00E37EF6"/>
    <w:rsid w:val="00E43467"/>
    <w:rsid w:val="00E53BA0"/>
    <w:rsid w:val="00E6478A"/>
    <w:rsid w:val="00E766BE"/>
    <w:rsid w:val="00EB4C51"/>
    <w:rsid w:val="00EC5413"/>
    <w:rsid w:val="00EC76EE"/>
    <w:rsid w:val="00ED1E19"/>
    <w:rsid w:val="00ED2A85"/>
    <w:rsid w:val="00ED5280"/>
    <w:rsid w:val="00EE50B1"/>
    <w:rsid w:val="00EF423D"/>
    <w:rsid w:val="00EF7F01"/>
    <w:rsid w:val="00F006D1"/>
    <w:rsid w:val="00F04685"/>
    <w:rsid w:val="00F22FBF"/>
    <w:rsid w:val="00F24AA3"/>
    <w:rsid w:val="00F32771"/>
    <w:rsid w:val="00F333D9"/>
    <w:rsid w:val="00F402F0"/>
    <w:rsid w:val="00F46DE3"/>
    <w:rsid w:val="00F55AA4"/>
    <w:rsid w:val="00F6084E"/>
    <w:rsid w:val="00F712BC"/>
    <w:rsid w:val="00F8075A"/>
    <w:rsid w:val="00F838AB"/>
    <w:rsid w:val="00F8391F"/>
    <w:rsid w:val="00F953E0"/>
    <w:rsid w:val="00FA3525"/>
    <w:rsid w:val="00FB12EC"/>
    <w:rsid w:val="00FB25B6"/>
    <w:rsid w:val="00FC0298"/>
    <w:rsid w:val="00FF7E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E32D4"/>
  <w15:chartTrackingRefBased/>
  <w15:docId w15:val="{7A6C0227-B721-4732-B398-9CB81531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2">
    <w:name w:val="heading 2"/>
    <w:basedOn w:val="Normalny"/>
    <w:link w:val="Nagwek2Znak"/>
    <w:uiPriority w:val="9"/>
    <w:qFormat/>
    <w:rsid w:val="00153D4D"/>
    <w:pPr>
      <w:spacing w:before="100" w:beforeAutospacing="1" w:after="100" w:afterAutospacing="1" w:line="240" w:lineRule="auto"/>
      <w:outlineLvl w:val="1"/>
    </w:pPr>
    <w:rPr>
      <w:rFonts w:ascii="Times New Roman" w:eastAsia="Times New Roman" w:hAnsi="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uiPriority w:val="9"/>
    <w:rsid w:val="00153D4D"/>
    <w:rPr>
      <w:rFonts w:ascii="Times New Roman" w:eastAsia="Times New Roman" w:hAnsi="Times New Roman" w:cs="Times New Roman"/>
      <w:b/>
      <w:bCs/>
      <w:sz w:val="36"/>
      <w:szCs w:val="36"/>
      <w:lang w:eastAsia="pl-PL"/>
    </w:rPr>
  </w:style>
  <w:style w:type="paragraph" w:styleId="Bezodstpw">
    <w:name w:val="No Spacing"/>
    <w:uiPriority w:val="1"/>
    <w:qFormat/>
    <w:rsid w:val="00153D4D"/>
    <w:rPr>
      <w:sz w:val="22"/>
      <w:szCs w:val="22"/>
      <w:lang w:eastAsia="en-US"/>
    </w:rPr>
  </w:style>
  <w:style w:type="character" w:styleId="Odwoanieprzypisudolnego">
    <w:name w:val="footnote reference"/>
    <w:aliases w:val="1_przypis,Footnote Reference Number,Odwołanie przypisu,FZ,BVI fnr,Odwo³anie przypisu,Footnote symbol,Footnote reference number,note TESI,SUPERS,EN Footnote Reference,Footnote number,Ref,de nota al pie,Odwo3anie przypisu"/>
    <w:uiPriority w:val="99"/>
    <w:qFormat/>
    <w:rsid w:val="00153D4D"/>
    <w:rPr>
      <w:rFonts w:cs="Times New Roman"/>
      <w:vertAlign w:val="superscript"/>
    </w:rPr>
  </w:style>
  <w:style w:type="character" w:customStyle="1" w:styleId="TekstprzypisudolnegoZnak">
    <w:name w:val="Tekst przypisu dolnego Znak"/>
    <w:aliases w:val="Podrozdział Znak,Footnote Znak,Podrozdzia3 Znak,Znak1 Znak, Znak1 Znak Znak1, Znak1 Znak Znak Znak Znak, Znak1 Znak Znak Znak1,Znak1 Znak Znak Znak1,Znak1 Znak Znak Znak Znak,Znak1 Znak Znak Znak Znak Znak Znak Znak,Znak Znak"/>
    <w:link w:val="Tekstprzypisudolnego"/>
    <w:uiPriority w:val="99"/>
    <w:qFormat/>
    <w:locked/>
    <w:rsid w:val="00153D4D"/>
  </w:style>
  <w:style w:type="paragraph" w:styleId="Tekstprzypisudolnego">
    <w:name w:val="footnote text"/>
    <w:aliases w:val="Podrozdział,Footnote,Podrozdzia3,Znak1, Znak1 Znak, Znak1 Znak Znak Znak, Znak1 Znak Znak,Znak1 Znak Znak,Znak1 Znak Znak Znak,Znak1 Znak Znak Znak Znak Znak Znak,Tekst przypisu,Znak, Znak1 Znak Znak Znak Znak Znak,Footnot,Fußnote"/>
    <w:basedOn w:val="Normalny"/>
    <w:link w:val="TekstprzypisudolnegoZnak"/>
    <w:uiPriority w:val="99"/>
    <w:unhideWhenUsed/>
    <w:qFormat/>
    <w:rsid w:val="00153D4D"/>
    <w:pPr>
      <w:spacing w:after="0" w:line="240" w:lineRule="auto"/>
    </w:pPr>
  </w:style>
  <w:style w:type="character" w:customStyle="1" w:styleId="TekstprzypisudolnegoZnak1">
    <w:name w:val="Tekst przypisu dolnego Znak1"/>
    <w:uiPriority w:val="99"/>
    <w:semiHidden/>
    <w:rsid w:val="00153D4D"/>
    <w:rPr>
      <w:sz w:val="20"/>
      <w:szCs w:val="20"/>
    </w:rPr>
  </w:style>
  <w:style w:type="paragraph" w:styleId="Tekstdymka">
    <w:name w:val="Balloon Text"/>
    <w:basedOn w:val="Normalny"/>
    <w:link w:val="TekstdymkaZnak"/>
    <w:uiPriority w:val="99"/>
    <w:semiHidden/>
    <w:unhideWhenUsed/>
    <w:rsid w:val="006543AD"/>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6543AD"/>
    <w:rPr>
      <w:rFonts w:ascii="Segoe UI" w:hAnsi="Segoe UI" w:cs="Segoe UI"/>
      <w:sz w:val="18"/>
      <w:szCs w:val="18"/>
    </w:rPr>
  </w:style>
  <w:style w:type="paragraph" w:styleId="Akapitzlist">
    <w:name w:val="List Paragraph"/>
    <w:aliases w:val="Punkt 1.1"/>
    <w:basedOn w:val="Normalny"/>
    <w:link w:val="AkapitzlistZnak"/>
    <w:uiPriority w:val="34"/>
    <w:qFormat/>
    <w:rsid w:val="00462800"/>
    <w:pPr>
      <w:spacing w:after="0" w:line="240" w:lineRule="auto"/>
      <w:ind w:left="720"/>
      <w:contextualSpacing/>
    </w:pPr>
    <w:rPr>
      <w:rFonts w:ascii="Times New Roman" w:eastAsia="Times New Roman" w:hAnsi="Times New Roman"/>
      <w:sz w:val="24"/>
      <w:szCs w:val="24"/>
      <w:lang w:eastAsia="pl-PL"/>
    </w:rPr>
  </w:style>
  <w:style w:type="character" w:customStyle="1" w:styleId="AkapitzlistZnak">
    <w:name w:val="Akapit z listą Znak"/>
    <w:aliases w:val="Punkt 1.1 Znak"/>
    <w:link w:val="Akapitzlist"/>
    <w:uiPriority w:val="34"/>
    <w:locked/>
    <w:rsid w:val="00BC2830"/>
    <w:rPr>
      <w:rFonts w:ascii="Times New Roman" w:eastAsia="Times New Roman" w:hAnsi="Times New Roman"/>
      <w:sz w:val="24"/>
      <w:szCs w:val="24"/>
    </w:rPr>
  </w:style>
  <w:style w:type="paragraph" w:customStyle="1" w:styleId="Default">
    <w:name w:val="Default"/>
    <w:rsid w:val="00CA31E7"/>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6862">
      <w:bodyDiv w:val="1"/>
      <w:marLeft w:val="0"/>
      <w:marRight w:val="0"/>
      <w:marTop w:val="0"/>
      <w:marBottom w:val="0"/>
      <w:divBdr>
        <w:top w:val="none" w:sz="0" w:space="0" w:color="auto"/>
        <w:left w:val="none" w:sz="0" w:space="0" w:color="auto"/>
        <w:bottom w:val="none" w:sz="0" w:space="0" w:color="auto"/>
        <w:right w:val="none" w:sz="0" w:space="0" w:color="auto"/>
      </w:divBdr>
    </w:div>
    <w:div w:id="295646269">
      <w:bodyDiv w:val="1"/>
      <w:marLeft w:val="0"/>
      <w:marRight w:val="0"/>
      <w:marTop w:val="0"/>
      <w:marBottom w:val="0"/>
      <w:divBdr>
        <w:top w:val="none" w:sz="0" w:space="0" w:color="auto"/>
        <w:left w:val="none" w:sz="0" w:space="0" w:color="auto"/>
        <w:bottom w:val="none" w:sz="0" w:space="0" w:color="auto"/>
        <w:right w:val="none" w:sz="0" w:space="0" w:color="auto"/>
      </w:divBdr>
    </w:div>
    <w:div w:id="933561053">
      <w:bodyDiv w:val="1"/>
      <w:marLeft w:val="0"/>
      <w:marRight w:val="0"/>
      <w:marTop w:val="0"/>
      <w:marBottom w:val="0"/>
      <w:divBdr>
        <w:top w:val="none" w:sz="0" w:space="0" w:color="auto"/>
        <w:left w:val="none" w:sz="0" w:space="0" w:color="auto"/>
        <w:bottom w:val="none" w:sz="0" w:space="0" w:color="auto"/>
        <w:right w:val="none" w:sz="0" w:space="0" w:color="auto"/>
      </w:divBdr>
    </w:div>
    <w:div w:id="111617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472CD-AAB4-43D2-B946-4337243A2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838</Words>
  <Characters>5030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Pieńkowska</dc:creator>
  <cp:keywords/>
  <dc:description/>
  <cp:lastModifiedBy>Antoszewski Arkadiusz</cp:lastModifiedBy>
  <cp:revision>2</cp:revision>
  <cp:lastPrinted>2026-03-05T12:40:00Z</cp:lastPrinted>
  <dcterms:created xsi:type="dcterms:W3CDTF">2026-03-06T08:11:00Z</dcterms:created>
  <dcterms:modified xsi:type="dcterms:W3CDTF">2026-03-06T08:11:00Z</dcterms:modified>
</cp:coreProperties>
</file>