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225EC" w14:textId="1F347188" w:rsidR="00A121B0" w:rsidRPr="004713CE" w:rsidRDefault="00A121B0" w:rsidP="00A121B0">
      <w:pPr>
        <w:spacing w:after="12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 Wspólne oświadczenie Polski i Wietnamu</w:t>
      </w:r>
    </w:p>
    <w:p w14:paraId="5CD5C39F" w14:textId="6F79B1D9" w:rsidR="00A121B0" w:rsidRPr="004713CE" w:rsidRDefault="00A121B0" w:rsidP="00A121B0">
      <w:pPr>
        <w:spacing w:after="12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w sprawie </w:t>
      </w:r>
      <w:r w:rsidR="008B2C2C">
        <w:rPr>
          <w:rFonts w:ascii="Times New Roman" w:hAnsi="Times New Roman"/>
          <w:b/>
          <w:sz w:val="28"/>
        </w:rPr>
        <w:t>działań</w:t>
      </w:r>
      <w:r>
        <w:rPr>
          <w:rFonts w:ascii="Times New Roman" w:hAnsi="Times New Roman"/>
          <w:b/>
          <w:sz w:val="28"/>
        </w:rPr>
        <w:t xml:space="preserve"> w kierunku </w:t>
      </w:r>
      <w:r w:rsidR="00CA4BF4">
        <w:rPr>
          <w:rFonts w:ascii="Times New Roman" w:hAnsi="Times New Roman"/>
          <w:b/>
          <w:sz w:val="28"/>
        </w:rPr>
        <w:t xml:space="preserve">podniesienia poziomu </w:t>
      </w:r>
      <w:r>
        <w:rPr>
          <w:rFonts w:ascii="Times New Roman" w:hAnsi="Times New Roman"/>
          <w:b/>
          <w:sz w:val="28"/>
        </w:rPr>
        <w:t>stosunków dwustronnych</w:t>
      </w:r>
    </w:p>
    <w:p w14:paraId="0FBE9264" w14:textId="77777777" w:rsidR="00A121B0" w:rsidRPr="000A2BFB" w:rsidRDefault="00A121B0" w:rsidP="00A121B0">
      <w:pPr>
        <w:spacing w:after="12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:lang w:eastAsia="en-US"/>
        </w:rPr>
      </w:pPr>
    </w:p>
    <w:p w14:paraId="1D02C1D3" w14:textId="0E49740C" w:rsidR="00A121B0" w:rsidRPr="004713CE" w:rsidRDefault="00A121B0" w:rsidP="00A121B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Na zaproszenie Premiera Rzeczypospolitej Polskiej Donalda Tuska, Premier Socjalistycznej Republiki Wietnamu </w:t>
      </w:r>
      <w:proofErr w:type="spellStart"/>
      <w:r>
        <w:rPr>
          <w:rFonts w:ascii="Times New Roman" w:hAnsi="Times New Roman"/>
          <w:sz w:val="28"/>
        </w:rPr>
        <w:t>Pham</w:t>
      </w:r>
      <w:proofErr w:type="spellEnd"/>
      <w:r>
        <w:rPr>
          <w:rFonts w:ascii="Times New Roman" w:hAnsi="Times New Roman"/>
          <w:sz w:val="28"/>
        </w:rPr>
        <w:t xml:space="preserve"> Minh </w:t>
      </w:r>
      <w:proofErr w:type="spellStart"/>
      <w:r>
        <w:rPr>
          <w:rFonts w:ascii="Times New Roman" w:hAnsi="Times New Roman"/>
          <w:sz w:val="28"/>
        </w:rPr>
        <w:t>Chinh</w:t>
      </w:r>
      <w:proofErr w:type="spellEnd"/>
      <w:r>
        <w:rPr>
          <w:rFonts w:ascii="Times New Roman" w:hAnsi="Times New Roman"/>
          <w:sz w:val="28"/>
        </w:rPr>
        <w:t xml:space="preserve"> złożył oficjalną wizytę w</w:t>
      </w:r>
      <w:r w:rsidR="007F7AC6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Rzeczypospolitej Polskiej w dniach 16-18 stycznia 2025 roku. Wizyta uświetniła 75. rocznicę nawiązania stosunków dyplomatycznych między obu państwami.</w:t>
      </w:r>
    </w:p>
    <w:p w14:paraId="0DD277AC" w14:textId="45FF0286" w:rsidR="00A121B0" w:rsidRPr="004713CE" w:rsidRDefault="00A121B0" w:rsidP="00A121B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1. Obaj przywódcy zgodzili się, że na przestrzeni lat oba kraje osiągnęły znaczący postęp w rozwoju społeczno-gospodarczym. Tradycyjna przyjaźń i</w:t>
      </w:r>
      <w:r w:rsidR="007F7AC6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wielopłaszczyznowa współpraca między Polską a Wietnamem </w:t>
      </w:r>
      <w:r w:rsidR="00CA4BF4">
        <w:rPr>
          <w:rFonts w:ascii="Times New Roman" w:hAnsi="Times New Roman"/>
          <w:sz w:val="28"/>
        </w:rPr>
        <w:t xml:space="preserve">rozwijały się </w:t>
      </w:r>
      <w:r>
        <w:rPr>
          <w:rFonts w:ascii="Times New Roman" w:hAnsi="Times New Roman"/>
          <w:sz w:val="28"/>
        </w:rPr>
        <w:t>szybko i skutecznie w różnych obszarach.</w:t>
      </w:r>
    </w:p>
    <w:p w14:paraId="5E45C7EA" w14:textId="2B28D3F1" w:rsidR="00A121B0" w:rsidRPr="004713CE" w:rsidRDefault="00A121B0" w:rsidP="00A121B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192"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 xml:space="preserve"> Opierając się na dotychczasowych osiągnięciach i dostrzegając ogromny potencjał dalszej współpracy, premier Donald Tusk i premier </w:t>
      </w:r>
      <w:proofErr w:type="spellStart"/>
      <w:r>
        <w:rPr>
          <w:rFonts w:ascii="Times New Roman" w:hAnsi="Times New Roman"/>
          <w:sz w:val="28"/>
        </w:rPr>
        <w:t>Pham</w:t>
      </w:r>
      <w:proofErr w:type="spellEnd"/>
      <w:r>
        <w:rPr>
          <w:rFonts w:ascii="Times New Roman" w:hAnsi="Times New Roman"/>
          <w:sz w:val="28"/>
        </w:rPr>
        <w:t xml:space="preserve"> Minh </w:t>
      </w:r>
      <w:proofErr w:type="spellStart"/>
      <w:r>
        <w:rPr>
          <w:rFonts w:ascii="Times New Roman" w:hAnsi="Times New Roman"/>
          <w:sz w:val="28"/>
        </w:rPr>
        <w:t>Chinh</w:t>
      </w:r>
      <w:proofErr w:type="spellEnd"/>
      <w:r>
        <w:rPr>
          <w:rFonts w:ascii="Times New Roman" w:hAnsi="Times New Roman"/>
          <w:sz w:val="28"/>
        </w:rPr>
        <w:t xml:space="preserve"> podkreślili potrzebę wspierania głębszej i bardziej efektywnej współpracy politycznej, gospodarczej, sektorowej, lokalnej i międzyludzkiej w celu podniesienia relacji Polska-Wietnam do poziomu strategicznego w przyszłości.</w:t>
      </w:r>
    </w:p>
    <w:p w14:paraId="36135252" w14:textId="77777777" w:rsidR="00A121B0" w:rsidRPr="004713CE" w:rsidRDefault="00A121B0" w:rsidP="00A121B0">
      <w:pPr>
        <w:spacing w:after="12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b/>
          <w:sz w:val="28"/>
        </w:rPr>
        <w:t>Stosunki polityczne i dyplomatyczne</w:t>
      </w:r>
    </w:p>
    <w:p w14:paraId="1E49E65D" w14:textId="67AA09A8" w:rsidR="00A121B0" w:rsidRPr="00A121B0" w:rsidRDefault="00A121B0" w:rsidP="00A121B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</w:rPr>
        <w:t xml:space="preserve">3. Obie strony zgodziły się na dalsze zwiększenie liczby dwustronnych wizyt wysokiego szczebla i kontaktów we wszystkich kanałach między władzami Polski a partią komunistyczną, </w:t>
      </w:r>
      <w:r w:rsidRPr="00E11278">
        <w:rPr>
          <w:rFonts w:ascii="Times New Roman" w:hAnsi="Times New Roman"/>
          <w:sz w:val="28"/>
        </w:rPr>
        <w:t>państwem, rządem</w:t>
      </w:r>
      <w:r>
        <w:rPr>
          <w:rFonts w:ascii="Times New Roman" w:hAnsi="Times New Roman"/>
          <w:sz w:val="28"/>
        </w:rPr>
        <w:t>, Zgromadzeniem Narodowym i</w:t>
      </w:r>
      <w:r w:rsidR="007F7AC6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władzami lokalnymi Wietnamu w celu wzmocnienia współpracy politycznej i</w:t>
      </w:r>
      <w:r w:rsidR="007F7AC6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wzajemnego zrozumienia. </w:t>
      </w:r>
      <w:r w:rsidR="0078639B">
        <w:rPr>
          <w:rFonts w:ascii="Times New Roman" w:hAnsi="Times New Roman"/>
          <w:sz w:val="28"/>
        </w:rPr>
        <w:t xml:space="preserve">Wskazały </w:t>
      </w:r>
      <w:r>
        <w:rPr>
          <w:rFonts w:ascii="Times New Roman" w:hAnsi="Times New Roman"/>
          <w:sz w:val="28"/>
        </w:rPr>
        <w:t>coroczne konsultacje polityczne jako główny mechanizm przeglądu i aktualizacji działań.</w:t>
      </w:r>
    </w:p>
    <w:p w14:paraId="141737B5" w14:textId="0E1160A4" w:rsidR="00A121B0" w:rsidRPr="00A121B0" w:rsidRDefault="00A121B0" w:rsidP="00A121B0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</w:rPr>
        <w:t xml:space="preserve">4. Obie strony zgodziły się zintensyfikować dialog między ministerstwami spraw zagranicznych i wyraziły zainteresowanie rozszerzeniem współpracy w kwestiach międzynarodowych i regionalnych, w tym </w:t>
      </w:r>
      <w:r w:rsidR="007E289D">
        <w:rPr>
          <w:rFonts w:ascii="Times New Roman" w:hAnsi="Times New Roman"/>
          <w:sz w:val="28"/>
        </w:rPr>
        <w:t>dialogu planistycznego</w:t>
      </w:r>
      <w:r>
        <w:rPr>
          <w:rFonts w:ascii="Times New Roman" w:hAnsi="Times New Roman"/>
          <w:sz w:val="28"/>
        </w:rPr>
        <w:t xml:space="preserve"> i koordynacji stanowisk na forach wielostronnych, w szczególności w ramach ONZ, ASEAN-UE i ASEM. Wyrażono zobowiązanie do wspierania współpracy międzyregionalnej poprzez promowanie stosunków UE - Wietnam i Polska - ASEAN. Strona wietnamska wyraziła poparcie dla przystąpienia Polski do Traktatu o </w:t>
      </w:r>
      <w:r w:rsidR="007E289D">
        <w:rPr>
          <w:rFonts w:ascii="Times New Roman" w:hAnsi="Times New Roman"/>
          <w:sz w:val="28"/>
        </w:rPr>
        <w:t>Przyjaźni i</w:t>
      </w:r>
      <w:r w:rsidR="007F7AC6">
        <w:rPr>
          <w:rFonts w:ascii="Times New Roman" w:hAnsi="Times New Roman"/>
          <w:sz w:val="28"/>
        </w:rPr>
        <w:t> </w:t>
      </w:r>
      <w:r w:rsidR="007E289D">
        <w:rPr>
          <w:rFonts w:ascii="Times New Roman" w:hAnsi="Times New Roman"/>
          <w:sz w:val="28"/>
        </w:rPr>
        <w:t>W</w:t>
      </w:r>
      <w:r>
        <w:rPr>
          <w:rFonts w:ascii="Times New Roman" w:hAnsi="Times New Roman"/>
          <w:sz w:val="28"/>
        </w:rPr>
        <w:t xml:space="preserve">spółpracy w Azji Południowo-Wschodniej (TAC). </w:t>
      </w:r>
    </w:p>
    <w:p w14:paraId="59C0DDE3" w14:textId="2AC25DA0" w:rsidR="00A121B0" w:rsidRPr="00A121B0" w:rsidRDefault="00A121B0" w:rsidP="00A121B0">
      <w:pPr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</w:rPr>
        <w:t xml:space="preserve">5. Obie strony potwierdziły swoje poparcie dla multilateralizmu i systemu międzynarodowego, którego rdzeniem jest Organizacja Narodów Zjednoczonych, oraz dla porządku międzynarodowego opartego na podstawowych zasadach prawa międzynarodowego, w tym na Karcie Narodów Zjednoczonych. Zasady te obejmują niestosowanie siły lub groźby użycia siły, poszanowanie </w:t>
      </w:r>
      <w:r w:rsidR="007E289D">
        <w:rPr>
          <w:rFonts w:ascii="Times New Roman" w:hAnsi="Times New Roman"/>
          <w:sz w:val="28"/>
        </w:rPr>
        <w:t xml:space="preserve"> </w:t>
      </w:r>
      <w:r w:rsidR="0078639B">
        <w:rPr>
          <w:rFonts w:ascii="Times New Roman" w:hAnsi="Times New Roman"/>
          <w:sz w:val="28"/>
        </w:rPr>
        <w:t>niepodleg</w:t>
      </w:r>
      <w:r w:rsidR="007E289D">
        <w:rPr>
          <w:rFonts w:ascii="Times New Roman" w:hAnsi="Times New Roman"/>
          <w:sz w:val="28"/>
        </w:rPr>
        <w:t>ł</w:t>
      </w:r>
      <w:r w:rsidR="0078639B">
        <w:rPr>
          <w:rFonts w:ascii="Times New Roman" w:hAnsi="Times New Roman"/>
          <w:sz w:val="28"/>
        </w:rPr>
        <w:t>ości</w:t>
      </w:r>
      <w:r>
        <w:rPr>
          <w:rFonts w:ascii="Times New Roman" w:hAnsi="Times New Roman"/>
          <w:sz w:val="28"/>
        </w:rPr>
        <w:t xml:space="preserve">, suwerenności i integralności terytorialnej wszystkich </w:t>
      </w:r>
      <w:r w:rsidR="007E289D">
        <w:rPr>
          <w:rFonts w:ascii="Times New Roman" w:hAnsi="Times New Roman"/>
          <w:sz w:val="28"/>
        </w:rPr>
        <w:t xml:space="preserve">państw </w:t>
      </w:r>
      <w:r>
        <w:rPr>
          <w:rFonts w:ascii="Times New Roman" w:hAnsi="Times New Roman"/>
          <w:sz w:val="28"/>
        </w:rPr>
        <w:t xml:space="preserve">oraz rozwiązywanie sporów środkami pokojowymi zgodnie z prawem międzynarodowym. </w:t>
      </w:r>
    </w:p>
    <w:p w14:paraId="570D4413" w14:textId="5287CED9" w:rsidR="00A121B0" w:rsidRPr="00A121B0" w:rsidRDefault="00A121B0" w:rsidP="00A121B0">
      <w:pPr>
        <w:spacing w:after="12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</w:rPr>
        <w:t xml:space="preserve">6. Obie strony podkreśliły potrzebę sprostania globalnym wyzwaniom, w tym zmianom klimatycznym, bezpieczeństwu w zakresie zaopatrzenia w wodę, </w:t>
      </w:r>
      <w:r>
        <w:rPr>
          <w:rFonts w:ascii="Times New Roman" w:hAnsi="Times New Roman"/>
          <w:sz w:val="28"/>
        </w:rPr>
        <w:lastRenderedPageBreak/>
        <w:t>bezpieczeństwu energetycznemu i żywnościowemu, pandemiom, dezinformacji</w:t>
      </w:r>
      <w:r w:rsidR="00AA49AD">
        <w:rPr>
          <w:rFonts w:ascii="Times New Roman" w:hAnsi="Times New Roman"/>
          <w:sz w:val="28"/>
        </w:rPr>
        <w:t xml:space="preserve"> i</w:t>
      </w:r>
      <w:r w:rsidR="007F7AC6">
        <w:rPr>
          <w:rFonts w:ascii="Times New Roman" w:hAnsi="Times New Roman"/>
          <w:sz w:val="28"/>
        </w:rPr>
        <w:t> </w:t>
      </w:r>
      <w:proofErr w:type="spellStart"/>
      <w:r w:rsidR="00AA49AD">
        <w:rPr>
          <w:rFonts w:ascii="Times New Roman" w:hAnsi="Times New Roman"/>
          <w:sz w:val="28"/>
        </w:rPr>
        <w:t>misinformacji</w:t>
      </w:r>
      <w:proofErr w:type="spellEnd"/>
      <w:r>
        <w:rPr>
          <w:rFonts w:ascii="Times New Roman" w:hAnsi="Times New Roman"/>
          <w:sz w:val="28"/>
        </w:rPr>
        <w:t>, migracji oraz pogarszającemu się bezpieczeństwu międzynarodowemu i regionalnemu.</w:t>
      </w:r>
    </w:p>
    <w:p w14:paraId="32F97B59" w14:textId="79F02945" w:rsidR="00A121B0" w:rsidRDefault="00A121B0" w:rsidP="00A121B0">
      <w:pPr>
        <w:spacing w:after="12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</w:rPr>
        <w:t>7. Premier Polski prze</w:t>
      </w:r>
      <w:r w:rsidR="00AA49AD">
        <w:rPr>
          <w:rFonts w:ascii="Times New Roman" w:hAnsi="Times New Roman"/>
          <w:sz w:val="28"/>
        </w:rPr>
        <w:t>dstawił</w:t>
      </w:r>
      <w:r>
        <w:rPr>
          <w:rFonts w:ascii="Times New Roman" w:hAnsi="Times New Roman"/>
          <w:sz w:val="28"/>
        </w:rPr>
        <w:t xml:space="preserve"> premierowi Wietnamu informacje o wojnie w</w:t>
      </w:r>
      <w:r w:rsidR="007F7AC6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Ukrainie. Obie strony podkreśliły potrzebę ustanowienia </w:t>
      </w:r>
      <w:r w:rsidR="00956849">
        <w:rPr>
          <w:rFonts w:ascii="Times New Roman" w:hAnsi="Times New Roman"/>
          <w:sz w:val="28"/>
        </w:rPr>
        <w:t>kompleksowego</w:t>
      </w:r>
      <w:r>
        <w:rPr>
          <w:rFonts w:ascii="Times New Roman" w:hAnsi="Times New Roman"/>
          <w:sz w:val="28"/>
        </w:rPr>
        <w:t xml:space="preserve">, sprawiedliwego i trwałego pokoju zgodnie z prawem międzynarodowym oraz celami i zasadami Karty Narodów Zjednoczonych. </w:t>
      </w:r>
    </w:p>
    <w:p w14:paraId="0B88D0DB" w14:textId="08A10136" w:rsidR="00185E4E" w:rsidRPr="00820EFC" w:rsidRDefault="00185E4E" w:rsidP="00A121B0">
      <w:pPr>
        <w:spacing w:after="12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Obie strony potwierdziły wsparcie dla zasad ASEAN dotyczących Morza Południowochińskiego oraz podkreśliły wagę praworządności i rozwiązywania sporów środkami pokojowymi w zgodzie z prawem międzynarodowym, w tym Konwencją Narodów Zjednoczonych o prawie morza z 1982 roku. </w:t>
      </w:r>
    </w:p>
    <w:p w14:paraId="4FE63DFC" w14:textId="562FB7A7" w:rsidR="00A121B0" w:rsidRPr="00A121B0" w:rsidRDefault="00A121B0" w:rsidP="00A121B0">
      <w:pPr>
        <w:spacing w:after="12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Współpraca gospodarcza, handlowa, </w:t>
      </w:r>
      <w:r w:rsidR="00956849">
        <w:rPr>
          <w:rFonts w:ascii="Times New Roman" w:hAnsi="Times New Roman"/>
          <w:b/>
          <w:sz w:val="28"/>
        </w:rPr>
        <w:t xml:space="preserve">rozwojowa i </w:t>
      </w:r>
      <w:r w:rsidR="00C66D07">
        <w:rPr>
          <w:rFonts w:ascii="Times New Roman" w:hAnsi="Times New Roman"/>
          <w:b/>
          <w:sz w:val="28"/>
        </w:rPr>
        <w:t xml:space="preserve">w dziedzinie </w:t>
      </w:r>
      <w:r>
        <w:rPr>
          <w:rFonts w:ascii="Times New Roman" w:hAnsi="Times New Roman"/>
          <w:b/>
          <w:sz w:val="28"/>
        </w:rPr>
        <w:t>rolnic</w:t>
      </w:r>
      <w:r w:rsidR="00C66D07">
        <w:rPr>
          <w:rFonts w:ascii="Times New Roman" w:hAnsi="Times New Roman"/>
          <w:b/>
          <w:sz w:val="28"/>
        </w:rPr>
        <w:t>twa</w:t>
      </w:r>
      <w:r>
        <w:rPr>
          <w:rFonts w:ascii="Times New Roman" w:hAnsi="Times New Roman"/>
          <w:b/>
          <w:sz w:val="28"/>
        </w:rPr>
        <w:t xml:space="preserve"> </w:t>
      </w:r>
    </w:p>
    <w:p w14:paraId="4EE4D512" w14:textId="20E30EB6" w:rsidR="00A121B0" w:rsidRPr="00983889" w:rsidRDefault="00A121B0" w:rsidP="00A121B0">
      <w:pPr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</w:rPr>
        <w:t>9. Obie strony podkreśliły, że współpraca gospodarcza i handlowa jest jednym z</w:t>
      </w:r>
      <w:r w:rsidR="007F7AC6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kluczowych filarów stosunków dwustronnych i zgodziły się pracować nad zrównoważeniem handlu dwustronnego. W tym kontekście uznały one rolę mechanizmu konsultacji w zakresie współpracy gospodarczej między właściwymi ministerstwami Wietnamu i Polski oraz zgodziły się ułatwić współpracę między środowiskami biznesowymi.  </w:t>
      </w:r>
      <w:r w:rsidR="0078639B">
        <w:rPr>
          <w:rFonts w:ascii="Times New Roman" w:hAnsi="Times New Roman"/>
          <w:sz w:val="28"/>
        </w:rPr>
        <w:t>W celu zrównoważenia handlu dwustronnego</w:t>
      </w:r>
      <w:r>
        <w:rPr>
          <w:rFonts w:ascii="Times New Roman" w:hAnsi="Times New Roman"/>
          <w:sz w:val="28"/>
        </w:rPr>
        <w:t>, strony zgodziły się wspierać wymianę zgodnie z umową o wolnym handlu między UE a</w:t>
      </w:r>
      <w:r w:rsidR="007F7AC6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Wietnamem (EVFTA). Polska poinformowała o gotowości do </w:t>
      </w:r>
      <w:r w:rsidR="003810CD">
        <w:rPr>
          <w:rFonts w:ascii="Times New Roman" w:hAnsi="Times New Roman"/>
          <w:sz w:val="28"/>
        </w:rPr>
        <w:t xml:space="preserve">przeprowadzenia </w:t>
      </w:r>
      <w:r>
        <w:rPr>
          <w:rFonts w:ascii="Times New Roman" w:hAnsi="Times New Roman"/>
          <w:sz w:val="28"/>
        </w:rPr>
        <w:t>procesu ratyfikacji Umowy o ochronie inwestycji między UE a Wietnamem (EVIPA).</w:t>
      </w:r>
    </w:p>
    <w:p w14:paraId="3BCEFC4A" w14:textId="07FEB4F1" w:rsidR="00A121B0" w:rsidRPr="00A121B0" w:rsidRDefault="00A121B0" w:rsidP="00A121B0">
      <w:pPr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</w:rPr>
        <w:t>10. Obie strony wyraziły zamiar wzmocnienia współpracy w obszarach przynoszących dodatkowe korzyści, takich jak cyfryzacja, zielona transformacja, energia odnawialna, przemysł przetwórczy i produkcyjny, poszukiwanie, wydobycie i przetwarzanie zasobów naturalnych, rozwój infrastruktury, przemysł kolejowy, transport, sprzęt medyczny, farmaceutyki,</w:t>
      </w:r>
      <w:r w:rsidR="0078639B">
        <w:rPr>
          <w:rFonts w:ascii="Times New Roman" w:hAnsi="Times New Roman"/>
          <w:sz w:val="28"/>
        </w:rPr>
        <w:t xml:space="preserve"> praca,</w:t>
      </w:r>
      <w:r>
        <w:rPr>
          <w:rFonts w:ascii="Times New Roman" w:hAnsi="Times New Roman"/>
          <w:sz w:val="28"/>
        </w:rPr>
        <w:t xml:space="preserve"> środowisko, gospodarka wodna i gospodarka morska. </w:t>
      </w:r>
    </w:p>
    <w:p w14:paraId="0EB17A2D" w14:textId="72F64054" w:rsidR="00A121B0" w:rsidRPr="00A121B0" w:rsidRDefault="00A121B0" w:rsidP="00A121B0">
      <w:pPr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</w:rPr>
        <w:t>11. Obie strony zgodziły się zintensyfikować współpracę rolną i potwierdziły zainteresowanie kontynuowaniem wysiłków na rzecz wzmocnienia wzajemnie korzystnej dwustronnej wymiany handlowej w sektorze rolno-spożywczym, biorąc pod uwagę zobowiązania wynikające z członkostwa Polski w UE i członkostwa Wietnamu w ASEAN.</w:t>
      </w:r>
    </w:p>
    <w:p w14:paraId="49A8DB47" w14:textId="24E520C0" w:rsidR="00A121B0" w:rsidRPr="00A121B0" w:rsidRDefault="00A121B0" w:rsidP="00A121B0">
      <w:pPr>
        <w:spacing w:after="12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</w:rPr>
        <w:t>12. Obie strony zgodziły się kontynuować współpracę rozwojową poprzez dostosowanie wsparcia Polski do potrzeb Wietnamu i istniejących inicjatyw UE w</w:t>
      </w:r>
      <w:r w:rsidR="007F7AC6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celu osiągnięcia Celów Zrównoważonego Rozwoju ONZ. Zgodzono się zintensyfikować dialog dotyczący projektu budowy statków poszukiwawczo-ratowniczych, który ma być finansowany w ramach międzyrządowej umowy kredytowej.</w:t>
      </w:r>
    </w:p>
    <w:p w14:paraId="6DF0FED8" w14:textId="77777777" w:rsidR="00A121B0" w:rsidRPr="000A2BFB" w:rsidRDefault="00A121B0" w:rsidP="00A121B0">
      <w:pPr>
        <w:spacing w:after="12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:lang w:eastAsia="en-US"/>
        </w:rPr>
      </w:pPr>
    </w:p>
    <w:p w14:paraId="516D8C52" w14:textId="6CE082D0" w:rsidR="00A121B0" w:rsidRDefault="003D1192" w:rsidP="00A121B0">
      <w:pPr>
        <w:spacing w:after="12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W</w:t>
      </w:r>
      <w:r w:rsidR="00A121B0">
        <w:rPr>
          <w:rFonts w:ascii="Times New Roman" w:hAnsi="Times New Roman"/>
          <w:b/>
          <w:sz w:val="28"/>
        </w:rPr>
        <w:t xml:space="preserve">spółpraca w </w:t>
      </w:r>
      <w:r>
        <w:rPr>
          <w:rFonts w:ascii="Times New Roman" w:hAnsi="Times New Roman"/>
          <w:b/>
          <w:sz w:val="28"/>
        </w:rPr>
        <w:t xml:space="preserve">dziedzinie </w:t>
      </w:r>
      <w:r w:rsidR="00A121B0">
        <w:rPr>
          <w:rFonts w:ascii="Times New Roman" w:hAnsi="Times New Roman"/>
          <w:b/>
          <w:sz w:val="28"/>
        </w:rPr>
        <w:t xml:space="preserve"> bezpieczeństwa</w:t>
      </w:r>
      <w:r>
        <w:rPr>
          <w:rFonts w:ascii="Times New Roman" w:hAnsi="Times New Roman"/>
          <w:b/>
          <w:sz w:val="28"/>
        </w:rPr>
        <w:t xml:space="preserve"> i obrony</w:t>
      </w:r>
    </w:p>
    <w:p w14:paraId="72ACF656" w14:textId="3ABD4EFF" w:rsidR="00A121B0" w:rsidRPr="00A121B0" w:rsidRDefault="00A121B0" w:rsidP="00A121B0">
      <w:pPr>
        <w:spacing w:after="12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</w:rPr>
        <w:t>13. Obie strony zgodziły się pogłębić współpracę w ramach obowiązującej umowy o współpracy obronnej, w szczególności w dziedzinie szkolenia oficerów i kwestii związanych z przemysłem obronnym, a także zbadać możliwości współpracy w</w:t>
      </w:r>
      <w:r w:rsidR="007F7AC6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zakresie </w:t>
      </w:r>
      <w:proofErr w:type="spellStart"/>
      <w:r>
        <w:rPr>
          <w:rFonts w:ascii="Times New Roman" w:hAnsi="Times New Roman"/>
          <w:sz w:val="28"/>
        </w:rPr>
        <w:t>cyberbezpieczeństwa</w:t>
      </w:r>
      <w:proofErr w:type="spellEnd"/>
      <w:r>
        <w:rPr>
          <w:rFonts w:ascii="Times New Roman" w:hAnsi="Times New Roman"/>
          <w:sz w:val="28"/>
        </w:rPr>
        <w:t>.</w:t>
      </w:r>
    </w:p>
    <w:p w14:paraId="70732532" w14:textId="15D533AB" w:rsidR="00A121B0" w:rsidRPr="00A121B0" w:rsidRDefault="00A121B0" w:rsidP="00A121B0">
      <w:pPr>
        <w:spacing w:after="12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</w:rPr>
        <w:t>14. Obie strony wyraziły wolę zwiększenia wymiany doświadczeń i koordynacji w</w:t>
      </w:r>
      <w:r w:rsidR="007F7AC6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zakresie zapobiegania przestępczości, w szczególności przestępczości zorganizowanej i międzynarodowej, nielegalnej imigracji i handlu ludźmi oraz kontynuowania współpracy w obszarze ochrony granic i kwestii migracyjnych, w</w:t>
      </w:r>
      <w:r w:rsidR="007F7AC6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tym wdrażania programów szkoleniowych dla wietnamskich służb migracyjnych przez stronę polską oraz </w:t>
      </w:r>
      <w:r w:rsidR="00A93397">
        <w:rPr>
          <w:rFonts w:ascii="Times New Roman" w:hAnsi="Times New Roman"/>
          <w:sz w:val="28"/>
        </w:rPr>
        <w:t xml:space="preserve">dostosowania </w:t>
      </w:r>
      <w:r>
        <w:rPr>
          <w:rFonts w:ascii="Times New Roman" w:hAnsi="Times New Roman"/>
          <w:sz w:val="28"/>
        </w:rPr>
        <w:t xml:space="preserve">istniejących umów w celu odzwierciedlenia obecnych i przyszłych potrzeb związanych z migracją. </w:t>
      </w:r>
    </w:p>
    <w:p w14:paraId="0C66D4FF" w14:textId="11305882" w:rsidR="00A121B0" w:rsidRPr="00A121B0" w:rsidRDefault="00A121B0" w:rsidP="00A121B0">
      <w:pPr>
        <w:spacing w:after="120" w:line="240" w:lineRule="auto"/>
        <w:jc w:val="both"/>
        <w:rPr>
          <w:rFonts w:ascii="Times New Roman" w:eastAsia="Aptos" w:hAnsi="Times New Roman" w:cs="Times New Roman"/>
          <w:b/>
          <w:kern w:val="2"/>
          <w:sz w:val="28"/>
          <w:szCs w:val="28"/>
        </w:rPr>
      </w:pPr>
      <w:r>
        <w:rPr>
          <w:rFonts w:ascii="Times New Roman" w:hAnsi="Times New Roman"/>
          <w:b/>
          <w:sz w:val="28"/>
        </w:rPr>
        <w:t>Edukacja, nauka, technologia, kultura, turystyka i wymiana międzyludzka</w:t>
      </w:r>
    </w:p>
    <w:p w14:paraId="6005E86B" w14:textId="77777777" w:rsidR="00A121B0" w:rsidRPr="00A121B0" w:rsidRDefault="00A121B0" w:rsidP="00A121B0">
      <w:pPr>
        <w:spacing w:after="12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</w:rPr>
        <w:t xml:space="preserve">15. Obie strony wyraziły wolę rozszerzenia współpracy w zakresie edukacji, nauki i szkolenia zawodowego - tradycyjnych obszarów współpracy - a także w dziedzinie badań i rozwoju, kultury i ochrony dziedzictwa, turystyki i wymiany międzyludzkiej. </w:t>
      </w:r>
    </w:p>
    <w:p w14:paraId="5DB22A09" w14:textId="4305DFE1" w:rsidR="00A121B0" w:rsidRPr="00A121B0" w:rsidRDefault="00A121B0" w:rsidP="00A121B0">
      <w:pPr>
        <w:spacing w:after="120" w:line="240" w:lineRule="auto"/>
        <w:jc w:val="both"/>
        <w:rPr>
          <w:rFonts w:ascii="Times New Roman" w:eastAsia="Aptos" w:hAnsi="Times New Roman" w:cs="Times New Roman"/>
          <w:b/>
          <w:kern w:val="2"/>
          <w:sz w:val="28"/>
          <w:szCs w:val="28"/>
        </w:rPr>
      </w:pPr>
      <w:r>
        <w:rPr>
          <w:rFonts w:ascii="Times New Roman" w:hAnsi="Times New Roman"/>
          <w:sz w:val="28"/>
        </w:rPr>
        <w:t xml:space="preserve">16. Obie strony zachęcają linie lotnicze do współpracy i rozważenia ponownego otwarcia bezpośrednich lotów między oboma krajami w celu promowania turystyki, przewozów towarowych i wymiany międzyludzkiej. Polska z zadowoleniem przyjęła decyzję Wietnamu o zniesieniu obowiązku wizowego dla polskich </w:t>
      </w:r>
      <w:r w:rsidR="00956849">
        <w:rPr>
          <w:rFonts w:ascii="Times New Roman" w:hAnsi="Times New Roman"/>
          <w:sz w:val="28"/>
        </w:rPr>
        <w:t xml:space="preserve">turystów </w:t>
      </w:r>
      <w:r w:rsidR="00A93397">
        <w:rPr>
          <w:rFonts w:ascii="Times New Roman" w:hAnsi="Times New Roman"/>
          <w:sz w:val="28"/>
        </w:rPr>
        <w:t>podróż</w:t>
      </w:r>
      <w:r w:rsidR="00956849">
        <w:rPr>
          <w:rFonts w:ascii="Times New Roman" w:hAnsi="Times New Roman"/>
          <w:sz w:val="28"/>
        </w:rPr>
        <w:t>ujących</w:t>
      </w:r>
      <w:r w:rsidR="00A93397">
        <w:rPr>
          <w:rFonts w:ascii="Times New Roman" w:hAnsi="Times New Roman"/>
          <w:sz w:val="28"/>
        </w:rPr>
        <w:t xml:space="preserve"> w </w:t>
      </w:r>
      <w:r>
        <w:rPr>
          <w:rFonts w:ascii="Times New Roman" w:hAnsi="Times New Roman"/>
          <w:sz w:val="28"/>
        </w:rPr>
        <w:t>grup</w:t>
      </w:r>
      <w:r w:rsidR="00A93397">
        <w:rPr>
          <w:rFonts w:ascii="Times New Roman" w:hAnsi="Times New Roman"/>
          <w:sz w:val="28"/>
        </w:rPr>
        <w:t>ach</w:t>
      </w:r>
      <w:r>
        <w:rPr>
          <w:rFonts w:ascii="Times New Roman" w:hAnsi="Times New Roman"/>
          <w:sz w:val="28"/>
        </w:rPr>
        <w:t xml:space="preserve"> zorganizowanych. Obie strony zgodziły się kontynuować dialog w tej sprawie.  </w:t>
      </w:r>
    </w:p>
    <w:p w14:paraId="17037AF5" w14:textId="2F2BED1B" w:rsidR="00A121B0" w:rsidRPr="00A121B0" w:rsidRDefault="00A121B0" w:rsidP="00A121B0">
      <w:pPr>
        <w:spacing w:after="12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</w:rPr>
        <w:t>17. Obie strony potwierdziły swoją stałą współpracę w celu ułatwienia rozwoju i</w:t>
      </w:r>
      <w:r w:rsidR="007F7AC6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integracji społeczności wietnamskiej w Polsce, co aktywnie przyczynia się do wzmocnienia stosunków między oboma krajami.</w:t>
      </w:r>
    </w:p>
    <w:p w14:paraId="7B90BAC1" w14:textId="77777777" w:rsidR="00A121B0" w:rsidRPr="00A121B0" w:rsidRDefault="00A121B0" w:rsidP="00A121B0">
      <w:pPr>
        <w:spacing w:after="12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</w:rPr>
        <w:t xml:space="preserve">Premier </w:t>
      </w:r>
      <w:proofErr w:type="spellStart"/>
      <w:r>
        <w:rPr>
          <w:rFonts w:ascii="Times New Roman" w:hAnsi="Times New Roman"/>
          <w:sz w:val="28"/>
        </w:rPr>
        <w:t>Pham</w:t>
      </w:r>
      <w:proofErr w:type="spellEnd"/>
      <w:r>
        <w:rPr>
          <w:rFonts w:ascii="Times New Roman" w:hAnsi="Times New Roman"/>
          <w:sz w:val="28"/>
        </w:rPr>
        <w:t xml:space="preserve"> Minh </w:t>
      </w:r>
      <w:proofErr w:type="spellStart"/>
      <w:r>
        <w:rPr>
          <w:rFonts w:ascii="Times New Roman" w:hAnsi="Times New Roman"/>
          <w:sz w:val="28"/>
        </w:rPr>
        <w:t>Chinh</w:t>
      </w:r>
      <w:proofErr w:type="spellEnd"/>
      <w:r>
        <w:rPr>
          <w:rFonts w:ascii="Times New Roman" w:hAnsi="Times New Roman"/>
          <w:sz w:val="28"/>
        </w:rPr>
        <w:t xml:space="preserve"> podziękował premierowi Donaldowi Tuskowi, a także przywódcom i obywatelom Polski za gościnność okazaną jemu i delegacji wysokiego szczebla wietnamskiego rządu oraz z szacunkiem zaprosił premiera Donalda Tuska do złożenia oficjalnej wizyty w Wietnamie. </w:t>
      </w:r>
    </w:p>
    <w:p w14:paraId="7A596F54" w14:textId="77777777" w:rsidR="00A121B0" w:rsidRPr="000A2BFB" w:rsidRDefault="00A121B0" w:rsidP="00A121B0">
      <w:pPr>
        <w:jc w:val="both"/>
        <w:rPr>
          <w:rFonts w:ascii="Aptos" w:eastAsia="Aptos" w:hAnsi="Aptos" w:cs="SimSun"/>
          <w:kern w:val="2"/>
          <w:lang w:eastAsia="en-US"/>
        </w:rPr>
      </w:pPr>
    </w:p>
    <w:p w14:paraId="5410D509" w14:textId="77777777" w:rsidR="00A121B0" w:rsidRPr="000A2BFB" w:rsidRDefault="00A121B0" w:rsidP="00A121B0">
      <w:pPr>
        <w:spacing w:after="12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:lang w:eastAsia="en-US"/>
        </w:rPr>
      </w:pPr>
    </w:p>
    <w:p w14:paraId="24C9AD49" w14:textId="77777777" w:rsidR="00A121B0" w:rsidRPr="000A2BFB" w:rsidRDefault="00A121B0" w:rsidP="00A121B0">
      <w:pPr>
        <w:spacing w:after="120" w:line="24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:lang w:eastAsia="en-US"/>
        </w:rPr>
      </w:pPr>
    </w:p>
    <w:p w14:paraId="68099C63" w14:textId="77777777" w:rsidR="00F64B78" w:rsidRPr="000A2BFB" w:rsidRDefault="00F64B78"/>
    <w:sectPr w:rsidR="00F64B78" w:rsidRPr="000A2BFB" w:rsidSect="00DF4D6F">
      <w:headerReference w:type="default" r:id="rId7"/>
      <w:pgSz w:w="11909" w:h="16834" w:code="9"/>
      <w:pgMar w:top="1152" w:right="1152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41EA7" w14:textId="77777777" w:rsidR="00171A87" w:rsidRDefault="00171A87">
      <w:pPr>
        <w:spacing w:after="0" w:line="240" w:lineRule="auto"/>
      </w:pPr>
      <w:r>
        <w:separator/>
      </w:r>
    </w:p>
  </w:endnote>
  <w:endnote w:type="continuationSeparator" w:id="0">
    <w:p w14:paraId="0EF9D549" w14:textId="77777777" w:rsidR="00171A87" w:rsidRDefault="0017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AEF98" w14:textId="77777777" w:rsidR="00171A87" w:rsidRDefault="00171A87">
      <w:pPr>
        <w:spacing w:after="0" w:line="240" w:lineRule="auto"/>
      </w:pPr>
      <w:r>
        <w:separator/>
      </w:r>
    </w:p>
  </w:footnote>
  <w:footnote w:type="continuationSeparator" w:id="0">
    <w:p w14:paraId="5563B9F7" w14:textId="77777777" w:rsidR="00171A87" w:rsidRDefault="0017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C7063" w14:textId="66B37B87" w:rsidR="006D34CD" w:rsidRDefault="00A121B0">
    <w:pPr>
      <w:pStyle w:val="Nagwek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5393">
      <w:t>3</w:t>
    </w:r>
    <w:r>
      <w:fldChar w:fldCharType="end"/>
    </w:r>
  </w:p>
  <w:p w14:paraId="33A05581" w14:textId="77777777" w:rsidR="006D34CD" w:rsidRDefault="006D34C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B0"/>
    <w:rsid w:val="000003DE"/>
    <w:rsid w:val="000415CA"/>
    <w:rsid w:val="000A2BFB"/>
    <w:rsid w:val="000D3A3E"/>
    <w:rsid w:val="00171A87"/>
    <w:rsid w:val="00185E4E"/>
    <w:rsid w:val="001B27A3"/>
    <w:rsid w:val="001F6FB8"/>
    <w:rsid w:val="00224CD5"/>
    <w:rsid w:val="00251673"/>
    <w:rsid w:val="00253D91"/>
    <w:rsid w:val="002959C9"/>
    <w:rsid w:val="00302F21"/>
    <w:rsid w:val="003054DF"/>
    <w:rsid w:val="003810CD"/>
    <w:rsid w:val="003B628A"/>
    <w:rsid w:val="003D1192"/>
    <w:rsid w:val="003E2035"/>
    <w:rsid w:val="003E234F"/>
    <w:rsid w:val="00425B64"/>
    <w:rsid w:val="004713CE"/>
    <w:rsid w:val="00666FD7"/>
    <w:rsid w:val="006D34CD"/>
    <w:rsid w:val="0078639B"/>
    <w:rsid w:val="007964AD"/>
    <w:rsid w:val="007C46A3"/>
    <w:rsid w:val="007E289D"/>
    <w:rsid w:val="007F7AC6"/>
    <w:rsid w:val="00820EFC"/>
    <w:rsid w:val="00825352"/>
    <w:rsid w:val="00862316"/>
    <w:rsid w:val="008B2C2C"/>
    <w:rsid w:val="008C1503"/>
    <w:rsid w:val="00925393"/>
    <w:rsid w:val="00931F67"/>
    <w:rsid w:val="00956849"/>
    <w:rsid w:val="009711B7"/>
    <w:rsid w:val="00983889"/>
    <w:rsid w:val="009B23B2"/>
    <w:rsid w:val="00A121B0"/>
    <w:rsid w:val="00A54EE4"/>
    <w:rsid w:val="00A629D5"/>
    <w:rsid w:val="00A67CA4"/>
    <w:rsid w:val="00A93397"/>
    <w:rsid w:val="00AA49AD"/>
    <w:rsid w:val="00AA6D9F"/>
    <w:rsid w:val="00AD0E01"/>
    <w:rsid w:val="00B15F30"/>
    <w:rsid w:val="00B54231"/>
    <w:rsid w:val="00BF4FD0"/>
    <w:rsid w:val="00C66D07"/>
    <w:rsid w:val="00C678FF"/>
    <w:rsid w:val="00CA4BF4"/>
    <w:rsid w:val="00D92AC4"/>
    <w:rsid w:val="00E11278"/>
    <w:rsid w:val="00E66040"/>
    <w:rsid w:val="00E72B18"/>
    <w:rsid w:val="00EC1DB2"/>
    <w:rsid w:val="00ED395F"/>
    <w:rsid w:val="00F12DBC"/>
    <w:rsid w:val="00F6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ABAA3"/>
  <w15:chartTrackingRefBased/>
  <w15:docId w15:val="{EDCC01FF-FFE1-46E9-89C7-5153CF89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12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121B0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1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1B0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1B0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2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1B0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1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192"/>
    <w:rPr>
      <w:b/>
      <w:bCs/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185E4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DDF57-DE66-4E61-84C9-59D91D76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1042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Zajączkowski Wojciech</dc:creator>
  <cp:keywords/>
  <dc:description/>
  <cp:lastModifiedBy>Dopierała-Konkołowicz Joanna</cp:lastModifiedBy>
  <cp:revision>3</cp:revision>
  <cp:lastPrinted>2025-01-16T07:01:00Z</cp:lastPrinted>
  <dcterms:created xsi:type="dcterms:W3CDTF">2025-01-20T11:30:00Z</dcterms:created>
  <dcterms:modified xsi:type="dcterms:W3CDTF">2025-01-20T12:17:00Z</dcterms:modified>
</cp:coreProperties>
</file>